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8E44" w14:textId="77777777" w:rsidR="00107B4D" w:rsidRPr="00107B4D" w:rsidRDefault="00107B4D" w:rsidP="00107B4D">
      <w:pPr>
        <w:shd w:val="clear" w:color="auto" w:fill="FFFFFF"/>
        <w:spacing w:before="274" w:after="206" w:line="240" w:lineRule="auto"/>
        <w:jc w:val="right"/>
        <w:outlineLvl w:val="0"/>
        <w:rPr>
          <w:rFonts w:ascii="Arial" w:eastAsia="Times New Roman" w:hAnsi="Arial" w:cs="Arial"/>
          <w:b/>
          <w:bCs/>
          <w:i/>
          <w:iCs/>
          <w:kern w:val="28"/>
          <w:sz w:val="36"/>
          <w:szCs w:val="20"/>
          <w:u w:val="single"/>
        </w:rPr>
      </w:pPr>
      <w:r w:rsidRPr="00107B4D">
        <w:rPr>
          <w:rFonts w:ascii="Arial" w:eastAsia="Times New Roman" w:hAnsi="Arial" w:cs="Arial"/>
          <w:b/>
          <w:bCs/>
          <w:i/>
          <w:iCs/>
          <w:kern w:val="28"/>
          <w:sz w:val="36"/>
          <w:szCs w:val="20"/>
          <w:u w:val="single"/>
        </w:rPr>
        <w:t xml:space="preserve">Case report </w:t>
      </w:r>
    </w:p>
    <w:p w14:paraId="4BD0D754" w14:textId="77777777" w:rsidR="00107B4D" w:rsidRDefault="00107B4D" w:rsidP="00C67820">
      <w:pPr>
        <w:shd w:val="clear" w:color="auto" w:fill="FFFFFF"/>
        <w:spacing w:before="274" w:after="206" w:line="240" w:lineRule="auto"/>
        <w:jc w:val="right"/>
        <w:outlineLvl w:val="0"/>
        <w:rPr>
          <w:rFonts w:ascii="Arial" w:eastAsia="Times New Roman" w:hAnsi="Arial" w:cs="Arial"/>
          <w:b/>
          <w:bCs/>
          <w:iCs/>
          <w:kern w:val="28"/>
          <w:sz w:val="36"/>
          <w:szCs w:val="20"/>
        </w:rPr>
      </w:pPr>
    </w:p>
    <w:p w14:paraId="6B2B90D2" w14:textId="4F5A0724" w:rsidR="00400998" w:rsidRPr="00400998" w:rsidRDefault="00400998" w:rsidP="00C67820">
      <w:pPr>
        <w:shd w:val="clear" w:color="auto" w:fill="FFFFFF"/>
        <w:spacing w:before="274" w:after="206" w:line="240" w:lineRule="auto"/>
        <w:jc w:val="right"/>
        <w:outlineLvl w:val="0"/>
        <w:rPr>
          <w:rFonts w:ascii="Arial" w:eastAsia="Times New Roman" w:hAnsi="Arial" w:cs="Arial"/>
          <w:b/>
          <w:bCs/>
          <w:iCs/>
          <w:kern w:val="28"/>
          <w:sz w:val="36"/>
          <w:szCs w:val="20"/>
        </w:rPr>
      </w:pPr>
      <w:r w:rsidRPr="00C67820">
        <w:rPr>
          <w:rFonts w:ascii="Arial" w:eastAsia="Times New Roman" w:hAnsi="Arial" w:cs="Arial"/>
          <w:b/>
          <w:bCs/>
          <w:iCs/>
          <w:kern w:val="28"/>
          <w:sz w:val="36"/>
          <w:szCs w:val="20"/>
        </w:rPr>
        <w:t>Tuberculous Constrictive Pericarditis Presenting as Isolated Pleural Effusion: A Diagnostic Role for Transthoracic Echocardiography</w:t>
      </w:r>
    </w:p>
    <w:p w14:paraId="7F19702C" w14:textId="77777777" w:rsidR="002A0245" w:rsidRDefault="002A0245" w:rsidP="00400998">
      <w:pPr>
        <w:spacing w:before="480" w:after="480" w:line="240" w:lineRule="auto"/>
        <w:rPr>
          <w:rFonts w:ascii="Arial" w:eastAsia="Times New Roman" w:hAnsi="Arial" w:cs="Arial"/>
          <w:b/>
          <w:caps/>
          <w:szCs w:val="20"/>
        </w:rPr>
      </w:pPr>
    </w:p>
    <w:p w14:paraId="4FE69AC3" w14:textId="64AA94C0" w:rsidR="00400998" w:rsidRPr="00400998" w:rsidRDefault="002F41DB" w:rsidP="00400998">
      <w:pPr>
        <w:spacing w:before="480" w:after="480" w:line="240" w:lineRule="auto"/>
        <w:rPr>
          <w:rFonts w:ascii="Arial" w:eastAsia="Times New Roman" w:hAnsi="Arial" w:cs="Arial"/>
          <w:b/>
          <w:caps/>
          <w:szCs w:val="20"/>
        </w:rPr>
      </w:pPr>
      <w:r w:rsidRPr="002F41DB">
        <w:rPr>
          <w:rFonts w:ascii="Arial" w:eastAsia="Times New Roman" w:hAnsi="Arial" w:cs="Arial"/>
          <w:b/>
          <w:caps/>
          <w:noProof/>
          <w:szCs w:val="20"/>
          <w14:ligatures w14:val="none"/>
        </w:rPr>
        <w:pict w14:anchorId="7C9C5AC1">
          <v:rect id="_x0000_i1025" alt="" style="width:468pt;height:.05pt;mso-width-percent:0;mso-height-percent:0;mso-width-percent:0;mso-height-percent:0" o:hralign="center" o:hrstd="t" o:hrnoshade="t" o:hr="t" fillcolor="#404040" stroked="f"/>
        </w:pict>
      </w:r>
    </w:p>
    <w:p w14:paraId="5CCC0DE5" w14:textId="77777777" w:rsidR="00400998" w:rsidRPr="00400998" w:rsidRDefault="00400998" w:rsidP="00400998">
      <w:pPr>
        <w:pStyle w:val="Copyright"/>
        <w:spacing w:after="120" w:line="240" w:lineRule="auto"/>
        <w:jc w:val="both"/>
        <w:rPr>
          <w:rFonts w:ascii="Arial" w:hAnsi="Arial" w:cs="Arial"/>
          <w:b/>
          <w:caps/>
          <w:sz w:val="22"/>
        </w:rPr>
      </w:pPr>
      <w:r w:rsidRPr="00400998">
        <w:rPr>
          <w:rFonts w:ascii="Arial" w:hAnsi="Arial" w:cs="Arial"/>
          <w:b/>
          <w:caps/>
          <w:sz w:val="22"/>
        </w:rPr>
        <w:t>Abstract</w:t>
      </w:r>
    </w:p>
    <w:p w14:paraId="1B3DF471"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400998">
        <w:rPr>
          <w:rFonts w:ascii="Arial" w:eastAsia="Calibri" w:hAnsi="Arial" w:cs="Arial"/>
          <w:b/>
          <w:bCs/>
          <w:szCs w:val="22"/>
        </w:rPr>
        <w:t>Aims:</w:t>
      </w:r>
      <w:r w:rsidRPr="00400998">
        <w:rPr>
          <w:rFonts w:ascii="Arial" w:eastAsia="Calibri" w:hAnsi="Arial" w:cs="Arial"/>
          <w:szCs w:val="22"/>
        </w:rPr>
        <w:t> To highlight the diagnostic role of transthoracic echocardiography (TTE) in tuberculous constrictive pericarditis (CP) presenting atypically as isolated pleural effusion, and to emphasize the importance of early multimodal imaging in TB-endemic regions.</w:t>
      </w:r>
    </w:p>
    <w:p w14:paraId="32D75C42"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400998">
        <w:rPr>
          <w:rFonts w:ascii="Arial" w:eastAsia="Calibri" w:hAnsi="Arial" w:cs="Arial"/>
          <w:b/>
          <w:bCs/>
          <w:szCs w:val="22"/>
        </w:rPr>
        <w:t>Presentation of Case</w:t>
      </w:r>
      <w:r w:rsidRPr="00400998">
        <w:rPr>
          <w:rFonts w:ascii="Arial" w:eastAsia="Calibri" w:hAnsi="Arial" w:cs="Arial"/>
          <w:szCs w:val="22"/>
        </w:rPr>
        <w:t>: A 36-year-old man with no comorbidities presented with progressive dyspnea and bilateral pleural effusion. Initial workup (CT, pleural biopsy) was inconclusive. TTE revealed classic CP features: pericardial thickening, septal bounce, and hepatic vein expiratory reversal. Cardiac MRI confirmed the diagnosis. The patient improved with anti-tuberculosis therapy and was referred for pericardiectomy.</w:t>
      </w:r>
    </w:p>
    <w:p w14:paraId="0AFB1537"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400998">
        <w:rPr>
          <w:rFonts w:ascii="Arial" w:eastAsia="Calibri" w:hAnsi="Arial" w:cs="Arial"/>
          <w:b/>
          <w:bCs/>
          <w:szCs w:val="22"/>
        </w:rPr>
        <w:t>Discussion:</w:t>
      </w:r>
      <w:r w:rsidRPr="00400998">
        <w:rPr>
          <w:rFonts w:ascii="Arial" w:eastAsia="Calibri" w:hAnsi="Arial" w:cs="Arial"/>
          <w:szCs w:val="22"/>
        </w:rPr>
        <w:t> CP remains a diagnostic challenge due to nonspecific symptoms. In TB-endemic areas, tuberculosis is a leading cause. TTE’s Mayo Clinic criteria (septal shift, medial e′ ≥ 9 cm/s, hepatic vein reversal) achieved 97% specificity, obviating invasive tests. MRI further differentiated CP from restrictive cardiomyopathy.</w:t>
      </w:r>
    </w:p>
    <w:p w14:paraId="5D698C29"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Theme="minorBidi" w:hAnsiTheme="minorBidi" w:cstheme="minorBidi"/>
          <w:color w:val="404040"/>
          <w:sz w:val="22"/>
          <w:szCs w:val="22"/>
        </w:rPr>
      </w:pPr>
      <w:r w:rsidRPr="00400998">
        <w:rPr>
          <w:rFonts w:ascii="Arial" w:eastAsia="Calibri" w:hAnsi="Arial" w:cs="Arial"/>
          <w:b/>
          <w:bCs/>
          <w:szCs w:val="22"/>
        </w:rPr>
        <w:t>Conclusion:</w:t>
      </w:r>
      <w:r w:rsidRPr="00400998">
        <w:rPr>
          <w:rFonts w:ascii="Arial" w:eastAsia="Calibri" w:hAnsi="Arial" w:cs="Arial"/>
          <w:szCs w:val="22"/>
        </w:rPr>
        <w:t> CP should be considered in patients with unexplained pleural effusion in TB-endemic regions. TTE is a critical first-line tool, and early intervention improves outcomes</w:t>
      </w:r>
      <w:r w:rsidRPr="00400998">
        <w:rPr>
          <w:rFonts w:asciiTheme="minorBidi" w:hAnsiTheme="minorBidi" w:cstheme="minorBidi"/>
          <w:color w:val="404040"/>
          <w:sz w:val="22"/>
          <w:szCs w:val="22"/>
        </w:rPr>
        <w:t>.</w:t>
      </w:r>
    </w:p>
    <w:p w14:paraId="3532EF0A" w14:textId="77777777" w:rsidR="00400998" w:rsidRPr="00400998" w:rsidRDefault="00400998" w:rsidP="00400998">
      <w:pPr>
        <w:shd w:val="clear" w:color="auto" w:fill="FFFFFF"/>
        <w:spacing w:after="206" w:line="429" w:lineRule="atLeast"/>
        <w:ind w:left="-180"/>
        <w:rPr>
          <w:rFonts w:ascii="Arial" w:eastAsia="Times New Roman" w:hAnsi="Arial" w:cs="Arial"/>
          <w:i/>
          <w:sz w:val="20"/>
          <w:szCs w:val="20"/>
        </w:rPr>
      </w:pPr>
      <w:r w:rsidRPr="00400998">
        <w:rPr>
          <w:rStyle w:val="Heading1Char"/>
          <w:rFonts w:ascii="Segoe UI" w:eastAsiaTheme="minorHAnsi" w:hAnsi="Segoe UI" w:cs="Segoe UI"/>
          <w:color w:val="404040"/>
          <w:shd w:val="clear" w:color="auto" w:fill="FFFFFF"/>
        </w:rPr>
        <w:t xml:space="preserve"> </w:t>
      </w:r>
      <w:r w:rsidRPr="005003FE">
        <w:rPr>
          <w:rFonts w:ascii="Arial" w:eastAsia="Times New Roman" w:hAnsi="Arial" w:cs="Arial"/>
          <w:i/>
          <w:sz w:val="20"/>
          <w:szCs w:val="20"/>
        </w:rPr>
        <w:t>Keywords:</w:t>
      </w:r>
      <w:r w:rsidRPr="00400998">
        <w:rPr>
          <w:rFonts w:ascii="Arial" w:eastAsia="Times New Roman" w:hAnsi="Arial" w:cs="Arial"/>
          <w:i/>
          <w:sz w:val="20"/>
          <w:szCs w:val="20"/>
        </w:rPr>
        <w:t> Constrictive pericarditis, tuberculosis, pleural effusion, echocardiography, cardiac MRI</w:t>
      </w:r>
    </w:p>
    <w:p w14:paraId="7E092CEB" w14:textId="77777777" w:rsidR="00400998" w:rsidRPr="00400998" w:rsidRDefault="00400998" w:rsidP="00400998">
      <w:pPr>
        <w:pStyle w:val="ListParagraph"/>
        <w:numPr>
          <w:ilvl w:val="0"/>
          <w:numId w:val="6"/>
        </w:numPr>
        <w:shd w:val="clear" w:color="auto" w:fill="FFFFFF"/>
        <w:spacing w:before="274" w:after="206" w:line="240" w:lineRule="auto"/>
        <w:ind w:left="270"/>
        <w:outlineLvl w:val="1"/>
        <w:rPr>
          <w:rFonts w:ascii="Arial" w:eastAsia="Times New Roman" w:hAnsi="Arial" w:cs="Arial"/>
          <w:b/>
          <w:caps/>
          <w:szCs w:val="20"/>
        </w:rPr>
      </w:pPr>
      <w:commentRangeStart w:id="0"/>
      <w:r w:rsidRPr="00400998">
        <w:rPr>
          <w:rFonts w:ascii="Arial" w:eastAsia="Times New Roman" w:hAnsi="Arial" w:cs="Arial"/>
          <w:b/>
          <w:caps/>
          <w:szCs w:val="20"/>
        </w:rPr>
        <w:t>Introduction</w:t>
      </w:r>
      <w:commentRangeEnd w:id="0"/>
      <w:r w:rsidR="000B01DC">
        <w:rPr>
          <w:rStyle w:val="CommentReference"/>
        </w:rPr>
        <w:commentReference w:id="0"/>
      </w:r>
    </w:p>
    <w:p w14:paraId="410D2EDA" w14:textId="77777777" w:rsidR="00400998" w:rsidRDefault="00400998" w:rsidP="00A25FE2">
      <w:pPr>
        <w:shd w:val="clear" w:color="auto" w:fill="FFFFFF"/>
        <w:spacing w:after="0" w:line="240" w:lineRule="auto"/>
        <w:rPr>
          <w:rFonts w:ascii="Arial" w:eastAsia="Times New Roman" w:hAnsi="Arial" w:cs="Arial"/>
          <w:sz w:val="20"/>
          <w:szCs w:val="20"/>
        </w:rPr>
      </w:pPr>
      <w:r w:rsidRPr="00400998">
        <w:rPr>
          <w:rFonts w:ascii="Arial" w:eastAsia="Times New Roman" w:hAnsi="Arial" w:cs="Arial"/>
          <w:sz w:val="20"/>
          <w:szCs w:val="20"/>
        </w:rPr>
        <w:t>Constrictive pericarditis (CP) results from long-standing inflammation of the pericardium, leading to pericardial thickening, fibrosis, and sometimes calcification, which restricts diastolic filling of the heart. Clinically, CP mimics other causes of right-sided heart failure, particularly restrictive cardiomyopathy, posing diagnostic challenges</w:t>
      </w:r>
      <w:r w:rsidR="00EA1610">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{"citationID":"9OHdvshK","properties":{"formattedCitation":"[1,2]","plainCitation":"[1,2]","noteIndex":0},"citationItems":[{"id":724,"uris":["http://zotero.org/users/17374735/items/26VIZAVK"],"itemData":{"id":724,"type":"article-journal","abstract":"We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00EA1610">
        <w:rPr>
          <w:rFonts w:ascii="Arial" w:eastAsia="Times New Roman" w:hAnsi="Arial" w:cs="Arial"/>
          <w:sz w:val="20"/>
          <w:szCs w:val="20"/>
        </w:rPr>
        <w:fldChar w:fldCharType="separate"/>
      </w:r>
      <w:r w:rsidR="00EA1610" w:rsidRPr="00EA1610">
        <w:rPr>
          <w:rFonts w:ascii="Arial" w:hAnsi="Arial" w:cs="Arial"/>
          <w:sz w:val="20"/>
        </w:rPr>
        <w:t>[1,2]</w:t>
      </w:r>
      <w:r w:rsidR="00EA1610">
        <w:rPr>
          <w:rFonts w:ascii="Arial" w:eastAsia="Times New Roman" w:hAnsi="Arial" w:cs="Arial"/>
          <w:sz w:val="20"/>
          <w:szCs w:val="20"/>
        </w:rPr>
        <w:fldChar w:fldCharType="end"/>
      </w:r>
      <w:r w:rsidRPr="00400998">
        <w:rPr>
          <w:rFonts w:ascii="Arial" w:eastAsia="Times New Roman" w:hAnsi="Arial" w:cs="Arial"/>
          <w:sz w:val="20"/>
          <w:szCs w:val="20"/>
        </w:rPr>
        <w:t>. Common causes in developed countries include prior cardiac surgery, radiation therapy, and idiopathic pericarditis. In contrast, tuberculosis (TB) remains a predominant cause in low- and middle-income countries</w:t>
      </w:r>
      <w:r w:rsidR="00A25FE2">
        <w:rPr>
          <w:rFonts w:ascii="Arial" w:eastAsia="Times New Roman" w:hAnsi="Arial" w:cs="Arial"/>
          <w:sz w:val="20"/>
          <w:szCs w:val="20"/>
        </w:rPr>
        <w:fldChar w:fldCharType="begin"/>
      </w:r>
      <w:r w:rsidR="00A25FE2">
        <w:rPr>
          <w:rFonts w:ascii="Arial" w:eastAsia="Times New Roman" w:hAnsi="Arial" w:cs="Arial"/>
          <w:sz w:val="20"/>
          <w:szCs w:val="20"/>
        </w:rPr>
        <w:instrText xml:space="preserve"> ADDIN ZOTERO_ITEM CSL_CITATION {"citationID":"owdl8GYC","properties":{"formattedCitation":"[3]","plainCitation":"[3]","noteIndex":0},"citationItems":[{"id":752,"uris":["http://zotero.org/users/17374735/items/MVT6986T"],"itemData":{"id":752,"type":"article-journal","abstract":"Background—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00A25FE2">
        <w:rPr>
          <w:rFonts w:ascii="Arial" w:eastAsia="Times New Roman" w:hAnsi="Arial" w:cs="Arial"/>
          <w:sz w:val="20"/>
          <w:szCs w:val="20"/>
        </w:rPr>
        <w:fldChar w:fldCharType="separate"/>
      </w:r>
      <w:r w:rsidR="00A25FE2" w:rsidRPr="00A25FE2">
        <w:rPr>
          <w:rFonts w:ascii="Arial" w:hAnsi="Arial" w:cs="Arial"/>
          <w:sz w:val="20"/>
        </w:rPr>
        <w:t>[3]</w:t>
      </w:r>
      <w:r w:rsidR="00A25FE2">
        <w:rPr>
          <w:rFonts w:ascii="Arial" w:eastAsia="Times New Roman" w:hAnsi="Arial" w:cs="Arial"/>
          <w:sz w:val="20"/>
          <w:szCs w:val="20"/>
        </w:rPr>
        <w:fldChar w:fldCharType="end"/>
      </w:r>
      <w:r w:rsidRPr="00400998">
        <w:rPr>
          <w:rFonts w:ascii="Arial" w:eastAsia="Times New Roman" w:hAnsi="Arial" w:cs="Arial"/>
          <w:sz w:val="20"/>
          <w:szCs w:val="20"/>
        </w:rPr>
        <w:t> .</w:t>
      </w:r>
    </w:p>
    <w:p w14:paraId="09487D53" w14:textId="77777777" w:rsidR="00D26B19" w:rsidRPr="00400998" w:rsidRDefault="00D26B19" w:rsidP="00A25FE2">
      <w:pPr>
        <w:shd w:val="clear" w:color="auto" w:fill="FFFFFF"/>
        <w:spacing w:after="0" w:line="240" w:lineRule="auto"/>
        <w:rPr>
          <w:rFonts w:ascii="Arial" w:eastAsia="Times New Roman" w:hAnsi="Arial" w:cs="Arial"/>
          <w:sz w:val="20"/>
          <w:szCs w:val="20"/>
        </w:rPr>
      </w:pPr>
    </w:p>
    <w:p w14:paraId="31CB4839" w14:textId="77777777" w:rsidR="00400998" w:rsidRPr="00400998" w:rsidRDefault="00400998" w:rsidP="00400998">
      <w:pPr>
        <w:pStyle w:val="ListParagraph"/>
        <w:numPr>
          <w:ilvl w:val="0"/>
          <w:numId w:val="6"/>
        </w:numPr>
        <w:shd w:val="clear" w:color="auto" w:fill="FFFFFF"/>
        <w:spacing w:before="274" w:after="206" w:line="240" w:lineRule="auto"/>
        <w:ind w:left="180"/>
        <w:outlineLvl w:val="1"/>
        <w:rPr>
          <w:rFonts w:ascii="Arial" w:eastAsia="Times New Roman" w:hAnsi="Arial" w:cs="Arial"/>
          <w:b/>
          <w:caps/>
          <w:szCs w:val="20"/>
        </w:rPr>
      </w:pPr>
      <w:r w:rsidRPr="00400998">
        <w:rPr>
          <w:rFonts w:ascii="Arial" w:eastAsia="Times New Roman" w:hAnsi="Arial" w:cs="Arial"/>
          <w:b/>
          <w:caps/>
          <w:szCs w:val="20"/>
        </w:rPr>
        <w:t>Case Presentation</w:t>
      </w:r>
    </w:p>
    <w:p w14:paraId="5E9E832E" w14:textId="77777777" w:rsidR="00400998" w:rsidRDefault="00400998" w:rsidP="00A25FE2">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A 36-year-old man, without known comorbidities, presented with progressive exertional dyspnea and intermittent chest discomfort evolving over more than a year. He also reported chronic fatigue but denied fever, weight loss, or night sweats.</w:t>
      </w:r>
    </w:p>
    <w:p w14:paraId="021B58B3" w14:textId="77777777" w:rsidR="00400998" w:rsidRDefault="00400998" w:rsidP="00A25FE2">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lastRenderedPageBreak/>
        <w:t>Physical examination </w:t>
      </w:r>
      <w:r w:rsidR="00C90B82">
        <w:rPr>
          <w:rFonts w:ascii="Arial" w:eastAsia="Times New Roman" w:hAnsi="Arial" w:cs="Arial"/>
          <w:sz w:val="20"/>
          <w:szCs w:val="20"/>
        </w:rPr>
        <w:t>showed</w:t>
      </w:r>
      <w:r w:rsidRPr="00400998">
        <w:rPr>
          <w:rFonts w:ascii="Arial" w:eastAsia="Times New Roman" w:hAnsi="Arial" w:cs="Arial"/>
          <w:sz w:val="20"/>
          <w:szCs w:val="20"/>
        </w:rPr>
        <w:t xml:space="preserve"> elevated jugular venous pressure and decreased breath sounds bilaterally. There was no peripheral edema or ascites. </w:t>
      </w:r>
    </w:p>
    <w:p w14:paraId="6E268E76" w14:textId="77777777" w:rsid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A chest X-ray showed bilateral pleural effusion</w:t>
      </w:r>
      <w:r w:rsidR="00BD0E82">
        <w:rPr>
          <w:rFonts w:ascii="Arial" w:eastAsia="Times New Roman" w:hAnsi="Arial" w:cs="Arial"/>
          <w:sz w:val="20"/>
          <w:szCs w:val="20"/>
        </w:rPr>
        <w:t xml:space="preserve"> (Figure 1)</w:t>
      </w:r>
      <w:r w:rsidRPr="00400998">
        <w:rPr>
          <w:rFonts w:ascii="Arial" w:eastAsia="Times New Roman" w:hAnsi="Arial" w:cs="Arial"/>
          <w:sz w:val="20"/>
          <w:szCs w:val="20"/>
        </w:rPr>
        <w:t>, and ECG was unremarkable. </w:t>
      </w:r>
    </w:p>
    <w:p w14:paraId="583430FD" w14:textId="77777777" w:rsidR="0019652E" w:rsidRDefault="0019652E" w:rsidP="00400998">
      <w:pPr>
        <w:shd w:val="clear" w:color="auto" w:fill="FFFFFF"/>
        <w:spacing w:after="0"/>
        <w:rPr>
          <w:rFonts w:ascii="Arial" w:eastAsia="Times New Roman" w:hAnsi="Arial" w:cs="Arial"/>
          <w:sz w:val="20"/>
          <w:szCs w:val="20"/>
        </w:rPr>
      </w:pPr>
    </w:p>
    <w:p w14:paraId="65484EDF" w14:textId="77777777" w:rsidR="0019652E" w:rsidRDefault="0019652E" w:rsidP="00400998">
      <w:pPr>
        <w:shd w:val="clear" w:color="auto" w:fill="FFFFFF"/>
        <w:spacing w:after="0"/>
        <w:rPr>
          <w:rFonts w:ascii="Arial" w:eastAsia="Times New Roman" w:hAnsi="Arial" w:cs="Arial"/>
          <w:sz w:val="20"/>
          <w:szCs w:val="20"/>
        </w:rPr>
      </w:pPr>
    </w:p>
    <w:p w14:paraId="2206AF9C" w14:textId="77777777" w:rsidR="00A25FE2" w:rsidRDefault="0019652E" w:rsidP="00A25FE2">
      <w:pPr>
        <w:keepNext/>
        <w:shd w:val="clear" w:color="auto" w:fill="FFFFFF"/>
        <w:spacing w:after="0"/>
        <w:jc w:val="center"/>
      </w:pPr>
      <w:r w:rsidRPr="0019652E">
        <w:rPr>
          <w:rFonts w:ascii="Arial" w:eastAsia="Times New Roman" w:hAnsi="Arial" w:cs="Arial"/>
          <w:noProof/>
          <w:sz w:val="20"/>
          <w:szCs w:val="20"/>
        </w:rPr>
        <w:drawing>
          <wp:inline distT="0" distB="0" distL="0" distR="0" wp14:anchorId="1552A2F7" wp14:editId="1E429328">
            <wp:extent cx="3638206" cy="3817620"/>
            <wp:effectExtent l="0" t="0" r="635" b="0"/>
            <wp:docPr id="29" name="Image 3">
              <a:extLst xmlns:a="http://schemas.openxmlformats.org/drawingml/2006/main">
                <a:ext uri="{FF2B5EF4-FFF2-40B4-BE49-F238E27FC236}">
                  <a16:creationId xmlns:a16="http://schemas.microsoft.com/office/drawing/2014/main" id="{C6739803-F41E-4F92-B4BD-2202C46947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3">
                      <a:extLst>
                        <a:ext uri="{FF2B5EF4-FFF2-40B4-BE49-F238E27FC236}">
                          <a16:creationId xmlns:a16="http://schemas.microsoft.com/office/drawing/2014/main" id="{C6739803-F41E-4F92-B4BD-2202C46947F4}"/>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866" t="2402" r="9834" b="17701"/>
                    <a:stretch/>
                  </pic:blipFill>
                  <pic:spPr bwMode="auto">
                    <a:xfrm>
                      <a:off x="0" y="0"/>
                      <a:ext cx="3670234" cy="3851227"/>
                    </a:xfrm>
                    <a:prstGeom prst="rect">
                      <a:avLst/>
                    </a:prstGeom>
                    <a:noFill/>
                    <a:ln>
                      <a:noFill/>
                    </a:ln>
                    <a:extLst>
                      <a:ext uri="{53640926-AAD7-44D8-BBD7-CCE9431645EC}">
                        <a14:shadowObscured xmlns:a14="http://schemas.microsoft.com/office/drawing/2010/main"/>
                      </a:ext>
                    </a:extLst>
                  </pic:spPr>
                </pic:pic>
              </a:graphicData>
            </a:graphic>
          </wp:inline>
        </w:drawing>
      </w:r>
    </w:p>
    <w:p w14:paraId="758BAB0A" w14:textId="77777777" w:rsidR="0019652E" w:rsidRDefault="00A25FE2" w:rsidP="00A25FE2">
      <w:pPr>
        <w:pStyle w:val="Caption"/>
        <w:jc w:val="center"/>
        <w:rPr>
          <w:rFonts w:ascii="Arial" w:eastAsia="Times New Roman" w:hAnsi="Arial" w:cs="Arial"/>
          <w:sz w:val="20"/>
          <w:szCs w:val="20"/>
        </w:rPr>
      </w:pPr>
      <w:r>
        <w:t xml:space="preserve">Figure </w:t>
      </w:r>
      <w:fldSimple w:instr=" SEQ Figure \* ARABIC ">
        <w:r>
          <w:rPr>
            <w:noProof/>
          </w:rPr>
          <w:t>1</w:t>
        </w:r>
      </w:fldSimple>
      <w:r>
        <w:t>: C</w:t>
      </w:r>
      <w:r w:rsidRPr="00F90792">
        <w:t xml:space="preserve">hest X ray </w:t>
      </w:r>
      <w:r w:rsidR="007B4BFA">
        <w:t xml:space="preserve">showing </w:t>
      </w:r>
      <w:r w:rsidR="007B4BFA" w:rsidRPr="00F90792">
        <w:t>bilateral</w:t>
      </w:r>
      <w:r w:rsidRPr="00F90792">
        <w:t xml:space="preserve"> pleural effusion</w:t>
      </w:r>
    </w:p>
    <w:p w14:paraId="0A2DA7C1" w14:textId="77777777" w:rsidR="0019652E" w:rsidRDefault="0019652E" w:rsidP="00400998">
      <w:pPr>
        <w:shd w:val="clear" w:color="auto" w:fill="FFFFFF"/>
        <w:spacing w:after="0"/>
        <w:rPr>
          <w:rFonts w:ascii="Arial" w:eastAsia="Times New Roman" w:hAnsi="Arial" w:cs="Arial"/>
          <w:sz w:val="20"/>
          <w:szCs w:val="20"/>
        </w:rPr>
      </w:pPr>
    </w:p>
    <w:p w14:paraId="14895A2D" w14:textId="77777777" w:rsidR="00A25FE2" w:rsidRDefault="00400998" w:rsidP="00173F7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 xml:space="preserve">Blood tests showed </w:t>
      </w:r>
      <w:r w:rsidR="00173F78">
        <w:rPr>
          <w:rFonts w:ascii="Arial" w:eastAsia="Times New Roman" w:hAnsi="Arial" w:cs="Arial"/>
          <w:sz w:val="20"/>
          <w:szCs w:val="20"/>
        </w:rPr>
        <w:t>n</w:t>
      </w:r>
      <w:r w:rsidR="00173F78" w:rsidRPr="00173F78">
        <w:rPr>
          <w:rFonts w:ascii="Arial" w:eastAsia="Times New Roman" w:hAnsi="Arial" w:cs="Arial"/>
          <w:sz w:val="20"/>
          <w:szCs w:val="20"/>
        </w:rPr>
        <w:t>ormal inflammatory markers and no evidence of active infection</w:t>
      </w:r>
      <w:r w:rsidRPr="00400998">
        <w:rPr>
          <w:rFonts w:ascii="Arial" w:eastAsia="Times New Roman" w:hAnsi="Arial" w:cs="Arial"/>
          <w:sz w:val="20"/>
          <w:szCs w:val="20"/>
        </w:rPr>
        <w:t>. Pleural fluid analysis confirmed a transudate, and microbiologic workup, including GeneXpert MTB/RIF and Ziehl-Neelsen staining, was negative on both sputum and pleural fluid.</w:t>
      </w:r>
    </w:p>
    <w:p w14:paraId="745539A0" w14:textId="77777777" w:rsidR="00400998" w:rsidRP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Thoracic CT scan, bronchoscopy, and pleural biopsy yielded no conclusive diagnosis. Despite symptomatic treatment, the patient's dyspnea persisted. A cardiology referral was made for further evaluation.</w:t>
      </w:r>
    </w:p>
    <w:p w14:paraId="0490A1B2" w14:textId="77777777" w:rsidR="00400998" w:rsidRDefault="00400998" w:rsidP="00400998">
      <w:pPr>
        <w:shd w:val="clear" w:color="auto" w:fill="FFFFFF"/>
        <w:spacing w:after="0"/>
        <w:rPr>
          <w:rFonts w:ascii="Arial" w:eastAsia="Times New Roman" w:hAnsi="Arial" w:cs="Arial"/>
          <w:sz w:val="20"/>
          <w:szCs w:val="20"/>
        </w:rPr>
      </w:pPr>
    </w:p>
    <w:p w14:paraId="3B97D2CD" w14:textId="77777777" w:rsidR="00400998" w:rsidRP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Transthoracic echocardiography (TTE) demonstrated multiple features consistent with chronic constrictive pericarditis</w:t>
      </w:r>
      <w:r w:rsidR="00BD0E82">
        <w:rPr>
          <w:rFonts w:ascii="Arial" w:eastAsia="Times New Roman" w:hAnsi="Arial" w:cs="Arial"/>
          <w:sz w:val="20"/>
          <w:szCs w:val="20"/>
        </w:rPr>
        <w:t xml:space="preserve"> (Figure </w:t>
      </w:r>
      <w:r w:rsidR="00173F78">
        <w:rPr>
          <w:rFonts w:ascii="Arial" w:eastAsia="Times New Roman" w:hAnsi="Arial" w:cs="Arial"/>
          <w:sz w:val="20"/>
          <w:szCs w:val="20"/>
        </w:rPr>
        <w:t>2:</w:t>
      </w:r>
      <w:r w:rsidR="00BD0E82">
        <w:rPr>
          <w:rFonts w:ascii="Arial" w:eastAsia="Times New Roman" w:hAnsi="Arial" w:cs="Arial"/>
          <w:sz w:val="20"/>
          <w:szCs w:val="20"/>
        </w:rPr>
        <w:t xml:space="preserve"> </w:t>
      </w:r>
      <w:r w:rsidR="00173F78">
        <w:rPr>
          <w:rFonts w:ascii="Arial" w:eastAsia="Times New Roman" w:hAnsi="Arial" w:cs="Arial"/>
          <w:sz w:val="20"/>
          <w:szCs w:val="20"/>
        </w:rPr>
        <w:t>A, B</w:t>
      </w:r>
      <w:r w:rsidR="00BD0E82">
        <w:rPr>
          <w:rFonts w:ascii="Arial" w:eastAsia="Times New Roman" w:hAnsi="Arial" w:cs="Arial"/>
          <w:sz w:val="20"/>
          <w:szCs w:val="20"/>
        </w:rPr>
        <w:t>)</w:t>
      </w:r>
      <w:r w:rsidRPr="00400998">
        <w:rPr>
          <w:rFonts w:ascii="Arial" w:eastAsia="Times New Roman" w:hAnsi="Arial" w:cs="Arial"/>
          <w:sz w:val="20"/>
          <w:szCs w:val="20"/>
        </w:rPr>
        <w:t>:</w:t>
      </w:r>
    </w:p>
    <w:p w14:paraId="4A7ED199"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Pericardial thickening,</w:t>
      </w:r>
    </w:p>
    <w:p w14:paraId="7E3BAD39"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Respiratory variation in mitral and tricuspid inflow velocities (&gt;25%),</w:t>
      </w:r>
    </w:p>
    <w:p w14:paraId="52717152"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Septal bounce,</w:t>
      </w:r>
    </w:p>
    <w:p w14:paraId="65153C51"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Preserved medial mitral annular e′ velocity,</w:t>
      </w:r>
    </w:p>
    <w:p w14:paraId="7AB7CDFB"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Expiratory diastolic flow reversal in hepatic veins.</w:t>
      </w:r>
    </w:p>
    <w:p w14:paraId="78661F39" w14:textId="77777777" w:rsidR="00400998" w:rsidRDefault="00400998" w:rsidP="00400998">
      <w:pPr>
        <w:shd w:val="clear" w:color="auto" w:fill="FFFFFF"/>
        <w:spacing w:after="0"/>
        <w:rPr>
          <w:rFonts w:ascii="Arial" w:eastAsia="Times New Roman" w:hAnsi="Arial" w:cs="Arial"/>
          <w:sz w:val="20"/>
          <w:szCs w:val="20"/>
        </w:rPr>
      </w:pPr>
    </w:p>
    <w:p w14:paraId="00C8D675" w14:textId="77777777" w:rsidR="00A25FE2" w:rsidRDefault="00616813" w:rsidP="00A25FE2">
      <w:pPr>
        <w:keepNext/>
        <w:shd w:val="clear" w:color="auto" w:fill="FFFFFF"/>
        <w:spacing w:after="0"/>
      </w:pPr>
      <w:r w:rsidRPr="00A25FE2">
        <w:rPr>
          <w:rFonts w:ascii="Arial" w:eastAsia="Times New Roman" w:hAnsi="Arial" w:cs="Arial"/>
          <w:noProof/>
          <w:sz w:val="20"/>
          <w:szCs w:val="20"/>
        </w:rPr>
        <w:lastRenderedPageBreak/>
        <mc:AlternateContent>
          <mc:Choice Requires="wps">
            <w:drawing>
              <wp:anchor distT="45720" distB="45720" distL="114300" distR="114300" simplePos="0" relativeHeight="251669504" behindDoc="0" locked="0" layoutInCell="1" allowOverlap="1" wp14:anchorId="7B142C8F" wp14:editId="4FFE71A5">
                <wp:simplePos x="0" y="0"/>
                <wp:positionH relativeFrom="column">
                  <wp:posOffset>3169285</wp:posOffset>
                </wp:positionH>
                <wp:positionV relativeFrom="paragraph">
                  <wp:posOffset>106045</wp:posOffset>
                </wp:positionV>
                <wp:extent cx="320040" cy="335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14:paraId="6CEAA4F8" w14:textId="77777777" w:rsidR="00A25FE2" w:rsidRPr="00A25FE2" w:rsidRDefault="00A25FE2" w:rsidP="00A25FE2">
                            <w:pPr>
                              <w:rPr>
                                <w:rFonts w:asciiTheme="minorBidi" w:hAnsiTheme="minorBidi"/>
                                <w:b/>
                                <w:bCs/>
                                <w:color w:val="FF0000"/>
                                <w:sz w:val="32"/>
                                <w:szCs w:val="32"/>
                              </w:rPr>
                            </w:pPr>
                            <w:r>
                              <w:rPr>
                                <w:rFonts w:asciiTheme="minorBidi" w:hAnsiTheme="minorBidi"/>
                                <w:b/>
                                <w:bCs/>
                                <w:color w:val="FF0000"/>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42C8F" id="_x0000_t202" coordsize="21600,21600" o:spt="202" path="m,l,21600r21600,l21600,xe">
                <v:stroke joinstyle="miter"/>
                <v:path gradientshapeok="t" o:connecttype="rect"/>
              </v:shapetype>
              <v:shape id="Text Box 2" o:spid="_x0000_s1026" type="#_x0000_t202" style="position:absolute;margin-left:249.55pt;margin-top:8.35pt;width:25.2pt;height:26.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" filled="f" stroked="f">
                <v:textbox>
                  <w:txbxContent>
                    <w:p w14:paraId="6CEAA4F8" w14:textId="77777777" w:rsidR="00A25FE2" w:rsidRPr="00A25FE2" w:rsidRDefault="00A25FE2" w:rsidP="00A25FE2">
                      <w:pPr>
                        <w:rPr>
                          <w:rFonts w:asciiTheme="minorBidi" w:hAnsiTheme="minorBidi"/>
                          <w:b/>
                          <w:bCs/>
                          <w:color w:val="FF0000"/>
                          <w:sz w:val="32"/>
                          <w:szCs w:val="32"/>
                        </w:rPr>
                      </w:pPr>
                      <w:r>
                        <w:rPr>
                          <w:rFonts w:asciiTheme="minorBidi" w:hAnsiTheme="minorBidi"/>
                          <w:b/>
                          <w:bCs/>
                          <w:color w:val="FF0000"/>
                          <w:sz w:val="32"/>
                          <w:szCs w:val="32"/>
                        </w:rPr>
                        <w:t>B</w:t>
                      </w:r>
                    </w:p>
                  </w:txbxContent>
                </v:textbox>
              </v:shape>
            </w:pict>
          </mc:Fallback>
        </mc:AlternateContent>
      </w:r>
      <w:r w:rsidRPr="00A25FE2">
        <w:rPr>
          <w:rFonts w:ascii="Arial" w:eastAsia="Times New Roman" w:hAnsi="Arial" w:cs="Arial"/>
          <w:noProof/>
          <w:sz w:val="20"/>
          <w:szCs w:val="20"/>
        </w:rPr>
        <mc:AlternateContent>
          <mc:Choice Requires="wps">
            <w:drawing>
              <wp:anchor distT="45720" distB="45720" distL="114300" distR="114300" simplePos="0" relativeHeight="251667456" behindDoc="0" locked="0" layoutInCell="1" allowOverlap="1" wp14:anchorId="6F5A9EFB" wp14:editId="0291ED70">
                <wp:simplePos x="0" y="0"/>
                <wp:positionH relativeFrom="column">
                  <wp:posOffset>113665</wp:posOffset>
                </wp:positionH>
                <wp:positionV relativeFrom="paragraph">
                  <wp:posOffset>83185</wp:posOffset>
                </wp:positionV>
                <wp:extent cx="320040" cy="335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14:paraId="098E9EC7" w14:textId="77777777" w:rsidR="00A25FE2" w:rsidRPr="00A25FE2" w:rsidRDefault="00A25FE2" w:rsidP="00A25FE2">
                            <w:pPr>
                              <w:rPr>
                                <w:rFonts w:asciiTheme="minorBidi" w:hAnsiTheme="minorBidi"/>
                                <w:b/>
                                <w:bCs/>
                                <w:color w:val="FF0000"/>
                                <w:sz w:val="32"/>
                                <w:szCs w:val="32"/>
                              </w:rPr>
                            </w:pPr>
                            <w:r w:rsidRPr="00A25FE2">
                              <w:rPr>
                                <w:rFonts w:asciiTheme="minorBidi" w:hAnsiTheme="minorBidi"/>
                                <w:b/>
                                <w:bCs/>
                                <w:color w:val="FF0000"/>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9EFB" id="_x0000_s1027" type="#_x0000_t202" style="position:absolute;margin-left:8.95pt;margin-top:6.55pt;width:25.2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" filled="f" stroked="f">
                <v:textbox>
                  <w:txbxContent>
                    <w:p w14:paraId="098E9EC7" w14:textId="77777777" w:rsidR="00A25FE2" w:rsidRPr="00A25FE2" w:rsidRDefault="00A25FE2" w:rsidP="00A25FE2">
                      <w:pPr>
                        <w:rPr>
                          <w:rFonts w:asciiTheme="minorBidi" w:hAnsiTheme="minorBidi"/>
                          <w:b/>
                          <w:bCs/>
                          <w:color w:val="FF0000"/>
                          <w:sz w:val="32"/>
                          <w:szCs w:val="32"/>
                        </w:rPr>
                      </w:pPr>
                      <w:r w:rsidRPr="00A25FE2">
                        <w:rPr>
                          <w:rFonts w:asciiTheme="minorBidi" w:hAnsiTheme="minorBidi"/>
                          <w:b/>
                          <w:bCs/>
                          <w:color w:val="FF0000"/>
                          <w:sz w:val="32"/>
                          <w:szCs w:val="32"/>
                        </w:rPr>
                        <w:t>A</w:t>
                      </w:r>
                    </w:p>
                  </w:txbxContent>
                </v:textbox>
              </v:shape>
            </w:pict>
          </mc:Fallback>
        </mc:AlternateContent>
      </w:r>
      <w:r w:rsidRPr="0019652E">
        <w:rPr>
          <w:rFonts w:ascii="Arial" w:eastAsia="Times New Roman" w:hAnsi="Arial" w:cs="Arial"/>
          <w:noProof/>
          <w:sz w:val="20"/>
          <w:szCs w:val="20"/>
        </w:rPr>
        <w:drawing>
          <wp:inline distT="0" distB="0" distL="0" distR="0" wp14:anchorId="334E84AE" wp14:editId="6644DA62">
            <wp:extent cx="2857500" cy="2921635"/>
            <wp:effectExtent l="0" t="0" r="0" b="0"/>
            <wp:docPr id="9" name="Picture 8">
              <a:extLst xmlns:a="http://schemas.openxmlformats.org/drawingml/2006/main">
                <a:ext uri="{FF2B5EF4-FFF2-40B4-BE49-F238E27FC236}">
                  <a16:creationId xmlns:a16="http://schemas.microsoft.com/office/drawing/2014/main" id="{754B6A1A-D3FB-4D1C-8414-32EDE3D19B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54B6A1A-D3FB-4D1C-8414-32EDE3D19B0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7812" cy="2932178"/>
                    </a:xfrm>
                    <a:prstGeom prst="rect">
                      <a:avLst/>
                    </a:prstGeom>
                  </pic:spPr>
                </pic:pic>
              </a:graphicData>
            </a:graphic>
          </wp:inline>
        </w:drawing>
      </w:r>
      <w:r w:rsidR="00A25FE2">
        <w:rPr>
          <w:rFonts w:ascii="Arial" w:eastAsia="Times New Roman" w:hAnsi="Arial" w:cs="Arial"/>
          <w:noProof/>
          <w:sz w:val="20"/>
          <w:szCs w:val="20"/>
        </w:rPr>
        <w:t xml:space="preserve">      </w:t>
      </w:r>
      <w:r w:rsidR="00A25FE2" w:rsidRPr="0019652E">
        <w:rPr>
          <w:rFonts w:ascii="Arial" w:eastAsia="Times New Roman" w:hAnsi="Arial" w:cs="Arial"/>
          <w:noProof/>
          <w:sz w:val="20"/>
          <w:szCs w:val="20"/>
        </w:rPr>
        <w:drawing>
          <wp:inline distT="0" distB="0" distL="0" distR="0" wp14:anchorId="7A7AC3E7" wp14:editId="52BA811C">
            <wp:extent cx="2887980" cy="2905361"/>
            <wp:effectExtent l="0" t="0" r="7620" b="9525"/>
            <wp:docPr id="30" name="Picture 29">
              <a:extLst xmlns:a="http://schemas.openxmlformats.org/drawingml/2006/main">
                <a:ext uri="{FF2B5EF4-FFF2-40B4-BE49-F238E27FC236}">
                  <a16:creationId xmlns:a16="http://schemas.microsoft.com/office/drawing/2014/main" id="{2AFFEB97-6403-466B-8CDE-BD699B8F1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2AFFEB97-6403-466B-8CDE-BD699B8F14E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84897" cy="3002861"/>
                    </a:xfrm>
                    <a:prstGeom prst="rect">
                      <a:avLst/>
                    </a:prstGeom>
                  </pic:spPr>
                </pic:pic>
              </a:graphicData>
            </a:graphic>
          </wp:inline>
        </w:drawing>
      </w:r>
    </w:p>
    <w:p w14:paraId="33D7E6A6" w14:textId="77777777" w:rsidR="0019652E" w:rsidRPr="007B4BFA" w:rsidRDefault="00A25FE2" w:rsidP="007B4BFA">
      <w:pPr>
        <w:pStyle w:val="Caption"/>
        <w:rPr>
          <w:noProof/>
        </w:rPr>
      </w:pPr>
      <w:r>
        <w:t xml:space="preserve">Figure </w:t>
      </w:r>
      <w:fldSimple w:instr=" SEQ Figure \* ARABIC ">
        <w:r>
          <w:rPr>
            <w:noProof/>
          </w:rPr>
          <w:t>2</w:t>
        </w:r>
      </w:fldSimple>
      <w:r w:rsidRPr="007063FF">
        <w:t xml:space="preserve">: </w:t>
      </w:r>
      <w:r w:rsidR="00EC4D1C">
        <w:t>TTE images: (A) Hepatic vein expiratory diastolic flow reversal; (B) Preserved medial mitral annular e′ velocity.</w:t>
      </w:r>
    </w:p>
    <w:p w14:paraId="7CB84538" w14:textId="77777777" w:rsidR="00400998" w:rsidRP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Cardiac MRI confirmed the echocardiographic findings, showing a thickened pericardium with constrictive physiology and no myocardial infiltration or fibrosis.</w:t>
      </w:r>
    </w:p>
    <w:p w14:paraId="444475A9" w14:textId="77777777" w:rsidR="00400998" w:rsidRDefault="00400998" w:rsidP="00400998">
      <w:pPr>
        <w:shd w:val="clear" w:color="auto" w:fill="FFFFFF"/>
        <w:spacing w:after="0"/>
        <w:rPr>
          <w:rFonts w:ascii="Arial" w:eastAsia="Times New Roman" w:hAnsi="Arial" w:cs="Arial"/>
          <w:sz w:val="20"/>
          <w:szCs w:val="20"/>
        </w:rPr>
      </w:pPr>
    </w:p>
    <w:p w14:paraId="11629D74" w14:textId="77777777" w:rsidR="00400998" w:rsidRPr="00400998" w:rsidRDefault="00400998" w:rsidP="00C90B82">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 xml:space="preserve">The patient was started on anti-tuberculosis therapy along with corticosteroids, </w:t>
      </w:r>
      <w:r w:rsidR="00C90B82" w:rsidRPr="00C90B82">
        <w:rPr>
          <w:rFonts w:ascii="Arial" w:eastAsia="Times New Roman" w:hAnsi="Arial" w:cs="Arial"/>
          <w:sz w:val="20"/>
          <w:szCs w:val="20"/>
        </w:rPr>
        <w:t>resulting in significant clinical improvement</w:t>
      </w:r>
      <w:r w:rsidRPr="00400998">
        <w:rPr>
          <w:rFonts w:ascii="Arial" w:eastAsia="Times New Roman" w:hAnsi="Arial" w:cs="Arial"/>
          <w:sz w:val="20"/>
          <w:szCs w:val="20"/>
        </w:rPr>
        <w:t xml:space="preserve">. He was referred </w:t>
      </w:r>
      <w:r w:rsidR="00F62AC3">
        <w:rPr>
          <w:rFonts w:ascii="Arial" w:eastAsia="Times New Roman" w:hAnsi="Arial" w:cs="Arial"/>
          <w:sz w:val="20"/>
          <w:szCs w:val="20"/>
        </w:rPr>
        <w:t xml:space="preserve">then </w:t>
      </w:r>
      <w:r w:rsidRPr="00400998">
        <w:rPr>
          <w:rFonts w:ascii="Arial" w:eastAsia="Times New Roman" w:hAnsi="Arial" w:cs="Arial"/>
          <w:sz w:val="20"/>
          <w:szCs w:val="20"/>
        </w:rPr>
        <w:t>for elective pericardiectomy.</w:t>
      </w:r>
    </w:p>
    <w:p w14:paraId="0F3F2271" w14:textId="77777777" w:rsidR="00400998" w:rsidRDefault="00400998" w:rsidP="00C85F47">
      <w:pPr>
        <w:pStyle w:val="ListParagraph"/>
        <w:numPr>
          <w:ilvl w:val="0"/>
          <w:numId w:val="6"/>
        </w:numPr>
        <w:shd w:val="clear" w:color="auto" w:fill="FFFFFF"/>
        <w:spacing w:before="274" w:after="206" w:line="360" w:lineRule="auto"/>
        <w:ind w:left="180"/>
        <w:outlineLvl w:val="1"/>
        <w:rPr>
          <w:rFonts w:ascii="Arial" w:eastAsia="Times New Roman" w:hAnsi="Arial" w:cs="Arial"/>
          <w:b/>
          <w:caps/>
          <w:szCs w:val="20"/>
        </w:rPr>
      </w:pPr>
      <w:commentRangeStart w:id="1"/>
      <w:r w:rsidRPr="00400998">
        <w:rPr>
          <w:rFonts w:ascii="Arial" w:eastAsia="Times New Roman" w:hAnsi="Arial" w:cs="Arial"/>
          <w:b/>
          <w:caps/>
          <w:szCs w:val="20"/>
        </w:rPr>
        <w:t>Discussion</w:t>
      </w:r>
      <w:commentRangeEnd w:id="1"/>
      <w:r w:rsidR="000B01DC">
        <w:rPr>
          <w:rStyle w:val="CommentReference"/>
        </w:rPr>
        <w:commentReference w:id="1"/>
      </w:r>
    </w:p>
    <w:p w14:paraId="0418FE7B" w14:textId="77777777" w:rsidR="00C85F47" w:rsidRPr="00C85F47"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Constrictive pericarditis (CP) is an uncommon but potentially reversible cause of heart failure. It is characterized by a restrictive, inelastic pericardium that limits cardiac filling, resulting in signs and symptoms of right heart failure such as dyspnea on exertion, increased venous pressure, and peripheral edema</w:t>
      </w:r>
      <w:r w:rsidR="00FE0F55">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{"citationID":"A2W7d2nE","properties":{"formattedCitation":"[1,2]","plainCitation":"[1,2]","noteIndex":0},"citationItems":[{"id":724,"uris":["http://zotero.org/users/17374735/items/26VIZAVK"],"itemData":{"id":724,"type":"article-journal","abstract":"We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00FE0F55">
        <w:rPr>
          <w:rFonts w:ascii="Arial" w:eastAsia="Times New Roman" w:hAnsi="Arial" w:cs="Arial"/>
          <w:sz w:val="20"/>
          <w:szCs w:val="20"/>
        </w:rPr>
        <w:fldChar w:fldCharType="separate"/>
      </w:r>
      <w:r w:rsidR="00EA1610" w:rsidRPr="00EA1610">
        <w:rPr>
          <w:rFonts w:ascii="Arial" w:hAnsi="Arial" w:cs="Arial"/>
          <w:sz w:val="20"/>
        </w:rPr>
        <w:t>[1,2]</w:t>
      </w:r>
      <w:r w:rsidR="00FE0F55">
        <w:rPr>
          <w:rFonts w:ascii="Arial" w:eastAsia="Times New Roman" w:hAnsi="Arial" w:cs="Arial"/>
          <w:sz w:val="20"/>
          <w:szCs w:val="20"/>
        </w:rPr>
        <w:fldChar w:fldCharType="end"/>
      </w:r>
      <w:r w:rsidRPr="00C85F47">
        <w:rPr>
          <w:rFonts w:ascii="Arial" w:eastAsia="Times New Roman" w:hAnsi="Arial" w:cs="Arial"/>
          <w:sz w:val="20"/>
          <w:szCs w:val="20"/>
        </w:rPr>
        <w:t xml:space="preserve">. Diagnosing CP remains challenging due to its nonspecific symptoms and similarities with other conditions like restrictive cardiomyopathy, pulmonary hypertension, and cirrhosis </w:t>
      </w:r>
      <w:r w:rsidR="00AA1330">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iInKxbuw","properties":{"formattedCitation":"[2]","plainCitation":"[2]","noteIndex":0},"citationItems":[{"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L."}],"issued":{"date-parts":[["2006",3,28]]}}}],"schema":"https://github.com/citation-style-language/schema/raw/master/csl-citation.json"} </w:instrText>
      </w:r>
      <w:r w:rsidR="00AA1330">
        <w:rPr>
          <w:rFonts w:ascii="Arial" w:eastAsia="Times New Roman" w:hAnsi="Arial" w:cs="Arial"/>
          <w:sz w:val="20"/>
          <w:szCs w:val="20"/>
        </w:rPr>
        <w:fldChar w:fldCharType="separate"/>
      </w:r>
      <w:r w:rsidR="00EA1610" w:rsidRPr="00EA1610">
        <w:rPr>
          <w:rFonts w:ascii="Arial" w:hAnsi="Arial" w:cs="Arial"/>
          <w:sz w:val="20"/>
        </w:rPr>
        <w:t>[2]</w:t>
      </w:r>
      <w:r w:rsidR="00AA1330">
        <w:rPr>
          <w:rFonts w:ascii="Arial" w:eastAsia="Times New Roman" w:hAnsi="Arial" w:cs="Arial"/>
          <w:sz w:val="20"/>
          <w:szCs w:val="20"/>
        </w:rPr>
        <w:fldChar w:fldCharType="end"/>
      </w:r>
      <w:r w:rsidRPr="00C85F47">
        <w:rPr>
          <w:rFonts w:ascii="Arial" w:eastAsia="Times New Roman" w:hAnsi="Arial" w:cs="Arial"/>
          <w:sz w:val="20"/>
          <w:szCs w:val="20"/>
        </w:rPr>
        <w:t>.</w:t>
      </w:r>
    </w:p>
    <w:p w14:paraId="4DE7555A"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3EC23F07"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85F47">
        <w:rPr>
          <w:rFonts w:ascii="Arial" w:eastAsia="Times New Roman" w:hAnsi="Arial" w:cs="Arial"/>
          <w:b/>
          <w:bCs/>
          <w:sz w:val="20"/>
          <w:szCs w:val="20"/>
        </w:rPr>
        <w:t>Etiology and Atypical Presentation</w:t>
      </w:r>
    </w:p>
    <w:p w14:paraId="3CF8C782" w14:textId="77777777" w:rsidR="00C85F47" w:rsidRPr="00C85F47" w:rsidRDefault="00C85F47" w:rsidP="00F62AC3">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In TB-endemic regions, tuberculosis remains a leading cause of CP, whereas idiopathic, post-surgical, and radiation-induced causes predominate in developed countries</w:t>
      </w:r>
      <w:r w:rsidR="00FE0F55">
        <w:rPr>
          <w:rFonts w:ascii="Arial" w:eastAsia="Times New Roman" w:hAnsi="Arial" w:cs="Arial"/>
          <w:sz w:val="20"/>
          <w:szCs w:val="20"/>
        </w:rPr>
        <w:t xml:space="preserve"> </w:t>
      </w:r>
      <w:r w:rsidR="00FE0F55">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{"citationID":"UOvB31Hk","properties":{"formattedCitation":"[3]","plainCitation":"[3]","noteIndex":0},"citationItems":[{"id":752,"uris":["http://zotero.org/users/17374735/items/MVT6986T"],"itemData":{"id":752,"type":"article-journal","abstract":"Background—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00FE0F55">
        <w:rPr>
          <w:rFonts w:ascii="Arial" w:eastAsia="Times New Roman" w:hAnsi="Arial" w:cs="Arial"/>
          <w:sz w:val="20"/>
          <w:szCs w:val="20"/>
        </w:rPr>
        <w:fldChar w:fldCharType="separate"/>
      </w:r>
      <w:r w:rsidR="00EA1610" w:rsidRPr="00EA1610">
        <w:rPr>
          <w:rFonts w:ascii="Arial" w:hAnsi="Arial" w:cs="Arial"/>
          <w:sz w:val="20"/>
        </w:rPr>
        <w:t>[3]</w:t>
      </w:r>
      <w:r w:rsidR="00FE0F55">
        <w:rPr>
          <w:rFonts w:ascii="Arial" w:eastAsia="Times New Roman" w:hAnsi="Arial" w:cs="Arial"/>
          <w:sz w:val="20"/>
          <w:szCs w:val="20"/>
        </w:rPr>
        <w:fldChar w:fldCharType="end"/>
      </w:r>
      <w:r w:rsidRPr="00C85F47">
        <w:rPr>
          <w:rFonts w:ascii="Arial" w:eastAsia="Times New Roman" w:hAnsi="Arial" w:cs="Arial"/>
          <w:sz w:val="20"/>
          <w:szCs w:val="20"/>
        </w:rPr>
        <w:t xml:space="preserve">. Our patient presented atypically, with chronic bilateral pleural effusion as the main manifestation. While pleural effusions in CP are classically exudative, transudative effusions may occur as a result of elevated right atrial pressure impairing lymphatic drainage </w:t>
      </w:r>
      <w:r w:rsidR="001E0588">
        <w:rPr>
          <w:rFonts w:ascii="Arial" w:eastAsia="Times New Roman" w:hAnsi="Arial" w:cs="Arial"/>
          <w:sz w:val="20"/>
          <w:szCs w:val="20"/>
        </w:rPr>
        <w:fldChar w:fldCharType="begin"/>
      </w:r>
      <w:r w:rsidR="00F62AC3">
        <w:rPr>
          <w:rFonts w:ascii="Arial" w:eastAsia="Times New Roman" w:hAnsi="Arial" w:cs="Arial"/>
          <w:sz w:val="20"/>
          <w:szCs w:val="20"/>
        </w:rPr>
        <w:instrText xml:space="preserve"> ADDIN ZOTERO_ITEM CSL_CITATION {"citationID":"9rnYWiqw","properties":{"formattedCitation":"[4]","plainCitation":"[4]","noteIndex":0},"citationItems":[{"id":762,"uris":["http://zotero.org/users/17374735/items/J59F4NV9"],"itemData":{"id":762,"type":"webpage","abstract":"Your access to the latest cardiovascular news, science, tools and resources.","title":"Constrictive pericarditis – prevalence, causes and clinical presentation","URL":"https://www.escardio.org/Journals/E-Journal-of-Cardiology-Practice/Volume-15/Constrictive-pericarditis-prevalence-causes-and-clinical-presentation?utm_source=chatgpt.com","author":[{"family":"Kyriakakis'","given":"'Charles"},{"family":"Herbst '","given":"'Philip"},{"family":"Doubell'","given":"'Anton"}],"accessed":{"date-parts":[["2025",6,13]]}}}],"schema":"https://github.com/citation-style-language/schema/raw/master/csl-citation.json"} </w:instrText>
      </w:r>
      <w:r w:rsidR="001E0588">
        <w:rPr>
          <w:rFonts w:ascii="Arial" w:eastAsia="Times New Roman" w:hAnsi="Arial" w:cs="Arial"/>
          <w:sz w:val="20"/>
          <w:szCs w:val="20"/>
        </w:rPr>
        <w:fldChar w:fldCharType="separate"/>
      </w:r>
      <w:r w:rsidR="00F62AC3" w:rsidRPr="00F62AC3">
        <w:rPr>
          <w:rFonts w:ascii="Arial" w:hAnsi="Arial" w:cs="Arial"/>
          <w:sz w:val="20"/>
        </w:rPr>
        <w:t>[4]</w:t>
      </w:r>
      <w:r w:rsidR="001E0588">
        <w:rPr>
          <w:rFonts w:ascii="Arial" w:eastAsia="Times New Roman" w:hAnsi="Arial" w:cs="Arial"/>
          <w:sz w:val="20"/>
          <w:szCs w:val="20"/>
        </w:rPr>
        <w:fldChar w:fldCharType="end"/>
      </w:r>
      <w:r w:rsidRPr="00C85F47">
        <w:rPr>
          <w:rFonts w:ascii="Arial" w:eastAsia="Times New Roman" w:hAnsi="Arial" w:cs="Arial"/>
          <w:sz w:val="20"/>
          <w:szCs w:val="20"/>
        </w:rPr>
        <w:t>. This underscores the need for cardiac evaluation in cases of recurrent, unexplained, or bilateral pleural effusion.</w:t>
      </w:r>
      <w:r w:rsidRPr="00C85F47">
        <w:rPr>
          <w:rFonts w:ascii="Arial" w:eastAsia="Times New Roman" w:hAnsi="Arial" w:cs="Arial"/>
          <w:sz w:val="20"/>
          <w:szCs w:val="20"/>
        </w:rPr>
        <w:br/>
        <w:t>The atypical nature of our patient’s presentation, with isolated bilateral pleural effusion and no overt signs of pericardial disease, contributed to a diagnostic delay of nearly one year. Multiple pulmonary investigations were performed, including pulmonary CT, pleural biopsy, and bronchoscopy, all of which were inconclusive. The pleural fluid was transudative, inflammatory markers were negative, and microbiologic analysis for tuberculosis in both sputum and pleural fluid was negative. This highlights the diagnostic challenge posed by subacute or silent constrictive pericarditis, and the need to consider it in the differential diagnosis of chronic pleural effusion of unknown cause, especially in TB-endemic areas.</w:t>
      </w:r>
    </w:p>
    <w:p w14:paraId="2F0AA982"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4715AD8D" w14:textId="77777777" w:rsidR="007B4BFA" w:rsidRDefault="007B4BFA" w:rsidP="00C85F47">
      <w:pPr>
        <w:pStyle w:val="ListParagraph"/>
        <w:shd w:val="clear" w:color="auto" w:fill="FFFFFF"/>
        <w:spacing w:before="274" w:after="206"/>
        <w:ind w:left="180"/>
        <w:outlineLvl w:val="1"/>
        <w:rPr>
          <w:rFonts w:ascii="Arial" w:eastAsia="Times New Roman" w:hAnsi="Arial" w:cs="Arial"/>
          <w:b/>
          <w:bCs/>
          <w:sz w:val="20"/>
          <w:szCs w:val="20"/>
        </w:rPr>
      </w:pPr>
    </w:p>
    <w:p w14:paraId="25AFE572" w14:textId="77777777" w:rsidR="007B4BFA" w:rsidRDefault="007B4BFA" w:rsidP="00C85F47">
      <w:pPr>
        <w:pStyle w:val="ListParagraph"/>
        <w:shd w:val="clear" w:color="auto" w:fill="FFFFFF"/>
        <w:spacing w:before="274" w:after="206"/>
        <w:ind w:left="180"/>
        <w:outlineLvl w:val="1"/>
        <w:rPr>
          <w:rFonts w:ascii="Arial" w:eastAsia="Times New Roman" w:hAnsi="Arial" w:cs="Arial"/>
          <w:b/>
          <w:bCs/>
          <w:sz w:val="20"/>
          <w:szCs w:val="20"/>
        </w:rPr>
      </w:pPr>
    </w:p>
    <w:p w14:paraId="68021D7B"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85F47">
        <w:rPr>
          <w:rFonts w:ascii="Arial" w:eastAsia="Times New Roman" w:hAnsi="Arial" w:cs="Arial"/>
          <w:b/>
          <w:bCs/>
          <w:sz w:val="20"/>
          <w:szCs w:val="20"/>
        </w:rPr>
        <w:t>Diagnostic Challenges and Role of Imaging</w:t>
      </w:r>
    </w:p>
    <w:p w14:paraId="3431D412" w14:textId="77777777" w:rsidR="00C85F47" w:rsidRPr="00C85F47"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 xml:space="preserve">On physical examination, jugular venous distension was noted, a hallmark of systemic venous congestion, though no peripheral edema or ascites were present. This variability in clinical expression reflects differences in disease chronicity, pericardial compliance, and right ventricular adaptation </w:t>
      </w:r>
      <w:r w:rsidR="00FF21F1">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{"citationID":"7awZWhHp","properties":{"formattedCitation":"[5]","plainCitation":"[5]","noteIndex":0},"citationItems":[{"id":758,"uris":["http://zotero.org/users/17374735/items/UNFTCB8K"],"itemData":{"id":758,"type":"article-journal","abstract":"Randomized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schema":"https://github.com/citation-style-language/schema/raw/master/csl-citation.json"} </w:instrText>
      </w:r>
      <w:r w:rsidR="00FF21F1">
        <w:rPr>
          <w:rFonts w:ascii="Arial" w:eastAsia="Times New Roman" w:hAnsi="Arial" w:cs="Arial"/>
          <w:sz w:val="20"/>
          <w:szCs w:val="20"/>
        </w:rPr>
        <w:fldChar w:fldCharType="separate"/>
      </w:r>
      <w:r w:rsidR="00EA1610" w:rsidRPr="00EA1610">
        <w:rPr>
          <w:rFonts w:ascii="Arial" w:hAnsi="Arial" w:cs="Arial"/>
          <w:sz w:val="20"/>
        </w:rPr>
        <w:t>[5]</w:t>
      </w:r>
      <w:r w:rsidR="00FF21F1">
        <w:rPr>
          <w:rFonts w:ascii="Arial" w:eastAsia="Times New Roman" w:hAnsi="Arial" w:cs="Arial"/>
          <w:sz w:val="20"/>
          <w:szCs w:val="20"/>
        </w:rPr>
        <w:fldChar w:fldCharType="end"/>
      </w:r>
      <w:r w:rsidRPr="00C85F47">
        <w:rPr>
          <w:rFonts w:ascii="Arial" w:eastAsia="Times New Roman" w:hAnsi="Arial" w:cs="Arial"/>
          <w:sz w:val="20"/>
          <w:szCs w:val="20"/>
        </w:rPr>
        <w:t>.</w:t>
      </w:r>
    </w:p>
    <w:p w14:paraId="76A18EF4"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commentRangeStart w:id="2"/>
      <w:r w:rsidRPr="00C85F47">
        <w:rPr>
          <w:rFonts w:ascii="Arial" w:eastAsia="Times New Roman" w:hAnsi="Arial" w:cs="Arial"/>
          <w:sz w:val="20"/>
          <w:szCs w:val="20"/>
        </w:rPr>
        <w:t xml:space="preserve">Transthoracic echocardiography </w:t>
      </w:r>
      <w:commentRangeEnd w:id="2"/>
      <w:r w:rsidR="000B01DC">
        <w:rPr>
          <w:rStyle w:val="CommentReference"/>
        </w:rPr>
        <w:commentReference w:id="2"/>
      </w:r>
      <w:r w:rsidRPr="00C85F47">
        <w:rPr>
          <w:rFonts w:ascii="Arial" w:eastAsia="Times New Roman" w:hAnsi="Arial" w:cs="Arial"/>
          <w:sz w:val="20"/>
          <w:szCs w:val="20"/>
        </w:rPr>
        <w:t>(TTE) was pivotal in our diagnostic process. It revealed the following features:</w:t>
      </w:r>
    </w:p>
    <w:p w14:paraId="2EF60D5E"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Pericardial thickening,</w:t>
      </w:r>
    </w:p>
    <w:p w14:paraId="306BAA30"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Respiratory variation in mitral and tricuspid inflow velocities,</w:t>
      </w:r>
    </w:p>
    <w:p w14:paraId="2D6CC184"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Septal bounce,</w:t>
      </w:r>
    </w:p>
    <w:p w14:paraId="4048A2C5"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Preserved or increased medial mitral annular e′ velocity,</w:t>
      </w:r>
    </w:p>
    <w:p w14:paraId="3D9933C9"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Expiratory diastolic flow reversal in hepatic veins.</w:t>
      </w:r>
    </w:p>
    <w:p w14:paraId="39648627" w14:textId="77777777" w:rsidR="00C85F47" w:rsidRPr="00C85F47"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These findings align with the Mayo Clinic diagnostic criteria</w:t>
      </w:r>
      <w:r w:rsidR="00FF21F1">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{"citationID":"pUJUwa7v","properties":{"formattedCitation":"[6]","plainCitation":"[6]","noteIndex":0},"citationItems":[{"id":704,"uris":["http://zotero.org/users/17374735/items/MDFANPIN"],"itemData":{"id":704,"type":"article-journal","abstract":"Background—Constrictive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eastAsia="Times New Roman" w:hAnsi="Arial" w:cs="Arial"/>
          <w:sz w:val="20"/>
          <w:szCs w:val="20"/>
        </w:rPr>
        <w:fldChar w:fldCharType="separate"/>
      </w:r>
      <w:r w:rsidR="00EA1610" w:rsidRPr="00EA1610">
        <w:rPr>
          <w:rFonts w:ascii="Arial" w:hAnsi="Arial" w:cs="Arial"/>
          <w:sz w:val="20"/>
        </w:rPr>
        <w:t>[6]</w:t>
      </w:r>
      <w:r w:rsidR="00FF21F1">
        <w:rPr>
          <w:rFonts w:ascii="Arial" w:eastAsia="Times New Roman" w:hAnsi="Arial" w:cs="Arial"/>
          <w:sz w:val="20"/>
          <w:szCs w:val="20"/>
        </w:rPr>
        <w:fldChar w:fldCharType="end"/>
      </w:r>
      <w:r w:rsidRPr="00C85F47">
        <w:rPr>
          <w:rFonts w:ascii="Arial" w:eastAsia="Times New Roman" w:hAnsi="Arial" w:cs="Arial"/>
          <w:sz w:val="20"/>
          <w:szCs w:val="20"/>
        </w:rPr>
        <w:t>, which include:</w:t>
      </w:r>
    </w:p>
    <w:p w14:paraId="607B61BB" w14:textId="77777777" w:rsidR="00C85F47" w:rsidRPr="00C85F47" w:rsidRDefault="00C85F47" w:rsidP="00C85F47">
      <w:pPr>
        <w:pStyle w:val="ListParagraph"/>
        <w:numPr>
          <w:ilvl w:val="0"/>
          <w:numId w:val="9"/>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Respiration-dependent septal shift,</w:t>
      </w:r>
    </w:p>
    <w:p w14:paraId="78611B6C" w14:textId="77777777" w:rsidR="00C85F47" w:rsidRPr="00C85F47" w:rsidRDefault="00C85F47" w:rsidP="00C85F47">
      <w:pPr>
        <w:pStyle w:val="ListParagraph"/>
        <w:numPr>
          <w:ilvl w:val="0"/>
          <w:numId w:val="9"/>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Medial mitral e′ velocity ≥ 9 cm/s,</w:t>
      </w:r>
    </w:p>
    <w:p w14:paraId="4065EBEE" w14:textId="77777777" w:rsidR="00C85F47" w:rsidRPr="00C85F47" w:rsidRDefault="00C85F47" w:rsidP="00FF21F1">
      <w:pPr>
        <w:pStyle w:val="ListParagraph"/>
        <w:numPr>
          <w:ilvl w:val="0"/>
          <w:numId w:val="9"/>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Hepatic vein diastolic reversal ratio ≥ 0.79.</w:t>
      </w:r>
      <w:r w:rsidR="00FF21F1" w:rsidRPr="00FF21F1">
        <w:rPr>
          <w:noProof/>
        </w:rPr>
        <w:t xml:space="preserve"> </w:t>
      </w:r>
    </w:p>
    <w:p w14:paraId="2118E04E" w14:textId="77777777" w:rsid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5261D7D1" w14:textId="77777777" w:rsidR="00FF21F1" w:rsidRDefault="00FF21F1" w:rsidP="00FF21F1">
      <w:pPr>
        <w:pStyle w:val="ListParagraph"/>
        <w:keepNext/>
        <w:shd w:val="clear" w:color="auto" w:fill="FFFFFF"/>
        <w:spacing w:before="274" w:after="206"/>
        <w:ind w:left="180"/>
        <w:jc w:val="center"/>
        <w:outlineLvl w:val="1"/>
      </w:pPr>
      <w:r w:rsidRPr="00FF21F1">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14:anchorId="57F7E351" wp14:editId="5BD87397">
                <wp:simplePos x="0" y="0"/>
                <wp:positionH relativeFrom="column">
                  <wp:posOffset>883285</wp:posOffset>
                </wp:positionH>
                <wp:positionV relativeFrom="paragraph">
                  <wp:posOffset>1314450</wp:posOffset>
                </wp:positionV>
                <wp:extent cx="2286000" cy="213360"/>
                <wp:effectExtent l="19050" t="19050" r="19050" b="152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336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CAB7446" id="Rectangle 5" o:spid="_x0000_s1026" style="position:absolute;margin-left:69.55pt;margin-top:103.5pt;width:180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" filled="f" strokecolor="red" strokeweight="3pt">
                <v:stroke joinstyle="round"/>
                <v:textbox inset="0,0,0,0"/>
              </v:rect>
            </w:pict>
          </mc:Fallback>
        </mc:AlternateContent>
      </w:r>
      <w:r w:rsidRPr="00FF21F1">
        <w:rPr>
          <w:noProof/>
        </w:rPr>
        <mc:AlternateContent>
          <mc:Choice Requires="wps">
            <w:drawing>
              <wp:anchor distT="0" distB="0" distL="114300" distR="114300" simplePos="0" relativeHeight="251661312" behindDoc="0" locked="0" layoutInCell="1" allowOverlap="1" wp14:anchorId="19D7478B" wp14:editId="72E0513F">
                <wp:simplePos x="0" y="0"/>
                <wp:positionH relativeFrom="column">
                  <wp:posOffset>898525</wp:posOffset>
                </wp:positionH>
                <wp:positionV relativeFrom="paragraph">
                  <wp:posOffset>902970</wp:posOffset>
                </wp:positionV>
                <wp:extent cx="2209800" cy="227965"/>
                <wp:effectExtent l="19050" t="19050" r="19050" b="196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27965"/>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563A60D" id="Rectangle 5" o:spid="_x0000_s1026" style="position:absolute;margin-left:70.75pt;margin-top:71.1pt;width:174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" filled="f" strokecolor="red" strokeweight="3pt">
                <v:stroke joinstyle="round"/>
                <v:textbox inset="0,0,0,0"/>
              </v:rect>
            </w:pict>
          </mc:Fallback>
        </mc:AlternateContent>
      </w:r>
      <w:r w:rsidRPr="00FF21F1">
        <w:t xml:space="preserve"> </w:t>
      </w:r>
      <w:r w:rsidRPr="00FF21F1">
        <w:rPr>
          <w:noProof/>
        </w:rPr>
        <mc:AlternateContent>
          <mc:Choice Requires="wps">
            <w:drawing>
              <wp:anchor distT="0" distB="0" distL="114300" distR="114300" simplePos="0" relativeHeight="251659264" behindDoc="0" locked="0" layoutInCell="1" allowOverlap="1" wp14:anchorId="2299CF1B" wp14:editId="01AB03F9">
                <wp:simplePos x="0" y="0"/>
                <wp:positionH relativeFrom="column">
                  <wp:posOffset>913765</wp:posOffset>
                </wp:positionH>
                <wp:positionV relativeFrom="paragraph">
                  <wp:posOffset>476251</wp:posOffset>
                </wp:positionV>
                <wp:extent cx="1790700" cy="220980"/>
                <wp:effectExtent l="19050" t="19050" r="19050" b="26670"/>
                <wp:wrapNone/>
                <wp:docPr id="33" name="Rectangle 5">
                  <a:extLst xmlns:a="http://schemas.openxmlformats.org/drawingml/2006/main">
                    <a:ext uri="{FF2B5EF4-FFF2-40B4-BE49-F238E27FC236}">
                      <a16:creationId xmlns:a16="http://schemas.microsoft.com/office/drawing/2014/main" id="{AF99D217-AED3-464A-BFE0-7CE517D7DE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2098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9930859" id="Rectangle 5" o:spid="_x0000_s1026" style="position:absolute;margin-left:71.95pt;margin-top:37.5pt;width:14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" filled="f" strokecolor="red" strokeweight="3pt">
                <v:stroke joinstyle="round"/>
                <v:textbox inset="0,0,0,0"/>
              </v:rect>
            </w:pict>
          </mc:Fallback>
        </mc:AlternateContent>
      </w:r>
      <w:r w:rsidRPr="00050379">
        <w:rPr>
          <w:noProof/>
        </w:rPr>
        <w:drawing>
          <wp:inline distT="0" distB="0" distL="0" distR="0" wp14:anchorId="18C40DAC" wp14:editId="344D4B64">
            <wp:extent cx="4668982" cy="2584172"/>
            <wp:effectExtent l="0" t="0" r="0" b="6985"/>
            <wp:docPr id="37" name="Picture 4">
              <a:extLst xmlns:a="http://schemas.openxmlformats.org/drawingml/2006/main">
                <a:ext uri="{FF2B5EF4-FFF2-40B4-BE49-F238E27FC236}">
                  <a16:creationId xmlns:a16="http://schemas.microsoft.com/office/drawing/2014/main" id="{89F5D3DD-C72F-4801-8788-6ED4B2508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a:extLst>
                        <a:ext uri="{FF2B5EF4-FFF2-40B4-BE49-F238E27FC236}">
                          <a16:creationId xmlns:a16="http://schemas.microsoft.com/office/drawing/2014/main" id="{89F5D3DD-C72F-4801-8788-6ED4B2508CA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6355" cy="2593787"/>
                    </a:xfrm>
                    <a:prstGeom prst="rect">
                      <a:avLst/>
                    </a:prstGeom>
                    <a:noFill/>
                    <a:ln>
                      <a:noFill/>
                    </a:ln>
                  </pic:spPr>
                </pic:pic>
              </a:graphicData>
            </a:graphic>
          </wp:inline>
        </w:drawing>
      </w:r>
    </w:p>
    <w:p w14:paraId="0EA151B5" w14:textId="63D35585" w:rsidR="00FF21F1" w:rsidRDefault="00107B4D" w:rsidP="00FF21F1">
      <w:pPr>
        <w:pStyle w:val="Caption"/>
        <w:jc w:val="center"/>
        <w:rPr>
          <w:rFonts w:ascii="Arial" w:eastAsia="Times New Roman" w:hAnsi="Arial" w:cs="Arial"/>
          <w:sz w:val="20"/>
          <w:szCs w:val="20"/>
        </w:rPr>
      </w:pPr>
      <w:r>
        <w:t>Table 1</w:t>
      </w:r>
      <w:r w:rsidR="00FF21F1">
        <w:t xml:space="preserve">: </w:t>
      </w:r>
      <w:r w:rsidR="00935955">
        <w:t xml:space="preserve">The </w:t>
      </w:r>
      <w:r w:rsidR="00FF21F1" w:rsidRPr="00F3500E">
        <w:t xml:space="preserve">Mayo clinic TTE </w:t>
      </w:r>
      <w:r w:rsidR="00F25A06">
        <w:t xml:space="preserve">diagnostic </w:t>
      </w:r>
      <w:r w:rsidR="00FF21F1" w:rsidRPr="00F3500E">
        <w:t>criteria</w:t>
      </w:r>
      <w:r w:rsidR="005003FE">
        <w:t xml:space="preserve"> of CP</w:t>
      </w:r>
    </w:p>
    <w:p w14:paraId="5DC84BFE" w14:textId="77777777" w:rsidR="00C85F47" w:rsidRPr="00C85F47"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 xml:space="preserve">Meeting any two of these criteria yields a sensitivity of 87% and specificity of 91%. When all three are present, specificity rises to 97%, though sensitivity decreases to 64% </w:t>
      </w:r>
      <w:r w:rsidR="00FF21F1">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{"citationID":"Xgje05q7","properties":{"formattedCitation":"[6]","plainCitation":"[6]","noteIndex":0},"citationItems":[{"id":704,"uris":["http://zotero.org/users/17374735/items/MDFANPIN"],"itemData":{"id":704,"type":"article-journal","abstract":"Background—Constrictive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eastAsia="Times New Roman" w:hAnsi="Arial" w:cs="Arial"/>
          <w:sz w:val="20"/>
          <w:szCs w:val="20"/>
        </w:rPr>
        <w:fldChar w:fldCharType="separate"/>
      </w:r>
      <w:r w:rsidR="00EA1610" w:rsidRPr="00EA1610">
        <w:rPr>
          <w:rFonts w:ascii="Arial" w:hAnsi="Arial" w:cs="Arial"/>
          <w:sz w:val="20"/>
        </w:rPr>
        <w:t>[6]</w:t>
      </w:r>
      <w:r w:rsidR="00FF21F1">
        <w:rPr>
          <w:rFonts w:ascii="Arial" w:eastAsia="Times New Roman" w:hAnsi="Arial" w:cs="Arial"/>
          <w:sz w:val="20"/>
          <w:szCs w:val="20"/>
        </w:rPr>
        <w:fldChar w:fldCharType="end"/>
      </w:r>
      <w:r w:rsidRPr="00C85F47">
        <w:rPr>
          <w:rFonts w:ascii="Arial" w:eastAsia="Times New Roman" w:hAnsi="Arial" w:cs="Arial"/>
          <w:sz w:val="20"/>
          <w:szCs w:val="20"/>
        </w:rPr>
        <w:t>. Our patient fulfilled all three criteria.</w:t>
      </w:r>
    </w:p>
    <w:p w14:paraId="681834CD" w14:textId="77777777" w:rsidR="00C85F47" w:rsidRPr="00FF21F1"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Additional echocardiographic findings in CP include pericardial calcification, dilated hepatic veins, distended inferior vena cava with blunted respiratory variation, and in some cases, premature pulmonic valve opening due to elevated right ventricular early diastolic pressure</w:t>
      </w:r>
      <w:r w:rsidR="00467D7B">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{"citationID":"tUPrnPLI","properties":{"formattedCitation":"[7]","plainCitation":"[7]","noteIndex":0},"citationItems":[{"id":769,"uris":["http://zotero.org/users/17374735/items/99T2L74D"],"itemData":{"id":769,"type":"book","edition":"12.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D."},{"family":"Braunwald","given":"Eugene"}],"issued":{"date-parts":[["2022"]]}},"locator":"1627","label":"page"}],"schema":"https://github.com/citation-style-language/schema/raw/master/csl-citation.json"} </w:instrText>
      </w:r>
      <w:r w:rsidR="00467D7B">
        <w:rPr>
          <w:rFonts w:ascii="Arial" w:eastAsia="Times New Roman" w:hAnsi="Arial" w:cs="Arial"/>
          <w:sz w:val="20"/>
          <w:szCs w:val="20"/>
        </w:rPr>
        <w:fldChar w:fldCharType="separate"/>
      </w:r>
      <w:r w:rsidR="00EA1610" w:rsidRPr="00EA1610">
        <w:rPr>
          <w:rFonts w:ascii="Arial" w:hAnsi="Arial" w:cs="Arial"/>
          <w:sz w:val="20"/>
        </w:rPr>
        <w:t>[7]</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03AE7B09" w14:textId="77777777" w:rsidR="00FF21F1" w:rsidRDefault="00FF21F1" w:rsidP="00C85F47">
      <w:pPr>
        <w:pStyle w:val="ListParagraph"/>
        <w:shd w:val="clear" w:color="auto" w:fill="FFFFFF"/>
        <w:spacing w:before="274" w:after="206"/>
        <w:ind w:left="180"/>
        <w:outlineLvl w:val="1"/>
        <w:rPr>
          <w:rFonts w:ascii="Arial" w:eastAsia="Times New Roman" w:hAnsi="Arial" w:cs="Arial"/>
          <w:sz w:val="20"/>
          <w:szCs w:val="20"/>
        </w:rPr>
      </w:pPr>
    </w:p>
    <w:p w14:paraId="57B2C496" w14:textId="77777777" w:rsidR="00C85F47" w:rsidRPr="00C85F47"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Cardiac MRI (CMR) provided additional confirmation of pericardial thickening and constrictive physiology, with no signs of myocardial infiltration or fibrosis. CMR is especially valuable for differentiating CP from restrictive cardiomyopathy and detecting active pericardial inflammation, guiding the therapeutic decision between medical therapy and surgical intervention</w:t>
      </w:r>
      <w:r w:rsidR="008A62A7">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{"citationID":"sRtNhX71","properties":{"formattedCitation":"[8]","plainCitation":"[8]","noteIndex":0},"citationItems":[{"id":749,"uris":["http://zotero.org/users/17374735/items/YK5CYWJT"],"itemData":{"id":749,"type":"article-journal","abstract":"The pericardium and pericardial diseases in particular have received, in contrast to other topics in the field of cardiology, relatively limited interest. Today, despite improved knowledge of pathophysiology of pericardial diseases and the availability of a wide spectrum of diagnostic tools, the diagnostic challenge remains. Not only the clinical presentation may be atypical, mimicking other cardiac, pulmonary or pleural diseases; in developed countries a shift for instance in the epidemiology of constrictive pericarditis has been noted. Accurate decision making is crucial taking into account the significant morbidity and mortality caused by complicated pericardial diseases, and the potential benefit of therapeutic interventions. Imaging herein has an important role, and cardiovascular magnetic resonance (CMR) is definitely one of the most versatile modalities to study the pericardium. It fuses excellent anatomic detail and tissue characterization with accurate evaluation of cardiac function and assessment of the haemodynamic consequences of pericardial constraint on cardiac filling. This review focuses on the current state of knowledge how CMR can be used to study the most common pericardial diseases.","container-title":"Journal of Cardiovascular Magnetic Resonance","DOI":"10.1186/1532-429X-11-14","ISSN":"1097-6647","issue":"1","journalAbbreviation":"Journal of Cardiovascular Magnetic Resonance","page":"14","source":"ScienceDirect","title":"Cardiovascular magnetic resonance in pericardial diseases","volume":"11","author":[{"family":"Bogaert","given":"Jan"},{"family":"Francone","given":"Marco"}],"issued":{"date-parts":[["2009",1,14]]}}}],"schema":"https://github.com/citation-style-language/schema/raw/master/csl-citation.json"} </w:instrText>
      </w:r>
      <w:r w:rsidR="008A62A7">
        <w:rPr>
          <w:rFonts w:ascii="Arial" w:eastAsia="Times New Roman" w:hAnsi="Arial" w:cs="Arial"/>
          <w:sz w:val="20"/>
          <w:szCs w:val="20"/>
        </w:rPr>
        <w:fldChar w:fldCharType="separate"/>
      </w:r>
      <w:r w:rsidR="00EA1610" w:rsidRPr="00EA1610">
        <w:rPr>
          <w:rFonts w:ascii="Arial" w:hAnsi="Arial" w:cs="Arial"/>
          <w:sz w:val="20"/>
        </w:rPr>
        <w:t>[8]</w:t>
      </w:r>
      <w:r w:rsidR="008A62A7">
        <w:rPr>
          <w:rFonts w:ascii="Arial" w:eastAsia="Times New Roman" w:hAnsi="Arial" w:cs="Arial"/>
          <w:sz w:val="20"/>
          <w:szCs w:val="20"/>
        </w:rPr>
        <w:fldChar w:fldCharType="end"/>
      </w:r>
      <w:r w:rsidRPr="00C85F47">
        <w:rPr>
          <w:rFonts w:ascii="Arial" w:eastAsia="Times New Roman" w:hAnsi="Arial" w:cs="Arial"/>
          <w:sz w:val="20"/>
          <w:szCs w:val="20"/>
        </w:rPr>
        <w:t>.</w:t>
      </w:r>
    </w:p>
    <w:p w14:paraId="002C90CD"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48BBC7F0"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85F47">
        <w:rPr>
          <w:rFonts w:ascii="Arial" w:eastAsia="Times New Roman" w:hAnsi="Arial" w:cs="Arial"/>
          <w:b/>
          <w:bCs/>
          <w:sz w:val="20"/>
          <w:szCs w:val="20"/>
        </w:rPr>
        <w:t>Differential Diagnosis and Management</w:t>
      </w:r>
    </w:p>
    <w:p w14:paraId="66F21642"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lastRenderedPageBreak/>
        <w:t>The main differential diagnosis is restrictive cardiomyopathy, which may closely mimic CP. However, key differentiators include:</w:t>
      </w:r>
    </w:p>
    <w:p w14:paraId="704CC28E" w14:textId="77777777" w:rsidR="00C85F47" w:rsidRPr="00C85F47" w:rsidRDefault="00C85F47" w:rsidP="00173F78">
      <w:pPr>
        <w:pStyle w:val="ListParagraph"/>
        <w:numPr>
          <w:ilvl w:val="0"/>
          <w:numId w:val="10"/>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 xml:space="preserve">Preserved or increased </w:t>
      </w:r>
      <w:r w:rsidR="00173F78" w:rsidRPr="00173F78">
        <w:rPr>
          <w:rFonts w:ascii="Arial" w:eastAsia="Times New Roman" w:hAnsi="Arial" w:cs="Arial"/>
          <w:sz w:val="20"/>
          <w:szCs w:val="20"/>
        </w:rPr>
        <w:t>medial mitral annular e′</w:t>
      </w:r>
      <w:r w:rsidRPr="00C85F47">
        <w:rPr>
          <w:rFonts w:ascii="Arial" w:eastAsia="Times New Roman" w:hAnsi="Arial" w:cs="Arial"/>
          <w:sz w:val="20"/>
          <w:szCs w:val="20"/>
        </w:rPr>
        <w:t xml:space="preserve"> velocity in CP (reduced in restrictive cardiomyopathy) </w:t>
      </w:r>
      <w:r w:rsidR="00467D7B">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{"citationID":"uMY39DML","properties":{"formattedCitation":"[9]","plainCitation":"[9]","noteIndex":0},"citationItems":[{"id":740,"uris":["http://zotero.org/users/17374735/items/FVU354Q7"],"itemData":{"id":740,"type":"article-journal","container-title":"JACC: Cardiovascular Imaging","DOI":"10.1016/j.jcmg.2007.10.006","issue":"1","note":"publisher: American College of Cardiology Foundation","page":"29-38","source":"jacc.org (Atypon)","title":"Disparate Patterns of Left Ventricular Mechanics Differentiate Constrictive Pericarditis From Restrictive Cardiomyopathy","volume":"1","author":[{"family":"Sengupta","given":"Partho P."},{"family":"Krishnamoorthy","given":"Vijay K."},{"family":"Abhayaratna","given":"Walter P."},{"family":"Korinek","given":"Josef"},{"family":"Belohlavek","given":"Marek"},{"family":"Sundt","given":"Thoralf M."},{"family":"Chandrasekaran","given":"Krishnaswamy"},{"family":"Mookadam","given":"Farouk"},{"family":"Seward","given":"James B."},{"family":"Tajik","given":"A. Jamil"},{"family":"Khandheria","given":"Bijoy K."}],"issued":{"date-parts":[["2008",1]]}}}],"schema":"https://github.com/citation-style-language/schema/raw/master/csl-citation.json"} </w:instrText>
      </w:r>
      <w:r w:rsidR="00467D7B">
        <w:rPr>
          <w:rFonts w:ascii="Arial" w:eastAsia="Times New Roman" w:hAnsi="Arial" w:cs="Arial"/>
          <w:sz w:val="20"/>
          <w:szCs w:val="20"/>
        </w:rPr>
        <w:fldChar w:fldCharType="separate"/>
      </w:r>
      <w:r w:rsidR="00EA1610" w:rsidRPr="00EA1610">
        <w:rPr>
          <w:rFonts w:ascii="Arial" w:hAnsi="Arial" w:cs="Arial"/>
          <w:sz w:val="20"/>
        </w:rPr>
        <w:t>[9]</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4BD0C6F5" w14:textId="77777777" w:rsidR="007B4BFA" w:rsidRDefault="00C85F47" w:rsidP="00173F78">
      <w:pPr>
        <w:pStyle w:val="ListParagraph"/>
        <w:numPr>
          <w:ilvl w:val="0"/>
          <w:numId w:val="10"/>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 xml:space="preserve">Respiratory variation in mitral inflow velocities (present in CP, absent in restrictive forms) </w:t>
      </w:r>
      <w:r w:rsidR="00467D7B">
        <w:rPr>
          <w:rFonts w:ascii="Arial" w:eastAsia="Times New Roman" w:hAnsi="Arial" w:cs="Arial"/>
          <w:sz w:val="20"/>
          <w:szCs w:val="20"/>
        </w:rPr>
        <w:fldChar w:fldCharType="begin"/>
      </w:r>
      <w:r w:rsidR="00173F78">
        <w:rPr>
          <w:rFonts w:ascii="Arial" w:eastAsia="Times New Roman" w:hAnsi="Arial" w:cs="Arial"/>
          <w:sz w:val="20"/>
          <w:szCs w:val="20"/>
        </w:rPr>
        <w:instrText xml:space="preserve"> ADDIN ZOTERO_ITEM CSL_CITATION {"citationID":"PI2HdQax","properties":{"formattedCitation":"[5,7,10]","plainCitation":"[5,7,10]","noteIndex":0},"citationItems":[{"id":758,"uris":["http://zotero.org/users/17374735/items/UNFTCB8K"],"itemData":{"id":758,"type":"article-journal","abstract":"Randomized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D."},{"family":"Braunwald","given":"Eugene"}],"issued":{"date-parts":[["2022"]]}},"label":"page"},{"id":723,"uris":["http://zotero.org/users/17374735/items/9PVJ5J6M"],"itemData":{"id":723,"type":"article-journal","abstract":"The most-common aetiologies of constrictive pericarditis in developed countries are cardiac surgery and idiopathic pericarditis, whereas in developing countries with high tuberculosis prevalence, tuberculous pericarditis is most commonConstrictive pericarditis should be suspected in any patient for whom the severity of heart failure is disproportional to the degree of myocardial dysfunctionEchocardiography is the initial investigation of choice, with cardiac MRI and CT being alternative or complementary imaging modalitiesCardiac catheterization can be used when echocardiography, cardiac MRI, and CT provide equivocal results or when a mixed cardiac pathology requires further evaluationPatients with ongoing pericardial inflammation should initially receive anti-inflammatory therapy; those with noncalcific tuberculous constrictive pericarditis should be treated with antituberculous antimicrobial and steroid therapy to reverse the conditionPericardiectomy is curative with symptomatic improvement in most patients, but some develop late recurrence of symptoms; mortality is highest in patients with radiation pericarditis and associated myocardial disease","container-title":"Nature Reviews Cardiology","DOI":"10.1038/nrcardio.2014.100","ISSN":"1759-5010","issue":"9","journalAbbreviation":"Nat Rev Cardiol","language":"en","license":"2014 Springer Nature Limited","note":"publisher: Nature Publishing Group","page":"530-544","source":"www.nature.com","title":"Constrictive pericarditis—a curable diastolic heart failure","volume":"11","author":[{"family":"Syed","given":"Faisal F."},{"family":"Schaff","given":"Hartzell V."},{"family":"Oh","given":"Jae K."}],"issued":{"date-parts":[["2014",9]]}},"label":"page"}],"schema":"https://github.com/citation-style-language/schema/raw/master/csl-citation.json"} </w:instrText>
      </w:r>
      <w:r w:rsidR="00467D7B">
        <w:rPr>
          <w:rFonts w:ascii="Arial" w:eastAsia="Times New Roman" w:hAnsi="Arial" w:cs="Arial"/>
          <w:sz w:val="20"/>
          <w:szCs w:val="20"/>
        </w:rPr>
        <w:fldChar w:fldCharType="separate"/>
      </w:r>
      <w:r w:rsidR="00173F78" w:rsidRPr="00173F78">
        <w:rPr>
          <w:rFonts w:ascii="Arial" w:hAnsi="Arial" w:cs="Arial"/>
          <w:sz w:val="20"/>
        </w:rPr>
        <w:t>[5,7,10]</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236D8B22" w14:textId="77777777" w:rsidR="007B4BFA" w:rsidRDefault="00C85F47" w:rsidP="007B4BFA">
      <w:pPr>
        <w:shd w:val="clear" w:color="auto" w:fill="FFFFFF"/>
        <w:spacing w:before="274" w:after="206"/>
        <w:outlineLvl w:val="1"/>
        <w:rPr>
          <w:rFonts w:ascii="Arial" w:eastAsia="Times New Roman" w:hAnsi="Arial" w:cs="Arial"/>
          <w:sz w:val="20"/>
          <w:szCs w:val="20"/>
        </w:rPr>
      </w:pPr>
      <w:r w:rsidRPr="007B4BFA">
        <w:rPr>
          <w:rFonts w:ascii="Arial" w:eastAsia="Times New Roman" w:hAnsi="Arial" w:cs="Arial"/>
          <w:b/>
          <w:bCs/>
          <w:sz w:val="20"/>
          <w:szCs w:val="20"/>
        </w:rPr>
        <w:t>Treatment Approaches</w:t>
      </w:r>
      <w:r w:rsidRPr="007B4BFA">
        <w:rPr>
          <w:rFonts w:ascii="Arial" w:eastAsia="Times New Roman" w:hAnsi="Arial" w:cs="Arial"/>
          <w:sz w:val="20"/>
          <w:szCs w:val="20"/>
        </w:rPr>
        <w:br/>
      </w:r>
      <w:r w:rsidR="00935955" w:rsidRPr="007B4BFA">
        <w:rPr>
          <w:rFonts w:ascii="Arial" w:eastAsia="Times New Roman" w:hAnsi="Arial" w:cs="Arial"/>
          <w:sz w:val="20"/>
          <w:szCs w:val="20"/>
        </w:rPr>
        <w:t>The management of constrictive pericarditis depends largely on its etiology and stage—whether inflammatory or fibrotic. In tuberculous pericarditis, standard anti-tuberculosis therapy remains the cornerstone of treatment, and corticosteroids may be added in selected cases, particularly in HIV-negative patients, to reduce inflammation and prevent progression to constriction</w:t>
      </w:r>
      <w:r w:rsidR="00935955" w:rsidRPr="007B4BFA">
        <w:rPr>
          <w:rFonts w:ascii="Arial" w:eastAsia="Times New Roman" w:hAnsi="Arial" w:cs="Arial"/>
          <w:sz w:val="20"/>
          <w:szCs w:val="20"/>
        </w:rPr>
        <w:fldChar w:fldCharType="begin"/>
      </w:r>
      <w:r w:rsidR="00EA1610" w:rsidRPr="007B4BFA">
        <w:rPr>
          <w:rFonts w:ascii="Arial" w:eastAsia="Times New Roman" w:hAnsi="Arial" w:cs="Arial"/>
          <w:sz w:val="20"/>
          <w:szCs w:val="20"/>
        </w:rPr>
        <w:instrText xml:space="preserve"> ADDIN ZOTERO_ITEM CSL_CITATION {"citationID":"D9VjTNw0","properties":{"formattedCitation":"[3,5]","plainCitation":"[3,5]","noteIndex":0},"citationItems":[{"id":752,"uris":["http://zotero.org/users/17374735/items/MVT6986T"],"itemData":{"id":752,"type":"article-journal","abstract":"Background—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F."}],"issued":{"date-parts":[["2005",12,6]]}},"label":"page"},{"id":758,"uris":["http://zotero.org/users/17374735/items/UNFTCB8K"],"itemData":{"id":758,"type":"article-journal","abstract":"Randomized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schema":"https://github.com/citation-style-language/schema/raw/master/csl-citation.json"} </w:instrText>
      </w:r>
      <w:r w:rsidR="00935955" w:rsidRPr="007B4BFA">
        <w:rPr>
          <w:rFonts w:ascii="Arial" w:eastAsia="Times New Roman" w:hAnsi="Arial" w:cs="Arial"/>
          <w:sz w:val="20"/>
          <w:szCs w:val="20"/>
        </w:rPr>
        <w:fldChar w:fldCharType="separate"/>
      </w:r>
      <w:r w:rsidR="00EA1610" w:rsidRPr="007B4BFA">
        <w:rPr>
          <w:rFonts w:ascii="Arial" w:hAnsi="Arial" w:cs="Arial"/>
          <w:sz w:val="20"/>
        </w:rPr>
        <w:t>[3,5]</w:t>
      </w:r>
      <w:r w:rsidR="00935955" w:rsidRPr="007B4BFA">
        <w:rPr>
          <w:rFonts w:ascii="Arial" w:eastAsia="Times New Roman" w:hAnsi="Arial" w:cs="Arial"/>
          <w:sz w:val="20"/>
          <w:szCs w:val="20"/>
        </w:rPr>
        <w:fldChar w:fldCharType="end"/>
      </w:r>
      <w:r w:rsidR="00935955" w:rsidRPr="007B4BFA">
        <w:rPr>
          <w:rFonts w:ascii="Arial" w:eastAsia="Times New Roman" w:hAnsi="Arial" w:cs="Arial"/>
          <w:sz w:val="20"/>
          <w:szCs w:val="20"/>
        </w:rPr>
        <w:t>. When the disease becomes chronic and fibrotic, surgical pericardiectomy is the definitive therapy, ideally performed before irreversible myocardial damage occurs. Total or subtotal pericardiectomy via median sternotomy is generally preferred, although surgery carries higher risk in patients with advanced heart failure or myocardial atrophy, emphasizing the importance of early referral</w:t>
      </w:r>
      <w:r w:rsidR="00935955" w:rsidRPr="007B4BFA">
        <w:rPr>
          <w:rFonts w:ascii="Arial" w:eastAsia="Times New Roman" w:hAnsi="Arial" w:cs="Arial"/>
          <w:sz w:val="20"/>
          <w:szCs w:val="20"/>
        </w:rPr>
        <w:fldChar w:fldCharType="begin"/>
      </w:r>
      <w:r w:rsidR="00EA1610" w:rsidRPr="007B4BFA">
        <w:rPr>
          <w:rFonts w:ascii="Arial" w:eastAsia="Times New Roman" w:hAnsi="Arial" w:cs="Arial"/>
          <w:sz w:val="20"/>
          <w:szCs w:val="20"/>
        </w:rPr>
        <w:instrText xml:space="preserve"> ADDIN ZOTERO_ITEM CSL_CITATION {"citationID":"9ahj5WOK","properties":{"formattedCitation":"[5,6,11]","plainCitation":"[5,6,11]","noteIndex":0},"citationItems":[{"id":758,"uris":["http://zotero.org/users/17374735/items/UNFTCB8K"],"itemData":{"id":758,"type":"article-journal","abstract":"Randomized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K."}],"issued":{"date-parts":[["2014",5]]}},"label":"page"},{"id":777,"uris":["http://zotero.org/users/17374735/items/9TNPZBEP"],"itemData":{"id":777,"type":"article-journal","abstract":"The diagnosis of constrictive pericarditis (CP) continues to be a challenge in the modern era. Understanding the pathophysiology and integrating the results of invasive and non-invasive techniques are important in the differential diagnosis of CP and e.g. restrictive cardiomyopathy. New echocardiographic techniques such as tissue Doppler imaging (TDI) and 2D-speckle tracking, dual-source CT (computed tomographic imaging) and especially tagged cine-MRI (magnetic resonance imaging) with the analysis of phase contrast angiography sequences are promising novel approaches. Pericardiectomy in experienced centers with complete decortication (if technically feasible) is the treatment of choice for CP and it results in symptomatic relief in most patients. However, some patients may not benefit from pericardiectomy and this may be due to myocardial compliance abnormalities, myocardial atrophy after prolonged constriction, residual constriction or other myocardial processes. An important predictor of long-term outcome after pericardiectomy is the etiology of the pericardial disease. The overall mortality in the current literature is nearly 5–6%. Survival with post-surgical CP is worse than with idiopathic CP, but significantly better than with post-radiation CP.","container-title":"European Journal of Cardio-Thoracic Surgery","DOI":"10.1016/j.ejcts.2009.03.004","ISSN":"1010-7940","issue":"3","journalAbbreviation":"European Journal of Cardio-Thoracic Surgery","page":"502-510","source":"Silverchair","title":"Constrictive pericarditis, still a diagnostic challenge: comprehensive review of clinical management","title-short":"Constrictive pericarditis, still a diagnostic challenge","volume":"36","author":[{"family":"Schwefer","given":"Markus"},{"family":"Aschenbach","given":"Rene"},{"family":"Heidemann","given":"Jan"},{"family":"Mey","given":"Celia"},{"family":"Lapp","given":"Harald"}],"issued":{"date-parts":[["2009",9,1]]}},"label":"page"}],"schema":"https://github.com/citation-style-language/schema/raw/master/csl-citation.json"} </w:instrText>
      </w:r>
      <w:r w:rsidR="00935955" w:rsidRPr="007B4BFA">
        <w:rPr>
          <w:rFonts w:ascii="Arial" w:eastAsia="Times New Roman" w:hAnsi="Arial" w:cs="Arial"/>
          <w:sz w:val="20"/>
          <w:szCs w:val="20"/>
        </w:rPr>
        <w:fldChar w:fldCharType="separate"/>
      </w:r>
      <w:r w:rsidR="00EA1610" w:rsidRPr="007B4BFA">
        <w:rPr>
          <w:rFonts w:ascii="Arial" w:hAnsi="Arial" w:cs="Arial"/>
          <w:sz w:val="20"/>
        </w:rPr>
        <w:t>[5,6,11]</w:t>
      </w:r>
      <w:r w:rsidR="00935955" w:rsidRPr="007B4BFA">
        <w:rPr>
          <w:rFonts w:ascii="Arial" w:eastAsia="Times New Roman" w:hAnsi="Arial" w:cs="Arial"/>
          <w:sz w:val="20"/>
          <w:szCs w:val="20"/>
        </w:rPr>
        <w:fldChar w:fldCharType="end"/>
      </w:r>
      <w:r w:rsidR="00935955" w:rsidRPr="007B4BFA">
        <w:rPr>
          <w:rFonts w:ascii="Arial" w:eastAsia="Times New Roman" w:hAnsi="Arial" w:cs="Arial"/>
          <w:sz w:val="20"/>
          <w:szCs w:val="20"/>
        </w:rPr>
        <w:t>. In our case, the patient responded favorably to medical therapy, suggesting a subacute inflammatory phase of tuberculous pericarditis</w:t>
      </w:r>
      <w:r w:rsidR="00F62AC3">
        <w:rPr>
          <w:rFonts w:ascii="Arial" w:eastAsia="Times New Roman" w:hAnsi="Arial" w:cs="Arial"/>
          <w:sz w:val="20"/>
          <w:szCs w:val="20"/>
        </w:rPr>
        <w:t>, he then was deferred for subtotal pericardiotomy.</w:t>
      </w:r>
      <w:r w:rsidR="00935955" w:rsidRPr="007B4BFA">
        <w:rPr>
          <w:rFonts w:ascii="Arial" w:eastAsia="Times New Roman" w:hAnsi="Arial" w:cs="Arial"/>
          <w:sz w:val="20"/>
          <w:szCs w:val="20"/>
        </w:rPr>
        <w:t xml:space="preserve"> </w:t>
      </w:r>
    </w:p>
    <w:p w14:paraId="3C7F60EF" w14:textId="77777777" w:rsidR="00C85F47" w:rsidRPr="007B4BFA" w:rsidRDefault="00C85F47" w:rsidP="007B4BFA">
      <w:pPr>
        <w:shd w:val="clear" w:color="auto" w:fill="FFFFFF"/>
        <w:spacing w:before="274" w:after="206"/>
        <w:outlineLvl w:val="1"/>
        <w:rPr>
          <w:rFonts w:ascii="Arial" w:eastAsia="Times New Roman" w:hAnsi="Arial" w:cs="Arial"/>
          <w:sz w:val="20"/>
          <w:szCs w:val="20"/>
        </w:rPr>
      </w:pPr>
      <w:commentRangeStart w:id="3"/>
      <w:r w:rsidRPr="007B4BFA">
        <w:rPr>
          <w:rFonts w:ascii="Arial" w:eastAsia="Times New Roman" w:hAnsi="Arial" w:cs="Arial"/>
          <w:b/>
          <w:bCs/>
          <w:sz w:val="20"/>
          <w:szCs w:val="20"/>
        </w:rPr>
        <w:t>Clinical Implications</w:t>
      </w:r>
      <w:commentRangeEnd w:id="3"/>
      <w:r w:rsidR="000B01DC">
        <w:rPr>
          <w:rStyle w:val="CommentReference"/>
        </w:rPr>
        <w:commentReference w:id="3"/>
      </w:r>
    </w:p>
    <w:p w14:paraId="7DB67288"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This case highlights the importance of a multimodal diagnostic approach, with echocardiography as the first-line tool, supported by CMR in ambiguous or complex cases. In TB-endemic regions, clinicians should maintain a high index of suspicion for CP in patients with atypical signs of right heart failure. Early recognition and appropriate management are crucial to avoid misdiagnosis, prevent progression, and improve patient outcomes.</w:t>
      </w:r>
    </w:p>
    <w:p w14:paraId="5B54D712" w14:textId="77777777" w:rsidR="00C85F47" w:rsidRPr="00400998" w:rsidRDefault="00C85F47" w:rsidP="00C85F47">
      <w:pPr>
        <w:pStyle w:val="ListParagraph"/>
        <w:shd w:val="clear" w:color="auto" w:fill="FFFFFF"/>
        <w:spacing w:before="274" w:after="206" w:line="240" w:lineRule="auto"/>
        <w:ind w:left="180"/>
        <w:outlineLvl w:val="1"/>
        <w:rPr>
          <w:rFonts w:ascii="Arial" w:eastAsia="Times New Roman" w:hAnsi="Arial" w:cs="Arial"/>
          <w:b/>
          <w:caps/>
          <w:szCs w:val="20"/>
        </w:rPr>
      </w:pPr>
    </w:p>
    <w:p w14:paraId="60CBBD8E" w14:textId="77777777" w:rsidR="00400998" w:rsidRPr="00400998" w:rsidRDefault="00400998" w:rsidP="005C4FD5">
      <w:pPr>
        <w:pStyle w:val="ListParagraph"/>
        <w:numPr>
          <w:ilvl w:val="0"/>
          <w:numId w:val="6"/>
        </w:numPr>
        <w:shd w:val="clear" w:color="auto" w:fill="FFFFFF"/>
        <w:spacing w:before="274" w:after="206" w:line="240" w:lineRule="auto"/>
        <w:ind w:left="180"/>
        <w:outlineLvl w:val="1"/>
        <w:rPr>
          <w:rFonts w:ascii="Arial" w:eastAsia="Times New Roman" w:hAnsi="Arial" w:cs="Arial"/>
          <w:b/>
          <w:caps/>
          <w:szCs w:val="20"/>
        </w:rPr>
      </w:pPr>
      <w:r w:rsidRPr="005C4FD5">
        <w:rPr>
          <w:rFonts w:ascii="Arial" w:eastAsia="Times New Roman" w:hAnsi="Arial" w:cs="Arial"/>
          <w:b/>
          <w:caps/>
          <w:szCs w:val="20"/>
        </w:rPr>
        <w:t>Conclusion</w:t>
      </w:r>
    </w:p>
    <w:p w14:paraId="0333DFA2" w14:textId="77777777" w:rsidR="00C67820" w:rsidRDefault="00400998" w:rsidP="00C85F47">
      <w:pPr>
        <w:shd w:val="clear" w:color="auto" w:fill="FFFFFF"/>
        <w:spacing w:before="206" w:after="206" w:line="240" w:lineRule="auto"/>
        <w:rPr>
          <w:rFonts w:ascii="Arial" w:eastAsia="Times New Roman" w:hAnsi="Arial" w:cs="Arial"/>
          <w:sz w:val="20"/>
          <w:szCs w:val="20"/>
        </w:rPr>
      </w:pPr>
      <w:r w:rsidRPr="00400998">
        <w:rPr>
          <w:rFonts w:ascii="Arial" w:eastAsia="Times New Roman" w:hAnsi="Arial" w:cs="Arial"/>
          <w:sz w:val="20"/>
          <w:szCs w:val="20"/>
        </w:rPr>
        <w:t>In tuberculosis-endemic regions, constrictive pericarditis should be considered in patients presenting with unexplained pleural effusion and signs of right heart failure. Transthoracic echocardiography remains a critical and accessible tool for diagnosis. Early identification and timely management—both medical and surgical—can significantly improve prognosis. This case underscores the importance of clinical vigilance and echocardiographic expertise in diagnosing this challenging entity.</w:t>
      </w:r>
    </w:p>
    <w:p w14:paraId="781704AB" w14:textId="77777777" w:rsidR="00C85F47" w:rsidRPr="00C85F47" w:rsidRDefault="00C85F47" w:rsidP="00C85F47">
      <w:pPr>
        <w:shd w:val="clear" w:color="auto" w:fill="FFFFFF"/>
        <w:spacing w:before="206" w:after="206" w:line="240" w:lineRule="auto"/>
        <w:rPr>
          <w:rFonts w:ascii="Arial" w:eastAsia="Times New Roman" w:hAnsi="Arial" w:cs="Arial"/>
          <w:sz w:val="20"/>
          <w:szCs w:val="20"/>
        </w:rPr>
      </w:pPr>
    </w:p>
    <w:p w14:paraId="2DFDFAEF" w14:textId="77777777" w:rsidR="00C67820" w:rsidRDefault="00C67820" w:rsidP="00C67820">
      <w:pPr>
        <w:spacing w:before="480" w:after="0" w:line="360" w:lineRule="auto"/>
        <w:rPr>
          <w:rFonts w:asciiTheme="minorBidi" w:eastAsia="Times New Roman" w:hAnsiTheme="minorBidi"/>
          <w:b/>
          <w:bCs/>
        </w:rPr>
      </w:pPr>
      <w:r w:rsidRPr="00C67820">
        <w:rPr>
          <w:rFonts w:asciiTheme="minorBidi" w:eastAsia="Times New Roman" w:hAnsiTheme="minorBidi"/>
          <w:b/>
          <w:bCs/>
        </w:rPr>
        <w:t>CONSENT</w:t>
      </w:r>
    </w:p>
    <w:p w14:paraId="039069DC" w14:textId="77777777" w:rsidR="00C67820" w:rsidRPr="00D84836" w:rsidRDefault="00C67820" w:rsidP="00C67820">
      <w:pPr>
        <w:pStyle w:val="ReferHead"/>
        <w:spacing w:after="0"/>
        <w:jc w:val="both"/>
        <w:rPr>
          <w:rFonts w:ascii="Arial" w:hAnsi="Arial" w:cs="Arial"/>
          <w:b w:val="0"/>
          <w:caps w:val="0"/>
          <w:sz w:val="20"/>
        </w:rPr>
      </w:pPr>
      <w:r w:rsidRPr="00D84836">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5639D7E4" w14:textId="77777777" w:rsidR="00C67820" w:rsidRDefault="00C67820" w:rsidP="00C67820">
      <w:pPr>
        <w:pStyle w:val="ReferHead"/>
        <w:spacing w:after="0"/>
        <w:ind w:left="360"/>
        <w:jc w:val="both"/>
        <w:rPr>
          <w:rFonts w:ascii="Arial" w:hAnsi="Arial" w:cs="Arial"/>
        </w:rPr>
      </w:pPr>
    </w:p>
    <w:p w14:paraId="041C1DCC" w14:textId="77777777" w:rsidR="00C67820" w:rsidRDefault="00C67820" w:rsidP="00C67820">
      <w:pPr>
        <w:pStyle w:val="ReferHead"/>
        <w:spacing w:after="0"/>
        <w:jc w:val="both"/>
        <w:rPr>
          <w:rFonts w:ascii="Arial" w:hAnsi="Arial" w:cs="Arial"/>
        </w:rPr>
      </w:pPr>
      <w:commentRangeStart w:id="4"/>
      <w:r w:rsidRPr="00FB3A86">
        <w:rPr>
          <w:rFonts w:ascii="Arial" w:hAnsi="Arial" w:cs="Arial"/>
        </w:rPr>
        <w:t>References</w:t>
      </w:r>
      <w:commentRangeEnd w:id="4"/>
      <w:r w:rsidR="000B01DC">
        <w:rPr>
          <w:rStyle w:val="CommentReference"/>
          <w:rFonts w:asciiTheme="minorHAnsi" w:eastAsiaTheme="minorHAnsi" w:hAnsiTheme="minorHAnsi" w:cstheme="minorBidi"/>
          <w:b w:val="0"/>
          <w:caps w:val="0"/>
        </w:rPr>
        <w:commentReference w:id="4"/>
      </w:r>
    </w:p>
    <w:p w14:paraId="45AFD807" w14:textId="77777777" w:rsidR="00173F78" w:rsidRPr="00173F78" w:rsidRDefault="00AA1330" w:rsidP="00173F78">
      <w:pPr>
        <w:pStyle w:val="Bibliography"/>
        <w:rPr>
          <w:rFonts w:ascii="Arial" w:hAnsi="Arial" w:cs="Arial"/>
        </w:rPr>
      </w:pPr>
      <w:r>
        <w:rPr>
          <w:rFonts w:asciiTheme="minorBidi" w:hAnsiTheme="minorBidi"/>
        </w:rPr>
        <w:fldChar w:fldCharType="begin"/>
      </w:r>
      <w:r w:rsidR="00EA1610">
        <w:rPr>
          <w:rFonts w:asciiTheme="minorBidi" w:hAnsiTheme="minorBidi"/>
        </w:rPr>
        <w:instrText xml:space="preserve"> ADDIN ZOTERO_BIBL {"uncited":[],"omitted":[],"custom":[]} CSL_BIBLIOGRAPHY </w:instrText>
      </w:r>
      <w:r>
        <w:rPr>
          <w:rFonts w:asciiTheme="minorBidi" w:hAnsiTheme="minorBidi"/>
        </w:rPr>
        <w:fldChar w:fldCharType="separate"/>
      </w:r>
      <w:r w:rsidR="00173F78" w:rsidRPr="00173F78">
        <w:rPr>
          <w:rFonts w:ascii="Arial" w:hAnsi="Arial" w:cs="Arial"/>
        </w:rPr>
        <w:t>1.</w:t>
      </w:r>
      <w:r w:rsidR="00173F78" w:rsidRPr="00173F78">
        <w:rPr>
          <w:rFonts w:ascii="Arial" w:hAnsi="Arial" w:cs="Arial"/>
        </w:rPr>
        <w:tab/>
        <w:t>Brown MT, McDowell AC, Clements SD, Dressler DD: Here’s the rub: A case of constrictive pericarditis in an adult with cystic fibrosis. Respir Med Case Rep. 2021, 33:101434. 10.1016/j.rmcr.2021.101434</w:t>
      </w:r>
    </w:p>
    <w:p w14:paraId="05FF51DF" w14:textId="77777777" w:rsidR="00173F78" w:rsidRPr="00173F78" w:rsidRDefault="00173F78" w:rsidP="00173F78">
      <w:pPr>
        <w:pStyle w:val="Bibliography"/>
        <w:rPr>
          <w:rFonts w:ascii="Arial" w:hAnsi="Arial" w:cs="Arial"/>
        </w:rPr>
      </w:pPr>
      <w:r w:rsidRPr="00173F78">
        <w:rPr>
          <w:rFonts w:ascii="Arial" w:hAnsi="Arial" w:cs="Arial"/>
        </w:rPr>
        <w:t>2.</w:t>
      </w:r>
      <w:r w:rsidRPr="00173F78">
        <w:rPr>
          <w:rFonts w:ascii="Arial" w:hAnsi="Arial" w:cs="Arial"/>
        </w:rPr>
        <w:tab/>
        <w:t>Little WC, Freeman GL: Pericardial Disease. Circulation. 2006, 113:1622–32. 10.1161/CIRCULATIONAHA.105.561514</w:t>
      </w:r>
    </w:p>
    <w:p w14:paraId="2EF49CDF" w14:textId="77777777" w:rsidR="00173F78" w:rsidRPr="00173F78" w:rsidRDefault="00173F78" w:rsidP="00173F78">
      <w:pPr>
        <w:pStyle w:val="Bibliography"/>
        <w:rPr>
          <w:rFonts w:ascii="Arial" w:hAnsi="Arial" w:cs="Arial"/>
        </w:rPr>
      </w:pPr>
      <w:r w:rsidRPr="00173F78">
        <w:rPr>
          <w:rFonts w:ascii="Arial" w:hAnsi="Arial" w:cs="Arial"/>
        </w:rPr>
        <w:lastRenderedPageBreak/>
        <w:t>3.</w:t>
      </w:r>
      <w:r w:rsidRPr="00173F78">
        <w:rPr>
          <w:rFonts w:ascii="Arial" w:hAnsi="Arial" w:cs="Arial"/>
        </w:rPr>
        <w:tab/>
        <w:t>Mayosi BM, Burgess LJ, Doubell AF: Tuberculous Pericarditis. Circulation. 2005, 112:3608–16. 10.1161/CIRCULATIONAHA.105.543066</w:t>
      </w:r>
    </w:p>
    <w:p w14:paraId="7932EE13" w14:textId="77777777" w:rsidR="00173F78" w:rsidRPr="00173F78" w:rsidRDefault="00173F78" w:rsidP="00173F78">
      <w:pPr>
        <w:pStyle w:val="Bibliography"/>
        <w:rPr>
          <w:rFonts w:ascii="Arial" w:hAnsi="Arial" w:cs="Arial"/>
        </w:rPr>
      </w:pPr>
      <w:r w:rsidRPr="00173F78">
        <w:rPr>
          <w:rFonts w:ascii="Arial" w:hAnsi="Arial" w:cs="Arial"/>
        </w:rPr>
        <w:t>4.</w:t>
      </w:r>
      <w:r w:rsidRPr="00173F78">
        <w:rPr>
          <w:rFonts w:ascii="Arial" w:hAnsi="Arial" w:cs="Arial"/>
        </w:rPr>
        <w:tab/>
        <w:t xml:space="preserve">Kyriakakis’ ’Charles, Herbst ’ ’Philip, Doubell’ ’Anton: Constrictive pericarditis – prevalence, causes and clinical presentation. Accessed: June 13, 2025. https://www.escardio.org/Journals/E-Journal-of-Cardiology-Practice/Volume-15/Constrictive-pericarditis-prevalence-causes-and-clinical-presentation?utm_source=chatgpt.com. </w:t>
      </w:r>
    </w:p>
    <w:p w14:paraId="31E451A7" w14:textId="77777777" w:rsidR="00173F78" w:rsidRPr="00173F78" w:rsidRDefault="00173F78" w:rsidP="00173F78">
      <w:pPr>
        <w:pStyle w:val="Bibliography"/>
        <w:rPr>
          <w:rFonts w:ascii="Arial" w:hAnsi="Arial" w:cs="Arial"/>
        </w:rPr>
      </w:pPr>
      <w:r w:rsidRPr="00173F78">
        <w:rPr>
          <w:rFonts w:ascii="Arial" w:hAnsi="Arial" w:cs="Arial"/>
        </w:rPr>
        <w:t>5.</w:t>
      </w:r>
      <w:r w:rsidRPr="00173F78">
        <w:rPr>
          <w:rFonts w:ascii="Arial" w:hAnsi="Arial" w:cs="Arial"/>
        </w:rPr>
        <w:tab/>
        <w:t>Imazio M, Brucato A, Trinchero R, Adler Y: Diagnosis and management of pericardial diseases. Nat Rev Cardiol. 2009, 6:743–51. 10.1038/nrcardio.2009.185</w:t>
      </w:r>
    </w:p>
    <w:p w14:paraId="1F1D4C29" w14:textId="77777777" w:rsidR="00173F78" w:rsidRPr="00173F78" w:rsidRDefault="00173F78" w:rsidP="00173F78">
      <w:pPr>
        <w:pStyle w:val="Bibliography"/>
        <w:rPr>
          <w:rFonts w:ascii="Arial" w:hAnsi="Arial" w:cs="Arial"/>
        </w:rPr>
      </w:pPr>
      <w:r w:rsidRPr="00173F78">
        <w:rPr>
          <w:rFonts w:ascii="Arial" w:hAnsi="Arial" w:cs="Arial"/>
        </w:rPr>
        <w:t>6.</w:t>
      </w:r>
      <w:r w:rsidRPr="00173F78">
        <w:rPr>
          <w:rFonts w:ascii="Arial" w:hAnsi="Arial" w:cs="Arial"/>
        </w:rPr>
        <w:tab/>
        <w:t>Welch TD, Ling LH, Espinosa RE, et al.: Echocardiographic Diagnosis of Constrictive Pericarditis. Circ Cardiovasc Imaging. 2014, 7:526–34. 10.1161/CIRCIMAGING.113.001613</w:t>
      </w:r>
    </w:p>
    <w:p w14:paraId="41FF883A" w14:textId="77777777" w:rsidR="00173F78" w:rsidRPr="00173F78" w:rsidRDefault="00173F78" w:rsidP="00173F78">
      <w:pPr>
        <w:pStyle w:val="Bibliography"/>
        <w:rPr>
          <w:rFonts w:ascii="Arial" w:hAnsi="Arial" w:cs="Arial"/>
        </w:rPr>
      </w:pPr>
      <w:r w:rsidRPr="00173F78">
        <w:rPr>
          <w:rFonts w:ascii="Arial" w:hAnsi="Arial" w:cs="Arial"/>
        </w:rPr>
        <w:t>7.</w:t>
      </w:r>
      <w:r w:rsidRPr="00173F78">
        <w:rPr>
          <w:rFonts w:ascii="Arial" w:hAnsi="Arial" w:cs="Arial"/>
        </w:rPr>
        <w:tab/>
        <w:t xml:space="preserve">Libby P, Bonow RO, Mann DL, Tomaselli GF, Bhatt DL, Solomon SD, Braunwald E, editors: Braunwald’s heart disease: a textbook of cardiovascular medicine. 12. Edition. Elsevier: Philadelphia, PA; 2022. </w:t>
      </w:r>
    </w:p>
    <w:p w14:paraId="0319EFEB" w14:textId="77777777" w:rsidR="00173F78" w:rsidRPr="00173F78" w:rsidRDefault="00173F78" w:rsidP="00173F78">
      <w:pPr>
        <w:pStyle w:val="Bibliography"/>
        <w:rPr>
          <w:rFonts w:ascii="Arial" w:hAnsi="Arial" w:cs="Arial"/>
        </w:rPr>
      </w:pPr>
      <w:r w:rsidRPr="00173F78">
        <w:rPr>
          <w:rFonts w:ascii="Arial" w:hAnsi="Arial" w:cs="Arial"/>
        </w:rPr>
        <w:t>8.</w:t>
      </w:r>
      <w:r w:rsidRPr="00173F78">
        <w:rPr>
          <w:rFonts w:ascii="Arial" w:hAnsi="Arial" w:cs="Arial"/>
        </w:rPr>
        <w:tab/>
        <w:t>Bogaert J, Francone M: Cardiovascular magnetic resonance in pericardial diseases. J Cardiovasc Magn Reson. 2009, 11:14. 10.1186/1532-429X-11-14</w:t>
      </w:r>
    </w:p>
    <w:p w14:paraId="1515AB7E" w14:textId="77777777" w:rsidR="00173F78" w:rsidRPr="00173F78" w:rsidRDefault="00173F78" w:rsidP="00173F78">
      <w:pPr>
        <w:pStyle w:val="Bibliography"/>
        <w:rPr>
          <w:rFonts w:ascii="Arial" w:hAnsi="Arial" w:cs="Arial"/>
        </w:rPr>
      </w:pPr>
      <w:r w:rsidRPr="00173F78">
        <w:rPr>
          <w:rFonts w:ascii="Arial" w:hAnsi="Arial" w:cs="Arial"/>
        </w:rPr>
        <w:t>9.</w:t>
      </w:r>
      <w:r w:rsidRPr="00173F78">
        <w:rPr>
          <w:rFonts w:ascii="Arial" w:hAnsi="Arial" w:cs="Arial"/>
        </w:rPr>
        <w:tab/>
        <w:t>Sengupta PP, Krishnamoorthy VK, Abhayaratna WP, et al.: Disparate Patterns of Left Ventricular Mechanics Differentiate Constrictive Pericarditis From Restrictive Cardiomyopathy. JACC Cardiovasc Imaging. 2008, 1:29–38. 10.1016/j.jcmg.2007.10.006</w:t>
      </w:r>
    </w:p>
    <w:p w14:paraId="7B60BF30" w14:textId="77777777" w:rsidR="00173F78" w:rsidRPr="00173F78" w:rsidRDefault="00173F78" w:rsidP="00173F78">
      <w:pPr>
        <w:pStyle w:val="Bibliography"/>
        <w:rPr>
          <w:rFonts w:ascii="Arial" w:hAnsi="Arial" w:cs="Arial"/>
        </w:rPr>
      </w:pPr>
      <w:r w:rsidRPr="00173F78">
        <w:rPr>
          <w:rFonts w:ascii="Arial" w:hAnsi="Arial" w:cs="Arial"/>
        </w:rPr>
        <w:t>10.</w:t>
      </w:r>
      <w:r w:rsidRPr="00173F78">
        <w:rPr>
          <w:rFonts w:ascii="Arial" w:hAnsi="Arial" w:cs="Arial"/>
        </w:rPr>
        <w:tab/>
        <w:t>Syed FF, Schaff HV, Oh JK: Constrictive pericarditis—a curable diastolic heart failure. Nat Rev Cardiol. 2014, 11:530–44. 10.1038/nrcardio.2014.100</w:t>
      </w:r>
    </w:p>
    <w:p w14:paraId="4993910B" w14:textId="77777777" w:rsidR="00173F78" w:rsidRPr="00173F78" w:rsidRDefault="00173F78" w:rsidP="00173F78">
      <w:pPr>
        <w:pStyle w:val="Bibliography"/>
        <w:rPr>
          <w:rFonts w:ascii="Arial" w:hAnsi="Arial" w:cs="Arial"/>
        </w:rPr>
      </w:pPr>
      <w:r w:rsidRPr="00173F78">
        <w:rPr>
          <w:rFonts w:ascii="Arial" w:hAnsi="Arial" w:cs="Arial"/>
        </w:rPr>
        <w:t>11.</w:t>
      </w:r>
      <w:r w:rsidRPr="00173F78">
        <w:rPr>
          <w:rFonts w:ascii="Arial" w:hAnsi="Arial" w:cs="Arial"/>
        </w:rPr>
        <w:tab/>
        <w:t>Schwefer M, Aschenbach R, Heidemann J, Mey C, Lapp H: Constrictive pericarditis, still a diagnostic challenge: comprehensive review of clinical management. Eur J Cardiothorac Surg. 2009, 36:502–10. 10.1016/j.ejcts.2009.03.004</w:t>
      </w:r>
    </w:p>
    <w:p w14:paraId="3D302F88" w14:textId="77777777" w:rsidR="00400998" w:rsidRPr="00400998" w:rsidRDefault="00AA1330">
      <w:pPr>
        <w:rPr>
          <w:rFonts w:asciiTheme="minorBidi" w:hAnsiTheme="minorBidi"/>
        </w:rPr>
      </w:pPr>
      <w:r>
        <w:rPr>
          <w:rFonts w:asciiTheme="minorBidi" w:hAnsiTheme="minorBidi"/>
        </w:rPr>
        <w:fldChar w:fldCharType="end"/>
      </w:r>
    </w:p>
    <w:sectPr w:rsidR="00400998" w:rsidRPr="00400998" w:rsidSect="002A0245">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stinwijaya.aw@gmail.com" w:date="2025-06-18T14:43:00Z" w:initials="a">
    <w:p w14:paraId="2F949ABF" w14:textId="145042FA" w:rsidR="000B01DC" w:rsidRDefault="000B01DC">
      <w:pPr>
        <w:pStyle w:val="CommentText"/>
      </w:pPr>
      <w:r>
        <w:rPr>
          <w:rStyle w:val="CommentReference"/>
        </w:rPr>
        <w:annotationRef/>
      </w:r>
      <w:r w:rsidR="00000000">
        <w:rPr>
          <w:noProof/>
        </w:rPr>
        <w:t xml:space="preserve">please add </w:t>
      </w:r>
      <w:r w:rsidR="00000000">
        <w:rPr>
          <w:noProof/>
        </w:rPr>
        <w:t xml:space="preserve">more details about diagnostic pattern of CP before, from the </w:t>
      </w:r>
      <w:r w:rsidR="00000000">
        <w:rPr>
          <w:noProof/>
        </w:rPr>
        <w:t>eviden</w:t>
      </w:r>
      <w:r w:rsidR="00000000">
        <w:rPr>
          <w:noProof/>
        </w:rPr>
        <w:t>t base data</w:t>
      </w:r>
    </w:p>
  </w:comment>
  <w:comment w:id="1" w:author="austinwijaya.aw@gmail.com" w:date="2025-06-18T14:46:00Z" w:initials="a">
    <w:p w14:paraId="5ACCDA7A" w14:textId="631C50D9" w:rsidR="000B01DC" w:rsidRDefault="000B01DC">
      <w:pPr>
        <w:pStyle w:val="CommentText"/>
      </w:pPr>
      <w:r>
        <w:rPr>
          <w:rStyle w:val="CommentReference"/>
        </w:rPr>
        <w:annotationRef/>
      </w:r>
      <w:r w:rsidR="00000000">
        <w:rPr>
          <w:noProof/>
        </w:rPr>
        <w:t>p</w:t>
      </w:r>
      <w:r w:rsidR="00000000">
        <w:rPr>
          <w:noProof/>
        </w:rPr>
        <w:t xml:space="preserve">lease add the gold standar </w:t>
      </w:r>
      <w:r w:rsidR="00000000">
        <w:rPr>
          <w:noProof/>
        </w:rPr>
        <w:t>of CP diagnos</w:t>
      </w:r>
      <w:r w:rsidR="00000000">
        <w:rPr>
          <w:noProof/>
        </w:rPr>
        <w:t>is</w:t>
      </w:r>
    </w:p>
  </w:comment>
  <w:comment w:id="2" w:author="austinwijaya.aw@gmail.com" w:date="2025-06-18T14:45:00Z" w:initials="a">
    <w:p w14:paraId="4BAE3EDE" w14:textId="648B181F" w:rsidR="000B01DC" w:rsidRDefault="000B01DC">
      <w:pPr>
        <w:pStyle w:val="CommentText"/>
      </w:pPr>
      <w:r>
        <w:rPr>
          <w:rStyle w:val="CommentReference"/>
        </w:rPr>
        <w:annotationRef/>
      </w:r>
      <w:r w:rsidR="00000000">
        <w:rPr>
          <w:noProof/>
        </w:rPr>
        <w:t>i think in this section need to explain why the TTE was conducted in this patient, after the previous examination or assesment (the indication of TTE)</w:t>
      </w:r>
    </w:p>
  </w:comment>
  <w:comment w:id="3" w:author="austinwijaya.aw@gmail.com" w:date="2025-06-18T14:47:00Z" w:initials="a">
    <w:p w14:paraId="4DC7EDBD" w14:textId="151AAE25" w:rsidR="000B01DC" w:rsidRDefault="000B01DC">
      <w:pPr>
        <w:pStyle w:val="CommentText"/>
      </w:pPr>
      <w:r>
        <w:rPr>
          <w:rStyle w:val="CommentReference"/>
        </w:rPr>
        <w:annotationRef/>
      </w:r>
      <w:r w:rsidR="00000000">
        <w:rPr>
          <w:noProof/>
        </w:rPr>
        <w:t xml:space="preserve">please add also how TTE was opted </w:t>
      </w:r>
      <w:r w:rsidR="00000000">
        <w:rPr>
          <w:noProof/>
        </w:rPr>
        <w:t xml:space="preserve">in this case. because the title is focused </w:t>
      </w:r>
      <w:r w:rsidR="00000000">
        <w:rPr>
          <w:noProof/>
        </w:rPr>
        <w:t>diagnostic role for TTE, it will be better if the reason or benefit of TTE is mentioned in this section</w:t>
      </w:r>
    </w:p>
  </w:comment>
  <w:comment w:id="4" w:author="austinwijaya.aw@gmail.com" w:date="2025-06-18T14:49:00Z" w:initials="a">
    <w:p w14:paraId="33385563" w14:textId="7675A035" w:rsidR="000B01DC" w:rsidRDefault="000B01DC">
      <w:pPr>
        <w:pStyle w:val="CommentText"/>
      </w:pPr>
      <w:r>
        <w:rPr>
          <w:rStyle w:val="CommentReference"/>
        </w:rPr>
        <w:annotationRef/>
      </w:r>
      <w:r w:rsidR="00000000">
        <w:rPr>
          <w:noProof/>
        </w:rPr>
        <w:t xml:space="preserve">please </w:t>
      </w:r>
      <w:r w:rsidR="00000000">
        <w:rPr>
          <w:noProof/>
        </w:rPr>
        <w:t>update some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949ABF" w15:done="0"/>
  <w15:commentEx w15:paraId="5ACCDA7A" w15:done="0"/>
  <w15:commentEx w15:paraId="4BAE3EDE" w15:done="0"/>
  <w15:commentEx w15:paraId="4DC7EDBD" w15:done="0"/>
  <w15:commentEx w15:paraId="333855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4A0E04" w16cex:dateUtc="2025-06-18T06:43:00Z"/>
  <w16cex:commentExtensible w16cex:durableId="1347EA17" w16cex:dateUtc="2025-06-18T06:46:00Z"/>
  <w16cex:commentExtensible w16cex:durableId="677B6072" w16cex:dateUtc="2025-06-18T06:45:00Z"/>
  <w16cex:commentExtensible w16cex:durableId="508CF04B" w16cex:dateUtc="2025-06-18T06:47:00Z"/>
  <w16cex:commentExtensible w16cex:durableId="69BB5A83" w16cex:dateUtc="2025-06-18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949ABF" w16cid:durableId="004A0E04"/>
  <w16cid:commentId w16cid:paraId="5ACCDA7A" w16cid:durableId="1347EA17"/>
  <w16cid:commentId w16cid:paraId="4BAE3EDE" w16cid:durableId="677B6072"/>
  <w16cid:commentId w16cid:paraId="4DC7EDBD" w16cid:durableId="508CF04B"/>
  <w16cid:commentId w16cid:paraId="33385563" w16cid:durableId="69BB5A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F9DC" w14:textId="77777777" w:rsidR="002F41DB" w:rsidRDefault="002F41DB" w:rsidP="005003FE">
      <w:pPr>
        <w:spacing w:after="0" w:line="240" w:lineRule="auto"/>
      </w:pPr>
      <w:r>
        <w:separator/>
      </w:r>
    </w:p>
  </w:endnote>
  <w:endnote w:type="continuationSeparator" w:id="0">
    <w:p w14:paraId="60250EF1" w14:textId="77777777" w:rsidR="002F41DB" w:rsidRDefault="002F41DB" w:rsidP="0050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BD04" w14:textId="77777777" w:rsidR="002A0245" w:rsidRDefault="002A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D2FE" w14:textId="77777777" w:rsidR="005003FE" w:rsidRDefault="00500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F1B2" w14:textId="77777777" w:rsidR="002A0245" w:rsidRDefault="002A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EAA1" w14:textId="77777777" w:rsidR="002F41DB" w:rsidRDefault="002F41DB" w:rsidP="005003FE">
      <w:pPr>
        <w:spacing w:after="0" w:line="240" w:lineRule="auto"/>
      </w:pPr>
      <w:r>
        <w:separator/>
      </w:r>
    </w:p>
  </w:footnote>
  <w:footnote w:type="continuationSeparator" w:id="0">
    <w:p w14:paraId="7624DAF4" w14:textId="77777777" w:rsidR="002F41DB" w:rsidRDefault="002F41DB" w:rsidP="0050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450F" w14:textId="50BD9BB3" w:rsidR="002A0245" w:rsidRDefault="002F41DB">
    <w:pPr>
      <w:pStyle w:val="Header"/>
    </w:pPr>
    <w:r>
      <w:rPr>
        <w:noProof/>
      </w:rPr>
      <w:pict w14:anchorId="16799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8" o:spid="_x0000_s1027" type="#_x0000_t136" alt="" style="position:absolute;margin-left:0;margin-top:0;width:558.35pt;height:104.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14B6" w14:textId="6A817480" w:rsidR="002A0245" w:rsidRDefault="002F41DB">
    <w:pPr>
      <w:pStyle w:val="Header"/>
    </w:pPr>
    <w:r>
      <w:rPr>
        <w:noProof/>
      </w:rPr>
      <w:pict w14:anchorId="433F3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9" o:spid="_x0000_s1026" type="#_x0000_t136" alt="" style="position:absolute;margin-left:0;margin-top:0;width:558.35pt;height:104.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AA0D" w14:textId="3AD39760" w:rsidR="002A0245" w:rsidRDefault="002F41DB">
    <w:pPr>
      <w:pStyle w:val="Header"/>
    </w:pPr>
    <w:r>
      <w:rPr>
        <w:noProof/>
      </w:rPr>
      <w:pict w14:anchorId="242F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7" o:spid="_x0000_s1025" type="#_x0000_t136" alt="" style="position:absolute;margin-left:0;margin-top:0;width:558.35pt;height:104.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D69"/>
    <w:multiLevelType w:val="multilevel"/>
    <w:tmpl w:val="02DC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A5063"/>
    <w:multiLevelType w:val="multilevel"/>
    <w:tmpl w:val="431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32984"/>
    <w:multiLevelType w:val="multilevel"/>
    <w:tmpl w:val="E324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12FD4"/>
    <w:multiLevelType w:val="multilevel"/>
    <w:tmpl w:val="3874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A387D"/>
    <w:multiLevelType w:val="multilevel"/>
    <w:tmpl w:val="A54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74773"/>
    <w:multiLevelType w:val="hybridMultilevel"/>
    <w:tmpl w:val="832A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1108B"/>
    <w:multiLevelType w:val="multilevel"/>
    <w:tmpl w:val="97DE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A965C6"/>
    <w:multiLevelType w:val="multilevel"/>
    <w:tmpl w:val="6AE6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338A7"/>
    <w:multiLevelType w:val="multilevel"/>
    <w:tmpl w:val="3498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9C46F3"/>
    <w:multiLevelType w:val="multilevel"/>
    <w:tmpl w:val="2C0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260773">
    <w:abstractNumId w:val="7"/>
  </w:num>
  <w:num w:numId="2" w16cid:durableId="978459387">
    <w:abstractNumId w:val="2"/>
  </w:num>
  <w:num w:numId="3" w16cid:durableId="557128171">
    <w:abstractNumId w:val="3"/>
  </w:num>
  <w:num w:numId="4" w16cid:durableId="52314458">
    <w:abstractNumId w:val="4"/>
  </w:num>
  <w:num w:numId="5" w16cid:durableId="1330055887">
    <w:abstractNumId w:val="8"/>
  </w:num>
  <w:num w:numId="6" w16cid:durableId="1925600734">
    <w:abstractNumId w:val="5"/>
  </w:num>
  <w:num w:numId="7" w16cid:durableId="1620182110">
    <w:abstractNumId w:val="9"/>
  </w:num>
  <w:num w:numId="8" w16cid:durableId="2035037596">
    <w:abstractNumId w:val="1"/>
  </w:num>
  <w:num w:numId="9" w16cid:durableId="793910353">
    <w:abstractNumId w:val="6"/>
  </w:num>
  <w:num w:numId="10" w16cid:durableId="20085593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stinwijaya.aw@gmail.com">
    <w15:presenceInfo w15:providerId="Windows Live" w15:userId="9e37cb003d3df4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98"/>
    <w:rsid w:val="00055171"/>
    <w:rsid w:val="000941AD"/>
    <w:rsid w:val="000B01DC"/>
    <w:rsid w:val="000D0FD0"/>
    <w:rsid w:val="00107B4D"/>
    <w:rsid w:val="00173F78"/>
    <w:rsid w:val="0019652E"/>
    <w:rsid w:val="001E0588"/>
    <w:rsid w:val="002A0245"/>
    <w:rsid w:val="002E1B46"/>
    <w:rsid w:val="002F41DB"/>
    <w:rsid w:val="00393FB8"/>
    <w:rsid w:val="003D740A"/>
    <w:rsid w:val="00400998"/>
    <w:rsid w:val="00427F98"/>
    <w:rsid w:val="00467D7B"/>
    <w:rsid w:val="00480A0C"/>
    <w:rsid w:val="005003FE"/>
    <w:rsid w:val="005C4FD5"/>
    <w:rsid w:val="00616813"/>
    <w:rsid w:val="00734C5A"/>
    <w:rsid w:val="007410A4"/>
    <w:rsid w:val="007B4BFA"/>
    <w:rsid w:val="007D4D21"/>
    <w:rsid w:val="008A62A7"/>
    <w:rsid w:val="00935955"/>
    <w:rsid w:val="009544DF"/>
    <w:rsid w:val="00A25FE2"/>
    <w:rsid w:val="00AA1330"/>
    <w:rsid w:val="00B44D87"/>
    <w:rsid w:val="00B63BE9"/>
    <w:rsid w:val="00BD0E82"/>
    <w:rsid w:val="00C67820"/>
    <w:rsid w:val="00C85F47"/>
    <w:rsid w:val="00C90B82"/>
    <w:rsid w:val="00CE4175"/>
    <w:rsid w:val="00D26B19"/>
    <w:rsid w:val="00E14262"/>
    <w:rsid w:val="00EA1610"/>
    <w:rsid w:val="00EC4D1C"/>
    <w:rsid w:val="00F25A06"/>
    <w:rsid w:val="00F62AC3"/>
    <w:rsid w:val="00FE0F55"/>
    <w:rsid w:val="00FF2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FD10A"/>
  <w15:chartTrackingRefBased/>
  <w15:docId w15:val="{8382146D-C650-4368-89FD-6864D8C2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1DC"/>
    <w:pPr>
      <w:spacing w:line="278" w:lineRule="auto"/>
    </w:pPr>
    <w:rPr>
      <w:kern w:val="2"/>
      <w:sz w:val="24"/>
      <w:szCs w:val="24"/>
      <w:lang w:val="en-ID"/>
      <w14:ligatures w14:val="standardContextual"/>
    </w:rPr>
  </w:style>
  <w:style w:type="paragraph" w:styleId="Heading1">
    <w:name w:val="heading 1"/>
    <w:basedOn w:val="Normal"/>
    <w:link w:val="Heading1Char"/>
    <w:uiPriority w:val="9"/>
    <w:qFormat/>
    <w:rsid w:val="00400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09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0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rsid w:val="000B01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01DC"/>
  </w:style>
  <w:style w:type="character" w:customStyle="1" w:styleId="Heading1Char">
    <w:name w:val="Heading 1 Char"/>
    <w:basedOn w:val="DefaultParagraphFont"/>
    <w:link w:val="Heading1"/>
    <w:uiPriority w:val="9"/>
    <w:rsid w:val="004009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09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0998"/>
    <w:rPr>
      <w:rFonts w:ascii="Times New Roman" w:eastAsia="Times New Roman" w:hAnsi="Times New Roman" w:cs="Times New Roman"/>
      <w:b/>
      <w:bCs/>
      <w:sz w:val="27"/>
      <w:szCs w:val="27"/>
    </w:rPr>
  </w:style>
  <w:style w:type="character" w:styleId="Strong">
    <w:name w:val="Strong"/>
    <w:basedOn w:val="DefaultParagraphFont"/>
    <w:uiPriority w:val="22"/>
    <w:qFormat/>
    <w:rsid w:val="00400998"/>
    <w:rPr>
      <w:b/>
      <w:bCs/>
    </w:rPr>
  </w:style>
  <w:style w:type="paragraph" w:customStyle="1" w:styleId="ds-markdown-paragraph">
    <w:name w:val="ds-markdown-paragraph"/>
    <w:basedOn w:val="Normal"/>
    <w:rsid w:val="00400998"/>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400998"/>
    <w:rPr>
      <w:i/>
      <w:iCs/>
    </w:rPr>
  </w:style>
  <w:style w:type="paragraph" w:customStyle="1" w:styleId="Copyright">
    <w:name w:val="Copyright"/>
    <w:basedOn w:val="Normal"/>
    <w:rsid w:val="00400998"/>
    <w:pPr>
      <w:spacing w:after="960" w:line="200" w:lineRule="exact"/>
    </w:pPr>
    <w:rPr>
      <w:rFonts w:ascii="Helvetica" w:eastAsia="Times New Roman" w:hAnsi="Helvetica" w:cs="Times New Roman"/>
      <w:sz w:val="16"/>
      <w:szCs w:val="20"/>
    </w:rPr>
  </w:style>
  <w:style w:type="paragraph" w:customStyle="1" w:styleId="Body">
    <w:name w:val="Body"/>
    <w:basedOn w:val="Normal"/>
    <w:rsid w:val="00400998"/>
    <w:pPr>
      <w:spacing w:after="240" w:line="240" w:lineRule="auto"/>
      <w:jc w:val="both"/>
    </w:pPr>
    <w:rPr>
      <w:rFonts w:ascii="Helvetica" w:eastAsia="Times New Roman" w:hAnsi="Helvetica" w:cs="Times New Roman"/>
      <w:sz w:val="20"/>
      <w:szCs w:val="20"/>
    </w:rPr>
  </w:style>
  <w:style w:type="paragraph" w:styleId="ListParagraph">
    <w:name w:val="List Paragraph"/>
    <w:basedOn w:val="Normal"/>
    <w:uiPriority w:val="34"/>
    <w:qFormat/>
    <w:rsid w:val="00400998"/>
    <w:pPr>
      <w:ind w:left="720"/>
      <w:contextualSpacing/>
    </w:pPr>
  </w:style>
  <w:style w:type="paragraph" w:customStyle="1" w:styleId="ReferHead">
    <w:name w:val="Refer Head"/>
    <w:basedOn w:val="Normal"/>
    <w:rsid w:val="00C67820"/>
    <w:pPr>
      <w:keepNext/>
      <w:spacing w:after="240" w:line="240" w:lineRule="auto"/>
    </w:pPr>
    <w:rPr>
      <w:rFonts w:ascii="Helvetica" w:eastAsia="Times New Roman" w:hAnsi="Helvetica" w:cs="Times New Roman"/>
      <w:b/>
      <w:caps/>
      <w:szCs w:val="20"/>
    </w:rPr>
  </w:style>
  <w:style w:type="paragraph" w:styleId="Bibliography">
    <w:name w:val="Bibliography"/>
    <w:basedOn w:val="Normal"/>
    <w:next w:val="Normal"/>
    <w:uiPriority w:val="37"/>
    <w:unhideWhenUsed/>
    <w:rsid w:val="00AA1330"/>
    <w:pPr>
      <w:tabs>
        <w:tab w:val="left" w:pos="384"/>
      </w:tabs>
      <w:spacing w:after="240" w:line="240" w:lineRule="auto"/>
      <w:ind w:left="384" w:hanging="384"/>
    </w:pPr>
  </w:style>
  <w:style w:type="paragraph" w:styleId="Caption">
    <w:name w:val="caption"/>
    <w:basedOn w:val="Normal"/>
    <w:next w:val="Normal"/>
    <w:uiPriority w:val="35"/>
    <w:unhideWhenUsed/>
    <w:qFormat/>
    <w:rsid w:val="00FF21F1"/>
    <w:pPr>
      <w:spacing w:line="240" w:lineRule="auto"/>
    </w:pPr>
    <w:rPr>
      <w:i/>
      <w:iCs/>
      <w:color w:val="44546A" w:themeColor="text2"/>
      <w:sz w:val="18"/>
      <w:szCs w:val="18"/>
    </w:rPr>
  </w:style>
  <w:style w:type="paragraph" w:styleId="Header">
    <w:name w:val="header"/>
    <w:basedOn w:val="Normal"/>
    <w:link w:val="HeaderChar"/>
    <w:uiPriority w:val="99"/>
    <w:unhideWhenUsed/>
    <w:rsid w:val="005003F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003FE"/>
  </w:style>
  <w:style w:type="paragraph" w:styleId="Footer">
    <w:name w:val="footer"/>
    <w:basedOn w:val="Normal"/>
    <w:link w:val="FooterChar"/>
    <w:unhideWhenUsed/>
    <w:rsid w:val="005003F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003FE"/>
  </w:style>
  <w:style w:type="character" w:styleId="LineNumber">
    <w:name w:val="line number"/>
    <w:basedOn w:val="DefaultParagraphFont"/>
    <w:uiPriority w:val="99"/>
    <w:semiHidden/>
    <w:unhideWhenUsed/>
    <w:rsid w:val="007410A4"/>
  </w:style>
  <w:style w:type="character" w:styleId="Hyperlink">
    <w:name w:val="Hyperlink"/>
    <w:basedOn w:val="DefaultParagraphFont"/>
    <w:uiPriority w:val="99"/>
    <w:unhideWhenUsed/>
    <w:rsid w:val="00107B4D"/>
    <w:rPr>
      <w:color w:val="0563C1" w:themeColor="hyperlink"/>
      <w:u w:val="single"/>
    </w:rPr>
  </w:style>
  <w:style w:type="character" w:styleId="UnresolvedMention">
    <w:name w:val="Unresolved Mention"/>
    <w:basedOn w:val="DefaultParagraphFont"/>
    <w:uiPriority w:val="99"/>
    <w:semiHidden/>
    <w:unhideWhenUsed/>
    <w:rsid w:val="00107B4D"/>
    <w:rPr>
      <w:color w:val="605E5C"/>
      <w:shd w:val="clear" w:color="auto" w:fill="E1DFDD"/>
    </w:rPr>
  </w:style>
  <w:style w:type="character" w:styleId="CommentReference">
    <w:name w:val="annotation reference"/>
    <w:basedOn w:val="DefaultParagraphFont"/>
    <w:uiPriority w:val="99"/>
    <w:semiHidden/>
    <w:unhideWhenUsed/>
    <w:rsid w:val="000B01DC"/>
    <w:rPr>
      <w:sz w:val="16"/>
      <w:szCs w:val="16"/>
    </w:rPr>
  </w:style>
  <w:style w:type="paragraph" w:styleId="CommentText">
    <w:name w:val="annotation text"/>
    <w:basedOn w:val="Normal"/>
    <w:link w:val="CommentTextChar"/>
    <w:uiPriority w:val="99"/>
    <w:semiHidden/>
    <w:unhideWhenUsed/>
    <w:rsid w:val="000B01DC"/>
    <w:pPr>
      <w:spacing w:line="240" w:lineRule="auto"/>
    </w:pPr>
    <w:rPr>
      <w:sz w:val="20"/>
      <w:szCs w:val="20"/>
    </w:rPr>
  </w:style>
  <w:style w:type="character" w:customStyle="1" w:styleId="CommentTextChar">
    <w:name w:val="Comment Text Char"/>
    <w:basedOn w:val="DefaultParagraphFont"/>
    <w:link w:val="CommentText"/>
    <w:uiPriority w:val="99"/>
    <w:semiHidden/>
    <w:rsid w:val="000B01DC"/>
    <w:rPr>
      <w:kern w:val="2"/>
      <w:sz w:val="20"/>
      <w:szCs w:val="20"/>
      <w:lang w:val="en-ID"/>
      <w14:ligatures w14:val="standardContextual"/>
    </w:rPr>
  </w:style>
  <w:style w:type="paragraph" w:styleId="CommentSubject">
    <w:name w:val="annotation subject"/>
    <w:basedOn w:val="CommentText"/>
    <w:next w:val="CommentText"/>
    <w:link w:val="CommentSubjectChar"/>
    <w:uiPriority w:val="99"/>
    <w:semiHidden/>
    <w:unhideWhenUsed/>
    <w:rsid w:val="000B01DC"/>
    <w:rPr>
      <w:b/>
      <w:bCs/>
    </w:rPr>
  </w:style>
  <w:style w:type="character" w:customStyle="1" w:styleId="CommentSubjectChar">
    <w:name w:val="Comment Subject Char"/>
    <w:basedOn w:val="CommentTextChar"/>
    <w:link w:val="CommentSubject"/>
    <w:uiPriority w:val="99"/>
    <w:semiHidden/>
    <w:rsid w:val="000B01DC"/>
    <w:rPr>
      <w:b/>
      <w:bCs/>
      <w:kern w:val="2"/>
      <w:sz w:val="20"/>
      <w:szCs w:val="20"/>
      <w:lang w:val="en-ID"/>
      <w14:ligatures w14:val="standardContextual"/>
    </w:rPr>
  </w:style>
  <w:style w:type="paragraph" w:styleId="Revision">
    <w:name w:val="Revision"/>
    <w:hidden/>
    <w:uiPriority w:val="99"/>
    <w:semiHidden/>
    <w:rsid w:val="000B01DC"/>
    <w:pPr>
      <w:spacing w:after="0" w:line="240" w:lineRule="auto"/>
    </w:pPr>
    <w:rPr>
      <w:kern w:val="2"/>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4481">
      <w:bodyDiv w:val="1"/>
      <w:marLeft w:val="0"/>
      <w:marRight w:val="0"/>
      <w:marTop w:val="0"/>
      <w:marBottom w:val="0"/>
      <w:divBdr>
        <w:top w:val="none" w:sz="0" w:space="0" w:color="auto"/>
        <w:left w:val="none" w:sz="0" w:space="0" w:color="auto"/>
        <w:bottom w:val="none" w:sz="0" w:space="0" w:color="auto"/>
        <w:right w:val="none" w:sz="0" w:space="0" w:color="auto"/>
      </w:divBdr>
    </w:div>
    <w:div w:id="393435570">
      <w:bodyDiv w:val="1"/>
      <w:marLeft w:val="0"/>
      <w:marRight w:val="0"/>
      <w:marTop w:val="0"/>
      <w:marBottom w:val="0"/>
      <w:divBdr>
        <w:top w:val="none" w:sz="0" w:space="0" w:color="auto"/>
        <w:left w:val="none" w:sz="0" w:space="0" w:color="auto"/>
        <w:bottom w:val="none" w:sz="0" w:space="0" w:color="auto"/>
        <w:right w:val="none" w:sz="0" w:space="0" w:color="auto"/>
      </w:divBdr>
    </w:div>
    <w:div w:id="775951903">
      <w:bodyDiv w:val="1"/>
      <w:marLeft w:val="0"/>
      <w:marRight w:val="0"/>
      <w:marTop w:val="0"/>
      <w:marBottom w:val="0"/>
      <w:divBdr>
        <w:top w:val="none" w:sz="0" w:space="0" w:color="auto"/>
        <w:left w:val="none" w:sz="0" w:space="0" w:color="auto"/>
        <w:bottom w:val="none" w:sz="0" w:space="0" w:color="auto"/>
        <w:right w:val="none" w:sz="0" w:space="0" w:color="auto"/>
      </w:divBdr>
    </w:div>
    <w:div w:id="1084884393">
      <w:bodyDiv w:val="1"/>
      <w:marLeft w:val="0"/>
      <w:marRight w:val="0"/>
      <w:marTop w:val="0"/>
      <w:marBottom w:val="0"/>
      <w:divBdr>
        <w:top w:val="none" w:sz="0" w:space="0" w:color="auto"/>
        <w:left w:val="none" w:sz="0" w:space="0" w:color="auto"/>
        <w:bottom w:val="none" w:sz="0" w:space="0" w:color="auto"/>
        <w:right w:val="none" w:sz="0" w:space="0" w:color="auto"/>
      </w:divBdr>
    </w:div>
    <w:div w:id="1355617657">
      <w:bodyDiv w:val="1"/>
      <w:marLeft w:val="0"/>
      <w:marRight w:val="0"/>
      <w:marTop w:val="0"/>
      <w:marBottom w:val="0"/>
      <w:divBdr>
        <w:top w:val="none" w:sz="0" w:space="0" w:color="auto"/>
        <w:left w:val="none" w:sz="0" w:space="0" w:color="auto"/>
        <w:bottom w:val="none" w:sz="0" w:space="0" w:color="auto"/>
        <w:right w:val="none" w:sz="0" w:space="0" w:color="auto"/>
      </w:divBdr>
    </w:div>
    <w:div w:id="15196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7E01-8802-49B5-9777-4BFF7D38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dc:creator>
  <cp:keywords/>
  <dc:description/>
  <cp:lastModifiedBy>austinwijaya.aw@gmail.com</cp:lastModifiedBy>
  <cp:revision>15</cp:revision>
  <dcterms:created xsi:type="dcterms:W3CDTF">2025-06-13T10:18:00Z</dcterms:created>
  <dcterms:modified xsi:type="dcterms:W3CDTF">2025-06-18T06:49:00Z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47167751-9b00-474d-ac1a-38e2b8b9e5e3</vt:lpwstr>
  </property>
  <property fmtid="{D5CDD505-2E9C-101B-9397-08002B2CF9AE}" pid="3" name="ZOTERO_PREF_1">
    <vt:lpwstr>&lt;data data-version="3" zotero-version="7.0.15"&gt;&lt;session id="d0iEfdmd"/&gt;&lt;style id="http://www.zotero.org/styles/cureus" hasBibliography="1" bibliographyStyleHasBeenSet="1"/&gt;&lt;prefs&gt;&lt;pref name="fieldType" value="Field"/&gt;&lt;pref name="automaticJournalAbbreviati</vt:lpwstr>
  </property>
  <property fmtid="{D5CDD505-2E9C-101B-9397-08002B2CF9AE}" pid="4" name="ZOTERO_PREF_2">
    <vt:lpwstr>ons" value="true"/&gt;&lt;/prefs&gt;&lt;/data&gt;</vt:lpwstr>
  </property>
</Properties>
</file>