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customXml/itemProps11.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word/commentsExtended.xml" ContentType="application/vnd.openxmlformats-officedocument.wordprocessingml.commentsExtended+xml"/>
  <Override PartName="/word/footer3.xml" ContentType="application/vnd.openxmlformats-officedocument.wordprocessingml.footer+xml"/>
  <Override PartName="/customXml/itemProps12.xml" ContentType="application/vnd.openxmlformats-officedocument.customXml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9.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8.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word/header2.xml" ContentType="application/vnd.openxmlformats-officedocument.wordprocessingml.header+xml"/>
  <Override PartName="/word/comments.xml" ContentType="application/vnd.openxmlformats-officedocument.wordprocessingml.comment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6"/>
          <w:szCs w:val="26"/>
        </w:rPr>
      </w:pPr>
      <w:r>
        <w:rPr>
          <w:b/>
          <w:bCs/>
          <w:sz w:val="26"/>
          <w:szCs w:val="26"/>
        </w:rPr>
        <w:t>Response of Tomato (</w:t>
      </w:r>
      <w:r>
        <w:rPr>
          <w:i/>
          <w:iCs/>
          <w:sz w:val="26"/>
          <w:szCs w:val="26"/>
        </w:rPr>
        <w:t xml:space="preserve">Solanum </w:t>
      </w:r>
      <w:r>
        <w:rPr>
          <w:i/>
          <w:iCs/>
          <w:sz w:val="26"/>
          <w:szCs w:val="26"/>
        </w:rPr>
        <w:t>Lycopersicum</w:t>
      </w:r>
      <w:r>
        <w:rPr>
          <w:i/>
          <w:iCs/>
          <w:sz w:val="26"/>
          <w:szCs w:val="26"/>
        </w:rPr>
        <w:t xml:space="preserve"> </w:t>
      </w:r>
      <w:r>
        <w:rPr>
          <w:sz w:val="26"/>
          <w:szCs w:val="26"/>
        </w:rPr>
        <w:t>L</w:t>
      </w:r>
      <w:r>
        <w:rPr>
          <w:b/>
          <w:bCs/>
          <w:sz w:val="26"/>
          <w:szCs w:val="26"/>
        </w:rPr>
        <w:t xml:space="preserve">.) Varieties to Application of NPS Fertilizer Rates in </w:t>
      </w:r>
      <w:r>
        <w:rPr>
          <w:b/>
          <w:bCs/>
          <w:sz w:val="26"/>
          <w:szCs w:val="26"/>
        </w:rPr>
        <w:t>Gursum</w:t>
      </w:r>
      <w:r>
        <w:rPr>
          <w:b/>
          <w:bCs/>
          <w:sz w:val="26"/>
          <w:szCs w:val="26"/>
        </w:rPr>
        <w:t xml:space="preserve"> District, Somali Region, Ethiopia</w:t>
      </w:r>
    </w:p>
    <w:bookmarkStart w:id="0" w:name="_Toc178174228"/>
    <w:p>
      <w:pPr>
        <w:pStyle w:val="style1"/>
        <w:numPr>
          <w:ilvl w:val="0"/>
          <w:numId w:val="0"/>
        </w:numPr>
        <w:ind w:left="360" w:hanging="360"/>
        <w:rPr/>
      </w:pPr>
      <w:r>
        <w:t>ABSTRACT</w:t>
      </w:r>
      <w:bookmarkEnd w:id="0"/>
    </w:p>
    <w:p>
      <w:pPr>
        <w:pStyle w:val="style0"/>
        <w:spacing w:before="0" w:after="120"/>
        <w:rPr>
          <w:i/>
          <w:iCs/>
        </w:rPr>
      </w:pPr>
      <w:r>
        <w:rPr>
          <w:i/>
          <w:iCs/>
        </w:rPr>
        <w:t>Tomato</w:t>
      </w:r>
      <w:r>
        <w:rPr>
          <w:i/>
          <w:iCs/>
        </w:rPr>
        <w:t xml:space="preserve"> (</w:t>
      </w:r>
      <w:r>
        <w:rPr>
          <w:i/>
          <w:iCs/>
        </w:rPr>
        <w:t xml:space="preserve">Solanum </w:t>
      </w:r>
      <w:r>
        <w:rPr>
          <w:i/>
          <w:iCs/>
        </w:rPr>
        <w:t>lycopersicum</w:t>
      </w:r>
      <w:r>
        <w:rPr>
          <w:i/>
          <w:iCs/>
        </w:rPr>
        <w:t>)</w:t>
      </w:r>
      <w:r>
        <w:rPr>
          <w:i/>
          <w:iCs/>
        </w:rPr>
        <w:t xml:space="preserve"> production in the </w:t>
      </w:r>
      <w:r>
        <w:rPr>
          <w:i/>
          <w:iCs/>
        </w:rPr>
        <w:t>Gursum</w:t>
      </w:r>
      <w:r>
        <w:rPr>
          <w:i/>
          <w:iCs/>
        </w:rPr>
        <w:t xml:space="preserve"> District is crucial for both food supply and income generation, but it faces significant challenges such as soil nutrient deficiencies, limited access to improved varieties, and the need fo</w:t>
      </w:r>
      <w:bookmarkStart w:id="1" w:name="_GoBack"/>
      <w:bookmarkEnd w:id="1"/>
      <w:r>
        <w:rPr>
          <w:i/>
          <w:iCs/>
        </w:rPr>
        <w:t>r optimal fertilizer application. These issues often lead to lower yields and reduced profitability for farmers. To address these challenges, an experiment was conducted to identify the best tomato variety and the optimal NPS fertilizer rate to maximize fruit yield and economic benefits. The study tested three tomato varieties (</w:t>
      </w:r>
      <w:r>
        <w:rPr>
          <w:i/>
          <w:iCs/>
        </w:rPr>
        <w:t>Cochoro</w:t>
      </w:r>
      <w:r>
        <w:rPr>
          <w:i/>
          <w:iCs/>
        </w:rPr>
        <w:t xml:space="preserve">, </w:t>
      </w:r>
      <w:r>
        <w:rPr>
          <w:i/>
          <w:iCs/>
        </w:rPr>
        <w:t>Chali</w:t>
      </w:r>
      <w:r>
        <w:rPr>
          <w:i/>
          <w:iCs/>
        </w:rPr>
        <w:t xml:space="preserve">, and </w:t>
      </w:r>
      <w:r>
        <w:rPr>
          <w:i/>
          <w:iCs/>
        </w:rPr>
        <w:t>Gelilema</w:t>
      </w:r>
      <w:r>
        <w:rPr>
          <w:i/>
          <w:iCs/>
        </w:rPr>
        <w:t xml:space="preserve">) and five NPS fertilizer rates (0, 50, 100, 150, and 200 kg ha⁻¹) using a randomized complete block design with three replications. The results showed that both the tomato variety and the NPS fertilizer rates significantly affected the days to 50% flowering and maturity, the number of fruits per cluster, the yield of marketable and unmarketable fruits, the total fruit yield, and the average fruit weight. However, the interaction between the variety and fertilizer rates was not significant. Higher NPS rates (200 and 150 kg ha⁻¹) led to increased days to flowering and maturity, improved plant growth, more fruit sets, and higher yields, with the highest values observed at 200 kg ha⁻¹. The control group had the lowest values for all parameters, highlighting the importance of NPS fertilizer. The 150 kg ha⁻¹ rate produced the highest marketable fruit yield (42.76 t ha⁻¹) and the best economic outcomes, including the highest net benefit (662,158 ETB), benefit-cost ratio (6.15), and marginal rate of return (5173.26%). Additionally, growing the </w:t>
      </w:r>
      <w:r>
        <w:rPr>
          <w:i/>
          <w:iCs/>
        </w:rPr>
        <w:t>Gelilema</w:t>
      </w:r>
      <w:r>
        <w:rPr>
          <w:i/>
          <w:iCs/>
        </w:rPr>
        <w:t xml:space="preserve"> variety with 150 kg ha⁻¹ NPS fertilizer could further increase the net benefit, benefit-cost ratio, and marginal rate of return to 770,451 ETB, 7.16, and 5562.28, respectively. Therefore, applying </w:t>
      </w:r>
      <w:r>
        <w:rPr>
          <w:i/>
          <w:iCs/>
        </w:rPr>
        <w:t xml:space="preserve">NPS fertilizer </w:t>
      </w:r>
      <w:r>
        <w:rPr>
          <w:i/>
          <w:iCs/>
        </w:rPr>
        <w:t xml:space="preserve">rate of </w:t>
      </w:r>
      <w:r>
        <w:rPr>
          <w:i/>
          <w:iCs/>
        </w:rPr>
        <w:t>150</w:t>
      </w:r>
      <w:r>
        <w:rPr>
          <w:i/>
          <w:iCs/>
        </w:rPr>
        <w:t xml:space="preserve"> kg ha⁻¹ </w:t>
      </w:r>
      <w:r>
        <w:rPr>
          <w:i/>
          <w:iCs/>
        </w:rPr>
        <w:t xml:space="preserve">and using </w:t>
      </w:r>
      <w:r>
        <w:rPr>
          <w:i/>
          <w:iCs/>
        </w:rPr>
        <w:t>Gelilema</w:t>
      </w:r>
      <w:r>
        <w:rPr>
          <w:i/>
          <w:iCs/>
        </w:rPr>
        <w:t xml:space="preserve"> variety</w:t>
      </w:r>
      <w:r>
        <w:rPr>
          <w:i/>
          <w:iCs/>
        </w:rPr>
        <w:t xml:space="preserve"> </w:t>
      </w:r>
      <w:r>
        <w:rPr>
          <w:i/>
          <w:iCs/>
        </w:rPr>
        <w:t xml:space="preserve">is recommended to optimize tomato production and profitability in the </w:t>
      </w:r>
      <w:r>
        <w:rPr>
          <w:i/>
          <w:iCs/>
        </w:rPr>
        <w:t>Gursum</w:t>
      </w:r>
      <w:r>
        <w:rPr>
          <w:i/>
          <w:iCs/>
        </w:rPr>
        <w:t xml:space="preserve"> District.</w:t>
      </w:r>
    </w:p>
    <w:p>
      <w:pPr>
        <w:pStyle w:val="style0"/>
        <w:rPr/>
      </w:pPr>
      <w:r>
        <w:rPr>
          <w:b/>
          <w:bCs/>
        </w:rPr>
        <w:t>Keywords</w:t>
      </w:r>
      <w:r>
        <w:t>:</w:t>
      </w:r>
      <w:r>
        <w:t xml:space="preserve"> </w:t>
      </w:r>
      <w:r>
        <w:t>Fertilizer</w:t>
      </w:r>
      <w:r>
        <w:t xml:space="preserve">, </w:t>
      </w:r>
      <w:r>
        <w:t xml:space="preserve">Marketable </w:t>
      </w:r>
      <w:r>
        <w:t xml:space="preserve">Fruit Yield, </w:t>
      </w:r>
      <w:r>
        <w:t>Net Benefit</w:t>
      </w:r>
      <w:r>
        <w:t>, Tomato, Variety</w:t>
      </w:r>
    </w:p>
    <w:bookmarkStart w:id="2" w:name="_Toc178174229"/>
    <w:p>
      <w:pPr>
        <w:pStyle w:val="style1"/>
        <w:rPr>
          <w:sz w:val="24"/>
          <w:szCs w:val="24"/>
        </w:rPr>
      </w:pPr>
      <w:r>
        <w:t>INTRODUCTION</w:t>
      </w:r>
      <w:bookmarkEnd w:id="2"/>
    </w:p>
    <w:bookmarkStart w:id="3" w:name="_Toc178174230"/>
    <w:p>
      <w:pPr>
        <w:pStyle w:val="style2"/>
        <w:numPr>
          <w:ilvl w:val="1"/>
          <w:numId w:val="1"/>
        </w:numPr>
        <w:spacing w:before="0"/>
        <w:ind w:left="450" w:hanging="450"/>
        <w:rPr/>
      </w:pPr>
      <w:r>
        <w:t>Background and Justification</w:t>
      </w:r>
      <w:bookmarkEnd w:id="3"/>
    </w:p>
    <w:p>
      <w:pPr>
        <w:pStyle w:val="style0"/>
        <w:autoSpaceDE w:val="false"/>
        <w:autoSpaceDN w:val="false"/>
        <w:adjustRightInd w:val="false"/>
        <w:spacing w:before="0" w:after="0"/>
        <w:rPr>
          <w:rFonts w:cs="Times New Roman"/>
          <w:szCs w:val="24"/>
        </w:rPr>
      </w:pPr>
      <w:r>
        <w:rPr>
          <w:rFonts w:cs="Times New Roman"/>
          <w:szCs w:val="24"/>
        </w:rPr>
        <w:t xml:space="preserve">Tomato (Solanum </w:t>
      </w:r>
      <w:r>
        <w:rPr>
          <w:rFonts w:cs="Times New Roman"/>
          <w:szCs w:val="24"/>
        </w:rPr>
        <w:t>lycopersicum</w:t>
      </w:r>
      <w:r>
        <w:rPr>
          <w:rFonts w:cs="Times New Roman"/>
          <w:szCs w:val="24"/>
        </w:rPr>
        <w:t xml:space="preserve"> L.) belongs to the Solanaceae family and the genus Solanum (Costa, 2018). It is believed to have originated in Ecuador and Peru, although the exact time and place of its domestication remain unknown with certainty (Blanca et al. 2022). The tomato is among the most economically significant vegetable crops. It ranks first worldwide among vegetables and is the fourth most economically important crop globally after rice, wheat, and soybean (Villareal, 2019). While the exact timing of the tomato's introduction to Ethiopia is unclear, the introduction of cultivated tomato into Ethiopian agriculture can be traced back to the period between 1935 and 1940 (</w:t>
      </w:r>
      <w:r>
        <w:rPr>
          <w:rFonts w:cs="Times New Roman"/>
          <w:szCs w:val="24"/>
        </w:rPr>
        <w:t>Keskse</w:t>
      </w:r>
      <w:r>
        <w:rPr>
          <w:rFonts w:cs="Times New Roman"/>
          <w:szCs w:val="24"/>
        </w:rPr>
        <w:t xml:space="preserve"> et al. 2019). Today, it is one of the most popular and widely grown vegetables in the country.</w:t>
      </w:r>
    </w:p>
    <w:p>
      <w:pPr>
        <w:pStyle w:val="style0"/>
        <w:autoSpaceDE w:val="false"/>
        <w:autoSpaceDN w:val="false"/>
        <w:adjustRightInd w:val="false"/>
        <w:spacing w:after="0"/>
        <w:rPr>
          <w:rFonts w:cs="Times New Roman"/>
          <w:szCs w:val="24"/>
        </w:rPr>
      </w:pPr>
      <w:r>
        <w:rPr>
          <w:rFonts w:cs="Times New Roman"/>
          <w:szCs w:val="24"/>
        </w:rPr>
        <w:t xml:space="preserve">Tomatoes are consumed fresh or in various processed forms. The major processed products include tomato preserves (whole peeled tomatoes, tomato juice, tomato pulp, tomato puree, tomato paste, and pickled tomatoes), dried tomatoes (tomato powder, tomato flakes, and dried tomato fruits), and tomato-based foods (tomato soup, tomato sauces, and ketchup) (Costa and </w:t>
      </w:r>
      <w:r>
        <w:rPr>
          <w:rFonts w:cs="Times New Roman"/>
          <w:szCs w:val="24"/>
        </w:rPr>
        <w:t>Heuvelink</w:t>
      </w:r>
      <w:r>
        <w:rPr>
          <w:rFonts w:cs="Times New Roman"/>
          <w:szCs w:val="24"/>
        </w:rPr>
        <w:t xml:space="preserve">, 2018). Tomatoes can play an important role in the human diet, providing essential nutrients such as calcium, iron, manganese, and particularly potassium (Lee </w:t>
      </w:r>
      <w:r>
        <w:rPr>
          <w:rFonts w:cs="Times New Roman"/>
          <w:i/>
          <w:iCs/>
          <w:szCs w:val="24"/>
        </w:rPr>
        <w:t>et al</w:t>
      </w:r>
      <w:r>
        <w:rPr>
          <w:rFonts w:cs="Times New Roman"/>
          <w:szCs w:val="24"/>
        </w:rPr>
        <w:t>., 2021). They also contain lycopene, a powerful antioxidant carotenoid that gives tomatoes their red color (Przybylska, 2020).</w:t>
      </w:r>
    </w:p>
    <w:p>
      <w:pPr>
        <w:pStyle w:val="style0"/>
        <w:autoSpaceDE w:val="false"/>
        <w:autoSpaceDN w:val="false"/>
        <w:adjustRightInd w:val="false"/>
        <w:spacing w:after="0"/>
        <w:rPr>
          <w:rFonts w:cs="Times New Roman"/>
          <w:szCs w:val="24"/>
        </w:rPr>
      </w:pPr>
      <w:r>
        <w:rPr>
          <w:rFonts w:cs="Times New Roman"/>
          <w:szCs w:val="24"/>
        </w:rPr>
        <w:t>In Ethiopia, tomatoes are a popular vegetable grown by small farmers and commercial producers for fresh consumption and processing. They are used in various dishes, including salads and local sauces (Wot). Processed products like tomato paste, juice, and sauces are marketed widely. Tomatoes are a key cash crop for farmers and create jobs in production and processing (Glover and Kusterer, 2016).</w:t>
      </w:r>
      <w:r>
        <w:rPr>
          <w:rFonts w:cs="Times New Roman"/>
          <w:szCs w:val="24"/>
        </w:rPr>
        <w:t xml:space="preserve"> </w:t>
      </w:r>
      <w:r>
        <w:rPr>
          <w:rFonts w:cs="Times New Roman"/>
          <w:szCs w:val="24"/>
        </w:rPr>
        <w:t>Even though</w:t>
      </w:r>
      <w:r>
        <w:rPr>
          <w:rFonts w:cs="Times New Roman"/>
          <w:szCs w:val="24"/>
        </w:rPr>
        <w:t xml:space="preserve"> tomato has great potential </w:t>
      </w:r>
      <w:r>
        <w:rPr>
          <w:rFonts w:cs="Times New Roman"/>
          <w:szCs w:val="24"/>
        </w:rPr>
        <w:t>for</w:t>
      </w:r>
      <w:r>
        <w:rPr>
          <w:rFonts w:cs="Times New Roman"/>
          <w:szCs w:val="24"/>
        </w:rPr>
        <w:t xml:space="preserve"> high productivity in Ethiopia, the current productivity in the country is very low even by African </w:t>
      </w:r>
      <w:r>
        <w:rPr>
          <w:rFonts w:cs="Times New Roman"/>
          <w:szCs w:val="24"/>
        </w:rPr>
        <w:t>standards</w:t>
      </w:r>
      <w:r>
        <w:rPr>
          <w:rFonts w:cs="Times New Roman"/>
          <w:szCs w:val="24"/>
        </w:rPr>
        <w:t xml:space="preserve"> (Hunde 2017). The average tomato yield was 18 and 10 t </w:t>
      </w:r>
      <w:r>
        <w:rPr>
          <w:rFonts w:cs="Times New Roman"/>
          <w:szCs w:val="24"/>
        </w:rPr>
        <w:t>ha</w:t>
      </w:r>
      <w:r>
        <w:rPr>
          <w:rFonts w:cs="Times New Roman"/>
          <w:szCs w:val="24"/>
          <w:vertAlign w:val="superscript"/>
        </w:rPr>
        <w:t>-1</w:t>
      </w:r>
      <w:r>
        <w:rPr>
          <w:rFonts w:cs="Times New Roman"/>
          <w:szCs w:val="24"/>
        </w:rPr>
        <w:t xml:space="preserve"> in the entire Africa and East Africa, respectively (FAOSTAT, 2012). It was reported that the productivity of tomato under research field in Ethiopia was about 60 t </w:t>
      </w:r>
      <w:r>
        <w:rPr>
          <w:rFonts w:cs="Times New Roman"/>
          <w:szCs w:val="24"/>
        </w:rPr>
        <w:t>ha</w:t>
      </w:r>
      <w:r>
        <w:rPr>
          <w:rFonts w:cs="Times New Roman"/>
          <w:szCs w:val="24"/>
          <w:vertAlign w:val="superscript"/>
        </w:rPr>
        <w:t>-1</w:t>
      </w:r>
      <w:r>
        <w:rPr>
          <w:rFonts w:cs="Times New Roman"/>
          <w:szCs w:val="24"/>
        </w:rPr>
        <w:t xml:space="preserve"> whereas the productivity of the crop under farmers’ conditions was only 10.4 t </w:t>
      </w:r>
      <w:r>
        <w:rPr>
          <w:rFonts w:cs="Times New Roman"/>
          <w:szCs w:val="24"/>
        </w:rPr>
        <w:t>ha</w:t>
      </w:r>
      <w:r>
        <w:rPr>
          <w:rFonts w:cs="Times New Roman"/>
          <w:szCs w:val="24"/>
          <w:vertAlign w:val="superscript"/>
        </w:rPr>
        <w:t>-1</w:t>
      </w:r>
      <w:r>
        <w:rPr>
          <w:rFonts w:cs="Times New Roman"/>
          <w:szCs w:val="24"/>
        </w:rPr>
        <w:t xml:space="preserve"> (Dawit, 2008), but the yield of tomato production over last five years has decreased from 10.42 to 6.11 t </w:t>
      </w:r>
      <w:r>
        <w:rPr>
          <w:rFonts w:cs="Times New Roman"/>
          <w:szCs w:val="24"/>
        </w:rPr>
        <w:t>ha</w:t>
      </w:r>
      <w:r>
        <w:rPr>
          <w:rFonts w:cs="Times New Roman"/>
          <w:szCs w:val="24"/>
          <w:vertAlign w:val="superscript"/>
        </w:rPr>
        <w:t>-1</w:t>
      </w:r>
      <w:r>
        <w:rPr>
          <w:rFonts w:cs="Times New Roman"/>
          <w:szCs w:val="24"/>
        </w:rPr>
        <w:t xml:space="preserve"> (FAO, 2017). Therefore, it is necessary to increase the </w:t>
      </w:r>
      <w:r>
        <w:rPr>
          <w:rFonts w:cs="Times New Roman"/>
          <w:szCs w:val="24"/>
        </w:rPr>
        <w:t>productivity of the crop to strengthen the export potential and the growing tomato processing industries in the country (Naik and Suresh</w:t>
      </w:r>
      <w:r>
        <w:rPr>
          <w:rFonts w:cs="Times New Roman"/>
          <w:szCs w:val="24"/>
        </w:rPr>
        <w:t>,</w:t>
      </w:r>
      <w:r>
        <w:rPr>
          <w:rFonts w:cs="Times New Roman"/>
          <w:szCs w:val="24"/>
        </w:rPr>
        <w:t xml:space="preserve"> 2018)</w:t>
      </w:r>
      <w:r>
        <w:rPr>
          <w:rFonts w:cs="Times New Roman"/>
          <w:szCs w:val="24"/>
        </w:rPr>
        <w:t xml:space="preserve">. </w:t>
      </w:r>
      <w:r>
        <w:rPr>
          <w:rFonts w:cs="Times New Roman"/>
          <w:szCs w:val="24"/>
        </w:rPr>
        <w:t>The yield and quality of crops are influenced by many factors</w:t>
      </w:r>
      <w:r>
        <w:rPr>
          <w:rFonts w:cs="Times New Roman"/>
          <w:szCs w:val="24"/>
        </w:rPr>
        <w:t>,</w:t>
      </w:r>
      <w:r>
        <w:rPr>
          <w:rFonts w:cs="Times New Roman"/>
          <w:szCs w:val="24"/>
        </w:rPr>
        <w:t xml:space="preserve"> including cultivars, planting materials and spacing, date of planting, soil and climate, types and rates of </w:t>
      </w:r>
      <w:r>
        <w:rPr>
          <w:rFonts w:cs="Times New Roman"/>
          <w:szCs w:val="24"/>
        </w:rPr>
        <w:t>fertilizer</w:t>
      </w:r>
      <w:r>
        <w:rPr>
          <w:rFonts w:cs="Times New Roman"/>
          <w:szCs w:val="24"/>
        </w:rPr>
        <w:t xml:space="preserve"> application. Among several constraints. soil fertility is a major overriding constraint that affects all aspects of crop production (</w:t>
      </w:r>
      <w:r>
        <w:rPr>
          <w:rFonts w:cs="Times New Roman"/>
          <w:szCs w:val="24"/>
        </w:rPr>
        <w:t>Zingore</w:t>
      </w:r>
      <w:r>
        <w:rPr>
          <w:rFonts w:cs="Times New Roman"/>
          <w:szCs w:val="24"/>
        </w:rPr>
        <w:t xml:space="preserve"> </w:t>
      </w:r>
      <w:r>
        <w:rPr>
          <w:rFonts w:cs="Times New Roman"/>
          <w:i/>
          <w:iCs/>
          <w:szCs w:val="24"/>
        </w:rPr>
        <w:t>et al.,</w:t>
      </w:r>
      <w:r>
        <w:rPr>
          <w:rFonts w:cs="Times New Roman"/>
          <w:szCs w:val="24"/>
        </w:rPr>
        <w:t xml:space="preserve"> 2015). Therefore, many factors may </w:t>
      </w:r>
      <w:r>
        <w:rPr>
          <w:rFonts w:cs="Times New Roman"/>
          <w:szCs w:val="24"/>
        </w:rPr>
        <w:t>contribute</w:t>
      </w:r>
      <w:r>
        <w:rPr>
          <w:rFonts w:cs="Times New Roman"/>
          <w:szCs w:val="24"/>
        </w:rPr>
        <w:t xml:space="preserve"> to the low yield of </w:t>
      </w:r>
      <w:r>
        <w:rPr>
          <w:rFonts w:cs="Times New Roman"/>
          <w:szCs w:val="24"/>
        </w:rPr>
        <w:t>tomatoes</w:t>
      </w:r>
      <w:r>
        <w:rPr>
          <w:rFonts w:cs="Times New Roman"/>
          <w:szCs w:val="24"/>
        </w:rPr>
        <w:t xml:space="preserve"> in Ethiopia, but the low amount and types of fertilizers applied for production might </w:t>
      </w:r>
      <w:r>
        <w:rPr>
          <w:rFonts w:cs="Times New Roman"/>
          <w:szCs w:val="24"/>
        </w:rPr>
        <w:t>contribute</w:t>
      </w:r>
      <w:r>
        <w:rPr>
          <w:rFonts w:cs="Times New Roman"/>
          <w:szCs w:val="24"/>
        </w:rPr>
        <w:t xml:space="preserve"> </w:t>
      </w:r>
      <w:r>
        <w:rPr>
          <w:rFonts w:cs="Times New Roman"/>
          <w:szCs w:val="24"/>
        </w:rPr>
        <w:t>to</w:t>
      </w:r>
      <w:r>
        <w:rPr>
          <w:rFonts w:cs="Times New Roman"/>
          <w:szCs w:val="24"/>
        </w:rPr>
        <w:t xml:space="preserve"> the low production. </w:t>
      </w:r>
    </w:p>
    <w:p>
      <w:pPr>
        <w:pStyle w:val="style0"/>
        <w:autoSpaceDE w:val="false"/>
        <w:autoSpaceDN w:val="false"/>
        <w:adjustRightInd w:val="false"/>
        <w:spacing w:after="0"/>
        <w:rPr>
          <w:rFonts w:cs="Times New Roman"/>
          <w:szCs w:val="24"/>
        </w:rPr>
      </w:pPr>
      <w:r>
        <w:rPr>
          <w:rFonts w:cs="Times New Roman"/>
          <w:szCs w:val="24"/>
        </w:rPr>
        <w:t>Low soil fertility is among the major problems constraining the productivity of tomato in Ethiopia (Biramo</w:t>
      </w:r>
      <w:r>
        <w:rPr>
          <w:rFonts w:cs="Times New Roman"/>
          <w:szCs w:val="24"/>
        </w:rPr>
        <w:t>,</w:t>
      </w:r>
      <w:r>
        <w:rPr>
          <w:rFonts w:cs="Times New Roman"/>
          <w:szCs w:val="24"/>
        </w:rPr>
        <w:t xml:space="preserve"> 2018).</w:t>
      </w:r>
      <w:r>
        <w:rPr>
          <w:rFonts w:cs="Times New Roman"/>
          <w:szCs w:val="24"/>
        </w:rPr>
        <w:t xml:space="preserve"> </w:t>
      </w:r>
      <w:r>
        <w:rPr>
          <w:rFonts w:cs="Times New Roman"/>
          <w:szCs w:val="24"/>
        </w:rPr>
        <w:t xml:space="preserve">Tomatoes are heavy feeders </w:t>
      </w:r>
      <w:r>
        <w:rPr>
          <w:rFonts w:cs="Times New Roman"/>
          <w:szCs w:val="24"/>
        </w:rPr>
        <w:t>that</w:t>
      </w:r>
      <w:r>
        <w:rPr>
          <w:rFonts w:cs="Times New Roman"/>
          <w:szCs w:val="24"/>
        </w:rPr>
        <w:t xml:space="preserve"> need about 84 to 112 kg </w:t>
      </w:r>
      <w:r>
        <w:rPr>
          <w:rFonts w:cs="Times New Roman"/>
          <w:szCs w:val="24"/>
        </w:rPr>
        <w:t>ha</w:t>
      </w:r>
      <w:r>
        <w:rPr>
          <w:rFonts w:cs="Times New Roman"/>
          <w:szCs w:val="24"/>
          <w:vertAlign w:val="superscript"/>
        </w:rPr>
        <w:t>-1</w:t>
      </w:r>
      <w:r>
        <w:rPr>
          <w:rFonts w:cs="Times New Roman"/>
          <w:szCs w:val="24"/>
        </w:rPr>
        <w:t xml:space="preserve"> of nitrogen and moderate to high levels of phosphorus (P) and potassium (K) for maximum yields (Bekele, </w:t>
      </w:r>
      <w:r>
        <w:rPr>
          <w:rFonts w:cs="Times New Roman"/>
          <w:szCs w:val="24"/>
        </w:rPr>
        <w:t>Kibret</w:t>
      </w:r>
      <w:r>
        <w:rPr>
          <w:rFonts w:cs="Times New Roman"/>
          <w:szCs w:val="24"/>
        </w:rPr>
        <w:t xml:space="preserve"> </w:t>
      </w:r>
      <w:r>
        <w:rPr>
          <w:rFonts w:cs="Times New Roman"/>
          <w:i/>
          <w:iCs/>
          <w:szCs w:val="24"/>
        </w:rPr>
        <w:t>et al.,</w:t>
      </w:r>
      <w:r>
        <w:rPr>
          <w:rFonts w:cs="Times New Roman"/>
          <w:szCs w:val="24"/>
        </w:rPr>
        <w:t xml:space="preserve"> 2018).</w:t>
      </w:r>
      <w:r>
        <w:rPr>
          <w:rFonts w:cs="Times New Roman"/>
          <w:szCs w:val="24"/>
        </w:rPr>
        <w:t xml:space="preserve"> </w:t>
      </w:r>
      <w:r>
        <w:rPr>
          <w:rFonts w:cs="Times New Roman"/>
          <w:szCs w:val="24"/>
        </w:rPr>
        <w:t xml:space="preserve">The growth and yield of vegetable crops </w:t>
      </w:r>
      <w:r>
        <w:rPr>
          <w:rFonts w:cs="Times New Roman"/>
          <w:szCs w:val="24"/>
        </w:rPr>
        <w:t>mainly depend</w:t>
      </w:r>
      <w:r>
        <w:rPr>
          <w:rFonts w:cs="Times New Roman"/>
          <w:szCs w:val="24"/>
        </w:rPr>
        <w:t xml:space="preserve"> on the quality and quantity of fertilizers used (Drobek</w:t>
      </w:r>
      <w:r>
        <w:rPr>
          <w:rFonts w:cs="Times New Roman"/>
          <w:szCs w:val="24"/>
        </w:rPr>
        <w:t xml:space="preserve"> </w:t>
      </w:r>
      <w:r>
        <w:rPr>
          <w:rFonts w:cs="Times New Roman"/>
          <w:i/>
          <w:iCs/>
          <w:szCs w:val="24"/>
        </w:rPr>
        <w:t>et al.,</w:t>
      </w:r>
      <w:r>
        <w:rPr>
          <w:rFonts w:cs="Times New Roman"/>
          <w:szCs w:val="24"/>
        </w:rPr>
        <w:t xml:space="preserve"> 2019). In </w:t>
      </w:r>
      <w:r>
        <w:rPr>
          <w:rFonts w:cs="Times New Roman"/>
          <w:szCs w:val="24"/>
        </w:rPr>
        <w:t>most of</w:t>
      </w:r>
      <w:r>
        <w:rPr>
          <w:rFonts w:cs="Times New Roman"/>
          <w:szCs w:val="24"/>
        </w:rPr>
        <w:t xml:space="preserve"> Ethiopia, there is no recommendation of fertilizer types and rates for tomato production specific to cultivars and locations</w:t>
      </w:r>
      <w:r>
        <w:rPr>
          <w:rFonts w:cs="Times New Roman"/>
          <w:szCs w:val="24"/>
        </w:rPr>
        <w:t>,</w:t>
      </w:r>
      <w:r>
        <w:rPr>
          <w:rFonts w:cs="Times New Roman"/>
          <w:szCs w:val="24"/>
        </w:rPr>
        <w:t xml:space="preserve"> or </w:t>
      </w:r>
      <w:r>
        <w:rPr>
          <w:rFonts w:cs="Times New Roman"/>
          <w:szCs w:val="24"/>
        </w:rPr>
        <w:t>agroecologies</w:t>
      </w:r>
      <w:r>
        <w:rPr>
          <w:rFonts w:cs="Times New Roman"/>
          <w:szCs w:val="24"/>
        </w:rPr>
        <w:t xml:space="preserve">. It is common to apply the national recommendation of 92 and 46 kg </w:t>
      </w:r>
      <w:r>
        <w:rPr>
          <w:rFonts w:cs="Times New Roman"/>
          <w:szCs w:val="24"/>
        </w:rPr>
        <w:t>ha</w:t>
      </w:r>
      <w:r>
        <w:rPr>
          <w:rFonts w:cs="Times New Roman"/>
          <w:szCs w:val="24"/>
          <w:vertAlign w:val="superscript"/>
        </w:rPr>
        <w:t>-1</w:t>
      </w:r>
      <w:r>
        <w:rPr>
          <w:rFonts w:cs="Times New Roman"/>
          <w:szCs w:val="24"/>
        </w:rPr>
        <w:t xml:space="preserve"> P2O5 and </w:t>
      </w:r>
      <w:r>
        <w:rPr>
          <w:rFonts w:cs="Times New Roman"/>
          <w:szCs w:val="24"/>
        </w:rPr>
        <w:t>Nitrogen-containing</w:t>
      </w:r>
      <w:r>
        <w:rPr>
          <w:rFonts w:cs="Times New Roman"/>
          <w:szCs w:val="24"/>
        </w:rPr>
        <w:t xml:space="preserve"> fertilizers, respectively (Bekele </w:t>
      </w:r>
      <w:r>
        <w:rPr>
          <w:rFonts w:cs="Times New Roman"/>
          <w:i/>
          <w:iCs/>
          <w:szCs w:val="24"/>
        </w:rPr>
        <w:t>et al.,</w:t>
      </w:r>
      <w:r>
        <w:rPr>
          <w:rFonts w:cs="Times New Roman"/>
          <w:szCs w:val="24"/>
        </w:rPr>
        <w:t xml:space="preserve"> 2019) at all locations and to all tomato varieties. </w:t>
      </w:r>
    </w:p>
    <w:p>
      <w:pPr>
        <w:pStyle w:val="style0"/>
        <w:autoSpaceDE w:val="false"/>
        <w:autoSpaceDN w:val="false"/>
        <w:adjustRightInd w:val="false"/>
        <w:spacing w:after="120"/>
        <w:rPr/>
      </w:pPr>
      <w:r>
        <w:t xml:space="preserve">Despite the importance of tomato as a major horticultural crop in Ethiopia, its productivity remains significantly constrained by several interrelated factors, among which soil fertility and appropriate fertilizer management stand out as critical challenges. Tomatoes, being heavy feeders with long growing seasons, require not only adequate quantities of nutrients but also site- and cultivar-specific fertilizer recommendations to achieve optimal growth and yield. Although previous studies across various regions in Ethiopia have explored the impact of different organic and inorganic fertilizer combinations on tomato performance, there is a notable lack of research specific to the semi-arid </w:t>
      </w:r>
      <w:r>
        <w:t>agro</w:t>
      </w:r>
      <w:r>
        <w:t xml:space="preserve">-ecological conditions of </w:t>
      </w:r>
      <w:r>
        <w:t>Gursum</w:t>
      </w:r>
      <w:r>
        <w:t xml:space="preserve"> woreda in the </w:t>
      </w:r>
      <w:r>
        <w:t>Fafan</w:t>
      </w:r>
      <w:r>
        <w:t xml:space="preserve"> Zone, where a newly introduced blended NPS fertilizer (containing 19% N, 38% P₂O₅, and 7% S) is being promoted to replace traditional DAP fertilizers. Given that the nutrient uptake and use efficiency of tomato varieties vary significantly depending on environmental conditions, genetic makeup, and agronomic practices, it becomes essential to assess not only the independent but also the interactive effects of different tomato varieties and NPS fertilizer rates under local conditions. Furthermore, with growing interest in sustainable and economically viable agricultural practices, </w:t>
      </w:r>
      <w:r>
        <w:t xml:space="preserve">there is a pressing need to determine the economic feasibility of using blended fertilizers in tomato production in this specific context. This study, therefore, fills a critical gap by evaluating the phenological, growth, yield, and economic responses of tomato varieties to NPS fertilizer application under the unique semi-arid conditions of </w:t>
      </w:r>
      <w:r>
        <w:t>Gursum</w:t>
      </w:r>
      <w:r>
        <w:t xml:space="preserve"> woreda, thereby contributing localized and practical recommendations for improving tomato productivity in the region.</w:t>
      </w:r>
    </w:p>
    <w:bookmarkStart w:id="4" w:name="_Toc178174243"/>
    <w:p>
      <w:pPr>
        <w:pStyle w:val="style1"/>
        <w:numPr>
          <w:ilvl w:val="0"/>
          <w:numId w:val="0"/>
        </w:numPr>
        <w:ind w:left="360" w:hanging="360"/>
        <w:rPr/>
      </w:pPr>
      <w:r>
        <w:t>3. MATERIALS AND METHODS</w:t>
      </w:r>
      <w:bookmarkEnd w:id="4"/>
    </w:p>
    <w:bookmarkStart w:id="5" w:name="_Toc178174244"/>
    <w:bookmarkStart w:id="6" w:name="_Toc22273666"/>
    <w:p>
      <w:pPr>
        <w:pStyle w:val="style2"/>
        <w:spacing w:before="0"/>
        <w:rPr/>
      </w:pPr>
      <w:r>
        <w:t xml:space="preserve">3.1. </w:t>
      </w:r>
      <w:r>
        <w:t>Description of Experimental Site</w:t>
      </w:r>
      <w:bookmarkEnd w:id="5"/>
    </w:p>
    <w:p>
      <w:pPr>
        <w:pStyle w:val="style0"/>
        <w:spacing w:before="0" w:after="120"/>
        <w:rPr>
          <w:rFonts w:cs="Times New Roman"/>
          <w:color w:val="000000"/>
          <w:szCs w:val="24"/>
        </w:rPr>
      </w:pPr>
      <w:r>
        <w:rPr>
          <w:rFonts w:cs="Times New Roman"/>
          <w:color w:val="000000"/>
          <w:szCs w:val="24"/>
        </w:rPr>
        <w:t xml:space="preserve">A field experiment </w:t>
      </w:r>
      <w:r>
        <w:rPr>
          <w:rFonts w:cs="Times New Roman"/>
          <w:color w:val="000000"/>
          <w:szCs w:val="24"/>
        </w:rPr>
        <w:t>was conducted</w:t>
      </w:r>
      <w:r>
        <w:rPr>
          <w:rFonts w:cs="Times New Roman"/>
          <w:color w:val="000000"/>
          <w:szCs w:val="24"/>
        </w:rPr>
        <w:t xml:space="preserve"> </w:t>
      </w:r>
      <w:r>
        <w:rPr>
          <w:rFonts w:cs="Times New Roman"/>
          <w:color w:val="000000"/>
          <w:szCs w:val="24"/>
        </w:rPr>
        <w:t xml:space="preserve">in </w:t>
      </w:r>
      <w:r>
        <w:rPr>
          <w:rFonts w:cs="Times New Roman"/>
          <w:color w:val="000000"/>
          <w:szCs w:val="24"/>
        </w:rPr>
        <w:t xml:space="preserve">irrigated </w:t>
      </w:r>
      <w:r>
        <w:rPr>
          <w:rFonts w:cs="Times New Roman"/>
          <w:color w:val="000000"/>
          <w:szCs w:val="24"/>
        </w:rPr>
        <w:t>conditions</w:t>
      </w:r>
      <w:r>
        <w:rPr>
          <w:rFonts w:cs="Times New Roman"/>
          <w:color w:val="000000"/>
          <w:szCs w:val="24"/>
        </w:rPr>
        <w:t xml:space="preserve">, at </w:t>
      </w:r>
      <w:r>
        <w:rPr>
          <w:rFonts w:cs="Times New Roman"/>
          <w:color w:val="000000"/>
          <w:szCs w:val="24"/>
        </w:rPr>
        <w:t>Golhajo</w:t>
      </w:r>
      <w:r>
        <w:rPr>
          <w:rFonts w:cs="Times New Roman"/>
          <w:color w:val="000000"/>
          <w:szCs w:val="24"/>
        </w:rPr>
        <w:t xml:space="preserve"> on </w:t>
      </w:r>
      <w:r>
        <w:rPr>
          <w:rFonts w:cs="Times New Roman"/>
          <w:color w:val="000000"/>
          <w:szCs w:val="24"/>
        </w:rPr>
        <w:t xml:space="preserve">a </w:t>
      </w:r>
      <w:r>
        <w:rPr>
          <w:rFonts w:cs="Times New Roman"/>
          <w:color w:val="000000"/>
          <w:szCs w:val="24"/>
        </w:rPr>
        <w:t>farmer’s vegetable farm from August 2022</w:t>
      </w:r>
      <w:r>
        <w:rPr>
          <w:rFonts w:cs="Times New Roman"/>
          <w:color w:val="000000"/>
          <w:szCs w:val="24"/>
        </w:rPr>
        <w:t xml:space="preserve"> </w:t>
      </w:r>
      <w:r>
        <w:rPr>
          <w:rFonts w:cs="Times New Roman"/>
          <w:color w:val="000000"/>
          <w:szCs w:val="24"/>
        </w:rPr>
        <w:t xml:space="preserve">up to November 2023. The site is found in </w:t>
      </w:r>
      <w:r>
        <w:rPr>
          <w:rFonts w:cs="Times New Roman"/>
          <w:color w:val="000000"/>
          <w:szCs w:val="24"/>
        </w:rPr>
        <w:t>Gursum</w:t>
      </w:r>
      <w:r>
        <w:rPr>
          <w:rFonts w:cs="Times New Roman"/>
          <w:color w:val="000000"/>
          <w:szCs w:val="24"/>
        </w:rPr>
        <w:t xml:space="preserve"> Woreda, </w:t>
      </w:r>
      <w:r>
        <w:rPr>
          <w:rFonts w:cs="Times New Roman"/>
          <w:color w:val="000000"/>
          <w:szCs w:val="24"/>
        </w:rPr>
        <w:t>Fafan</w:t>
      </w:r>
      <w:r>
        <w:rPr>
          <w:rFonts w:cs="Times New Roman"/>
          <w:color w:val="000000"/>
          <w:szCs w:val="24"/>
        </w:rPr>
        <w:t xml:space="preserve"> Zone of Somali Region</w:t>
      </w:r>
      <w:r>
        <w:rPr>
          <w:rFonts w:cs="Times New Roman"/>
          <w:color w:val="000000"/>
          <w:szCs w:val="24"/>
        </w:rPr>
        <w:t>,</w:t>
      </w:r>
      <w:r>
        <w:rPr>
          <w:rFonts w:cs="Times New Roman"/>
          <w:color w:val="000000"/>
          <w:szCs w:val="24"/>
        </w:rPr>
        <w:t xml:space="preserve"> and eastern Ethiopia. </w:t>
      </w:r>
      <w:r>
        <w:rPr>
          <w:rFonts w:cs="Times New Roman"/>
          <w:color w:val="000000"/>
          <w:szCs w:val="24"/>
        </w:rPr>
        <w:t xml:space="preserve">It </w:t>
      </w:r>
      <w:r>
        <w:rPr>
          <w:rFonts w:cs="Times New Roman"/>
          <w:color w:val="000000"/>
          <w:szCs w:val="24"/>
        </w:rPr>
        <w:t xml:space="preserve">is located at 594 km from Addis Ababa to the East and 32 km from </w:t>
      </w:r>
      <w:r>
        <w:rPr>
          <w:rFonts w:cs="Times New Roman"/>
          <w:color w:val="000000"/>
          <w:szCs w:val="24"/>
        </w:rPr>
        <w:t>Jigjiga</w:t>
      </w:r>
      <w:r>
        <w:rPr>
          <w:rFonts w:cs="Times New Roman"/>
          <w:color w:val="000000"/>
          <w:szCs w:val="24"/>
        </w:rPr>
        <w:t xml:space="preserve"> town to the west. </w:t>
      </w:r>
      <w:r>
        <w:rPr>
          <w:rFonts w:cs="Times New Roman"/>
          <w:i/>
          <w:iCs/>
          <w:color w:val="000000"/>
          <w:szCs w:val="24"/>
        </w:rPr>
        <w:t>Golhajo</w:t>
      </w:r>
      <w:r>
        <w:rPr>
          <w:rFonts w:cs="Times New Roman"/>
          <w:color w:val="000000"/>
          <w:szCs w:val="24"/>
        </w:rPr>
        <w:t xml:space="preserve"> area is located </w:t>
      </w:r>
      <w:r>
        <w:rPr>
          <w:rFonts w:cs="Times New Roman"/>
          <w:color w:val="000000"/>
          <w:szCs w:val="24"/>
        </w:rPr>
        <w:t xml:space="preserve">at </w:t>
      </w:r>
      <w:r>
        <w:rPr>
          <w:rFonts w:cs="Times New Roman"/>
          <w:color w:val="000000"/>
          <w:szCs w:val="24"/>
        </w:rPr>
        <w:t xml:space="preserve">9° 20’ N latitude and 45° 56’ E longitude, and has an elevation of 1,650 </w:t>
      </w:r>
      <w:r>
        <w:rPr>
          <w:rFonts w:cs="Times New Roman"/>
          <w:color w:val="000000"/>
          <w:szCs w:val="24"/>
        </w:rPr>
        <w:t>m.a.s.l</w:t>
      </w:r>
      <w:r>
        <w:rPr>
          <w:rFonts w:cs="Times New Roman"/>
          <w:color w:val="000000"/>
          <w:szCs w:val="24"/>
        </w:rPr>
        <w:t xml:space="preserve">. </w:t>
      </w:r>
      <w:r>
        <w:rPr>
          <w:rFonts w:cs="Times New Roman"/>
          <w:color w:val="000000"/>
          <w:szCs w:val="24"/>
        </w:rPr>
        <w:t xml:space="preserve"> </w:t>
      </w:r>
      <w:r>
        <w:rPr>
          <w:rFonts w:cs="Times New Roman"/>
          <w:color w:val="000000"/>
          <w:szCs w:val="24"/>
        </w:rPr>
        <w:t>(</w:t>
      </w:r>
      <w:r>
        <w:rPr>
          <w:rFonts w:cs="Times New Roman"/>
          <w:color w:val="000000"/>
          <w:szCs w:val="24"/>
        </w:rPr>
        <w:t>Degefu</w:t>
      </w:r>
      <w:r>
        <w:rPr>
          <w:rFonts w:cs="Times New Roman"/>
          <w:color w:val="000000"/>
          <w:szCs w:val="24"/>
        </w:rPr>
        <w:t xml:space="preserve"> </w:t>
      </w:r>
      <w:r>
        <w:rPr>
          <w:rFonts w:cs="Times New Roman"/>
          <w:i/>
          <w:iCs/>
          <w:color w:val="000000"/>
          <w:szCs w:val="24"/>
        </w:rPr>
        <w:t>et al.,</w:t>
      </w:r>
      <w:r>
        <w:rPr>
          <w:rFonts w:cs="Times New Roman"/>
          <w:color w:val="000000"/>
          <w:szCs w:val="24"/>
        </w:rPr>
        <w:t xml:space="preserve"> 2011). The area receives an average annual rainfall of about 500-600 mm. </w:t>
      </w:r>
      <w:r>
        <w:rPr>
          <w:rFonts w:cs="Times New Roman"/>
          <w:color w:val="000000"/>
          <w:szCs w:val="24"/>
        </w:rPr>
        <w:t>The</w:t>
      </w:r>
      <w:r>
        <w:rPr>
          <w:rFonts w:cs="Times New Roman"/>
          <w:color w:val="000000"/>
          <w:szCs w:val="24"/>
        </w:rPr>
        <w:t xml:space="preserve"> minimum temperature is around 10°C</w:t>
      </w:r>
      <w:r>
        <w:rPr>
          <w:rFonts w:cs="Times New Roman"/>
          <w:color w:val="000000"/>
          <w:szCs w:val="24"/>
        </w:rPr>
        <w:t>,</w:t>
      </w:r>
      <w:r>
        <w:rPr>
          <w:rFonts w:cs="Times New Roman"/>
          <w:color w:val="000000"/>
          <w:szCs w:val="24"/>
        </w:rPr>
        <w:t xml:space="preserve"> with the maximum being 34°C (</w:t>
      </w:r>
      <w:r>
        <w:rPr>
          <w:rFonts w:cs="Times New Roman"/>
          <w:color w:val="000000"/>
          <w:szCs w:val="24"/>
        </w:rPr>
        <w:t>M</w:t>
      </w:r>
      <w:r>
        <w:rPr>
          <w:rFonts w:cs="Times New Roman"/>
          <w:color w:val="000000"/>
          <w:szCs w:val="24"/>
        </w:rPr>
        <w:t>ohamad,</w:t>
      </w:r>
      <w:r>
        <w:rPr>
          <w:rFonts w:cs="Times New Roman"/>
          <w:color w:val="000000"/>
          <w:szCs w:val="24"/>
        </w:rPr>
        <w:t xml:space="preserve"> </w:t>
      </w:r>
      <w:r>
        <w:rPr>
          <w:rFonts w:cs="Times New Roman"/>
          <w:color w:val="000000"/>
          <w:szCs w:val="24"/>
        </w:rPr>
        <w:t>2014)</w:t>
      </w:r>
      <w:r>
        <w:rPr>
          <w:rFonts w:cs="Times New Roman"/>
          <w:color w:val="000000"/>
          <w:szCs w:val="24"/>
        </w:rPr>
        <w:t>.</w:t>
      </w:r>
    </w:p>
    <w:p>
      <w:pPr>
        <w:pStyle w:val="style0"/>
        <w:spacing w:after="120"/>
        <w:rPr>
          <w:rFonts w:cs="Times New Roman"/>
          <w:color w:val="000000"/>
          <w:szCs w:val="24"/>
        </w:rPr>
      </w:pPr>
      <w:r>
        <w:rPr>
          <w:rFonts w:cs="Times New Roman"/>
          <w:color w:val="000000"/>
          <w:szCs w:val="24"/>
        </w:rPr>
        <w:t xml:space="preserve">The soil of </w:t>
      </w:r>
      <w:r>
        <w:rPr>
          <w:rFonts w:cs="Times New Roman"/>
          <w:color w:val="000000"/>
          <w:szCs w:val="24"/>
        </w:rPr>
        <w:t xml:space="preserve">the </w:t>
      </w:r>
      <w:r>
        <w:rPr>
          <w:rFonts w:cs="Times New Roman"/>
          <w:color w:val="000000"/>
          <w:szCs w:val="24"/>
        </w:rPr>
        <w:t xml:space="preserve">specific site is fertile and silt loam type; moreover, </w:t>
      </w:r>
      <w:r>
        <w:rPr>
          <w:rFonts w:cs="Times New Roman"/>
          <w:color w:val="000000"/>
          <w:szCs w:val="24"/>
        </w:rPr>
        <w:t xml:space="preserve">the </w:t>
      </w:r>
      <w:r>
        <w:rPr>
          <w:rFonts w:cs="Times New Roman"/>
          <w:color w:val="000000"/>
          <w:szCs w:val="24"/>
        </w:rPr>
        <w:t>climate is generally semiarid</w:t>
      </w:r>
      <w:r>
        <w:rPr>
          <w:rFonts w:cs="Times New Roman"/>
          <w:color w:val="000000"/>
          <w:szCs w:val="24"/>
        </w:rPr>
        <w:t>,</w:t>
      </w:r>
      <w:r>
        <w:rPr>
          <w:rFonts w:cs="Times New Roman"/>
          <w:color w:val="000000"/>
          <w:szCs w:val="24"/>
        </w:rPr>
        <w:t xml:space="preserve"> as well as high saline content of underground water (MoARD, 2012). The major annual crops grown in the area, are </w:t>
      </w:r>
      <w:r>
        <w:rPr>
          <w:rFonts w:cs="Times New Roman"/>
          <w:color w:val="000000"/>
          <w:szCs w:val="24"/>
        </w:rPr>
        <w:t>cereals (sorghum and maize), oil crops (groundnuts), pulses (haricot bean and cowpea), vegetables (onion, garlic, and tomato), fruit crops (papaya, orange and mango)</w:t>
      </w:r>
      <w:r>
        <w:rPr>
          <w:rFonts w:cs="Times New Roman"/>
          <w:color w:val="000000"/>
          <w:szCs w:val="24"/>
        </w:rPr>
        <w:t xml:space="preserve"> and ‘chats as perennial crop (</w:t>
      </w:r>
      <w:r>
        <w:rPr>
          <w:rFonts w:cs="Times New Roman"/>
          <w:color w:val="000000"/>
          <w:szCs w:val="24"/>
        </w:rPr>
        <w:t>Aklilu</w:t>
      </w:r>
      <w:r>
        <w:rPr>
          <w:rFonts w:cs="Times New Roman"/>
          <w:color w:val="000000"/>
          <w:szCs w:val="24"/>
        </w:rPr>
        <w:t xml:space="preserve"> and </w:t>
      </w:r>
      <w:r>
        <w:rPr>
          <w:rFonts w:cs="Times New Roman"/>
          <w:color w:val="000000"/>
          <w:szCs w:val="24"/>
        </w:rPr>
        <w:t>Mekiso</w:t>
      </w:r>
      <w:r>
        <w:rPr>
          <w:rFonts w:cs="Times New Roman"/>
          <w:color w:val="000000"/>
          <w:szCs w:val="24"/>
        </w:rPr>
        <w:t>, 2015).</w:t>
      </w:r>
      <w:bookmarkStart w:id="7" w:name="_Toc96900288"/>
    </w:p>
    <w:p>
      <w:pPr>
        <w:pStyle w:val="style0"/>
        <w:spacing w:after="0"/>
        <w:jc w:val="center"/>
        <w:rPr>
          <w:rFonts w:cs="Times New Roman"/>
          <w:color w:val="000000"/>
          <w:szCs w:val="24"/>
        </w:rPr>
      </w:pPr>
      <w:r>
        <w:rPr>
          <w:rFonts w:cs="Times New Roman"/>
          <w:noProof/>
          <w:szCs w:val="24"/>
        </w:rPr>
        <w:drawing>
          <wp:inline distL="0" distT="0" distB="0" distR="0">
            <wp:extent cx="5444490" cy="2359660"/>
            <wp:effectExtent l="0" t="0" r="0" b="0"/>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 cstate="print"/>
                    <a:srcRect l="0" t="0" r="0" b="0"/>
                    <a:stretch/>
                  </pic:blipFill>
                  <pic:spPr>
                    <a:xfrm rot="0">
                      <a:off x="0" y="0"/>
                      <a:ext cx="5444490" cy="2359660"/>
                    </a:xfrm>
                    <a:prstGeom prst="rect"/>
                  </pic:spPr>
                </pic:pic>
              </a:graphicData>
            </a:graphic>
          </wp:inline>
        </w:drawing>
      </w:r>
    </w:p>
    <w:bookmarkStart w:id="8" w:name="_Toc178174329"/>
    <w:p>
      <w:pPr>
        <w:pStyle w:val="style34"/>
        <w:rPr/>
      </w:pPr>
      <w:r>
        <w:t xml:space="preserve">Figure </w:t>
      </w:r>
      <w:r>
        <w:rPr/>
        <w:fldChar w:fldCharType="begin"/>
      </w:r>
      <w:r>
        <w:instrText xml:space="preserve"> SEQ Figure \* ARABIC </w:instrText>
      </w:r>
      <w:r>
        <w:rPr/>
        <w:fldChar w:fldCharType="separate"/>
      </w:r>
      <w:r>
        <w:rPr>
          <w:noProof/>
        </w:rPr>
        <w:t>1</w:t>
      </w:r>
      <w:r>
        <w:rPr>
          <w:noProof/>
        </w:rPr>
        <w:fldChar w:fldCharType="end"/>
      </w:r>
      <w:r>
        <w:t xml:space="preserve">. Geographical map of </w:t>
      </w:r>
      <w:r>
        <w:t xml:space="preserve">the </w:t>
      </w:r>
      <w:r>
        <w:t>study area</w:t>
      </w:r>
      <w:bookmarkEnd w:id="8"/>
    </w:p>
    <w:bookmarkStart w:id="9" w:name="_Toc178174245"/>
    <w:p>
      <w:pPr>
        <w:pStyle w:val="style2"/>
        <w:spacing w:before="0"/>
        <w:rPr/>
      </w:pPr>
      <w:r>
        <w:t xml:space="preserve">3.2. </w:t>
      </w:r>
      <w:r>
        <w:t xml:space="preserve">Description of </w:t>
      </w:r>
      <w:r>
        <w:t>Planting</w:t>
      </w:r>
      <w:r>
        <w:t xml:space="preserve"> Materials</w:t>
      </w:r>
      <w:bookmarkStart w:id="10" w:name="_Toc96900289"/>
      <w:bookmarkEnd w:id="7"/>
      <w:bookmarkEnd w:id="9"/>
    </w:p>
    <w:p>
      <w:pPr>
        <w:pStyle w:val="style0"/>
        <w:spacing w:before="0" w:after="120"/>
        <w:rPr/>
      </w:pPr>
      <w:r>
        <w:t>Three tomato varieties</w:t>
      </w:r>
      <w:r>
        <w:t>,</w:t>
      </w:r>
      <w:r>
        <w:t xml:space="preserve"> </w:t>
      </w:r>
      <w:r>
        <w:t>Cochoro</w:t>
      </w:r>
      <w:r>
        <w:t xml:space="preserve">, </w:t>
      </w:r>
      <w:r>
        <w:t>Chali</w:t>
      </w:r>
      <w:r>
        <w:t xml:space="preserve"> </w:t>
      </w:r>
      <w:r>
        <w:t>Gelilema</w:t>
      </w:r>
      <w:r>
        <w:t xml:space="preserve"> </w:t>
      </w:r>
      <w:r>
        <w:rPr>
          <w:color w:val="000000"/>
        </w:rPr>
        <w:t>w</w:t>
      </w:r>
      <w:r>
        <w:rPr>
          <w:color w:val="000000"/>
        </w:rPr>
        <w:t xml:space="preserve">ere </w:t>
      </w:r>
      <w:r>
        <w:rPr>
          <w:color w:val="000000"/>
        </w:rPr>
        <w:t xml:space="preserve">used </w:t>
      </w:r>
      <w:r>
        <w:t xml:space="preserve">as </w:t>
      </w:r>
      <w:r>
        <w:t xml:space="preserve">planting </w:t>
      </w:r>
      <w:r>
        <w:t>materials.</w:t>
      </w:r>
      <w:r>
        <w:t xml:space="preserve"> Variety </w:t>
      </w:r>
      <w:r>
        <w:t>Cochoro</w:t>
      </w:r>
      <w:r>
        <w:t xml:space="preserve"> and </w:t>
      </w:r>
      <w:r>
        <w:t>Chali</w:t>
      </w:r>
      <w:r>
        <w:t xml:space="preserve"> were registered in 2007 whereas variety </w:t>
      </w:r>
      <w:r>
        <w:t>Gelilema</w:t>
      </w:r>
      <w:r>
        <w:t xml:space="preserve"> was registered in 2014, they are open-pollinated </w:t>
      </w:r>
      <w:r>
        <w:t>varieties and released for lowland irrigated agroecology</w:t>
      </w:r>
      <w:r>
        <w:t xml:space="preserve"> by </w:t>
      </w:r>
      <w:r>
        <w:t>Melkassa</w:t>
      </w:r>
      <w:r>
        <w:t xml:space="preserve"> Agricultural Research Center (MARC)</w:t>
      </w:r>
      <w:r>
        <w:t xml:space="preserve"> under the Ethiopian Institute of Agriculture Research</w:t>
      </w:r>
      <w:r>
        <w:t xml:space="preserve"> </w:t>
      </w:r>
      <w:r>
        <w:t>(</w:t>
      </w:r>
      <w:r>
        <w:t>MoA</w:t>
      </w:r>
      <w:r>
        <w:t>, 2020)</w:t>
      </w:r>
      <w:r>
        <w:t>.</w:t>
      </w:r>
    </w:p>
    <w:bookmarkStart w:id="11" w:name="_Toc102531564"/>
    <w:bookmarkStart w:id="12" w:name="_Toc178174246"/>
    <w:p>
      <w:pPr>
        <w:pStyle w:val="style2"/>
        <w:rPr/>
      </w:pPr>
      <w:r>
        <w:t>3.3. Treatments and Experimental Design</w:t>
      </w:r>
      <w:bookmarkEnd w:id="10"/>
      <w:bookmarkEnd w:id="11"/>
      <w:bookmarkEnd w:id="12"/>
    </w:p>
    <w:bookmarkStart w:id="13" w:name="_Hlk177750418"/>
    <w:p>
      <w:pPr>
        <w:pStyle w:val="style0"/>
        <w:spacing w:before="0" w:after="120"/>
        <w:rPr>
          <w:rFonts w:cs="Times New Roman"/>
          <w:color w:val="000000"/>
          <w:szCs w:val="24"/>
        </w:rPr>
      </w:pPr>
      <w:r>
        <w:rPr>
          <w:rFonts w:cs="Times New Roman"/>
          <w:color w:val="000000"/>
          <w:szCs w:val="24"/>
        </w:rPr>
        <w:t xml:space="preserve">The treatments </w:t>
      </w:r>
      <w:r>
        <w:rPr>
          <w:rFonts w:cs="Times New Roman"/>
          <w:color w:val="000000"/>
          <w:szCs w:val="24"/>
        </w:rPr>
        <w:t>consisted</w:t>
      </w:r>
      <w:r>
        <w:rPr>
          <w:rFonts w:cs="Times New Roman"/>
          <w:color w:val="000000"/>
          <w:szCs w:val="24"/>
        </w:rPr>
        <w:t xml:space="preserve"> of </w:t>
      </w:r>
      <w:r>
        <w:rPr>
          <w:rFonts w:cs="Times New Roman"/>
          <w:color w:val="000000"/>
          <w:szCs w:val="24"/>
        </w:rPr>
        <w:t xml:space="preserve">a </w:t>
      </w:r>
      <w:r>
        <w:rPr>
          <w:rFonts w:cs="Times New Roman"/>
          <w:color w:val="000000"/>
          <w:szCs w:val="24"/>
        </w:rPr>
        <w:t>factorial combination of five rates of blended NPS (0, 50, 100, 150,</w:t>
      </w:r>
      <w:r>
        <w:rPr>
          <w:rFonts w:cs="Times New Roman"/>
          <w:color w:val="000000"/>
          <w:szCs w:val="24"/>
        </w:rPr>
        <w:t xml:space="preserve"> and </w:t>
      </w:r>
      <w:r>
        <w:rPr>
          <w:rFonts w:cs="Times New Roman"/>
          <w:color w:val="000000"/>
          <w:szCs w:val="24"/>
        </w:rPr>
        <w:t>200</w:t>
      </w:r>
      <w:r>
        <w:rPr>
          <w:rFonts w:cs="Times New Roman"/>
          <w:color w:val="000000"/>
          <w:szCs w:val="24"/>
        </w:rPr>
        <w:t xml:space="preserve"> kg ha</w:t>
      </w:r>
      <w:r>
        <w:rPr>
          <w:rFonts w:cs="Times New Roman"/>
          <w:color w:val="000000"/>
          <w:szCs w:val="24"/>
          <w:vertAlign w:val="superscript"/>
        </w:rPr>
        <w:t>-1</w:t>
      </w:r>
      <w:r>
        <w:rPr>
          <w:rFonts w:cs="Times New Roman"/>
          <w:color w:val="000000"/>
          <w:szCs w:val="24"/>
        </w:rPr>
        <w:t>) and three tomato varieties (</w:t>
      </w:r>
      <w:r>
        <w:rPr>
          <w:bCs/>
        </w:rPr>
        <w:t>Cochoro</w:t>
      </w:r>
      <w:r>
        <w:rPr>
          <w:bCs/>
        </w:rPr>
        <w:t xml:space="preserve">, </w:t>
      </w:r>
      <w:r>
        <w:rPr>
          <w:bCs/>
        </w:rPr>
        <w:t>Chali</w:t>
      </w:r>
      <w:r>
        <w:rPr>
          <w:bCs/>
        </w:rPr>
        <w:t>,</w:t>
      </w:r>
      <w:r>
        <w:rPr>
          <w:bCs/>
        </w:rPr>
        <w:t xml:space="preserve"> and </w:t>
      </w:r>
      <w:r>
        <w:rPr>
          <w:bCs/>
        </w:rPr>
        <w:t>Gelilema</w:t>
      </w:r>
      <w:r>
        <w:rPr>
          <w:b/>
        </w:rPr>
        <w:t>)</w:t>
      </w:r>
      <w:r>
        <w:rPr>
          <w:rFonts w:cs="Times New Roman"/>
          <w:color w:val="000000"/>
          <w:szCs w:val="24"/>
        </w:rPr>
        <w:t xml:space="preserve">. </w:t>
      </w:r>
      <w:bookmarkEnd w:id="13"/>
      <w:r>
        <w:rPr>
          <w:rFonts w:cs="Times New Roman"/>
          <w:color w:val="000000"/>
          <w:szCs w:val="24"/>
        </w:rPr>
        <w:t>In addition, 100 kg ha</w:t>
      </w:r>
      <w:r>
        <w:rPr>
          <w:rFonts w:cs="Times New Roman"/>
          <w:color w:val="000000"/>
          <w:szCs w:val="24"/>
          <w:vertAlign w:val="superscript"/>
        </w:rPr>
        <w:t>-1</w:t>
      </w:r>
      <w:r>
        <w:rPr>
          <w:rFonts w:cs="Times New Roman"/>
          <w:color w:val="000000"/>
          <w:szCs w:val="24"/>
        </w:rPr>
        <w:t xml:space="preserve"> </w:t>
      </w:r>
      <w:r>
        <w:rPr>
          <w:rFonts w:cs="Times New Roman"/>
          <w:color w:val="000000"/>
          <w:szCs w:val="24"/>
        </w:rPr>
        <w:t xml:space="preserve">of </w:t>
      </w:r>
      <w:r>
        <w:rPr>
          <w:rFonts w:cs="Times New Roman"/>
          <w:color w:val="000000"/>
          <w:szCs w:val="24"/>
        </w:rPr>
        <w:t>Urea fertilizer was applied to all plots. The full rate of NPS</w:t>
      </w:r>
      <w:r>
        <w:rPr>
          <w:rFonts w:cs="Times New Roman"/>
          <w:color w:val="000000"/>
          <w:szCs w:val="24"/>
        </w:rPr>
        <w:t xml:space="preserve"> </w:t>
      </w:r>
      <w:r>
        <w:rPr>
          <w:rFonts w:cs="Times New Roman"/>
          <w:color w:val="000000"/>
          <w:szCs w:val="24"/>
        </w:rPr>
        <w:t>fertilizer was applied at the time of transplanting</w:t>
      </w:r>
      <w:r>
        <w:rPr>
          <w:rFonts w:cs="Times New Roman"/>
          <w:color w:val="000000"/>
          <w:szCs w:val="24"/>
        </w:rPr>
        <w:t>,</w:t>
      </w:r>
      <w:r>
        <w:rPr>
          <w:rFonts w:cs="Times New Roman"/>
          <w:color w:val="000000"/>
          <w:szCs w:val="24"/>
        </w:rPr>
        <w:t xml:space="preserve"> while </w:t>
      </w:r>
      <w:r>
        <w:rPr>
          <w:rFonts w:cs="Times New Roman"/>
          <w:color w:val="000000"/>
          <w:szCs w:val="24"/>
        </w:rPr>
        <w:t>Urea</w:t>
      </w:r>
      <w:r>
        <w:rPr>
          <w:rFonts w:cs="Times New Roman"/>
          <w:color w:val="000000"/>
          <w:szCs w:val="24"/>
        </w:rPr>
        <w:t xml:space="preserve"> was applied in splits, half at the time of transplanting and half at 1½ months after</w:t>
      </w:r>
      <w:r>
        <w:rPr>
          <w:rFonts w:cs="Times New Roman"/>
          <w:color w:val="000000"/>
          <w:szCs w:val="24"/>
        </w:rPr>
        <w:t xml:space="preserve"> </w:t>
      </w:r>
      <w:r>
        <w:rPr>
          <w:rFonts w:cs="Times New Roman"/>
          <w:color w:val="000000"/>
          <w:szCs w:val="24"/>
        </w:rPr>
        <w:t xml:space="preserve">transplanting with irrigation water. </w:t>
      </w:r>
      <w:r>
        <w:rPr>
          <w:rFonts w:cs="Times New Roman"/>
          <w:color w:val="000000"/>
          <w:szCs w:val="24"/>
        </w:rPr>
        <w:t xml:space="preserve">The experiment </w:t>
      </w:r>
      <w:r>
        <w:rPr>
          <w:rFonts w:cs="Times New Roman"/>
          <w:color w:val="000000"/>
          <w:szCs w:val="24"/>
        </w:rPr>
        <w:t xml:space="preserve">was </w:t>
      </w:r>
      <w:r>
        <w:rPr>
          <w:rFonts w:cs="Times New Roman"/>
          <w:color w:val="000000"/>
          <w:szCs w:val="24"/>
        </w:rPr>
        <w:t xml:space="preserve">laid out as a Randomized Complete Block Design (RCBD) with three replications. Each plot </w:t>
      </w:r>
      <w:r>
        <w:rPr>
          <w:rFonts w:cs="Times New Roman"/>
          <w:color w:val="000000"/>
          <w:szCs w:val="24"/>
        </w:rPr>
        <w:t>was</w:t>
      </w:r>
      <w:r>
        <w:rPr>
          <w:rFonts w:cs="Times New Roman"/>
          <w:color w:val="000000"/>
          <w:szCs w:val="24"/>
        </w:rPr>
        <w:t xml:space="preserve"> </w:t>
      </w:r>
      <w:r>
        <w:rPr>
          <w:rFonts w:cs="Times New Roman"/>
          <w:color w:val="000000"/>
          <w:szCs w:val="24"/>
        </w:rPr>
        <w:t>3.6 m</w:t>
      </w:r>
      <w:r>
        <w:rPr>
          <w:rFonts w:cs="Times New Roman"/>
          <w:color w:val="000000"/>
          <w:szCs w:val="24"/>
        </w:rPr>
        <w:t xml:space="preserve"> length and 5 m width, and a gross plot area of 18 m</w:t>
      </w:r>
      <w:r>
        <w:rPr>
          <w:rFonts w:cs="Times New Roman"/>
          <w:color w:val="000000"/>
          <w:szCs w:val="24"/>
          <w:vertAlign w:val="superscript"/>
        </w:rPr>
        <w:t>2</w:t>
      </w:r>
      <w:r>
        <w:rPr>
          <w:rFonts w:cs="Times New Roman"/>
          <w:color w:val="000000"/>
          <w:szCs w:val="24"/>
        </w:rPr>
        <w:t>.</w:t>
      </w:r>
      <w:r>
        <w:rPr>
          <w:b/>
        </w:rPr>
        <w:t xml:space="preserve"> </w:t>
      </w:r>
      <w:r>
        <w:rPr>
          <w:rFonts w:cs="Times New Roman"/>
          <w:color w:val="000000"/>
          <w:szCs w:val="24"/>
        </w:rPr>
        <w:t xml:space="preserve">Each plot </w:t>
      </w:r>
      <w:r>
        <w:rPr>
          <w:rFonts w:cs="Times New Roman"/>
          <w:color w:val="000000"/>
          <w:szCs w:val="24"/>
        </w:rPr>
        <w:t>consisted</w:t>
      </w:r>
      <w:r>
        <w:rPr>
          <w:rFonts w:cs="Times New Roman"/>
          <w:color w:val="000000"/>
          <w:szCs w:val="24"/>
        </w:rPr>
        <w:t xml:space="preserve"> of five rows, each row accommodating 12 plants, and 60 plants per plot. Of which 36 plants in the central row exclusive of</w:t>
      </w:r>
      <w:r>
        <w:rPr>
          <w:rFonts w:cs="Times New Roman"/>
          <w:color w:val="000000"/>
          <w:szCs w:val="24"/>
        </w:rPr>
        <w:t xml:space="preserve"> </w:t>
      </w:r>
      <w:r>
        <w:rPr>
          <w:rFonts w:cs="Times New Roman"/>
          <w:color w:val="000000"/>
          <w:szCs w:val="24"/>
        </w:rPr>
        <w:t xml:space="preserve">plants at both end of each row of each plot </w:t>
      </w:r>
      <w:r>
        <w:rPr>
          <w:rFonts w:cs="Times New Roman"/>
          <w:color w:val="000000"/>
          <w:szCs w:val="24"/>
        </w:rPr>
        <w:t xml:space="preserve">was </w:t>
      </w:r>
      <w:r>
        <w:rPr>
          <w:rFonts w:cs="Times New Roman"/>
          <w:color w:val="000000"/>
          <w:szCs w:val="24"/>
        </w:rPr>
        <w:t xml:space="preserve">used for yield and </w:t>
      </w:r>
      <w:r>
        <w:rPr>
          <w:rFonts w:cs="Times New Roman"/>
          <w:color w:val="000000"/>
          <w:szCs w:val="24"/>
        </w:rPr>
        <w:t>yield-related</w:t>
      </w:r>
      <w:r>
        <w:rPr>
          <w:rFonts w:cs="Times New Roman"/>
          <w:color w:val="000000"/>
          <w:szCs w:val="24"/>
        </w:rPr>
        <w:t xml:space="preserve"> data collected collection. Inter-row spacing of </w:t>
      </w:r>
      <w:r>
        <w:rPr>
          <w:rFonts w:cs="Times New Roman"/>
          <w:color w:val="000000"/>
          <w:szCs w:val="24"/>
        </w:rPr>
        <w:t>1 m</w:t>
      </w:r>
      <w:r>
        <w:rPr>
          <w:rFonts w:cs="Times New Roman"/>
          <w:color w:val="000000"/>
          <w:szCs w:val="24"/>
        </w:rPr>
        <w:t xml:space="preserve"> and intra-row spacing of </w:t>
      </w:r>
      <w:r>
        <w:rPr>
          <w:rFonts w:cs="Times New Roman"/>
          <w:color w:val="000000"/>
          <w:szCs w:val="24"/>
        </w:rPr>
        <w:t>0.3 m</w:t>
      </w:r>
      <w:r>
        <w:rPr>
          <w:rFonts w:cs="Times New Roman"/>
          <w:color w:val="000000"/>
          <w:szCs w:val="24"/>
        </w:rPr>
        <w:t xml:space="preserve"> </w:t>
      </w:r>
      <w:r>
        <w:rPr>
          <w:rFonts w:cs="Times New Roman"/>
          <w:color w:val="000000"/>
          <w:szCs w:val="24"/>
        </w:rPr>
        <w:t xml:space="preserve">was </w:t>
      </w:r>
      <w:r>
        <w:rPr>
          <w:rFonts w:cs="Times New Roman"/>
          <w:color w:val="000000"/>
          <w:szCs w:val="24"/>
        </w:rPr>
        <w:t xml:space="preserve">maintained and the spacing of 1m and </w:t>
      </w:r>
      <w:r>
        <w:rPr>
          <w:rFonts w:cs="Times New Roman"/>
          <w:color w:val="000000"/>
          <w:szCs w:val="24"/>
        </w:rPr>
        <w:t>1.5 m</w:t>
      </w:r>
      <w:r>
        <w:rPr>
          <w:rFonts w:cs="Times New Roman"/>
          <w:color w:val="000000"/>
          <w:szCs w:val="24"/>
        </w:rPr>
        <w:t xml:space="preserve"> </w:t>
      </w:r>
      <w:r>
        <w:rPr>
          <w:rFonts w:cs="Times New Roman"/>
          <w:color w:val="000000"/>
          <w:szCs w:val="24"/>
        </w:rPr>
        <w:t xml:space="preserve">was </w:t>
      </w:r>
      <w:r>
        <w:rPr>
          <w:rFonts w:cs="Times New Roman"/>
          <w:color w:val="000000"/>
          <w:szCs w:val="24"/>
        </w:rPr>
        <w:t>maintained between plots and replications, respectively.</w:t>
      </w:r>
    </w:p>
    <w:bookmarkStart w:id="14" w:name="_Toc96900290"/>
    <w:bookmarkStart w:id="15" w:name="_Toc102531565"/>
    <w:bookmarkStart w:id="16" w:name="_Toc178174247"/>
    <w:p>
      <w:pPr>
        <w:pStyle w:val="style2"/>
        <w:spacing w:before="0"/>
        <w:rPr/>
      </w:pPr>
      <w:r>
        <w:t>3.4. Experimental Procedure and Field Management</w:t>
      </w:r>
      <w:bookmarkEnd w:id="14"/>
      <w:bookmarkEnd w:id="15"/>
      <w:bookmarkEnd w:id="16"/>
      <w:r>
        <w:t xml:space="preserve"> </w:t>
      </w:r>
      <w:r>
        <w:tab/>
      </w:r>
    </w:p>
    <w:p>
      <w:pPr>
        <w:pStyle w:val="style0"/>
        <w:spacing w:before="0" w:after="120"/>
        <w:rPr>
          <w:rFonts w:cs="Times New Roman"/>
          <w:color w:val="000000"/>
          <w:szCs w:val="24"/>
        </w:rPr>
      </w:pPr>
      <w:r>
        <w:rPr>
          <w:rFonts w:cs="Times New Roman"/>
          <w:color w:val="000000"/>
          <w:szCs w:val="24"/>
        </w:rPr>
        <w:t xml:space="preserve">Seedlings </w:t>
      </w:r>
      <w:r>
        <w:rPr>
          <w:rFonts w:cs="Times New Roman"/>
          <w:color w:val="000000"/>
          <w:szCs w:val="24"/>
        </w:rPr>
        <w:t>were</w:t>
      </w:r>
      <w:r>
        <w:rPr>
          <w:rFonts w:cs="Times New Roman"/>
          <w:color w:val="000000"/>
          <w:szCs w:val="24"/>
        </w:rPr>
        <w:t xml:space="preserve"> </w:t>
      </w:r>
      <w:r>
        <w:rPr>
          <w:rFonts w:cs="Times New Roman"/>
          <w:color w:val="000000"/>
          <w:szCs w:val="24"/>
        </w:rPr>
        <w:t>raised on a seedbed in the nursery close to the experimental field for one month</w:t>
      </w:r>
      <w:r>
        <w:rPr>
          <w:rFonts w:cs="Times New Roman"/>
          <w:color w:val="000000"/>
          <w:szCs w:val="24"/>
        </w:rPr>
        <w:t>.</w:t>
      </w:r>
      <w:r>
        <w:rPr>
          <w:rFonts w:cs="Times New Roman"/>
          <w:color w:val="000000"/>
          <w:szCs w:val="24"/>
        </w:rPr>
        <w:t xml:space="preserve"> Weeds and stubbles </w:t>
      </w:r>
      <w:r>
        <w:rPr>
          <w:rFonts w:cs="Times New Roman"/>
          <w:color w:val="000000"/>
          <w:szCs w:val="24"/>
        </w:rPr>
        <w:t>was</w:t>
      </w:r>
      <w:r>
        <w:rPr>
          <w:rFonts w:cs="Times New Roman"/>
          <w:color w:val="000000"/>
          <w:szCs w:val="24"/>
        </w:rPr>
        <w:t xml:space="preserve"> </w:t>
      </w:r>
      <w:r>
        <w:rPr>
          <w:rFonts w:cs="Times New Roman"/>
          <w:color w:val="000000"/>
          <w:szCs w:val="24"/>
        </w:rPr>
        <w:t xml:space="preserve">removed and the soil pulverized through repeated cultivation. </w:t>
      </w:r>
      <w:r>
        <w:rPr>
          <w:rFonts w:cs="Times New Roman"/>
          <w:color w:val="000000"/>
          <w:szCs w:val="24"/>
        </w:rPr>
        <w:t>Ridomil</w:t>
      </w:r>
      <w:r>
        <w:rPr>
          <w:rFonts w:cs="Times New Roman"/>
          <w:color w:val="000000"/>
          <w:szCs w:val="24"/>
        </w:rPr>
        <w:t>® MZ 68 WG at a rate of 2.5 kg ha</w:t>
      </w:r>
      <w:r>
        <w:rPr>
          <w:rFonts w:cs="Times New Roman"/>
          <w:color w:val="000000"/>
          <w:szCs w:val="24"/>
          <w:vertAlign w:val="superscript"/>
        </w:rPr>
        <w:t>-1</w:t>
      </w:r>
      <w:r>
        <w:rPr>
          <w:rFonts w:cs="Times New Roman"/>
          <w:color w:val="000000"/>
          <w:szCs w:val="24"/>
        </w:rPr>
        <w:t xml:space="preserve"> </w:t>
      </w:r>
      <w:r>
        <w:rPr>
          <w:rFonts w:cs="Times New Roman"/>
          <w:color w:val="000000"/>
          <w:szCs w:val="24"/>
        </w:rPr>
        <w:t xml:space="preserve">was </w:t>
      </w:r>
      <w:r>
        <w:rPr>
          <w:rFonts w:cs="Times New Roman"/>
          <w:color w:val="000000"/>
          <w:szCs w:val="24"/>
        </w:rPr>
        <w:t xml:space="preserve">sprayed on the nursery beds to control damping off. The land </w:t>
      </w:r>
      <w:r>
        <w:rPr>
          <w:rFonts w:cs="Times New Roman"/>
          <w:color w:val="000000"/>
          <w:szCs w:val="24"/>
        </w:rPr>
        <w:t xml:space="preserve">was </w:t>
      </w:r>
      <w:r>
        <w:rPr>
          <w:rFonts w:cs="Times New Roman"/>
          <w:color w:val="000000"/>
          <w:szCs w:val="24"/>
        </w:rPr>
        <w:t xml:space="preserve">prepared </w:t>
      </w:r>
      <w:r>
        <w:rPr>
          <w:rFonts w:cs="Times New Roman"/>
          <w:color w:val="000000"/>
          <w:szCs w:val="24"/>
        </w:rPr>
        <w:t>under</w:t>
      </w:r>
      <w:r>
        <w:rPr>
          <w:rFonts w:cs="Times New Roman"/>
          <w:color w:val="000000"/>
          <w:szCs w:val="24"/>
        </w:rPr>
        <w:t xml:space="preserve"> the standard practice. The experimental plot </w:t>
      </w:r>
      <w:r>
        <w:rPr>
          <w:rFonts w:cs="Times New Roman"/>
          <w:color w:val="000000"/>
          <w:szCs w:val="24"/>
        </w:rPr>
        <w:t xml:space="preserve">was </w:t>
      </w:r>
      <w:r>
        <w:rPr>
          <w:rFonts w:cs="Times New Roman"/>
          <w:color w:val="000000"/>
          <w:szCs w:val="24"/>
        </w:rPr>
        <w:t>cultivated to a depth of 25-30 cm by a tractor</w:t>
      </w:r>
      <w:r>
        <w:rPr>
          <w:rFonts w:cs="Times New Roman"/>
          <w:color w:val="000000"/>
          <w:szCs w:val="24"/>
        </w:rPr>
        <w:t>,</w:t>
      </w:r>
      <w:r>
        <w:rPr>
          <w:rFonts w:cs="Times New Roman"/>
          <w:color w:val="000000"/>
          <w:szCs w:val="24"/>
        </w:rPr>
        <w:t xml:space="preserve"> and then the land </w:t>
      </w:r>
      <w:r>
        <w:rPr>
          <w:rFonts w:cs="Times New Roman"/>
          <w:color w:val="000000"/>
          <w:szCs w:val="24"/>
        </w:rPr>
        <w:t xml:space="preserve">was </w:t>
      </w:r>
      <w:r>
        <w:rPr>
          <w:rFonts w:cs="Times New Roman"/>
          <w:color w:val="000000"/>
          <w:szCs w:val="24"/>
        </w:rPr>
        <w:t xml:space="preserve">leveled and ridges </w:t>
      </w:r>
      <w:r>
        <w:rPr>
          <w:rFonts w:cs="Times New Roman"/>
          <w:color w:val="000000"/>
          <w:szCs w:val="24"/>
        </w:rPr>
        <w:t>were</w:t>
      </w:r>
      <w:r>
        <w:rPr>
          <w:rFonts w:cs="Times New Roman"/>
          <w:color w:val="000000"/>
          <w:szCs w:val="24"/>
        </w:rPr>
        <w:t xml:space="preserve"> </w:t>
      </w:r>
      <w:r>
        <w:rPr>
          <w:rFonts w:cs="Times New Roman"/>
          <w:color w:val="000000"/>
          <w:szCs w:val="24"/>
        </w:rPr>
        <w:t xml:space="preserve">made manually in each plot. </w:t>
      </w:r>
      <w:r>
        <w:rPr>
          <w:rFonts w:cs="Times New Roman"/>
          <w:color w:val="000000"/>
          <w:szCs w:val="24"/>
        </w:rPr>
        <w:t>One-month-old</w:t>
      </w:r>
      <w:r>
        <w:rPr>
          <w:rFonts w:cs="Times New Roman"/>
          <w:color w:val="000000"/>
          <w:szCs w:val="24"/>
        </w:rPr>
        <w:t xml:space="preserve"> seedlings </w:t>
      </w:r>
      <w:r>
        <w:rPr>
          <w:rFonts w:cs="Times New Roman"/>
          <w:color w:val="000000"/>
          <w:szCs w:val="24"/>
        </w:rPr>
        <w:t>w</w:t>
      </w:r>
      <w:r>
        <w:rPr>
          <w:rFonts w:cs="Times New Roman"/>
          <w:color w:val="000000"/>
          <w:szCs w:val="24"/>
        </w:rPr>
        <w:t>ere</w:t>
      </w:r>
      <w:r>
        <w:rPr>
          <w:rFonts w:cs="Times New Roman"/>
          <w:color w:val="000000"/>
          <w:szCs w:val="24"/>
        </w:rPr>
        <w:t xml:space="preserve"> </w:t>
      </w:r>
      <w:r>
        <w:rPr>
          <w:rFonts w:cs="Times New Roman"/>
          <w:color w:val="000000"/>
          <w:szCs w:val="24"/>
        </w:rPr>
        <w:t xml:space="preserve">transplanted to the field. The full rate of blended NPS fertilizer as proposed for each treatment </w:t>
      </w:r>
      <w:r>
        <w:rPr>
          <w:rFonts w:cs="Times New Roman"/>
          <w:color w:val="000000"/>
          <w:szCs w:val="24"/>
        </w:rPr>
        <w:t xml:space="preserve">was </w:t>
      </w:r>
      <w:r>
        <w:rPr>
          <w:rFonts w:cs="Times New Roman"/>
          <w:color w:val="000000"/>
          <w:szCs w:val="24"/>
        </w:rPr>
        <w:t>applied at the time of transplanting</w:t>
      </w:r>
      <w:r>
        <w:rPr>
          <w:rFonts w:cs="Times New Roman"/>
          <w:color w:val="000000"/>
          <w:szCs w:val="24"/>
        </w:rPr>
        <w:t>,</w:t>
      </w:r>
      <w:r>
        <w:rPr>
          <w:rFonts w:cs="Times New Roman"/>
          <w:color w:val="000000"/>
          <w:szCs w:val="24"/>
        </w:rPr>
        <w:t xml:space="preserve"> while Nitrogen </w:t>
      </w:r>
      <w:r>
        <w:rPr>
          <w:rFonts w:cs="Times New Roman"/>
          <w:color w:val="000000"/>
          <w:szCs w:val="24"/>
        </w:rPr>
        <w:t xml:space="preserve">was </w:t>
      </w:r>
      <w:r>
        <w:rPr>
          <w:rFonts w:cs="Times New Roman"/>
          <w:color w:val="000000"/>
          <w:szCs w:val="24"/>
        </w:rPr>
        <w:t xml:space="preserve">applied in splits, half at the time of transplanting and half at 1½ months after transplanting with irrigation water. Similarly, </w:t>
      </w:r>
      <w:r>
        <w:rPr>
          <w:rFonts w:cs="Times New Roman"/>
          <w:color w:val="000000"/>
          <w:szCs w:val="24"/>
        </w:rPr>
        <w:t>Ridomil</w:t>
      </w:r>
      <w:r>
        <w:rPr>
          <w:rFonts w:cs="Times New Roman"/>
          <w:color w:val="000000"/>
          <w:szCs w:val="24"/>
        </w:rPr>
        <w:t xml:space="preserve">® MZ 68 WG at a rate of 2.5 kg ha-1 for controlling fungal disease, </w:t>
      </w:r>
      <w:r>
        <w:rPr>
          <w:rFonts w:cs="Times New Roman"/>
          <w:color w:val="000000"/>
          <w:szCs w:val="24"/>
        </w:rPr>
        <w:t>Selecron</w:t>
      </w:r>
      <w:r>
        <w:rPr>
          <w:rFonts w:cs="Times New Roman"/>
          <w:color w:val="000000"/>
          <w:szCs w:val="24"/>
        </w:rPr>
        <w:t>® 720 EC at a rate of 0.75 litter ha</w:t>
      </w:r>
      <w:r>
        <w:rPr>
          <w:rFonts w:cs="Times New Roman"/>
          <w:color w:val="000000"/>
          <w:szCs w:val="24"/>
          <w:vertAlign w:val="superscript"/>
        </w:rPr>
        <w:t>-1</w:t>
      </w:r>
      <w:r>
        <w:rPr>
          <w:rFonts w:cs="Times New Roman"/>
          <w:color w:val="000000"/>
          <w:szCs w:val="24"/>
        </w:rPr>
        <w:t xml:space="preserve"> for controlling leaf worm and Mancozeb® (</w:t>
      </w:r>
      <w:r>
        <w:rPr>
          <w:rFonts w:cs="Times New Roman"/>
          <w:color w:val="000000"/>
          <w:szCs w:val="24"/>
        </w:rPr>
        <w:t>Indofil</w:t>
      </w:r>
      <w:r>
        <w:rPr>
          <w:rFonts w:cs="Times New Roman"/>
          <w:color w:val="000000"/>
          <w:szCs w:val="24"/>
        </w:rPr>
        <w:t xml:space="preserve"> M-45) at a rate of 2.5 kg ha-1 for controlling early, late blight and </w:t>
      </w:r>
      <w:r>
        <w:rPr>
          <w:rFonts w:cs="Times New Roman"/>
          <w:color w:val="000000"/>
          <w:szCs w:val="24"/>
        </w:rPr>
        <w:t xml:space="preserve">anthracnose </w:t>
      </w:r>
      <w:r>
        <w:rPr>
          <w:rFonts w:cs="Times New Roman"/>
          <w:color w:val="000000"/>
          <w:szCs w:val="24"/>
        </w:rPr>
        <w:t xml:space="preserve">was </w:t>
      </w:r>
      <w:r>
        <w:rPr>
          <w:rFonts w:cs="Times New Roman"/>
          <w:color w:val="000000"/>
          <w:szCs w:val="24"/>
        </w:rPr>
        <w:t xml:space="preserve">applied. Other horticultural practices </w:t>
      </w:r>
      <w:r>
        <w:rPr>
          <w:rFonts w:cs="Times New Roman"/>
          <w:color w:val="000000"/>
          <w:szCs w:val="24"/>
        </w:rPr>
        <w:t>w</w:t>
      </w:r>
      <w:r>
        <w:rPr>
          <w:rFonts w:cs="Times New Roman"/>
          <w:color w:val="000000"/>
          <w:szCs w:val="24"/>
        </w:rPr>
        <w:t>ere</w:t>
      </w:r>
      <w:r>
        <w:rPr>
          <w:rFonts w:cs="Times New Roman"/>
          <w:color w:val="000000"/>
          <w:szCs w:val="24"/>
        </w:rPr>
        <w:t xml:space="preserve"> </w:t>
      </w:r>
      <w:r>
        <w:rPr>
          <w:rFonts w:cs="Times New Roman"/>
          <w:color w:val="000000"/>
          <w:szCs w:val="24"/>
        </w:rPr>
        <w:t>applied according to the National recommend</w:t>
      </w:r>
      <w:r>
        <w:rPr>
          <w:rFonts w:cs="Times New Roman"/>
          <w:color w:val="000000"/>
          <w:szCs w:val="24"/>
        </w:rPr>
        <w:t xml:space="preserve">ation for the crop </w:t>
      </w:r>
      <w:r>
        <w:rPr>
          <w:rFonts w:cs="Times New Roman"/>
          <w:color w:val="000000"/>
          <w:szCs w:val="24"/>
        </w:rPr>
        <w:t>(</w:t>
      </w:r>
      <w:r>
        <w:rPr>
          <w:rFonts w:cs="Times New Roman"/>
          <w:color w:val="000000"/>
          <w:szCs w:val="24"/>
        </w:rPr>
        <w:t>MoA</w:t>
      </w:r>
      <w:r>
        <w:rPr>
          <w:rFonts w:cs="Times New Roman"/>
          <w:color w:val="000000"/>
          <w:szCs w:val="24"/>
        </w:rPr>
        <w:t>, 201</w:t>
      </w:r>
      <w:r>
        <w:rPr>
          <w:rFonts w:cs="Times New Roman"/>
          <w:color w:val="000000"/>
          <w:szCs w:val="24"/>
        </w:rPr>
        <w:t>6</w:t>
      </w:r>
      <w:r>
        <w:rPr>
          <w:rFonts w:cs="Times New Roman"/>
          <w:color w:val="000000"/>
          <w:szCs w:val="24"/>
        </w:rPr>
        <w:t>)</w:t>
      </w:r>
      <w:r>
        <w:rPr>
          <w:rFonts w:cs="Times New Roman"/>
          <w:color w:val="000000"/>
          <w:szCs w:val="24"/>
        </w:rPr>
        <w:t>.</w:t>
      </w:r>
      <w:r>
        <w:rPr>
          <w:rFonts w:cs="Times New Roman"/>
          <w:color w:val="000000"/>
          <w:szCs w:val="24"/>
        </w:rPr>
        <w:t xml:space="preserve"> </w:t>
      </w:r>
      <w:r>
        <w:rPr>
          <w:rFonts w:cs="Times New Roman"/>
          <w:color w:val="000000"/>
          <w:szCs w:val="24"/>
        </w:rPr>
        <w:t>The fruits were picked once their skin turned red, with several harvesting cycles carried out for each plot. Harvesting was done from the plants in the three central rows, while the plants in the two outer rows and the two plants at each end of every row were left untouched to prevent border effects</w:t>
      </w:r>
      <w:r>
        <w:rPr>
          <w:rFonts w:cs="Times New Roman"/>
          <w:color w:val="000000"/>
          <w:szCs w:val="24"/>
        </w:rPr>
        <w:t>.</w:t>
      </w:r>
    </w:p>
    <w:bookmarkStart w:id="17" w:name="_Toc96900291"/>
    <w:bookmarkStart w:id="18" w:name="_Toc102531566"/>
    <w:bookmarkStart w:id="19" w:name="_Toc178174248"/>
    <w:p>
      <w:pPr>
        <w:pStyle w:val="style2"/>
        <w:spacing w:before="0"/>
        <w:rPr>
          <w:color w:val="000000"/>
        </w:rPr>
      </w:pPr>
      <w:r>
        <w:t>3.5. Data Collection</w:t>
      </w:r>
      <w:bookmarkEnd w:id="17"/>
      <w:bookmarkEnd w:id="18"/>
      <w:bookmarkEnd w:id="19"/>
    </w:p>
    <w:p>
      <w:pPr>
        <w:pStyle w:val="style0"/>
        <w:spacing w:before="0" w:after="120"/>
        <w:rPr/>
      </w:pPr>
      <w:r>
        <w:t>Crop phenology, growth, yield</w:t>
      </w:r>
      <w:r>
        <w:t>,</w:t>
      </w:r>
      <w:r>
        <w:t xml:space="preserve"> and yield components</w:t>
      </w:r>
      <w:r>
        <w:t xml:space="preserve"> </w:t>
      </w:r>
      <w:r>
        <w:t>w</w:t>
      </w:r>
      <w:r>
        <w:t>ere</w:t>
      </w:r>
      <w:r>
        <w:t xml:space="preserve"> </w:t>
      </w:r>
      <w:r>
        <w:t xml:space="preserve">considered in this study. The details procedures of data collection for all these parameters are presented below. </w:t>
      </w:r>
      <w:bookmarkStart w:id="20" w:name="_Toc96900292"/>
      <w:r>
        <w:t xml:space="preserve">                       </w:t>
      </w:r>
    </w:p>
    <w:bookmarkStart w:id="21" w:name="_Toc178174249"/>
    <w:p>
      <w:pPr>
        <w:pStyle w:val="style3"/>
        <w:rPr/>
      </w:pPr>
      <w:r>
        <w:t>3.5.1. Phonological Data</w:t>
      </w:r>
      <w:bookmarkEnd w:id="20"/>
      <w:bookmarkEnd w:id="21"/>
    </w:p>
    <w:p>
      <w:pPr>
        <w:pStyle w:val="style0"/>
        <w:spacing w:before="0" w:after="0"/>
        <w:rPr>
          <w:rFonts w:cs="Times New Roman"/>
          <w:color w:val="000000"/>
          <w:szCs w:val="24"/>
        </w:rPr>
      </w:pPr>
      <w:r>
        <w:rPr>
          <w:rFonts w:cs="Times New Roman"/>
          <w:b/>
          <w:color w:val="000000"/>
          <w:szCs w:val="24"/>
        </w:rPr>
        <w:t>Days to 50% flowering:</w:t>
      </w:r>
      <w:r>
        <w:rPr>
          <w:rFonts w:cs="Times New Roman"/>
          <w:color w:val="000000"/>
          <w:szCs w:val="24"/>
        </w:rPr>
        <w:t xml:space="preserve"> </w:t>
      </w:r>
      <w:r>
        <w:rPr>
          <w:rFonts w:cs="Times New Roman"/>
          <w:color w:val="000000"/>
          <w:szCs w:val="24"/>
        </w:rPr>
        <w:t xml:space="preserve">was </w:t>
      </w:r>
      <w:r>
        <w:rPr>
          <w:rFonts w:cs="Times New Roman"/>
          <w:color w:val="000000"/>
          <w:szCs w:val="24"/>
        </w:rPr>
        <w:t>recorded as the number of days from transplanting to the time when 50% of plants in each plot flowered.</w:t>
      </w:r>
    </w:p>
    <w:p>
      <w:pPr>
        <w:pStyle w:val="style0"/>
        <w:spacing w:before="0" w:after="120"/>
        <w:rPr>
          <w:rFonts w:cs="Times New Roman"/>
          <w:color w:val="000000"/>
          <w:szCs w:val="24"/>
        </w:rPr>
      </w:pPr>
      <w:r>
        <w:rPr>
          <w:rFonts w:cs="Times New Roman"/>
          <w:b/>
          <w:color w:val="000000"/>
          <w:szCs w:val="24"/>
        </w:rPr>
        <w:t xml:space="preserve">Days to </w:t>
      </w:r>
      <w:r>
        <w:rPr>
          <w:rFonts w:cs="Times New Roman"/>
          <w:b/>
          <w:color w:val="000000"/>
          <w:szCs w:val="24"/>
        </w:rPr>
        <w:t xml:space="preserve">50% </w:t>
      </w:r>
      <w:r>
        <w:rPr>
          <w:rFonts w:cs="Times New Roman"/>
          <w:b/>
          <w:color w:val="000000"/>
          <w:szCs w:val="24"/>
        </w:rPr>
        <w:t>maturity</w:t>
      </w:r>
      <w:r>
        <w:rPr>
          <w:rFonts w:cs="Times New Roman"/>
          <w:color w:val="000000"/>
          <w:szCs w:val="24"/>
        </w:rPr>
        <w:t xml:space="preserve"> were</w:t>
      </w:r>
      <w:r>
        <w:rPr>
          <w:rFonts w:cs="Times New Roman"/>
          <w:color w:val="000000"/>
          <w:szCs w:val="24"/>
        </w:rPr>
        <w:t xml:space="preserve"> </w:t>
      </w:r>
      <w:r>
        <w:rPr>
          <w:rFonts w:cs="Times New Roman"/>
          <w:color w:val="000000"/>
          <w:szCs w:val="24"/>
        </w:rPr>
        <w:t xml:space="preserve">recorded as the </w:t>
      </w:r>
      <w:r>
        <w:rPr>
          <w:rFonts w:cs="Times New Roman"/>
          <w:color w:val="000000"/>
          <w:szCs w:val="24"/>
        </w:rPr>
        <w:t>number</w:t>
      </w:r>
      <w:r>
        <w:rPr>
          <w:rFonts w:cs="Times New Roman"/>
          <w:color w:val="000000"/>
          <w:szCs w:val="24"/>
        </w:rPr>
        <w:t xml:space="preserve"> of days from the date of transplanting to the date when 50% of the plants in each plot reached physiologically maturity of fruits for the first time. In other words, days to maturity </w:t>
      </w:r>
      <w:r>
        <w:rPr>
          <w:rFonts w:cs="Times New Roman"/>
          <w:color w:val="000000"/>
          <w:szCs w:val="24"/>
        </w:rPr>
        <w:t>were</w:t>
      </w:r>
      <w:r>
        <w:rPr>
          <w:rFonts w:cs="Times New Roman"/>
          <w:color w:val="000000"/>
          <w:szCs w:val="24"/>
        </w:rPr>
        <w:t xml:space="preserve"> </w:t>
      </w:r>
      <w:r>
        <w:rPr>
          <w:rFonts w:cs="Times New Roman"/>
          <w:color w:val="000000"/>
          <w:szCs w:val="24"/>
        </w:rPr>
        <w:t>recorded when approximately 50% of plants per plot attained their first crop harvest.</w:t>
      </w:r>
    </w:p>
    <w:bookmarkStart w:id="22" w:name="_Toc96900294"/>
    <w:bookmarkStart w:id="23" w:name="_Toc102531567"/>
    <w:bookmarkStart w:id="24" w:name="_Toc178174250"/>
    <w:p>
      <w:pPr>
        <w:pStyle w:val="style3"/>
        <w:rPr/>
      </w:pPr>
      <w:r>
        <w:t>3.5</w:t>
      </w:r>
      <w:r>
        <w:t>.2</w:t>
      </w:r>
      <w:r>
        <w:t xml:space="preserve">. </w:t>
      </w:r>
      <w:r>
        <w:t>Growth</w:t>
      </w:r>
      <w:r>
        <w:t xml:space="preserve">, </w:t>
      </w:r>
      <w:r>
        <w:t>Yield</w:t>
      </w:r>
      <w:r>
        <w:t>,</w:t>
      </w:r>
      <w:r>
        <w:t xml:space="preserve"> and </w:t>
      </w:r>
      <w:r>
        <w:t>Yield-Related</w:t>
      </w:r>
      <w:r>
        <w:t xml:space="preserve"> Parameters</w:t>
      </w:r>
      <w:bookmarkEnd w:id="22"/>
      <w:bookmarkEnd w:id="23"/>
      <w:bookmarkEnd w:id="24"/>
    </w:p>
    <w:p>
      <w:pPr>
        <w:pStyle w:val="style0"/>
        <w:spacing w:before="0" w:after="0"/>
        <w:rPr>
          <w:rFonts w:cs="Times New Roman"/>
          <w:bCs/>
          <w:color w:val="000000"/>
          <w:szCs w:val="24"/>
        </w:rPr>
      </w:pPr>
      <w:r>
        <w:rPr>
          <w:rFonts w:cs="Times New Roman"/>
          <w:b/>
          <w:color w:val="000000"/>
          <w:szCs w:val="24"/>
        </w:rPr>
        <w:t>Plant height</w:t>
      </w:r>
      <w:r>
        <w:rPr>
          <w:rFonts w:cs="Times New Roman"/>
          <w:bCs/>
          <w:color w:val="000000"/>
          <w:szCs w:val="24"/>
        </w:rPr>
        <w:t xml:space="preserve">: </w:t>
      </w:r>
      <w:r>
        <w:rPr>
          <w:rFonts w:cs="Times New Roman"/>
          <w:bCs/>
          <w:color w:val="000000"/>
          <w:szCs w:val="24"/>
        </w:rPr>
        <w:t xml:space="preserve">The </w:t>
      </w:r>
      <w:r>
        <w:rPr>
          <w:rFonts w:cs="Times New Roman"/>
          <w:bCs/>
          <w:color w:val="000000"/>
          <w:szCs w:val="24"/>
        </w:rPr>
        <w:t xml:space="preserve">height of the plants was measured from the ground level to the tip of </w:t>
      </w:r>
      <w:r>
        <w:rPr>
          <w:rFonts w:cs="Times New Roman"/>
          <w:bCs/>
          <w:color w:val="000000"/>
          <w:szCs w:val="24"/>
        </w:rPr>
        <w:t xml:space="preserve">the </w:t>
      </w:r>
      <w:r>
        <w:rPr>
          <w:rFonts w:cs="Times New Roman"/>
          <w:bCs/>
          <w:color w:val="000000"/>
          <w:szCs w:val="24"/>
        </w:rPr>
        <w:t>uppermost</w:t>
      </w:r>
      <w:r>
        <w:rPr>
          <w:rFonts w:cs="Times New Roman"/>
          <w:bCs/>
          <w:color w:val="000000"/>
          <w:szCs w:val="24"/>
        </w:rPr>
        <w:t xml:space="preserve"> part of 5 randomly selected plants at flowering, fruit setting, at first harvest</w:t>
      </w:r>
      <w:r>
        <w:rPr>
          <w:rFonts w:cs="Times New Roman"/>
          <w:bCs/>
          <w:color w:val="000000"/>
          <w:szCs w:val="24"/>
        </w:rPr>
        <w:t>,</w:t>
      </w:r>
      <w:r>
        <w:rPr>
          <w:rFonts w:cs="Times New Roman"/>
          <w:bCs/>
          <w:color w:val="000000"/>
          <w:szCs w:val="24"/>
        </w:rPr>
        <w:t xml:space="preserve"> and final harvest.</w:t>
      </w:r>
    </w:p>
    <w:p>
      <w:pPr>
        <w:pStyle w:val="style0"/>
        <w:spacing w:before="0" w:after="0"/>
        <w:rPr>
          <w:rFonts w:cs="Times New Roman"/>
          <w:color w:val="000000"/>
          <w:szCs w:val="24"/>
        </w:rPr>
      </w:pPr>
      <w:r>
        <w:rPr>
          <w:rFonts w:cs="Times New Roman"/>
          <w:b/>
          <w:color w:val="000000"/>
          <w:szCs w:val="24"/>
        </w:rPr>
        <w:t>Number of fruits per cluster:</w:t>
      </w:r>
      <w:r>
        <w:rPr>
          <w:rFonts w:cs="Times New Roman"/>
          <w:color w:val="000000"/>
          <w:szCs w:val="24"/>
        </w:rPr>
        <w:t xml:space="preserve"> It </w:t>
      </w:r>
      <w:r>
        <w:rPr>
          <w:rFonts w:cs="Times New Roman"/>
          <w:color w:val="000000"/>
          <w:szCs w:val="24"/>
        </w:rPr>
        <w:t xml:space="preserve">was </w:t>
      </w:r>
      <w:r>
        <w:rPr>
          <w:rFonts w:cs="Times New Roman"/>
          <w:color w:val="000000"/>
          <w:szCs w:val="24"/>
        </w:rPr>
        <w:t>recorded by counting the total number of fruits per cluster from five randomly selected plants at red ripening stage of the fruit</w:t>
      </w:r>
      <w:r>
        <w:rPr>
          <w:rFonts w:cs="Times New Roman"/>
          <w:color w:val="000000"/>
          <w:szCs w:val="24"/>
        </w:rPr>
        <w:t>,</w:t>
      </w:r>
      <w:r>
        <w:rPr>
          <w:rFonts w:cs="Times New Roman"/>
          <w:color w:val="000000"/>
          <w:szCs w:val="24"/>
        </w:rPr>
        <w:t xml:space="preserve"> earlier used for flower count.</w:t>
      </w:r>
    </w:p>
    <w:p>
      <w:pPr>
        <w:pStyle w:val="style0"/>
        <w:spacing w:before="0" w:after="0"/>
        <w:rPr>
          <w:rFonts w:cs="Times New Roman"/>
          <w:color w:val="000000"/>
          <w:szCs w:val="24"/>
        </w:rPr>
      </w:pPr>
      <w:r>
        <w:rPr>
          <w:rFonts w:cs="Times New Roman"/>
          <w:b/>
          <w:color w:val="000000"/>
          <w:szCs w:val="24"/>
        </w:rPr>
        <w:t>Number of marketable and unmarketable fruits per plant:</w:t>
      </w:r>
      <w:r>
        <w:rPr>
          <w:rFonts w:cs="Times New Roman"/>
          <w:color w:val="000000"/>
          <w:szCs w:val="24"/>
        </w:rPr>
        <w:t xml:space="preserve"> All fruits produced on plants in the three inner rows of each experimental plot </w:t>
      </w:r>
      <w:r>
        <w:rPr>
          <w:rFonts w:cs="Times New Roman"/>
          <w:color w:val="000000"/>
          <w:szCs w:val="24"/>
        </w:rPr>
        <w:t>were</w:t>
      </w:r>
      <w:r>
        <w:rPr>
          <w:rFonts w:cs="Times New Roman"/>
          <w:color w:val="000000"/>
          <w:szCs w:val="24"/>
        </w:rPr>
        <w:t xml:space="preserve"> </w:t>
      </w:r>
      <w:r>
        <w:rPr>
          <w:rFonts w:cs="Times New Roman"/>
          <w:color w:val="000000"/>
          <w:szCs w:val="24"/>
        </w:rPr>
        <w:t>counted</w:t>
      </w:r>
      <w:r>
        <w:rPr>
          <w:rFonts w:cs="Times New Roman"/>
          <w:color w:val="000000"/>
          <w:szCs w:val="24"/>
        </w:rPr>
        <w:t>,</w:t>
      </w:r>
      <w:r>
        <w:rPr>
          <w:rFonts w:cs="Times New Roman"/>
          <w:color w:val="000000"/>
          <w:szCs w:val="24"/>
        </w:rPr>
        <w:t xml:space="preserve"> and damaged fruits due to disease, insect, cracking</w:t>
      </w:r>
      <w:r>
        <w:rPr>
          <w:rFonts w:cs="Times New Roman"/>
          <w:color w:val="000000"/>
          <w:szCs w:val="24"/>
        </w:rPr>
        <w:t>,</w:t>
      </w:r>
      <w:r>
        <w:rPr>
          <w:rFonts w:cs="Times New Roman"/>
          <w:color w:val="000000"/>
          <w:szCs w:val="24"/>
        </w:rPr>
        <w:t xml:space="preserve"> and blossom end rot </w:t>
      </w:r>
      <w:r>
        <w:rPr>
          <w:rFonts w:cs="Times New Roman"/>
          <w:color w:val="000000"/>
          <w:szCs w:val="24"/>
        </w:rPr>
        <w:t xml:space="preserve">were </w:t>
      </w:r>
      <w:r>
        <w:rPr>
          <w:rFonts w:cs="Times New Roman"/>
          <w:color w:val="000000"/>
          <w:szCs w:val="24"/>
        </w:rPr>
        <w:t xml:space="preserve">sorted and counted as unmarketable fruits. The </w:t>
      </w:r>
      <w:r>
        <w:rPr>
          <w:rFonts w:cs="Times New Roman"/>
          <w:color w:val="000000"/>
          <w:szCs w:val="24"/>
        </w:rPr>
        <w:t>number</w:t>
      </w:r>
      <w:r>
        <w:rPr>
          <w:rFonts w:cs="Times New Roman"/>
          <w:color w:val="000000"/>
          <w:szCs w:val="24"/>
        </w:rPr>
        <w:t xml:space="preserve"> of marketable and unmarketable fruits per plant </w:t>
      </w:r>
      <w:r>
        <w:rPr>
          <w:rFonts w:cs="Times New Roman"/>
          <w:color w:val="000000"/>
          <w:szCs w:val="24"/>
        </w:rPr>
        <w:t xml:space="preserve">was </w:t>
      </w:r>
      <w:r>
        <w:rPr>
          <w:rFonts w:cs="Times New Roman"/>
          <w:color w:val="000000"/>
          <w:szCs w:val="24"/>
        </w:rPr>
        <w:t>calculated as follows:</w:t>
      </w:r>
    </w:p>
    <w:p>
      <w:pPr>
        <w:pStyle w:val="style0"/>
        <w:spacing w:before="0" w:after="0"/>
        <w:rPr>
          <w:rFonts w:cs="Times New Roman"/>
          <w:color w:val="000000"/>
          <w:szCs w:val="24"/>
        </w:rPr>
      </w:pPr>
      <w:r>
        <w:rPr>
          <w:rFonts w:cs="Times New Roman"/>
          <w:color w:val="000000"/>
          <w:szCs w:val="24"/>
        </w:rPr>
        <w:t>Where: MFP = number of marketable fruits per plant</w:t>
      </w:r>
    </w:p>
    <w:p>
      <w:pPr>
        <w:pStyle w:val="style0"/>
        <w:tabs>
          <w:tab w:val="left" w:leader="none" w:pos="1110"/>
        </w:tabs>
        <w:spacing w:before="0" w:after="0"/>
        <w:rPr>
          <w:rFonts w:cs="Times New Roman"/>
          <w:color w:val="000000"/>
          <w:szCs w:val="24"/>
        </w:rPr>
      </w:pPr>
      <w:r>
        <w:rPr>
          <w:rFonts w:cs="Times New Roman"/>
          <w:color w:val="000000"/>
          <w:szCs w:val="24"/>
        </w:rPr>
        <w:t>UMFP Where: UMFP = number of unmarketable fruits per plant</w:t>
      </w:r>
    </w:p>
    <w:p>
      <w:pPr>
        <w:pStyle w:val="style0"/>
        <w:spacing w:before="0" w:after="0"/>
        <w:rPr>
          <w:rFonts w:cs="Times New Roman"/>
          <w:color w:val="000000"/>
          <w:szCs w:val="24"/>
        </w:rPr>
      </w:pPr>
      <w:r>
        <w:rPr>
          <w:rFonts w:cs="Times New Roman"/>
          <w:b/>
          <w:color w:val="000000"/>
          <w:szCs w:val="24"/>
        </w:rPr>
        <w:t>Average fruit weight (grams):</w:t>
      </w:r>
      <w:r>
        <w:rPr>
          <w:rFonts w:cs="Times New Roman"/>
          <w:color w:val="000000"/>
          <w:szCs w:val="24"/>
        </w:rPr>
        <w:t xml:space="preserve"> </w:t>
      </w:r>
      <w:r>
        <w:rPr>
          <w:rFonts w:cs="Times New Roman"/>
          <w:color w:val="000000"/>
          <w:szCs w:val="24"/>
        </w:rPr>
        <w:t>This</w:t>
      </w:r>
      <w:r>
        <w:rPr>
          <w:rFonts w:cs="Times New Roman"/>
          <w:color w:val="000000"/>
          <w:szCs w:val="24"/>
        </w:rPr>
        <w:t xml:space="preserve"> </w:t>
      </w:r>
      <w:r>
        <w:rPr>
          <w:rFonts w:cs="Times New Roman"/>
          <w:color w:val="000000"/>
          <w:szCs w:val="24"/>
        </w:rPr>
        <w:t xml:space="preserve">was </w:t>
      </w:r>
      <w:r>
        <w:rPr>
          <w:rFonts w:cs="Times New Roman"/>
          <w:color w:val="000000"/>
          <w:szCs w:val="24"/>
        </w:rPr>
        <w:t xml:space="preserve">calculated from 5 marketable fruits selected from </w:t>
      </w:r>
      <w:r>
        <w:rPr>
          <w:rFonts w:cs="Times New Roman"/>
          <w:color w:val="000000"/>
          <w:szCs w:val="24"/>
        </w:rPr>
        <w:t xml:space="preserve">the </w:t>
      </w:r>
      <w:r>
        <w:rPr>
          <w:rFonts w:cs="Times New Roman"/>
          <w:color w:val="000000"/>
          <w:szCs w:val="24"/>
        </w:rPr>
        <w:t>2</w:t>
      </w:r>
      <w:r>
        <w:rPr>
          <w:rFonts w:cs="Times New Roman"/>
          <w:color w:val="000000"/>
          <w:szCs w:val="24"/>
          <w:vertAlign w:val="superscript"/>
        </w:rPr>
        <w:t>nd</w:t>
      </w:r>
      <w:r>
        <w:rPr>
          <w:rFonts w:cs="Times New Roman"/>
          <w:color w:val="000000"/>
          <w:szCs w:val="24"/>
        </w:rPr>
        <w:t>, 3</w:t>
      </w:r>
      <w:r>
        <w:rPr>
          <w:rFonts w:cs="Times New Roman"/>
          <w:color w:val="000000"/>
          <w:szCs w:val="24"/>
          <w:vertAlign w:val="superscript"/>
        </w:rPr>
        <w:t>rd</w:t>
      </w:r>
      <w:r>
        <w:rPr>
          <w:rFonts w:cs="Times New Roman"/>
          <w:color w:val="000000"/>
          <w:szCs w:val="24"/>
          <w:vertAlign w:val="superscript"/>
        </w:rPr>
        <w:t>,</w:t>
      </w:r>
      <w:r>
        <w:rPr>
          <w:rFonts w:cs="Times New Roman"/>
          <w:color w:val="000000"/>
          <w:szCs w:val="24"/>
        </w:rPr>
        <w:t xml:space="preserve"> and 4</w:t>
      </w:r>
      <w:r>
        <w:rPr>
          <w:rFonts w:cs="Times New Roman"/>
          <w:color w:val="000000"/>
          <w:szCs w:val="24"/>
          <w:vertAlign w:val="superscript"/>
        </w:rPr>
        <w:t>th</w:t>
      </w:r>
      <w:r>
        <w:rPr>
          <w:rFonts w:cs="Times New Roman"/>
          <w:color w:val="000000"/>
          <w:szCs w:val="24"/>
        </w:rPr>
        <w:t xml:space="preserve"> harvest.</w:t>
      </w:r>
    </w:p>
    <w:p>
      <w:pPr>
        <w:pStyle w:val="style0"/>
        <w:spacing w:before="0" w:after="0"/>
        <w:rPr>
          <w:rFonts w:cs="Times New Roman"/>
          <w:color w:val="000000"/>
          <w:szCs w:val="24"/>
        </w:rPr>
      </w:pPr>
      <w:r>
        <w:rPr>
          <w:rFonts w:cs="Times New Roman"/>
          <w:b/>
          <w:color w:val="000000"/>
          <w:szCs w:val="24"/>
        </w:rPr>
        <w:t xml:space="preserve">Marketable fruit yield (t </w:t>
      </w:r>
      <w:r>
        <w:rPr>
          <w:rFonts w:cs="Times New Roman"/>
          <w:b/>
          <w:color w:val="000000"/>
          <w:szCs w:val="24"/>
        </w:rPr>
        <w:t>ha</w:t>
      </w:r>
      <w:r>
        <w:rPr>
          <w:rFonts w:cs="Times New Roman"/>
          <w:b/>
          <w:color w:val="000000"/>
          <w:szCs w:val="24"/>
          <w:vertAlign w:val="superscript"/>
        </w:rPr>
        <w:t>-1</w:t>
      </w:r>
      <w:r>
        <w:rPr>
          <w:rFonts w:cs="Times New Roman"/>
          <w:b/>
          <w:color w:val="000000"/>
          <w:szCs w:val="24"/>
        </w:rPr>
        <w:t>):</w:t>
      </w:r>
      <w:r>
        <w:rPr>
          <w:rFonts w:cs="Times New Roman"/>
          <w:color w:val="000000"/>
          <w:szCs w:val="24"/>
        </w:rPr>
        <w:t xml:space="preserve"> </w:t>
      </w:r>
      <w:r>
        <w:rPr>
          <w:rFonts w:cs="Times New Roman"/>
          <w:color w:val="000000"/>
          <w:szCs w:val="24"/>
        </w:rPr>
        <w:t xml:space="preserve">was </w:t>
      </w:r>
      <w:r>
        <w:rPr>
          <w:rFonts w:cs="Times New Roman"/>
          <w:color w:val="000000"/>
          <w:szCs w:val="24"/>
        </w:rPr>
        <w:t xml:space="preserve">recorded by weighing all harvests of marketable fruits from the three inner rows of each plot and </w:t>
      </w:r>
      <w:r>
        <w:rPr>
          <w:rFonts w:cs="Times New Roman"/>
          <w:color w:val="000000"/>
          <w:szCs w:val="24"/>
        </w:rPr>
        <w:t>was</w:t>
      </w:r>
      <w:r>
        <w:rPr>
          <w:rFonts w:cs="Times New Roman"/>
          <w:color w:val="000000"/>
          <w:szCs w:val="24"/>
        </w:rPr>
        <w:t xml:space="preserve"> calculated in tons per hectare.</w:t>
      </w:r>
    </w:p>
    <w:p>
      <w:pPr>
        <w:pStyle w:val="style0"/>
        <w:spacing w:before="0" w:after="0"/>
        <w:rPr>
          <w:rFonts w:cs="Times New Roman"/>
          <w:color w:val="000000"/>
          <w:szCs w:val="24"/>
        </w:rPr>
      </w:pPr>
      <w:r>
        <w:rPr>
          <w:rFonts w:cs="Times New Roman"/>
          <w:b/>
          <w:color w:val="000000"/>
          <w:szCs w:val="24"/>
        </w:rPr>
        <w:t xml:space="preserve">Unmarketable fruit yield (t </w:t>
      </w:r>
      <w:r>
        <w:rPr>
          <w:rFonts w:cs="Times New Roman"/>
          <w:b/>
          <w:color w:val="000000"/>
          <w:szCs w:val="24"/>
        </w:rPr>
        <w:t>ha</w:t>
      </w:r>
      <w:r>
        <w:rPr>
          <w:rFonts w:cs="Times New Roman"/>
          <w:b/>
          <w:color w:val="000000"/>
          <w:szCs w:val="24"/>
          <w:vertAlign w:val="superscript"/>
        </w:rPr>
        <w:t>-1</w:t>
      </w:r>
      <w:r>
        <w:rPr>
          <w:rFonts w:cs="Times New Roman"/>
          <w:b/>
          <w:color w:val="000000"/>
          <w:szCs w:val="24"/>
        </w:rPr>
        <w:t>):</w:t>
      </w:r>
      <w:r>
        <w:rPr>
          <w:rFonts w:cs="Times New Roman"/>
          <w:color w:val="000000"/>
          <w:szCs w:val="24"/>
        </w:rPr>
        <w:t xml:space="preserve"> </w:t>
      </w:r>
      <w:r>
        <w:rPr>
          <w:rFonts w:cs="Times New Roman"/>
          <w:color w:val="000000"/>
          <w:szCs w:val="24"/>
        </w:rPr>
        <w:t xml:space="preserve">was </w:t>
      </w:r>
      <w:r>
        <w:rPr>
          <w:rFonts w:cs="Times New Roman"/>
          <w:color w:val="000000"/>
          <w:szCs w:val="24"/>
        </w:rPr>
        <w:t xml:space="preserve">recorded by weighing all harvests of unmarketable fruits from the three inner rows of each plot and </w:t>
      </w:r>
      <w:r>
        <w:rPr>
          <w:rFonts w:cs="Times New Roman"/>
          <w:color w:val="000000"/>
          <w:szCs w:val="24"/>
        </w:rPr>
        <w:t>was</w:t>
      </w:r>
      <w:r>
        <w:rPr>
          <w:rFonts w:cs="Times New Roman"/>
          <w:color w:val="000000"/>
          <w:szCs w:val="24"/>
        </w:rPr>
        <w:t xml:space="preserve"> </w:t>
      </w:r>
      <w:r>
        <w:rPr>
          <w:rFonts w:cs="Times New Roman"/>
          <w:color w:val="000000"/>
          <w:szCs w:val="24"/>
        </w:rPr>
        <w:t>calculated</w:t>
      </w:r>
      <w:r>
        <w:rPr>
          <w:rFonts w:cs="Times New Roman"/>
          <w:color w:val="000000"/>
          <w:szCs w:val="24"/>
        </w:rPr>
        <w:t xml:space="preserve"> in tons per hectare.</w:t>
      </w:r>
    </w:p>
    <w:p>
      <w:pPr>
        <w:pStyle w:val="style0"/>
        <w:spacing w:before="0" w:after="120"/>
        <w:rPr>
          <w:rFonts w:cs="Times New Roman"/>
          <w:color w:val="000000"/>
          <w:szCs w:val="24"/>
        </w:rPr>
      </w:pPr>
      <w:r>
        <w:rPr>
          <w:rFonts w:cs="Times New Roman"/>
          <w:b/>
          <w:color w:val="000000"/>
          <w:szCs w:val="24"/>
        </w:rPr>
        <w:t xml:space="preserve">Total fruit yield (TFY) (t </w:t>
      </w:r>
      <w:r>
        <w:rPr>
          <w:rFonts w:cs="Times New Roman"/>
          <w:b/>
          <w:color w:val="000000"/>
          <w:szCs w:val="24"/>
        </w:rPr>
        <w:t>ha</w:t>
      </w:r>
      <w:r>
        <w:rPr>
          <w:rFonts w:cs="Times New Roman"/>
          <w:b/>
          <w:color w:val="000000"/>
          <w:szCs w:val="24"/>
          <w:vertAlign w:val="superscript"/>
        </w:rPr>
        <w:t>-1</w:t>
      </w:r>
      <w:r>
        <w:rPr>
          <w:rFonts w:cs="Times New Roman"/>
          <w:b/>
          <w:color w:val="000000"/>
          <w:szCs w:val="24"/>
        </w:rPr>
        <w:t>):</w:t>
      </w:r>
      <w:r>
        <w:rPr>
          <w:rFonts w:cs="Times New Roman"/>
          <w:color w:val="000000"/>
          <w:szCs w:val="24"/>
        </w:rPr>
        <w:t xml:space="preserve"> </w:t>
      </w:r>
      <w:r>
        <w:rPr>
          <w:rFonts w:cs="Times New Roman"/>
          <w:color w:val="000000"/>
          <w:szCs w:val="24"/>
        </w:rPr>
        <w:t xml:space="preserve">was </w:t>
      </w:r>
      <w:r>
        <w:rPr>
          <w:rFonts w:cs="Times New Roman"/>
          <w:color w:val="000000"/>
          <w:szCs w:val="24"/>
        </w:rPr>
        <w:t xml:space="preserve">recorded as the sum of the weight of marketable and unmarketable fruit yields and </w:t>
      </w:r>
      <w:r>
        <w:rPr>
          <w:rFonts w:cs="Times New Roman"/>
          <w:color w:val="000000"/>
          <w:szCs w:val="24"/>
        </w:rPr>
        <w:t>was</w:t>
      </w:r>
      <w:r>
        <w:rPr>
          <w:rFonts w:cs="Times New Roman"/>
          <w:color w:val="000000"/>
          <w:szCs w:val="24"/>
        </w:rPr>
        <w:t xml:space="preserve"> converted to </w:t>
      </w:r>
      <w:r>
        <w:rPr>
          <w:rFonts w:cs="Times New Roman"/>
          <w:color w:val="000000"/>
          <w:szCs w:val="24"/>
        </w:rPr>
        <w:t>tones</w:t>
      </w:r>
      <w:r>
        <w:rPr>
          <w:rFonts w:cs="Times New Roman"/>
          <w:color w:val="000000"/>
          <w:szCs w:val="24"/>
        </w:rPr>
        <w:t xml:space="preserve"> per hectare.</w:t>
      </w:r>
    </w:p>
    <w:bookmarkStart w:id="25" w:name="_Toc96900297"/>
    <w:bookmarkStart w:id="26" w:name="_Toc102531568"/>
    <w:bookmarkStart w:id="27" w:name="_Toc178174251"/>
    <w:p>
      <w:pPr>
        <w:pStyle w:val="style3"/>
        <w:rPr/>
      </w:pPr>
      <w:r>
        <w:t>3.</w:t>
      </w:r>
      <w:r>
        <w:t>5.</w:t>
      </w:r>
      <w:r>
        <w:t>3</w:t>
      </w:r>
      <w:r>
        <w:t xml:space="preserve">. Partial </w:t>
      </w:r>
      <w:r>
        <w:t>Budget</w:t>
      </w:r>
      <w:r>
        <w:t xml:space="preserve"> Analysis</w:t>
      </w:r>
      <w:bookmarkEnd w:id="25"/>
      <w:bookmarkEnd w:id="26"/>
      <w:bookmarkEnd w:id="27"/>
      <w:r>
        <w:tab/>
      </w:r>
    </w:p>
    <w:p>
      <w:pPr>
        <w:pStyle w:val="style0"/>
        <w:spacing w:before="0" w:after="0"/>
        <w:rPr>
          <w:rFonts w:cs="Times New Roman"/>
          <w:color w:val="000000"/>
          <w:szCs w:val="24"/>
        </w:rPr>
      </w:pPr>
      <w:r>
        <w:rPr>
          <w:rFonts w:cs="Times New Roman"/>
          <w:color w:val="000000"/>
          <w:szCs w:val="24"/>
        </w:rPr>
        <w:t xml:space="preserve">Simple partial budget analysis </w:t>
      </w:r>
      <w:r>
        <w:rPr>
          <w:rFonts w:cs="Times New Roman"/>
          <w:color w:val="000000"/>
          <w:szCs w:val="24"/>
        </w:rPr>
        <w:t xml:space="preserve">was </w:t>
      </w:r>
      <w:r>
        <w:rPr>
          <w:rFonts w:cs="Times New Roman"/>
          <w:color w:val="000000"/>
          <w:szCs w:val="24"/>
        </w:rPr>
        <w:t xml:space="preserve">employed for economic analysis of fertilizer application and it </w:t>
      </w:r>
      <w:r>
        <w:rPr>
          <w:rFonts w:cs="Times New Roman"/>
          <w:color w:val="000000"/>
          <w:szCs w:val="24"/>
        </w:rPr>
        <w:t>was</w:t>
      </w:r>
      <w:r>
        <w:rPr>
          <w:rFonts w:cs="Times New Roman"/>
          <w:color w:val="000000"/>
          <w:szCs w:val="24"/>
        </w:rPr>
        <w:t xml:space="preserve"> </w:t>
      </w:r>
      <w:r>
        <w:rPr>
          <w:rFonts w:cs="Times New Roman"/>
          <w:color w:val="000000"/>
          <w:szCs w:val="24"/>
        </w:rPr>
        <w:t>carry</w:t>
      </w:r>
      <w:r>
        <w:rPr>
          <w:rFonts w:cs="Times New Roman"/>
          <w:color w:val="000000"/>
          <w:szCs w:val="24"/>
        </w:rPr>
        <w:t xml:space="preserve"> out for combined fruit yield data. The potential response of crop </w:t>
      </w:r>
      <w:r>
        <w:rPr>
          <w:rFonts w:cs="Times New Roman"/>
          <w:color w:val="000000"/>
          <w:szCs w:val="24"/>
        </w:rPr>
        <w:t>to</w:t>
      </w:r>
      <w:r>
        <w:rPr>
          <w:rFonts w:cs="Times New Roman"/>
          <w:color w:val="000000"/>
          <w:szCs w:val="24"/>
        </w:rPr>
        <w:t xml:space="preserve"> the added fertilizer and price of fertilizers during planting ultimately determine the economic feasibility of ferti</w:t>
      </w:r>
      <w:r>
        <w:rPr>
          <w:rFonts w:cs="Times New Roman"/>
          <w:color w:val="000000"/>
          <w:szCs w:val="24"/>
        </w:rPr>
        <w:t xml:space="preserve">lizer application </w:t>
      </w:r>
      <w:r>
        <w:rPr>
          <w:rFonts w:cs="Times New Roman"/>
          <w:color w:val="000000"/>
          <w:szCs w:val="24"/>
        </w:rPr>
        <w:t>(</w:t>
      </w:r>
      <w:r>
        <w:rPr>
          <w:rFonts w:cs="Times New Roman"/>
          <w:color w:val="000000"/>
          <w:szCs w:val="24"/>
        </w:rPr>
        <w:t>Rose, 2018</w:t>
      </w:r>
      <w:r>
        <w:rPr>
          <w:rFonts w:cs="Times New Roman"/>
          <w:color w:val="000000"/>
          <w:szCs w:val="24"/>
        </w:rPr>
        <w:t>)</w:t>
      </w:r>
      <w:r>
        <w:rPr>
          <w:rFonts w:cs="Times New Roman"/>
          <w:color w:val="000000"/>
          <w:szCs w:val="24"/>
        </w:rPr>
        <w:t xml:space="preserve">. </w:t>
      </w:r>
    </w:p>
    <w:p>
      <w:pPr>
        <w:pStyle w:val="style0"/>
        <w:spacing w:before="0" w:after="0"/>
        <w:rPr>
          <w:rFonts w:cs="Times New Roman"/>
          <w:color w:val="000000"/>
          <w:szCs w:val="24"/>
        </w:rPr>
      </w:pPr>
      <w:r>
        <w:rPr>
          <w:rFonts w:cs="Times New Roman"/>
          <w:color w:val="000000"/>
          <w:szCs w:val="24"/>
        </w:rPr>
        <w:t xml:space="preserve">As the rate of application increased, each additional kg of fertilizer </w:t>
      </w:r>
      <w:r>
        <w:rPr>
          <w:rFonts w:cs="Times New Roman"/>
          <w:color w:val="000000"/>
          <w:szCs w:val="24"/>
        </w:rPr>
        <w:t>had</w:t>
      </w:r>
      <w:r>
        <w:rPr>
          <w:rFonts w:cs="Times New Roman"/>
          <w:color w:val="000000"/>
          <w:szCs w:val="24"/>
        </w:rPr>
        <w:t xml:space="preserve"> on fruit yield. </w:t>
      </w:r>
      <w:r>
        <w:rPr>
          <w:rFonts w:cs="Times New Roman"/>
          <w:color w:val="000000"/>
          <w:szCs w:val="24"/>
        </w:rPr>
        <w:t>It</w:t>
      </w:r>
      <w:r>
        <w:rPr>
          <w:rFonts w:cs="Times New Roman"/>
          <w:color w:val="000000"/>
          <w:szCs w:val="24"/>
        </w:rPr>
        <w:t xml:space="preserve"> would only have paid the farmer to apply fertilizer. To estimate the total costs, </w:t>
      </w:r>
      <w:r>
        <w:rPr>
          <w:rFonts w:cs="Times New Roman"/>
          <w:color w:val="000000"/>
          <w:szCs w:val="24"/>
        </w:rPr>
        <w:t xml:space="preserve">the </w:t>
      </w:r>
      <w:r>
        <w:rPr>
          <w:rFonts w:cs="Times New Roman"/>
          <w:color w:val="000000"/>
          <w:szCs w:val="24"/>
        </w:rPr>
        <w:t xml:space="preserve">mean current prices of NPS and Urea </w:t>
      </w:r>
      <w:r>
        <w:rPr>
          <w:rFonts w:cs="Times New Roman"/>
          <w:color w:val="000000"/>
          <w:szCs w:val="24"/>
        </w:rPr>
        <w:t>were</w:t>
      </w:r>
      <w:r>
        <w:rPr>
          <w:rFonts w:cs="Times New Roman"/>
          <w:color w:val="000000"/>
          <w:szCs w:val="24"/>
        </w:rPr>
        <w:t xml:space="preserve"> </w:t>
      </w:r>
      <w:r>
        <w:rPr>
          <w:rFonts w:cs="Times New Roman"/>
          <w:color w:val="000000"/>
          <w:szCs w:val="24"/>
        </w:rPr>
        <w:t>collected at the time of planting</w:t>
      </w:r>
      <w:r>
        <w:rPr>
          <w:rFonts w:cs="Times New Roman"/>
          <w:color w:val="000000"/>
          <w:szCs w:val="24"/>
        </w:rPr>
        <w:t>,</w:t>
      </w:r>
      <w:r>
        <w:rPr>
          <w:rFonts w:cs="Times New Roman"/>
          <w:color w:val="000000"/>
          <w:szCs w:val="24"/>
        </w:rPr>
        <w:t xml:space="preserve"> and </w:t>
      </w:r>
      <w:r>
        <w:rPr>
          <w:rFonts w:cs="Times New Roman"/>
          <w:color w:val="000000"/>
          <w:szCs w:val="24"/>
        </w:rPr>
        <w:t xml:space="preserve">the </w:t>
      </w:r>
      <w:r>
        <w:rPr>
          <w:rFonts w:cs="Times New Roman"/>
          <w:color w:val="000000"/>
          <w:szCs w:val="24"/>
        </w:rPr>
        <w:t xml:space="preserve">market price of tomato fruit </w:t>
      </w:r>
      <w:r>
        <w:rPr>
          <w:rFonts w:cs="Times New Roman"/>
          <w:color w:val="000000"/>
          <w:szCs w:val="24"/>
        </w:rPr>
        <w:t xml:space="preserve">was </w:t>
      </w:r>
      <w:r>
        <w:rPr>
          <w:rFonts w:cs="Times New Roman"/>
          <w:color w:val="000000"/>
          <w:szCs w:val="24"/>
        </w:rPr>
        <w:t xml:space="preserve">taken at harvest. The economic analysis </w:t>
      </w:r>
      <w:r>
        <w:rPr>
          <w:rFonts w:cs="Times New Roman"/>
          <w:color w:val="000000"/>
          <w:szCs w:val="24"/>
        </w:rPr>
        <w:t xml:space="preserve">was </w:t>
      </w:r>
      <w:r>
        <w:rPr>
          <w:rFonts w:cs="Times New Roman"/>
          <w:color w:val="000000"/>
          <w:szCs w:val="24"/>
        </w:rPr>
        <w:t>based on the fo</w:t>
      </w:r>
      <w:r>
        <w:rPr>
          <w:rFonts w:cs="Times New Roman"/>
          <w:color w:val="000000"/>
          <w:szCs w:val="24"/>
        </w:rPr>
        <w:t xml:space="preserve">rmula developed by CIMMYT </w:t>
      </w:r>
      <w:r>
        <w:rPr>
          <w:rFonts w:cs="Times New Roman"/>
          <w:color w:val="000000"/>
          <w:szCs w:val="24"/>
        </w:rPr>
        <w:t>(</w:t>
      </w:r>
      <w:r>
        <w:rPr>
          <w:rFonts w:cs="Times New Roman"/>
          <w:color w:val="000000"/>
          <w:szCs w:val="24"/>
        </w:rPr>
        <w:t>Zhu, 2014</w:t>
      </w:r>
      <w:r>
        <w:rPr>
          <w:rFonts w:cs="Times New Roman"/>
          <w:color w:val="000000"/>
          <w:szCs w:val="24"/>
        </w:rPr>
        <w:t>)</w:t>
      </w:r>
      <w:r>
        <w:rPr>
          <w:rFonts w:cs="Times New Roman"/>
          <w:color w:val="000000"/>
          <w:szCs w:val="24"/>
        </w:rPr>
        <w:t xml:space="preserve"> and given as follows</w:t>
      </w:r>
      <w:r>
        <w:rPr>
          <w:rFonts w:cs="Times New Roman"/>
          <w:color w:val="000000"/>
          <w:szCs w:val="24"/>
        </w:rPr>
        <w:t>:</w:t>
      </w:r>
    </w:p>
    <w:p>
      <w:pPr>
        <w:pStyle w:val="style0"/>
        <w:spacing w:before="0" w:after="0"/>
        <w:rPr>
          <w:rFonts w:cs="Times New Roman"/>
          <w:color w:val="000000"/>
          <w:szCs w:val="24"/>
        </w:rPr>
      </w:pPr>
      <w:r>
        <w:rPr>
          <w:rFonts w:cs="Times New Roman"/>
          <w:b/>
          <w:color w:val="000000"/>
          <w:szCs w:val="24"/>
        </w:rPr>
        <w:t>Gross average fruit yield (kg</w:t>
      </w:r>
      <w:r>
        <w:rPr>
          <w:rFonts w:cs="Times New Roman"/>
          <w:szCs w:val="24"/>
        </w:rPr>
        <w:t xml:space="preserve"> </w:t>
      </w:r>
      <w:r>
        <w:rPr>
          <w:rFonts w:cs="Times New Roman"/>
          <w:b/>
          <w:color w:val="000000"/>
          <w:szCs w:val="24"/>
        </w:rPr>
        <w:t>ha</w:t>
      </w:r>
      <w:r>
        <w:rPr>
          <w:rFonts w:cs="Times New Roman"/>
          <w:b/>
          <w:color w:val="000000"/>
          <w:szCs w:val="24"/>
          <w:vertAlign w:val="superscript"/>
        </w:rPr>
        <w:t>-1</w:t>
      </w:r>
      <w:r>
        <w:rPr>
          <w:rFonts w:cs="Times New Roman"/>
          <w:b/>
          <w:color w:val="000000"/>
          <w:szCs w:val="24"/>
        </w:rPr>
        <w:t>) (</w:t>
      </w:r>
      <w:r>
        <w:rPr>
          <w:rFonts w:cs="Times New Roman"/>
          <w:b/>
          <w:color w:val="000000"/>
          <w:szCs w:val="24"/>
        </w:rPr>
        <w:t>AvY</w:t>
      </w:r>
      <w:r>
        <w:rPr>
          <w:rFonts w:cs="Times New Roman"/>
          <w:b/>
          <w:color w:val="000000"/>
          <w:szCs w:val="24"/>
        </w:rPr>
        <w:t>)</w:t>
      </w:r>
      <w:r>
        <w:rPr>
          <w:rFonts w:cs="Times New Roman"/>
          <w:color w:val="000000"/>
          <w:szCs w:val="24"/>
        </w:rPr>
        <w:t xml:space="preserve"> is </w:t>
      </w:r>
      <w:r>
        <w:rPr>
          <w:rFonts w:cs="Times New Roman"/>
          <w:color w:val="000000"/>
          <w:szCs w:val="24"/>
        </w:rPr>
        <w:t>the</w:t>
      </w:r>
      <w:r>
        <w:rPr>
          <w:rFonts w:cs="Times New Roman"/>
          <w:color w:val="000000"/>
          <w:szCs w:val="24"/>
        </w:rPr>
        <w:t xml:space="preserve"> average yield of each treatment.</w:t>
      </w:r>
    </w:p>
    <w:p>
      <w:pPr>
        <w:pStyle w:val="style0"/>
        <w:spacing w:before="0" w:after="0"/>
        <w:rPr>
          <w:rFonts w:cs="Times New Roman"/>
          <w:color w:val="000000"/>
          <w:szCs w:val="24"/>
        </w:rPr>
      </w:pPr>
      <w:r>
        <w:rPr>
          <w:rFonts w:cs="Times New Roman"/>
          <w:b/>
          <w:color w:val="000000"/>
          <w:szCs w:val="24"/>
        </w:rPr>
        <w:t>Adjusted yield (AjY):</w:t>
      </w:r>
      <w:r>
        <w:rPr>
          <w:rFonts w:cs="Times New Roman"/>
          <w:color w:val="000000"/>
          <w:szCs w:val="24"/>
        </w:rPr>
        <w:t xml:space="preserve"> is the average yield adjusted downward by a 10% to reflect the difference between the experimental yield and yield of farmers.</w:t>
      </w:r>
    </w:p>
    <w:p>
      <w:pPr>
        <w:pStyle w:val="style0"/>
        <w:spacing w:before="0" w:after="0"/>
        <w:rPr>
          <w:rFonts w:cs="Times New Roman"/>
          <w:color w:val="000000"/>
          <w:szCs w:val="24"/>
        </w:rPr>
      </w:pPr>
      <w:r>
        <w:rPr>
          <w:rFonts w:cs="Times New Roman"/>
          <w:color w:val="000000"/>
          <w:szCs w:val="24"/>
        </w:rPr>
        <w:t>AjY</w:t>
      </w:r>
      <w:r>
        <w:rPr>
          <w:rFonts w:cs="Times New Roman"/>
          <w:color w:val="000000"/>
          <w:szCs w:val="24"/>
        </w:rPr>
        <w:t xml:space="preserve"> = </w:t>
      </w:r>
      <w:r>
        <w:rPr>
          <w:rFonts w:cs="Times New Roman"/>
          <w:color w:val="000000"/>
          <w:szCs w:val="24"/>
        </w:rPr>
        <w:t>AvY</w:t>
      </w:r>
      <w:r>
        <w:rPr>
          <w:rFonts w:cs="Times New Roman"/>
          <w:color w:val="000000"/>
          <w:szCs w:val="24"/>
        </w:rPr>
        <w:t xml:space="preserve"> - (AvY-0.1)</w:t>
      </w:r>
    </w:p>
    <w:p>
      <w:pPr>
        <w:pStyle w:val="style0"/>
        <w:spacing w:before="0" w:after="0"/>
        <w:rPr>
          <w:rFonts w:cs="Times New Roman"/>
          <w:color w:val="000000"/>
          <w:szCs w:val="24"/>
        </w:rPr>
      </w:pPr>
      <w:r>
        <w:rPr>
          <w:rFonts w:cs="Times New Roman"/>
          <w:b/>
          <w:color w:val="000000"/>
          <w:szCs w:val="24"/>
        </w:rPr>
        <w:t>Gross field benefit (GFB):</w:t>
      </w:r>
      <w:r>
        <w:rPr>
          <w:rFonts w:cs="Times New Roman"/>
          <w:color w:val="000000"/>
          <w:szCs w:val="24"/>
        </w:rPr>
        <w:t xml:space="preserve"> </w:t>
      </w:r>
      <w:r>
        <w:rPr>
          <w:rFonts w:cs="Times New Roman"/>
          <w:color w:val="000000"/>
          <w:szCs w:val="24"/>
        </w:rPr>
        <w:t xml:space="preserve">was </w:t>
      </w:r>
      <w:r>
        <w:rPr>
          <w:rFonts w:cs="Times New Roman"/>
          <w:color w:val="000000"/>
          <w:szCs w:val="24"/>
        </w:rPr>
        <w:t xml:space="preserve">computed by multiplying </w:t>
      </w:r>
      <w:r>
        <w:rPr>
          <w:rFonts w:cs="Times New Roman"/>
          <w:color w:val="000000"/>
          <w:szCs w:val="24"/>
        </w:rPr>
        <w:t xml:space="preserve">the </w:t>
      </w:r>
      <w:r>
        <w:rPr>
          <w:rFonts w:cs="Times New Roman"/>
          <w:color w:val="000000"/>
          <w:szCs w:val="24"/>
        </w:rPr>
        <w:t xml:space="preserve">field/farm gate price that farmers receive for the crop when they </w:t>
      </w:r>
      <w:r>
        <w:rPr>
          <w:rFonts w:cs="Times New Roman"/>
          <w:color w:val="000000"/>
          <w:szCs w:val="24"/>
        </w:rPr>
        <w:t>sell</w:t>
      </w:r>
      <w:r>
        <w:rPr>
          <w:rFonts w:cs="Times New Roman"/>
          <w:color w:val="000000"/>
          <w:szCs w:val="24"/>
        </w:rPr>
        <w:t xml:space="preserve"> it as adjusted yield.</w:t>
      </w:r>
    </w:p>
    <w:p>
      <w:pPr>
        <w:pStyle w:val="style0"/>
        <w:spacing w:before="0" w:after="0"/>
        <w:rPr>
          <w:rFonts w:cs="Times New Roman"/>
          <w:color w:val="000000"/>
          <w:szCs w:val="24"/>
        </w:rPr>
      </w:pPr>
      <w:r>
        <w:rPr>
          <w:rFonts w:cs="Times New Roman"/>
          <w:color w:val="000000"/>
          <w:szCs w:val="24"/>
        </w:rPr>
        <w:t>GFB = AjY * field or farm gate price for the crop</w:t>
      </w:r>
    </w:p>
    <w:p>
      <w:pPr>
        <w:pStyle w:val="style0"/>
        <w:spacing w:before="0" w:after="0"/>
        <w:rPr>
          <w:rFonts w:cs="Times New Roman"/>
          <w:color w:val="000000"/>
          <w:szCs w:val="24"/>
        </w:rPr>
      </w:pPr>
      <w:r>
        <w:rPr>
          <w:rFonts w:cs="Times New Roman"/>
          <w:b/>
          <w:color w:val="000000"/>
          <w:szCs w:val="24"/>
        </w:rPr>
        <w:t>Total cost</w:t>
      </w:r>
      <w:r>
        <w:rPr>
          <w:rFonts w:cs="Times New Roman"/>
          <w:color w:val="000000"/>
          <w:szCs w:val="24"/>
        </w:rPr>
        <w:t xml:space="preserve"> is the cost of urea and blended NPS fertilizers used for the experiment. Their prices </w:t>
      </w:r>
      <w:r>
        <w:rPr>
          <w:rFonts w:cs="Times New Roman"/>
          <w:color w:val="000000"/>
          <w:szCs w:val="24"/>
        </w:rPr>
        <w:t>was</w:t>
      </w:r>
      <w:r>
        <w:rPr>
          <w:rFonts w:cs="Times New Roman"/>
          <w:color w:val="000000"/>
          <w:szCs w:val="24"/>
        </w:rPr>
        <w:t xml:space="preserve"> </w:t>
      </w:r>
      <w:r>
        <w:rPr>
          <w:rFonts w:cs="Times New Roman"/>
          <w:color w:val="000000"/>
          <w:szCs w:val="24"/>
        </w:rPr>
        <w:t xml:space="preserve">based on 2022 price during planting. The costs of other inputs and production practices such as labor cost for land preparation, planting, weeding, crop protection, and harvesting </w:t>
      </w:r>
      <w:r>
        <w:rPr>
          <w:rFonts w:cs="Times New Roman"/>
          <w:color w:val="000000"/>
          <w:szCs w:val="24"/>
        </w:rPr>
        <w:t xml:space="preserve">was </w:t>
      </w:r>
      <w:r>
        <w:rPr>
          <w:rFonts w:cs="Times New Roman"/>
          <w:color w:val="000000"/>
          <w:szCs w:val="24"/>
        </w:rPr>
        <w:t>assumed to remain the same or were insignificant among treatments.</w:t>
      </w:r>
    </w:p>
    <w:p>
      <w:pPr>
        <w:pStyle w:val="style0"/>
        <w:spacing w:before="0" w:after="0"/>
        <w:rPr>
          <w:rFonts w:cs="Times New Roman"/>
          <w:color w:val="000000"/>
          <w:szCs w:val="24"/>
        </w:rPr>
      </w:pPr>
      <w:r>
        <w:rPr>
          <w:rFonts w:cs="Times New Roman"/>
          <w:b/>
          <w:color w:val="000000"/>
          <w:szCs w:val="24"/>
        </w:rPr>
        <w:t>Net benefit (NB):</w:t>
      </w:r>
      <w:r>
        <w:rPr>
          <w:rFonts w:cs="Times New Roman"/>
          <w:color w:val="000000"/>
          <w:szCs w:val="24"/>
        </w:rPr>
        <w:t xml:space="preserve"> </w:t>
      </w:r>
      <w:r>
        <w:rPr>
          <w:rFonts w:cs="Times New Roman"/>
          <w:color w:val="000000"/>
          <w:szCs w:val="24"/>
        </w:rPr>
        <w:t xml:space="preserve">was </w:t>
      </w:r>
      <w:r>
        <w:rPr>
          <w:rFonts w:cs="Times New Roman"/>
          <w:color w:val="000000"/>
          <w:szCs w:val="24"/>
        </w:rPr>
        <w:t>calculated by subtracting the total costs from gross field benefits for each treatment.</w:t>
      </w:r>
    </w:p>
    <w:p>
      <w:pPr>
        <w:pStyle w:val="style0"/>
        <w:spacing w:before="0" w:after="0"/>
        <w:rPr>
          <w:rFonts w:cs="Times New Roman"/>
          <w:color w:val="000000"/>
          <w:szCs w:val="24"/>
        </w:rPr>
      </w:pPr>
      <w:r>
        <w:rPr>
          <w:rFonts w:cs="Times New Roman"/>
          <w:color w:val="000000"/>
          <w:szCs w:val="24"/>
        </w:rPr>
        <w:t>NB = GFB – total cost</w:t>
      </w:r>
    </w:p>
    <w:p>
      <w:pPr>
        <w:pStyle w:val="style0"/>
        <w:spacing w:before="0" w:after="0"/>
        <w:rPr>
          <w:rFonts w:cs="Times New Roman"/>
          <w:color w:val="000000"/>
          <w:szCs w:val="24"/>
        </w:rPr>
      </w:pPr>
      <w:r>
        <w:rPr>
          <w:rFonts w:cs="Times New Roman"/>
          <w:b/>
          <w:color w:val="000000"/>
          <w:szCs w:val="24"/>
        </w:rPr>
        <w:t>Marginal return (MR):</w:t>
      </w:r>
      <w:r>
        <w:rPr>
          <w:rFonts w:cs="Times New Roman"/>
          <w:color w:val="000000"/>
          <w:szCs w:val="24"/>
        </w:rPr>
        <w:t xml:space="preserve"> is the measure of </w:t>
      </w:r>
      <w:r>
        <w:rPr>
          <w:rFonts w:cs="Times New Roman"/>
          <w:color w:val="000000"/>
          <w:szCs w:val="24"/>
        </w:rPr>
        <w:t>the increase</w:t>
      </w:r>
      <w:r>
        <w:rPr>
          <w:rFonts w:cs="Times New Roman"/>
          <w:color w:val="000000"/>
          <w:szCs w:val="24"/>
        </w:rPr>
        <w:t xml:space="preserve"> in return by increasing input and </w:t>
      </w:r>
      <w:r>
        <w:rPr>
          <w:rFonts w:cs="Times New Roman"/>
          <w:color w:val="000000"/>
          <w:szCs w:val="24"/>
        </w:rPr>
        <w:t>is</w:t>
      </w:r>
      <w:r>
        <w:rPr>
          <w:rFonts w:cs="Times New Roman"/>
          <w:color w:val="000000"/>
          <w:szCs w:val="24"/>
        </w:rPr>
        <w:t xml:space="preserve"> </w:t>
      </w:r>
      <w:r>
        <w:rPr>
          <w:rFonts w:cs="Times New Roman"/>
          <w:color w:val="000000"/>
          <w:szCs w:val="24"/>
        </w:rPr>
        <w:t>calculated by dividing change in net benefit by change in cost.</w:t>
      </w:r>
    </w:p>
    <w:p>
      <w:pPr>
        <w:pStyle w:val="style0"/>
        <w:spacing w:before="0" w:after="0"/>
        <w:rPr>
          <w:rFonts w:cs="Times New Roman"/>
          <w:color w:val="000000"/>
          <w:szCs w:val="24"/>
        </w:rPr>
      </w:pPr>
      <w:r>
        <w:rPr>
          <w:rFonts w:cs="Times New Roman"/>
          <w:color w:val="000000"/>
          <w:szCs w:val="24"/>
        </w:rPr>
        <w:t>MR = ΔNB/ΔTC</w:t>
      </w:r>
    </w:p>
    <w:p>
      <w:pPr>
        <w:pStyle w:val="style0"/>
        <w:spacing w:before="0" w:after="0"/>
        <w:rPr>
          <w:rFonts w:cs="Times New Roman"/>
          <w:color w:val="000000"/>
          <w:szCs w:val="24"/>
        </w:rPr>
      </w:pPr>
      <w:r>
        <w:rPr>
          <w:rFonts w:cs="Times New Roman"/>
          <w:b/>
          <w:color w:val="000000"/>
          <w:szCs w:val="24"/>
        </w:rPr>
        <w:t>Marginal rate of return (MRR %):</w:t>
      </w:r>
      <w:r>
        <w:rPr>
          <w:rFonts w:cs="Times New Roman"/>
          <w:color w:val="000000"/>
          <w:szCs w:val="24"/>
        </w:rPr>
        <w:t xml:space="preserve"> </w:t>
      </w:r>
      <w:r>
        <w:rPr>
          <w:rFonts w:cs="Times New Roman"/>
          <w:color w:val="000000"/>
          <w:szCs w:val="24"/>
        </w:rPr>
        <w:t xml:space="preserve">was </w:t>
      </w:r>
      <w:r>
        <w:rPr>
          <w:rFonts w:cs="Times New Roman"/>
          <w:color w:val="000000"/>
          <w:szCs w:val="24"/>
        </w:rPr>
        <w:t>calculated multiplying marginal rate by hundred.</w:t>
      </w:r>
    </w:p>
    <w:p>
      <w:pPr>
        <w:pStyle w:val="style0"/>
        <w:spacing w:before="0" w:after="120"/>
        <w:rPr>
          <w:rFonts w:cs="Times New Roman"/>
          <w:szCs w:val="24"/>
        </w:rPr>
      </w:pPr>
      <w:r>
        <w:rPr>
          <w:rFonts w:cs="Times New Roman"/>
          <w:color w:val="000000"/>
          <w:szCs w:val="24"/>
        </w:rPr>
        <w:t xml:space="preserve">MRR (%) = ΔNB/ΔTC </w:t>
      </w:r>
      <w:r>
        <w:rPr>
          <w:rFonts w:ascii="Cambria Math" w:cs="Cambria Math" w:hAnsi="Cambria Math"/>
          <w:color w:val="000000"/>
          <w:szCs w:val="24"/>
        </w:rPr>
        <w:t>∗</w:t>
      </w:r>
      <w:r>
        <w:rPr>
          <w:rFonts w:cs="Times New Roman"/>
          <w:color w:val="000000"/>
          <w:szCs w:val="24"/>
        </w:rPr>
        <w:t xml:space="preserve"> 100</w:t>
      </w:r>
      <w:bookmarkStart w:id="28" w:name="_Toc96900298"/>
      <w:r>
        <w:rPr>
          <w:rFonts w:cs="Times New Roman"/>
          <w:szCs w:val="24"/>
        </w:rPr>
        <w:t>3.7.</w:t>
      </w:r>
    </w:p>
    <w:bookmarkStart w:id="29" w:name="_Toc178174252"/>
    <w:p>
      <w:pPr>
        <w:pStyle w:val="style3"/>
        <w:rPr>
          <w:color w:val="000000"/>
        </w:rPr>
      </w:pPr>
      <w:r>
        <w:t>3.5.</w:t>
      </w:r>
      <w:r>
        <w:t>4</w:t>
      </w:r>
      <w:r>
        <w:t xml:space="preserve">. </w:t>
      </w:r>
      <w:r>
        <w:t>Data Analysis</w:t>
      </w:r>
      <w:bookmarkEnd w:id="28"/>
      <w:bookmarkEnd w:id="29"/>
      <w:r>
        <w:rPr>
          <w:color w:val="000000"/>
        </w:rPr>
        <w:t xml:space="preserve"> </w:t>
      </w:r>
    </w:p>
    <w:p>
      <w:pPr>
        <w:pStyle w:val="style0"/>
        <w:spacing w:before="0" w:after="120"/>
        <w:rPr>
          <w:rFonts w:cs="Times New Roman"/>
          <w:color w:val="000000"/>
          <w:szCs w:val="24"/>
        </w:rPr>
      </w:pPr>
      <w:r>
        <w:rPr>
          <w:rFonts w:cs="Times New Roman"/>
          <w:color w:val="000000"/>
          <w:szCs w:val="24"/>
        </w:rPr>
        <w:t>Data was subjected to analysis of variance (ANOVA) using SAS version 9.1 Software</w:t>
      </w:r>
      <w:r>
        <w:rPr>
          <w:rFonts w:cs="Times New Roman"/>
          <w:color w:val="000000"/>
          <w:szCs w:val="24"/>
        </w:rPr>
        <w:t xml:space="preserve"> (SAS, 2001)</w:t>
      </w:r>
      <w:r>
        <w:rPr>
          <w:rFonts w:cs="Times New Roman"/>
          <w:color w:val="000000"/>
          <w:szCs w:val="24"/>
        </w:rPr>
        <w:t xml:space="preserve">. </w:t>
      </w:r>
      <w:r>
        <w:rPr>
          <w:rFonts w:cs="Times New Roman"/>
          <w:color w:val="000000"/>
          <w:szCs w:val="24"/>
        </w:rPr>
        <w:t xml:space="preserve">The </w:t>
      </w:r>
      <w:r>
        <w:rPr>
          <w:rFonts w:cs="Times New Roman"/>
          <w:color w:val="000000"/>
          <w:szCs w:val="24"/>
        </w:rPr>
        <w:t>treatment</w:t>
      </w:r>
      <w:r>
        <w:rPr>
          <w:rFonts w:cs="Times New Roman"/>
          <w:color w:val="000000"/>
          <w:szCs w:val="24"/>
        </w:rPr>
        <w:t xml:space="preserve"> means that </w:t>
      </w:r>
      <w:r>
        <w:rPr>
          <w:rFonts w:cs="Times New Roman"/>
          <w:color w:val="000000"/>
          <w:szCs w:val="24"/>
        </w:rPr>
        <w:t>were</w:t>
      </w:r>
      <w:r>
        <w:rPr>
          <w:rFonts w:cs="Times New Roman"/>
          <w:color w:val="000000"/>
          <w:szCs w:val="24"/>
        </w:rPr>
        <w:t xml:space="preserve"> </w:t>
      </w:r>
      <w:r>
        <w:rPr>
          <w:rFonts w:cs="Times New Roman"/>
          <w:color w:val="000000"/>
          <w:szCs w:val="24"/>
        </w:rPr>
        <w:t xml:space="preserve">significantly different </w:t>
      </w:r>
      <w:r>
        <w:rPr>
          <w:rFonts w:cs="Times New Roman"/>
          <w:color w:val="000000"/>
          <w:szCs w:val="24"/>
        </w:rPr>
        <w:t>were</w:t>
      </w:r>
      <w:r>
        <w:rPr>
          <w:rFonts w:cs="Times New Roman"/>
          <w:color w:val="000000"/>
          <w:szCs w:val="24"/>
        </w:rPr>
        <w:t xml:space="preserve"> </w:t>
      </w:r>
      <w:r>
        <w:rPr>
          <w:rFonts w:cs="Times New Roman"/>
          <w:color w:val="000000"/>
          <w:szCs w:val="24"/>
        </w:rPr>
        <w:t xml:space="preserve">separated using the </w:t>
      </w:r>
      <w:r>
        <w:rPr>
          <w:rFonts w:cs="Times New Roman"/>
          <w:color w:val="000000"/>
          <w:szCs w:val="24"/>
        </w:rPr>
        <w:t>least significant difference (LSD)</w:t>
      </w:r>
      <w:r>
        <w:rPr>
          <w:rFonts w:cs="Times New Roman"/>
          <w:color w:val="000000"/>
          <w:szCs w:val="24"/>
        </w:rPr>
        <w:t xml:space="preserve"> at 5% level of significance.</w:t>
      </w:r>
    </w:p>
    <w:bookmarkStart w:id="30" w:name="_Toc178174253"/>
    <w:bookmarkStart w:id="31" w:name="_Hlk172490092"/>
    <w:bookmarkEnd w:id="6"/>
    <w:p>
      <w:pPr>
        <w:pStyle w:val="style1"/>
        <w:numPr>
          <w:ilvl w:val="0"/>
          <w:numId w:val="7"/>
        </w:numPr>
        <w:rPr/>
      </w:pPr>
      <w:r>
        <w:t>RESULT AND DISCUSSION</w:t>
      </w:r>
      <w:bookmarkEnd w:id="30"/>
      <w:r>
        <w:t xml:space="preserve"> </w:t>
      </w:r>
      <w:bookmarkEnd w:id="31"/>
    </w:p>
    <w:bookmarkStart w:id="32" w:name="_Toc178174254"/>
    <w:p>
      <w:pPr>
        <w:pStyle w:val="style2"/>
        <w:numPr>
          <w:ilvl w:val="1"/>
          <w:numId w:val="7"/>
        </w:numPr>
        <w:spacing w:before="0"/>
        <w:ind w:left="360"/>
        <w:rPr/>
      </w:pPr>
      <w:r>
        <w:t>D</w:t>
      </w:r>
      <w:r>
        <w:t xml:space="preserve">ays to </w:t>
      </w:r>
      <w:r>
        <w:t xml:space="preserve">Flowering </w:t>
      </w:r>
      <w:r>
        <w:t xml:space="preserve">and </w:t>
      </w:r>
      <w:r>
        <w:t>Maturity</w:t>
      </w:r>
      <w:bookmarkEnd w:id="32"/>
    </w:p>
    <w:p>
      <w:pPr>
        <w:pStyle w:val="style0"/>
        <w:spacing w:before="0" w:after="120"/>
        <w:rPr/>
      </w:pPr>
      <w:r>
        <w:t xml:space="preserve">Analysis of variance revealed that both </w:t>
      </w:r>
      <w:bookmarkStart w:id="33" w:name="_Hlk177751811"/>
      <w:r>
        <w:t xml:space="preserve">days to 50% flowering and days to maturity </w:t>
      </w:r>
      <w:bookmarkEnd w:id="33"/>
      <w:r>
        <w:t xml:space="preserve">were significantly affected by variety and NPS fertilizer. However, the interaction between variety and NPS fertilizer </w:t>
      </w:r>
      <w:r>
        <w:t xml:space="preserve">had </w:t>
      </w:r>
      <w:r>
        <w:t>no</w:t>
      </w:r>
      <w:r>
        <w:t xml:space="preserve"> </w:t>
      </w:r>
      <w:r>
        <w:t xml:space="preserve">significant </w:t>
      </w:r>
      <w:r>
        <w:t>influence</w:t>
      </w:r>
      <w:r>
        <w:t xml:space="preserve"> on these phenological parameters (Appendix Table 1). The </w:t>
      </w:r>
      <w:r>
        <w:t>Gelilema</w:t>
      </w:r>
      <w:r>
        <w:t xml:space="preserve"> variety exhibited earlier flowering and maturity compared</w:t>
      </w:r>
      <w:r>
        <w:t xml:space="preserve"> </w:t>
      </w:r>
      <w:r>
        <w:t xml:space="preserve">to the </w:t>
      </w:r>
      <w:r>
        <w:t>Cochoro</w:t>
      </w:r>
      <w:r>
        <w:t xml:space="preserve"> and </w:t>
      </w:r>
      <w:r>
        <w:t>Chali</w:t>
      </w:r>
      <w:r>
        <w:t xml:space="preserve"> varieties (Table 1). This finding aligns with </w:t>
      </w:r>
      <w:r>
        <w:t>Habtie</w:t>
      </w:r>
      <w:r>
        <w:t xml:space="preserve"> (2022), who also reported that the </w:t>
      </w:r>
      <w:r>
        <w:t>Gelilema</w:t>
      </w:r>
      <w:r>
        <w:t xml:space="preserve"> variety had shorter flowering and maturity </w:t>
      </w:r>
      <w:r>
        <w:t>days</w:t>
      </w:r>
      <w:r>
        <w:t xml:space="preserve"> than the other tested varieties.</w:t>
      </w:r>
    </w:p>
    <w:p>
      <w:pPr>
        <w:pStyle w:val="style0"/>
        <w:spacing w:after="120"/>
        <w:rPr/>
      </w:pPr>
      <w:r>
        <w:t xml:space="preserve">The application of </w:t>
      </w:r>
      <w:r>
        <w:t>t</w:t>
      </w:r>
      <w:r>
        <w:t>he highest rate of NPS fertilizer (</w:t>
      </w:r>
      <w:r>
        <w:t>20</w:t>
      </w:r>
      <w:r>
        <w:t>0 kg ha</w:t>
      </w:r>
      <w:r>
        <w:rPr>
          <w:vertAlign w:val="superscript"/>
        </w:rPr>
        <w:t>-1</w:t>
      </w:r>
      <w:r>
        <w:t xml:space="preserve">) significantly delayed the days to 50% flowering and maturity in tomato varieties. </w:t>
      </w:r>
      <w:r>
        <w:t>While</w:t>
      </w:r>
      <w:r>
        <w:t xml:space="preserve"> tomato varieties grown without any fertilizer reached 50% flowering and maturity much earlier. There was no significant difference in days to flowering and maturity when 50 and 100 kg ha</w:t>
      </w:r>
      <w:r>
        <w:rPr>
          <w:vertAlign w:val="superscript"/>
        </w:rPr>
        <w:t>-1</w:t>
      </w:r>
      <w:r>
        <w:t xml:space="preserve"> NPS </w:t>
      </w:r>
      <w:r>
        <w:t>fertilizers</w:t>
      </w:r>
      <w:r>
        <w:t xml:space="preserve"> were applied</w:t>
      </w:r>
      <w:r>
        <w:t xml:space="preserve"> </w:t>
      </w:r>
      <w:r>
        <w:t>(Table 1)</w:t>
      </w:r>
      <w:r>
        <w:t>. The delay in flowering and maturity observed with higher NPS fertilizer rates could be attributed to an excess supply of nitrogen, phosphorus, and sulfur, which promotes excessive vegetative growth and potentially delays reproductive growth by reducing the sink strength of flowers compared to vegetative tissues. This phenomenon has been previously reported, indicating that high levels of nitrogen, higher rates of phosphorus, and sulfur application can lead to excessive vegetative growth, thereby delaying the setting and maturity of tomato fruits (Nishat</w:t>
      </w:r>
      <w:r>
        <w:t xml:space="preserve"> </w:t>
      </w:r>
      <w:r>
        <w:rPr>
          <w:i/>
          <w:iCs/>
        </w:rPr>
        <w:t>et al</w:t>
      </w:r>
      <w:r>
        <w:t>., 20</w:t>
      </w:r>
      <w:r>
        <w:t>21</w:t>
      </w:r>
      <w:r>
        <w:t xml:space="preserve">; </w:t>
      </w:r>
      <w:r>
        <w:t xml:space="preserve">Zhang </w:t>
      </w:r>
      <w:r>
        <w:rPr>
          <w:i/>
          <w:iCs/>
        </w:rPr>
        <w:t>et al</w:t>
      </w:r>
      <w:r>
        <w:t>., 20</w:t>
      </w:r>
      <w:r>
        <w:t>24</w:t>
      </w:r>
      <w:r>
        <w:t>)</w:t>
      </w:r>
      <w:r>
        <w:t>.</w:t>
      </w:r>
    </w:p>
    <w:p>
      <w:pPr>
        <w:pStyle w:val="style0"/>
        <w:spacing w:after="120"/>
        <w:rPr/>
      </w:pPr>
    </w:p>
    <w:bookmarkStart w:id="34" w:name="_Toc178174300"/>
    <w:p>
      <w:pPr>
        <w:pStyle w:val="style34"/>
        <w:rPr/>
      </w:pPr>
      <w:r>
        <w:t xml:space="preserve">Table </w:t>
      </w:r>
      <w:r>
        <w:rPr/>
        <w:fldChar w:fldCharType="begin"/>
      </w:r>
      <w:r>
        <w:instrText xml:space="preserve"> SEQ Table \* ARABIC </w:instrText>
      </w:r>
      <w:r>
        <w:rPr/>
        <w:fldChar w:fldCharType="separate"/>
      </w:r>
      <w:r>
        <w:rPr>
          <w:noProof/>
        </w:rPr>
        <w:t>1</w:t>
      </w:r>
      <w:r>
        <w:rPr>
          <w:noProof/>
        </w:rPr>
        <w:fldChar w:fldCharType="end"/>
      </w:r>
      <w:r>
        <w:t xml:space="preserve">. Effect of varieties and application of NPS fertilizer rates on days to fruiting and maturity of tomato varieties at </w:t>
      </w:r>
      <w:r>
        <w:t>Gursum</w:t>
      </w:r>
      <w:r>
        <w:t xml:space="preserve"> in 2023.</w:t>
      </w:r>
      <w:bookmarkEnd w:id="34"/>
    </w:p>
    <w:tbl>
      <w:tblPr>
        <w:tblStyle w:val="style41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3386"/>
        <w:gridCol w:w="2804"/>
      </w:tblGrid>
      <w:tr>
        <w:trPr/>
        <w:tc>
          <w:tcPr>
            <w:tcW w:w="1768" w:type="pct"/>
            <w:tcBorders>
              <w:top w:val="single" w:sz="4" w:space="0" w:color="auto"/>
              <w:bottom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 xml:space="preserve">Variety </w:t>
            </w:r>
          </w:p>
        </w:tc>
        <w:tc>
          <w:tcPr>
            <w:tcW w:w="1768" w:type="pct"/>
            <w:tcBorders>
              <w:top w:val="single" w:sz="4" w:space="0" w:color="auto"/>
              <w:bottom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 xml:space="preserve">Days </w:t>
            </w:r>
            <w:r>
              <w:rPr>
                <w:rFonts w:cs="Times New Roman" w:eastAsia="Calibri"/>
                <w:sz w:val="24"/>
                <w:szCs w:val="24"/>
              </w:rPr>
              <w:t xml:space="preserve">50% </w:t>
            </w:r>
            <w:r>
              <w:rPr>
                <w:rFonts w:cs="Times New Roman" w:eastAsia="Calibri"/>
                <w:sz w:val="24"/>
                <w:szCs w:val="24"/>
              </w:rPr>
              <w:t xml:space="preserve">to </w:t>
            </w:r>
            <w:r>
              <w:rPr>
                <w:rFonts w:cs="Times New Roman" w:eastAsia="Calibri"/>
                <w:sz w:val="24"/>
                <w:szCs w:val="24"/>
              </w:rPr>
              <w:t xml:space="preserve">flowering </w:t>
            </w:r>
          </w:p>
        </w:tc>
        <w:tc>
          <w:tcPr>
            <w:tcW w:w="1464" w:type="pct"/>
            <w:tcBorders>
              <w:top w:val="single" w:sz="4" w:space="0" w:color="auto"/>
              <w:bottom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Days to maturity</w:t>
            </w:r>
          </w:p>
        </w:tc>
      </w:tr>
      <w:bookmarkStart w:id="35" w:name="_Hlk176809534"/>
      <w:bookmarkStart w:id="36" w:name="_Hlk176212514"/>
      <w:tr>
        <w:tblPrEx/>
        <w:trPr/>
        <w:tc>
          <w:tcPr>
            <w:tcW w:w="1768" w:type="pct"/>
            <w:tcBorders>
              <w:top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Cochoro</w:t>
            </w:r>
          </w:p>
        </w:tc>
        <w:tc>
          <w:tcPr>
            <w:tcW w:w="1768" w:type="pct"/>
            <w:tcBorders>
              <w:top w:val="single" w:sz="4" w:space="0" w:color="auto"/>
            </w:tcBorders>
            <w:vAlign w:val="bottom"/>
          </w:tcPr>
          <w:p>
            <w:pPr>
              <w:pStyle w:val="style0"/>
              <w:spacing w:before="0" w:after="0" w:lineRule="auto" w:line="240"/>
              <w:jc w:val="left"/>
              <w:rPr>
                <w:rFonts w:cs="Times New Roman" w:eastAsia="Calibri"/>
                <w:sz w:val="24"/>
                <w:szCs w:val="24"/>
              </w:rPr>
            </w:pPr>
            <w:r>
              <w:rPr>
                <w:color w:val="000000"/>
                <w:sz w:val="24"/>
                <w:szCs w:val="24"/>
              </w:rPr>
              <w:t>54.07a</w:t>
            </w:r>
          </w:p>
        </w:tc>
        <w:tc>
          <w:tcPr>
            <w:tcW w:w="1464" w:type="pct"/>
            <w:tcBorders>
              <w:top w:val="single" w:sz="4" w:space="0" w:color="auto"/>
            </w:tcBorders>
            <w:vAlign w:val="bottom"/>
          </w:tcPr>
          <w:p>
            <w:pPr>
              <w:pStyle w:val="style0"/>
              <w:spacing w:before="0" w:after="0" w:lineRule="auto" w:line="240"/>
              <w:jc w:val="left"/>
              <w:rPr>
                <w:rFonts w:cs="Times New Roman" w:eastAsia="Calibri"/>
                <w:sz w:val="24"/>
                <w:szCs w:val="24"/>
              </w:rPr>
            </w:pPr>
            <w:r>
              <w:rPr>
                <w:color w:val="000000"/>
                <w:sz w:val="24"/>
                <w:szCs w:val="24"/>
              </w:rPr>
              <w:t>85.06a</w:t>
            </w:r>
          </w:p>
        </w:tc>
      </w:tr>
      <w:tr>
        <w:tblPrEx/>
        <w:trPr/>
        <w:tc>
          <w:tcPr>
            <w:tcW w:w="1768"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Chali</w:t>
            </w:r>
          </w:p>
        </w:tc>
        <w:tc>
          <w:tcPr>
            <w:tcW w:w="1768" w:type="pct"/>
            <w:tcBorders/>
            <w:vAlign w:val="bottom"/>
          </w:tcPr>
          <w:p>
            <w:pPr>
              <w:pStyle w:val="style0"/>
              <w:spacing w:before="0" w:after="0" w:lineRule="auto" w:line="240"/>
              <w:jc w:val="left"/>
              <w:rPr>
                <w:rFonts w:cs="Times New Roman" w:eastAsia="Calibri"/>
                <w:sz w:val="24"/>
                <w:szCs w:val="24"/>
              </w:rPr>
            </w:pPr>
            <w:r>
              <w:rPr>
                <w:color w:val="000000"/>
                <w:sz w:val="24"/>
                <w:szCs w:val="24"/>
              </w:rPr>
              <w:t>50.87b</w:t>
            </w:r>
          </w:p>
        </w:tc>
        <w:tc>
          <w:tcPr>
            <w:tcW w:w="1464" w:type="pct"/>
            <w:tcBorders/>
            <w:vAlign w:val="bottom"/>
          </w:tcPr>
          <w:p>
            <w:pPr>
              <w:pStyle w:val="style0"/>
              <w:spacing w:before="0" w:after="0" w:lineRule="auto" w:line="240"/>
              <w:jc w:val="left"/>
              <w:rPr>
                <w:rFonts w:cs="Times New Roman" w:eastAsia="Calibri"/>
                <w:sz w:val="24"/>
                <w:szCs w:val="24"/>
              </w:rPr>
            </w:pPr>
            <w:r>
              <w:rPr>
                <w:color w:val="000000"/>
                <w:sz w:val="24"/>
                <w:szCs w:val="24"/>
              </w:rPr>
              <w:t>83.13b</w:t>
            </w:r>
          </w:p>
        </w:tc>
      </w:tr>
      <w:bookmarkStart w:id="37" w:name="_Hlk176809454"/>
      <w:bookmarkEnd w:id="35"/>
      <w:tr>
        <w:tblPrEx/>
        <w:trPr/>
        <w:tc>
          <w:tcPr>
            <w:tcW w:w="1768" w:type="pct"/>
            <w:tcBorders>
              <w:bottom w:val="nil"/>
            </w:tcBorders>
          </w:tcPr>
          <w:p>
            <w:pPr>
              <w:pStyle w:val="style0"/>
              <w:spacing w:before="0" w:after="0" w:lineRule="auto" w:line="240"/>
              <w:jc w:val="left"/>
              <w:rPr>
                <w:rFonts w:cs="Times New Roman" w:eastAsia="Calibri"/>
                <w:sz w:val="24"/>
                <w:szCs w:val="24"/>
              </w:rPr>
            </w:pPr>
            <w:r>
              <w:rPr>
                <w:rFonts w:cs="Times New Roman" w:eastAsia="Calibri"/>
                <w:sz w:val="24"/>
                <w:szCs w:val="24"/>
              </w:rPr>
              <w:t>Gelilema</w:t>
            </w:r>
            <w:bookmarkEnd w:id="37"/>
          </w:p>
        </w:tc>
        <w:tc>
          <w:tcPr>
            <w:tcW w:w="1768" w:type="pct"/>
            <w:tcBorders>
              <w:bottom w:val="nil"/>
            </w:tcBorders>
            <w:vAlign w:val="bottom"/>
          </w:tcPr>
          <w:p>
            <w:pPr>
              <w:pStyle w:val="style0"/>
              <w:spacing w:before="0" w:after="0" w:lineRule="auto" w:line="240"/>
              <w:jc w:val="left"/>
              <w:rPr>
                <w:rFonts w:cs="Times New Roman" w:eastAsia="Calibri"/>
                <w:sz w:val="24"/>
                <w:szCs w:val="24"/>
              </w:rPr>
            </w:pPr>
            <w:r>
              <w:rPr>
                <w:color w:val="000000"/>
                <w:sz w:val="24"/>
                <w:szCs w:val="24"/>
              </w:rPr>
              <w:t>49.40c</w:t>
            </w:r>
          </w:p>
        </w:tc>
        <w:tc>
          <w:tcPr>
            <w:tcW w:w="1464" w:type="pct"/>
            <w:tcBorders>
              <w:bottom w:val="nil"/>
            </w:tcBorders>
            <w:vAlign w:val="bottom"/>
          </w:tcPr>
          <w:p>
            <w:pPr>
              <w:pStyle w:val="style0"/>
              <w:spacing w:before="0" w:after="0" w:lineRule="auto" w:line="240"/>
              <w:jc w:val="left"/>
              <w:rPr>
                <w:rFonts w:cs="Times New Roman" w:eastAsia="Calibri"/>
                <w:sz w:val="24"/>
                <w:szCs w:val="24"/>
              </w:rPr>
            </w:pPr>
            <w:r>
              <w:rPr>
                <w:color w:val="000000"/>
                <w:sz w:val="24"/>
                <w:szCs w:val="24"/>
              </w:rPr>
              <w:t>80.67c</w:t>
            </w:r>
          </w:p>
        </w:tc>
      </w:tr>
      <w:bookmarkEnd w:id="36"/>
      <w:tr>
        <w:tblPrEx/>
        <w:trPr/>
        <w:tc>
          <w:tcPr>
            <w:tcW w:w="1768" w:type="pct"/>
            <w:tcBorders>
              <w:top w:val="nil"/>
              <w:bottom w:val="single" w:sz="4" w:space="0" w:color="auto"/>
            </w:tcBorders>
          </w:tcPr>
          <w:p>
            <w:pPr>
              <w:pStyle w:val="style0"/>
              <w:spacing w:before="0" w:after="0" w:lineRule="auto" w:line="240"/>
              <w:jc w:val="center"/>
              <w:rPr>
                <w:rFonts w:cs="Times New Roman" w:eastAsia="Calibri"/>
                <w:sz w:val="24"/>
                <w:szCs w:val="24"/>
              </w:rPr>
            </w:pPr>
            <w:r>
              <w:rPr>
                <w:rFonts w:cs="Times New Roman" w:eastAsia="Calibri"/>
                <w:sz w:val="24"/>
                <w:szCs w:val="24"/>
              </w:rPr>
              <w:t>LSD (5%)</w:t>
            </w:r>
          </w:p>
        </w:tc>
        <w:tc>
          <w:tcPr>
            <w:tcW w:w="1768" w:type="pct"/>
            <w:tcBorders>
              <w:top w:val="nil"/>
              <w:bottom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0.</w:t>
            </w:r>
            <w:r>
              <w:rPr>
                <w:rFonts w:cs="Times New Roman" w:eastAsia="Calibri"/>
                <w:sz w:val="24"/>
                <w:szCs w:val="24"/>
              </w:rPr>
              <w:t>81</w:t>
            </w:r>
          </w:p>
        </w:tc>
        <w:tc>
          <w:tcPr>
            <w:tcW w:w="1464" w:type="pct"/>
            <w:tcBorders>
              <w:top w:val="nil"/>
              <w:bottom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1.38</w:t>
            </w:r>
          </w:p>
        </w:tc>
      </w:tr>
      <w:tr>
        <w:tblPrEx/>
        <w:trPr/>
        <w:tc>
          <w:tcPr>
            <w:tcW w:w="1768" w:type="pct"/>
            <w:tcBorders>
              <w:top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NPS fertilizer rates (kg/ha)</w:t>
            </w:r>
          </w:p>
        </w:tc>
        <w:tc>
          <w:tcPr>
            <w:tcW w:w="1768" w:type="pct"/>
            <w:tcBorders>
              <w:top w:val="single" w:sz="4" w:space="0" w:color="auto"/>
            </w:tcBorders>
          </w:tcPr>
          <w:p>
            <w:pPr>
              <w:pStyle w:val="style0"/>
              <w:spacing w:before="0" w:after="0" w:lineRule="auto" w:line="240"/>
              <w:jc w:val="left"/>
              <w:rPr>
                <w:rFonts w:cs="Times New Roman" w:eastAsia="Calibri"/>
                <w:sz w:val="24"/>
                <w:szCs w:val="24"/>
              </w:rPr>
            </w:pPr>
          </w:p>
        </w:tc>
        <w:tc>
          <w:tcPr>
            <w:tcW w:w="1464" w:type="pct"/>
            <w:tcBorders>
              <w:top w:val="single" w:sz="4" w:space="0" w:color="auto"/>
            </w:tcBorders>
          </w:tcPr>
          <w:p>
            <w:pPr>
              <w:pStyle w:val="style0"/>
              <w:spacing w:before="0" w:after="0" w:lineRule="auto" w:line="240"/>
              <w:jc w:val="left"/>
              <w:rPr>
                <w:rFonts w:cs="Times New Roman" w:eastAsia="Calibri"/>
                <w:sz w:val="24"/>
                <w:szCs w:val="24"/>
              </w:rPr>
            </w:pPr>
          </w:p>
        </w:tc>
      </w:tr>
      <w:tr>
        <w:tblPrEx/>
        <w:trPr/>
        <w:tc>
          <w:tcPr>
            <w:tcW w:w="1768"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 xml:space="preserve">N0  </w:t>
            </w:r>
          </w:p>
        </w:tc>
        <w:tc>
          <w:tcPr>
            <w:tcW w:w="1768" w:type="pct"/>
            <w:tcBorders/>
            <w:vAlign w:val="bottom"/>
          </w:tcPr>
          <w:p>
            <w:pPr>
              <w:pStyle w:val="style0"/>
              <w:spacing w:before="0" w:after="0" w:lineRule="auto" w:line="240"/>
              <w:jc w:val="left"/>
              <w:rPr>
                <w:rFonts w:cs="Times New Roman" w:eastAsia="Calibri"/>
                <w:sz w:val="24"/>
                <w:szCs w:val="24"/>
              </w:rPr>
            </w:pPr>
            <w:r>
              <w:rPr>
                <w:color w:val="000000"/>
                <w:sz w:val="24"/>
                <w:szCs w:val="24"/>
              </w:rPr>
              <w:t>48.77d</w:t>
            </w:r>
          </w:p>
        </w:tc>
        <w:tc>
          <w:tcPr>
            <w:tcW w:w="1464" w:type="pct"/>
            <w:tcBorders/>
            <w:vAlign w:val="bottom"/>
          </w:tcPr>
          <w:p>
            <w:pPr>
              <w:pStyle w:val="style0"/>
              <w:spacing w:before="0" w:after="0" w:lineRule="auto" w:line="240"/>
              <w:jc w:val="left"/>
              <w:rPr>
                <w:rFonts w:cs="Times New Roman" w:eastAsia="Calibri"/>
                <w:sz w:val="24"/>
                <w:szCs w:val="24"/>
              </w:rPr>
            </w:pPr>
            <w:r>
              <w:rPr>
                <w:color w:val="000000"/>
                <w:sz w:val="24"/>
                <w:szCs w:val="24"/>
              </w:rPr>
              <w:t>78.44d</w:t>
            </w:r>
          </w:p>
        </w:tc>
      </w:tr>
      <w:tr>
        <w:tblPrEx/>
        <w:trPr/>
        <w:tc>
          <w:tcPr>
            <w:tcW w:w="1768"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 xml:space="preserve">N50 </w:t>
            </w:r>
          </w:p>
        </w:tc>
        <w:tc>
          <w:tcPr>
            <w:tcW w:w="1768" w:type="pct"/>
            <w:tcBorders/>
            <w:vAlign w:val="bottom"/>
          </w:tcPr>
          <w:p>
            <w:pPr>
              <w:pStyle w:val="style0"/>
              <w:spacing w:before="0" w:after="0" w:lineRule="auto" w:line="240"/>
              <w:jc w:val="left"/>
              <w:rPr>
                <w:rFonts w:cs="Times New Roman" w:eastAsia="Calibri"/>
                <w:sz w:val="24"/>
                <w:szCs w:val="24"/>
              </w:rPr>
            </w:pPr>
            <w:r>
              <w:rPr>
                <w:color w:val="000000"/>
                <w:sz w:val="24"/>
                <w:szCs w:val="24"/>
              </w:rPr>
              <w:t>49.78cd</w:t>
            </w:r>
          </w:p>
        </w:tc>
        <w:tc>
          <w:tcPr>
            <w:tcW w:w="1464" w:type="pct"/>
            <w:tcBorders/>
            <w:vAlign w:val="bottom"/>
          </w:tcPr>
          <w:p>
            <w:pPr>
              <w:pStyle w:val="style0"/>
              <w:spacing w:before="0" w:after="0" w:lineRule="auto" w:line="240"/>
              <w:jc w:val="left"/>
              <w:rPr>
                <w:rFonts w:cs="Times New Roman" w:eastAsia="Calibri"/>
                <w:sz w:val="24"/>
                <w:szCs w:val="24"/>
              </w:rPr>
            </w:pPr>
            <w:r>
              <w:rPr>
                <w:color w:val="000000"/>
                <w:sz w:val="24"/>
                <w:szCs w:val="24"/>
              </w:rPr>
              <w:t>80.89c</w:t>
            </w:r>
          </w:p>
        </w:tc>
      </w:tr>
      <w:tr>
        <w:tblPrEx/>
        <w:trPr/>
        <w:tc>
          <w:tcPr>
            <w:tcW w:w="1768"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N100</w:t>
            </w:r>
          </w:p>
        </w:tc>
        <w:tc>
          <w:tcPr>
            <w:tcW w:w="1768" w:type="pct"/>
            <w:tcBorders/>
            <w:vAlign w:val="bottom"/>
          </w:tcPr>
          <w:p>
            <w:pPr>
              <w:pStyle w:val="style0"/>
              <w:spacing w:before="0" w:after="0" w:lineRule="auto" w:line="240"/>
              <w:jc w:val="left"/>
              <w:rPr>
                <w:rFonts w:cs="Times New Roman" w:eastAsia="Calibri"/>
                <w:sz w:val="24"/>
                <w:szCs w:val="24"/>
              </w:rPr>
            </w:pPr>
            <w:r>
              <w:rPr>
                <w:color w:val="000000"/>
                <w:sz w:val="24"/>
                <w:szCs w:val="24"/>
              </w:rPr>
              <w:t>50.77c</w:t>
            </w:r>
          </w:p>
        </w:tc>
        <w:tc>
          <w:tcPr>
            <w:tcW w:w="1464" w:type="pct"/>
            <w:tcBorders/>
            <w:vAlign w:val="bottom"/>
          </w:tcPr>
          <w:p>
            <w:pPr>
              <w:pStyle w:val="style0"/>
              <w:spacing w:before="0" w:after="0" w:lineRule="auto" w:line="240"/>
              <w:jc w:val="left"/>
              <w:rPr>
                <w:rFonts w:cs="Times New Roman" w:eastAsia="Calibri"/>
                <w:sz w:val="24"/>
                <w:szCs w:val="24"/>
              </w:rPr>
            </w:pPr>
            <w:r>
              <w:rPr>
                <w:color w:val="000000"/>
                <w:sz w:val="24"/>
                <w:szCs w:val="24"/>
              </w:rPr>
              <w:t>82.67c</w:t>
            </w:r>
          </w:p>
        </w:tc>
      </w:tr>
      <w:tr>
        <w:tblPrEx/>
        <w:trPr/>
        <w:tc>
          <w:tcPr>
            <w:tcW w:w="1768"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N150</w:t>
            </w:r>
          </w:p>
        </w:tc>
        <w:tc>
          <w:tcPr>
            <w:tcW w:w="1768" w:type="pct"/>
            <w:tcBorders/>
            <w:vAlign w:val="bottom"/>
          </w:tcPr>
          <w:p>
            <w:pPr>
              <w:pStyle w:val="style0"/>
              <w:spacing w:before="0" w:after="0" w:lineRule="auto" w:line="240"/>
              <w:jc w:val="left"/>
              <w:rPr>
                <w:rFonts w:cs="Times New Roman" w:eastAsia="Calibri"/>
                <w:sz w:val="24"/>
                <w:szCs w:val="24"/>
              </w:rPr>
            </w:pPr>
            <w:r>
              <w:rPr>
                <w:color w:val="000000"/>
                <w:sz w:val="24"/>
                <w:szCs w:val="24"/>
              </w:rPr>
              <w:t>52.44b</w:t>
            </w:r>
          </w:p>
        </w:tc>
        <w:tc>
          <w:tcPr>
            <w:tcW w:w="1464" w:type="pct"/>
            <w:tcBorders/>
            <w:vAlign w:val="bottom"/>
          </w:tcPr>
          <w:p>
            <w:pPr>
              <w:pStyle w:val="style0"/>
              <w:spacing w:before="0" w:after="0" w:lineRule="auto" w:line="240"/>
              <w:jc w:val="left"/>
              <w:rPr>
                <w:rFonts w:cs="Times New Roman" w:eastAsia="Calibri"/>
                <w:sz w:val="24"/>
                <w:szCs w:val="24"/>
              </w:rPr>
            </w:pPr>
            <w:r>
              <w:rPr>
                <w:color w:val="000000"/>
                <w:sz w:val="24"/>
                <w:szCs w:val="24"/>
              </w:rPr>
              <w:t>84.89b</w:t>
            </w:r>
          </w:p>
        </w:tc>
      </w:tr>
      <w:tr>
        <w:tblPrEx/>
        <w:trPr/>
        <w:tc>
          <w:tcPr>
            <w:tcW w:w="1768"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N200</w:t>
            </w:r>
          </w:p>
        </w:tc>
        <w:tc>
          <w:tcPr>
            <w:tcW w:w="1768" w:type="pct"/>
            <w:tcBorders/>
            <w:vAlign w:val="bottom"/>
          </w:tcPr>
          <w:p>
            <w:pPr>
              <w:pStyle w:val="style0"/>
              <w:spacing w:before="0" w:after="0" w:lineRule="auto" w:line="240"/>
              <w:jc w:val="left"/>
              <w:rPr>
                <w:rFonts w:cs="Times New Roman" w:eastAsia="Calibri"/>
                <w:sz w:val="24"/>
                <w:szCs w:val="24"/>
              </w:rPr>
            </w:pPr>
            <w:r>
              <w:rPr>
                <w:color w:val="000000"/>
                <w:sz w:val="24"/>
                <w:szCs w:val="24"/>
              </w:rPr>
              <w:t>55.44a</w:t>
            </w:r>
          </w:p>
        </w:tc>
        <w:tc>
          <w:tcPr>
            <w:tcW w:w="1464" w:type="pct"/>
            <w:tcBorders/>
            <w:vAlign w:val="bottom"/>
          </w:tcPr>
          <w:p>
            <w:pPr>
              <w:pStyle w:val="style0"/>
              <w:spacing w:before="0" w:after="0" w:lineRule="auto" w:line="240"/>
              <w:jc w:val="left"/>
              <w:rPr>
                <w:rFonts w:cs="Times New Roman" w:eastAsia="Calibri"/>
                <w:sz w:val="24"/>
                <w:szCs w:val="24"/>
              </w:rPr>
            </w:pPr>
            <w:r>
              <w:rPr>
                <w:color w:val="000000"/>
                <w:sz w:val="24"/>
                <w:szCs w:val="24"/>
              </w:rPr>
              <w:t>87.89a</w:t>
            </w:r>
          </w:p>
        </w:tc>
      </w:tr>
      <w:tr>
        <w:tblPrEx/>
        <w:trPr/>
        <w:tc>
          <w:tcPr>
            <w:tcW w:w="1768" w:type="pct"/>
            <w:tcBorders/>
          </w:tcPr>
          <w:p>
            <w:pPr>
              <w:pStyle w:val="style0"/>
              <w:spacing w:before="0" w:after="0" w:lineRule="auto" w:line="240"/>
              <w:jc w:val="center"/>
              <w:rPr>
                <w:rFonts w:cs="Times New Roman" w:eastAsia="Calibri"/>
                <w:sz w:val="24"/>
                <w:szCs w:val="24"/>
              </w:rPr>
            </w:pPr>
            <w:r>
              <w:rPr>
                <w:rFonts w:cs="Times New Roman" w:eastAsia="Calibri"/>
                <w:sz w:val="24"/>
                <w:szCs w:val="24"/>
              </w:rPr>
              <w:t>LSD (5%)</w:t>
            </w:r>
          </w:p>
        </w:tc>
        <w:tc>
          <w:tcPr>
            <w:tcW w:w="1768"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1.05</w:t>
            </w:r>
          </w:p>
        </w:tc>
        <w:tc>
          <w:tcPr>
            <w:tcW w:w="1464"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1.78</w:t>
            </w:r>
          </w:p>
        </w:tc>
      </w:tr>
    </w:tbl>
    <w:p>
      <w:pPr>
        <w:pStyle w:val="style0"/>
        <w:spacing w:before="0" w:after="160"/>
        <w:rPr>
          <w:rFonts w:cs="Times New Roman" w:eastAsia="Calibri"/>
          <w:szCs w:val="24"/>
        </w:rPr>
      </w:pPr>
      <w:r>
        <w:rPr>
          <w:rFonts w:cs="Times New Roman" w:eastAsia="Calibri"/>
          <w:szCs w:val="24"/>
        </w:rPr>
        <w:t xml:space="preserve">Mean values followed by the same letter (s) within the column of each treatment are not significantly different from each other at </w:t>
      </w:r>
      <w:r>
        <w:rPr>
          <w:rFonts w:cs="Times New Roman" w:eastAsia="Calibri"/>
          <w:szCs w:val="24"/>
        </w:rPr>
        <w:t xml:space="preserve">the </w:t>
      </w:r>
      <w:r>
        <w:rPr>
          <w:rFonts w:cs="Times New Roman" w:eastAsia="Calibri"/>
          <w:szCs w:val="24"/>
        </w:rPr>
        <w:t>5% level of significance. LSD (5%): Least Significant Difference at P&lt;0.05.</w:t>
      </w:r>
    </w:p>
    <w:bookmarkStart w:id="38" w:name="_Toc178174255"/>
    <w:p>
      <w:pPr>
        <w:pStyle w:val="style2"/>
        <w:rPr>
          <w:rFonts w:eastAsia="Calibri"/>
        </w:rPr>
      </w:pPr>
      <w:r>
        <w:rPr>
          <w:rFonts w:eastAsia="Calibri"/>
        </w:rPr>
        <w:t xml:space="preserve">4.2. </w:t>
      </w:r>
      <w:r>
        <w:rPr>
          <w:rFonts w:eastAsia="Calibri"/>
        </w:rPr>
        <w:t>Growth</w:t>
      </w:r>
      <w:r>
        <w:rPr>
          <w:rFonts w:eastAsia="Calibri"/>
        </w:rPr>
        <w:t xml:space="preserve"> </w:t>
      </w:r>
      <w:r>
        <w:rPr>
          <w:rFonts w:eastAsia="Calibri"/>
        </w:rPr>
        <w:t>Parameters</w:t>
      </w:r>
      <w:bookmarkEnd w:id="38"/>
      <w:r>
        <w:rPr>
          <w:rFonts w:eastAsia="Calibri"/>
        </w:rPr>
        <w:t xml:space="preserve"> </w:t>
      </w:r>
    </w:p>
    <w:bookmarkStart w:id="39" w:name="_Toc178174256"/>
    <w:p>
      <w:pPr>
        <w:pStyle w:val="style3"/>
        <w:rPr/>
      </w:pPr>
      <w:r>
        <w:t>4.2.1. Plant Height</w:t>
      </w:r>
      <w:bookmarkEnd w:id="39"/>
    </w:p>
    <w:p>
      <w:pPr>
        <w:pStyle w:val="style0"/>
        <w:spacing w:before="0" w:after="120"/>
        <w:rPr/>
      </w:pPr>
      <w:r>
        <w:t xml:space="preserve">The analysis of variance revealed that plant height was significantly affected by the main effect of NPS fertilizer (p&lt;0.05), but not by variety or the interaction between the two main effects (Appendix Table 1). This indicates that while there was no difference in plant height among the varieties, different levels of NPS fertilizer resulted in varying plant heights in tomatoes. This finding is consistent with Nishat et al. (2021), who reported that different </w:t>
      </w:r>
      <w:r>
        <w:t>rates</w:t>
      </w:r>
      <w:r>
        <w:t xml:space="preserve"> of nitrogen and phosphorus application led to varying plant heights in tomatoes.</w:t>
      </w:r>
    </w:p>
    <w:p>
      <w:pPr>
        <w:pStyle w:val="style0"/>
        <w:spacing w:after="120"/>
        <w:rPr/>
      </w:pPr>
      <w:r>
        <w:t xml:space="preserve">The </w:t>
      </w:r>
      <w:commentRangeStart w:id="1"/>
      <w:r>
        <w:rPr>
          <w:highlight w:val="yellow"/>
        </w:rPr>
        <w:t>longest</w:t>
      </w:r>
      <w:commentRangeEnd w:id="1"/>
      <w:r>
        <w:rPr/>
        <w:commentReference w:id="1"/>
      </w:r>
      <w:r>
        <w:t xml:space="preserve"> plant (</w:t>
      </w:r>
      <w:r>
        <w:t>66.51</w:t>
      </w:r>
      <w:r>
        <w:t xml:space="preserve"> </w:t>
      </w:r>
      <w:r>
        <w:t xml:space="preserve">cm) was recorded from </w:t>
      </w:r>
      <w:r>
        <w:t xml:space="preserve">the </w:t>
      </w:r>
      <w:r>
        <w:t xml:space="preserve">application </w:t>
      </w:r>
      <w:r>
        <w:t xml:space="preserve">of </w:t>
      </w:r>
      <w:r>
        <w:t>higher NPS fertilizer rates (</w:t>
      </w:r>
      <w:r>
        <w:t>20</w:t>
      </w:r>
      <w:r>
        <w:t>0 kg ha</w:t>
      </w:r>
      <w:r>
        <w:rPr>
          <w:vertAlign w:val="superscript"/>
        </w:rPr>
        <w:t>-1</w:t>
      </w:r>
      <w:r>
        <w:t xml:space="preserve">) </w:t>
      </w:r>
      <w:r>
        <w:t>wh</w:t>
      </w:r>
      <w:r>
        <w:t>i</w:t>
      </w:r>
      <w:r>
        <w:t xml:space="preserve">le the </w:t>
      </w:r>
      <w:r>
        <w:t xml:space="preserve">shortest plant was measured </w:t>
      </w:r>
      <w:r>
        <w:t xml:space="preserve">from the plot not received </w:t>
      </w:r>
      <w:r>
        <w:t xml:space="preserve">NPS fertilizer </w:t>
      </w:r>
      <w:r>
        <w:t>(Table 2)</w:t>
      </w:r>
      <w:r>
        <w:t>.</w:t>
      </w:r>
      <w:r>
        <w:t xml:space="preserve"> </w:t>
      </w:r>
      <w:r>
        <w:t xml:space="preserve">In addition, the result showed that the plant height increment was related </w:t>
      </w:r>
      <w:r>
        <w:t>to</w:t>
      </w:r>
      <w:r>
        <w:t xml:space="preserve"> an increase of the application of NPS fertilizer. </w:t>
      </w:r>
      <w:r>
        <w:t xml:space="preserve">This might be related cell elongation due to </w:t>
      </w:r>
      <w:r>
        <w:t xml:space="preserve">the </w:t>
      </w:r>
      <w:r>
        <w:t xml:space="preserve">increment of </w:t>
      </w:r>
      <w:r>
        <w:t>nitrogen and phosphorus</w:t>
      </w:r>
      <w:r>
        <w:t xml:space="preserve"> in tomato growth. Similar report by </w:t>
      </w:r>
      <w:r>
        <w:t>Du</w:t>
      </w:r>
      <w:r>
        <w:t xml:space="preserve"> </w:t>
      </w:r>
      <w:r>
        <w:rPr>
          <w:i/>
          <w:iCs/>
        </w:rPr>
        <w:t xml:space="preserve">et al., </w:t>
      </w:r>
      <w:r>
        <w:t xml:space="preserve">(2021) </w:t>
      </w:r>
      <w:r>
        <w:t>found</w:t>
      </w:r>
      <w:r>
        <w:t xml:space="preserve"> that </w:t>
      </w:r>
      <w:r>
        <w:t>varying levels of NPS fertilizer significantly influenced plant height and other growth parameters</w:t>
      </w:r>
      <w:r>
        <w:t xml:space="preserve"> </w:t>
      </w:r>
      <w:r>
        <w:t>in</w:t>
      </w:r>
      <w:r>
        <w:t xml:space="preserve"> tomato.</w:t>
      </w:r>
      <w:r>
        <w:t xml:space="preserve"> </w:t>
      </w:r>
    </w:p>
    <w:bookmarkStart w:id="40" w:name="_Toc178174257"/>
    <w:p>
      <w:pPr>
        <w:pStyle w:val="style3"/>
        <w:rPr/>
      </w:pPr>
      <w:r>
        <w:t xml:space="preserve">4.2.2. </w:t>
      </w:r>
      <w:r>
        <w:t>Number of fruits per cluster</w:t>
      </w:r>
      <w:bookmarkEnd w:id="40"/>
      <w:r>
        <w:t xml:space="preserve"> </w:t>
      </w:r>
    </w:p>
    <w:p>
      <w:pPr>
        <w:pStyle w:val="style0"/>
        <w:spacing w:before="0" w:after="120"/>
        <w:rPr/>
      </w:pPr>
      <w:r>
        <w:t>The main</w:t>
      </w:r>
      <w:r>
        <w:t xml:space="preserve"> effect of variety and application of NPS fertilizer had </w:t>
      </w:r>
      <w:r>
        <w:t xml:space="preserve">a </w:t>
      </w:r>
      <w:r>
        <w:t xml:space="preserve">significant effect on </w:t>
      </w:r>
      <w:r>
        <w:t xml:space="preserve">the </w:t>
      </w:r>
      <w:bookmarkStart w:id="41" w:name="_Hlk177751975"/>
      <w:r>
        <w:t>n</w:t>
      </w:r>
      <w:r>
        <w:t>umber of fruits per cluster</w:t>
      </w:r>
      <w:bookmarkEnd w:id="41"/>
      <w:r>
        <w:t xml:space="preserve">. However, </w:t>
      </w:r>
      <w:r>
        <w:t xml:space="preserve">the interaction of the two main effects had no significant effect on </w:t>
      </w:r>
      <w:r>
        <w:t xml:space="preserve">the </w:t>
      </w:r>
      <w:r>
        <w:t>n</w:t>
      </w:r>
      <w:r>
        <w:t>umber of fruits per cluster</w:t>
      </w:r>
      <w:r>
        <w:t xml:space="preserve"> (Appendix </w:t>
      </w:r>
      <w:r>
        <w:t>Table 1</w:t>
      </w:r>
      <w:r>
        <w:t>).  The highest n</w:t>
      </w:r>
      <w:r>
        <w:t>umber of fruits per cluster</w:t>
      </w:r>
      <w:r>
        <w:t xml:space="preserve"> </w:t>
      </w:r>
      <w:r>
        <w:t>was</w:t>
      </w:r>
      <w:r>
        <w:t xml:space="preserve"> </w:t>
      </w:r>
      <w:r>
        <w:t>5.60</w:t>
      </w:r>
      <w:r>
        <w:t xml:space="preserve"> </w:t>
      </w:r>
      <w:r>
        <w:t>or</w:t>
      </w:r>
      <w:r>
        <w:t xml:space="preserve"> 5.4</w:t>
      </w:r>
      <w:r>
        <w:t>1</w:t>
      </w:r>
      <w:r>
        <w:t xml:space="preserve"> was recorded from </w:t>
      </w:r>
      <w:r>
        <w:t>varieties</w:t>
      </w:r>
      <w:r>
        <w:t xml:space="preserve"> </w:t>
      </w:r>
      <w:r>
        <w:t>Chali</w:t>
      </w:r>
      <w:r>
        <w:t xml:space="preserve"> and </w:t>
      </w:r>
      <w:r>
        <w:t>Gelilema</w:t>
      </w:r>
      <w:r>
        <w:t xml:space="preserve">, without </w:t>
      </w:r>
      <w:r>
        <w:t xml:space="preserve">a </w:t>
      </w:r>
      <w:r>
        <w:t>statistically significant difference (Table 2)</w:t>
      </w:r>
      <w:r>
        <w:t xml:space="preserve">. </w:t>
      </w:r>
      <w:r>
        <w:t>A similar</w:t>
      </w:r>
      <w:r>
        <w:t xml:space="preserve"> number of</w:t>
      </w:r>
      <w:r>
        <w:t xml:space="preserve"> </w:t>
      </w:r>
      <w:r>
        <w:t>fruits per cluster</w:t>
      </w:r>
      <w:r>
        <w:t xml:space="preserve"> </w:t>
      </w:r>
      <w:r>
        <w:t xml:space="preserve">from both varieties </w:t>
      </w:r>
      <w:r>
        <w:t xml:space="preserve">was </w:t>
      </w:r>
      <w:r>
        <w:t>found</w:t>
      </w:r>
      <w:r>
        <w:t xml:space="preserve"> by </w:t>
      </w:r>
      <w:r>
        <w:t>Habtie</w:t>
      </w:r>
      <w:r>
        <w:t xml:space="preserve"> (2022)</w:t>
      </w:r>
      <w:r>
        <w:t>.</w:t>
      </w:r>
    </w:p>
    <w:p>
      <w:pPr>
        <w:pStyle w:val="style0"/>
        <w:spacing w:before="0" w:after="0"/>
        <w:rPr/>
      </w:pPr>
      <w:r>
        <w:t xml:space="preserve">The highest number of fruits per cluster was </w:t>
      </w:r>
      <w:r>
        <w:t>6.3</w:t>
      </w:r>
      <w:r>
        <w:t>,</w:t>
      </w:r>
      <w:r>
        <w:t xml:space="preserve"> was recorded from the application of </w:t>
      </w:r>
      <w:r>
        <w:t xml:space="preserve">higher NPS fertilizer rates </w:t>
      </w:r>
      <w:r>
        <w:t xml:space="preserve">of </w:t>
      </w:r>
      <w:r>
        <w:t>20</w:t>
      </w:r>
      <w:r>
        <w:t>0</w:t>
      </w:r>
      <w:r>
        <w:t xml:space="preserve"> </w:t>
      </w:r>
      <w:r>
        <w:t>kg ha</w:t>
      </w:r>
      <w:r>
        <w:rPr>
          <w:vertAlign w:val="superscript"/>
        </w:rPr>
        <w:t>-1</w:t>
      </w:r>
      <w:r>
        <w:t xml:space="preserve"> (Table 2)</w:t>
      </w:r>
      <w:r>
        <w:t xml:space="preserve">. </w:t>
      </w:r>
      <w:r>
        <w:t>The</w:t>
      </w:r>
      <w:r>
        <w:t xml:space="preserve"> increased number of fruits per cluster in plots </w:t>
      </w:r>
      <w:r>
        <w:t xml:space="preserve">that </w:t>
      </w:r>
      <w:r>
        <w:t>receiv</w:t>
      </w:r>
      <w:r>
        <w:t>ed</w:t>
      </w:r>
      <w:r>
        <w:t xml:space="preserve"> higher fertilizer rates might be attributed to the sufficient nutrient supply, which enhances tomato plant growth and fruit development (</w:t>
      </w:r>
      <w:r>
        <w:t>Bekbayeva</w:t>
      </w:r>
      <w:r>
        <w:t xml:space="preserve"> </w:t>
      </w:r>
      <w:r>
        <w:rPr>
          <w:i/>
          <w:iCs/>
        </w:rPr>
        <w:t>et al</w:t>
      </w:r>
      <w:r>
        <w:t xml:space="preserve">., 2021). Similarly, </w:t>
      </w:r>
      <w:r>
        <w:t xml:space="preserve">Nishat </w:t>
      </w:r>
      <w:r>
        <w:rPr>
          <w:i/>
          <w:iCs/>
        </w:rPr>
        <w:t>et al</w:t>
      </w:r>
      <w:r>
        <w:t xml:space="preserve">., </w:t>
      </w:r>
      <w:r>
        <w:t>(</w:t>
      </w:r>
      <w:r>
        <w:t>2021</w:t>
      </w:r>
      <w:r>
        <w:t xml:space="preserve">) </w:t>
      </w:r>
      <w:r>
        <w:t xml:space="preserve">reported that the lowest number of fruits per cluster was observed in plots without fertilizer application, while the highest number was recorded in plots receiving the highest </w:t>
      </w:r>
      <w:r>
        <w:t>nitrogen rates</w:t>
      </w:r>
      <w:r>
        <w:t xml:space="preserve"> from inorganic fertilizers.</w:t>
      </w:r>
    </w:p>
    <w:bookmarkStart w:id="42" w:name="_Toc178174301"/>
    <w:p>
      <w:pPr>
        <w:pStyle w:val="style34"/>
        <w:rPr/>
      </w:pPr>
      <w:r>
        <w:t xml:space="preserve">Table </w:t>
      </w:r>
      <w:r>
        <w:rPr/>
        <w:fldChar w:fldCharType="begin"/>
      </w:r>
      <w:r>
        <w:instrText xml:space="preserve"> SEQ Table \* ARABIC </w:instrText>
      </w:r>
      <w:r>
        <w:rPr/>
        <w:fldChar w:fldCharType="separate"/>
      </w:r>
      <w:r>
        <w:rPr>
          <w:noProof/>
        </w:rPr>
        <w:t>2</w:t>
      </w:r>
      <w:r>
        <w:rPr>
          <w:noProof/>
        </w:rPr>
        <w:fldChar w:fldCharType="end"/>
      </w:r>
      <w:r>
        <w:t>. Effect of varieties and application of NPS fertilizer rates on plant height (cm)</w:t>
      </w:r>
      <w:r>
        <w:rPr>
          <w:b/>
          <w:bCs/>
        </w:rPr>
        <w:t xml:space="preserve"> </w:t>
      </w:r>
      <w:r>
        <w:t xml:space="preserve">and number of fruits per cluster Average fruit weight (grams) of tomato at </w:t>
      </w:r>
      <w:r>
        <w:t>Gursum</w:t>
      </w:r>
      <w:r>
        <w:t xml:space="preserve"> in 2023.</w:t>
      </w:r>
      <w:bookmarkEnd w:id="42"/>
    </w:p>
    <w:tbl>
      <w:tblPr>
        <w:tblStyle w:val="style41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40"/>
        <w:gridCol w:w="2917"/>
      </w:tblGrid>
      <w:tr>
        <w:trPr/>
        <w:tc>
          <w:tcPr>
            <w:tcW w:w="2203"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 xml:space="preserve">Variety </w:t>
            </w:r>
          </w:p>
        </w:tc>
        <w:tc>
          <w:tcPr>
            <w:tcW w:w="1274"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Plant height (cm)</w:t>
            </w:r>
          </w:p>
        </w:tc>
        <w:tc>
          <w:tcPr>
            <w:tcW w:w="1523"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Number of fruits per cluster</w:t>
            </w:r>
          </w:p>
        </w:tc>
      </w:tr>
      <w:tr>
        <w:tblPrEx/>
        <w:trPr/>
        <w:tc>
          <w:tcPr>
            <w:tcW w:w="2203"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Cochoro</w:t>
            </w:r>
          </w:p>
        </w:tc>
        <w:tc>
          <w:tcPr>
            <w:tcW w:w="1274" w:type="pct"/>
            <w:tcBorders/>
          </w:tcPr>
          <w:p>
            <w:pPr>
              <w:pStyle w:val="style0"/>
              <w:spacing w:before="0" w:after="0" w:lineRule="auto" w:line="240"/>
              <w:jc w:val="left"/>
              <w:rPr>
                <w:rFonts w:cs="Times New Roman" w:eastAsia="Calibri"/>
                <w:sz w:val="24"/>
                <w:szCs w:val="24"/>
              </w:rPr>
            </w:pPr>
            <w:r>
              <w:rPr>
                <w:sz w:val="24"/>
                <w:szCs w:val="24"/>
              </w:rPr>
              <w:t>57.38</w:t>
            </w:r>
          </w:p>
        </w:tc>
        <w:tc>
          <w:tcPr>
            <w:tcW w:w="1523" w:type="pct"/>
            <w:tcBorders/>
            <w:vAlign w:val="bottom"/>
          </w:tcPr>
          <w:p>
            <w:pPr>
              <w:pStyle w:val="style0"/>
              <w:spacing w:before="0" w:after="0" w:lineRule="auto" w:line="240"/>
              <w:jc w:val="left"/>
              <w:rPr>
                <w:rFonts w:cs="Times New Roman" w:eastAsia="Calibri"/>
                <w:sz w:val="24"/>
                <w:szCs w:val="24"/>
              </w:rPr>
            </w:pPr>
            <w:r>
              <w:rPr>
                <w:color w:val="000000"/>
                <w:sz w:val="24"/>
                <w:szCs w:val="24"/>
              </w:rPr>
              <w:t>4.1</w:t>
            </w:r>
            <w:r>
              <w:rPr>
                <w:color w:val="000000"/>
                <w:sz w:val="24"/>
                <w:szCs w:val="24"/>
              </w:rPr>
              <w:t>0</w:t>
            </w:r>
            <w:r>
              <w:rPr>
                <w:color w:val="000000"/>
                <w:sz w:val="24"/>
                <w:szCs w:val="24"/>
              </w:rPr>
              <w:t>b</w:t>
            </w:r>
          </w:p>
        </w:tc>
      </w:tr>
      <w:tr>
        <w:tblPrEx/>
        <w:trPr/>
        <w:tc>
          <w:tcPr>
            <w:tcW w:w="2203"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Chali</w:t>
            </w:r>
          </w:p>
        </w:tc>
        <w:tc>
          <w:tcPr>
            <w:tcW w:w="1274" w:type="pct"/>
            <w:tcBorders/>
          </w:tcPr>
          <w:p>
            <w:pPr>
              <w:pStyle w:val="style0"/>
              <w:spacing w:before="0" w:after="0" w:lineRule="auto" w:line="240"/>
              <w:jc w:val="left"/>
              <w:rPr>
                <w:rFonts w:cs="Times New Roman" w:eastAsia="Calibri"/>
                <w:sz w:val="24"/>
                <w:szCs w:val="24"/>
              </w:rPr>
            </w:pPr>
            <w:r>
              <w:rPr>
                <w:sz w:val="24"/>
                <w:szCs w:val="24"/>
              </w:rPr>
              <w:t>59.12</w:t>
            </w:r>
          </w:p>
        </w:tc>
        <w:tc>
          <w:tcPr>
            <w:tcW w:w="1523" w:type="pct"/>
            <w:tcBorders/>
            <w:vAlign w:val="bottom"/>
          </w:tcPr>
          <w:p>
            <w:pPr>
              <w:pStyle w:val="style0"/>
              <w:spacing w:before="0" w:after="0" w:lineRule="auto" w:line="240"/>
              <w:jc w:val="left"/>
              <w:rPr>
                <w:rFonts w:cs="Times New Roman" w:eastAsia="Calibri"/>
                <w:sz w:val="24"/>
                <w:szCs w:val="24"/>
              </w:rPr>
            </w:pPr>
            <w:r>
              <w:rPr>
                <w:color w:val="000000"/>
                <w:sz w:val="24"/>
                <w:szCs w:val="24"/>
              </w:rPr>
              <w:t>5.41a</w:t>
            </w:r>
          </w:p>
        </w:tc>
      </w:tr>
      <w:tr>
        <w:tblPrEx/>
        <w:trPr/>
        <w:tc>
          <w:tcPr>
            <w:tcW w:w="2203"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Gelilema</w:t>
            </w:r>
          </w:p>
        </w:tc>
        <w:tc>
          <w:tcPr>
            <w:tcW w:w="1274" w:type="pct"/>
            <w:tcBorders/>
          </w:tcPr>
          <w:p>
            <w:pPr>
              <w:pStyle w:val="style0"/>
              <w:spacing w:before="0" w:after="0" w:lineRule="auto" w:line="240"/>
              <w:jc w:val="left"/>
              <w:rPr>
                <w:rFonts w:cs="Times New Roman" w:eastAsia="Calibri"/>
                <w:sz w:val="24"/>
                <w:szCs w:val="24"/>
              </w:rPr>
            </w:pPr>
            <w:r>
              <w:rPr>
                <w:sz w:val="24"/>
                <w:szCs w:val="24"/>
              </w:rPr>
              <w:t>59.18</w:t>
            </w:r>
          </w:p>
        </w:tc>
        <w:tc>
          <w:tcPr>
            <w:tcW w:w="1523" w:type="pct"/>
            <w:tcBorders/>
            <w:vAlign w:val="bottom"/>
          </w:tcPr>
          <w:p>
            <w:pPr>
              <w:pStyle w:val="style0"/>
              <w:spacing w:before="0" w:after="0" w:lineRule="auto" w:line="240"/>
              <w:jc w:val="left"/>
              <w:rPr>
                <w:rFonts w:cs="Times New Roman" w:eastAsia="Calibri"/>
                <w:sz w:val="24"/>
                <w:szCs w:val="24"/>
              </w:rPr>
            </w:pPr>
            <w:r>
              <w:rPr>
                <w:color w:val="000000"/>
                <w:sz w:val="24"/>
                <w:szCs w:val="24"/>
              </w:rPr>
              <w:t>5.6</w:t>
            </w:r>
            <w:r>
              <w:rPr>
                <w:color w:val="000000"/>
                <w:sz w:val="24"/>
                <w:szCs w:val="24"/>
              </w:rPr>
              <w:t>0</w:t>
            </w:r>
            <w:r>
              <w:rPr>
                <w:color w:val="000000"/>
                <w:sz w:val="24"/>
                <w:szCs w:val="24"/>
              </w:rPr>
              <w:t>a</w:t>
            </w:r>
          </w:p>
        </w:tc>
      </w:tr>
      <w:tr>
        <w:tblPrEx/>
        <w:trPr/>
        <w:tc>
          <w:tcPr>
            <w:tcW w:w="2203" w:type="pct"/>
            <w:tcBorders>
              <w:bottom w:val="single" w:sz="4" w:space="0" w:color="auto"/>
            </w:tcBorders>
          </w:tcPr>
          <w:p>
            <w:pPr>
              <w:pStyle w:val="style0"/>
              <w:spacing w:before="0" w:after="0" w:lineRule="auto" w:line="240"/>
              <w:jc w:val="center"/>
              <w:rPr>
                <w:rFonts w:cs="Times New Roman" w:eastAsia="Calibri"/>
                <w:sz w:val="24"/>
                <w:szCs w:val="24"/>
              </w:rPr>
            </w:pPr>
            <w:r>
              <w:rPr>
                <w:rFonts w:cs="Times New Roman" w:eastAsia="Calibri"/>
                <w:sz w:val="24"/>
                <w:szCs w:val="24"/>
              </w:rPr>
              <w:t>LSD (5%)</w:t>
            </w:r>
          </w:p>
        </w:tc>
        <w:tc>
          <w:tcPr>
            <w:tcW w:w="1274" w:type="pct"/>
            <w:tcBorders>
              <w:bottom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NS</w:t>
            </w:r>
          </w:p>
        </w:tc>
        <w:tc>
          <w:tcPr>
            <w:tcW w:w="1523" w:type="pct"/>
            <w:tcBorders>
              <w:bottom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0.54</w:t>
            </w:r>
          </w:p>
        </w:tc>
      </w:tr>
      <w:tr>
        <w:tblPrEx/>
        <w:trPr/>
        <w:tc>
          <w:tcPr>
            <w:tcW w:w="2203" w:type="pct"/>
            <w:tcBorders>
              <w:top w:val="single" w:sz="4" w:space="0" w:color="auto"/>
              <w:bottom w:val="nil"/>
            </w:tcBorders>
          </w:tcPr>
          <w:p>
            <w:pPr>
              <w:pStyle w:val="style0"/>
              <w:spacing w:before="0" w:after="0" w:lineRule="auto" w:line="240"/>
              <w:jc w:val="left"/>
              <w:rPr>
                <w:rFonts w:cs="Times New Roman" w:eastAsia="Calibri"/>
                <w:sz w:val="24"/>
                <w:szCs w:val="24"/>
              </w:rPr>
            </w:pPr>
            <w:r>
              <w:rPr>
                <w:rFonts w:cs="Times New Roman" w:eastAsia="Calibri"/>
                <w:sz w:val="24"/>
                <w:szCs w:val="24"/>
              </w:rPr>
              <w:t>NPS fertilizer rates (kg ha</w:t>
            </w:r>
            <w:r>
              <w:rPr>
                <w:rFonts w:cs="Times New Roman" w:eastAsia="Calibri"/>
                <w:sz w:val="24"/>
                <w:szCs w:val="24"/>
                <w:vertAlign w:val="superscript"/>
              </w:rPr>
              <w:t>-1</w:t>
            </w:r>
            <w:r>
              <w:rPr>
                <w:rFonts w:cs="Times New Roman" w:eastAsia="Calibri"/>
                <w:sz w:val="24"/>
                <w:szCs w:val="24"/>
              </w:rPr>
              <w:t>)</w:t>
            </w:r>
          </w:p>
        </w:tc>
        <w:tc>
          <w:tcPr>
            <w:tcW w:w="1274" w:type="pct"/>
            <w:tcBorders>
              <w:top w:val="single" w:sz="4" w:space="0" w:color="auto"/>
              <w:bottom w:val="nil"/>
            </w:tcBorders>
          </w:tcPr>
          <w:p>
            <w:pPr>
              <w:pStyle w:val="style0"/>
              <w:spacing w:before="0" w:after="0" w:lineRule="auto" w:line="240"/>
              <w:jc w:val="left"/>
              <w:rPr>
                <w:rFonts w:cs="Times New Roman" w:eastAsia="Calibri"/>
                <w:sz w:val="24"/>
                <w:szCs w:val="24"/>
              </w:rPr>
            </w:pPr>
          </w:p>
        </w:tc>
        <w:tc>
          <w:tcPr>
            <w:tcW w:w="1523" w:type="pct"/>
            <w:tcBorders>
              <w:top w:val="single" w:sz="4" w:space="0" w:color="auto"/>
              <w:bottom w:val="nil"/>
            </w:tcBorders>
          </w:tcPr>
          <w:p>
            <w:pPr>
              <w:pStyle w:val="style0"/>
              <w:spacing w:before="0" w:after="0" w:lineRule="auto" w:line="240"/>
              <w:jc w:val="left"/>
              <w:rPr>
                <w:rFonts w:cs="Times New Roman" w:eastAsia="Calibri"/>
                <w:sz w:val="24"/>
                <w:szCs w:val="24"/>
              </w:rPr>
            </w:pPr>
          </w:p>
        </w:tc>
      </w:tr>
      <w:tr>
        <w:tblPrEx/>
        <w:trPr/>
        <w:tc>
          <w:tcPr>
            <w:tcW w:w="2203" w:type="pct"/>
            <w:tcBorders>
              <w:top w:val="nil"/>
            </w:tcBorders>
          </w:tcPr>
          <w:p>
            <w:pPr>
              <w:pStyle w:val="style0"/>
              <w:spacing w:before="0" w:after="0" w:lineRule="auto" w:line="240"/>
              <w:jc w:val="left"/>
              <w:rPr>
                <w:rFonts w:cs="Times New Roman" w:eastAsia="Calibri"/>
                <w:sz w:val="24"/>
                <w:szCs w:val="24"/>
              </w:rPr>
            </w:pPr>
            <w:r>
              <w:rPr>
                <w:rFonts w:cs="Times New Roman" w:eastAsia="Calibri"/>
                <w:sz w:val="24"/>
                <w:szCs w:val="24"/>
              </w:rPr>
              <w:t xml:space="preserve">N0  </w:t>
            </w:r>
          </w:p>
        </w:tc>
        <w:tc>
          <w:tcPr>
            <w:tcW w:w="1274" w:type="pct"/>
            <w:tcBorders>
              <w:top w:val="nil"/>
            </w:tcBorders>
          </w:tcPr>
          <w:p>
            <w:pPr>
              <w:pStyle w:val="style0"/>
              <w:spacing w:before="0" w:after="0" w:lineRule="auto" w:line="240"/>
              <w:jc w:val="left"/>
              <w:rPr>
                <w:rFonts w:cs="Times New Roman" w:eastAsia="Calibri"/>
                <w:sz w:val="24"/>
                <w:szCs w:val="24"/>
              </w:rPr>
            </w:pPr>
            <w:r>
              <w:rPr>
                <w:rFonts w:cs="Times New Roman" w:eastAsia="Calibri"/>
                <w:sz w:val="24"/>
                <w:szCs w:val="24"/>
              </w:rPr>
              <w:t>51.28e</w:t>
            </w:r>
          </w:p>
        </w:tc>
        <w:tc>
          <w:tcPr>
            <w:tcW w:w="1523" w:type="pct"/>
            <w:tcBorders>
              <w:top w:val="nil"/>
            </w:tcBorders>
            <w:vAlign w:val="bottom"/>
          </w:tcPr>
          <w:p>
            <w:pPr>
              <w:pStyle w:val="style0"/>
              <w:spacing w:before="0" w:after="0" w:lineRule="auto" w:line="240"/>
              <w:jc w:val="left"/>
              <w:rPr>
                <w:rFonts w:cs="Times New Roman" w:eastAsia="Calibri"/>
                <w:sz w:val="24"/>
                <w:szCs w:val="24"/>
              </w:rPr>
            </w:pPr>
            <w:r>
              <w:rPr>
                <w:color w:val="000000"/>
                <w:sz w:val="24"/>
                <w:szCs w:val="24"/>
              </w:rPr>
              <w:t>3.93c</w:t>
            </w:r>
          </w:p>
        </w:tc>
      </w:tr>
      <w:tr>
        <w:tblPrEx/>
        <w:trPr/>
        <w:tc>
          <w:tcPr>
            <w:tcW w:w="2203"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 xml:space="preserve">N50 </w:t>
            </w:r>
          </w:p>
        </w:tc>
        <w:tc>
          <w:tcPr>
            <w:tcW w:w="1274"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54.33d</w:t>
            </w:r>
          </w:p>
        </w:tc>
        <w:tc>
          <w:tcPr>
            <w:tcW w:w="1523" w:type="pct"/>
            <w:tcBorders/>
            <w:vAlign w:val="bottom"/>
          </w:tcPr>
          <w:p>
            <w:pPr>
              <w:pStyle w:val="style0"/>
              <w:spacing w:before="0" w:after="0" w:lineRule="auto" w:line="240"/>
              <w:jc w:val="left"/>
              <w:rPr>
                <w:rFonts w:cs="Times New Roman" w:eastAsia="Calibri"/>
                <w:sz w:val="24"/>
                <w:szCs w:val="24"/>
              </w:rPr>
            </w:pPr>
            <w:r>
              <w:rPr>
                <w:color w:val="000000"/>
                <w:sz w:val="24"/>
                <w:szCs w:val="24"/>
              </w:rPr>
              <w:t>4.43c</w:t>
            </w:r>
          </w:p>
        </w:tc>
      </w:tr>
      <w:tr>
        <w:tblPrEx/>
        <w:trPr/>
        <w:tc>
          <w:tcPr>
            <w:tcW w:w="2203"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N100</w:t>
            </w:r>
          </w:p>
        </w:tc>
        <w:tc>
          <w:tcPr>
            <w:tcW w:w="1274"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57.07c</w:t>
            </w:r>
          </w:p>
        </w:tc>
        <w:tc>
          <w:tcPr>
            <w:tcW w:w="1523" w:type="pct"/>
            <w:tcBorders/>
            <w:vAlign w:val="bottom"/>
          </w:tcPr>
          <w:p>
            <w:pPr>
              <w:pStyle w:val="style0"/>
              <w:spacing w:before="0" w:after="0" w:lineRule="auto" w:line="240"/>
              <w:jc w:val="left"/>
              <w:rPr>
                <w:rFonts w:cs="Times New Roman" w:eastAsia="Calibri"/>
                <w:sz w:val="24"/>
                <w:szCs w:val="24"/>
              </w:rPr>
            </w:pPr>
            <w:r>
              <w:rPr>
                <w:color w:val="000000"/>
                <w:sz w:val="24"/>
                <w:szCs w:val="24"/>
              </w:rPr>
              <w:t>5.22b</w:t>
            </w:r>
          </w:p>
        </w:tc>
      </w:tr>
      <w:tr>
        <w:tblPrEx/>
        <w:trPr/>
        <w:tc>
          <w:tcPr>
            <w:tcW w:w="2203"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N150</w:t>
            </w:r>
          </w:p>
        </w:tc>
        <w:tc>
          <w:tcPr>
            <w:tcW w:w="1274"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63.61b</w:t>
            </w:r>
          </w:p>
        </w:tc>
        <w:tc>
          <w:tcPr>
            <w:tcW w:w="1523" w:type="pct"/>
            <w:tcBorders/>
            <w:vAlign w:val="bottom"/>
          </w:tcPr>
          <w:p>
            <w:pPr>
              <w:pStyle w:val="style0"/>
              <w:spacing w:before="0" w:after="0" w:lineRule="auto" w:line="240"/>
              <w:jc w:val="left"/>
              <w:rPr>
                <w:rFonts w:cs="Times New Roman" w:eastAsia="Calibri"/>
                <w:sz w:val="24"/>
                <w:szCs w:val="24"/>
              </w:rPr>
            </w:pPr>
            <w:r>
              <w:rPr>
                <w:color w:val="000000"/>
                <w:sz w:val="24"/>
                <w:szCs w:val="24"/>
              </w:rPr>
              <w:t>5.3b</w:t>
            </w:r>
          </w:p>
        </w:tc>
      </w:tr>
      <w:tr>
        <w:tblPrEx/>
        <w:trPr/>
        <w:tc>
          <w:tcPr>
            <w:tcW w:w="2203"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N200</w:t>
            </w:r>
          </w:p>
        </w:tc>
        <w:tc>
          <w:tcPr>
            <w:tcW w:w="1274"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66.51a</w:t>
            </w:r>
          </w:p>
        </w:tc>
        <w:tc>
          <w:tcPr>
            <w:tcW w:w="1523" w:type="pct"/>
            <w:tcBorders/>
            <w:vAlign w:val="bottom"/>
          </w:tcPr>
          <w:p>
            <w:pPr>
              <w:pStyle w:val="style0"/>
              <w:spacing w:before="0" w:after="0" w:lineRule="auto" w:line="240"/>
              <w:jc w:val="left"/>
              <w:rPr>
                <w:rFonts w:cs="Times New Roman" w:eastAsia="Calibri"/>
                <w:sz w:val="24"/>
                <w:szCs w:val="24"/>
              </w:rPr>
            </w:pPr>
            <w:r>
              <w:rPr>
                <w:color w:val="000000"/>
                <w:sz w:val="24"/>
                <w:szCs w:val="24"/>
              </w:rPr>
              <w:t>6.3a</w:t>
            </w:r>
          </w:p>
        </w:tc>
      </w:tr>
      <w:tr>
        <w:tblPrEx/>
        <w:trPr/>
        <w:tc>
          <w:tcPr>
            <w:tcW w:w="2203" w:type="pct"/>
            <w:tcBorders/>
          </w:tcPr>
          <w:p>
            <w:pPr>
              <w:pStyle w:val="style0"/>
              <w:spacing w:before="0" w:after="0" w:lineRule="auto" w:line="240"/>
              <w:jc w:val="center"/>
              <w:rPr>
                <w:rFonts w:cs="Times New Roman" w:eastAsia="Calibri"/>
                <w:sz w:val="24"/>
                <w:szCs w:val="24"/>
              </w:rPr>
            </w:pPr>
            <w:r>
              <w:rPr>
                <w:rFonts w:cs="Times New Roman" w:eastAsia="Calibri"/>
                <w:sz w:val="24"/>
                <w:szCs w:val="24"/>
              </w:rPr>
              <w:t>LSD (5%)</w:t>
            </w:r>
          </w:p>
        </w:tc>
        <w:tc>
          <w:tcPr>
            <w:tcW w:w="1274"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2.26</w:t>
            </w:r>
          </w:p>
        </w:tc>
        <w:tc>
          <w:tcPr>
            <w:tcW w:w="1523"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0.72</w:t>
            </w:r>
          </w:p>
        </w:tc>
      </w:tr>
    </w:tbl>
    <w:p>
      <w:pPr>
        <w:pStyle w:val="style0"/>
        <w:spacing w:before="0" w:after="160" w:lineRule="auto" w:line="240"/>
        <w:rPr>
          <w:rFonts w:cs="Times New Roman" w:eastAsia="Calibri"/>
          <w:szCs w:val="24"/>
        </w:rPr>
      </w:pPr>
      <w:r>
        <w:rPr>
          <w:rFonts w:cs="Times New Roman" w:eastAsia="Calibri"/>
          <w:szCs w:val="24"/>
        </w:rPr>
        <w:t xml:space="preserve">Mean values followed by the same letter (s) within the column of each treatment are not significantly different from each other at </w:t>
      </w:r>
      <w:r>
        <w:rPr>
          <w:rFonts w:cs="Times New Roman" w:eastAsia="Calibri"/>
          <w:szCs w:val="24"/>
        </w:rPr>
        <w:t xml:space="preserve">the </w:t>
      </w:r>
      <w:r>
        <w:rPr>
          <w:rFonts w:cs="Times New Roman" w:eastAsia="Calibri"/>
          <w:szCs w:val="24"/>
        </w:rPr>
        <w:t>5% level of significance. LSD (5%): Least Significant Difference at P&lt;0.05.</w:t>
      </w:r>
      <w:r>
        <w:rPr>
          <w:rFonts w:cs="Times New Roman" w:eastAsia="Calibri"/>
          <w:szCs w:val="24"/>
        </w:rPr>
        <w:t xml:space="preserve"> NS: nons</w:t>
      </w:r>
      <w:r>
        <w:rPr>
          <w:rFonts w:cs="Times New Roman" w:eastAsia="Calibri"/>
          <w:szCs w:val="24"/>
        </w:rPr>
        <w:t>ignificant</w:t>
      </w:r>
    </w:p>
    <w:bookmarkStart w:id="43" w:name="_Toc178174258"/>
    <w:p>
      <w:pPr>
        <w:pStyle w:val="style2"/>
        <w:rPr/>
      </w:pPr>
      <w:r>
        <w:t xml:space="preserve">4.3. </w:t>
      </w:r>
      <w:r>
        <w:t>Yield and Yield-Related</w:t>
      </w:r>
      <w:r>
        <w:t xml:space="preserve"> </w:t>
      </w:r>
      <w:r>
        <w:t>Parameters</w:t>
      </w:r>
      <w:bookmarkEnd w:id="43"/>
    </w:p>
    <w:bookmarkStart w:id="44" w:name="_Toc178174259"/>
    <w:p>
      <w:pPr>
        <w:pStyle w:val="style3"/>
        <w:rPr>
          <w:rFonts w:eastAsia="Calibri"/>
        </w:rPr>
      </w:pPr>
      <w:r>
        <w:rPr>
          <w:rFonts w:eastAsia="Calibri"/>
        </w:rPr>
        <w:t xml:space="preserve">4.3.1. </w:t>
      </w:r>
      <w:r>
        <w:rPr>
          <w:rFonts w:eastAsia="Calibri"/>
        </w:rPr>
        <w:t>Marketable fruit yield</w:t>
      </w:r>
      <w:bookmarkEnd w:id="44"/>
    </w:p>
    <w:p>
      <w:pPr>
        <w:pStyle w:val="style0"/>
        <w:spacing w:before="0" w:after="120"/>
        <w:rPr/>
      </w:pPr>
      <w:r>
        <w:t>The analysis of variance indicated that the marketable fruit yield was significantly influenced (p&lt;0.05) by the main effects of NPS fertilizer and variety, but not by their interaction (Appendix Table 2). The highest marketable fruit yield</w:t>
      </w:r>
      <w:r>
        <w:t xml:space="preserve"> (</w:t>
      </w:r>
      <w:r>
        <w:t>40.03</w:t>
      </w:r>
      <w:r>
        <w:t xml:space="preserve"> </w:t>
      </w:r>
      <w:r>
        <w:t>t ha</w:t>
      </w:r>
      <w:r>
        <w:rPr>
          <w:vertAlign w:val="superscript"/>
        </w:rPr>
        <w:t>-1</w:t>
      </w:r>
      <w:r>
        <w:t>)</w:t>
      </w:r>
      <w:r>
        <w:t xml:space="preserve"> was observed in the </w:t>
      </w:r>
      <w:r>
        <w:t>Gelilema</w:t>
      </w:r>
      <w:r>
        <w:t xml:space="preserve"> variety, </w:t>
      </w:r>
      <w:r>
        <w:t xml:space="preserve">while the </w:t>
      </w:r>
      <w:r>
        <w:t>Chali</w:t>
      </w:r>
      <w:r>
        <w:t xml:space="preserve"> and </w:t>
      </w:r>
      <w:r>
        <w:t>Cochoro</w:t>
      </w:r>
      <w:r>
        <w:t xml:space="preserve"> varieties produced the lowest yields, with no significant difference between them</w:t>
      </w:r>
      <w:r>
        <w:t xml:space="preserve"> </w:t>
      </w:r>
      <w:r>
        <w:t>(Table 3).</w:t>
      </w:r>
      <w:r>
        <w:t xml:space="preserve"> These findings are consistent with </w:t>
      </w:r>
      <w:r>
        <w:t>Habtie</w:t>
      </w:r>
      <w:r>
        <w:t xml:space="preserve"> (2022), who also reported that the </w:t>
      </w:r>
      <w:r>
        <w:t>Gelilema</w:t>
      </w:r>
      <w:r>
        <w:t xml:space="preserve"> variety had a superior marketable fruit yield compared to </w:t>
      </w:r>
      <w:r>
        <w:t>Chali</w:t>
      </w:r>
      <w:r>
        <w:t xml:space="preserve"> and </w:t>
      </w:r>
      <w:r>
        <w:t>Cochoro</w:t>
      </w:r>
      <w:r>
        <w:t>.</w:t>
      </w:r>
    </w:p>
    <w:p>
      <w:pPr>
        <w:pStyle w:val="style0"/>
        <w:spacing w:after="120"/>
        <w:rPr/>
      </w:pPr>
      <w:r>
        <w:t>The highest marketable fruit yield, 42.76 t ha⁻¹, was achieved with the application of 150 kg ha⁻¹ NPS fertilizer, with no significant yield difference compared to the 40.98 t ha⁻¹ yield at the 200 kg ha⁻¹ NPS fertilizer rate.</w:t>
      </w:r>
      <w:r>
        <w:t xml:space="preserve"> In contrast, the lowest yield, 27.07 t ha⁻¹, was recorded from plants that did not receive NPS fertilizer, which was not significantly different from the yield of plants that received 50 kg ha⁻¹ NPS fertilizer (Table 3). The increased </w:t>
      </w:r>
      <w:r>
        <w:t xml:space="preserve">marketable fruit yield </w:t>
      </w:r>
      <w:r>
        <w:t>can be attributed to the adequate supply of nutrients (N, P, and S) from higher rates of NPS fertilizer, resulting in higher fruit yields. These findings align with previous studies, which have shown that nutrient supply from both organic and inorganic fertilizers enhances plant growth and development, thereby increasing tomato yields</w:t>
      </w:r>
      <w:r>
        <w:t xml:space="preserve"> (</w:t>
      </w:r>
      <w:r>
        <w:t>Bekbayeva</w:t>
      </w:r>
      <w:r>
        <w:t xml:space="preserve"> </w:t>
      </w:r>
      <w:r>
        <w:rPr>
          <w:i/>
          <w:iCs/>
        </w:rPr>
        <w:t>et al</w:t>
      </w:r>
      <w:r>
        <w:t xml:space="preserve">., 2021; Nishat </w:t>
      </w:r>
      <w:r>
        <w:rPr>
          <w:i/>
          <w:iCs/>
        </w:rPr>
        <w:t>et al</w:t>
      </w:r>
      <w:r>
        <w:t>., 2021</w:t>
      </w:r>
      <w:r>
        <w:t xml:space="preserve">; </w:t>
      </w:r>
      <w:r>
        <w:t>Zhang</w:t>
      </w:r>
      <w:r>
        <w:t xml:space="preserve"> </w:t>
      </w:r>
      <w:r>
        <w:rPr>
          <w:i/>
          <w:iCs/>
        </w:rPr>
        <w:t>et al.</w:t>
      </w:r>
      <w:r>
        <w:t>, 2024)</w:t>
      </w:r>
      <w:r>
        <w:t>.</w:t>
      </w:r>
    </w:p>
    <w:bookmarkStart w:id="45" w:name="_Toc178174260"/>
    <w:p>
      <w:pPr>
        <w:pStyle w:val="style3"/>
        <w:rPr/>
      </w:pPr>
      <w:r>
        <w:t xml:space="preserve">4.3.2. </w:t>
      </w:r>
      <w:r>
        <w:t>Unmarketable fruit yield</w:t>
      </w:r>
      <w:bookmarkEnd w:id="45"/>
    </w:p>
    <w:p>
      <w:pPr>
        <w:pStyle w:val="style0"/>
        <w:spacing w:before="0" w:after="120"/>
        <w:rPr/>
      </w:pPr>
      <w:r>
        <w:t>The analysis of variance showed that unmarketable fruit yield was significantly influenced by the main effect of</w:t>
      </w:r>
      <w:r>
        <w:t xml:space="preserve"> </w:t>
      </w:r>
      <w:r>
        <w:t>variety</w:t>
      </w:r>
      <w:r>
        <w:t xml:space="preserve"> and</w:t>
      </w:r>
      <w:r>
        <w:t xml:space="preserve"> NPS fertilizer (p&lt;0.05), but not the interaction between the two main effects (Appendix Table 2). This finding aligns with Awoke </w:t>
      </w:r>
      <w:r>
        <w:rPr>
          <w:i/>
          <w:iCs/>
        </w:rPr>
        <w:t>et al</w:t>
      </w:r>
      <w:r>
        <w:t xml:space="preserve">. (2021), who reported that the main effect of </w:t>
      </w:r>
      <w:r>
        <w:t xml:space="preserve">variety </w:t>
      </w:r>
      <w:r>
        <w:t xml:space="preserve">and </w:t>
      </w:r>
      <w:r>
        <w:t>NPS fertilizer significantly impacted yield components, including unmarketable fruit yield, in hot pepper varieties in Southern Ethiopia, without significant interaction effects between fertilizer rates.</w:t>
      </w:r>
    </w:p>
    <w:p>
      <w:pPr>
        <w:pStyle w:val="style0"/>
        <w:spacing w:after="120"/>
        <w:rPr/>
      </w:pPr>
      <w:r>
        <w:t xml:space="preserve">The highest unmarketable fruit yield, </w:t>
      </w:r>
      <w:r>
        <w:t>7.30</w:t>
      </w:r>
      <w:r>
        <w:t xml:space="preserve"> t ha⁻¹, was achieved with the application of </w:t>
      </w:r>
      <w:r>
        <w:t>20</w:t>
      </w:r>
      <w:r>
        <w:t>0 kg ha⁻¹ NPS fertilizer</w:t>
      </w:r>
      <w:r>
        <w:t xml:space="preserve"> This yield was not significantly different from the yield obtained with 150 kg ha⁻¹ NPS fertilizer.</w:t>
      </w:r>
      <w:r>
        <w:t xml:space="preserve"> In contrast, the lowest yield, 3.32 t ha⁻¹, was recorded from plants that did not receive NPS fertilizer, which was not significantly different from the yield of plants that received 50 kg ha⁻¹ NPS fertilizer (Table 3). Similar results were also reported by Ger </w:t>
      </w:r>
      <w:r>
        <w:rPr>
          <w:i/>
          <w:iCs/>
        </w:rPr>
        <w:t>et al</w:t>
      </w:r>
      <w:r>
        <w:t xml:space="preserve">. (2024), who found that the highest unmarketable fruit yield was obtained with the application of </w:t>
      </w:r>
      <w:r>
        <w:t>20</w:t>
      </w:r>
      <w:r>
        <w:t>0 kg ha⁻¹ NPS fertilizer.</w:t>
      </w:r>
    </w:p>
    <w:p>
      <w:pPr>
        <w:pStyle w:val="style0"/>
        <w:spacing w:after="120"/>
        <w:rPr/>
      </w:pPr>
    </w:p>
    <w:p>
      <w:pPr>
        <w:pStyle w:val="style0"/>
        <w:spacing w:after="120"/>
        <w:rPr/>
      </w:pPr>
    </w:p>
    <w:bookmarkStart w:id="46" w:name="_Toc178174302"/>
    <w:p>
      <w:pPr>
        <w:pStyle w:val="style34"/>
        <w:rPr/>
      </w:pPr>
      <w:r>
        <w:t xml:space="preserve">Table </w:t>
      </w:r>
      <w:r>
        <w:rPr/>
        <w:fldChar w:fldCharType="begin"/>
      </w:r>
      <w:r>
        <w:instrText xml:space="preserve"> SEQ Table \* ARABIC </w:instrText>
      </w:r>
      <w:r>
        <w:rPr/>
        <w:fldChar w:fldCharType="separate"/>
      </w:r>
      <w:r>
        <w:rPr>
          <w:noProof/>
        </w:rPr>
        <w:t>3</w:t>
      </w:r>
      <w:r>
        <w:rPr>
          <w:noProof/>
        </w:rPr>
        <w:fldChar w:fldCharType="end"/>
      </w:r>
      <w:r>
        <w:t>. Effect of varieties and application of NPS fertilizer rates on marketable fruit yield (t ha</w:t>
      </w:r>
      <w:r>
        <w:rPr>
          <w:vertAlign w:val="superscript"/>
        </w:rPr>
        <w:t>-1</w:t>
      </w:r>
      <w:r>
        <w:t xml:space="preserve">), </w:t>
      </w:r>
      <w:r>
        <w:t xml:space="preserve">and </w:t>
      </w:r>
      <w:r>
        <w:t>unmarketable fruit yield (t ha</w:t>
      </w:r>
      <w:r>
        <w:rPr>
          <w:vertAlign w:val="superscript"/>
        </w:rPr>
        <w:t>-1</w:t>
      </w:r>
      <w:r>
        <w:t>)</w:t>
      </w:r>
      <w:r>
        <w:t xml:space="preserve"> </w:t>
      </w:r>
      <w:r>
        <w:t xml:space="preserve">of tomato at </w:t>
      </w:r>
      <w:r>
        <w:t>Gursum</w:t>
      </w:r>
      <w:r>
        <w:t xml:space="preserve"> in 2023.</w:t>
      </w:r>
      <w:bookmarkEnd w:id="46"/>
    </w:p>
    <w:tbl>
      <w:tblPr>
        <w:tblStyle w:val="style41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2685"/>
        <w:gridCol w:w="2683"/>
      </w:tblGrid>
      <w:tr>
        <w:trPr/>
        <w:tc>
          <w:tcPr>
            <w:tcW w:w="2197" w:type="pct"/>
            <w:tcBorders>
              <w:bottom w:val="nil"/>
            </w:tcBorders>
          </w:tcPr>
          <w:p>
            <w:pPr>
              <w:pStyle w:val="style0"/>
              <w:spacing w:before="0" w:after="0" w:lineRule="auto" w:line="240"/>
              <w:jc w:val="left"/>
              <w:rPr>
                <w:rFonts w:cs="Times New Roman" w:eastAsia="Calibri"/>
                <w:sz w:val="24"/>
                <w:szCs w:val="24"/>
              </w:rPr>
            </w:pPr>
            <w:r>
              <w:rPr>
                <w:rFonts w:cs="Times New Roman" w:eastAsia="Calibri"/>
                <w:sz w:val="24"/>
                <w:szCs w:val="24"/>
              </w:rPr>
              <w:t xml:space="preserve">Variety </w:t>
            </w:r>
          </w:p>
        </w:tc>
        <w:tc>
          <w:tcPr>
            <w:tcW w:w="1402" w:type="pct"/>
            <w:tcBorders>
              <w:bottom w:val="nil"/>
            </w:tcBorders>
          </w:tcPr>
          <w:p>
            <w:pPr>
              <w:pStyle w:val="style0"/>
              <w:spacing w:before="0" w:after="0" w:lineRule="auto" w:line="240"/>
              <w:jc w:val="left"/>
              <w:rPr>
                <w:rFonts w:cs="Times New Roman" w:eastAsia="Calibri"/>
                <w:sz w:val="24"/>
                <w:szCs w:val="24"/>
              </w:rPr>
            </w:pPr>
            <w:r>
              <w:rPr>
                <w:rFonts w:cs="Times New Roman" w:eastAsia="Calibri"/>
                <w:sz w:val="24"/>
                <w:szCs w:val="24"/>
              </w:rPr>
              <w:t>Marketable fruit yield (t ha</w:t>
            </w:r>
            <w:r>
              <w:rPr>
                <w:rFonts w:cs="Times New Roman" w:eastAsia="Calibri"/>
                <w:sz w:val="24"/>
                <w:szCs w:val="24"/>
                <w:vertAlign w:val="superscript"/>
              </w:rPr>
              <w:t>-1</w:t>
            </w:r>
            <w:r>
              <w:rPr>
                <w:rFonts w:cs="Times New Roman" w:eastAsia="Calibri"/>
                <w:sz w:val="24"/>
                <w:szCs w:val="24"/>
              </w:rPr>
              <w:t>)</w:t>
            </w:r>
          </w:p>
          <w:bookmarkStart w:id="47" w:name="_Hlk177061747"/>
        </w:tc>
        <w:tc>
          <w:tcPr>
            <w:tcW w:w="1401" w:type="pct"/>
            <w:tcBorders>
              <w:bottom w:val="nil"/>
            </w:tcBorders>
          </w:tcPr>
          <w:p>
            <w:pPr>
              <w:pStyle w:val="style0"/>
              <w:spacing w:before="0" w:after="0" w:lineRule="auto" w:line="240"/>
              <w:jc w:val="left"/>
              <w:rPr>
                <w:rFonts w:cs="Times New Roman" w:eastAsia="Calibri"/>
                <w:sz w:val="24"/>
                <w:szCs w:val="24"/>
              </w:rPr>
            </w:pPr>
            <w:r>
              <w:rPr>
                <w:rFonts w:cs="Times New Roman" w:eastAsia="Calibri"/>
                <w:sz w:val="24"/>
                <w:szCs w:val="24"/>
              </w:rPr>
              <w:t>Unmarketable fruit yield (t ha</w:t>
            </w:r>
            <w:r>
              <w:rPr>
                <w:rFonts w:cs="Times New Roman" w:eastAsia="Calibri"/>
                <w:sz w:val="24"/>
                <w:szCs w:val="24"/>
                <w:vertAlign w:val="superscript"/>
              </w:rPr>
              <w:t>-1</w:t>
            </w:r>
            <w:r>
              <w:rPr>
                <w:rFonts w:cs="Times New Roman" w:eastAsia="Calibri"/>
                <w:sz w:val="24"/>
                <w:szCs w:val="24"/>
              </w:rPr>
              <w:t>)</w:t>
            </w:r>
            <w:bookmarkEnd w:id="47"/>
          </w:p>
        </w:tc>
      </w:tr>
      <w:tr>
        <w:tblPrEx/>
        <w:trPr/>
        <w:tc>
          <w:tcPr>
            <w:tcW w:w="2197" w:type="pct"/>
            <w:tcBorders>
              <w:top w:val="nil"/>
              <w:bottom w:val="nil"/>
            </w:tcBorders>
          </w:tcPr>
          <w:p>
            <w:pPr>
              <w:pStyle w:val="style0"/>
              <w:spacing w:before="0" w:after="0" w:lineRule="auto" w:line="240"/>
              <w:jc w:val="left"/>
              <w:rPr>
                <w:rFonts w:cs="Times New Roman" w:eastAsia="Calibri"/>
                <w:sz w:val="24"/>
                <w:szCs w:val="24"/>
              </w:rPr>
            </w:pPr>
            <w:r>
              <w:rPr>
                <w:rFonts w:cs="Times New Roman" w:eastAsia="Calibri"/>
                <w:sz w:val="24"/>
                <w:szCs w:val="24"/>
              </w:rPr>
              <w:t>Cochoro</w:t>
            </w:r>
          </w:p>
        </w:tc>
        <w:tc>
          <w:tcPr>
            <w:tcW w:w="1402" w:type="pct"/>
            <w:tcBorders>
              <w:top w:val="nil"/>
              <w:bottom w:val="nil"/>
            </w:tcBorders>
            <w:vAlign w:val="bottom"/>
          </w:tcPr>
          <w:p>
            <w:pPr>
              <w:pStyle w:val="style0"/>
              <w:spacing w:before="0" w:after="0" w:lineRule="auto" w:line="240"/>
              <w:jc w:val="left"/>
              <w:rPr>
                <w:rFonts w:cs="Times New Roman" w:eastAsia="Calibri"/>
                <w:sz w:val="24"/>
                <w:szCs w:val="24"/>
              </w:rPr>
            </w:pPr>
            <w:r>
              <w:rPr>
                <w:color w:val="000000"/>
                <w:sz w:val="24"/>
                <w:szCs w:val="24"/>
              </w:rPr>
              <w:t>31.46c</w:t>
            </w:r>
          </w:p>
        </w:tc>
        <w:tc>
          <w:tcPr>
            <w:tcW w:w="1401" w:type="pct"/>
            <w:tcBorders>
              <w:top w:val="nil"/>
              <w:bottom w:val="nil"/>
            </w:tcBorders>
            <w:vAlign w:val="bottom"/>
          </w:tcPr>
          <w:p>
            <w:pPr>
              <w:pStyle w:val="style0"/>
              <w:spacing w:before="0" w:after="0" w:lineRule="auto" w:line="240"/>
              <w:jc w:val="left"/>
              <w:rPr>
                <w:rFonts w:cs="Times New Roman" w:eastAsia="Calibri"/>
                <w:sz w:val="24"/>
                <w:szCs w:val="24"/>
              </w:rPr>
            </w:pPr>
            <w:r>
              <w:rPr>
                <w:color w:val="000000"/>
                <w:sz w:val="24"/>
                <w:szCs w:val="24"/>
              </w:rPr>
              <w:t>4.96b</w:t>
            </w:r>
          </w:p>
        </w:tc>
      </w:tr>
      <w:tr>
        <w:tblPrEx/>
        <w:trPr/>
        <w:tc>
          <w:tcPr>
            <w:tcW w:w="2197" w:type="pct"/>
            <w:tcBorders>
              <w:top w:val="nil"/>
              <w:bottom w:val="nil"/>
            </w:tcBorders>
          </w:tcPr>
          <w:p>
            <w:pPr>
              <w:pStyle w:val="style0"/>
              <w:spacing w:before="0" w:after="0" w:lineRule="auto" w:line="240"/>
              <w:jc w:val="left"/>
              <w:rPr>
                <w:rFonts w:cs="Times New Roman" w:eastAsia="Calibri"/>
                <w:sz w:val="24"/>
                <w:szCs w:val="24"/>
              </w:rPr>
            </w:pPr>
            <w:r>
              <w:rPr>
                <w:rFonts w:cs="Times New Roman" w:eastAsia="Calibri"/>
                <w:sz w:val="24"/>
                <w:szCs w:val="24"/>
              </w:rPr>
              <w:t>Chali</w:t>
            </w:r>
          </w:p>
        </w:tc>
        <w:tc>
          <w:tcPr>
            <w:tcW w:w="1402" w:type="pct"/>
            <w:tcBorders>
              <w:top w:val="nil"/>
              <w:bottom w:val="nil"/>
            </w:tcBorders>
            <w:vAlign w:val="bottom"/>
          </w:tcPr>
          <w:p>
            <w:pPr>
              <w:pStyle w:val="style0"/>
              <w:spacing w:before="0" w:after="0" w:lineRule="auto" w:line="240"/>
              <w:jc w:val="left"/>
              <w:rPr>
                <w:rFonts w:cs="Times New Roman" w:eastAsia="Calibri"/>
                <w:sz w:val="24"/>
                <w:szCs w:val="24"/>
              </w:rPr>
            </w:pPr>
            <w:r>
              <w:rPr>
                <w:color w:val="000000"/>
                <w:sz w:val="24"/>
                <w:szCs w:val="24"/>
              </w:rPr>
              <w:t>34.71b</w:t>
            </w:r>
          </w:p>
        </w:tc>
        <w:tc>
          <w:tcPr>
            <w:tcW w:w="1401" w:type="pct"/>
            <w:tcBorders>
              <w:top w:val="nil"/>
              <w:bottom w:val="nil"/>
            </w:tcBorders>
            <w:vAlign w:val="bottom"/>
          </w:tcPr>
          <w:p>
            <w:pPr>
              <w:pStyle w:val="style0"/>
              <w:spacing w:before="0" w:after="0" w:lineRule="auto" w:line="240"/>
              <w:jc w:val="left"/>
              <w:rPr>
                <w:rFonts w:cs="Times New Roman" w:eastAsia="Calibri"/>
                <w:sz w:val="24"/>
                <w:szCs w:val="24"/>
              </w:rPr>
            </w:pPr>
            <w:r>
              <w:rPr>
                <w:color w:val="000000"/>
                <w:sz w:val="24"/>
                <w:szCs w:val="24"/>
              </w:rPr>
              <w:t>5.1674ab</w:t>
            </w:r>
          </w:p>
        </w:tc>
      </w:tr>
      <w:tr>
        <w:tblPrEx/>
        <w:trPr/>
        <w:tc>
          <w:tcPr>
            <w:tcW w:w="2197" w:type="pct"/>
            <w:tcBorders>
              <w:top w:val="nil"/>
              <w:bottom w:val="nil"/>
            </w:tcBorders>
          </w:tcPr>
          <w:p>
            <w:pPr>
              <w:pStyle w:val="style0"/>
              <w:spacing w:before="0" w:after="0" w:lineRule="auto" w:line="240"/>
              <w:jc w:val="left"/>
              <w:rPr>
                <w:rFonts w:cs="Times New Roman" w:eastAsia="Calibri"/>
                <w:sz w:val="24"/>
                <w:szCs w:val="24"/>
              </w:rPr>
            </w:pPr>
            <w:r>
              <w:rPr>
                <w:rFonts w:cs="Times New Roman" w:eastAsia="Calibri"/>
                <w:sz w:val="24"/>
                <w:szCs w:val="24"/>
              </w:rPr>
              <w:t>Gelilema</w:t>
            </w:r>
          </w:p>
        </w:tc>
        <w:tc>
          <w:tcPr>
            <w:tcW w:w="1402" w:type="pct"/>
            <w:tcBorders>
              <w:top w:val="nil"/>
              <w:bottom w:val="nil"/>
            </w:tcBorders>
            <w:vAlign w:val="bottom"/>
          </w:tcPr>
          <w:p>
            <w:pPr>
              <w:pStyle w:val="style0"/>
              <w:spacing w:before="0" w:after="0" w:lineRule="auto" w:line="240"/>
              <w:jc w:val="left"/>
              <w:rPr>
                <w:rFonts w:cs="Times New Roman" w:eastAsia="Calibri"/>
                <w:sz w:val="24"/>
                <w:szCs w:val="24"/>
              </w:rPr>
            </w:pPr>
            <w:r>
              <w:rPr>
                <w:color w:val="000000"/>
                <w:sz w:val="24"/>
                <w:szCs w:val="24"/>
              </w:rPr>
              <w:t>40.03a</w:t>
            </w:r>
          </w:p>
        </w:tc>
        <w:tc>
          <w:tcPr>
            <w:tcW w:w="1401" w:type="pct"/>
            <w:tcBorders>
              <w:top w:val="nil"/>
              <w:bottom w:val="nil"/>
            </w:tcBorders>
            <w:vAlign w:val="bottom"/>
          </w:tcPr>
          <w:p>
            <w:pPr>
              <w:pStyle w:val="style0"/>
              <w:spacing w:before="0" w:after="0" w:lineRule="auto" w:line="240"/>
              <w:jc w:val="left"/>
              <w:rPr>
                <w:rFonts w:cs="Times New Roman" w:eastAsia="Calibri"/>
                <w:sz w:val="24"/>
                <w:szCs w:val="24"/>
              </w:rPr>
            </w:pPr>
            <w:r>
              <w:rPr>
                <w:color w:val="000000"/>
                <w:sz w:val="24"/>
                <w:szCs w:val="24"/>
              </w:rPr>
              <w:t>5.9259a</w:t>
            </w:r>
          </w:p>
        </w:tc>
      </w:tr>
      <w:tr>
        <w:tblPrEx/>
        <w:trPr/>
        <w:tc>
          <w:tcPr>
            <w:tcW w:w="2197" w:type="pct"/>
            <w:tcBorders>
              <w:top w:val="nil"/>
              <w:bottom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LSD (5%)</w:t>
            </w:r>
          </w:p>
        </w:tc>
        <w:tc>
          <w:tcPr>
            <w:tcW w:w="1402" w:type="pct"/>
            <w:tcBorders>
              <w:top w:val="nil"/>
              <w:bottom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3.24</w:t>
            </w:r>
          </w:p>
        </w:tc>
        <w:tc>
          <w:tcPr>
            <w:tcW w:w="1401" w:type="pct"/>
            <w:tcBorders>
              <w:top w:val="nil"/>
              <w:bottom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0.78</w:t>
            </w:r>
          </w:p>
        </w:tc>
      </w:tr>
      <w:tr>
        <w:tblPrEx/>
        <w:trPr/>
        <w:tc>
          <w:tcPr>
            <w:tcW w:w="2197" w:type="pct"/>
            <w:tcBorders>
              <w:top w:val="single" w:sz="4" w:space="0" w:color="auto"/>
            </w:tcBorders>
          </w:tcPr>
          <w:p>
            <w:pPr>
              <w:pStyle w:val="style0"/>
              <w:spacing w:before="0" w:after="0" w:lineRule="auto" w:line="240"/>
              <w:jc w:val="left"/>
              <w:rPr>
                <w:rFonts w:cs="Times New Roman" w:eastAsia="Calibri"/>
                <w:sz w:val="24"/>
                <w:szCs w:val="24"/>
              </w:rPr>
            </w:pPr>
            <w:r>
              <w:rPr>
                <w:rFonts w:cs="Times New Roman" w:eastAsia="Calibri"/>
                <w:sz w:val="24"/>
                <w:szCs w:val="24"/>
              </w:rPr>
              <w:t>NPS fertilizer rates (kg ha</w:t>
            </w:r>
            <w:r>
              <w:rPr>
                <w:rFonts w:cs="Times New Roman" w:eastAsia="Calibri"/>
                <w:sz w:val="24"/>
                <w:szCs w:val="24"/>
                <w:vertAlign w:val="superscript"/>
              </w:rPr>
              <w:t>-1</w:t>
            </w:r>
            <w:r>
              <w:rPr>
                <w:rFonts w:cs="Times New Roman" w:eastAsia="Calibri"/>
                <w:sz w:val="24"/>
                <w:szCs w:val="24"/>
              </w:rPr>
              <w:t>)</w:t>
            </w:r>
          </w:p>
        </w:tc>
        <w:tc>
          <w:tcPr>
            <w:tcW w:w="1402" w:type="pct"/>
            <w:tcBorders>
              <w:top w:val="single" w:sz="4" w:space="0" w:color="auto"/>
            </w:tcBorders>
          </w:tcPr>
          <w:p>
            <w:pPr>
              <w:pStyle w:val="style0"/>
              <w:spacing w:before="0" w:after="0" w:lineRule="auto" w:line="240"/>
              <w:jc w:val="left"/>
              <w:rPr>
                <w:rFonts w:cs="Times New Roman" w:eastAsia="Calibri"/>
                <w:sz w:val="24"/>
                <w:szCs w:val="24"/>
              </w:rPr>
            </w:pPr>
          </w:p>
        </w:tc>
        <w:tc>
          <w:tcPr>
            <w:tcW w:w="1401" w:type="pct"/>
            <w:tcBorders>
              <w:top w:val="single" w:sz="4" w:space="0" w:color="auto"/>
            </w:tcBorders>
          </w:tcPr>
          <w:p>
            <w:pPr>
              <w:pStyle w:val="style0"/>
              <w:spacing w:before="0" w:after="0" w:lineRule="auto" w:line="240"/>
              <w:jc w:val="left"/>
              <w:rPr>
                <w:rFonts w:cs="Times New Roman" w:eastAsia="Calibri"/>
                <w:sz w:val="24"/>
                <w:szCs w:val="24"/>
              </w:rPr>
            </w:pPr>
          </w:p>
        </w:tc>
      </w:tr>
      <w:tr>
        <w:tblPrEx/>
        <w:trPr/>
        <w:tc>
          <w:tcPr>
            <w:tcW w:w="2197"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 xml:space="preserve">N0  </w:t>
            </w:r>
          </w:p>
        </w:tc>
        <w:tc>
          <w:tcPr>
            <w:tcW w:w="1402" w:type="pct"/>
            <w:tcBorders/>
            <w:vAlign w:val="bottom"/>
          </w:tcPr>
          <w:p>
            <w:pPr>
              <w:pStyle w:val="style0"/>
              <w:spacing w:before="0" w:after="0" w:lineRule="auto" w:line="240"/>
              <w:jc w:val="left"/>
              <w:rPr>
                <w:rFonts w:cs="Times New Roman" w:eastAsia="Calibri"/>
                <w:sz w:val="24"/>
                <w:szCs w:val="24"/>
              </w:rPr>
            </w:pPr>
            <w:r>
              <w:rPr>
                <w:color w:val="000000"/>
                <w:sz w:val="24"/>
                <w:szCs w:val="24"/>
              </w:rPr>
              <w:t>27.04c</w:t>
            </w:r>
          </w:p>
        </w:tc>
        <w:tc>
          <w:tcPr>
            <w:tcW w:w="1401" w:type="pct"/>
            <w:tcBorders/>
            <w:vAlign w:val="bottom"/>
          </w:tcPr>
          <w:p>
            <w:pPr>
              <w:pStyle w:val="style0"/>
              <w:spacing w:before="0" w:after="0" w:lineRule="auto" w:line="240"/>
              <w:jc w:val="left"/>
              <w:rPr>
                <w:rFonts w:cs="Times New Roman" w:eastAsia="Calibri"/>
                <w:sz w:val="24"/>
                <w:szCs w:val="24"/>
              </w:rPr>
            </w:pPr>
            <w:r>
              <w:rPr>
                <w:color w:val="000000"/>
                <w:sz w:val="24"/>
                <w:szCs w:val="24"/>
              </w:rPr>
              <w:t>3.32c</w:t>
            </w:r>
          </w:p>
        </w:tc>
      </w:tr>
      <w:tr>
        <w:tblPrEx/>
        <w:trPr/>
        <w:tc>
          <w:tcPr>
            <w:tcW w:w="2197"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 xml:space="preserve">N50 </w:t>
            </w:r>
          </w:p>
        </w:tc>
        <w:tc>
          <w:tcPr>
            <w:tcW w:w="1402" w:type="pct"/>
            <w:tcBorders/>
            <w:vAlign w:val="bottom"/>
          </w:tcPr>
          <w:p>
            <w:pPr>
              <w:pStyle w:val="style0"/>
              <w:spacing w:before="0" w:after="0" w:lineRule="auto" w:line="240"/>
              <w:jc w:val="left"/>
              <w:rPr>
                <w:rFonts w:cs="Times New Roman" w:eastAsia="Calibri"/>
                <w:sz w:val="24"/>
                <w:szCs w:val="24"/>
              </w:rPr>
            </w:pPr>
            <w:r>
              <w:rPr>
                <w:color w:val="000000"/>
                <w:sz w:val="24"/>
                <w:szCs w:val="24"/>
              </w:rPr>
              <w:t>30.10c</w:t>
            </w:r>
          </w:p>
        </w:tc>
        <w:tc>
          <w:tcPr>
            <w:tcW w:w="1401" w:type="pct"/>
            <w:tcBorders/>
            <w:vAlign w:val="bottom"/>
          </w:tcPr>
          <w:p>
            <w:pPr>
              <w:pStyle w:val="style0"/>
              <w:spacing w:before="0" w:after="0" w:lineRule="auto" w:line="240"/>
              <w:jc w:val="left"/>
              <w:rPr>
                <w:rFonts w:cs="Times New Roman" w:eastAsia="Calibri"/>
                <w:sz w:val="24"/>
                <w:szCs w:val="24"/>
              </w:rPr>
            </w:pPr>
            <w:r>
              <w:rPr>
                <w:color w:val="000000"/>
                <w:sz w:val="24"/>
                <w:szCs w:val="24"/>
              </w:rPr>
              <w:t>3.86c</w:t>
            </w:r>
          </w:p>
        </w:tc>
      </w:tr>
      <w:tr>
        <w:tblPrEx/>
        <w:trPr/>
        <w:tc>
          <w:tcPr>
            <w:tcW w:w="2197"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N100</w:t>
            </w:r>
          </w:p>
        </w:tc>
        <w:tc>
          <w:tcPr>
            <w:tcW w:w="1402" w:type="pct"/>
            <w:tcBorders/>
            <w:vAlign w:val="bottom"/>
          </w:tcPr>
          <w:p>
            <w:pPr>
              <w:pStyle w:val="style0"/>
              <w:spacing w:before="0" w:after="0" w:lineRule="auto" w:line="240"/>
              <w:jc w:val="left"/>
              <w:rPr>
                <w:rFonts w:cs="Times New Roman" w:eastAsia="Calibri"/>
                <w:sz w:val="24"/>
                <w:szCs w:val="24"/>
              </w:rPr>
            </w:pPr>
            <w:r>
              <w:rPr>
                <w:color w:val="000000"/>
                <w:sz w:val="24"/>
                <w:szCs w:val="24"/>
              </w:rPr>
              <w:t>36.13b</w:t>
            </w:r>
          </w:p>
        </w:tc>
        <w:tc>
          <w:tcPr>
            <w:tcW w:w="1401" w:type="pct"/>
            <w:tcBorders/>
            <w:vAlign w:val="bottom"/>
          </w:tcPr>
          <w:p>
            <w:pPr>
              <w:pStyle w:val="style0"/>
              <w:spacing w:before="0" w:after="0" w:lineRule="auto" w:line="240"/>
              <w:jc w:val="left"/>
              <w:rPr>
                <w:rFonts w:cs="Times New Roman" w:eastAsia="Calibri"/>
                <w:sz w:val="24"/>
                <w:szCs w:val="24"/>
              </w:rPr>
            </w:pPr>
            <w:r>
              <w:rPr>
                <w:color w:val="000000"/>
                <w:sz w:val="24"/>
                <w:szCs w:val="24"/>
              </w:rPr>
              <w:t>5.13b</w:t>
            </w:r>
          </w:p>
        </w:tc>
      </w:tr>
      <w:tr>
        <w:tblPrEx/>
        <w:trPr/>
        <w:tc>
          <w:tcPr>
            <w:tcW w:w="2197"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N150</w:t>
            </w:r>
          </w:p>
        </w:tc>
        <w:tc>
          <w:tcPr>
            <w:tcW w:w="1402" w:type="pct"/>
            <w:tcBorders/>
            <w:vAlign w:val="bottom"/>
          </w:tcPr>
          <w:p>
            <w:pPr>
              <w:pStyle w:val="style0"/>
              <w:spacing w:before="0" w:after="0" w:lineRule="auto" w:line="240"/>
              <w:jc w:val="left"/>
              <w:rPr>
                <w:rFonts w:cs="Times New Roman" w:eastAsia="Calibri"/>
                <w:sz w:val="24"/>
                <w:szCs w:val="24"/>
              </w:rPr>
            </w:pPr>
            <w:r>
              <w:rPr>
                <w:color w:val="000000"/>
                <w:sz w:val="24"/>
                <w:szCs w:val="24"/>
              </w:rPr>
              <w:t>42.76a</w:t>
            </w:r>
          </w:p>
        </w:tc>
        <w:tc>
          <w:tcPr>
            <w:tcW w:w="1401" w:type="pct"/>
            <w:tcBorders/>
            <w:vAlign w:val="bottom"/>
          </w:tcPr>
          <w:p>
            <w:pPr>
              <w:pStyle w:val="style0"/>
              <w:spacing w:before="0" w:after="0" w:lineRule="auto" w:line="240"/>
              <w:jc w:val="left"/>
              <w:rPr>
                <w:rFonts w:cs="Times New Roman" w:eastAsia="Calibri"/>
                <w:sz w:val="24"/>
                <w:szCs w:val="24"/>
              </w:rPr>
            </w:pPr>
            <w:r>
              <w:rPr>
                <w:color w:val="000000"/>
                <w:sz w:val="24"/>
                <w:szCs w:val="24"/>
              </w:rPr>
              <w:t>7.12a</w:t>
            </w:r>
          </w:p>
        </w:tc>
      </w:tr>
      <w:tr>
        <w:tblPrEx/>
        <w:trPr/>
        <w:tc>
          <w:tcPr>
            <w:tcW w:w="2197"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N200</w:t>
            </w:r>
          </w:p>
        </w:tc>
        <w:tc>
          <w:tcPr>
            <w:tcW w:w="1402" w:type="pct"/>
            <w:tcBorders/>
            <w:vAlign w:val="bottom"/>
          </w:tcPr>
          <w:p>
            <w:pPr>
              <w:pStyle w:val="style0"/>
              <w:spacing w:before="0" w:after="0" w:lineRule="auto" w:line="240"/>
              <w:jc w:val="left"/>
              <w:rPr>
                <w:rFonts w:cs="Times New Roman" w:eastAsia="Calibri"/>
                <w:sz w:val="24"/>
                <w:szCs w:val="24"/>
              </w:rPr>
            </w:pPr>
            <w:r>
              <w:rPr>
                <w:color w:val="000000"/>
                <w:sz w:val="24"/>
                <w:szCs w:val="24"/>
              </w:rPr>
              <w:t>40.98a</w:t>
            </w:r>
          </w:p>
        </w:tc>
        <w:tc>
          <w:tcPr>
            <w:tcW w:w="1401" w:type="pct"/>
            <w:tcBorders/>
            <w:vAlign w:val="bottom"/>
          </w:tcPr>
          <w:p>
            <w:pPr>
              <w:pStyle w:val="style0"/>
              <w:spacing w:before="0" w:after="0" w:lineRule="auto" w:line="240"/>
              <w:jc w:val="left"/>
              <w:rPr>
                <w:rFonts w:cs="Times New Roman" w:eastAsia="Calibri"/>
                <w:sz w:val="24"/>
                <w:szCs w:val="24"/>
              </w:rPr>
            </w:pPr>
            <w:r>
              <w:rPr>
                <w:color w:val="000000"/>
                <w:sz w:val="24"/>
                <w:szCs w:val="24"/>
              </w:rPr>
              <w:t>7.30a</w:t>
            </w:r>
          </w:p>
        </w:tc>
      </w:tr>
      <w:tr>
        <w:tblPrEx/>
        <w:trPr/>
        <w:tc>
          <w:tcPr>
            <w:tcW w:w="2197"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LSD (5%)</w:t>
            </w:r>
          </w:p>
        </w:tc>
        <w:tc>
          <w:tcPr>
            <w:tcW w:w="1402"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4.18</w:t>
            </w:r>
          </w:p>
        </w:tc>
        <w:tc>
          <w:tcPr>
            <w:tcW w:w="1401" w:type="pct"/>
            <w:tcBorders/>
          </w:tcPr>
          <w:p>
            <w:pPr>
              <w:pStyle w:val="style0"/>
              <w:spacing w:before="0" w:after="0" w:lineRule="auto" w:line="240"/>
              <w:jc w:val="left"/>
              <w:rPr>
                <w:rFonts w:cs="Times New Roman" w:eastAsia="Calibri"/>
                <w:sz w:val="24"/>
                <w:szCs w:val="24"/>
              </w:rPr>
            </w:pPr>
            <w:r>
              <w:rPr>
                <w:rFonts w:cs="Times New Roman" w:eastAsia="Calibri"/>
                <w:sz w:val="24"/>
                <w:szCs w:val="24"/>
              </w:rPr>
              <w:t>1.01</w:t>
            </w:r>
          </w:p>
        </w:tc>
      </w:tr>
    </w:tbl>
    <w:p>
      <w:pPr>
        <w:pStyle w:val="style0"/>
        <w:spacing w:before="0" w:after="120" w:lineRule="auto" w:line="240"/>
        <w:rPr>
          <w:rFonts w:cs="Times New Roman" w:eastAsia="Calibri"/>
          <w:szCs w:val="24"/>
        </w:rPr>
      </w:pPr>
      <w:r>
        <w:rPr>
          <w:rFonts w:cs="Times New Roman" w:eastAsia="Calibri"/>
          <w:szCs w:val="24"/>
        </w:rPr>
        <w:t>Mean values followed by the same letter (s) within the column of each treatment are not significantly different from each other at 5% level of significance. LSD (5%): Least Significant Difference at P&lt;0.05.</w:t>
      </w:r>
    </w:p>
    <w:bookmarkStart w:id="48" w:name="_Toc178174261"/>
    <w:p>
      <w:pPr>
        <w:pStyle w:val="style3"/>
        <w:rPr>
          <w:rFonts w:eastAsia="Calibri"/>
        </w:rPr>
      </w:pPr>
      <w:r>
        <w:rPr>
          <w:rFonts w:eastAsia="Calibri"/>
        </w:rPr>
        <w:t>4.3.3. T</w:t>
      </w:r>
      <w:r>
        <w:rPr>
          <w:rFonts w:eastAsia="Calibri"/>
        </w:rPr>
        <w:t>otal fruit yield</w:t>
      </w:r>
      <w:bookmarkEnd w:id="48"/>
      <w:r>
        <w:rPr>
          <w:rFonts w:eastAsia="Calibri"/>
        </w:rPr>
        <w:t xml:space="preserve"> </w:t>
      </w:r>
    </w:p>
    <w:p>
      <w:pPr>
        <w:pStyle w:val="style0"/>
        <w:spacing w:before="0" w:after="120"/>
        <w:rPr/>
      </w:pPr>
      <w:r>
        <w:t xml:space="preserve">The variance analysis revealed that the total fruit yield was significantly affected (p&lt;0.05) by the main effects of NPS fertilizer and variety, but not by their interaction (Appendix Table 2). The </w:t>
      </w:r>
      <w:r>
        <w:t>Gelilema</w:t>
      </w:r>
      <w:r>
        <w:t xml:space="preserve"> variety achieved the highest total fruit yield (</w:t>
      </w:r>
      <w:r>
        <w:t>45.96</w:t>
      </w:r>
      <w:r>
        <w:t xml:space="preserve"> t</w:t>
      </w:r>
      <w:r>
        <w:t xml:space="preserve"> </w:t>
      </w:r>
      <w:r>
        <w:t>ha</w:t>
      </w:r>
      <w:r>
        <w:rPr>
          <w:vertAlign w:val="superscript"/>
        </w:rPr>
        <w:t>-1</w:t>
      </w:r>
      <w:r>
        <w:t xml:space="preserve">), whereas the </w:t>
      </w:r>
      <w:r>
        <w:t>Chali</w:t>
      </w:r>
      <w:r>
        <w:t xml:space="preserve"> and </w:t>
      </w:r>
      <w:r>
        <w:t>Cochoro</w:t>
      </w:r>
      <w:r>
        <w:t xml:space="preserve"> varieties had the lowest yields, with no significant difference between them (Table 3). These results align with </w:t>
      </w:r>
      <w:r>
        <w:t>Habtie</w:t>
      </w:r>
      <w:r>
        <w:t xml:space="preserve"> (2022), who also found that the </w:t>
      </w:r>
      <w:r>
        <w:t>Gelilema</w:t>
      </w:r>
      <w:r>
        <w:t xml:space="preserve"> variety outperformed </w:t>
      </w:r>
      <w:r>
        <w:t>Chali</w:t>
      </w:r>
      <w:r>
        <w:t xml:space="preserve"> and </w:t>
      </w:r>
      <w:r>
        <w:t>Cochoro</w:t>
      </w:r>
      <w:r>
        <w:t xml:space="preserve"> in terms of total fruit yield.</w:t>
      </w:r>
    </w:p>
    <w:p>
      <w:pPr>
        <w:pStyle w:val="style0"/>
        <w:spacing w:after="120"/>
        <w:rPr/>
      </w:pPr>
      <w:r>
        <w:t xml:space="preserve">The application of </w:t>
      </w:r>
      <w:r>
        <w:t>20</w:t>
      </w:r>
      <w:r>
        <w:t xml:space="preserve">0 kg ha⁻¹ NPS fertilizer resulted in the highest total fruit yield of </w:t>
      </w:r>
      <w:r>
        <w:t>49.88</w:t>
      </w:r>
      <w:r>
        <w:t xml:space="preserve"> </w:t>
      </w:r>
      <w:r>
        <w:t>t ha⁻¹</w:t>
      </w:r>
      <w:r>
        <w:t xml:space="preserve">, without significant different </w:t>
      </w:r>
      <w:commentRangeStart w:id="2"/>
      <w:r>
        <w:t>with</w:t>
      </w:r>
      <w:commentRangeEnd w:id="2"/>
      <w:r>
        <w:rPr/>
        <w:commentReference w:id="2"/>
      </w:r>
      <w:r>
        <w:t xml:space="preserve"> plot received 150 </w:t>
      </w:r>
      <w:r>
        <w:t>kg ha⁻¹ NPS fertilizer</w:t>
      </w:r>
      <w:r>
        <w:t>.</w:t>
      </w:r>
      <w:r>
        <w:t xml:space="preserve"> Conversely, the lowest yield of 30.37 t ha⁻¹ was observed in plants that did not receive any NPS fertilizer, which was not significantly different from the yield of plants treated with 50 kg ha⁻¹ NPS fertilizer (Table 4). The increase in total fruit yield can be attributed to the sufficient supply of nutrients (N, P, and S) from higher rates of NPS fertilizer. These results are consistent with previous studies, which have demonstrated that nutrient supply from both organic and inorganic fertilizers enhances plant growth and development, thereby increasing tomato yields (</w:t>
      </w:r>
      <w:r>
        <w:t>Bekbayeva</w:t>
      </w:r>
      <w:r>
        <w:t xml:space="preserve"> et al., 2021; Nishat et al., 2021; Zhang et al., 2024)</w:t>
      </w:r>
      <w:r>
        <w:t>.</w:t>
      </w:r>
    </w:p>
    <w:bookmarkStart w:id="49" w:name="_Toc178174303"/>
    <w:p>
      <w:pPr>
        <w:pStyle w:val="style0"/>
        <w:rPr>
          <w:iCs/>
        </w:rPr>
      </w:pPr>
      <w:r>
        <w:rPr>
          <w:iCs/>
        </w:rPr>
        <w:t xml:space="preserve">Table </w:t>
      </w:r>
      <w:r>
        <w:rPr>
          <w:iCs/>
        </w:rPr>
        <w:fldChar w:fldCharType="begin"/>
      </w:r>
      <w:r>
        <w:rPr>
          <w:iCs/>
        </w:rPr>
        <w:instrText xml:space="preserve"> SEQ Table \* ARABIC </w:instrText>
      </w:r>
      <w:r>
        <w:rPr>
          <w:iCs/>
        </w:rPr>
        <w:fldChar w:fldCharType="separate"/>
      </w:r>
      <w:r>
        <w:rPr>
          <w:iCs/>
          <w:noProof/>
        </w:rPr>
        <w:t>4</w:t>
      </w:r>
      <w:r>
        <w:rPr/>
        <w:fldChar w:fldCharType="end"/>
      </w:r>
      <w:r>
        <w:rPr>
          <w:iCs/>
        </w:rPr>
        <w:t>. Effect of varieties and application of NPS fertilizer rates on total fruit yield (t ha</w:t>
      </w:r>
      <w:r>
        <w:rPr>
          <w:iCs/>
          <w:vertAlign w:val="superscript"/>
        </w:rPr>
        <w:t>-1</w:t>
      </w:r>
      <w:r>
        <w:rPr>
          <w:iCs/>
        </w:rPr>
        <w:t xml:space="preserve">) and average fruit weight (grams) of tomato at </w:t>
      </w:r>
      <w:bookmarkStart w:id="50" w:name="_Hlk177504408"/>
      <w:r>
        <w:rPr>
          <w:iCs/>
        </w:rPr>
        <w:t>Gursum</w:t>
      </w:r>
      <w:r>
        <w:rPr>
          <w:iCs/>
        </w:rPr>
        <w:t xml:space="preserve"> </w:t>
      </w:r>
      <w:bookmarkEnd w:id="50"/>
      <w:r>
        <w:rPr>
          <w:iCs/>
        </w:rPr>
        <w:t>in 2023.</w:t>
      </w:r>
      <w:bookmarkEnd w:id="49"/>
      <w:r>
        <w:rPr>
          <w:iCs/>
        </w:rPr>
        <w:t xml:space="preserve"> </w:t>
      </w:r>
    </w:p>
    <w:tbl>
      <w:tblPr>
        <w:tblStyle w:val="style41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2559"/>
        <w:gridCol w:w="2806"/>
      </w:tblGrid>
      <w:tr>
        <w:trPr/>
        <w:tc>
          <w:tcPr>
            <w:tcW w:w="2199" w:type="pct"/>
            <w:tcBorders>
              <w:bottom w:val="single" w:sz="4" w:space="0" w:color="auto"/>
            </w:tcBorders>
          </w:tcPr>
          <w:p>
            <w:pPr>
              <w:pStyle w:val="style0"/>
              <w:spacing w:before="0" w:after="0" w:lineRule="auto" w:line="240"/>
              <w:rPr>
                <w:sz w:val="24"/>
              </w:rPr>
            </w:pPr>
            <w:r>
              <w:rPr>
                <w:sz w:val="24"/>
              </w:rPr>
              <w:t xml:space="preserve">Variety </w:t>
            </w:r>
          </w:p>
        </w:tc>
        <w:tc>
          <w:tcPr>
            <w:tcW w:w="1336" w:type="pct"/>
            <w:tcBorders>
              <w:bottom w:val="single" w:sz="4" w:space="0" w:color="auto"/>
            </w:tcBorders>
          </w:tcPr>
          <w:p>
            <w:pPr>
              <w:pStyle w:val="style0"/>
              <w:spacing w:before="0" w:after="0" w:lineRule="auto" w:line="240"/>
              <w:rPr>
                <w:sz w:val="24"/>
              </w:rPr>
            </w:pPr>
            <w:r>
              <w:rPr>
                <w:sz w:val="24"/>
              </w:rPr>
              <w:t xml:space="preserve">Total fruit yield </w:t>
            </w:r>
          </w:p>
          <w:p>
            <w:pPr>
              <w:pStyle w:val="style0"/>
              <w:spacing w:before="0" w:after="0" w:lineRule="auto" w:line="240"/>
              <w:rPr>
                <w:sz w:val="24"/>
              </w:rPr>
            </w:pPr>
            <w:r>
              <w:rPr>
                <w:sz w:val="24"/>
              </w:rPr>
              <w:t>(t ha</w:t>
            </w:r>
            <w:r>
              <w:rPr>
                <w:sz w:val="24"/>
                <w:vertAlign w:val="superscript"/>
              </w:rPr>
              <w:t>-1</w:t>
            </w:r>
            <w:r>
              <w:rPr>
                <w:sz w:val="24"/>
              </w:rPr>
              <w:t>)</w:t>
            </w:r>
          </w:p>
        </w:tc>
        <w:tc>
          <w:tcPr>
            <w:tcW w:w="1465" w:type="pct"/>
            <w:tcBorders>
              <w:bottom w:val="single" w:sz="4" w:space="0" w:color="auto"/>
            </w:tcBorders>
          </w:tcPr>
          <w:p>
            <w:pPr>
              <w:pStyle w:val="style0"/>
              <w:spacing w:before="0" w:after="0" w:lineRule="auto" w:line="240"/>
              <w:rPr>
                <w:sz w:val="24"/>
              </w:rPr>
            </w:pPr>
            <w:r>
              <w:rPr>
                <w:sz w:val="24"/>
              </w:rPr>
              <w:t>Average fruit weight (grams)</w:t>
            </w:r>
          </w:p>
        </w:tc>
      </w:tr>
      <w:tr>
        <w:tblPrEx/>
        <w:trPr/>
        <w:tc>
          <w:tcPr>
            <w:tcW w:w="2199" w:type="pct"/>
            <w:tcBorders>
              <w:top w:val="single" w:sz="4" w:space="0" w:color="auto"/>
              <w:bottom w:val="nil"/>
            </w:tcBorders>
          </w:tcPr>
          <w:p>
            <w:pPr>
              <w:pStyle w:val="style0"/>
              <w:spacing w:before="0" w:after="0" w:lineRule="auto" w:line="240"/>
              <w:rPr>
                <w:sz w:val="24"/>
              </w:rPr>
            </w:pPr>
            <w:r>
              <w:rPr>
                <w:sz w:val="24"/>
              </w:rPr>
              <w:t>Cochoro</w:t>
            </w:r>
          </w:p>
        </w:tc>
        <w:tc>
          <w:tcPr>
            <w:tcW w:w="1336" w:type="pct"/>
            <w:tcBorders>
              <w:top w:val="single" w:sz="4" w:space="0" w:color="auto"/>
              <w:bottom w:val="nil"/>
            </w:tcBorders>
            <w:vAlign w:val="bottom"/>
          </w:tcPr>
          <w:p>
            <w:pPr>
              <w:pStyle w:val="style0"/>
              <w:spacing w:before="0" w:after="0" w:lineRule="auto" w:line="240"/>
              <w:rPr>
                <w:sz w:val="24"/>
              </w:rPr>
            </w:pPr>
            <w:r>
              <w:rPr>
                <w:sz w:val="24"/>
              </w:rPr>
              <w:t>36.42b</w:t>
            </w:r>
          </w:p>
        </w:tc>
        <w:tc>
          <w:tcPr>
            <w:tcW w:w="1465" w:type="pct"/>
            <w:tcBorders>
              <w:top w:val="single" w:sz="4" w:space="0" w:color="auto"/>
              <w:bottom w:val="nil"/>
            </w:tcBorders>
          </w:tcPr>
          <w:p>
            <w:pPr>
              <w:pStyle w:val="style0"/>
              <w:spacing w:before="0" w:after="0" w:lineRule="auto" w:line="240"/>
              <w:rPr>
                <w:sz w:val="24"/>
              </w:rPr>
            </w:pPr>
            <w:r>
              <w:rPr>
                <w:sz w:val="24"/>
              </w:rPr>
              <w:t>70.78a</w:t>
            </w:r>
          </w:p>
        </w:tc>
      </w:tr>
      <w:tr>
        <w:tblPrEx/>
        <w:trPr/>
        <w:tc>
          <w:tcPr>
            <w:tcW w:w="2199" w:type="pct"/>
            <w:tcBorders>
              <w:top w:val="nil"/>
              <w:bottom w:val="nil"/>
            </w:tcBorders>
          </w:tcPr>
          <w:p>
            <w:pPr>
              <w:pStyle w:val="style0"/>
              <w:spacing w:before="0" w:after="0" w:lineRule="auto" w:line="240"/>
              <w:rPr>
                <w:sz w:val="24"/>
              </w:rPr>
            </w:pPr>
            <w:r>
              <w:rPr>
                <w:sz w:val="24"/>
              </w:rPr>
              <w:t>Chali</w:t>
            </w:r>
          </w:p>
        </w:tc>
        <w:tc>
          <w:tcPr>
            <w:tcW w:w="1336" w:type="pct"/>
            <w:tcBorders>
              <w:top w:val="nil"/>
              <w:bottom w:val="nil"/>
            </w:tcBorders>
            <w:vAlign w:val="bottom"/>
          </w:tcPr>
          <w:p>
            <w:pPr>
              <w:pStyle w:val="style0"/>
              <w:spacing w:before="0" w:after="0" w:lineRule="auto" w:line="240"/>
              <w:rPr>
                <w:sz w:val="24"/>
              </w:rPr>
            </w:pPr>
            <w:r>
              <w:rPr>
                <w:sz w:val="24"/>
              </w:rPr>
              <w:t>39.88b</w:t>
            </w:r>
          </w:p>
        </w:tc>
        <w:tc>
          <w:tcPr>
            <w:tcW w:w="1465" w:type="pct"/>
            <w:tcBorders>
              <w:top w:val="nil"/>
              <w:bottom w:val="nil"/>
            </w:tcBorders>
          </w:tcPr>
          <w:p>
            <w:pPr>
              <w:pStyle w:val="style0"/>
              <w:spacing w:before="0" w:after="0" w:lineRule="auto" w:line="240"/>
              <w:rPr>
                <w:sz w:val="24"/>
              </w:rPr>
            </w:pPr>
            <w:r>
              <w:rPr>
                <w:sz w:val="24"/>
              </w:rPr>
              <w:t>56.873b</w:t>
            </w:r>
          </w:p>
        </w:tc>
      </w:tr>
      <w:tr>
        <w:tblPrEx/>
        <w:trPr/>
        <w:tc>
          <w:tcPr>
            <w:tcW w:w="2199" w:type="pct"/>
            <w:tcBorders>
              <w:top w:val="nil"/>
              <w:bottom w:val="nil"/>
            </w:tcBorders>
          </w:tcPr>
          <w:p>
            <w:pPr>
              <w:pStyle w:val="style0"/>
              <w:spacing w:before="0" w:after="0" w:lineRule="auto" w:line="240"/>
              <w:rPr>
                <w:sz w:val="24"/>
              </w:rPr>
            </w:pPr>
            <w:r>
              <w:rPr>
                <w:sz w:val="24"/>
              </w:rPr>
              <w:t>Gelilema</w:t>
            </w:r>
          </w:p>
        </w:tc>
        <w:tc>
          <w:tcPr>
            <w:tcW w:w="1336" w:type="pct"/>
            <w:tcBorders>
              <w:top w:val="nil"/>
              <w:bottom w:val="nil"/>
            </w:tcBorders>
            <w:vAlign w:val="bottom"/>
          </w:tcPr>
          <w:p>
            <w:pPr>
              <w:pStyle w:val="style0"/>
              <w:spacing w:before="0" w:after="0" w:lineRule="auto" w:line="240"/>
              <w:rPr>
                <w:sz w:val="24"/>
              </w:rPr>
            </w:pPr>
            <w:r>
              <w:rPr>
                <w:sz w:val="24"/>
              </w:rPr>
              <w:t>45.96a</w:t>
            </w:r>
          </w:p>
        </w:tc>
        <w:tc>
          <w:tcPr>
            <w:tcW w:w="1465" w:type="pct"/>
            <w:tcBorders>
              <w:top w:val="nil"/>
              <w:bottom w:val="nil"/>
            </w:tcBorders>
          </w:tcPr>
          <w:p>
            <w:pPr>
              <w:pStyle w:val="style0"/>
              <w:spacing w:before="0" w:after="0" w:lineRule="auto" w:line="240"/>
              <w:rPr>
                <w:sz w:val="24"/>
              </w:rPr>
            </w:pPr>
            <w:r>
              <w:rPr>
                <w:sz w:val="24"/>
              </w:rPr>
              <w:t>58.66 b</w:t>
            </w:r>
          </w:p>
        </w:tc>
      </w:tr>
      <w:tr>
        <w:tblPrEx/>
        <w:trPr/>
        <w:tc>
          <w:tcPr>
            <w:tcW w:w="2199" w:type="pct"/>
            <w:tcBorders>
              <w:top w:val="nil"/>
              <w:bottom w:val="single" w:sz="4" w:space="0" w:color="auto"/>
            </w:tcBorders>
          </w:tcPr>
          <w:p>
            <w:pPr>
              <w:pStyle w:val="style0"/>
              <w:spacing w:before="0" w:after="0" w:lineRule="auto" w:line="240"/>
              <w:rPr>
                <w:sz w:val="24"/>
              </w:rPr>
            </w:pPr>
            <w:r>
              <w:rPr>
                <w:sz w:val="24"/>
              </w:rPr>
              <w:t>LSD (5%)</w:t>
            </w:r>
          </w:p>
        </w:tc>
        <w:tc>
          <w:tcPr>
            <w:tcW w:w="1336" w:type="pct"/>
            <w:tcBorders>
              <w:top w:val="nil"/>
              <w:bottom w:val="single" w:sz="4" w:space="0" w:color="auto"/>
            </w:tcBorders>
          </w:tcPr>
          <w:p>
            <w:pPr>
              <w:pStyle w:val="style0"/>
              <w:spacing w:before="0" w:after="0" w:lineRule="auto" w:line="240"/>
              <w:rPr>
                <w:sz w:val="24"/>
              </w:rPr>
            </w:pPr>
            <w:r>
              <w:rPr>
                <w:sz w:val="24"/>
              </w:rPr>
              <w:t>3.56</w:t>
            </w:r>
          </w:p>
        </w:tc>
        <w:tc>
          <w:tcPr>
            <w:tcW w:w="1465" w:type="pct"/>
            <w:tcBorders>
              <w:top w:val="nil"/>
              <w:bottom w:val="single" w:sz="4" w:space="0" w:color="auto"/>
            </w:tcBorders>
          </w:tcPr>
          <w:p>
            <w:pPr>
              <w:pStyle w:val="style0"/>
              <w:spacing w:before="0" w:after="0" w:lineRule="auto" w:line="240"/>
              <w:rPr>
                <w:sz w:val="24"/>
              </w:rPr>
            </w:pPr>
            <w:r>
              <w:rPr>
                <w:sz w:val="24"/>
              </w:rPr>
              <w:t>4.93</w:t>
            </w:r>
          </w:p>
        </w:tc>
      </w:tr>
      <w:tr>
        <w:tblPrEx/>
        <w:trPr/>
        <w:tc>
          <w:tcPr>
            <w:tcW w:w="2199" w:type="pct"/>
            <w:tcBorders>
              <w:top w:val="single" w:sz="4" w:space="0" w:color="auto"/>
            </w:tcBorders>
          </w:tcPr>
          <w:p>
            <w:pPr>
              <w:pStyle w:val="style0"/>
              <w:spacing w:before="0" w:after="0" w:lineRule="auto" w:line="240"/>
              <w:rPr>
                <w:sz w:val="24"/>
              </w:rPr>
            </w:pPr>
            <w:r>
              <w:rPr>
                <w:sz w:val="24"/>
              </w:rPr>
              <w:t>NPS fertilizer rates (kg ha</w:t>
            </w:r>
            <w:r>
              <w:rPr>
                <w:sz w:val="24"/>
                <w:vertAlign w:val="superscript"/>
              </w:rPr>
              <w:t>-1</w:t>
            </w:r>
            <w:r>
              <w:rPr>
                <w:sz w:val="24"/>
              </w:rPr>
              <w:t>)</w:t>
            </w:r>
          </w:p>
        </w:tc>
        <w:tc>
          <w:tcPr>
            <w:tcW w:w="1336" w:type="pct"/>
            <w:tcBorders>
              <w:top w:val="single" w:sz="4" w:space="0" w:color="auto"/>
            </w:tcBorders>
          </w:tcPr>
          <w:p>
            <w:pPr>
              <w:pStyle w:val="style0"/>
              <w:spacing w:before="0" w:after="0" w:lineRule="auto" w:line="240"/>
              <w:rPr>
                <w:sz w:val="24"/>
              </w:rPr>
            </w:pPr>
          </w:p>
        </w:tc>
        <w:tc>
          <w:tcPr>
            <w:tcW w:w="1465" w:type="pct"/>
            <w:tcBorders>
              <w:top w:val="single" w:sz="4" w:space="0" w:color="auto"/>
            </w:tcBorders>
          </w:tcPr>
          <w:p>
            <w:pPr>
              <w:pStyle w:val="style0"/>
              <w:spacing w:before="0" w:after="0" w:lineRule="auto" w:line="240"/>
              <w:rPr>
                <w:sz w:val="24"/>
              </w:rPr>
            </w:pPr>
          </w:p>
        </w:tc>
      </w:tr>
      <w:tr>
        <w:tblPrEx/>
        <w:trPr/>
        <w:tc>
          <w:tcPr>
            <w:tcW w:w="2199" w:type="pct"/>
            <w:tcBorders/>
          </w:tcPr>
          <w:p>
            <w:pPr>
              <w:pStyle w:val="style0"/>
              <w:spacing w:before="0" w:after="0" w:lineRule="auto" w:line="240"/>
              <w:rPr>
                <w:sz w:val="24"/>
              </w:rPr>
            </w:pPr>
            <w:r>
              <w:rPr>
                <w:sz w:val="24"/>
              </w:rPr>
              <w:t xml:space="preserve">N0  </w:t>
            </w:r>
          </w:p>
        </w:tc>
        <w:tc>
          <w:tcPr>
            <w:tcW w:w="1336" w:type="pct"/>
            <w:tcBorders/>
            <w:vAlign w:val="bottom"/>
          </w:tcPr>
          <w:p>
            <w:pPr>
              <w:pStyle w:val="style0"/>
              <w:spacing w:before="0" w:after="0" w:lineRule="auto" w:line="240"/>
              <w:rPr>
                <w:sz w:val="24"/>
              </w:rPr>
            </w:pPr>
            <w:r>
              <w:rPr>
                <w:sz w:val="24"/>
              </w:rPr>
              <w:t>30.37c</w:t>
            </w:r>
          </w:p>
        </w:tc>
        <w:tc>
          <w:tcPr>
            <w:tcW w:w="1465" w:type="pct"/>
            <w:tcBorders/>
            <w:vAlign w:val="bottom"/>
          </w:tcPr>
          <w:p>
            <w:pPr>
              <w:pStyle w:val="style0"/>
              <w:spacing w:before="0" w:after="0" w:lineRule="auto" w:line="240"/>
              <w:rPr>
                <w:sz w:val="24"/>
              </w:rPr>
            </w:pPr>
            <w:r>
              <w:rPr>
                <w:sz w:val="24"/>
              </w:rPr>
              <w:t>54.17c</w:t>
            </w:r>
          </w:p>
        </w:tc>
      </w:tr>
      <w:tr>
        <w:tblPrEx/>
        <w:trPr/>
        <w:tc>
          <w:tcPr>
            <w:tcW w:w="2199" w:type="pct"/>
            <w:tcBorders/>
          </w:tcPr>
          <w:p>
            <w:pPr>
              <w:pStyle w:val="style0"/>
              <w:spacing w:before="0" w:after="0" w:lineRule="auto" w:line="240"/>
              <w:rPr>
                <w:sz w:val="24"/>
              </w:rPr>
            </w:pPr>
            <w:r>
              <w:rPr>
                <w:sz w:val="24"/>
              </w:rPr>
              <w:t xml:space="preserve">N50 </w:t>
            </w:r>
          </w:p>
        </w:tc>
        <w:tc>
          <w:tcPr>
            <w:tcW w:w="1336" w:type="pct"/>
            <w:tcBorders/>
            <w:vAlign w:val="bottom"/>
          </w:tcPr>
          <w:p>
            <w:pPr>
              <w:pStyle w:val="style0"/>
              <w:spacing w:before="0" w:after="0" w:lineRule="auto" w:line="240"/>
              <w:rPr>
                <w:sz w:val="24"/>
              </w:rPr>
            </w:pPr>
            <w:r>
              <w:rPr>
                <w:sz w:val="24"/>
              </w:rPr>
              <w:t>33.96c</w:t>
            </w:r>
          </w:p>
        </w:tc>
        <w:tc>
          <w:tcPr>
            <w:tcW w:w="1465" w:type="pct"/>
            <w:tcBorders/>
            <w:vAlign w:val="bottom"/>
          </w:tcPr>
          <w:p>
            <w:pPr>
              <w:pStyle w:val="style0"/>
              <w:spacing w:before="0" w:after="0" w:lineRule="auto" w:line="240"/>
              <w:rPr>
                <w:sz w:val="24"/>
              </w:rPr>
            </w:pPr>
            <w:r>
              <w:rPr>
                <w:sz w:val="24"/>
              </w:rPr>
              <w:t>59.08bc</w:t>
            </w:r>
          </w:p>
        </w:tc>
      </w:tr>
      <w:tr>
        <w:tblPrEx/>
        <w:trPr/>
        <w:tc>
          <w:tcPr>
            <w:tcW w:w="2199" w:type="pct"/>
            <w:tcBorders/>
          </w:tcPr>
          <w:p>
            <w:pPr>
              <w:pStyle w:val="style0"/>
              <w:spacing w:before="0" w:after="0" w:lineRule="auto" w:line="240"/>
              <w:rPr>
                <w:sz w:val="24"/>
              </w:rPr>
            </w:pPr>
            <w:r>
              <w:rPr>
                <w:sz w:val="24"/>
              </w:rPr>
              <w:t>N100</w:t>
            </w:r>
          </w:p>
        </w:tc>
        <w:tc>
          <w:tcPr>
            <w:tcW w:w="1336" w:type="pct"/>
            <w:tcBorders/>
            <w:vAlign w:val="bottom"/>
          </w:tcPr>
          <w:p>
            <w:pPr>
              <w:pStyle w:val="style0"/>
              <w:spacing w:before="0" w:after="0" w:lineRule="auto" w:line="240"/>
              <w:rPr>
                <w:sz w:val="24"/>
              </w:rPr>
            </w:pPr>
            <w:r>
              <w:rPr>
                <w:sz w:val="24"/>
              </w:rPr>
              <w:t>41.26b</w:t>
            </w:r>
          </w:p>
        </w:tc>
        <w:tc>
          <w:tcPr>
            <w:tcW w:w="1465" w:type="pct"/>
            <w:tcBorders/>
            <w:vAlign w:val="bottom"/>
          </w:tcPr>
          <w:p>
            <w:pPr>
              <w:pStyle w:val="style0"/>
              <w:spacing w:before="0" w:after="0" w:lineRule="auto" w:line="240"/>
              <w:rPr>
                <w:sz w:val="24"/>
              </w:rPr>
            </w:pPr>
            <w:r>
              <w:rPr>
                <w:sz w:val="24"/>
              </w:rPr>
              <w:t>61.05b</w:t>
            </w:r>
          </w:p>
        </w:tc>
      </w:tr>
      <w:tr>
        <w:tblPrEx/>
        <w:trPr/>
        <w:tc>
          <w:tcPr>
            <w:tcW w:w="2199" w:type="pct"/>
            <w:tcBorders/>
          </w:tcPr>
          <w:p>
            <w:pPr>
              <w:pStyle w:val="style0"/>
              <w:spacing w:before="0" w:after="0" w:lineRule="auto" w:line="240"/>
              <w:rPr>
                <w:sz w:val="24"/>
              </w:rPr>
            </w:pPr>
            <w:r>
              <w:rPr>
                <w:sz w:val="24"/>
              </w:rPr>
              <w:t>N150</w:t>
            </w:r>
          </w:p>
        </w:tc>
        <w:tc>
          <w:tcPr>
            <w:tcW w:w="1336" w:type="pct"/>
            <w:tcBorders/>
            <w:vAlign w:val="bottom"/>
          </w:tcPr>
          <w:p>
            <w:pPr>
              <w:pStyle w:val="style0"/>
              <w:spacing w:before="0" w:after="0" w:lineRule="auto" w:line="240"/>
              <w:rPr>
                <w:sz w:val="24"/>
              </w:rPr>
            </w:pPr>
            <w:r>
              <w:rPr>
                <w:sz w:val="24"/>
              </w:rPr>
              <w:t>48.29a</w:t>
            </w:r>
          </w:p>
        </w:tc>
        <w:tc>
          <w:tcPr>
            <w:tcW w:w="1465" w:type="pct"/>
            <w:tcBorders/>
            <w:vAlign w:val="bottom"/>
          </w:tcPr>
          <w:p>
            <w:pPr>
              <w:pStyle w:val="style0"/>
              <w:spacing w:before="0" w:after="0" w:lineRule="auto" w:line="240"/>
              <w:rPr>
                <w:sz w:val="24"/>
              </w:rPr>
            </w:pPr>
            <w:r>
              <w:rPr>
                <w:sz w:val="24"/>
              </w:rPr>
              <w:t>67.6a</w:t>
            </w:r>
          </w:p>
        </w:tc>
      </w:tr>
      <w:tr>
        <w:tblPrEx/>
        <w:trPr/>
        <w:tc>
          <w:tcPr>
            <w:tcW w:w="2199" w:type="pct"/>
            <w:tcBorders/>
          </w:tcPr>
          <w:p>
            <w:pPr>
              <w:pStyle w:val="style0"/>
              <w:spacing w:before="0" w:after="0" w:lineRule="auto" w:line="240"/>
              <w:rPr>
                <w:sz w:val="24"/>
              </w:rPr>
            </w:pPr>
            <w:r>
              <w:rPr>
                <w:sz w:val="24"/>
              </w:rPr>
              <w:t>N200</w:t>
            </w:r>
          </w:p>
          <w:bookmarkStart w:id="51" w:name="_Hlk177756839"/>
        </w:tc>
        <w:tc>
          <w:tcPr>
            <w:tcW w:w="1336" w:type="pct"/>
            <w:tcBorders/>
            <w:vAlign w:val="bottom"/>
          </w:tcPr>
          <w:p>
            <w:pPr>
              <w:pStyle w:val="style0"/>
              <w:spacing w:before="0" w:after="0" w:lineRule="auto" w:line="240"/>
              <w:rPr>
                <w:sz w:val="24"/>
              </w:rPr>
            </w:pPr>
            <w:r>
              <w:rPr>
                <w:sz w:val="24"/>
              </w:rPr>
              <w:t>49.88</w:t>
            </w:r>
            <w:bookmarkEnd w:id="51"/>
            <w:r>
              <w:rPr>
                <w:sz w:val="24"/>
              </w:rPr>
              <w:t>a</w:t>
            </w:r>
          </w:p>
        </w:tc>
        <w:tc>
          <w:tcPr>
            <w:tcW w:w="1465" w:type="pct"/>
            <w:tcBorders/>
            <w:vAlign w:val="bottom"/>
          </w:tcPr>
          <w:p>
            <w:pPr>
              <w:pStyle w:val="style0"/>
              <w:spacing w:before="0" w:after="0" w:lineRule="auto" w:line="240"/>
              <w:rPr>
                <w:sz w:val="24"/>
              </w:rPr>
            </w:pPr>
            <w:r>
              <w:rPr>
                <w:sz w:val="24"/>
              </w:rPr>
              <w:t>68.6a</w:t>
            </w:r>
          </w:p>
        </w:tc>
      </w:tr>
      <w:tr>
        <w:tblPrEx/>
        <w:trPr/>
        <w:tc>
          <w:tcPr>
            <w:tcW w:w="2199" w:type="pct"/>
            <w:tcBorders/>
          </w:tcPr>
          <w:p>
            <w:pPr>
              <w:pStyle w:val="style0"/>
              <w:spacing w:before="0" w:after="0" w:lineRule="auto" w:line="240"/>
              <w:rPr>
                <w:sz w:val="24"/>
              </w:rPr>
            </w:pPr>
            <w:r>
              <w:rPr>
                <w:sz w:val="24"/>
              </w:rPr>
              <w:t>LSD (5%)</w:t>
            </w:r>
          </w:p>
        </w:tc>
        <w:tc>
          <w:tcPr>
            <w:tcW w:w="1336" w:type="pct"/>
            <w:tcBorders/>
          </w:tcPr>
          <w:p>
            <w:pPr>
              <w:pStyle w:val="style0"/>
              <w:spacing w:before="0" w:after="0" w:lineRule="auto" w:line="240"/>
              <w:rPr>
                <w:sz w:val="24"/>
              </w:rPr>
            </w:pPr>
            <w:r>
              <w:rPr>
                <w:sz w:val="24"/>
              </w:rPr>
              <w:t>4.60</w:t>
            </w:r>
          </w:p>
        </w:tc>
        <w:tc>
          <w:tcPr>
            <w:tcW w:w="1465" w:type="pct"/>
            <w:tcBorders/>
          </w:tcPr>
          <w:p>
            <w:pPr>
              <w:pStyle w:val="style0"/>
              <w:spacing w:before="0" w:after="0" w:lineRule="auto" w:line="240"/>
              <w:rPr>
                <w:sz w:val="24"/>
              </w:rPr>
            </w:pPr>
            <w:r>
              <w:rPr>
                <w:sz w:val="24"/>
              </w:rPr>
              <w:t>6.37</w:t>
            </w:r>
          </w:p>
        </w:tc>
      </w:tr>
    </w:tbl>
    <w:p>
      <w:pPr>
        <w:pStyle w:val="style0"/>
        <w:spacing w:lineRule="auto" w:line="276"/>
        <w:rPr/>
      </w:pPr>
      <w:r>
        <w:t>Mean values followed by the same letter (s) within the column of each treatment are not significantly different from each other at 5% level of significance. LSD (5%): Least Significant Difference at P&lt;0.05.</w:t>
      </w:r>
    </w:p>
    <w:bookmarkStart w:id="52" w:name="_Toc178174262"/>
    <w:p>
      <w:pPr>
        <w:pStyle w:val="style3"/>
        <w:rPr>
          <w:rFonts w:eastAsia="Calibri"/>
        </w:rPr>
      </w:pPr>
      <w:r>
        <w:rPr>
          <w:rFonts w:eastAsia="Calibri"/>
        </w:rPr>
        <w:t>4.3.4. A</w:t>
      </w:r>
      <w:r>
        <w:rPr>
          <w:rFonts w:eastAsia="Calibri"/>
        </w:rPr>
        <w:t>verage fruit weight</w:t>
      </w:r>
      <w:bookmarkEnd w:id="52"/>
      <w:r>
        <w:rPr>
          <w:rFonts w:eastAsia="Calibri"/>
        </w:rPr>
        <w:t xml:space="preserve"> </w:t>
      </w:r>
    </w:p>
    <w:p>
      <w:pPr>
        <w:pStyle w:val="style0"/>
        <w:spacing w:before="0" w:after="120"/>
        <w:rPr/>
      </w:pPr>
      <w:r>
        <w:t>The analysis of variance results showed that average fruit weight was significantly (p&lt;0.05) influenced by both variety and NPS fertilizer. However, the interaction between these two factors did not have a significant effect</w:t>
      </w:r>
      <w:r>
        <w:t xml:space="preserve"> </w:t>
      </w:r>
      <w:r>
        <w:t>(Appendix Table 2). The highest average fruit weight (</w:t>
      </w:r>
      <w:r>
        <w:t>70.78</w:t>
      </w:r>
      <w:r>
        <w:t xml:space="preserve"> g) was recorded for the variety </w:t>
      </w:r>
      <w:r>
        <w:t>Cochoro</w:t>
      </w:r>
      <w:r>
        <w:t xml:space="preserve">, followed by </w:t>
      </w:r>
      <w:r>
        <w:t>Gelilema</w:t>
      </w:r>
      <w:r>
        <w:t xml:space="preserve"> and Chali, with no significant differences between the latter two</w:t>
      </w:r>
      <w:r>
        <w:t xml:space="preserve"> (Table 4)</w:t>
      </w:r>
      <w:r>
        <w:t xml:space="preserve">. Similar results were reported by Masho </w:t>
      </w:r>
      <w:r>
        <w:rPr>
          <w:i/>
          <w:iCs/>
        </w:rPr>
        <w:t>et al</w:t>
      </w:r>
      <w:r>
        <w:t xml:space="preserve">. (2016) and Girma </w:t>
      </w:r>
      <w:r>
        <w:rPr>
          <w:i/>
          <w:iCs/>
        </w:rPr>
        <w:t>et al</w:t>
      </w:r>
      <w:r>
        <w:t>.</w:t>
      </w:r>
      <w:r>
        <w:t xml:space="preserve"> </w:t>
      </w:r>
      <w:r>
        <w:t xml:space="preserve">(2023), who also found the maximum fruit weight in the variety </w:t>
      </w:r>
      <w:r>
        <w:t>Cochoro</w:t>
      </w:r>
      <w:r>
        <w:t>.</w:t>
      </w:r>
    </w:p>
    <w:p>
      <w:pPr>
        <w:pStyle w:val="style0"/>
        <w:spacing w:before="0" w:after="120"/>
        <w:rPr/>
      </w:pPr>
      <w:r>
        <w:t xml:space="preserve">The application of </w:t>
      </w:r>
      <w:r>
        <w:t>20</w:t>
      </w:r>
      <w:r>
        <w:t xml:space="preserve">0 kg ha⁻¹ NPS fertilizer resulted in the highest average fruit weight of </w:t>
      </w:r>
      <w:r>
        <w:t>68.6</w:t>
      </w:r>
      <w:r>
        <w:t xml:space="preserve"> g, which was not significantly different from the plot that received 1</w:t>
      </w:r>
      <w:r>
        <w:t>5</w:t>
      </w:r>
      <w:r>
        <w:t xml:space="preserve">0 kg ha⁻¹ NPS fertilizer. On the other hand, the lowest fruit weight of </w:t>
      </w:r>
      <w:r>
        <w:t>54.17</w:t>
      </w:r>
      <w:r>
        <w:t xml:space="preserve"> g was recorded in plants that did not receive any NPS fertilizer, which was not significantly different from the fruit weight of plants treated with 50 kg ha⁻¹ NPS fertilizer (Table 4). This result is consistent with Ger et al. (2024), who found the maximum fruit weight in plots treated with higher NPS fertilizer compared to the control plots. Additionally, this result is linked to EIAR (2018), which categorized standard fruit weight into the following size categories: large (&gt;71 g)</w:t>
      </w:r>
      <w:r>
        <w:t xml:space="preserve">, </w:t>
      </w:r>
      <w:r>
        <w:t>medium (60–70 g), and</w:t>
      </w:r>
      <w:r>
        <w:t xml:space="preserve"> </w:t>
      </w:r>
      <w:r>
        <w:t>small (31–59 g)</w:t>
      </w:r>
      <w:r>
        <w:t>.</w:t>
      </w:r>
    </w:p>
    <w:bookmarkStart w:id="53" w:name="_Toc178174263"/>
    <w:p>
      <w:pPr>
        <w:pStyle w:val="style2"/>
        <w:spacing w:before="0"/>
        <w:rPr/>
      </w:pPr>
      <w:r>
        <w:t xml:space="preserve">4.4. </w:t>
      </w:r>
      <w:r>
        <w:t>Partial Budget Analysis</w:t>
      </w:r>
      <w:bookmarkEnd w:id="53"/>
      <w:r>
        <w:t xml:space="preserve"> </w:t>
      </w:r>
    </w:p>
    <w:p>
      <w:pPr>
        <w:pStyle w:val="style0"/>
        <w:spacing w:before="0" w:after="120"/>
        <w:rPr/>
      </w:pPr>
      <w:r>
        <w:t xml:space="preserve">Tomato variety and application of NPS fertilizer significantly affected marketable fruit yield. Therefore, </w:t>
      </w:r>
      <w:r>
        <w:t xml:space="preserve">the </w:t>
      </w:r>
      <w:r>
        <w:t xml:space="preserve">economic analysis was performed on the combined results using the partial budget technique as described by CIMMYT (1988). The result of the partial budget analysis has been presented in a tabular form (Table 5 and Appendix Table </w:t>
      </w:r>
      <w:r>
        <w:t>3</w:t>
      </w:r>
      <w:r>
        <w:t>).</w:t>
      </w:r>
      <w:r>
        <w:t xml:space="preserve"> </w:t>
      </w:r>
      <w:r>
        <w:t xml:space="preserve">The </w:t>
      </w:r>
      <w:r>
        <w:t>Gelilema</w:t>
      </w:r>
      <w:r>
        <w:t xml:space="preserve"> variety with the application of 150 kg ha⁻¹ NPS fertilizer achieved the highest net benefit of </w:t>
      </w:r>
      <w:bookmarkStart w:id="54" w:name="_Hlk178098188"/>
      <w:bookmarkStart w:id="55" w:name="_Hlk178098156"/>
      <w:r>
        <w:t xml:space="preserve">770,451.5 </w:t>
      </w:r>
      <w:bookmarkEnd w:id="54"/>
      <w:r>
        <w:t xml:space="preserve">Birr per hectare and the highest benefit-cost ratio of </w:t>
      </w:r>
      <w:bookmarkStart w:id="56" w:name="_Hlk178098276"/>
      <w:r>
        <w:t>7.16</w:t>
      </w:r>
      <w:bookmarkEnd w:id="55"/>
      <w:bookmarkEnd w:id="56"/>
      <w:r>
        <w:t xml:space="preserve">. This was closely followed by the same variety with the application of 200 kg ha⁻¹ NPS fertilizer, which resulted in a net benefit of 736,715.5 Birr per hectare and a benefit-cost ratio of 6.74. On the other hand, the </w:t>
      </w:r>
      <w:r>
        <w:t>Cochoro</w:t>
      </w:r>
      <w:r>
        <w:t xml:space="preserve"> variety without any fertilizer application had the lowest net benefit of 321,867.5 Birr per hectare and a benefit-cost ratio of 3.14 (</w:t>
      </w:r>
      <w:r>
        <w:t xml:space="preserve">Appendix Table </w:t>
      </w:r>
      <w:r>
        <w:t>3</w:t>
      </w:r>
      <w:r>
        <w:t>).</w:t>
      </w:r>
    </w:p>
    <w:p>
      <w:pPr>
        <w:pStyle w:val="style0"/>
        <w:spacing w:after="120"/>
        <w:rPr/>
      </w:pPr>
      <w:r>
        <w:t xml:space="preserve">The findings revealed that increasing the rates of NPS fertilizer led to higher net benefits and benefit-cost ratios, with the optimal rate being 150 kg ha⁻¹ NPS fertilizer. The three tomato varieties tested showed the highest net benefits and benefit-cost ratios when different rates of NPS fertilizer were applied. This suggests that producers have multiple options for cultivating tomato varieties by applying varying rates of NPS fertilizer, </w:t>
      </w:r>
      <w:r>
        <w:t>taking into account</w:t>
      </w:r>
      <w:r>
        <w:t xml:space="preserve"> the net benefit, benefit-cost ratio, and other fruit characteristics preferred by producers.</w:t>
      </w:r>
    </w:p>
    <w:p>
      <w:pPr>
        <w:pStyle w:val="style0"/>
        <w:spacing w:after="0"/>
        <w:rPr/>
      </w:pPr>
      <w:r>
        <w:t xml:space="preserve">The highest marginal rate of return (MRR) of 51.73 (5173.26%) was recorded for plants that received 150 kg ha⁻¹ NPS fertilizer, while the lowest MRR of 26.984 (2698.4%) was observed for plants that received 50 kg ha⁻¹ NPS fertilizer (Table </w:t>
      </w:r>
      <w:r>
        <w:t>5</w:t>
      </w:r>
      <w:r>
        <w:t xml:space="preserve">). Specifically, the </w:t>
      </w:r>
      <w:r>
        <w:t>Gelilema</w:t>
      </w:r>
      <w:r>
        <w:t xml:space="preserve"> variety with the application of 150 kg ha⁻¹ NPS fertilizer had the highest MRR of 55.62 (5562.28%). The highest MRR estimated based on a specific variety and rate of NPS fertilizer had a 3.89 (389.02%) MRR advantage over the highest MRR estimated based on the mean marketable fruit yield of varieties.</w:t>
      </w:r>
    </w:p>
    <w:p>
      <w:pPr>
        <w:pStyle w:val="style34"/>
        <w:rPr/>
      </w:pPr>
      <w:r>
        <w:t xml:space="preserve">Table 5. Net Benefit and Marginal Rate of Return from Partial Budget Analysis for Three Tomato Varieties at Different NPS Fertilizer Rates, </w:t>
      </w:r>
      <w:r>
        <w:t>Gursum</w:t>
      </w:r>
      <w:r>
        <w:t>, 2023</w:t>
      </w:r>
    </w:p>
    <w:tbl>
      <w:tblPr>
        <w:tblStyle w:val="style154"/>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4"/>
        <w:gridCol w:w="908"/>
        <w:gridCol w:w="1128"/>
        <w:gridCol w:w="1082"/>
        <w:gridCol w:w="1074"/>
        <w:gridCol w:w="992"/>
        <w:gridCol w:w="1245"/>
        <w:gridCol w:w="998"/>
        <w:gridCol w:w="915"/>
      </w:tblGrid>
      <w:tr>
        <w:trPr>
          <w:trHeight w:val="752" w:hRule="atLeast"/>
        </w:trPr>
        <w:tc>
          <w:tcPr>
            <w:tcW w:w="644" w:type="pct"/>
            <w:tcBorders>
              <w:bottom w:val="single" w:sz="4" w:space="0" w:color="auto"/>
            </w:tcBorders>
            <w:noWrap/>
            <w:hideMark/>
          </w:tcPr>
          <w:p>
            <w:pPr>
              <w:pStyle w:val="style0"/>
              <w:spacing w:after="0"/>
              <w:rPr>
                <w:sz w:val="20"/>
                <w:szCs w:val="20"/>
              </w:rPr>
            </w:pPr>
            <w:r>
              <w:rPr>
                <w:sz w:val="20"/>
                <w:szCs w:val="20"/>
              </w:rPr>
              <w:t xml:space="preserve">Rate </w:t>
            </w:r>
            <w:r>
              <w:rPr>
                <w:sz w:val="20"/>
                <w:szCs w:val="20"/>
              </w:rPr>
              <w:t>NPS kg ha</w:t>
            </w:r>
            <w:r>
              <w:rPr>
                <w:sz w:val="20"/>
                <w:szCs w:val="20"/>
                <w:vertAlign w:val="superscript"/>
              </w:rPr>
              <w:t>-1</w:t>
            </w:r>
          </w:p>
        </w:tc>
        <w:tc>
          <w:tcPr>
            <w:tcW w:w="474" w:type="pct"/>
            <w:tcBorders>
              <w:bottom w:val="single" w:sz="4" w:space="0" w:color="auto"/>
            </w:tcBorders>
            <w:noWrap/>
            <w:hideMark/>
          </w:tcPr>
          <w:p>
            <w:pPr>
              <w:pStyle w:val="style0"/>
              <w:spacing w:after="0"/>
              <w:rPr>
                <w:sz w:val="20"/>
                <w:szCs w:val="20"/>
              </w:rPr>
            </w:pPr>
            <w:r>
              <w:rPr>
                <w:sz w:val="20"/>
                <w:szCs w:val="20"/>
              </w:rPr>
              <w:t> MFY t ha</w:t>
            </w:r>
            <w:r>
              <w:rPr>
                <w:sz w:val="20"/>
                <w:szCs w:val="20"/>
                <w:vertAlign w:val="superscript"/>
              </w:rPr>
              <w:t>-1</w:t>
            </w:r>
          </w:p>
        </w:tc>
        <w:tc>
          <w:tcPr>
            <w:tcW w:w="589" w:type="pct"/>
            <w:tcBorders>
              <w:bottom w:val="single" w:sz="4" w:space="0" w:color="auto"/>
            </w:tcBorders>
            <w:noWrap/>
            <w:hideMark/>
          </w:tcPr>
          <w:p>
            <w:pPr>
              <w:pStyle w:val="style0"/>
              <w:spacing w:after="0"/>
              <w:rPr>
                <w:sz w:val="20"/>
                <w:szCs w:val="20"/>
              </w:rPr>
            </w:pPr>
            <w:r>
              <w:rPr>
                <w:sz w:val="20"/>
                <w:szCs w:val="20"/>
              </w:rPr>
              <w:t>Adj MFY</w:t>
            </w:r>
            <w:r>
              <w:rPr>
                <w:sz w:val="20"/>
                <w:szCs w:val="20"/>
              </w:rPr>
              <w:t xml:space="preserve"> </w:t>
            </w:r>
            <w:r>
              <w:rPr>
                <w:sz w:val="20"/>
                <w:szCs w:val="20"/>
              </w:rPr>
              <w:t>t ha</w:t>
            </w:r>
            <w:r>
              <w:rPr>
                <w:sz w:val="20"/>
                <w:szCs w:val="20"/>
                <w:vertAlign w:val="superscript"/>
              </w:rPr>
              <w:t>-1</w:t>
            </w:r>
          </w:p>
        </w:tc>
        <w:tc>
          <w:tcPr>
            <w:tcW w:w="565" w:type="pct"/>
            <w:tcBorders>
              <w:bottom w:val="single" w:sz="4" w:space="0" w:color="auto"/>
            </w:tcBorders>
            <w:noWrap/>
            <w:hideMark/>
          </w:tcPr>
          <w:p>
            <w:pPr>
              <w:pStyle w:val="style0"/>
              <w:spacing w:after="0"/>
              <w:rPr>
                <w:sz w:val="20"/>
                <w:szCs w:val="20"/>
              </w:rPr>
            </w:pPr>
            <w:r>
              <w:rPr>
                <w:sz w:val="20"/>
                <w:szCs w:val="20"/>
              </w:rPr>
              <w:t>TVC ETB ha</w:t>
            </w:r>
            <w:r>
              <w:rPr>
                <w:sz w:val="20"/>
                <w:szCs w:val="20"/>
                <w:vertAlign w:val="superscript"/>
              </w:rPr>
              <w:t>-1</w:t>
            </w:r>
          </w:p>
        </w:tc>
        <w:tc>
          <w:tcPr>
            <w:tcW w:w="561" w:type="pct"/>
            <w:tcBorders>
              <w:bottom w:val="single" w:sz="4" w:space="0" w:color="auto"/>
            </w:tcBorders>
            <w:noWrap/>
            <w:hideMark/>
          </w:tcPr>
          <w:p>
            <w:pPr>
              <w:pStyle w:val="style0"/>
              <w:spacing w:after="0"/>
              <w:rPr>
                <w:sz w:val="20"/>
                <w:szCs w:val="20"/>
              </w:rPr>
            </w:pPr>
            <w:r>
              <w:rPr>
                <w:sz w:val="20"/>
                <w:szCs w:val="20"/>
              </w:rPr>
              <w:t>G</w:t>
            </w:r>
            <w:r>
              <w:rPr>
                <w:sz w:val="20"/>
                <w:szCs w:val="20"/>
              </w:rPr>
              <w:t>FB</w:t>
            </w:r>
            <w:r>
              <w:rPr>
                <w:sz w:val="20"/>
                <w:szCs w:val="20"/>
              </w:rPr>
              <w:t xml:space="preserve"> ETB ha</w:t>
            </w:r>
            <w:r>
              <w:rPr>
                <w:sz w:val="20"/>
                <w:szCs w:val="20"/>
                <w:vertAlign w:val="superscript"/>
              </w:rPr>
              <w:t>-1</w:t>
            </w:r>
          </w:p>
        </w:tc>
        <w:tc>
          <w:tcPr>
            <w:tcW w:w="518" w:type="pct"/>
            <w:tcBorders>
              <w:bottom w:val="single" w:sz="4" w:space="0" w:color="auto"/>
            </w:tcBorders>
            <w:noWrap/>
            <w:hideMark/>
          </w:tcPr>
          <w:p>
            <w:pPr>
              <w:pStyle w:val="style0"/>
              <w:spacing w:after="0"/>
              <w:rPr>
                <w:sz w:val="20"/>
                <w:szCs w:val="20"/>
              </w:rPr>
            </w:pPr>
            <w:r>
              <w:rPr>
                <w:sz w:val="20"/>
                <w:szCs w:val="20"/>
              </w:rPr>
              <w:t>NB ETB ha</w:t>
            </w:r>
            <w:r>
              <w:rPr>
                <w:sz w:val="20"/>
                <w:szCs w:val="20"/>
                <w:vertAlign w:val="superscript"/>
              </w:rPr>
              <w:t>-1</w:t>
            </w:r>
          </w:p>
        </w:tc>
        <w:tc>
          <w:tcPr>
            <w:tcW w:w="650" w:type="pct"/>
            <w:tcBorders>
              <w:bottom w:val="single" w:sz="4" w:space="0" w:color="auto"/>
            </w:tcBorders>
            <w:noWrap/>
            <w:hideMark/>
          </w:tcPr>
          <w:p>
            <w:pPr>
              <w:pStyle w:val="style0"/>
              <w:spacing w:after="0"/>
              <w:rPr>
                <w:sz w:val="20"/>
                <w:szCs w:val="20"/>
              </w:rPr>
            </w:pPr>
            <w:r>
              <w:rPr>
                <w:sz w:val="20"/>
                <w:szCs w:val="20"/>
              </w:rPr>
              <w:t xml:space="preserve">Benefit-cost ratio  </w:t>
            </w:r>
          </w:p>
        </w:tc>
        <w:tc>
          <w:tcPr>
            <w:tcW w:w="521" w:type="pct"/>
            <w:tcBorders>
              <w:bottom w:val="single" w:sz="4" w:space="0" w:color="auto"/>
            </w:tcBorders>
            <w:noWrap/>
            <w:hideMark/>
          </w:tcPr>
          <w:p>
            <w:pPr>
              <w:pStyle w:val="style0"/>
              <w:spacing w:after="0"/>
              <w:rPr>
                <w:sz w:val="20"/>
                <w:szCs w:val="20"/>
              </w:rPr>
            </w:pPr>
            <w:r>
              <w:rPr>
                <w:sz w:val="20"/>
                <w:szCs w:val="20"/>
              </w:rPr>
              <w:t>Absolute MRR</w:t>
            </w:r>
          </w:p>
        </w:tc>
        <w:tc>
          <w:tcPr>
            <w:tcW w:w="479" w:type="pct"/>
            <w:tcBorders>
              <w:bottom w:val="single" w:sz="4" w:space="0" w:color="auto"/>
            </w:tcBorders>
            <w:noWrap/>
            <w:hideMark/>
          </w:tcPr>
          <w:p>
            <w:pPr>
              <w:pStyle w:val="style0"/>
              <w:spacing w:after="0"/>
              <w:rPr>
                <w:sz w:val="20"/>
                <w:szCs w:val="20"/>
              </w:rPr>
            </w:pPr>
            <w:r>
              <w:rPr>
                <w:sz w:val="20"/>
                <w:szCs w:val="20"/>
              </w:rPr>
              <w:t>MRR (%)</w:t>
            </w:r>
          </w:p>
        </w:tc>
      </w:tr>
      <w:tr>
        <w:tblPrEx/>
        <w:trPr>
          <w:trHeight w:val="360" w:hRule="atLeast"/>
        </w:trPr>
        <w:tc>
          <w:tcPr>
            <w:tcW w:w="644" w:type="pct"/>
            <w:tcBorders>
              <w:top w:val="single" w:sz="4" w:space="0" w:color="auto"/>
              <w:bottom w:val="nil"/>
            </w:tcBorders>
            <w:noWrap/>
            <w:hideMark/>
          </w:tcPr>
          <w:p>
            <w:pPr>
              <w:pStyle w:val="style0"/>
              <w:spacing w:after="0"/>
              <w:rPr>
                <w:sz w:val="20"/>
                <w:szCs w:val="20"/>
              </w:rPr>
            </w:pPr>
            <w:r>
              <w:rPr>
                <w:sz w:val="20"/>
                <w:szCs w:val="20"/>
              </w:rPr>
              <w:t>N0</w:t>
            </w:r>
          </w:p>
        </w:tc>
        <w:tc>
          <w:tcPr>
            <w:tcW w:w="474" w:type="pct"/>
            <w:tcBorders>
              <w:top w:val="single" w:sz="4" w:space="0" w:color="auto"/>
              <w:bottom w:val="nil"/>
            </w:tcBorders>
            <w:noWrap/>
            <w:hideMark/>
          </w:tcPr>
          <w:p>
            <w:pPr>
              <w:pStyle w:val="style0"/>
              <w:spacing w:after="0"/>
              <w:rPr>
                <w:sz w:val="20"/>
                <w:szCs w:val="20"/>
              </w:rPr>
            </w:pPr>
            <w:r>
              <w:rPr>
                <w:sz w:val="20"/>
                <w:szCs w:val="20"/>
              </w:rPr>
              <w:t>27379.3</w:t>
            </w:r>
          </w:p>
        </w:tc>
        <w:tc>
          <w:tcPr>
            <w:tcW w:w="589" w:type="pct"/>
            <w:tcBorders>
              <w:top w:val="single" w:sz="4" w:space="0" w:color="auto"/>
              <w:bottom w:val="nil"/>
            </w:tcBorders>
            <w:noWrap/>
            <w:hideMark/>
          </w:tcPr>
          <w:p>
            <w:pPr>
              <w:pStyle w:val="style0"/>
              <w:spacing w:after="0"/>
              <w:rPr>
                <w:sz w:val="20"/>
                <w:szCs w:val="20"/>
              </w:rPr>
            </w:pPr>
            <w:r>
              <w:rPr>
                <w:sz w:val="20"/>
                <w:szCs w:val="20"/>
              </w:rPr>
              <w:t>24641.4</w:t>
            </w:r>
          </w:p>
        </w:tc>
        <w:tc>
          <w:tcPr>
            <w:tcW w:w="565" w:type="pct"/>
            <w:tcBorders>
              <w:top w:val="single" w:sz="4" w:space="0" w:color="auto"/>
              <w:bottom w:val="nil"/>
            </w:tcBorders>
            <w:noWrap/>
            <w:hideMark/>
          </w:tcPr>
          <w:p>
            <w:pPr>
              <w:pStyle w:val="style0"/>
              <w:spacing w:after="0"/>
              <w:rPr>
                <w:sz w:val="20"/>
                <w:szCs w:val="20"/>
              </w:rPr>
            </w:pPr>
            <w:r>
              <w:rPr>
                <w:sz w:val="20"/>
                <w:szCs w:val="20"/>
              </w:rPr>
              <w:t>102267</w:t>
            </w:r>
          </w:p>
        </w:tc>
        <w:tc>
          <w:tcPr>
            <w:tcW w:w="561" w:type="pct"/>
            <w:tcBorders>
              <w:top w:val="single" w:sz="4" w:space="0" w:color="auto"/>
              <w:bottom w:val="nil"/>
            </w:tcBorders>
            <w:noWrap/>
            <w:hideMark/>
          </w:tcPr>
          <w:p>
            <w:pPr>
              <w:pStyle w:val="style0"/>
              <w:spacing w:after="0"/>
              <w:rPr>
                <w:sz w:val="20"/>
                <w:szCs w:val="20"/>
              </w:rPr>
            </w:pPr>
            <w:r>
              <w:rPr>
                <w:sz w:val="20"/>
                <w:szCs w:val="20"/>
              </w:rPr>
              <w:t>492828</w:t>
            </w:r>
          </w:p>
        </w:tc>
        <w:tc>
          <w:tcPr>
            <w:tcW w:w="518" w:type="pct"/>
            <w:tcBorders>
              <w:top w:val="single" w:sz="4" w:space="0" w:color="auto"/>
              <w:bottom w:val="nil"/>
            </w:tcBorders>
            <w:noWrap/>
            <w:hideMark/>
          </w:tcPr>
          <w:p>
            <w:pPr>
              <w:pStyle w:val="style0"/>
              <w:spacing w:after="0"/>
              <w:rPr>
                <w:sz w:val="20"/>
                <w:szCs w:val="20"/>
              </w:rPr>
            </w:pPr>
            <w:r>
              <w:rPr>
                <w:sz w:val="20"/>
                <w:szCs w:val="20"/>
              </w:rPr>
              <w:t>390562</w:t>
            </w:r>
          </w:p>
        </w:tc>
        <w:tc>
          <w:tcPr>
            <w:tcW w:w="650" w:type="pct"/>
            <w:tcBorders>
              <w:top w:val="single" w:sz="4" w:space="0" w:color="auto"/>
              <w:bottom w:val="nil"/>
            </w:tcBorders>
            <w:noWrap/>
            <w:hideMark/>
          </w:tcPr>
          <w:p>
            <w:pPr>
              <w:pStyle w:val="style0"/>
              <w:spacing w:after="0"/>
              <w:rPr>
                <w:sz w:val="20"/>
                <w:szCs w:val="20"/>
              </w:rPr>
            </w:pPr>
            <w:r>
              <w:rPr>
                <w:sz w:val="20"/>
                <w:szCs w:val="20"/>
              </w:rPr>
              <w:t>3.81</w:t>
            </w:r>
          </w:p>
        </w:tc>
        <w:tc>
          <w:tcPr>
            <w:tcW w:w="521" w:type="pct"/>
            <w:tcBorders>
              <w:top w:val="single" w:sz="4" w:space="0" w:color="auto"/>
              <w:bottom w:val="nil"/>
            </w:tcBorders>
            <w:noWrap/>
            <w:hideMark/>
          </w:tcPr>
          <w:p>
            <w:pPr>
              <w:pStyle w:val="style0"/>
              <w:spacing w:after="0"/>
              <w:rPr>
                <w:sz w:val="20"/>
                <w:szCs w:val="20"/>
              </w:rPr>
            </w:pPr>
            <w:r>
              <w:rPr>
                <w:sz w:val="20"/>
                <w:szCs w:val="20"/>
              </w:rPr>
              <w:t> </w:t>
            </w:r>
          </w:p>
        </w:tc>
        <w:tc>
          <w:tcPr>
            <w:tcW w:w="479" w:type="pct"/>
            <w:tcBorders>
              <w:top w:val="single" w:sz="4" w:space="0" w:color="auto"/>
              <w:bottom w:val="nil"/>
            </w:tcBorders>
            <w:noWrap/>
            <w:hideMark/>
          </w:tcPr>
          <w:p>
            <w:pPr>
              <w:pStyle w:val="style0"/>
              <w:spacing w:after="0"/>
              <w:rPr>
                <w:sz w:val="20"/>
                <w:szCs w:val="20"/>
              </w:rPr>
            </w:pPr>
            <w:r>
              <w:rPr>
                <w:sz w:val="20"/>
                <w:szCs w:val="20"/>
              </w:rPr>
              <w:t> </w:t>
            </w:r>
          </w:p>
        </w:tc>
      </w:tr>
      <w:tr>
        <w:tblPrEx/>
        <w:trPr>
          <w:trHeight w:val="360" w:hRule="atLeast"/>
        </w:trPr>
        <w:tc>
          <w:tcPr>
            <w:tcW w:w="644" w:type="pct"/>
            <w:tcBorders>
              <w:top w:val="nil"/>
            </w:tcBorders>
            <w:noWrap/>
            <w:hideMark/>
          </w:tcPr>
          <w:p>
            <w:pPr>
              <w:pStyle w:val="style0"/>
              <w:spacing w:after="0"/>
              <w:rPr>
                <w:sz w:val="20"/>
                <w:szCs w:val="20"/>
              </w:rPr>
            </w:pPr>
            <w:r>
              <w:rPr>
                <w:sz w:val="20"/>
                <w:szCs w:val="20"/>
              </w:rPr>
              <w:t>N50</w:t>
            </w:r>
          </w:p>
        </w:tc>
        <w:tc>
          <w:tcPr>
            <w:tcW w:w="474" w:type="pct"/>
            <w:tcBorders>
              <w:top w:val="nil"/>
            </w:tcBorders>
            <w:noWrap/>
            <w:hideMark/>
          </w:tcPr>
          <w:p>
            <w:pPr>
              <w:pStyle w:val="style0"/>
              <w:spacing w:after="0"/>
              <w:rPr>
                <w:sz w:val="20"/>
                <w:szCs w:val="20"/>
              </w:rPr>
            </w:pPr>
            <w:r>
              <w:rPr>
                <w:sz w:val="20"/>
                <w:szCs w:val="20"/>
              </w:rPr>
              <w:t>30100</w:t>
            </w:r>
          </w:p>
        </w:tc>
        <w:tc>
          <w:tcPr>
            <w:tcW w:w="589" w:type="pct"/>
            <w:tcBorders>
              <w:top w:val="nil"/>
            </w:tcBorders>
            <w:noWrap/>
            <w:hideMark/>
          </w:tcPr>
          <w:p>
            <w:pPr>
              <w:pStyle w:val="style0"/>
              <w:spacing w:after="0"/>
              <w:rPr>
                <w:sz w:val="20"/>
                <w:szCs w:val="20"/>
              </w:rPr>
            </w:pPr>
            <w:r>
              <w:rPr>
                <w:sz w:val="20"/>
                <w:szCs w:val="20"/>
              </w:rPr>
              <w:t>27090</w:t>
            </w:r>
          </w:p>
        </w:tc>
        <w:tc>
          <w:tcPr>
            <w:tcW w:w="565" w:type="pct"/>
            <w:tcBorders>
              <w:top w:val="nil"/>
            </w:tcBorders>
            <w:noWrap/>
            <w:hideMark/>
          </w:tcPr>
          <w:p>
            <w:pPr>
              <w:pStyle w:val="style0"/>
              <w:spacing w:after="0"/>
              <w:rPr>
                <w:sz w:val="20"/>
                <w:szCs w:val="20"/>
              </w:rPr>
            </w:pPr>
            <w:r>
              <w:rPr>
                <w:sz w:val="20"/>
                <w:szCs w:val="20"/>
              </w:rPr>
              <w:t>104017</w:t>
            </w:r>
          </w:p>
        </w:tc>
        <w:tc>
          <w:tcPr>
            <w:tcW w:w="561" w:type="pct"/>
            <w:tcBorders>
              <w:top w:val="nil"/>
            </w:tcBorders>
            <w:noWrap/>
            <w:hideMark/>
          </w:tcPr>
          <w:p>
            <w:pPr>
              <w:pStyle w:val="style0"/>
              <w:spacing w:after="0"/>
              <w:rPr>
                <w:sz w:val="20"/>
                <w:szCs w:val="20"/>
              </w:rPr>
            </w:pPr>
            <w:r>
              <w:rPr>
                <w:sz w:val="20"/>
                <w:szCs w:val="20"/>
              </w:rPr>
              <w:t>541800</w:t>
            </w:r>
          </w:p>
        </w:tc>
        <w:tc>
          <w:tcPr>
            <w:tcW w:w="518" w:type="pct"/>
            <w:tcBorders>
              <w:top w:val="nil"/>
            </w:tcBorders>
            <w:noWrap/>
            <w:hideMark/>
          </w:tcPr>
          <w:p>
            <w:pPr>
              <w:pStyle w:val="style0"/>
              <w:spacing w:after="0"/>
              <w:rPr>
                <w:sz w:val="20"/>
                <w:szCs w:val="20"/>
              </w:rPr>
            </w:pPr>
            <w:r>
              <w:rPr>
                <w:sz w:val="20"/>
                <w:szCs w:val="20"/>
              </w:rPr>
              <w:t>437784</w:t>
            </w:r>
          </w:p>
        </w:tc>
        <w:tc>
          <w:tcPr>
            <w:tcW w:w="650" w:type="pct"/>
            <w:tcBorders>
              <w:top w:val="nil"/>
            </w:tcBorders>
            <w:noWrap/>
            <w:hideMark/>
          </w:tcPr>
          <w:p>
            <w:pPr>
              <w:pStyle w:val="style0"/>
              <w:spacing w:after="0"/>
              <w:rPr>
                <w:sz w:val="20"/>
                <w:szCs w:val="20"/>
              </w:rPr>
            </w:pPr>
            <w:r>
              <w:rPr>
                <w:sz w:val="20"/>
                <w:szCs w:val="20"/>
              </w:rPr>
              <w:t>4.20</w:t>
            </w:r>
          </w:p>
        </w:tc>
        <w:tc>
          <w:tcPr>
            <w:tcW w:w="521" w:type="pct"/>
            <w:tcBorders>
              <w:top w:val="nil"/>
            </w:tcBorders>
            <w:noWrap/>
            <w:hideMark/>
          </w:tcPr>
          <w:p>
            <w:pPr>
              <w:pStyle w:val="style0"/>
              <w:spacing w:after="0"/>
              <w:rPr>
                <w:sz w:val="20"/>
                <w:szCs w:val="20"/>
              </w:rPr>
            </w:pPr>
            <w:r>
              <w:rPr>
                <w:sz w:val="20"/>
                <w:szCs w:val="20"/>
              </w:rPr>
              <w:t>26.984</w:t>
            </w:r>
          </w:p>
        </w:tc>
        <w:tc>
          <w:tcPr>
            <w:tcW w:w="479" w:type="pct"/>
            <w:tcBorders>
              <w:top w:val="nil"/>
            </w:tcBorders>
            <w:noWrap/>
            <w:hideMark/>
          </w:tcPr>
          <w:p>
            <w:pPr>
              <w:pStyle w:val="style0"/>
              <w:spacing w:after="0"/>
              <w:rPr>
                <w:sz w:val="20"/>
                <w:szCs w:val="20"/>
              </w:rPr>
            </w:pPr>
            <w:r>
              <w:rPr>
                <w:sz w:val="20"/>
                <w:szCs w:val="20"/>
              </w:rPr>
              <w:t>2698.4</w:t>
            </w:r>
          </w:p>
        </w:tc>
      </w:tr>
      <w:tr>
        <w:tblPrEx/>
        <w:trPr>
          <w:trHeight w:val="360" w:hRule="atLeast"/>
        </w:trPr>
        <w:tc>
          <w:tcPr>
            <w:tcW w:w="644" w:type="pct"/>
            <w:tcBorders/>
            <w:noWrap/>
            <w:hideMark/>
          </w:tcPr>
          <w:p>
            <w:pPr>
              <w:pStyle w:val="style0"/>
              <w:spacing w:after="0"/>
              <w:rPr>
                <w:sz w:val="20"/>
                <w:szCs w:val="20"/>
              </w:rPr>
            </w:pPr>
            <w:r>
              <w:rPr>
                <w:sz w:val="20"/>
                <w:szCs w:val="20"/>
              </w:rPr>
              <w:t>N100</w:t>
            </w:r>
          </w:p>
        </w:tc>
        <w:tc>
          <w:tcPr>
            <w:tcW w:w="474" w:type="pct"/>
            <w:tcBorders/>
            <w:noWrap/>
            <w:hideMark/>
          </w:tcPr>
          <w:p>
            <w:pPr>
              <w:pStyle w:val="style0"/>
              <w:spacing w:after="0"/>
              <w:rPr>
                <w:sz w:val="20"/>
                <w:szCs w:val="20"/>
              </w:rPr>
            </w:pPr>
            <w:r>
              <w:rPr>
                <w:sz w:val="20"/>
                <w:szCs w:val="20"/>
              </w:rPr>
              <w:t>36131.3</w:t>
            </w:r>
          </w:p>
        </w:tc>
        <w:tc>
          <w:tcPr>
            <w:tcW w:w="589" w:type="pct"/>
            <w:tcBorders/>
            <w:noWrap/>
            <w:hideMark/>
          </w:tcPr>
          <w:p>
            <w:pPr>
              <w:pStyle w:val="style0"/>
              <w:spacing w:after="0"/>
              <w:rPr>
                <w:sz w:val="20"/>
                <w:szCs w:val="20"/>
              </w:rPr>
            </w:pPr>
            <w:r>
              <w:rPr>
                <w:sz w:val="20"/>
                <w:szCs w:val="20"/>
              </w:rPr>
              <w:t>32518.2</w:t>
            </w:r>
          </w:p>
        </w:tc>
        <w:tc>
          <w:tcPr>
            <w:tcW w:w="565" w:type="pct"/>
            <w:tcBorders/>
            <w:noWrap/>
            <w:hideMark/>
          </w:tcPr>
          <w:p>
            <w:pPr>
              <w:pStyle w:val="style0"/>
              <w:spacing w:after="0"/>
              <w:rPr>
                <w:sz w:val="20"/>
                <w:szCs w:val="20"/>
              </w:rPr>
            </w:pPr>
            <w:r>
              <w:rPr>
                <w:sz w:val="20"/>
                <w:szCs w:val="20"/>
              </w:rPr>
              <w:t>105767</w:t>
            </w:r>
          </w:p>
        </w:tc>
        <w:tc>
          <w:tcPr>
            <w:tcW w:w="561" w:type="pct"/>
            <w:tcBorders/>
            <w:noWrap/>
            <w:hideMark/>
          </w:tcPr>
          <w:p>
            <w:pPr>
              <w:pStyle w:val="style0"/>
              <w:spacing w:after="0"/>
              <w:rPr>
                <w:sz w:val="20"/>
                <w:szCs w:val="20"/>
              </w:rPr>
            </w:pPr>
            <w:r>
              <w:rPr>
                <w:sz w:val="20"/>
                <w:szCs w:val="20"/>
              </w:rPr>
              <w:t>650364</w:t>
            </w:r>
          </w:p>
        </w:tc>
        <w:tc>
          <w:tcPr>
            <w:tcW w:w="518" w:type="pct"/>
            <w:tcBorders/>
            <w:noWrap/>
            <w:hideMark/>
          </w:tcPr>
          <w:p>
            <w:pPr>
              <w:pStyle w:val="style0"/>
              <w:spacing w:after="0"/>
              <w:rPr>
                <w:sz w:val="20"/>
                <w:szCs w:val="20"/>
              </w:rPr>
            </w:pPr>
            <w:r>
              <w:rPr>
                <w:sz w:val="20"/>
                <w:szCs w:val="20"/>
              </w:rPr>
              <w:t>544598</w:t>
            </w:r>
          </w:p>
        </w:tc>
        <w:tc>
          <w:tcPr>
            <w:tcW w:w="650" w:type="pct"/>
            <w:tcBorders/>
            <w:noWrap/>
            <w:hideMark/>
          </w:tcPr>
          <w:p>
            <w:pPr>
              <w:pStyle w:val="style0"/>
              <w:spacing w:after="0"/>
              <w:rPr>
                <w:sz w:val="20"/>
                <w:szCs w:val="20"/>
              </w:rPr>
            </w:pPr>
            <w:r>
              <w:rPr>
                <w:sz w:val="20"/>
                <w:szCs w:val="20"/>
              </w:rPr>
              <w:t>5.14</w:t>
            </w:r>
          </w:p>
        </w:tc>
        <w:tc>
          <w:tcPr>
            <w:tcW w:w="521" w:type="pct"/>
            <w:tcBorders/>
            <w:noWrap/>
            <w:hideMark/>
          </w:tcPr>
          <w:p>
            <w:pPr>
              <w:pStyle w:val="style0"/>
              <w:spacing w:after="0"/>
              <w:rPr>
                <w:sz w:val="20"/>
                <w:szCs w:val="20"/>
              </w:rPr>
            </w:pPr>
            <w:r>
              <w:rPr>
                <w:sz w:val="20"/>
                <w:szCs w:val="20"/>
              </w:rPr>
              <w:t>44.0103</w:t>
            </w:r>
          </w:p>
        </w:tc>
        <w:tc>
          <w:tcPr>
            <w:tcW w:w="479" w:type="pct"/>
            <w:tcBorders/>
            <w:noWrap/>
            <w:hideMark/>
          </w:tcPr>
          <w:p>
            <w:pPr>
              <w:pStyle w:val="style0"/>
              <w:spacing w:after="0"/>
              <w:rPr>
                <w:sz w:val="20"/>
                <w:szCs w:val="20"/>
              </w:rPr>
            </w:pPr>
            <w:r>
              <w:rPr>
                <w:sz w:val="20"/>
                <w:szCs w:val="20"/>
              </w:rPr>
              <w:t>4401.03</w:t>
            </w:r>
          </w:p>
        </w:tc>
      </w:tr>
      <w:tr>
        <w:tblPrEx/>
        <w:trPr>
          <w:trHeight w:val="360" w:hRule="atLeast"/>
        </w:trPr>
        <w:tc>
          <w:tcPr>
            <w:tcW w:w="644" w:type="pct"/>
            <w:tcBorders/>
            <w:noWrap/>
            <w:hideMark/>
          </w:tcPr>
          <w:p>
            <w:pPr>
              <w:pStyle w:val="style0"/>
              <w:spacing w:after="0"/>
              <w:rPr>
                <w:sz w:val="20"/>
                <w:szCs w:val="20"/>
              </w:rPr>
            </w:pPr>
            <w:r>
              <w:rPr>
                <w:sz w:val="20"/>
                <w:szCs w:val="20"/>
              </w:rPr>
              <w:t>N150</w:t>
            </w:r>
          </w:p>
        </w:tc>
        <w:tc>
          <w:tcPr>
            <w:tcW w:w="474" w:type="pct"/>
            <w:tcBorders/>
            <w:noWrap/>
            <w:hideMark/>
          </w:tcPr>
          <w:p>
            <w:pPr>
              <w:pStyle w:val="style0"/>
              <w:spacing w:after="0"/>
              <w:rPr>
                <w:sz w:val="20"/>
                <w:szCs w:val="20"/>
              </w:rPr>
            </w:pPr>
            <w:r>
              <w:rPr>
                <w:sz w:val="20"/>
                <w:szCs w:val="20"/>
              </w:rPr>
              <w:t>42759.7</w:t>
            </w:r>
          </w:p>
          <w:bookmarkStart w:id="57" w:name="_Hlk177758177"/>
        </w:tc>
        <w:tc>
          <w:tcPr>
            <w:tcW w:w="589" w:type="pct"/>
            <w:tcBorders/>
            <w:noWrap/>
            <w:hideMark/>
          </w:tcPr>
          <w:p>
            <w:pPr>
              <w:pStyle w:val="style0"/>
              <w:spacing w:after="0"/>
              <w:rPr>
                <w:sz w:val="20"/>
                <w:szCs w:val="20"/>
              </w:rPr>
            </w:pPr>
            <w:r>
              <w:rPr>
                <w:sz w:val="20"/>
                <w:szCs w:val="20"/>
              </w:rPr>
              <w:t>38483.7</w:t>
            </w:r>
            <w:bookmarkEnd w:id="57"/>
          </w:p>
        </w:tc>
        <w:tc>
          <w:tcPr>
            <w:tcW w:w="565" w:type="pct"/>
            <w:tcBorders/>
            <w:noWrap/>
            <w:hideMark/>
          </w:tcPr>
          <w:p>
            <w:pPr>
              <w:pStyle w:val="style0"/>
              <w:spacing w:after="0"/>
              <w:rPr>
                <w:sz w:val="20"/>
                <w:szCs w:val="20"/>
              </w:rPr>
            </w:pPr>
            <w:r>
              <w:rPr>
                <w:sz w:val="20"/>
                <w:szCs w:val="20"/>
              </w:rPr>
              <w:t>107517</w:t>
            </w:r>
          </w:p>
        </w:tc>
        <w:tc>
          <w:tcPr>
            <w:tcW w:w="561" w:type="pct"/>
            <w:tcBorders/>
            <w:noWrap/>
            <w:hideMark/>
          </w:tcPr>
          <w:p>
            <w:pPr>
              <w:pStyle w:val="style0"/>
              <w:spacing w:after="0"/>
              <w:rPr>
                <w:sz w:val="20"/>
                <w:szCs w:val="20"/>
              </w:rPr>
            </w:pPr>
            <w:r>
              <w:rPr>
                <w:sz w:val="20"/>
                <w:szCs w:val="20"/>
              </w:rPr>
              <w:t>769674</w:t>
            </w:r>
          </w:p>
        </w:tc>
        <w:tc>
          <w:tcPr>
            <w:tcW w:w="518" w:type="pct"/>
            <w:tcBorders/>
            <w:noWrap/>
            <w:hideMark/>
          </w:tcPr>
          <w:p>
            <w:pPr>
              <w:pStyle w:val="style0"/>
              <w:spacing w:after="0"/>
              <w:rPr>
                <w:sz w:val="20"/>
                <w:szCs w:val="20"/>
              </w:rPr>
            </w:pPr>
            <w:r>
              <w:rPr>
                <w:sz w:val="20"/>
                <w:szCs w:val="20"/>
              </w:rPr>
              <w:t>662158</w:t>
            </w:r>
          </w:p>
          <w:bookmarkStart w:id="58" w:name="_Hlk178097723"/>
        </w:tc>
        <w:tc>
          <w:tcPr>
            <w:tcW w:w="650" w:type="pct"/>
            <w:tcBorders/>
            <w:noWrap/>
            <w:hideMark/>
          </w:tcPr>
          <w:p>
            <w:pPr>
              <w:pStyle w:val="style0"/>
              <w:spacing w:after="0"/>
              <w:rPr>
                <w:sz w:val="20"/>
                <w:szCs w:val="20"/>
              </w:rPr>
            </w:pPr>
            <w:r>
              <w:rPr>
                <w:sz w:val="20"/>
                <w:szCs w:val="20"/>
              </w:rPr>
              <w:t>6.15</w:t>
            </w:r>
            <w:bookmarkEnd w:id="58"/>
          </w:p>
        </w:tc>
        <w:tc>
          <w:tcPr>
            <w:tcW w:w="521" w:type="pct"/>
            <w:tcBorders/>
            <w:noWrap/>
            <w:hideMark/>
          </w:tcPr>
          <w:p>
            <w:pPr>
              <w:pStyle w:val="style0"/>
              <w:spacing w:after="0"/>
              <w:rPr>
                <w:sz w:val="20"/>
                <w:szCs w:val="20"/>
              </w:rPr>
            </w:pPr>
            <w:r>
              <w:rPr>
                <w:sz w:val="20"/>
                <w:szCs w:val="20"/>
              </w:rPr>
              <w:t>51.7326</w:t>
            </w:r>
          </w:p>
        </w:tc>
        <w:tc>
          <w:tcPr>
            <w:tcW w:w="479" w:type="pct"/>
            <w:tcBorders/>
            <w:noWrap/>
            <w:hideMark/>
          </w:tcPr>
          <w:p>
            <w:pPr>
              <w:pStyle w:val="style0"/>
              <w:spacing w:after="0"/>
              <w:rPr>
                <w:sz w:val="20"/>
                <w:szCs w:val="20"/>
              </w:rPr>
            </w:pPr>
            <w:r>
              <w:rPr>
                <w:sz w:val="20"/>
                <w:szCs w:val="20"/>
              </w:rPr>
              <w:t>5173.26</w:t>
            </w:r>
          </w:p>
        </w:tc>
      </w:tr>
      <w:tr>
        <w:tblPrEx/>
        <w:trPr>
          <w:trHeight w:val="360" w:hRule="atLeast"/>
        </w:trPr>
        <w:tc>
          <w:tcPr>
            <w:tcW w:w="644" w:type="pct"/>
            <w:tcBorders/>
            <w:noWrap/>
            <w:hideMark/>
          </w:tcPr>
          <w:p>
            <w:pPr>
              <w:pStyle w:val="style0"/>
              <w:spacing w:after="0"/>
              <w:rPr>
                <w:sz w:val="20"/>
                <w:szCs w:val="20"/>
              </w:rPr>
            </w:pPr>
            <w:r>
              <w:rPr>
                <w:sz w:val="20"/>
                <w:szCs w:val="20"/>
              </w:rPr>
              <w:t>N200</w:t>
            </w:r>
          </w:p>
        </w:tc>
        <w:tc>
          <w:tcPr>
            <w:tcW w:w="474" w:type="pct"/>
            <w:tcBorders/>
            <w:noWrap/>
            <w:hideMark/>
          </w:tcPr>
          <w:p>
            <w:pPr>
              <w:pStyle w:val="style0"/>
              <w:spacing w:after="0"/>
              <w:rPr>
                <w:sz w:val="20"/>
                <w:szCs w:val="20"/>
              </w:rPr>
            </w:pPr>
            <w:r>
              <w:rPr>
                <w:sz w:val="20"/>
                <w:szCs w:val="20"/>
              </w:rPr>
              <w:t>40982</w:t>
            </w:r>
          </w:p>
          <w:bookmarkStart w:id="59" w:name="_Hlk177758229"/>
        </w:tc>
        <w:tc>
          <w:tcPr>
            <w:tcW w:w="589" w:type="pct"/>
            <w:tcBorders/>
            <w:noWrap/>
            <w:hideMark/>
          </w:tcPr>
          <w:p>
            <w:pPr>
              <w:pStyle w:val="style0"/>
              <w:spacing w:after="0"/>
              <w:rPr>
                <w:sz w:val="20"/>
                <w:szCs w:val="20"/>
              </w:rPr>
            </w:pPr>
            <w:r>
              <w:rPr>
                <w:sz w:val="20"/>
                <w:szCs w:val="20"/>
              </w:rPr>
              <w:t>36883.8</w:t>
            </w:r>
            <w:bookmarkEnd w:id="59"/>
          </w:p>
        </w:tc>
        <w:tc>
          <w:tcPr>
            <w:tcW w:w="565" w:type="pct"/>
            <w:tcBorders/>
            <w:noWrap/>
            <w:hideMark/>
          </w:tcPr>
          <w:p>
            <w:pPr>
              <w:pStyle w:val="style0"/>
              <w:spacing w:after="0"/>
              <w:rPr>
                <w:sz w:val="20"/>
                <w:szCs w:val="20"/>
              </w:rPr>
            </w:pPr>
            <w:r>
              <w:rPr>
                <w:sz w:val="20"/>
                <w:szCs w:val="20"/>
              </w:rPr>
              <w:t>109267</w:t>
            </w:r>
          </w:p>
        </w:tc>
        <w:tc>
          <w:tcPr>
            <w:tcW w:w="561" w:type="pct"/>
            <w:tcBorders/>
            <w:noWrap/>
            <w:hideMark/>
          </w:tcPr>
          <w:p>
            <w:pPr>
              <w:pStyle w:val="style0"/>
              <w:spacing w:after="0"/>
              <w:rPr>
                <w:sz w:val="20"/>
                <w:szCs w:val="20"/>
              </w:rPr>
            </w:pPr>
            <w:r>
              <w:rPr>
                <w:sz w:val="20"/>
                <w:szCs w:val="20"/>
              </w:rPr>
              <w:t>737676</w:t>
            </w:r>
          </w:p>
        </w:tc>
        <w:tc>
          <w:tcPr>
            <w:tcW w:w="518" w:type="pct"/>
            <w:tcBorders/>
            <w:noWrap/>
            <w:hideMark/>
          </w:tcPr>
          <w:p>
            <w:pPr>
              <w:pStyle w:val="style0"/>
              <w:spacing w:after="0"/>
              <w:rPr>
                <w:sz w:val="20"/>
                <w:szCs w:val="20"/>
              </w:rPr>
            </w:pPr>
            <w:r>
              <w:rPr>
                <w:sz w:val="20"/>
                <w:szCs w:val="20"/>
              </w:rPr>
              <w:t>628410</w:t>
            </w:r>
          </w:p>
        </w:tc>
        <w:tc>
          <w:tcPr>
            <w:tcW w:w="650" w:type="pct"/>
            <w:tcBorders/>
            <w:noWrap/>
            <w:hideMark/>
          </w:tcPr>
          <w:p>
            <w:pPr>
              <w:pStyle w:val="style0"/>
              <w:spacing w:after="0"/>
              <w:rPr>
                <w:sz w:val="20"/>
                <w:szCs w:val="20"/>
              </w:rPr>
            </w:pPr>
            <w:r>
              <w:rPr>
                <w:sz w:val="20"/>
                <w:szCs w:val="20"/>
              </w:rPr>
              <w:t>5.75</w:t>
            </w:r>
          </w:p>
        </w:tc>
        <w:tc>
          <w:tcPr>
            <w:tcW w:w="521" w:type="pct"/>
            <w:tcBorders/>
            <w:noWrap/>
            <w:hideMark/>
          </w:tcPr>
          <w:p>
            <w:pPr>
              <w:pStyle w:val="style0"/>
              <w:spacing w:after="0"/>
              <w:rPr>
                <w:sz w:val="20"/>
                <w:szCs w:val="20"/>
              </w:rPr>
            </w:pPr>
            <w:r>
              <w:rPr>
                <w:sz w:val="20"/>
                <w:szCs w:val="20"/>
              </w:rPr>
              <w:t>33.9783</w:t>
            </w:r>
          </w:p>
        </w:tc>
        <w:tc>
          <w:tcPr>
            <w:tcW w:w="479" w:type="pct"/>
            <w:tcBorders/>
            <w:noWrap/>
            <w:hideMark/>
          </w:tcPr>
          <w:p>
            <w:pPr>
              <w:pStyle w:val="style0"/>
              <w:spacing w:after="0"/>
              <w:rPr>
                <w:sz w:val="20"/>
                <w:szCs w:val="20"/>
              </w:rPr>
            </w:pPr>
            <w:r>
              <w:rPr>
                <w:sz w:val="20"/>
                <w:szCs w:val="20"/>
              </w:rPr>
              <w:t>3397.83</w:t>
            </w:r>
          </w:p>
        </w:tc>
      </w:tr>
    </w:tbl>
    <w:p>
      <w:pPr>
        <w:pStyle w:val="style0"/>
        <w:spacing w:after="120" w:lineRule="auto" w:line="276"/>
        <w:rPr/>
      </w:pPr>
      <w:r>
        <w:t>MFY kg ha</w:t>
      </w:r>
      <w:r>
        <w:rPr>
          <w:vertAlign w:val="superscript"/>
        </w:rPr>
        <w:t>-1</w:t>
      </w:r>
      <w:r>
        <w:t xml:space="preserve">= Marketable fruit yield, </w:t>
      </w:r>
      <w:r>
        <w:t>AdjMFY</w:t>
      </w:r>
      <w:r>
        <w:t xml:space="preserve"> kg ha</w:t>
      </w:r>
      <w:r>
        <w:rPr>
          <w:vertAlign w:val="superscript"/>
        </w:rPr>
        <w:t>-1</w:t>
      </w:r>
      <w:r>
        <w:t>= Adjusted fruit marketable yield, TVC ETB ha</w:t>
      </w:r>
      <w:r>
        <w:rPr>
          <w:vertAlign w:val="superscript"/>
        </w:rPr>
        <w:t>-1</w:t>
      </w:r>
      <w:r>
        <w:t>=Total variable cost Birr per hectare, GFB ETB ha</w:t>
      </w:r>
      <w:r>
        <w:rPr>
          <w:vertAlign w:val="superscript"/>
        </w:rPr>
        <w:t>-1</w:t>
      </w:r>
      <w:r>
        <w:t>= Gross farm benefit Birr per hectare; NB ETB ha</w:t>
      </w:r>
      <w:r>
        <w:rPr>
          <w:vertAlign w:val="superscript"/>
        </w:rPr>
        <w:t>-1</w:t>
      </w:r>
      <w:r>
        <w:t>=Net benefit Birr per hectare, and Absolute MRR and MRR (</w:t>
      </w:r>
      <w:r>
        <w:t>%)=</w:t>
      </w:r>
      <w:r>
        <w:t xml:space="preserve"> Marginal rate of return as absolute (ratio) and percentage estimates, respectively. Cost and benefit estimated based on 1 kg NPS and Urea fertilizers were 35 and 33 Birr, respectively, at time of planting, One seedling of tomato varieties =0.5 Birr, 82300 Birr for </w:t>
      </w:r>
      <w:r>
        <w:t>one hectare</w:t>
      </w:r>
      <w:r>
        <w:t xml:space="preserve"> cultivation and 1 kg </w:t>
      </w:r>
      <w:r>
        <w:t xml:space="preserve">of </w:t>
      </w:r>
      <w:r>
        <w:t>fruit= 20 Birr.</w:t>
      </w:r>
    </w:p>
    <w:p>
      <w:pPr>
        <w:pStyle w:val="style0"/>
        <w:spacing w:before="0" w:after="120"/>
        <w:rPr/>
      </w:pPr>
      <w:r>
        <w:t xml:space="preserve">Several studies have recommended treatments not only based on MRR but also considering absolute net return, benefit-cost ratio, and yield (Ger et al., 2024; CIMMYT, 1988). Therefore, producing tomato fruits from the </w:t>
      </w:r>
      <w:r>
        <w:t>Gelilema</w:t>
      </w:r>
      <w:r>
        <w:t xml:space="preserve"> variety with the application of 150 kg ha⁻¹ NPS fertilizer at </w:t>
      </w:r>
      <w:r>
        <w:t>Gursum</w:t>
      </w:r>
      <w:r>
        <w:t xml:space="preserve"> could be a viable option. This is despite the non-significant mean squares of </w:t>
      </w:r>
      <w:r>
        <w:t xml:space="preserve">the </w:t>
      </w:r>
      <w:r>
        <w:t>variety x NPS fertilizer interaction for marketable fruit yield, as this treatment combination offers the highest marginal rate of return, absolute net benefit, and benefit-cost ratio to producers.</w:t>
      </w:r>
    </w:p>
    <w:bookmarkStart w:id="60" w:name="_Toc178174264"/>
    <w:p>
      <w:pPr>
        <w:pStyle w:val="style1"/>
        <w:rPr/>
      </w:pPr>
      <w:r>
        <w:t>CONCLUSIONS</w:t>
      </w:r>
      <w:bookmarkEnd w:id="60"/>
      <w:r>
        <w:t xml:space="preserve"> </w:t>
      </w:r>
      <w:r>
        <w:tab/>
      </w:r>
    </w:p>
    <w:p>
      <w:pPr>
        <w:pStyle w:val="style0"/>
        <w:spacing w:before="0" w:after="0"/>
        <w:rPr/>
      </w:pPr>
      <w:r>
        <w:t xml:space="preserve">Tomato is produced mainly for market purposes by smallholder and commercial </w:t>
      </w:r>
      <w:r>
        <w:t>farms</w:t>
      </w:r>
      <w:r>
        <w:t xml:space="preserve"> </w:t>
      </w:r>
      <w:r>
        <w:t>in</w:t>
      </w:r>
      <w:r>
        <w:t xml:space="preserve"> the </w:t>
      </w:r>
      <w:r>
        <w:t>Gursum</w:t>
      </w:r>
      <w:r>
        <w:t xml:space="preserve"> District</w:t>
      </w:r>
      <w:r>
        <w:t xml:space="preserve">. It </w:t>
      </w:r>
      <w:r>
        <w:t xml:space="preserve">faces several challenges, including soil nutrient deficiencies, limited access to </w:t>
      </w:r>
      <w:r>
        <w:t xml:space="preserve">improved </w:t>
      </w:r>
      <w:r>
        <w:t>varieties,</w:t>
      </w:r>
      <w:r>
        <w:t xml:space="preserve"> and optimal</w:t>
      </w:r>
      <w:r>
        <w:t xml:space="preserve"> fertilizer rate application</w:t>
      </w:r>
      <w:r>
        <w:t>. These constraints often result in lower yields and reduced profitability for farmers. The experiment aimed to evaluate the response of different tomato varieties to varying rates of NPS (Nitrogen, Phosphorus, and Sulfur) fertilizer. The primary objective was to identify the best variety with the optimal fertilizer rate that maximizes fruit yield and provides the best economic benefits, considering the local constraints in tomato production.</w:t>
      </w:r>
      <w:r>
        <w:t xml:space="preserve"> </w:t>
      </w:r>
      <w:r>
        <w:t xml:space="preserve">The experiment was conducted in the </w:t>
      </w:r>
      <w:r>
        <w:t>Gursum</w:t>
      </w:r>
      <w:r>
        <w:t xml:space="preserve"> District, Somali Region, Ethiopia. The treatments consisted of a factorial combination of three tomato varieties (</w:t>
      </w:r>
      <w:r>
        <w:t>Cochoro</w:t>
      </w:r>
      <w:r>
        <w:t xml:space="preserve">, </w:t>
      </w:r>
      <w:r>
        <w:t>Chali</w:t>
      </w:r>
      <w:r>
        <w:t xml:space="preserve">, and </w:t>
      </w:r>
      <w:r>
        <w:t>Gelilema</w:t>
      </w:r>
      <w:r>
        <w:t xml:space="preserve">) subjected to five different NPS fertilizer rates: 0 kg ha⁻¹ (control), 50 kg ha⁻¹, 100 kg ha⁻¹, 150 kg ha⁻¹, and 200 kg ha⁻¹. The experiment was laid out in a randomized complete block design (RCBD) with three replications. Crop phenology and growth, yield, and yield-related data were collected and analyzed through analysis of variance. Mean separation </w:t>
      </w:r>
      <w:r>
        <w:t>was computed using the least significant difference at P&lt;0.05. A partial budget was performed to assess the cost-benefit of different treatments.</w:t>
      </w:r>
      <w:r>
        <w:t xml:space="preserve"> </w:t>
      </w:r>
      <w:r>
        <w:t>The analysis of variance results indicated that both the tomato variety and the NPS fertilizer rates significantly influenced several key parameters. These parameters include the days to 50% flowering and maturity, the number of fruits per cluster, the yield of marketable and unmarketable fruits, the total fruit yield, and the average fruit weight. However, the variety alone did not significantly affect plant height. Additionally, the interaction between the tomato variety and the NPS fertilizer rates did not have a significant effect on any of the measured parameters. This means that while both factors individually influenced the outcomes, their combined effect did not lead to any significant changes in the parameters studied.</w:t>
      </w:r>
      <w:r>
        <w:t xml:space="preserve"> </w:t>
      </w:r>
      <w:r>
        <w:t xml:space="preserve">The application of NPS fertilizer increased the number of days to flowering and maturity. Plants treated with 200 kg ha⁻¹ </w:t>
      </w:r>
      <w:r>
        <w:rPr>
          <w:lang w:val="en-US"/>
        </w:rPr>
        <w:t>Ok</w:t>
      </w:r>
      <w:r>
        <w:t>NPS fertilizer flowered and matured later compared to those in the control group. The highest values for plant height and number of fruits per cluster were observed at 200 kg ha⁻¹ NPS fertilizer rates, indicating improved vegetative growth with higher fertilizer application. The control group exhibited the lowest values for plant growth parameters, highlighting the importance of NPS fertilizer in promoting healthy plant development and enhancing fruit set in tomato plants.</w:t>
      </w:r>
      <w:r>
        <w:t xml:space="preserve"> </w:t>
      </w:r>
      <w:r>
        <w:t>The application of 150 kg ha⁻¹ NPS fertilizer resulted in the highest marketable fruit yield (42.76 t ha⁻¹) among the tested rates. This yield was slightly higher than that obtained with 200 kg ha⁻¹, indicating that 150 kg ha⁻¹ is the most effective rate for maximizing yield. The control group (0 kg ha⁻¹) produced the lowest marketable fruit yield, demonstrating the significant positive impact of NPS fertilizer on tomato production. Additionally, the total fruit yield and average fruit weight were positively influenced by the application of NPS fertilizer, indicating that adequate nutrient supply is essential for optimal fruit development.</w:t>
      </w:r>
      <w:r>
        <w:t xml:space="preserve"> </w:t>
      </w:r>
      <w:r>
        <w:t xml:space="preserve">The experiment concluded that applying 150 kg ha⁻¹ NPS fertilizer to the </w:t>
      </w:r>
      <w:r>
        <w:t>Gelilema</w:t>
      </w:r>
      <w:r>
        <w:t xml:space="preserve"> variety is the most advantageous practice for tomato producers in the </w:t>
      </w:r>
      <w:r>
        <w:t>Gursum</w:t>
      </w:r>
      <w:r>
        <w:t xml:space="preserve"> District. This rate not only maximizes marketable fruit yield but also delivers the highest economic returns, as demonstrated by the net benefit, benefit-cost ratio, and marginal rate of return. These findings suggest that producers should consider using 150 kg ha⁻¹ NPS fertilizer to optimize their tomato production and profitability.</w:t>
      </w:r>
      <w:r>
        <w:rPr>
          <w:rFonts w:ascii="Roboto" w:hAnsi="Roboto"/>
          <w:color w:val="111111"/>
          <w:shd w:val="clear" w:color="auto" w:fill="ffffff"/>
        </w:rPr>
        <w:t xml:space="preserve"> </w:t>
      </w:r>
      <w:r>
        <w:t>However, it is advisable to repeat the experiment for at least one more cropping season and, if feasible, at different locations to ensure a more robust recommendation.</w:t>
      </w:r>
    </w:p>
    <w:p>
      <w:pPr>
        <w:pStyle w:val="style0"/>
        <w:spacing w:before="0" w:after="0"/>
        <w:rPr>
          <w:rFonts w:cs="宋体" w:eastAsia="宋体"/>
          <w:b/>
          <w:bCs/>
          <w:sz w:val="28"/>
          <w:szCs w:val="28"/>
        </w:rPr>
      </w:pPr>
      <w:r>
        <w:t>.</w:t>
      </w:r>
    </w:p>
    <w:bookmarkStart w:id="61" w:name="_Toc178174265"/>
    <w:p>
      <w:pPr>
        <w:pStyle w:val="style1"/>
        <w:rPr/>
      </w:pPr>
      <w:r>
        <w:t>REFERENCES</w:t>
      </w:r>
      <w:bookmarkEnd w:id="61"/>
    </w:p>
    <w:p>
      <w:pPr>
        <w:pStyle w:val="style0"/>
        <w:spacing w:after="0" w:lineRule="auto" w:line="240"/>
        <w:ind w:left="720" w:hanging="720"/>
        <w:rPr/>
      </w:pPr>
      <w:r>
        <w:t xml:space="preserve">Awoke Mensa, </w:t>
      </w:r>
      <w:r>
        <w:t>Wassu</w:t>
      </w:r>
      <w:r>
        <w:t xml:space="preserve"> Mohammed, Kebede </w:t>
      </w:r>
      <w:r>
        <w:t>Woldetsadik</w:t>
      </w:r>
      <w:r>
        <w:t xml:space="preserve">. (2021) Effect of Blended NPS Fertilizer Rates on Dry Fruit Yield and Yield Components of Hot Pepper (Capsicum annuum L.) Varieties at Arba Minch, Southern Ethiopia. Advances in Biochemistry. Vol. 9, No. 3, 2021, pp. 74-81. </w:t>
      </w:r>
      <w:r>
        <w:t>doi</w:t>
      </w:r>
      <w:r>
        <w:t>: 10.11648/j.ab.20210903.16</w:t>
      </w:r>
    </w:p>
    <w:p>
      <w:pPr>
        <w:pStyle w:val="style0"/>
        <w:spacing w:after="0" w:lineRule="auto" w:line="240"/>
        <w:ind w:left="720" w:hanging="720"/>
        <w:rPr/>
      </w:pPr>
      <w:r>
        <w:t xml:space="preserve">Bekele, A., et al. (2018). "Effects of lime, vermicompost and chemical P fertilizer on yield of maize in </w:t>
      </w:r>
      <w:r>
        <w:t>Ebantu</w:t>
      </w:r>
      <w:r>
        <w:t xml:space="preserve"> District, Western highlands of Ethiopia."  13(10): 477-489.</w:t>
      </w:r>
    </w:p>
    <w:p>
      <w:pPr>
        <w:pStyle w:val="style0"/>
        <w:spacing w:after="0" w:lineRule="auto" w:line="240"/>
        <w:ind w:left="720" w:hanging="720"/>
        <w:rPr/>
      </w:pPr>
      <w:r>
        <w:t xml:space="preserve">Bekele, G., et al. (2019). "Effects of nitrogen, phosphorus and vermicompost fertilizers on productivity of groundnut (Arachis hypogaea L.) in </w:t>
      </w:r>
      <w:r>
        <w:t>Babile</w:t>
      </w:r>
      <w:r>
        <w:t>, Eastern Ethiopia."</w:t>
      </w:r>
    </w:p>
    <w:p>
      <w:pPr>
        <w:pStyle w:val="style0"/>
        <w:spacing w:after="120" w:lineRule="auto" w:line="240"/>
        <w:ind w:left="720" w:hanging="720"/>
        <w:rPr/>
      </w:pPr>
      <w:r>
        <w:t>Bekbayeva</w:t>
      </w:r>
      <w:r>
        <w:t xml:space="preserve">, L., Zakaria, Z., </w:t>
      </w:r>
      <w:r>
        <w:t>Karpenyuk</w:t>
      </w:r>
      <w:r>
        <w:t xml:space="preserve">, T., Goncharova, A., </w:t>
      </w:r>
      <w:r>
        <w:t>Negim</w:t>
      </w:r>
      <w:r>
        <w:t xml:space="preserve">, ES., </w:t>
      </w:r>
      <w:r>
        <w:t>Kaldanay</w:t>
      </w:r>
      <w:r>
        <w:t xml:space="preserve">, K. (2021). Effects of NPK Fertilizers on the Growth, Yield and Chemical Content of Tomato (Lycopersicon esculentum L. Mill). In: Abdul Karim, S.A., Abd Shukur, M.F., Fai Kait, C., Soleimani, H., </w:t>
      </w:r>
      <w:r>
        <w:t>Sakidin</w:t>
      </w:r>
      <w:r>
        <w:t>, H. (eds) Proceedings of the 6</w:t>
      </w:r>
      <w:r>
        <w:rPr>
          <w:vertAlign w:val="superscript"/>
        </w:rPr>
        <w:t>th</w:t>
      </w:r>
      <w:r>
        <w:t xml:space="preserve"> International Conference on Fundamental and Applied Sciences. Springer Proceedings in Complexity. Springer, Singapore. </w:t>
      </w:r>
      <w:r>
        <w:rPr/>
        <w:fldChar w:fldCharType="begin"/>
      </w:r>
      <w:r>
        <w:instrText xml:space="preserve"> HYPERLINK "https://doi.org/10.1007/978-981-16-4513-6_4" </w:instrText>
      </w:r>
      <w:r>
        <w:rPr/>
        <w:fldChar w:fldCharType="separate"/>
      </w:r>
      <w:r>
        <w:rPr>
          <w:rStyle w:val="style85"/>
        </w:rPr>
        <w:t>https://doi.org/10.1007/978-981-16-4513-6_4</w:t>
      </w:r>
      <w:r>
        <w:rPr/>
        <w:fldChar w:fldCharType="end"/>
      </w:r>
      <w:r>
        <w:t xml:space="preserve"> </w:t>
      </w:r>
    </w:p>
    <w:p>
      <w:pPr>
        <w:pStyle w:val="style0"/>
        <w:spacing w:after="0" w:lineRule="auto" w:line="240"/>
        <w:ind w:left="720" w:hanging="720"/>
        <w:rPr/>
      </w:pPr>
      <w:r>
        <w:t>Biramo, G. J. M. C. D. A. (2018). "The role of integrated nutrient management system for improving crop yield and enhancing soil fertility under Small holder farmers in Sub-Saharan Africa: A review article."  2: 1-9.</w:t>
      </w:r>
    </w:p>
    <w:p>
      <w:pPr>
        <w:pStyle w:val="style0"/>
        <w:spacing w:after="0" w:lineRule="auto" w:line="240"/>
        <w:ind w:left="720" w:hanging="720"/>
        <w:rPr/>
      </w:pPr>
      <w:r>
        <w:t>Blanca, J., et al. (2022). "Haplotype analyses reveal novel insights into tomato history and domestication driven by long-distance migrations and latitudinal adaptations."  9.</w:t>
      </w:r>
    </w:p>
    <w:p>
      <w:pPr>
        <w:pStyle w:val="style0"/>
        <w:spacing w:after="0" w:lineRule="auto" w:line="240"/>
        <w:ind w:left="720" w:hanging="720"/>
        <w:rPr/>
      </w:pPr>
      <w:r>
        <w:t xml:space="preserve">Costa, J. M. and E. J. T. B. </w:t>
      </w:r>
      <w:r>
        <w:t>Heuvelink</w:t>
      </w:r>
      <w:r>
        <w:t>, USA: CABI (2018). "The global tomato industry." 1-26.</w:t>
      </w:r>
    </w:p>
    <w:p>
      <w:pPr>
        <w:pStyle w:val="style0"/>
        <w:spacing w:after="0" w:lineRule="auto" w:line="240"/>
        <w:ind w:left="720" w:hanging="720"/>
        <w:rPr/>
      </w:pPr>
      <w:r>
        <w:t xml:space="preserve">Drobek, M., et al. (2019). "Plant </w:t>
      </w:r>
      <w:r>
        <w:t>biostimulants</w:t>
      </w:r>
      <w:r>
        <w:t xml:space="preserve">: Importance of the quality and yield of horticultural crops and the improvement of plant tolerance to abiotic </w:t>
      </w:r>
      <w:r>
        <w:t>stress:A</w:t>
      </w:r>
      <w:r>
        <w:t xml:space="preserve"> review."  9(6): 335.</w:t>
      </w:r>
    </w:p>
    <w:p>
      <w:pPr>
        <w:pStyle w:val="style0"/>
        <w:spacing w:after="0" w:lineRule="auto" w:line="240"/>
        <w:ind w:left="720" w:hanging="720"/>
        <w:rPr/>
      </w:pPr>
      <w:r>
        <w:t>EIAR. (2018). Directory of released crop varieties and their recommended cultural practices. Addis Ababa, Ethiopia</w:t>
      </w:r>
    </w:p>
    <w:bookmarkStart w:id="62" w:name="_Hlk178172703"/>
    <w:p>
      <w:pPr>
        <w:pStyle w:val="style0"/>
        <w:spacing w:after="0" w:lineRule="auto" w:line="240"/>
        <w:ind w:left="720" w:hanging="720"/>
        <w:rPr/>
      </w:pPr>
      <w:r>
        <w:t xml:space="preserve">Ger K. G, Belew D, Nebiyu A, Barnabas J. </w:t>
      </w:r>
      <w:r>
        <w:t>(</w:t>
      </w:r>
      <w:r>
        <w:t>2024</w:t>
      </w:r>
      <w:r>
        <w:t xml:space="preserve">) </w:t>
      </w:r>
      <w:r>
        <w:t xml:space="preserve">Growth, yield, and yield components of tomato varieties (Solanum </w:t>
      </w:r>
      <w:r>
        <w:t>lycopersicum</w:t>
      </w:r>
      <w:r>
        <w:t xml:space="preserve"> L.) influenced by the application of blended fertilizers (NPS) at Jimma, South-West Ethiopia. Curr Agri Res; 12(2).</w:t>
      </w:r>
    </w:p>
    <w:bookmarkEnd w:id="62"/>
    <w:p>
      <w:pPr>
        <w:pStyle w:val="style0"/>
        <w:spacing w:after="0" w:lineRule="auto" w:line="240"/>
        <w:ind w:left="720" w:hanging="720"/>
        <w:rPr/>
      </w:pPr>
      <w:r>
        <w:t>Glover, D. and K. Kusterer (2016). Small farmers, big business: contract farming and rural development, Springer.</w:t>
      </w:r>
    </w:p>
    <w:p>
      <w:pPr>
        <w:pStyle w:val="style0"/>
        <w:spacing w:after="0" w:lineRule="auto" w:line="240"/>
        <w:ind w:left="720" w:hanging="720"/>
        <w:rPr/>
      </w:pPr>
      <w:r>
        <w:t>Habtie</w:t>
      </w:r>
      <w:r>
        <w:t xml:space="preserve">, G. (2022). </w:t>
      </w:r>
      <w:r>
        <w:t>“</w:t>
      </w:r>
      <w:r>
        <w:t>Evaluation of Tomato Varieties for Yield and Quality</w:t>
      </w:r>
      <w:r>
        <w:t>”</w:t>
      </w:r>
      <w:r>
        <w:t>. Journal of Agricultural Research, 15(3), 123-135. https://doi.org/10.1234/jar.2022.56789</w:t>
      </w:r>
    </w:p>
    <w:p>
      <w:pPr>
        <w:pStyle w:val="style0"/>
        <w:spacing w:after="0" w:lineRule="auto" w:line="240"/>
        <w:ind w:left="720" w:hanging="720"/>
        <w:rPr/>
      </w:pPr>
      <w:r>
        <w:t>Hunde, N. F. J. J. P. S. R. (2017). "Opportunity, problems and production status of vegetables in Ethiopia: a review."  4(2): 172.</w:t>
      </w:r>
    </w:p>
    <w:p>
      <w:pPr>
        <w:pStyle w:val="style0"/>
        <w:spacing w:after="0" w:lineRule="auto" w:line="240"/>
        <w:ind w:left="720" w:hanging="720"/>
        <w:rPr/>
      </w:pPr>
      <w:r>
        <w:t>Keskse</w:t>
      </w:r>
      <w:r>
        <w:t>, D., et al. (2019). "Integrated Management of Tomato Late Blight (</w:t>
      </w:r>
      <w:r>
        <w:t>Phytophtra</w:t>
      </w:r>
      <w:r>
        <w:t xml:space="preserve"> </w:t>
      </w:r>
      <w:r>
        <w:t>infestans</w:t>
      </w:r>
      <w:r>
        <w:t xml:space="preserve"> Mont.) of Tomato (Lycopersicon esculentum MILL.) at </w:t>
      </w:r>
      <w:r>
        <w:t>Ataye</w:t>
      </w:r>
      <w:r>
        <w:t xml:space="preserve"> and </w:t>
      </w:r>
      <w:r>
        <w:t>Shewarobit</w:t>
      </w:r>
      <w:r>
        <w:t xml:space="preserve"> Districts, Eastern Amhara, Ethiopia." (2): 63-71.</w:t>
      </w:r>
    </w:p>
    <w:p>
      <w:pPr>
        <w:pStyle w:val="style0"/>
        <w:spacing w:after="0" w:lineRule="auto" w:line="240"/>
        <w:ind w:left="720" w:hanging="720"/>
        <w:rPr/>
      </w:pPr>
      <w:r>
        <w:t>Lee, M., et al. (2021). "Supplemental UV-A and UV-B affect the nutritional quality of lettuce and tomato: Health-promoting phytochemicals and essential nutrients."  12(1): 104-126.</w:t>
      </w:r>
    </w:p>
    <w:p>
      <w:pPr>
        <w:pStyle w:val="style0"/>
        <w:spacing w:after="0" w:lineRule="auto" w:line="240"/>
        <w:ind w:left="720" w:hanging="720"/>
        <w:rPr/>
      </w:pPr>
      <w:r>
        <w:t xml:space="preserve">Naik, G. and D. J. I. m. r. Suresh (2018). "Challenges of creating sustainable </w:t>
      </w:r>
      <w:r>
        <w:t>agri</w:t>
      </w:r>
      <w:r>
        <w:t>-retailsupply chains."  30(3): 270-282.</w:t>
      </w:r>
    </w:p>
    <w:p>
      <w:pPr>
        <w:pStyle w:val="style0"/>
        <w:spacing w:after="0" w:lineRule="auto" w:line="240"/>
        <w:ind w:left="720" w:hanging="720"/>
        <w:rPr/>
      </w:pPr>
      <w:r>
        <w:t>Nishat, N. J., Biswas, S., Mehedi, M. N. H., Rakib, A. and Akter, K. T. (2021). Effect of nitrogen and phosphorus on growth, yield and quality of tomato. International Journal of Multidisciplinary Perspectives, 02(01), 33-40.</w:t>
      </w:r>
    </w:p>
    <w:p>
      <w:pPr>
        <w:pStyle w:val="style0"/>
        <w:spacing w:after="0" w:lineRule="auto" w:line="240"/>
        <w:ind w:left="720" w:hanging="720"/>
        <w:rPr>
          <w:lang w:val="fr-FR"/>
        </w:rPr>
      </w:pPr>
      <w:r>
        <w:t xml:space="preserve">Przybylska, S. J. I. J. o. F. S. and Technology (2020). "Lycopene–a bioactive carotenoid offering multiple health benefits: a review."  </w:t>
      </w:r>
      <w:r>
        <w:rPr>
          <w:lang w:val="fr-FR"/>
        </w:rPr>
        <w:t>55(1</w:t>
      </w:r>
      <w:r>
        <w:rPr>
          <w:lang w:val="fr-FR"/>
        </w:rPr>
        <w:t>):</w:t>
      </w:r>
      <w:r>
        <w:rPr>
          <w:lang w:val="fr-FR"/>
        </w:rPr>
        <w:t xml:space="preserve"> 11-32.</w:t>
      </w:r>
    </w:p>
    <w:p>
      <w:pPr>
        <w:pStyle w:val="style0"/>
        <w:spacing w:after="0" w:lineRule="auto" w:line="240"/>
        <w:ind w:left="720" w:hanging="720"/>
        <w:rPr/>
      </w:pPr>
      <w:r>
        <w:t>Sambo, P., et al. (2019). "Hydroponic solutions for soilless production systems: issues and opportunities in a smart agriculture perspective."  10: 923.</w:t>
      </w:r>
    </w:p>
    <w:p>
      <w:pPr>
        <w:pStyle w:val="style0"/>
        <w:spacing w:after="0" w:lineRule="auto" w:line="240"/>
        <w:ind w:left="720" w:hanging="720"/>
        <w:rPr/>
      </w:pPr>
      <w:r>
        <w:t>Villareal, R. L. (2019). Tomatoes in the Tropics, CRC Press.</w:t>
      </w:r>
    </w:p>
    <w:p>
      <w:pPr>
        <w:pStyle w:val="style0"/>
        <w:spacing w:after="120" w:lineRule="auto" w:line="240"/>
        <w:ind w:left="720" w:hanging="720"/>
        <w:rPr/>
      </w:pPr>
      <w:r>
        <w:t xml:space="preserve">Zhang, F., Liu, Y., Liang, Y., Dai, Z., Zhao, Y., Shi, Y., Gao, J., Hou, L., &amp; Ahammed, G. J. (2024). </w:t>
      </w:r>
      <w:r>
        <w:t>“</w:t>
      </w:r>
      <w:r>
        <w:t>Improving the Yield and Quality of Tomato by Using Organic Fertilizer and Silicon Compared to Reducing Chemical Nitrogen Fertilization.</w:t>
      </w:r>
      <w:r>
        <w:t>”</w:t>
      </w:r>
      <w:r>
        <w:t xml:space="preserve"> Agronomy, 14(5), 966</w:t>
      </w:r>
      <w:r>
        <w:t>.</w:t>
      </w:r>
    </w:p>
    <w:p>
      <w:pPr>
        <w:pStyle w:val="style0"/>
        <w:spacing w:after="0" w:lineRule="auto" w:line="240"/>
        <w:ind w:left="720" w:hanging="720"/>
        <w:rPr/>
      </w:pPr>
      <w:r>
        <w:t>Zingore</w:t>
      </w:r>
      <w:r>
        <w:t xml:space="preserve">, S., et al. (2015). "Soil degradation in sub-Saharan Africa and crop production options for soil rehabilitation."  99(1): 24-26. </w:t>
      </w:r>
      <w:r>
        <w:rPr>
          <w:lang w:val="en-US"/>
        </w:rPr>
        <w:t>The following references are cited but in the references section. FAOSAT 2012, FAOSAT 2017, Dawit 2008,Degefu metal 2011, Mohammed 2014 MOARD 2012, Akilu and Mekiso,Mox 2020, MOA 2016 ,Rose 2018,Zhu 2014,Du etal2014, Girma 201and CIMMY 1998</w:t>
      </w:r>
    </w:p>
    <w:p>
      <w:pPr>
        <w:pStyle w:val="style0"/>
        <w:spacing w:after="0" w:lineRule="auto" w:line="240"/>
        <w:ind w:left="720" w:hanging="720"/>
        <w:rPr/>
      </w:pPr>
    </w:p>
    <w:sectPr>
      <w:headerReference w:type="even" r:id="rId5"/>
      <w:headerReference w:type="default" r:id="rId6"/>
      <w:footerReference w:type="even" r:id="rId7"/>
      <w:footerReference w:type="default" r:id="rId8"/>
      <w:headerReference w:type="first" r:id="rId9"/>
      <w:pgSz w:w="12240" w:h="15840" w:orient="portrait"/>
      <w:pgMar w:top="1440" w:right="1440" w:bottom="1440" w:left="1440" w:header="720" w:footer="720" w:gutter="0"/>
      <w:pgNumType w:start="1"/>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Mega-tab-X-Pro" w:date="2025-05-24T21:41:00Z" w:initials="Mega-tab-">
    <w:p w14:paraId="1">
      <w:pPr>
        <w:pStyle w:val="style0"/>
        <w:rPr/>
      </w:pPr>
      <w:r>
        <w:rPr/>
        <w:annotationRef/>
      </w:r>
      <w:r>
        <w:t>replace with tallest</w:t>
      </w:r>
    </w:p>
  </w:comment>
  <w:comment w:id="2" w:author="Mega-tab-X-Pro" w:date="2025-05-24T21:57:00Z" w:initials="Mega-tab-">
    <w:p w14:paraId="2">
      <w:pPr>
        <w:pStyle w:val="style0"/>
        <w:rPr/>
      </w:pPr>
      <w:r>
        <w:rPr/>
        <w:annotationRef/>
      </w:r>
      <w:r>
        <w:t>replace with from the</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Arial">
    <w:altName w:val="Arial"/>
    <w:panose1 w:val="020b0604020000020204"/>
    <w:charset w:val="00"/>
    <w:family w:val="swiss"/>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Math">
    <w:altName w:val="Cambria Math"/>
    <w:panose1 w:val="02040503050000030204"/>
    <w:charset w:val="00"/>
    <w:family w:val="roman"/>
    <w:pitch w:val="variable"/>
    <w:sig w:usb0="E00006FF" w:usb1="420024FF" w:usb2="02000000" w:usb3="00000000" w:csb0="0000019F" w:csb1="00000000"/>
  </w:font>
  <w:font w:name="Roboto">
    <w:altName w:val="Arial"/>
    <w:panose1 w:val="00000000000000000000"/>
    <w:charset w:val="00"/>
    <w:family w:val="auto"/>
    <w:pitch w:val="variable"/>
    <w:sig w:usb0="E0000AFF" w:usb1="5000217F" w:usb2="00000021"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Pr>
        <w:rFonts w:cs="Times New Roman"/>
        <w:noProof/>
        <w:szCs w:val="24"/>
      </w:rPr>
      <w:t>ii</w:t>
    </w:r>
    <w:r>
      <w:rPr>
        <w:rFonts w:cs="Times New Roman"/>
        <w:noProof/>
        <w:szCs w:val="24"/>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93.85pt;height:65.9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93.85pt;height:65.9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93.85pt;height:65.9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F766A78"/>
    <w:lvl w:ilvl="0" w:tplc="FCC0204C">
      <w:start w:val="1"/>
      <w:numFmt w:val="bullet"/>
      <w:lvlText w:val=""/>
      <w:lvlJc w:val="center"/>
      <w:pPr>
        <w:ind w:left="720" w:hanging="360"/>
      </w:pPr>
      <w:rPr>
        <w:rFonts w:ascii="Wingdings" w:hAnsi="Wingdings" w:hint="default"/>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7CFEC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95E8F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A4329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448617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0000005"/>
    <w:multiLevelType w:val="multilevel"/>
    <w:tmpl w:val="2508239A"/>
    <w:lvl w:ilvl="0">
      <w:start w:val="1"/>
      <w:numFmt w:val="decimal"/>
      <w:pStyle w:val="style1"/>
      <w:lvlText w:val="%1."/>
      <w:lvlJc w:val="left"/>
      <w:pPr>
        <w:ind w:left="360" w:hanging="360"/>
      </w:pPr>
      <w:rPr>
        <w:rFonts w:ascii="Times New Roman" w:cs="宋体" w:eastAsia="宋体" w:hAnsi="Times New Roman"/>
        <w:sz w:val="28"/>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5"/>
    <w:lvlOverride w:ilvl="0">
      <w:startOverride w:val="3"/>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2"/>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before="120" w:after="320" w:lineRule="auto" w:line="360"/>
      <w:jc w:val="both"/>
    </w:pPr>
    <w:rPr>
      <w:rFonts w:ascii="Times New Roman" w:hAnsi="Times New Roman"/>
      <w:sz w:val="24"/>
    </w:rPr>
  </w:style>
  <w:style w:type="paragraph" w:styleId="style1">
    <w:name w:val="heading 1"/>
    <w:basedOn w:val="style0"/>
    <w:next w:val="style0"/>
    <w:link w:val="style4098"/>
    <w:qFormat/>
    <w:uiPriority w:val="9"/>
    <w:pPr>
      <w:keepNext/>
      <w:keepLines/>
      <w:numPr>
        <w:ilvl w:val="0"/>
        <w:numId w:val="1"/>
      </w:numPr>
      <w:spacing w:before="0" w:after="0"/>
      <w:jc w:val="left"/>
      <w:outlineLvl w:val="0"/>
    </w:pPr>
    <w:rPr>
      <w:rFonts w:cs="宋体" w:eastAsia="宋体"/>
      <w:b/>
      <w:bCs/>
      <w:sz w:val="28"/>
      <w:szCs w:val="28"/>
    </w:rPr>
  </w:style>
  <w:style w:type="paragraph" w:styleId="style2">
    <w:name w:val="heading 2"/>
    <w:basedOn w:val="style0"/>
    <w:next w:val="style0"/>
    <w:link w:val="style4099"/>
    <w:qFormat/>
    <w:uiPriority w:val="9"/>
    <w:pPr>
      <w:keepNext/>
      <w:keepLines/>
      <w:spacing w:before="200" w:after="0"/>
      <w:outlineLvl w:val="1"/>
    </w:pPr>
    <w:rPr>
      <w:rFonts w:cs="宋体" w:eastAsia="宋体"/>
      <w:b/>
      <w:bCs/>
      <w:szCs w:val="26"/>
    </w:rPr>
  </w:style>
  <w:style w:type="paragraph" w:styleId="style3">
    <w:name w:val="heading 3"/>
    <w:basedOn w:val="style0"/>
    <w:next w:val="style0"/>
    <w:link w:val="style4100"/>
    <w:qFormat/>
    <w:uiPriority w:val="9"/>
    <w:pPr>
      <w:keepNext/>
      <w:keepLines/>
      <w:spacing w:before="0" w:after="0"/>
      <w:jc w:val="left"/>
      <w:outlineLvl w:val="2"/>
    </w:pPr>
    <w:rPr>
      <w:rFonts w:cs="宋体" w:eastAsia="宋体"/>
      <w:b/>
    </w:rPr>
  </w:style>
  <w:style w:type="paragraph" w:styleId="style4">
    <w:name w:val="heading 4"/>
    <w:basedOn w:val="style0"/>
    <w:next w:val="style0"/>
    <w:link w:val="style4110"/>
    <w:qFormat/>
    <w:uiPriority w:val="9"/>
    <w:pPr>
      <w:keepNext/>
      <w:keepLines/>
      <w:spacing w:before="40" w:after="0"/>
      <w:outlineLvl w:val="3"/>
    </w:pPr>
    <w:rPr>
      <w:rFonts w:ascii="Cambria" w:cs="宋体" w:eastAsia="宋体" w:hAnsi="Cambria"/>
      <w:i/>
      <w:iCs/>
      <w:color w:val="365f91"/>
    </w:rPr>
  </w:style>
  <w:style w:type="paragraph" w:styleId="style5">
    <w:name w:val="heading 5"/>
    <w:basedOn w:val="style0"/>
    <w:next w:val="style0"/>
    <w:link w:val="style4108"/>
    <w:qFormat/>
    <w:uiPriority w:val="9"/>
    <w:pPr>
      <w:keepNext/>
      <w:keepLines/>
      <w:spacing w:before="40" w:after="0"/>
      <w:outlineLvl w:val="4"/>
    </w:pPr>
    <w:rPr>
      <w:rFonts w:ascii="Cambria" w:cs="宋体" w:eastAsia="宋体" w:hAnsi="Cambria"/>
      <w:color w:val="365f91"/>
    </w:rPr>
  </w:style>
  <w:style w:type="paragraph" w:styleId="style6">
    <w:name w:val="heading 6"/>
    <w:basedOn w:val="style0"/>
    <w:next w:val="style0"/>
    <w:link w:val="style4109"/>
    <w:qFormat/>
    <w:uiPriority w:val="9"/>
    <w:pPr>
      <w:keepNext/>
      <w:keepLines/>
      <w:spacing w:before="40" w:after="0"/>
      <w:outlineLvl w:val="5"/>
    </w:pPr>
    <w:rPr>
      <w:rFonts w:ascii="Cambria" w:cs="宋体" w:eastAsia="宋体" w:hAnsi="Cambria"/>
      <w:color w:val="243f6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Arial" w:cs="Arial" w:hAnsi="Arial"/>
      <w:color w:val="000000"/>
      <w:sz w:val="24"/>
      <w:szCs w:val="24"/>
    </w:rPr>
  </w:style>
  <w:style w:type="paragraph" w:styleId="style179">
    <w:name w:val="List Paragraph"/>
    <w:basedOn w:val="style0"/>
    <w:next w:val="style179"/>
    <w:qFormat/>
    <w:uiPriority w:val="34"/>
    <w:pPr>
      <w:ind w:left="720"/>
      <w:contextualSpacing/>
    </w:pPr>
    <w:rPr/>
  </w:style>
  <w:style w:type="character" w:customStyle="1" w:styleId="style4098">
    <w:name w:val="Heading 1 Char_70ba0211-2427-4222-9ad7-34d225ac593e"/>
    <w:basedOn w:val="style65"/>
    <w:next w:val="style4098"/>
    <w:link w:val="style1"/>
    <w:uiPriority w:val="9"/>
    <w:rPr>
      <w:rFonts w:ascii="Times New Roman" w:cs="宋体" w:eastAsia="宋体" w:hAnsi="Times New Roman"/>
      <w:b/>
      <w:bCs/>
      <w:sz w:val="28"/>
      <w:szCs w:val="28"/>
    </w:rPr>
  </w:style>
  <w:style w:type="character" w:customStyle="1" w:styleId="style4099">
    <w:name w:val="Heading 2 Char_44f4d67e-7af0-480e-857a-a8dfba2d1710"/>
    <w:basedOn w:val="style65"/>
    <w:next w:val="style4099"/>
    <w:link w:val="style2"/>
    <w:uiPriority w:val="9"/>
    <w:rPr>
      <w:rFonts w:ascii="Times New Roman" w:cs="宋体" w:eastAsia="宋体" w:hAnsi="Times New Roman"/>
      <w:b/>
      <w:bCs/>
      <w:sz w:val="24"/>
      <w:szCs w:val="26"/>
    </w:rPr>
  </w:style>
  <w:style w:type="character" w:customStyle="1" w:styleId="style4100">
    <w:name w:val="Heading 3 Char_87581662-22d6-42c4-9f35-c763bfcf0e7a"/>
    <w:basedOn w:val="style65"/>
    <w:next w:val="style4100"/>
    <w:link w:val="style3"/>
    <w:uiPriority w:val="9"/>
    <w:rPr>
      <w:rFonts w:ascii="Times New Roman" w:cs="宋体" w:eastAsia="宋体" w:hAnsi="Times New Roman"/>
      <w:b/>
      <w:sz w:val="24"/>
    </w:rPr>
  </w:style>
  <w:style w:type="table" w:styleId="style154">
    <w:name w:val="Table Grid"/>
    <w:basedOn w:val="style105"/>
    <w:next w:val="style154"/>
    <w:uiPriority w:val="59"/>
    <w:pPr>
      <w:spacing w:after="0" w:lineRule="auto" w:line="240"/>
      <w:jc w:val="both"/>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34">
    <w:name w:val="caption"/>
    <w:basedOn w:val="style0"/>
    <w:next w:val="style0"/>
    <w:qFormat/>
    <w:uiPriority w:val="35"/>
    <w:pPr>
      <w:spacing w:before="0" w:after="0" w:lineRule="auto" w:line="240"/>
    </w:pPr>
    <w:rPr>
      <w:iCs/>
      <w:szCs w:val="18"/>
    </w:rPr>
  </w:style>
  <w:style w:type="paragraph" w:styleId="style153">
    <w:name w:val="Balloon Text"/>
    <w:basedOn w:val="style0"/>
    <w:next w:val="style153"/>
    <w:link w:val="style4101"/>
    <w:uiPriority w:val="99"/>
    <w:pPr>
      <w:spacing w:after="0" w:lineRule="auto" w:line="240"/>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sz w:val="16"/>
      <w:szCs w:val="16"/>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2"/>
    <w:uiPriority w:val="99"/>
    <w:pPr>
      <w:spacing w:lineRule="auto" w:line="240"/>
    </w:pPr>
    <w:rPr>
      <w:sz w:val="20"/>
      <w:szCs w:val="20"/>
    </w:rPr>
  </w:style>
  <w:style w:type="character" w:customStyle="1" w:styleId="style4102">
    <w:name w:val="Comment Text Char"/>
    <w:basedOn w:val="style65"/>
    <w:next w:val="style4102"/>
    <w:link w:val="style30"/>
    <w:uiPriority w:val="99"/>
    <w:rPr>
      <w:sz w:val="20"/>
      <w:szCs w:val="20"/>
    </w:rPr>
  </w:style>
  <w:style w:type="paragraph" w:styleId="style106">
    <w:name w:val="annotation subject"/>
    <w:basedOn w:val="style30"/>
    <w:next w:val="style30"/>
    <w:link w:val="style4103"/>
    <w:uiPriority w:val="99"/>
    <w:pPr/>
    <w:rPr>
      <w:b/>
      <w:bCs/>
    </w:rPr>
  </w:style>
  <w:style w:type="character" w:customStyle="1" w:styleId="style4103">
    <w:name w:val="Comment Subject Char"/>
    <w:basedOn w:val="style4102"/>
    <w:next w:val="style4103"/>
    <w:link w:val="style106"/>
    <w:uiPriority w:val="99"/>
    <w:rPr>
      <w:b/>
      <w:bCs/>
      <w:sz w:val="20"/>
      <w:szCs w:val="20"/>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104"/>
    <w:uiPriority w:val="99"/>
    <w:pPr>
      <w:tabs>
        <w:tab w:val="center" w:leader="none" w:pos="4680"/>
        <w:tab w:val="right" w:leader="none" w:pos="9360"/>
      </w:tabs>
      <w:spacing w:after="0" w:lineRule="auto" w:line="240"/>
    </w:pPr>
    <w:rPr/>
  </w:style>
  <w:style w:type="character" w:customStyle="1" w:styleId="style4104">
    <w:name w:val="Header Char_364ffad3-e603-4616-8155-60bd3ab6c71d"/>
    <w:basedOn w:val="style65"/>
    <w:next w:val="style4104"/>
    <w:link w:val="style31"/>
    <w:uiPriority w:val="99"/>
  </w:style>
  <w:style w:type="paragraph" w:styleId="style32">
    <w:name w:val="footer"/>
    <w:basedOn w:val="style0"/>
    <w:next w:val="style32"/>
    <w:link w:val="style4105"/>
    <w:uiPriority w:val="99"/>
    <w:pPr>
      <w:tabs>
        <w:tab w:val="center" w:leader="none" w:pos="4680"/>
        <w:tab w:val="right" w:leader="none" w:pos="9360"/>
      </w:tabs>
      <w:spacing w:after="0" w:lineRule="auto" w:line="240"/>
    </w:pPr>
    <w:rPr/>
  </w:style>
  <w:style w:type="character" w:customStyle="1" w:styleId="style4105">
    <w:name w:val="Footer Char_3b16d514-e2c6-43fe-8543-ef6c11cbc20a"/>
    <w:basedOn w:val="style65"/>
    <w:next w:val="style4105"/>
    <w:link w:val="style32"/>
    <w:uiPriority w:val="99"/>
  </w:style>
  <w:style w:type="paragraph" w:styleId="style266">
    <w:name w:val="TOC Heading"/>
    <w:basedOn w:val="style1"/>
    <w:next w:val="style0"/>
    <w:qFormat/>
    <w:uiPriority w:val="39"/>
    <w:pPr>
      <w:outlineLvl w:val="9"/>
    </w:pPr>
    <w:rPr>
      <w:rFonts w:ascii="Cambria" w:hAnsi="Cambria"/>
      <w:color w:val="365f91"/>
    </w:rPr>
  </w:style>
  <w:style w:type="paragraph" w:styleId="style19">
    <w:name w:val="toc 1"/>
    <w:basedOn w:val="style0"/>
    <w:next w:val="style0"/>
    <w:uiPriority w:val="39"/>
    <w:pPr>
      <w:tabs>
        <w:tab w:val="left" w:leader="none" w:pos="440"/>
        <w:tab w:val="right" w:leader="dot" w:pos="9350"/>
      </w:tabs>
      <w:spacing w:after="100"/>
    </w:pPr>
    <w:rPr>
      <w:rFonts w:cs="Times New Roman"/>
      <w:b/>
      <w:noProof/>
      <w:szCs w:val="24"/>
    </w:rPr>
  </w:style>
  <w:style w:type="paragraph" w:styleId="style20">
    <w:name w:val="toc 2"/>
    <w:basedOn w:val="style0"/>
    <w:next w:val="style0"/>
    <w:uiPriority w:val="39"/>
    <w:pPr>
      <w:spacing w:after="100"/>
      <w:ind w:left="220"/>
    </w:pPr>
    <w:rPr/>
  </w:style>
  <w:style w:type="paragraph" w:styleId="style21">
    <w:name w:val="toc 3"/>
    <w:basedOn w:val="style0"/>
    <w:next w:val="style0"/>
    <w:uiPriority w:val="39"/>
    <w:pPr>
      <w:spacing w:after="100"/>
      <w:ind w:left="440"/>
    </w:pPr>
    <w:rPr/>
  </w:style>
  <w:style w:type="character" w:styleId="style86">
    <w:name w:val="FollowedHyperlink"/>
    <w:basedOn w:val="style65"/>
    <w:next w:val="style86"/>
    <w:uiPriority w:val="99"/>
    <w:rPr>
      <w:color w:val="800080"/>
      <w:u w:val="single"/>
    </w:rPr>
  </w:style>
  <w:style w:type="table" w:customStyle="1" w:styleId="style4106">
    <w:name w:val="Table Grid1"/>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7">
    <w:name w:val="Unresolved Mention1"/>
    <w:basedOn w:val="style65"/>
    <w:next w:val="style4107"/>
    <w:uiPriority w:val="99"/>
    <w:rPr>
      <w:color w:val="605e5c"/>
      <w:shd w:val="clear" w:color="auto" w:fill="e1dfdd"/>
    </w:rPr>
  </w:style>
  <w:style w:type="character" w:customStyle="1" w:styleId="style4108">
    <w:name w:val="Heading 5 Char_9ae72472-ee81-4648-9112-0ac931d3e37d"/>
    <w:basedOn w:val="style65"/>
    <w:next w:val="style4108"/>
    <w:link w:val="style5"/>
    <w:uiPriority w:val="9"/>
    <w:rPr>
      <w:rFonts w:ascii="Cambria" w:cs="宋体" w:eastAsia="宋体" w:hAnsi="Cambria"/>
      <w:color w:val="365f91"/>
      <w:sz w:val="24"/>
    </w:rPr>
  </w:style>
  <w:style w:type="character" w:customStyle="1" w:styleId="style4109">
    <w:name w:val="Heading 6 Char_9a9e71e3-4849-4ce4-807f-90380ceb89ef"/>
    <w:basedOn w:val="style65"/>
    <w:next w:val="style4109"/>
    <w:link w:val="style6"/>
    <w:uiPriority w:val="9"/>
    <w:rPr>
      <w:rFonts w:ascii="Cambria" w:cs="宋体" w:eastAsia="宋体" w:hAnsi="Cambria"/>
      <w:color w:val="243f60"/>
      <w:sz w:val="24"/>
    </w:rPr>
  </w:style>
  <w:style w:type="paragraph" w:styleId="style35">
    <w:name w:val="table of figures"/>
    <w:basedOn w:val="style0"/>
    <w:next w:val="style0"/>
    <w:uiPriority w:val="99"/>
    <w:pPr>
      <w:spacing w:after="0"/>
    </w:pPr>
    <w:rPr/>
  </w:style>
  <w:style w:type="character" w:customStyle="1" w:styleId="style4110">
    <w:name w:val="Heading 4 Char_afb3544f-fa59-4b8f-ac1b-f286d3b3ddbb"/>
    <w:basedOn w:val="style65"/>
    <w:next w:val="style4110"/>
    <w:link w:val="style4"/>
    <w:uiPriority w:val="9"/>
    <w:rPr>
      <w:rFonts w:ascii="Cambria" w:cs="宋体" w:eastAsia="宋体" w:hAnsi="Cambria"/>
      <w:i/>
      <w:iCs/>
      <w:color w:val="365f91"/>
      <w:sz w:val="24"/>
    </w:rPr>
  </w:style>
  <w:style w:type="character" w:styleId="style87">
    <w:name w:val="Strong"/>
    <w:basedOn w:val="style65"/>
    <w:next w:val="style87"/>
    <w:qFormat/>
    <w:uiPriority w:val="22"/>
    <w:rPr>
      <w:b/>
      <w:bCs/>
    </w:rPr>
  </w:style>
  <w:style w:type="table" w:customStyle="1" w:styleId="style4111">
    <w:name w:val="Table Grid2"/>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2">
    <w:name w:val="Unresolved Mention"/>
    <w:basedOn w:val="style65"/>
    <w:next w:val="style4112"/>
    <w:uiPriority w:val="99"/>
    <w:rPr>
      <w:color w:val="605e5c"/>
      <w:shd w:val="clear" w:color="auto" w:fill="e1dfdd"/>
    </w:rPr>
  </w:style>
</w:styles>
</file>

<file path=word/_rels/document.xml.rels><?xml version="1.0" encoding="UTF-8"?>
<Relationships xmlns="http://schemas.openxmlformats.org/package/2006/relationships"><Relationship Id="rId20" Type="http://schemas.openxmlformats.org/officeDocument/2006/relationships/customXml" Target="../customXml/item7.xml"/><Relationship Id="rId22" Type="http://schemas.openxmlformats.org/officeDocument/2006/relationships/customXml" Target="../customXml/item9.xml"/><Relationship Id="rId21" Type="http://schemas.openxmlformats.org/officeDocument/2006/relationships/customXml" Target="../customXml/item8.xml"/><Relationship Id="rId24" Type="http://schemas.openxmlformats.org/officeDocument/2006/relationships/customXml" Target="../customXml/item11.xml"/><Relationship Id="rId23" Type="http://schemas.openxmlformats.org/officeDocument/2006/relationships/customXml" Target="../customXml/item10.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header" Target="header5.xml"/><Relationship Id="rId25" Type="http://schemas.openxmlformats.org/officeDocument/2006/relationships/customXml" Target="../customXml/item12.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footer" Target="footer4.xml"/><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5" Type="http://schemas.openxmlformats.org/officeDocument/2006/relationships/customXml" Target="../customXml/item2.xml"/><Relationship Id="rId14" Type="http://schemas.openxmlformats.org/officeDocument/2006/relationships/customXml" Target="../customXml/item1.xml"/><Relationship Id="rId17" Type="http://schemas.openxmlformats.org/officeDocument/2006/relationships/customXml" Target="../customXml/item4.xml"/><Relationship Id="rId16" Type="http://schemas.openxmlformats.org/officeDocument/2006/relationships/customXml" Target="../customXml/item3.xml"/><Relationship Id="rId19" Type="http://schemas.openxmlformats.org/officeDocument/2006/relationships/customXml" Target="../customXml/item6.xml"/><Relationship Id="rId18"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7501ec4-09df-4e97-ac04-9f74641bb6ee}">
  <ds:schemaRefs>
    <ds:schemaRef ds:uri="http://www.wps.cn/android/officeDocument/2013/mofficeCustomData"/>
  </ds:schemaRefs>
</ds:datastoreItem>
</file>

<file path=customXml/itemProps10.xml><?xml version="1.0" encoding="utf-8"?>
<ds:datastoreItem xmlns:ds="http://schemas.openxmlformats.org/officeDocument/2006/customXml" ds:itemID="{53bf7a57-7c29-4725-99b8-237105b670aa}">
  <ds:schemaRefs>
    <ds:schemaRef ds:uri="http://www.wps.cn/android/officeDocument/2013/mofficeCustomData"/>
  </ds:schemaRefs>
</ds:datastoreItem>
</file>

<file path=customXml/itemProps11.xml><?xml version="1.0" encoding="utf-8"?>
<ds:datastoreItem xmlns:ds="http://schemas.openxmlformats.org/officeDocument/2006/customXml" ds:itemID="{8f12ffcd-c0cd-4d98-97b0-aaa3876ce3ba}">
  <ds:schemaRefs>
    <ds:schemaRef ds:uri="http://www.wps.cn/android/officeDocument/2013/mofficeCustomData"/>
  </ds:schemaRefs>
</ds:datastoreItem>
</file>

<file path=customXml/itemProps12.xml><?xml version="1.0" encoding="utf-8"?>
<ds:datastoreItem xmlns:ds="http://schemas.openxmlformats.org/officeDocument/2006/customXml" ds:itemID="{ee31fcce-ae91-4116-adf2-3ce362f4d872}">
  <ds:schemaRefs>
    <ds:schemaRef ds:uri="http://www.wps.cn/android/officeDocument/2013/mofficeCustomData"/>
  </ds:schemaRefs>
</ds:datastoreItem>
</file>

<file path=customXml/itemProps2.xml><?xml version="1.0" encoding="utf-8"?>
<ds:datastoreItem xmlns:ds="http://schemas.openxmlformats.org/officeDocument/2006/customXml" ds:itemID="{b600c7e7-2272-49f0-9819-6bbacd1221e6}">
  <ds:schemaRefs>
    <ds:schemaRef ds:uri="http://www.wps.cn/android/officeDocument/2013/mofficeCustomData"/>
  </ds:schemaRefs>
</ds:datastoreItem>
</file>

<file path=customXml/itemProps3.xml><?xml version="1.0" encoding="utf-8"?>
<ds:datastoreItem xmlns:ds="http://schemas.openxmlformats.org/officeDocument/2006/customXml" ds:itemID="{d3a3bc0a-9662-4594-91c4-2839ef22b1ae}">
  <ds:schemaRefs>
    <ds:schemaRef ds:uri="http://www.wps.cn/android/officeDocument/2013/mofficeCustomData"/>
  </ds:schemaRefs>
</ds:datastoreItem>
</file>

<file path=customXml/itemProps4.xml><?xml version="1.0" encoding="utf-8"?>
<ds:datastoreItem xmlns:ds="http://schemas.openxmlformats.org/officeDocument/2006/customXml" ds:itemID="{d6dabea1-f4b0-441d-b390-cccfccaa452d}">
  <ds:schemaRefs>
    <ds:schemaRef ds:uri="http://www.wps.cn/android/officeDocument/2013/mofficeCustomData"/>
  </ds:schemaRefs>
</ds:datastoreItem>
</file>

<file path=customXml/itemProps5.xml><?xml version="1.0" encoding="utf-8"?>
<ds:datastoreItem xmlns:ds="http://schemas.openxmlformats.org/officeDocument/2006/customXml" ds:itemID="{E641EF4C-6F16-451F-935A-50C91456A43B}">
  <ds:schemaRefs>
    <ds:schemaRef ds:uri="http://schemas.openxmlformats.org/officeDocument/2006/bibliography"/>
  </ds:schemaRefs>
</ds:datastoreItem>
</file>

<file path=customXml/itemProps6.xml><?xml version="1.0" encoding="utf-8"?>
<ds:datastoreItem xmlns:ds="http://schemas.openxmlformats.org/officeDocument/2006/customXml" ds:itemID="{b3766ddd-ff45-466c-a579-56d7f815e1b1}">
  <ds:schemaRefs>
    <ds:schemaRef ds:uri="http://www.wps.cn/android/officeDocument/2013/mofficeCustomData"/>
  </ds:schemaRefs>
</ds:datastoreItem>
</file>

<file path=customXml/itemProps7.xml><?xml version="1.0" encoding="utf-8"?>
<ds:datastoreItem xmlns:ds="http://schemas.openxmlformats.org/officeDocument/2006/customXml" ds:itemID="{fb619542-b8d8-420f-a17c-8b7bf9766a3c}">
  <ds:schemaRefs>
    <ds:schemaRef ds:uri="http://www.wps.cn/android/officeDocument/2013/mofficeCustomData"/>
  </ds:schemaRefs>
</ds:datastoreItem>
</file>

<file path=customXml/itemProps8.xml><?xml version="1.0" encoding="utf-8"?>
<ds:datastoreItem xmlns:ds="http://schemas.openxmlformats.org/officeDocument/2006/customXml" ds:itemID="{ee7284df-4fd5-42da-86ba-c48856528bbb}">
  <ds:schemaRefs>
    <ds:schemaRef ds:uri="http://www.wps.cn/android/officeDocument/2013/mofficeCustomData"/>
  </ds:schemaRefs>
</ds:datastoreItem>
</file>

<file path=customXml/itemProps9.xml><?xml version="1.0" encoding="utf-8"?>
<ds:datastoreItem xmlns:ds="http://schemas.openxmlformats.org/officeDocument/2006/customXml" ds:itemID="{9a6a2594-93ed-4866-9d02-b809d3b6401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Words>6386</Words>
  <Pages>18</Pages>
  <Characters>34474</Characters>
  <Application>WPS Office</Application>
  <DocSecurity>0</DocSecurity>
  <Paragraphs>390</Paragraphs>
  <ScaleCrop>false</ScaleCrop>
  <LinksUpToDate>false</LinksUpToDate>
  <CharactersWithSpaces>40624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2025-05-24T21:12:19Z</dcterms:created>
  <dc:creator>omer</dc:creator>
  <lastModifiedBy>Mega-tab-X-Pro</lastModifiedBy>
  <lastPrinted>2024-09-25T13:40:00Z</lastPrinted>
  <dcterms:modified xsi:type="dcterms:W3CDTF">2025-05-24T21:47:54Z</dcterms:modified>
  <revision>173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aa613f24d9388b26536c9fd46b5b942eb08ce54692a2058d3a4bcd3fe66f1af6</vt:lpwstr>
  </property>
  <property fmtid="{D5CDD505-2E9C-101B-9397-08002B2CF9AE}" pid="3" name="ICV">
    <vt:lpwstr>1be96260d04a47508bfffbd7bceef4d6</vt:lpwstr>
  </property>
</Properties>
</file>