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i w:val="1"/>
          <w:sz w:val="36"/>
          <w:szCs w:val="36"/>
          <w:u w:val="single"/>
        </w:rPr>
      </w:pPr>
      <w:bookmarkStart w:colFirst="0" w:colLast="0" w:name="_1koemjbtsn26" w:id="0"/>
      <w:bookmarkEnd w:id="0"/>
      <w:r w:rsidDel="00000000" w:rsidR="00000000" w:rsidRPr="00000000">
        <w:rPr>
          <w:rFonts w:ascii="Arial" w:cs="Arial" w:eastAsia="Arial" w:hAnsi="Arial"/>
          <w:b w:val="1"/>
          <w:i w:val="1"/>
          <w:sz w:val="36"/>
          <w:szCs w:val="36"/>
          <w:u w:val="single"/>
          <w:rtl w:val="0"/>
        </w:rPr>
        <w:t xml:space="preserve">Case report </w:t>
      </w:r>
    </w:p>
    <w:p w:rsidR="00000000" w:rsidDel="00000000" w:rsidP="00000000" w:rsidRDefault="00000000" w:rsidRPr="00000000" w14:paraId="00000002">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32"/>
          <w:szCs w:val="32"/>
        </w:rPr>
      </w:pPr>
      <w:r w:rsidDel="00000000" w:rsidR="00000000" w:rsidRPr="00000000">
        <w:rPr>
          <w:rFonts w:ascii="Arial" w:cs="Arial" w:eastAsia="Arial" w:hAnsi="Arial"/>
          <w:b w:val="1"/>
          <w:sz w:val="36"/>
          <w:szCs w:val="36"/>
          <w:rtl w:val="0"/>
        </w:rPr>
        <w:t xml:space="preserve">ADAPTING TO NEWER HEMOSTATIC AGENTS FOR MAJOR SURGERY IN HEMOPHILIA A: AN EXPERIENCE IN NEUROSURGERY FOR AN INFANT.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440" w:left="2016" w:right="2016" w:header="720" w:footer="1296"/>
          <w:pgNumType w:start="1"/>
        </w:sectPr>
      </w:pPr>
      <w:r w:rsidDel="00000000" w:rsidR="00000000" w:rsidRPr="00000000">
        <w:rPr>
          <w:rtl w:val="0"/>
        </w:rPr>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ABSTRACT </w:t>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Background</w:t>
      </w:r>
    </w:p>
    <w:p w:rsidR="00000000" w:rsidDel="00000000" w:rsidP="00000000" w:rsidRDefault="00000000" w:rsidRPr="00000000" w14:paraId="0000000D">
      <w:pPr>
        <w:rPr>
          <w:rFonts w:ascii="Arial" w:cs="Arial" w:eastAsia="Arial" w:hAnsi="Arial"/>
          <w:sz w:val="22"/>
          <w:szCs w:val="22"/>
        </w:rPr>
      </w:pPr>
      <w:bookmarkStart w:colFirst="0" w:colLast="0" w:name="_3yjeah2vp6yf" w:id="1"/>
      <w:bookmarkEnd w:id="1"/>
      <w:r w:rsidDel="00000000" w:rsidR="00000000" w:rsidRPr="00000000">
        <w:rPr>
          <w:rFonts w:ascii="Arial" w:cs="Arial" w:eastAsia="Arial" w:hAnsi="Arial"/>
          <w:sz w:val="22"/>
          <w:szCs w:val="22"/>
          <w:rtl w:val="0"/>
        </w:rPr>
        <w:t xml:space="preserve">Perioperative hemostasis for major surgery in Hemophilia A has been cumbersome with clotting factor concentrate (CFC) administration based on half life and factor activity to minimize fluctuation. Availability of newer agents like FVIII mimetic Emicizumab with steady state levels in blood and long half life as an adjunct has helped to reduce fluctuations of hemostasis.</w:t>
      </w:r>
    </w:p>
    <w:p w:rsidR="00000000" w:rsidDel="00000000" w:rsidP="00000000" w:rsidRDefault="00000000" w:rsidRPr="00000000" w14:paraId="0000000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22"/>
          <w:szCs w:val="22"/>
        </w:rPr>
      </w:pPr>
      <w:bookmarkStart w:colFirst="0" w:colLast="0" w:name="_ycj9potuluwu" w:id="2"/>
      <w:bookmarkEnd w:id="2"/>
      <w:r w:rsidDel="00000000" w:rsidR="00000000" w:rsidRPr="00000000">
        <w:rPr>
          <w:rFonts w:ascii="Arial" w:cs="Arial" w:eastAsia="Arial" w:hAnsi="Arial"/>
          <w:b w:val="1"/>
          <w:sz w:val="22"/>
          <w:szCs w:val="22"/>
          <w:rtl w:val="0"/>
        </w:rPr>
        <w:t xml:space="preserve">Case report</w:t>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A 11-month-old male with Moderate Hemophilia A, a previously untreated patient with sagittal craniosynostosis was started on Emicizumab prophylaxis. Elective anterior 2/3</w:t>
      </w:r>
      <w:r w:rsidDel="00000000" w:rsidR="00000000" w:rsidRPr="00000000">
        <w:rPr>
          <w:rFonts w:ascii="Arial" w:cs="Arial" w:eastAsia="Arial" w:hAnsi="Arial"/>
          <w:sz w:val="22"/>
          <w:szCs w:val="22"/>
          <w:vertAlign w:val="superscript"/>
          <w:rtl w:val="0"/>
        </w:rPr>
        <w:t xml:space="preserve">rd</w:t>
      </w:r>
      <w:r w:rsidDel="00000000" w:rsidR="00000000" w:rsidRPr="00000000">
        <w:rPr>
          <w:rFonts w:ascii="Arial" w:cs="Arial" w:eastAsia="Arial" w:hAnsi="Arial"/>
          <w:sz w:val="22"/>
          <w:szCs w:val="22"/>
          <w:rtl w:val="0"/>
        </w:rPr>
        <w:t xml:space="preserve"> calvarial remodeling surgery was undertaken while continuing Emicizumab prophylaxis with additional FVIII clotting factor concentrate.Chromogenic assays were used to confirm factor activity levels for hemostasis. The patient underwent surgery without perioperative bleeding complications, with FVIII support continued for eight days postoperatively. Emicizumab prophylaxis was continued subsequently, with ongoing monitoring to ensure optimal surgical wound healing.</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Conclusion </w:t>
      </w:r>
    </w:p>
    <w:p w:rsidR="00000000" w:rsidDel="00000000" w:rsidP="00000000" w:rsidRDefault="00000000" w:rsidRPr="00000000" w14:paraId="00000013">
      <w:pPr>
        <w:rPr>
          <w:rFonts w:ascii="Arial" w:cs="Arial" w:eastAsia="Arial" w:hAnsi="Arial"/>
          <w:sz w:val="22"/>
          <w:szCs w:val="22"/>
        </w:rPr>
      </w:pPr>
      <w:bookmarkStart w:colFirst="0" w:colLast="0" w:name="_4chho1fr62ym" w:id="3"/>
      <w:bookmarkEnd w:id="3"/>
      <w:r w:rsidDel="00000000" w:rsidR="00000000" w:rsidRPr="00000000">
        <w:rPr>
          <w:rFonts w:ascii="Arial" w:cs="Arial" w:eastAsia="Arial" w:hAnsi="Arial"/>
          <w:sz w:val="22"/>
          <w:szCs w:val="22"/>
          <w:rtl w:val="0"/>
        </w:rPr>
        <w:t xml:space="preserve">This case highlights the complexity of managing moderate hemophilia A in a pediatric patient requiring major surgery while using Emicizumab, which, along with FVIII CFC, ensured adequate hemostasis and reduced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hospitalization by allowing Factor VIII infusion to stop after Day 8. Limited data exist on Emicizumab use in congenital hemophilia A patients undergoing neurosurgery, emphasizing the importance of careful preoperative planning, including arranging factor products and laboratory reagents. Unlike traditional prophylaxis with CFCs, which requires frequent monitoring and venous access, Emicizumab offers advantages of subcutaneous administration, reduced hospital visits, and effective hemostasis with a lower risk of spontaneous or recurrent bleeding.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Keywords: Hemophilia A, Emicizumab prophylaxis, Factor VIII replacement, Pediatric neurosurgery, Congenital bleeding disorder, Craniosynostosis surgery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 INTRODUCTION </w:t>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spacing w:line="259" w:lineRule="auto"/>
        <w:rPr>
          <w:rFonts w:ascii="Arial" w:cs="Arial" w:eastAsia="Arial" w:hAnsi="Arial"/>
          <w:color w:val="000000"/>
        </w:rPr>
      </w:pPr>
      <w:r w:rsidDel="00000000" w:rsidR="00000000" w:rsidRPr="00000000">
        <w:rPr>
          <w:rFonts w:ascii="Arial" w:cs="Arial" w:eastAsia="Arial" w:hAnsi="Arial"/>
          <w:rtl w:val="0"/>
        </w:rPr>
        <w:t xml:space="preserve">Congenital haemophilia A (HA), an X-linked hereditary bleeding condition is characterized by lack of coagulation Factor VIII(FVIII), necessary for optimum blood coagulation. The incidence being 1 in 1333 male births and prevalence of 1in 5000 males; based on FVIII activity levels, haemophilia is categorized as mild (5–40%), moderate (1–5%), and severe (&lt;1%). In individuals who have severe haemophilia, unprovoked bleeding into muscles and joints as well as potentially fatal hemorrhages into the central nervous system, lead to significant long-term complications and sometimes mortality. Clotting factor concentrate (CFC) replacement therapy is part of haemostasis management in patients with haemophilia. The two potential treatment options are Episodic (or "on demand") clotting factor replacement therapy and Regular replacement therapy (prophylaxis). Regular replacement therapy aims to maintain adequate factor levels to decrease bleeding intensity and frequency, especially in persons with severe haemophilia.The primary aim of on-demand therapy is to stop the bleeding as soon as it starts, rather than preventing the underlying condition or prevent future bleed.Since the CFC is administered after the bleed has  occurred , the morbidity of the bleed remains, where-as prophylaxis aims to prevent </w:t>
      </w:r>
      <w:r w:rsidDel="00000000" w:rsidR="00000000" w:rsidRPr="00000000">
        <w:rPr>
          <w:rFonts w:ascii="Arial" w:cs="Arial" w:eastAsia="Arial" w:hAnsi="Arial"/>
          <w:color w:val="000000"/>
          <w:rtl w:val="0"/>
        </w:rPr>
        <w:t xml:space="preserve">potentially fatal haemorrhages as well as joint and muscle bleeds(1,2).</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Perioperative hemostasis in persons with Hemophilia (PwH) without inhibitors (allo-antibodies against CFC) has been with CFC, targeting near 100% activity especially during the initial perioperative period. Concomitant treatment with emicizumab and CFC peri-operatively provides an alternate therapy approach in PwHA. (1,3,4,5)</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Emicizumab, a bispecific monoclonal antibody that mimics FVIII function works by binding to both factor X and activated coagulation factor IX (Factor IXa) simultaneously, activates factor X for the purpose to restart the coagulation cascade.The subcutaneous mode of administration , long half life (27.8 to 34.4 days)and less stringent storage conditions has made Emicizumab the preferred agent for prophylaxis in PwHA. A standard recommended dosing strategy for emicizumab involves a loading dose of 3 mg/kg once weekly for four weeks, and subsequent doses are 1.5 mg/kg weekly, 3 mg/kg every two weeks, or 6 mg/kg every four weeks depending on the individual needs (6,7).</w:t>
      </w:r>
      <w:r w:rsidDel="00000000" w:rsidR="00000000" w:rsidRPr="00000000">
        <w:rPr>
          <w:rFonts w:ascii="Arial" w:cs="Arial" w:eastAsia="Arial" w:hAnsi="Arial"/>
          <w:color w:val="000000"/>
          <w:rtl w:val="0"/>
        </w:rPr>
        <w:t xml:space="preserve"> Use of emicizumab as prophylaxis has shown lower rates of bleeding than experienced by PwH who were receiving CFC as prophylaxis </w:t>
      </w: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The hemostasis achieved with the recommended doses has been found comparable to that with 10-40% FVIII levels (8). The steady state concentration of Emicizumab helps to reduce the CFC requirement making it a less cumbersome adjunct for perioperative hemostasis in PwHA, by limiting the number of IV infusions of CFC to the initial perioperative period and thus shortening the hospital stay.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 PRESENTATION OF CASE</w:t>
      </w:r>
    </w:p>
    <w:p w:rsidR="00000000" w:rsidDel="00000000" w:rsidP="00000000" w:rsidRDefault="00000000" w:rsidRPr="00000000" w14:paraId="00000021">
      <w:pPr>
        <w:spacing w:after="240"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spacing w:after="240" w:line="259" w:lineRule="auto"/>
        <w:rPr>
          <w:rFonts w:ascii="Arial" w:cs="Arial" w:eastAsia="Arial" w:hAnsi="Arial"/>
          <w:color w:val="000000"/>
        </w:rPr>
      </w:pPr>
      <w:r w:rsidDel="00000000" w:rsidR="00000000" w:rsidRPr="00000000">
        <w:rPr>
          <w:rFonts w:ascii="Arial" w:cs="Arial" w:eastAsia="Arial" w:hAnsi="Arial"/>
          <w:color w:val="000000"/>
          <w:rtl w:val="0"/>
        </w:rPr>
        <w:t xml:space="preserve">An 11-month-old male, born to non-consanguineous parents, presented with sagittal craniosynostosis since birth, diagnosed at 7 months of age. The baby experienced ecchymotic patches on his knees and chest at 5 months, associated with minor trauma, while learning to turn over and crawl. Laboratory results revealed an extended activated partial thromboplastin time (APTT), VWF antigen at 91%, VWF ristocetin cofactor activity at 79.9%, FVIII activity at 1.2% (clot-based assay), and factor IX activity at 50%. Based on these findings, a diagnosis of moderate hemophilia A was made. The family was counselled on the medical condition, its course, and available therapeutic options. Since an early surgery was essential to gain cognitive and aesthetic benefit (9,10), it was planned to take up the baby for surgery under CFC cover along with long term Emicizumab prophylaxis. </w:t>
      </w:r>
    </w:p>
    <w:p w:rsidR="00000000" w:rsidDel="00000000" w:rsidP="00000000" w:rsidRDefault="00000000" w:rsidRPr="00000000" w14:paraId="00000023">
      <w:pPr>
        <w:spacing w:after="240" w:line="259" w:lineRule="auto"/>
        <w:rPr>
          <w:rFonts w:ascii="Arial" w:cs="Arial" w:eastAsia="Arial" w:hAnsi="Arial"/>
          <w:color w:val="000000"/>
        </w:rPr>
      </w:pPr>
      <w:r w:rsidDel="00000000" w:rsidR="00000000" w:rsidRPr="00000000">
        <w:rPr>
          <w:rFonts w:ascii="Arial" w:cs="Arial" w:eastAsia="Arial" w:hAnsi="Arial"/>
          <w:b w:val="1"/>
          <w:color w:val="000000"/>
          <w:rtl w:val="0"/>
        </w:rPr>
        <w:t xml:space="preserve">Management</w:t>
      </w:r>
      <w:r w:rsidDel="00000000" w:rsidR="00000000" w:rsidRPr="00000000">
        <w:rPr>
          <w:rFonts w:ascii="Arial" w:cs="Arial" w:eastAsia="Arial" w:hAnsi="Arial"/>
          <w:color w:val="000000"/>
          <w:rtl w:val="0"/>
        </w:rPr>
        <w:t xml:space="preserve">:</w:t>
        <w:br w:type="textWrapping"/>
        <w:t xml:space="preserve">The patient was started on loading dose of Emicizumab, administered at 3 mg/kg weekly for a month (24 mg for the 8 kg child), followed by a maintenance dose of 3 mg/kg every two weeks. While on Emicizumab, the baby developed diet-induced constipation and two episodes of acute rectal bleeding and received three doses of antihemophilic FVIII (Koate DVI 250 IU) for breakthrough bleed. Since baby had three exposure days to CFC prior to surgery, Chromogenic Nijmegen Bethesda assays were performed, and absence of inhibitors confirmed.</w:t>
      </w:r>
    </w:p>
    <w:p w:rsidR="00000000" w:rsidDel="00000000" w:rsidP="00000000" w:rsidRDefault="00000000" w:rsidRPr="00000000" w14:paraId="00000024">
      <w:pPr>
        <w:spacing w:after="240" w:line="259" w:lineRule="auto"/>
        <w:rPr>
          <w:rFonts w:ascii="Arial" w:cs="Arial" w:eastAsia="Arial" w:hAnsi="Arial"/>
          <w:color w:val="000000"/>
        </w:rPr>
      </w:pPr>
      <w:r w:rsidDel="00000000" w:rsidR="00000000" w:rsidRPr="00000000">
        <w:rPr>
          <w:rFonts w:ascii="Arial" w:cs="Arial" w:eastAsia="Arial" w:hAnsi="Arial"/>
          <w:b w:val="1"/>
          <w:color w:val="000000"/>
          <w:rtl w:val="0"/>
        </w:rPr>
        <w:t xml:space="preserve">Surgical Preparation</w:t>
      </w:r>
      <w:r w:rsidDel="00000000" w:rsidR="00000000" w:rsidRPr="00000000">
        <w:rPr>
          <w:rFonts w:ascii="Arial" w:cs="Arial" w:eastAsia="Arial" w:hAnsi="Arial"/>
          <w:color w:val="000000"/>
          <w:rtl w:val="0"/>
        </w:rPr>
        <w:t xml:space="preserve">:</w:t>
        <w:br w:type="textWrapping"/>
        <w:t xml:space="preserve">The patient was scheduled to undergo anterior 2/3rd calvarial remodeling surgery. Given the patient’s treatment with Emicizumab, it was anticipated that hemostasis equivalent to FVIII 10-40% levels would be present as baseline. For optimal perioperative hemostasis, 36 vials of FVIII (Hemofil M 250 IU each- the smallest strength available) (Body weight 8kg); total stock of 1000IU/kg were arranged. These vials were carefully checked for expiration dates and stored at 2-8ºC with temperature log maintained. Preoperative preparation also included alerting the coagulation lab to arrange the necessary laboratory agents for the FVIII chromogenic assay, the tests being anticipated to be done around 5 times in the perioperative period based on the institutions prior experience in major surgeries in PwH (11).</w:t>
      </w:r>
    </w:p>
    <w:p w:rsidR="00000000" w:rsidDel="00000000" w:rsidP="00000000" w:rsidRDefault="00000000" w:rsidRPr="00000000" w14:paraId="00000025">
      <w:pPr>
        <w:spacing w:after="240" w:line="259" w:lineRule="auto"/>
        <w:rPr>
          <w:rFonts w:ascii="Arial" w:cs="Arial" w:eastAsia="Arial" w:hAnsi="Arial"/>
          <w:color w:val="000000"/>
        </w:rPr>
      </w:pPr>
      <w:r w:rsidDel="00000000" w:rsidR="00000000" w:rsidRPr="00000000">
        <w:rPr>
          <w:rFonts w:ascii="Arial" w:cs="Arial" w:eastAsia="Arial" w:hAnsi="Arial"/>
          <w:b w:val="1"/>
          <w:color w:val="000000"/>
          <w:rtl w:val="0"/>
        </w:rPr>
        <w:t xml:space="preserve">Surgical Management</w:t>
      </w:r>
      <w:r w:rsidDel="00000000" w:rsidR="00000000" w:rsidRPr="00000000">
        <w:rPr>
          <w:rFonts w:ascii="Arial" w:cs="Arial" w:eastAsia="Arial" w:hAnsi="Arial"/>
          <w:color w:val="000000"/>
          <w:rtl w:val="0"/>
        </w:rPr>
        <w:t xml:space="preserve">:</w:t>
        <w:br w:type="textWrapping"/>
        <w:t xml:space="preserve">For adequate preoperative hemostasis,50units/kg rounded to 500units of FVIII was administered. Chromogenic FVIII assays provided an 86% recovery. Additional 250 units FVIII was administered before taking up for surgery. After clearance from anesthesia, the patient underwent the anterior calvarial remodeling surgery. Postoperatively, a CT scan of the brain conducted six hours after surgery confirmed no new bleeding.Post operative day 1 trough level of FVIII by chromogenic assay was 66%.Baby was continued on FVIII 25units/kg rounded to 250 units IV 12 hourly for 8 days. Post-infusion FVIII levels checked randomly on day 5 were recorded at 80%. FVIII infusion was stopped after day 8.  The baby was then continued on the maintenance dose of Emicizumab (3 mg/kg every two weeks).</w:t>
      </w:r>
    </w:p>
    <w:p w:rsidR="00000000" w:rsidDel="00000000" w:rsidP="00000000" w:rsidRDefault="00000000" w:rsidRPr="00000000" w14:paraId="00000026">
      <w:pPr>
        <w:spacing w:after="240" w:line="259" w:lineRule="auto"/>
        <w:rPr>
          <w:rFonts w:ascii="Times New Roman" w:cs="Times New Roman" w:eastAsia="Times New Roman" w:hAnsi="Times New Roman"/>
          <w:color w:val="000000"/>
          <w:sz w:val="28"/>
          <w:szCs w:val="28"/>
        </w:rPr>
      </w:pPr>
      <w:r w:rsidDel="00000000" w:rsidR="00000000" w:rsidRPr="00000000">
        <w:rPr>
          <w:rFonts w:ascii="Arial" w:cs="Arial" w:eastAsia="Arial" w:hAnsi="Arial"/>
          <w:b w:val="1"/>
          <w:color w:val="000000"/>
          <w:rtl w:val="0"/>
        </w:rPr>
        <w:t xml:space="preserve">Outcome</w:t>
      </w:r>
      <w:r w:rsidDel="00000000" w:rsidR="00000000" w:rsidRPr="00000000">
        <w:rPr>
          <w:rFonts w:ascii="Arial" w:cs="Arial" w:eastAsia="Arial" w:hAnsi="Arial"/>
          <w:color w:val="000000"/>
          <w:rtl w:val="0"/>
        </w:rPr>
        <w:t xml:space="preserve">:</w:t>
        <w:br w:type="textWrapping"/>
        <w:t xml:space="preserve">The patient experienced no bleeding complications perioperatively. The use of Emicizumab, along with appropriate FVIII replacement, facilitated successful surgical intervention and minimized bleeding risks. The patient was regularly monitored, and treatment was adjusted as needed to optimize FVIII levels</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 discussion</w:t>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We report this case to highlight the complexity of managing moderate hemophilia A in a pediatric patient requiring major surgery while utilising Emicizumab. The use of Emicizumab concomitantly with FVIII CFC, played a crucial role in ensuring adequate hemostasis during the perioperative period while reducing the number of days of hospitalisation as the Factor VIII infusion could be stopped after Day 8. Limited data exist regarding the use of emicizumab in patients with congenital hemophilia A requiring neurosurgery. Careful planning, including the preoperative arrangement of factor products and laboratory reagents, was essential for smooth performance of the procedure.</w:t>
      </w:r>
    </w:p>
    <w:p w:rsidR="00000000" w:rsidDel="00000000" w:rsidP="00000000" w:rsidRDefault="00000000" w:rsidRPr="00000000" w14:paraId="0000002A">
      <w:pP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Traditional long term treatment options for hemophilia A primarily involve Prophylaxis with (CFCs). However, the short half-life of CFCs (8–12 hours), need for frequent monitoring of trough and peak levels, challenges in venous access makes compliance to CFC prophylaxis cumbersome. Emicizumab, administered subcutaneously with a weekly loading dose followed by monthly maintenance, has demonstrated advantages, including reduced hospital visits, high bioavailability (hemostasis equivalent to 10-40% factor level), and a decreased risk of spontaneous or recurrent bleeding, barring other risk factors </w:t>
      </w:r>
      <w:r w:rsidDel="00000000" w:rsidR="00000000" w:rsidRPr="00000000">
        <w:rPr>
          <w:rFonts w:ascii="Arial" w:cs="Arial" w:eastAsia="Arial" w:hAnsi="Arial"/>
          <w:rtl w:val="0"/>
        </w:rPr>
        <w:t xml:space="preserve">(1,4,5,8)</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B">
      <w:pP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The impact of emicizumab on surgical management has been highlighted in previous studies. A study by Belletrutti et al. demonstrated that 46.6% of children undergoing 103 minor procedures while receiving emicizumab did not require preoperative factor supplementation. Postoperative bleeding rates were comparable between those who received additional CFC and those who did not, suggesting a reduced necessity for bypassing agents in patients on emicizumab prophylaxis, thereby reducing the cost incurred </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C">
      <w:pP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Further evidence from the HAVEN 7 trial supports the use of emicizumab in neonates with severe hemophilia A without FVIII inhibitors. The study concluded that emicizumab is a well-tolerated and effective early prophylactic agent, significantly reducing the risk of life-threatening bleeding events, including intracranial hemorrhages. Most adverse effects were mild, and the incidence of treated bleeds was low. Despite reductions in FIX and FX activity, emicizumab demonstrated efficacy, and its higher concentrations in neonates were well tolerated. Notably, </w:t>
      </w:r>
      <w:commentRangeStart w:id="0"/>
      <w:r w:rsidDel="00000000" w:rsidR="00000000" w:rsidRPr="00000000">
        <w:rPr>
          <w:rFonts w:ascii="Arial" w:cs="Arial" w:eastAsia="Arial" w:hAnsi="Arial"/>
          <w:color w:val="000000"/>
          <w:rtl w:val="0"/>
        </w:rPr>
        <w:t xml:space="preserve">no cases of anti-drug antibodies or significant FVIII inhibitor development were reported</w:t>
      </w:r>
      <w:commentRangeEnd w:id="0"/>
      <w:r w:rsidDel="00000000" w:rsidR="00000000" w:rsidRPr="00000000">
        <w:commentReference w:id="0"/>
      </w:r>
      <w:r w:rsidDel="00000000" w:rsidR="00000000" w:rsidRPr="00000000">
        <w:rPr>
          <w:rFonts w:ascii="Arial" w:cs="Arial" w:eastAsia="Arial" w:hAnsi="Arial"/>
          <w:color w:val="000000"/>
          <w:rtl w:val="0"/>
        </w:rPr>
        <w:t xml:space="preserve">, positioning emicizumab as a promising early therapeutic option </w:t>
      </w:r>
      <w:r w:rsidDel="00000000" w:rsidR="00000000" w:rsidRPr="00000000">
        <w:rPr>
          <w:rFonts w:ascii="Arial" w:cs="Arial" w:eastAsia="Arial" w:hAnsi="Arial"/>
          <w:rtl w:val="0"/>
        </w:rPr>
        <w:t xml:space="preserve">(4,5)</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D">
      <w:pP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The reagents for chromogenic Factor VIII assay were specially procured for perioperative hemostasis monitoring for this baby. The cost incurred for Factor VIII assay by chromogenic method one time was approximately 3-4 times of Factor VIII assay by aPTT based clotting assay method. The inhibitor testing by chromogenic method incurred approximately twice the cost for Nigmegen modification of Bethesda test for Factor VIII inhibitors. </w:t>
      </w:r>
    </w:p>
    <w:p w:rsidR="00000000" w:rsidDel="00000000" w:rsidP="00000000" w:rsidRDefault="00000000" w:rsidRPr="00000000" w14:paraId="0000002E">
      <w:pP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This case contributes to the growing body of evidence supporting the perioperative use of emicizumab in hemophilia A patients undergoing major surgeries, including neurosurgical procedures. </w:t>
      </w:r>
      <w:commentRangeStart w:id="1"/>
      <w:r w:rsidDel="00000000" w:rsidR="00000000" w:rsidRPr="00000000">
        <w:rPr>
          <w:rFonts w:ascii="Arial" w:cs="Arial" w:eastAsia="Arial" w:hAnsi="Arial"/>
          <w:color w:val="000000"/>
          <w:rtl w:val="0"/>
        </w:rPr>
        <w:t xml:space="preserve">Further research and real-world data are needed to establish standardized guidelines for surgical management in this patient population</w:t>
      </w:r>
      <w:commentRangeEnd w:id="1"/>
      <w:r w:rsidDel="00000000" w:rsidR="00000000" w:rsidRPr="00000000">
        <w:commentReference w:id="1"/>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bookmarkStart w:colFirst="0" w:colLast="0" w:name="_shyz2ue2rzc6" w:id="4"/>
      <w:bookmarkEnd w:id="4"/>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 Conclusion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conclusion, this case highlights the potential of Emicizumab combined with targeted FVIII supplementation as an effective alternative to traditional prophylaxis in the perioperative management of hemophilia A, supporting the need for further research to develop standardized surgical protocols.</w:t>
      </w:r>
    </w:p>
    <w:p w:rsidR="00000000" w:rsidDel="00000000" w:rsidP="00000000" w:rsidRDefault="00000000" w:rsidRPr="00000000" w14:paraId="0000003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Consent </w:t>
      </w:r>
    </w:p>
    <w:p w:rsidR="00000000" w:rsidDel="00000000" w:rsidP="00000000" w:rsidRDefault="00000000" w:rsidRPr="00000000" w14:paraId="000000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authors declare that ‘written informed consent was obtained from the patient (or other approved parties) for publication of this case report. </w:t>
      </w:r>
    </w:p>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References</w:t>
      </w:r>
    </w:p>
    <w:p w:rsidR="00000000" w:rsidDel="00000000" w:rsidP="00000000" w:rsidRDefault="00000000" w:rsidRPr="00000000" w14:paraId="000000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tabs>
          <w:tab w:val="left" w:leader="none" w:pos="264"/>
        </w:tabs>
        <w:spacing w:after="240" w:lineRule="auto"/>
        <w:ind w:left="264" w:hanging="264"/>
        <w:rPr>
          <w:rFonts w:ascii="Arial" w:cs="Arial" w:eastAsia="Arial" w:hAnsi="Arial"/>
        </w:rPr>
      </w:pPr>
      <w:r w:rsidDel="00000000" w:rsidR="00000000" w:rsidRPr="00000000">
        <w:rPr>
          <w:rFonts w:ascii="Arial" w:cs="Arial" w:eastAsia="Arial" w:hAnsi="Arial"/>
          <w:rtl w:val="0"/>
        </w:rPr>
        <w:t xml:space="preserve">[1].Srivastava A, Santagostino E, Dougall A, Kitchen S, Sutherland M, Pipe SW, et al. WFH Guidelines for the Management of Hemophilia, 3rd edition. Haemophilia. 2020 Aug;26(S6):1–158</w:t>
      </w:r>
    </w:p>
    <w:p w:rsidR="00000000" w:rsidDel="00000000" w:rsidP="00000000" w:rsidRDefault="00000000" w:rsidRPr="00000000" w14:paraId="0000003D">
      <w:pPr>
        <w:tabs>
          <w:tab w:val="left" w:leader="none" w:pos="264"/>
        </w:tabs>
        <w:spacing w:after="240" w:lineRule="auto"/>
        <w:ind w:left="264" w:hanging="264"/>
        <w:rPr>
          <w:rFonts w:ascii="Arial" w:cs="Arial" w:eastAsia="Arial" w:hAnsi="Arial"/>
        </w:rPr>
      </w:pPr>
      <w:r w:rsidDel="00000000" w:rsidR="00000000" w:rsidRPr="00000000">
        <w:rPr>
          <w:rFonts w:ascii="Arial" w:cs="Arial" w:eastAsia="Arial" w:hAnsi="Arial"/>
          <w:rtl w:val="0"/>
        </w:rPr>
        <w:t xml:space="preserve">[2].Coffin D, Gouider E, Konkle B, Hermans C, Lambert C, Diop S, Ayoub E, Tootoonchian E, Youttananukorn T, Dakik P, Pereira T, Iorio A, Pierce GF; World Bleeding Disorders Registry Participating Investigators. The World Federation of Hemophilia World Bleeding Disorders Registry: insights from the first 10,000 patients. Res Pract Thromb Haemost. 2023 Nov 20;7(8):102264. doi: 10.1016/j.rpth.2023.102264. PMID: 38193052; PMCID: PMC10772874. </w:t>
      </w:r>
    </w:p>
    <w:p w:rsidR="00000000" w:rsidDel="00000000" w:rsidP="00000000" w:rsidRDefault="00000000" w:rsidRPr="00000000" w14:paraId="0000003E">
      <w:pPr>
        <w:tabs>
          <w:tab w:val="left" w:leader="none" w:pos="264"/>
        </w:tabs>
        <w:spacing w:after="240" w:lineRule="auto"/>
        <w:ind w:left="264" w:hanging="264"/>
        <w:rPr>
          <w:rFonts w:ascii="Arial" w:cs="Arial" w:eastAsia="Arial" w:hAnsi="Arial"/>
        </w:rPr>
      </w:pPr>
      <w:r w:rsidDel="00000000" w:rsidR="00000000" w:rsidRPr="00000000">
        <w:rPr>
          <w:rFonts w:ascii="Arial" w:cs="Arial" w:eastAsia="Arial" w:hAnsi="Arial"/>
          <w:rtl w:val="0"/>
        </w:rPr>
        <w:t xml:space="preserve">[3].C. Hermans, C. Altisent, A. Batorova, et al., “Replacement Therapy for Invasive Procedures in PwH With Haemophilia: Literature Review, European Survey, and Recommendations,” Haemophilia 15, no. 3 (2009): 639–658</w:t>
      </w:r>
    </w:p>
    <w:p w:rsidR="00000000" w:rsidDel="00000000" w:rsidP="00000000" w:rsidRDefault="00000000" w:rsidRPr="00000000" w14:paraId="0000003F">
      <w:pPr>
        <w:tabs>
          <w:tab w:val="left" w:leader="none" w:pos="264"/>
        </w:tabs>
        <w:spacing w:after="240" w:lineRule="auto"/>
        <w:ind w:left="264" w:hanging="264"/>
        <w:rPr>
          <w:rFonts w:ascii="Arial" w:cs="Arial" w:eastAsia="Arial" w:hAnsi="Arial"/>
        </w:rPr>
      </w:pPr>
      <w:r w:rsidDel="00000000" w:rsidR="00000000" w:rsidRPr="00000000">
        <w:rPr>
          <w:rFonts w:ascii="Arial" w:cs="Arial" w:eastAsia="Arial" w:hAnsi="Arial"/>
          <w:rtl w:val="0"/>
        </w:rPr>
        <w:t xml:space="preserve">[4].Belletrutti M, Bhatt M, Samji N. Management of children with hemophilia A on emicizumab who need surgery. Front Pediatr. 2023 Apr 4;11:1155853. </w:t>
      </w:r>
    </w:p>
    <w:p w:rsidR="00000000" w:rsidDel="00000000" w:rsidP="00000000" w:rsidRDefault="00000000" w:rsidRPr="00000000" w14:paraId="00000040">
      <w:pPr>
        <w:tabs>
          <w:tab w:val="left" w:leader="none" w:pos="264"/>
        </w:tabs>
        <w:spacing w:after="240" w:lineRule="auto"/>
        <w:ind w:left="264" w:hanging="264"/>
        <w:rPr>
          <w:rFonts w:ascii="Arial" w:cs="Arial" w:eastAsia="Arial" w:hAnsi="Arial"/>
        </w:rPr>
      </w:pPr>
      <w:r w:rsidDel="00000000" w:rsidR="00000000" w:rsidRPr="00000000">
        <w:rPr>
          <w:rFonts w:ascii="Arial" w:cs="Arial" w:eastAsia="Arial" w:hAnsi="Arial"/>
          <w:rtl w:val="0"/>
        </w:rPr>
        <w:t xml:space="preserve">5].Rebecca Kruse-Jarres, Flora Peyvandi, Johannes Oldenburg, Tiffany Chang, Sammy Chebon, Michelle Y. Doral, Stacy E. Croteau, Thierry Lambert, Christine L. Kempton, Steven W. Pipe, Richard H. Ko, Benjamin Trzaskoma, Christophe Dhalluin, Nives Selak Bienz, Markus Niggli, Michaela Lehle, Ido Paz-Priel, Guy Young, Víctor Jiménez-Yuste.Surgical outcomes in people with hemophilia A taking emicizumab prophylaxis: experience from the HAVEN 1-4 studies,Blood Advances,Volume 6, Issue 24,2022,Pages 6140-6150,ISSN 2473-9529,https://doi.org/10.1182/bloodadvances.2022007458. (https://www.sciencedirect.com/science/article/pii/S2473952922005195)</w:t>
      </w:r>
    </w:p>
    <w:p w:rsidR="00000000" w:rsidDel="00000000" w:rsidP="00000000" w:rsidRDefault="00000000" w:rsidRPr="00000000" w14:paraId="00000041">
      <w:pPr>
        <w:tabs>
          <w:tab w:val="left" w:leader="none" w:pos="264"/>
        </w:tabs>
        <w:spacing w:after="240" w:lineRule="auto"/>
        <w:ind w:left="264" w:hanging="264"/>
        <w:rPr>
          <w:rFonts w:ascii="Arial" w:cs="Arial" w:eastAsia="Arial" w:hAnsi="Arial"/>
        </w:rPr>
      </w:pPr>
      <w:r w:rsidDel="00000000" w:rsidR="00000000" w:rsidRPr="00000000">
        <w:rPr>
          <w:rFonts w:ascii="Arial" w:cs="Arial" w:eastAsia="Arial" w:hAnsi="Arial"/>
          <w:rtl w:val="0"/>
        </w:rPr>
        <w:t xml:space="preserve">[6].Yoneyama K, Schmitt C, Kotani N, Levy GG, Kasai R, Iida S, Shima M, Kawanishi T. A Pharmacometric Approach to Substitute for a Conventional Dose-Finding Study in Rare Diseases: Example of Phase III Dose Selection for Emicizumab in Hemophilia A. Clin Pharmacokinet. 2018 Sep;57(9):1123-1134. doi: 10.1007/s40262-017-0616-3. PMID: 29214439; PMCID: PMC6061395.</w:t>
      </w:r>
    </w:p>
    <w:p w:rsidR="00000000" w:rsidDel="00000000" w:rsidP="00000000" w:rsidRDefault="00000000" w:rsidRPr="00000000" w14:paraId="00000042">
      <w:pPr>
        <w:tabs>
          <w:tab w:val="left" w:leader="none" w:pos="264"/>
        </w:tabs>
        <w:spacing w:after="240" w:lineRule="auto"/>
        <w:ind w:left="264" w:hanging="264"/>
        <w:rPr>
          <w:rFonts w:ascii="Arial" w:cs="Arial" w:eastAsia="Arial" w:hAnsi="Arial"/>
        </w:rPr>
      </w:pPr>
      <w:r w:rsidDel="00000000" w:rsidR="00000000" w:rsidRPr="00000000">
        <w:rPr>
          <w:rFonts w:ascii="Arial" w:cs="Arial" w:eastAsia="Arial" w:hAnsi="Arial"/>
          <w:rtl w:val="0"/>
        </w:rPr>
        <w:t xml:space="preserve">[7].Pipe SW, Collins P, Dhalluin C, Kenet G, Schmitt C, Buri M, et al. Emicizumab prophylaxis in infants with hemophilia A (HAVEN 7): primary analysis of a phase 3b open-label trial. Blood. 2024 Apr 4;143(14):1355–64. </w:t>
      </w:r>
    </w:p>
    <w:p w:rsidR="00000000" w:rsidDel="00000000" w:rsidP="00000000" w:rsidRDefault="00000000" w:rsidRPr="00000000" w14:paraId="00000043">
      <w:pPr>
        <w:tabs>
          <w:tab w:val="left" w:leader="none" w:pos="264"/>
        </w:tabs>
        <w:spacing w:after="240" w:lineRule="auto"/>
        <w:ind w:left="264" w:hanging="264"/>
        <w:rPr>
          <w:rFonts w:ascii="Arial" w:cs="Arial" w:eastAsia="Arial" w:hAnsi="Arial"/>
        </w:rPr>
      </w:pPr>
      <w:r w:rsidDel="00000000" w:rsidR="00000000" w:rsidRPr="00000000">
        <w:rPr>
          <w:rFonts w:ascii="Arial" w:cs="Arial" w:eastAsia="Arial" w:hAnsi="Arial"/>
          <w:rtl w:val="0"/>
        </w:rPr>
        <w:t xml:space="preserve">[8]. Kizilocak H, Marquez-Casas E, Malvar J, Carmona R, Young G. Determining the approximate FVIIIlevel of patients with severe haemophilia A on emicizumab using in vivo global haemostasis assays. Haemophilia. 2021;27:730–5.</w:t>
      </w:r>
    </w:p>
    <w:p w:rsidR="00000000" w:rsidDel="00000000" w:rsidP="00000000" w:rsidRDefault="00000000" w:rsidRPr="00000000" w14:paraId="00000044">
      <w:pPr>
        <w:tabs>
          <w:tab w:val="left" w:leader="none" w:pos="264"/>
        </w:tabs>
        <w:spacing w:after="240" w:lineRule="auto"/>
        <w:ind w:left="264" w:hanging="264"/>
        <w:rPr>
          <w:rFonts w:ascii="Arial" w:cs="Arial" w:eastAsia="Arial" w:hAnsi="Arial"/>
        </w:rPr>
      </w:pPr>
      <w:r w:rsidDel="00000000" w:rsidR="00000000" w:rsidRPr="00000000">
        <w:rPr>
          <w:rFonts w:ascii="Arial" w:cs="Arial" w:eastAsia="Arial" w:hAnsi="Arial"/>
          <w:rtl w:val="0"/>
        </w:rPr>
        <w:t xml:space="preserve">[9].Marcelo Paglioli Ferreira, Marcus Vinícius Martins Collares, Nelson Pires Ferreira, Jorge Luiz Kraemer, Arthur Azambuja Pereira Filho, Gustavo Azambuja Pereira Filho.Early surgical treatment of nonsyndromic craniosynostosis,Surgical Neurology,Volume 65, Supplement 1,2006,Pages S22-S26,ISSN 0090-3019,https://doi.org/10.1016/j.surneu.2005.11.038. (https://www.sciencedirect.com/science/article/pii/S0090301905007974).</w:t>
      </w:r>
    </w:p>
    <w:p w:rsidR="00000000" w:rsidDel="00000000" w:rsidP="00000000" w:rsidRDefault="00000000" w:rsidRPr="00000000" w14:paraId="00000045">
      <w:pPr>
        <w:spacing w:line="259" w:lineRule="auto"/>
        <w:rPr>
          <w:rFonts w:ascii="Arial" w:cs="Arial" w:eastAsia="Arial" w:hAnsi="Arial"/>
        </w:rPr>
      </w:pPr>
      <w:r w:rsidDel="00000000" w:rsidR="00000000" w:rsidRPr="00000000">
        <w:rPr>
          <w:rFonts w:ascii="Arial" w:cs="Arial" w:eastAsia="Arial" w:hAnsi="Arial"/>
          <w:rtl w:val="0"/>
        </w:rPr>
        <w:t xml:space="preserve">[10].</w:t>
      </w:r>
      <w:r w:rsidDel="00000000" w:rsidR="00000000" w:rsidRPr="00000000">
        <w:rPr>
          <w:rFonts w:ascii="Arial" w:cs="Arial" w:eastAsia="Arial" w:hAnsi="Arial"/>
          <w:b w:val="1"/>
          <w:shd w:fill="edf0f2" w:val="clear"/>
          <w:rtl w:val="0"/>
        </w:rPr>
        <w:t xml:space="preserve"> </w:t>
      </w:r>
      <w:r w:rsidDel="00000000" w:rsidR="00000000" w:rsidRPr="00000000">
        <w:rPr>
          <w:rFonts w:ascii="Arial" w:cs="Arial" w:eastAsia="Arial" w:hAnsi="Arial"/>
          <w:rtl w:val="0"/>
        </w:rPr>
        <w:t xml:space="preserve">Chowdhury, A., Patel, R., Silva, A. H. D., Dunaway, D. J., Jeelani, N. u. O., Ong, J., Hayward, R., &amp; James, G. (2023). Sagittal synostosis: does the choice of intervention and its timing affect the long-term aesthetic and neurodevelopmental outcome? A single-institution study of 167 children. </w:t>
      </w:r>
      <w:r w:rsidDel="00000000" w:rsidR="00000000" w:rsidRPr="00000000">
        <w:rPr>
          <w:rFonts w:ascii="Arial" w:cs="Arial" w:eastAsia="Arial" w:hAnsi="Arial"/>
          <w:i w:val="1"/>
          <w:rtl w:val="0"/>
        </w:rPr>
        <w:t xml:space="preserve">Journal of Neurosurgery: Pediatrics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31</w:t>
      </w:r>
      <w:r w:rsidDel="00000000" w:rsidR="00000000" w:rsidRPr="00000000">
        <w:rPr>
          <w:rFonts w:ascii="Arial" w:cs="Arial" w:eastAsia="Arial" w:hAnsi="Arial"/>
          <w:rtl w:val="0"/>
        </w:rPr>
        <w:t xml:space="preserve">(2), 169-178. https://doi.org/10.3171/2022.10.PEDS22135</w:t>
      </w:r>
    </w:p>
    <w:p w:rsidR="00000000" w:rsidDel="00000000" w:rsidP="00000000" w:rsidRDefault="00000000" w:rsidRPr="00000000" w14:paraId="00000046">
      <w:pPr>
        <w:spacing w:line="259" w:lineRule="auto"/>
        <w:rPr>
          <w:rFonts w:ascii="Arial" w:cs="Arial" w:eastAsia="Arial" w:hAnsi="Arial"/>
        </w:rPr>
      </w:pPr>
      <w:r w:rsidDel="00000000" w:rsidR="00000000" w:rsidRPr="00000000">
        <w:rPr>
          <w:rFonts w:ascii="Arial" w:cs="Arial" w:eastAsia="Arial" w:hAnsi="Arial"/>
          <w:rtl w:val="0"/>
        </w:rPr>
        <w:t xml:space="preserve">[11].Ganapathi R, Sidharthan N, Thachil J. Successful Orthopaedic Surgeries With World Federation of Haemophilia Humanitarian Aid Program in Resource-Limited Settings. Haemophilia. 2025 Jan;31(1):162-165.doi: 10.1111/hae.15141. Epub 2024 Dec 31. PMID: 39737827.</w:t>
      </w:r>
    </w:p>
    <w:p w:rsidR="00000000" w:rsidDel="00000000" w:rsidP="00000000" w:rsidRDefault="00000000" w:rsidRPr="00000000" w14:paraId="00000047">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4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p>
    <w:sectPr>
      <w:headerReference r:id="rId13" w:type="default"/>
      <w:headerReference r:id="rId14" w:type="first"/>
      <w:headerReference r:id="rId15" w:type="even"/>
      <w:footerReference r:id="rId16" w:type="default"/>
      <w:type w:val="continuous"/>
      <w:pgSz w:h="15840" w:w="12240" w:orient="portrait"/>
      <w:pgMar w:bottom="720" w:top="720" w:left="720" w:right="72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e" w:id="0" w:date="2025-06-07T14:57:17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Anti-drug antibodies are minimal rather than no.</w:t>
      </w:r>
    </w:p>
  </w:comment>
  <w:comment w:author="Me" w:id="1" w:date="2025-06-07T15:00:58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Brand of the Emicizumab and cost effectiveness is also also one of the important consideration in minor surgical procedures.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Helvetica Neue"/>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*Corresponding author: Email: XYZ@ABC.COM</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6"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4"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ind w:left="2160" w:firstLine="0"/>
      <w:jc w:val="center"/>
      <w:rPr>
        <w:rFonts w:ascii="Times New Roman" w:cs="Times New Roman" w:eastAsia="Times New Roman" w:hAnsi="Times New Roman"/>
        <w:i w:val="1"/>
        <w:sz w:val="18"/>
        <w:szCs w:val="18"/>
      </w:rPr>
    </w:pPr>
    <w:r w:rsidDel="00000000" w:rsidR="00000000" w:rsidRPr="00000000">
      <w:rPr/>
      <w:pict>
        <v:shape id="PowerPlusWaterMarkObject5"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04C">
    <w:pPr>
      <w:ind w:left="432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4D">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w:t>
    </w:r>
  </w:p>
  <w:p w:rsidR="00000000" w:rsidDel="00000000" w:rsidP="00000000" w:rsidRDefault="00000000" w:rsidRPr="00000000" w14:paraId="0000004E">
    <w:pPr>
      <w:spacing w:after="200"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              . </w:t>
    </w:r>
  </w:p>
  <w:p w:rsidR="00000000" w:rsidDel="00000000" w:rsidP="00000000" w:rsidRDefault="00000000" w:rsidRPr="00000000" w14:paraId="0000004F">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50">
    <w:pPr>
      <w:tabs>
        <w:tab w:val="left" w:leader="none" w:pos="2145"/>
      </w:tabs>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ab/>
      <w:t xml:space="preserv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2"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3"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1"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60" w:lineRule="auto"/>
      <w:jc w:val="right"/>
    </w:pPr>
    <w:rPr>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eader" Target="header5.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5" Type="http://schemas.openxmlformats.org/officeDocument/2006/relationships/header" Target="header4.xml"/><Relationship Id="rId14" Type="http://schemas.openxmlformats.org/officeDocument/2006/relationships/header" Target="header6.xml"/><Relationship Id="rId16" Type="http://schemas.openxmlformats.org/officeDocument/2006/relationships/footer" Target="footer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