
<file path=[Content_Types].xml><?xml version="1.0" encoding="utf-8"?>
<Types xmlns="http://schemas.openxmlformats.org/package/2006/content-types">
  <Default Extension="bin" ContentType="image/unknow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DCACB" w14:textId="3CCF0F6F" w:rsidR="00F81BF7" w:rsidRPr="008B1280" w:rsidRDefault="003F5CC4" w:rsidP="00F81BF7">
      <w:pPr>
        <w:spacing w:line="240" w:lineRule="auto"/>
        <w:jc w:val="right"/>
        <w:rPr>
          <w:rFonts w:ascii="Arial" w:hAnsi="Arial" w:cs="Arial"/>
          <w:b/>
          <w:color w:val="000000" w:themeColor="text1"/>
          <w:sz w:val="26"/>
          <w:szCs w:val="26"/>
        </w:rPr>
      </w:pPr>
      <w:bookmarkStart w:id="0" w:name="_Toc151636262"/>
      <w:bookmarkStart w:id="1" w:name="_Toc151638165"/>
      <w:commentRangeStart w:id="2"/>
      <w:r w:rsidRPr="008B1280">
        <w:rPr>
          <w:rFonts w:ascii="Arial" w:hAnsi="Arial" w:cs="Arial"/>
          <w:b/>
          <w:color w:val="000000" w:themeColor="text1"/>
          <w:sz w:val="26"/>
          <w:szCs w:val="26"/>
        </w:rPr>
        <w:t>H</w:t>
      </w:r>
      <w:r w:rsidR="0018432F" w:rsidRPr="008B1280">
        <w:rPr>
          <w:rFonts w:ascii="Arial" w:hAnsi="Arial" w:cs="Arial"/>
          <w:b/>
          <w:color w:val="000000" w:themeColor="text1"/>
          <w:sz w:val="26"/>
          <w:szCs w:val="26"/>
        </w:rPr>
        <w:t xml:space="preserve">ousing Affordability among the </w:t>
      </w:r>
      <w:proofErr w:type="gramStart"/>
      <w:r w:rsidR="0018432F" w:rsidRPr="008B1280">
        <w:rPr>
          <w:rFonts w:ascii="Arial" w:hAnsi="Arial" w:cs="Arial"/>
          <w:b/>
          <w:color w:val="000000" w:themeColor="text1"/>
          <w:sz w:val="26"/>
          <w:szCs w:val="26"/>
        </w:rPr>
        <w:t>Low Income</w:t>
      </w:r>
      <w:proofErr w:type="gramEnd"/>
      <w:r w:rsidR="0018432F" w:rsidRPr="008B1280">
        <w:rPr>
          <w:rFonts w:ascii="Arial" w:hAnsi="Arial" w:cs="Arial"/>
          <w:b/>
          <w:color w:val="000000" w:themeColor="text1"/>
          <w:sz w:val="26"/>
          <w:szCs w:val="26"/>
        </w:rPr>
        <w:t xml:space="preserve"> Residents in Ibadan North Local Go</w:t>
      </w:r>
      <w:r w:rsidR="00F81BF7" w:rsidRPr="008B1280">
        <w:rPr>
          <w:rFonts w:ascii="Arial" w:hAnsi="Arial" w:cs="Arial"/>
          <w:b/>
          <w:color w:val="000000" w:themeColor="text1"/>
          <w:sz w:val="26"/>
          <w:szCs w:val="26"/>
        </w:rPr>
        <w:t>vernment Area, Oyo State Nigeria</w:t>
      </w:r>
      <w:commentRangeEnd w:id="2"/>
      <w:r w:rsidR="00491DB1">
        <w:rPr>
          <w:rStyle w:val="CommentReference"/>
        </w:rPr>
        <w:commentReference w:id="2"/>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81BF7" w:rsidRPr="008B1280" w14:paraId="714FF2F7" w14:textId="77777777" w:rsidTr="00F81BF7">
        <w:tc>
          <w:tcPr>
            <w:tcW w:w="9350" w:type="dxa"/>
          </w:tcPr>
          <w:p w14:paraId="528C385E" w14:textId="77777777" w:rsidR="00F81BF7" w:rsidRDefault="00F81BF7" w:rsidP="00B96D0B">
            <w:pPr>
              <w:jc w:val="right"/>
              <w:rPr>
                <w:rFonts w:ascii="Arial" w:hAnsi="Arial" w:cs="Arial"/>
                <w:bCs/>
                <w:color w:val="000000" w:themeColor="text1"/>
                <w:sz w:val="18"/>
                <w:szCs w:val="18"/>
              </w:rPr>
            </w:pPr>
          </w:p>
          <w:p w14:paraId="0CF36AAC" w14:textId="7348FFDA" w:rsidR="004355C9" w:rsidRPr="004C29C1" w:rsidRDefault="004355C9" w:rsidP="00B96D0B">
            <w:pPr>
              <w:jc w:val="right"/>
              <w:rPr>
                <w:rFonts w:ascii="Arial" w:hAnsi="Arial" w:cs="Arial"/>
                <w:bCs/>
                <w:color w:val="000000" w:themeColor="text1"/>
                <w:sz w:val="18"/>
                <w:szCs w:val="18"/>
              </w:rPr>
            </w:pPr>
          </w:p>
        </w:tc>
      </w:tr>
      <w:tr w:rsidR="00F81BF7" w:rsidRPr="008B1280" w14:paraId="742E5C4A" w14:textId="77777777" w:rsidTr="00F81BF7">
        <w:tc>
          <w:tcPr>
            <w:tcW w:w="9350" w:type="dxa"/>
          </w:tcPr>
          <w:p w14:paraId="2328ED8F" w14:textId="3D40CE69" w:rsidR="00F81BF7" w:rsidRPr="004C29C1" w:rsidRDefault="00F81BF7" w:rsidP="00B96D0B">
            <w:pPr>
              <w:jc w:val="right"/>
              <w:rPr>
                <w:rFonts w:ascii="Arial" w:hAnsi="Arial" w:cs="Arial"/>
                <w:bCs/>
                <w:color w:val="000000" w:themeColor="text1"/>
                <w:sz w:val="18"/>
                <w:szCs w:val="18"/>
              </w:rPr>
            </w:pPr>
          </w:p>
        </w:tc>
      </w:tr>
      <w:tr w:rsidR="00F81BF7" w:rsidRPr="008B1280" w14:paraId="1BE8DC30" w14:textId="77777777" w:rsidTr="00F81BF7">
        <w:tc>
          <w:tcPr>
            <w:tcW w:w="9350" w:type="dxa"/>
          </w:tcPr>
          <w:p w14:paraId="31977ED1" w14:textId="7A3B5D5F" w:rsidR="00F81BF7" w:rsidRPr="004C29C1" w:rsidRDefault="00F81BF7" w:rsidP="00B96D0B">
            <w:pPr>
              <w:jc w:val="right"/>
              <w:rPr>
                <w:rFonts w:ascii="Arial" w:hAnsi="Arial" w:cs="Arial"/>
                <w:bCs/>
                <w:color w:val="000000" w:themeColor="text1"/>
                <w:sz w:val="18"/>
                <w:szCs w:val="18"/>
              </w:rPr>
            </w:pPr>
          </w:p>
        </w:tc>
      </w:tr>
      <w:tr w:rsidR="00F81BF7" w:rsidRPr="008B1280" w14:paraId="603CF340" w14:textId="77777777" w:rsidTr="00F81BF7">
        <w:tc>
          <w:tcPr>
            <w:tcW w:w="9350" w:type="dxa"/>
          </w:tcPr>
          <w:p w14:paraId="4F53E31F" w14:textId="5279ED70" w:rsidR="00F81BF7" w:rsidRPr="004C29C1" w:rsidRDefault="00F81BF7" w:rsidP="00B96D0B">
            <w:pPr>
              <w:jc w:val="right"/>
              <w:rPr>
                <w:rFonts w:ascii="Arial" w:hAnsi="Arial" w:cs="Arial"/>
                <w:bCs/>
                <w:color w:val="000000" w:themeColor="text1"/>
                <w:sz w:val="18"/>
                <w:szCs w:val="18"/>
              </w:rPr>
            </w:pPr>
          </w:p>
        </w:tc>
      </w:tr>
      <w:tr w:rsidR="0072306B" w:rsidRPr="008B1280" w14:paraId="5CCB21D0" w14:textId="77777777" w:rsidTr="00F81BF7">
        <w:tc>
          <w:tcPr>
            <w:tcW w:w="9350" w:type="dxa"/>
          </w:tcPr>
          <w:p w14:paraId="6F6DA7CC" w14:textId="2A96B921" w:rsidR="0072306B" w:rsidRPr="004C29C1" w:rsidRDefault="0072306B" w:rsidP="00B96D0B">
            <w:pPr>
              <w:jc w:val="right"/>
              <w:rPr>
                <w:rFonts w:ascii="Arial" w:hAnsi="Arial" w:cs="Arial"/>
                <w:bCs/>
                <w:color w:val="000000" w:themeColor="text1"/>
                <w:sz w:val="18"/>
                <w:szCs w:val="18"/>
              </w:rPr>
            </w:pPr>
          </w:p>
        </w:tc>
      </w:tr>
    </w:tbl>
    <w:p w14:paraId="1160942F" w14:textId="77777777" w:rsidR="00766E0A" w:rsidRPr="008B1280" w:rsidRDefault="00766E0A" w:rsidP="00B125A0">
      <w:pPr>
        <w:spacing w:line="240" w:lineRule="auto"/>
        <w:jc w:val="center"/>
        <w:rPr>
          <w:rFonts w:ascii="Arial" w:hAnsi="Arial" w:cs="Arial"/>
          <w:b/>
          <w:color w:val="000000" w:themeColor="text1"/>
          <w:sz w:val="26"/>
          <w:szCs w:val="26"/>
        </w:rPr>
      </w:pPr>
    </w:p>
    <w:p w14:paraId="41218579" w14:textId="77777777" w:rsidR="00D26672" w:rsidRPr="008B1280" w:rsidRDefault="00F52B8F" w:rsidP="00F81BF7">
      <w:pPr>
        <w:spacing w:line="240" w:lineRule="auto"/>
        <w:rPr>
          <w:rFonts w:ascii="Arial" w:hAnsi="Arial" w:cs="Arial"/>
          <w:b/>
          <w:bCs/>
          <w:color w:val="000000" w:themeColor="text1"/>
        </w:rPr>
      </w:pPr>
      <w:r w:rsidRPr="008B1280">
        <w:rPr>
          <w:rFonts w:ascii="Arial" w:hAnsi="Arial" w:cs="Arial"/>
          <w:b/>
          <w:bCs/>
          <w:color w:val="000000" w:themeColor="text1"/>
        </w:rPr>
        <w:t>ABSTRACT</w:t>
      </w:r>
    </w:p>
    <w:p w14:paraId="3E0A47DA" w14:textId="46432BC7" w:rsidR="000D12A7" w:rsidRPr="008B1280" w:rsidRDefault="003F5CC4" w:rsidP="00E05B7F">
      <w:pPr>
        <w:spacing w:line="240" w:lineRule="auto"/>
        <w:jc w:val="both"/>
        <w:rPr>
          <w:rFonts w:ascii="Arial" w:hAnsi="Arial" w:cs="Arial"/>
          <w:color w:val="000000" w:themeColor="text1"/>
          <w:sz w:val="20"/>
          <w:szCs w:val="20"/>
        </w:rPr>
      </w:pPr>
      <w:commentRangeStart w:id="3"/>
      <w:r w:rsidRPr="008B1280">
        <w:rPr>
          <w:rFonts w:ascii="Arial" w:hAnsi="Arial" w:cs="Arial"/>
          <w:color w:val="000000" w:themeColor="text1"/>
          <w:sz w:val="20"/>
          <w:szCs w:val="20"/>
        </w:rPr>
        <w:t>The study</w:t>
      </w:r>
      <w:r w:rsidR="00F52B8F" w:rsidRPr="008B1280">
        <w:rPr>
          <w:rFonts w:ascii="Arial" w:hAnsi="Arial" w:cs="Arial"/>
          <w:color w:val="000000" w:themeColor="text1"/>
          <w:sz w:val="20"/>
          <w:szCs w:val="20"/>
        </w:rPr>
        <w:t xml:space="preserve"> examine</w:t>
      </w:r>
      <w:r w:rsidRPr="008B1280">
        <w:rPr>
          <w:rFonts w:ascii="Arial" w:hAnsi="Arial" w:cs="Arial"/>
          <w:color w:val="000000" w:themeColor="text1"/>
          <w:sz w:val="20"/>
          <w:szCs w:val="20"/>
        </w:rPr>
        <w:t>s</w:t>
      </w:r>
      <w:r w:rsidR="00F52B8F" w:rsidRPr="008B1280">
        <w:rPr>
          <w:rFonts w:ascii="Arial" w:hAnsi="Arial" w:cs="Arial"/>
          <w:color w:val="000000" w:themeColor="text1"/>
          <w:sz w:val="20"/>
          <w:szCs w:val="20"/>
        </w:rPr>
        <w:t xml:space="preserve"> </w:t>
      </w:r>
      <w:r w:rsidRPr="008B1280">
        <w:rPr>
          <w:rFonts w:ascii="Arial" w:hAnsi="Arial" w:cs="Arial"/>
          <w:color w:val="000000" w:themeColor="text1"/>
          <w:sz w:val="20"/>
          <w:szCs w:val="20"/>
        </w:rPr>
        <w:t xml:space="preserve">housing affordability of the </w:t>
      </w:r>
      <w:r w:rsidR="00F52B8F" w:rsidRPr="008B1280">
        <w:rPr>
          <w:rFonts w:ascii="Arial" w:hAnsi="Arial" w:cs="Arial"/>
          <w:color w:val="000000" w:themeColor="text1"/>
          <w:sz w:val="20"/>
          <w:szCs w:val="20"/>
        </w:rPr>
        <w:t xml:space="preserve">low-income earners of Ibadan North Local Government </w:t>
      </w:r>
      <w:r w:rsidRPr="008B1280">
        <w:rPr>
          <w:rFonts w:ascii="Arial" w:hAnsi="Arial" w:cs="Arial"/>
          <w:color w:val="000000" w:themeColor="text1"/>
          <w:sz w:val="20"/>
          <w:szCs w:val="20"/>
        </w:rPr>
        <w:t xml:space="preserve">Area </w:t>
      </w:r>
      <w:r w:rsidR="00F52B8F" w:rsidRPr="008B1280">
        <w:rPr>
          <w:rFonts w:ascii="Arial" w:hAnsi="Arial" w:cs="Arial"/>
          <w:color w:val="000000" w:themeColor="text1"/>
          <w:sz w:val="20"/>
          <w:szCs w:val="20"/>
        </w:rPr>
        <w:t>in Ibadan</w:t>
      </w:r>
      <w:r w:rsidRPr="008B1280">
        <w:rPr>
          <w:rFonts w:ascii="Arial" w:hAnsi="Arial" w:cs="Arial"/>
          <w:color w:val="000000" w:themeColor="text1"/>
          <w:sz w:val="20"/>
          <w:szCs w:val="20"/>
        </w:rPr>
        <w:t xml:space="preserve">, Oyo </w:t>
      </w:r>
      <w:commentRangeStart w:id="4"/>
      <w:r w:rsidRPr="008B1280">
        <w:rPr>
          <w:rFonts w:ascii="Arial" w:hAnsi="Arial" w:cs="Arial"/>
          <w:color w:val="000000" w:themeColor="text1"/>
          <w:sz w:val="20"/>
          <w:szCs w:val="20"/>
        </w:rPr>
        <w:t>state Nigeria</w:t>
      </w:r>
      <w:commentRangeEnd w:id="4"/>
      <w:r w:rsidR="00491DB1">
        <w:rPr>
          <w:rStyle w:val="CommentReference"/>
        </w:rPr>
        <w:commentReference w:id="4"/>
      </w:r>
      <w:r w:rsidRPr="008B1280">
        <w:rPr>
          <w:rFonts w:ascii="Arial" w:hAnsi="Arial" w:cs="Arial"/>
          <w:color w:val="000000" w:themeColor="text1"/>
          <w:sz w:val="20"/>
          <w:szCs w:val="20"/>
        </w:rPr>
        <w:t xml:space="preserve">. </w:t>
      </w:r>
      <w:r w:rsidR="00F52B8F" w:rsidRPr="008B1280">
        <w:rPr>
          <w:rFonts w:ascii="Arial" w:hAnsi="Arial" w:cs="Arial"/>
          <w:color w:val="000000" w:themeColor="text1"/>
          <w:sz w:val="20"/>
          <w:szCs w:val="20"/>
        </w:rPr>
        <w:t xml:space="preserve"> </w:t>
      </w:r>
      <w:r w:rsidRPr="008B1280">
        <w:rPr>
          <w:rFonts w:ascii="Arial" w:hAnsi="Arial" w:cs="Arial"/>
          <w:color w:val="000000" w:themeColor="text1"/>
          <w:sz w:val="20"/>
          <w:szCs w:val="20"/>
        </w:rPr>
        <w:t xml:space="preserve">Affordability theory provided the theoretical anchor, while cross </w:t>
      </w:r>
      <w:r w:rsidR="00B125A0" w:rsidRPr="008B1280">
        <w:rPr>
          <w:rFonts w:ascii="Arial" w:hAnsi="Arial" w:cs="Arial"/>
          <w:color w:val="000000" w:themeColor="text1"/>
          <w:sz w:val="20"/>
          <w:szCs w:val="20"/>
        </w:rPr>
        <w:t>survey research</w:t>
      </w:r>
      <w:r w:rsidRPr="008B1280">
        <w:rPr>
          <w:rFonts w:ascii="Arial" w:hAnsi="Arial" w:cs="Arial"/>
          <w:color w:val="000000" w:themeColor="text1"/>
          <w:sz w:val="20"/>
          <w:szCs w:val="20"/>
        </w:rPr>
        <w:t xml:space="preserve"> design was adopted for the study. Both primary and secondary data were sourced. Using a purposive </w:t>
      </w:r>
      <w:commentRangeStart w:id="5"/>
      <w:r w:rsidRPr="008B1280">
        <w:rPr>
          <w:rFonts w:ascii="Arial" w:hAnsi="Arial" w:cs="Arial"/>
          <w:color w:val="000000" w:themeColor="text1"/>
          <w:sz w:val="20"/>
          <w:szCs w:val="20"/>
        </w:rPr>
        <w:t>mu</w:t>
      </w:r>
      <w:r w:rsidR="00D6547C" w:rsidRPr="008B1280">
        <w:rPr>
          <w:rFonts w:ascii="Arial" w:hAnsi="Arial" w:cs="Arial"/>
          <w:color w:val="000000" w:themeColor="text1"/>
          <w:sz w:val="20"/>
          <w:szCs w:val="20"/>
        </w:rPr>
        <w:t>lti stage</w:t>
      </w:r>
      <w:commentRangeEnd w:id="5"/>
      <w:r w:rsidR="00491DB1">
        <w:rPr>
          <w:rStyle w:val="CommentReference"/>
        </w:rPr>
        <w:commentReference w:id="5"/>
      </w:r>
      <w:r w:rsidR="00D6547C" w:rsidRPr="008B1280">
        <w:rPr>
          <w:rFonts w:ascii="Arial" w:hAnsi="Arial" w:cs="Arial"/>
          <w:color w:val="000000" w:themeColor="text1"/>
          <w:sz w:val="20"/>
          <w:szCs w:val="20"/>
        </w:rPr>
        <w:t xml:space="preserve"> sampling technique, a</w:t>
      </w:r>
      <w:r w:rsidR="003327C0" w:rsidRPr="008B1280">
        <w:rPr>
          <w:rFonts w:ascii="Arial" w:hAnsi="Arial" w:cs="Arial"/>
          <w:color w:val="000000" w:themeColor="text1"/>
          <w:sz w:val="20"/>
          <w:szCs w:val="20"/>
        </w:rPr>
        <w:t xml:space="preserve"> structure</w:t>
      </w:r>
      <w:r w:rsidR="00B125A0" w:rsidRPr="008B1280">
        <w:rPr>
          <w:rFonts w:ascii="Arial" w:hAnsi="Arial" w:cs="Arial"/>
          <w:color w:val="000000" w:themeColor="text1"/>
          <w:sz w:val="20"/>
          <w:szCs w:val="20"/>
        </w:rPr>
        <w:t>d</w:t>
      </w:r>
      <w:r w:rsidR="003327C0" w:rsidRPr="008B1280">
        <w:rPr>
          <w:rFonts w:ascii="Arial" w:hAnsi="Arial" w:cs="Arial"/>
          <w:color w:val="000000" w:themeColor="text1"/>
          <w:sz w:val="20"/>
          <w:szCs w:val="20"/>
        </w:rPr>
        <w:t xml:space="preserve"> que</w:t>
      </w:r>
      <w:r w:rsidR="003D1801" w:rsidRPr="008B1280">
        <w:rPr>
          <w:rFonts w:ascii="Arial" w:hAnsi="Arial" w:cs="Arial"/>
          <w:color w:val="000000" w:themeColor="text1"/>
          <w:sz w:val="20"/>
          <w:szCs w:val="20"/>
        </w:rPr>
        <w:t>stionnaire was administered to 186</w:t>
      </w:r>
      <w:r w:rsidR="003327C0" w:rsidRPr="008B1280">
        <w:rPr>
          <w:rFonts w:ascii="Arial" w:hAnsi="Arial" w:cs="Arial"/>
          <w:color w:val="000000" w:themeColor="text1"/>
          <w:sz w:val="20"/>
          <w:szCs w:val="20"/>
        </w:rPr>
        <w:t xml:space="preserve"> respondents.</w:t>
      </w:r>
      <w:r w:rsidR="000D12A7" w:rsidRPr="008B1280">
        <w:rPr>
          <w:rFonts w:ascii="Arial" w:hAnsi="Arial" w:cs="Arial"/>
          <w:color w:val="000000" w:themeColor="text1"/>
          <w:sz w:val="20"/>
          <w:szCs w:val="20"/>
        </w:rPr>
        <w:t xml:space="preserve"> Field observation with aid of checklist was used to complement the data. </w:t>
      </w:r>
      <w:r w:rsidR="003327C0" w:rsidRPr="008B1280">
        <w:rPr>
          <w:rFonts w:ascii="Arial" w:hAnsi="Arial" w:cs="Arial"/>
          <w:color w:val="000000" w:themeColor="text1"/>
          <w:sz w:val="20"/>
          <w:szCs w:val="20"/>
        </w:rPr>
        <w:t xml:space="preserve"> Variables that were addressed include, the </w:t>
      </w:r>
      <w:r w:rsidR="000D12A7" w:rsidRPr="008B1280">
        <w:rPr>
          <w:rFonts w:ascii="Arial" w:hAnsi="Arial" w:cs="Arial"/>
          <w:color w:val="000000" w:themeColor="text1"/>
          <w:sz w:val="20"/>
          <w:szCs w:val="20"/>
        </w:rPr>
        <w:t>determinants of</w:t>
      </w:r>
      <w:r w:rsidR="003327C0" w:rsidRPr="008B1280">
        <w:rPr>
          <w:rFonts w:ascii="Arial" w:hAnsi="Arial" w:cs="Arial"/>
          <w:color w:val="000000" w:themeColor="text1"/>
          <w:sz w:val="20"/>
          <w:szCs w:val="20"/>
        </w:rPr>
        <w:t xml:space="preserve"> </w:t>
      </w:r>
      <w:r w:rsidR="00B125A0" w:rsidRPr="008B1280">
        <w:rPr>
          <w:rFonts w:ascii="Arial" w:hAnsi="Arial" w:cs="Arial"/>
          <w:color w:val="000000" w:themeColor="text1"/>
          <w:sz w:val="20"/>
          <w:szCs w:val="20"/>
        </w:rPr>
        <w:t xml:space="preserve">disposable income of </w:t>
      </w:r>
      <w:r w:rsidR="003327C0" w:rsidRPr="008B1280">
        <w:rPr>
          <w:rFonts w:ascii="Arial" w:hAnsi="Arial" w:cs="Arial"/>
          <w:color w:val="000000" w:themeColor="text1"/>
          <w:sz w:val="20"/>
          <w:szCs w:val="20"/>
        </w:rPr>
        <w:t xml:space="preserve">housing </w:t>
      </w:r>
      <w:r w:rsidR="000D12A7" w:rsidRPr="008B1280">
        <w:rPr>
          <w:rFonts w:ascii="Arial" w:hAnsi="Arial" w:cs="Arial"/>
          <w:color w:val="000000" w:themeColor="text1"/>
          <w:sz w:val="20"/>
          <w:szCs w:val="20"/>
        </w:rPr>
        <w:t>affordability, the</w:t>
      </w:r>
      <w:r w:rsidR="003327C0" w:rsidRPr="008B1280">
        <w:rPr>
          <w:rFonts w:ascii="Arial" w:hAnsi="Arial" w:cs="Arial"/>
          <w:color w:val="000000" w:themeColor="text1"/>
          <w:sz w:val="20"/>
          <w:szCs w:val="20"/>
        </w:rPr>
        <w:t xml:space="preserve"> influence of housing affordability on housing the low income earners, the effects of socio economic status on the resident’s housing satisfaction</w:t>
      </w:r>
      <w:r w:rsidR="00B125A0" w:rsidRPr="008B1280">
        <w:rPr>
          <w:rFonts w:ascii="Arial" w:hAnsi="Arial" w:cs="Arial"/>
          <w:color w:val="000000" w:themeColor="text1"/>
          <w:sz w:val="20"/>
          <w:szCs w:val="20"/>
        </w:rPr>
        <w:t xml:space="preserve">. </w:t>
      </w:r>
      <w:r w:rsidR="003327C0" w:rsidRPr="008B1280">
        <w:rPr>
          <w:rFonts w:ascii="Arial" w:hAnsi="Arial" w:cs="Arial"/>
          <w:color w:val="000000" w:themeColor="text1"/>
          <w:sz w:val="20"/>
          <w:szCs w:val="20"/>
        </w:rPr>
        <w:t xml:space="preserve">Both quantitative and qualitative analysis were used to analysed the data p &lt; 0.05. </w:t>
      </w:r>
      <w:r w:rsidR="00AF33F4" w:rsidRPr="008B1280">
        <w:rPr>
          <w:rFonts w:ascii="Arial" w:hAnsi="Arial" w:cs="Arial"/>
          <w:color w:val="000000" w:themeColor="text1"/>
          <w:sz w:val="20"/>
          <w:szCs w:val="20"/>
        </w:rPr>
        <w:t>F</w:t>
      </w:r>
      <w:r w:rsidR="00F52B8F" w:rsidRPr="008B1280">
        <w:rPr>
          <w:rFonts w:ascii="Arial" w:hAnsi="Arial" w:cs="Arial"/>
          <w:color w:val="000000" w:themeColor="text1"/>
          <w:sz w:val="20"/>
          <w:szCs w:val="20"/>
        </w:rPr>
        <w:t>ield observation was utilized in carrying out this research</w:t>
      </w:r>
      <w:r w:rsidR="007012FE" w:rsidRPr="008B1280">
        <w:rPr>
          <w:rFonts w:ascii="Arial" w:hAnsi="Arial" w:cs="Arial"/>
          <w:color w:val="000000" w:themeColor="text1"/>
          <w:sz w:val="20"/>
          <w:szCs w:val="20"/>
        </w:rPr>
        <w:t xml:space="preserve">. </w:t>
      </w:r>
      <w:r w:rsidR="00F52B8F" w:rsidRPr="008B1280">
        <w:rPr>
          <w:rFonts w:ascii="Arial" w:hAnsi="Arial" w:cs="Arial"/>
          <w:color w:val="000000" w:themeColor="text1"/>
          <w:sz w:val="20"/>
          <w:szCs w:val="20"/>
        </w:rPr>
        <w:t>The findings also revealed the predominance</w:t>
      </w:r>
      <w:r w:rsidR="00E05B7F" w:rsidRPr="008B1280">
        <w:rPr>
          <w:rFonts w:ascii="Arial" w:hAnsi="Arial" w:cs="Arial"/>
          <w:color w:val="000000" w:themeColor="text1"/>
          <w:sz w:val="20"/>
          <w:szCs w:val="20"/>
        </w:rPr>
        <w:t xml:space="preserve"> </w:t>
      </w:r>
      <w:r w:rsidR="00D6547C" w:rsidRPr="008B1280">
        <w:rPr>
          <w:rFonts w:ascii="Arial" w:hAnsi="Arial" w:cs="Arial"/>
          <w:color w:val="000000" w:themeColor="text1"/>
          <w:sz w:val="20"/>
          <w:szCs w:val="20"/>
        </w:rPr>
        <w:t>(</w:t>
      </w:r>
      <w:r w:rsidR="00E05B7F" w:rsidRPr="008B1280">
        <w:rPr>
          <w:rFonts w:ascii="Arial" w:hAnsi="Arial" w:cs="Arial"/>
          <w:color w:val="000000" w:themeColor="text1"/>
          <w:sz w:val="20"/>
          <w:szCs w:val="20"/>
        </w:rPr>
        <w:t>62.4%</w:t>
      </w:r>
      <w:r w:rsidR="00D6547C" w:rsidRPr="008B1280">
        <w:rPr>
          <w:rFonts w:ascii="Arial" w:hAnsi="Arial" w:cs="Arial"/>
          <w:color w:val="000000" w:themeColor="text1"/>
          <w:sz w:val="20"/>
          <w:szCs w:val="20"/>
        </w:rPr>
        <w:t>)</w:t>
      </w:r>
      <w:r w:rsidR="00E05B7F" w:rsidRPr="008B1280">
        <w:rPr>
          <w:rFonts w:ascii="Arial" w:hAnsi="Arial" w:cs="Arial"/>
          <w:color w:val="000000" w:themeColor="text1"/>
          <w:sz w:val="20"/>
          <w:szCs w:val="20"/>
        </w:rPr>
        <w:t xml:space="preserve"> of housing unaffordabili</w:t>
      </w:r>
      <w:r w:rsidR="001B5215" w:rsidRPr="008B1280">
        <w:rPr>
          <w:rFonts w:ascii="Arial" w:hAnsi="Arial" w:cs="Arial"/>
          <w:color w:val="000000" w:themeColor="text1"/>
          <w:sz w:val="20"/>
          <w:szCs w:val="20"/>
        </w:rPr>
        <w:t>ty</w:t>
      </w:r>
      <w:r w:rsidR="00E05B7F" w:rsidRPr="008B1280">
        <w:rPr>
          <w:rFonts w:ascii="Arial" w:hAnsi="Arial" w:cs="Arial"/>
          <w:color w:val="000000" w:themeColor="text1"/>
          <w:sz w:val="20"/>
          <w:szCs w:val="20"/>
        </w:rPr>
        <w:t xml:space="preserve"> and the</w:t>
      </w:r>
      <w:r w:rsidR="00F52B8F" w:rsidRPr="008B1280">
        <w:rPr>
          <w:rFonts w:ascii="Arial" w:hAnsi="Arial" w:cs="Arial"/>
          <w:color w:val="000000" w:themeColor="text1"/>
          <w:sz w:val="20"/>
          <w:szCs w:val="20"/>
        </w:rPr>
        <w:t xml:space="preserve"> inadequacy of the basic housing infrastructure in the study area. </w:t>
      </w:r>
      <w:r w:rsidR="000D12A7" w:rsidRPr="008B1280">
        <w:rPr>
          <w:rFonts w:ascii="Arial" w:hAnsi="Arial" w:cs="Arial"/>
          <w:color w:val="000000" w:themeColor="text1"/>
          <w:sz w:val="20"/>
          <w:szCs w:val="20"/>
        </w:rPr>
        <w:t xml:space="preserve"> </w:t>
      </w:r>
      <w:r w:rsidR="00766E0A" w:rsidRPr="008B1280">
        <w:rPr>
          <w:rFonts w:ascii="Arial" w:hAnsi="Arial" w:cs="Arial"/>
          <w:color w:val="000000" w:themeColor="text1"/>
          <w:sz w:val="20"/>
          <w:szCs w:val="20"/>
        </w:rPr>
        <w:t>Affordability</w:t>
      </w:r>
      <w:r w:rsidR="000D12A7" w:rsidRPr="008B1280">
        <w:rPr>
          <w:rFonts w:ascii="Arial" w:hAnsi="Arial" w:cs="Arial"/>
          <w:color w:val="000000" w:themeColor="text1"/>
          <w:sz w:val="20"/>
          <w:szCs w:val="20"/>
        </w:rPr>
        <w:t xml:space="preserve"> was difficult among the low income </w:t>
      </w:r>
      <w:r w:rsidR="00766E0A" w:rsidRPr="008B1280">
        <w:rPr>
          <w:rFonts w:ascii="Arial" w:hAnsi="Arial" w:cs="Arial"/>
          <w:color w:val="000000" w:themeColor="text1"/>
          <w:sz w:val="20"/>
          <w:szCs w:val="20"/>
        </w:rPr>
        <w:t>earners</w:t>
      </w:r>
      <w:r w:rsidR="000D12A7" w:rsidRPr="008B1280">
        <w:rPr>
          <w:rFonts w:ascii="Arial" w:hAnsi="Arial" w:cs="Arial"/>
          <w:color w:val="000000" w:themeColor="text1"/>
          <w:sz w:val="20"/>
          <w:szCs w:val="20"/>
        </w:rPr>
        <w:t>. The study therefore recommends the social housing provision by the government</w:t>
      </w:r>
      <w:commentRangeEnd w:id="3"/>
      <w:r w:rsidR="00EA7947">
        <w:rPr>
          <w:rStyle w:val="CommentReference"/>
        </w:rPr>
        <w:commentReference w:id="3"/>
      </w:r>
      <w:r w:rsidR="000D12A7" w:rsidRPr="008B1280">
        <w:rPr>
          <w:rFonts w:ascii="Arial" w:hAnsi="Arial" w:cs="Arial"/>
          <w:color w:val="000000" w:themeColor="text1"/>
          <w:sz w:val="20"/>
          <w:szCs w:val="20"/>
        </w:rPr>
        <w:t xml:space="preserve">. </w:t>
      </w:r>
    </w:p>
    <w:p w14:paraId="2B734851" w14:textId="77777777" w:rsidR="00D26672" w:rsidRPr="008B1280" w:rsidRDefault="00F52B8F" w:rsidP="00B125A0">
      <w:pPr>
        <w:spacing w:line="240" w:lineRule="auto"/>
        <w:jc w:val="both"/>
        <w:rPr>
          <w:rFonts w:ascii="Arial" w:hAnsi="Arial" w:cs="Arial"/>
          <w:i/>
          <w:color w:val="000000" w:themeColor="text1"/>
          <w:sz w:val="20"/>
          <w:szCs w:val="20"/>
        </w:rPr>
      </w:pPr>
      <w:r w:rsidRPr="008B1280">
        <w:rPr>
          <w:rFonts w:ascii="Arial" w:hAnsi="Arial" w:cs="Arial"/>
          <w:b/>
          <w:i/>
          <w:color w:val="000000" w:themeColor="text1"/>
          <w:sz w:val="20"/>
          <w:szCs w:val="20"/>
        </w:rPr>
        <w:t xml:space="preserve">Keywords: </w:t>
      </w:r>
      <w:r w:rsidR="000D12A7" w:rsidRPr="008B1280">
        <w:rPr>
          <w:rFonts w:ascii="Arial" w:hAnsi="Arial" w:cs="Arial"/>
          <w:i/>
          <w:color w:val="000000" w:themeColor="text1"/>
          <w:sz w:val="20"/>
          <w:szCs w:val="20"/>
        </w:rPr>
        <w:t>Housing Affordability, Low-</w:t>
      </w:r>
      <w:r w:rsidRPr="008B1280">
        <w:rPr>
          <w:rFonts w:ascii="Arial" w:hAnsi="Arial" w:cs="Arial"/>
          <w:i/>
          <w:color w:val="000000" w:themeColor="text1"/>
          <w:sz w:val="20"/>
          <w:szCs w:val="20"/>
        </w:rPr>
        <w:t>income earners, Disposable income, Socio-</w:t>
      </w:r>
      <w:r w:rsidR="00766E0A" w:rsidRPr="008B1280">
        <w:rPr>
          <w:rFonts w:ascii="Arial" w:hAnsi="Arial" w:cs="Arial"/>
          <w:i/>
          <w:color w:val="000000" w:themeColor="text1"/>
          <w:sz w:val="20"/>
          <w:szCs w:val="20"/>
        </w:rPr>
        <w:t xml:space="preserve">economic status, Ibadan </w:t>
      </w:r>
    </w:p>
    <w:p w14:paraId="7417BD38" w14:textId="77777777" w:rsidR="00891870" w:rsidRPr="008B1280" w:rsidRDefault="00891870">
      <w:pPr>
        <w:spacing w:line="360" w:lineRule="auto"/>
        <w:rPr>
          <w:rFonts w:ascii="Arial" w:hAnsi="Arial" w:cs="Arial"/>
          <w:b/>
          <w:bCs/>
          <w:color w:val="000000" w:themeColor="text1"/>
        </w:rPr>
      </w:pPr>
    </w:p>
    <w:p w14:paraId="7B54F026" w14:textId="3B7E372E" w:rsidR="00D26672" w:rsidRPr="008B1280" w:rsidRDefault="00F52B8F">
      <w:pPr>
        <w:spacing w:line="360" w:lineRule="auto"/>
        <w:rPr>
          <w:rFonts w:ascii="Arial" w:hAnsi="Arial" w:cs="Arial"/>
          <w:b/>
          <w:bCs/>
          <w:color w:val="000000" w:themeColor="text1"/>
        </w:rPr>
      </w:pPr>
      <w:r w:rsidRPr="008B1280">
        <w:rPr>
          <w:rFonts w:ascii="Arial" w:hAnsi="Arial" w:cs="Arial"/>
          <w:b/>
          <w:bCs/>
          <w:color w:val="000000" w:themeColor="text1"/>
        </w:rPr>
        <w:t>INTRODUCTION</w:t>
      </w:r>
      <w:bookmarkEnd w:id="0"/>
      <w:bookmarkEnd w:id="1"/>
    </w:p>
    <w:p w14:paraId="048DD799" w14:textId="42A96E95" w:rsidR="00D26672" w:rsidRPr="008B1280" w:rsidRDefault="00F52B8F">
      <w:pPr>
        <w:spacing w:line="360" w:lineRule="auto"/>
        <w:jc w:val="both"/>
        <w:rPr>
          <w:rFonts w:ascii="Arial" w:hAnsi="Arial" w:cs="Arial"/>
          <w:bCs/>
          <w:color w:val="000000" w:themeColor="text1"/>
          <w:sz w:val="20"/>
          <w:szCs w:val="20"/>
          <w:lang w:bidi="en-US"/>
        </w:rPr>
      </w:pPr>
      <w:r w:rsidRPr="008B1280">
        <w:rPr>
          <w:rFonts w:ascii="Arial" w:hAnsi="Arial" w:cs="Arial"/>
          <w:color w:val="000000" w:themeColor="text1"/>
          <w:sz w:val="20"/>
          <w:szCs w:val="20"/>
        </w:rPr>
        <w:t xml:space="preserve">Housing is the largest fixed asset for households and plays a crucial part in the economic development of every nation, making up 10–20% of all economic activity in the nation. </w:t>
      </w:r>
      <w:r w:rsidRPr="008B1280">
        <w:rPr>
          <w:rFonts w:ascii="Arial" w:hAnsi="Arial" w:cs="Arial"/>
          <w:color w:val="000000" w:themeColor="text1"/>
          <w:sz w:val="20"/>
          <w:szCs w:val="20"/>
        </w:rPr>
        <w:fldChar w:fldCharType="begin"/>
      </w:r>
      <w:r w:rsidRPr="008B1280">
        <w:rPr>
          <w:rFonts w:ascii="Arial" w:hAnsi="Arial" w:cs="Arial"/>
          <w:color w:val="000000" w:themeColor="text1"/>
          <w:sz w:val="20"/>
          <w:szCs w:val="20"/>
        </w:rPr>
        <w:instrText xml:space="preserve">CITATION Eur05 \l 1033 </w:instrText>
      </w:r>
      <w:r w:rsidRPr="008B1280">
        <w:rPr>
          <w:rFonts w:ascii="Arial" w:hAnsi="Arial" w:cs="Arial"/>
          <w:color w:val="000000" w:themeColor="text1"/>
          <w:sz w:val="20"/>
          <w:szCs w:val="20"/>
        </w:rPr>
        <w:fldChar w:fldCharType="separate"/>
      </w:r>
      <w:r w:rsidRPr="008B1280">
        <w:rPr>
          <w:rFonts w:ascii="Arial" w:hAnsi="Arial" w:cs="Arial"/>
          <w:noProof/>
          <w:color w:val="000000" w:themeColor="text1"/>
          <w:sz w:val="20"/>
          <w:szCs w:val="20"/>
        </w:rPr>
        <w:t>(European Commission, 2005)</w:t>
      </w:r>
      <w:r w:rsidRPr="008B1280">
        <w:rPr>
          <w:rFonts w:ascii="Arial" w:hAnsi="Arial" w:cs="Arial"/>
          <w:color w:val="000000" w:themeColor="text1"/>
          <w:sz w:val="20"/>
          <w:szCs w:val="20"/>
        </w:rPr>
        <w:fldChar w:fldCharType="end"/>
      </w:r>
      <w:r w:rsidRPr="008B1280">
        <w:rPr>
          <w:rFonts w:ascii="Arial" w:hAnsi="Arial" w:cs="Arial"/>
          <w:color w:val="000000" w:themeColor="text1"/>
          <w:sz w:val="20"/>
          <w:szCs w:val="20"/>
        </w:rPr>
        <w:t>. Abraham Maslow identified the following as the basic needs of humans: food, shelter, and clothing. Hence, shelter, the major attribute of housing is universally accepted as man’s second most important need after food in man’s hierarchy of needs</w:t>
      </w:r>
      <w:r w:rsidRPr="008B1280">
        <w:rPr>
          <w:rFonts w:ascii="Arial" w:hAnsi="Arial" w:cs="Arial"/>
          <w:bCs/>
          <w:color w:val="000000" w:themeColor="text1"/>
          <w:sz w:val="20"/>
          <w:szCs w:val="20"/>
          <w:lang w:bidi="en-US"/>
        </w:rPr>
        <w:t xml:space="preserve">. </w:t>
      </w:r>
      <w:r w:rsidRPr="008B1280">
        <w:rPr>
          <w:rFonts w:ascii="Arial" w:hAnsi="Arial" w:cs="Arial"/>
          <w:color w:val="000000" w:themeColor="text1"/>
          <w:sz w:val="20"/>
          <w:szCs w:val="20"/>
        </w:rPr>
        <w:t xml:space="preserve">The need for housing is not only one of the basic human needs but also an indicator of the living standard of the population. </w:t>
      </w:r>
      <w:r w:rsidR="00552A13" w:rsidRPr="008B1280">
        <w:rPr>
          <w:rFonts w:ascii="Arial" w:hAnsi="Arial" w:cs="Arial"/>
          <w:color w:val="000000" w:themeColor="text1"/>
          <w:sz w:val="20"/>
          <w:szCs w:val="20"/>
        </w:rPr>
        <w:t>Today, it</w:t>
      </w:r>
      <w:r w:rsidRPr="008B1280">
        <w:rPr>
          <w:rFonts w:ascii="Arial" w:hAnsi="Arial" w:cs="Arial"/>
          <w:color w:val="000000" w:themeColor="text1"/>
          <w:sz w:val="20"/>
          <w:szCs w:val="20"/>
        </w:rPr>
        <w:t xml:space="preserve"> is a topical issue that housing has to be comfortable, economical, and reasonably maintainable, as well as architectonically expressive and compliant with the environment </w:t>
      </w:r>
      <w:r w:rsidRPr="008B1280">
        <w:rPr>
          <w:rFonts w:ascii="Arial" w:hAnsi="Arial" w:cs="Arial"/>
          <w:color w:val="000000" w:themeColor="text1"/>
          <w:sz w:val="20"/>
          <w:szCs w:val="20"/>
        </w:rPr>
        <w:fldChar w:fldCharType="begin"/>
      </w:r>
      <w:r w:rsidRPr="008B1280">
        <w:rPr>
          <w:rFonts w:ascii="Arial" w:hAnsi="Arial" w:cs="Arial"/>
          <w:color w:val="000000" w:themeColor="text1"/>
          <w:sz w:val="20"/>
          <w:szCs w:val="20"/>
        </w:rPr>
        <w:instrText xml:space="preserve">CITATION Hen15 \l 1033 </w:instrText>
      </w:r>
      <w:r w:rsidRPr="008B1280">
        <w:rPr>
          <w:rFonts w:ascii="Arial" w:hAnsi="Arial" w:cs="Arial"/>
          <w:color w:val="000000" w:themeColor="text1"/>
          <w:sz w:val="20"/>
          <w:szCs w:val="20"/>
        </w:rPr>
        <w:fldChar w:fldCharType="separate"/>
      </w:r>
      <w:r w:rsidRPr="008B1280">
        <w:rPr>
          <w:rFonts w:ascii="Arial" w:hAnsi="Arial" w:cs="Arial"/>
          <w:noProof/>
          <w:color w:val="000000" w:themeColor="text1"/>
          <w:sz w:val="20"/>
          <w:szCs w:val="20"/>
        </w:rPr>
        <w:t>(Henilane, 2015)</w:t>
      </w:r>
      <w:r w:rsidRPr="008B1280">
        <w:rPr>
          <w:rFonts w:ascii="Arial" w:hAnsi="Arial" w:cs="Arial"/>
          <w:color w:val="000000" w:themeColor="text1"/>
          <w:sz w:val="20"/>
          <w:szCs w:val="20"/>
        </w:rPr>
        <w:fldChar w:fldCharType="end"/>
      </w:r>
      <w:r w:rsidRPr="008B1280">
        <w:rPr>
          <w:rFonts w:ascii="Arial" w:hAnsi="Arial" w:cs="Arial"/>
          <w:color w:val="000000" w:themeColor="text1"/>
          <w:sz w:val="20"/>
          <w:szCs w:val="20"/>
        </w:rPr>
        <w:t>.</w:t>
      </w:r>
    </w:p>
    <w:p w14:paraId="5094AA60"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 xml:space="preserve">According to studies, housing supply in Nigeria is a highly divisive and political topic that concerns both administrators and academics as well as the general public </w:t>
      </w:r>
      <w:commentRangeStart w:id="6"/>
      <w:r w:rsidRPr="008B1280">
        <w:rPr>
          <w:rFonts w:ascii="Arial" w:hAnsi="Arial" w:cs="Arial"/>
          <w:color w:val="000000" w:themeColor="text1"/>
          <w:sz w:val="20"/>
          <w:szCs w:val="20"/>
        </w:rPr>
        <w:fldChar w:fldCharType="begin"/>
      </w:r>
      <w:r w:rsidRPr="008B1280">
        <w:rPr>
          <w:rFonts w:ascii="Arial" w:hAnsi="Arial" w:cs="Arial"/>
          <w:color w:val="000000" w:themeColor="text1"/>
          <w:sz w:val="20"/>
          <w:szCs w:val="20"/>
        </w:rPr>
        <w:instrText xml:space="preserve">CITATION Sul01 \l 1033 </w:instrText>
      </w:r>
      <w:r w:rsidRPr="008B1280">
        <w:rPr>
          <w:rFonts w:ascii="Arial" w:hAnsi="Arial" w:cs="Arial"/>
          <w:color w:val="000000" w:themeColor="text1"/>
          <w:sz w:val="20"/>
          <w:szCs w:val="20"/>
        </w:rPr>
        <w:fldChar w:fldCharType="separate"/>
      </w:r>
      <w:r w:rsidRPr="008B1280">
        <w:rPr>
          <w:rFonts w:ascii="Arial" w:hAnsi="Arial" w:cs="Arial"/>
          <w:noProof/>
          <w:color w:val="000000" w:themeColor="text1"/>
          <w:sz w:val="20"/>
          <w:szCs w:val="20"/>
        </w:rPr>
        <w:t>(Sule &amp; Van Kempen, 2001)</w:t>
      </w:r>
      <w:r w:rsidRPr="008B1280">
        <w:rPr>
          <w:rFonts w:ascii="Arial" w:hAnsi="Arial" w:cs="Arial"/>
          <w:color w:val="000000" w:themeColor="text1"/>
          <w:sz w:val="20"/>
          <w:szCs w:val="20"/>
        </w:rPr>
        <w:fldChar w:fldCharType="end"/>
      </w:r>
      <w:commentRangeEnd w:id="6"/>
      <w:r w:rsidR="00596102">
        <w:rPr>
          <w:rStyle w:val="CommentReference"/>
        </w:rPr>
        <w:commentReference w:id="6"/>
      </w:r>
      <w:r w:rsidRPr="008B1280">
        <w:rPr>
          <w:rFonts w:ascii="Arial" w:hAnsi="Arial" w:cs="Arial"/>
          <w:color w:val="000000" w:themeColor="text1"/>
          <w:sz w:val="20"/>
          <w:szCs w:val="20"/>
        </w:rPr>
        <w:t xml:space="preserve">. In the last decades, the influx of people into urban areas, the national population increase, and inadequate responses by the government have contributed to the appalling situation in the country, to the extent that economic development and the welfare of the citizens are adversely affected </w:t>
      </w:r>
      <w:commentRangeStart w:id="7"/>
      <w:r w:rsidRPr="008B1280">
        <w:rPr>
          <w:rFonts w:ascii="Arial" w:hAnsi="Arial" w:cs="Arial"/>
          <w:color w:val="000000" w:themeColor="text1"/>
          <w:sz w:val="20"/>
          <w:szCs w:val="20"/>
        </w:rPr>
        <w:t>(</w:t>
      </w:r>
      <w:r w:rsidRPr="008B1280">
        <w:rPr>
          <w:rFonts w:ascii="Arial" w:hAnsi="Arial" w:cs="Arial"/>
          <w:noProof/>
          <w:color w:val="000000" w:themeColor="text1"/>
          <w:sz w:val="20"/>
          <w:szCs w:val="20"/>
        </w:rPr>
        <w:t>Federal Government of Nigeria (FGN), 1991; Akinmoladun &amp; Oluwoye, 2007; Ademiluyi &amp; Raji, 2008)</w:t>
      </w:r>
      <w:r w:rsidRPr="008B1280">
        <w:rPr>
          <w:rFonts w:ascii="Arial" w:hAnsi="Arial" w:cs="Arial"/>
          <w:color w:val="000000" w:themeColor="text1"/>
          <w:sz w:val="20"/>
          <w:szCs w:val="20"/>
        </w:rPr>
        <w:t xml:space="preserve">.  </w:t>
      </w:r>
      <w:commentRangeEnd w:id="7"/>
      <w:r w:rsidR="0005485E">
        <w:rPr>
          <w:rStyle w:val="CommentReference"/>
        </w:rPr>
        <w:commentReference w:id="7"/>
      </w:r>
    </w:p>
    <w:p w14:paraId="7258FBA4" w14:textId="6A0A12BC" w:rsidR="00D26672" w:rsidRPr="008B1280" w:rsidRDefault="00F52B8F">
      <w:pPr>
        <w:spacing w:line="360" w:lineRule="auto"/>
        <w:jc w:val="both"/>
        <w:rPr>
          <w:rFonts w:ascii="Arial" w:hAnsi="Arial" w:cs="Arial"/>
          <w:color w:val="000000" w:themeColor="text1"/>
          <w:sz w:val="20"/>
          <w:szCs w:val="20"/>
        </w:rPr>
      </w:pPr>
      <w:commentRangeStart w:id="8"/>
      <w:r w:rsidRPr="008B1280">
        <w:rPr>
          <w:rFonts w:ascii="Arial" w:hAnsi="Arial" w:cs="Arial"/>
          <w:color w:val="000000" w:themeColor="text1"/>
          <w:sz w:val="20"/>
          <w:szCs w:val="20"/>
        </w:rPr>
        <w:lastRenderedPageBreak/>
        <w:t xml:space="preserve">Affordable housing is defined by various study groups as housing that is "...reasonably adequate in standard and location for lower- or middle-income households and does not cost so much that a household is unlikely to be able to meet other basic needs on a sustainable basis" in the majority of countries around the world. </w:t>
      </w:r>
      <w:commentRangeEnd w:id="8"/>
      <w:r w:rsidR="0005485E">
        <w:rPr>
          <w:rStyle w:val="CommentReference"/>
        </w:rPr>
        <w:commentReference w:id="8"/>
      </w:r>
      <w:commentRangeStart w:id="9"/>
      <w:r w:rsidRPr="008B1280">
        <w:rPr>
          <w:rFonts w:ascii="Arial" w:hAnsi="Arial" w:cs="Arial"/>
          <w:color w:val="000000" w:themeColor="text1"/>
          <w:sz w:val="20"/>
          <w:szCs w:val="20"/>
        </w:rPr>
        <w:t>Affordable housing in the UK is defined as "social rented and intermediate housing, provided for specified eligible households, whose needs are not met by the market.</w:t>
      </w:r>
      <w:commentRangeEnd w:id="9"/>
      <w:r w:rsidR="0005485E">
        <w:rPr>
          <w:rStyle w:val="CommentReference"/>
        </w:rPr>
        <w:commentReference w:id="9"/>
      </w:r>
      <w:r w:rsidRPr="008B1280">
        <w:rPr>
          <w:rFonts w:ascii="Arial" w:hAnsi="Arial" w:cs="Arial"/>
          <w:color w:val="000000" w:themeColor="text1"/>
          <w:sz w:val="20"/>
          <w:szCs w:val="20"/>
        </w:rPr>
        <w:t xml:space="preserve"> Thus, the wide policy focus of the housing sector must include individuals who f</w:t>
      </w:r>
      <w:r w:rsidR="006E3197" w:rsidRPr="008B1280">
        <w:rPr>
          <w:rFonts w:ascii="Arial" w:hAnsi="Arial" w:cs="Arial"/>
          <w:color w:val="000000" w:themeColor="text1"/>
          <w:sz w:val="20"/>
          <w:szCs w:val="20"/>
        </w:rPr>
        <w:t xml:space="preserve">all into the categories of </w:t>
      </w:r>
      <w:commentRangeStart w:id="10"/>
      <w:r w:rsidR="006E3197" w:rsidRPr="008B1280">
        <w:rPr>
          <w:rFonts w:ascii="Arial" w:hAnsi="Arial" w:cs="Arial"/>
          <w:color w:val="000000" w:themeColor="text1"/>
          <w:sz w:val="20"/>
          <w:szCs w:val="20"/>
        </w:rPr>
        <w:t xml:space="preserve">low income </w:t>
      </w:r>
      <w:commentRangeEnd w:id="10"/>
      <w:r w:rsidR="0005485E">
        <w:rPr>
          <w:rStyle w:val="CommentReference"/>
        </w:rPr>
        <w:commentReference w:id="10"/>
      </w:r>
      <w:r w:rsidRPr="008B1280">
        <w:rPr>
          <w:rFonts w:ascii="Arial" w:hAnsi="Arial" w:cs="Arial"/>
          <w:color w:val="000000" w:themeColor="text1"/>
          <w:sz w:val="20"/>
          <w:szCs w:val="20"/>
        </w:rPr>
        <w:t>earners. As a result, social housing has unavoidably become a vital tool in the fight against homelessness based on the assumption that the government has failed to provide affordable housing for those in the low</w:t>
      </w:r>
      <w:r w:rsidR="00552A13" w:rsidRPr="008B1280">
        <w:rPr>
          <w:rFonts w:ascii="Arial" w:hAnsi="Arial" w:cs="Arial"/>
          <w:color w:val="000000" w:themeColor="text1"/>
          <w:sz w:val="20"/>
          <w:szCs w:val="20"/>
        </w:rPr>
        <w:t>-</w:t>
      </w:r>
      <w:r w:rsidRPr="008B1280">
        <w:rPr>
          <w:rFonts w:ascii="Arial" w:hAnsi="Arial" w:cs="Arial"/>
          <w:color w:val="000000" w:themeColor="text1"/>
          <w:sz w:val="20"/>
          <w:szCs w:val="20"/>
        </w:rPr>
        <w:t>income group. In order</w:t>
      </w:r>
      <w:r w:rsidR="00072790" w:rsidRPr="008B1280">
        <w:rPr>
          <w:rFonts w:ascii="Arial" w:hAnsi="Arial" w:cs="Arial"/>
          <w:color w:val="000000" w:themeColor="text1"/>
          <w:sz w:val="20"/>
          <w:szCs w:val="20"/>
        </w:rPr>
        <w:t xml:space="preserve"> to do this, this research assesses </w:t>
      </w:r>
      <w:r w:rsidRPr="008B1280">
        <w:rPr>
          <w:rFonts w:ascii="Arial" w:hAnsi="Arial" w:cs="Arial"/>
          <w:color w:val="000000" w:themeColor="text1"/>
          <w:sz w:val="20"/>
          <w:szCs w:val="20"/>
        </w:rPr>
        <w:t>the variables that determine how affordable hous</w:t>
      </w:r>
      <w:r w:rsidR="00072790" w:rsidRPr="008B1280">
        <w:rPr>
          <w:rFonts w:ascii="Arial" w:hAnsi="Arial" w:cs="Arial"/>
          <w:color w:val="000000" w:themeColor="text1"/>
          <w:sz w:val="20"/>
          <w:szCs w:val="20"/>
        </w:rPr>
        <w:t>ing is for people with low-</w:t>
      </w:r>
      <w:r w:rsidRPr="008B1280">
        <w:rPr>
          <w:rFonts w:ascii="Arial" w:hAnsi="Arial" w:cs="Arial"/>
          <w:color w:val="000000" w:themeColor="text1"/>
          <w:sz w:val="20"/>
          <w:szCs w:val="20"/>
        </w:rPr>
        <w:t xml:space="preserve">incomes. </w:t>
      </w:r>
    </w:p>
    <w:p w14:paraId="5ABAA974" w14:textId="77777777" w:rsidR="00D26672" w:rsidRPr="008B1280" w:rsidRDefault="00F52B8F">
      <w:pPr>
        <w:spacing w:line="360" w:lineRule="auto"/>
        <w:rPr>
          <w:rFonts w:ascii="Arial" w:eastAsia="Times New Roman" w:hAnsi="Arial" w:cs="Arial"/>
          <w:b/>
          <w:color w:val="000000" w:themeColor="text1"/>
        </w:rPr>
      </w:pPr>
      <w:r w:rsidRPr="008B1280">
        <w:rPr>
          <w:rFonts w:ascii="Arial" w:eastAsia="Times New Roman" w:hAnsi="Arial" w:cs="Arial"/>
          <w:b/>
          <w:color w:val="000000" w:themeColor="text1"/>
        </w:rPr>
        <w:t>STATEMENT OF THE PROBLEM</w:t>
      </w:r>
    </w:p>
    <w:p w14:paraId="4603B01D"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 xml:space="preserve">According to Nubi (2008), the problem of housing in developing nations worldwide has both a qualitative and </w:t>
      </w:r>
      <w:commentRangeStart w:id="11"/>
      <w:r w:rsidRPr="008B1280">
        <w:rPr>
          <w:rFonts w:ascii="Arial" w:hAnsi="Arial" w:cs="Arial"/>
          <w:color w:val="000000" w:themeColor="text1"/>
          <w:sz w:val="20"/>
          <w:szCs w:val="20"/>
        </w:rPr>
        <w:t>quantity</w:t>
      </w:r>
      <w:commentRangeEnd w:id="11"/>
      <w:r w:rsidR="00596102">
        <w:rPr>
          <w:rStyle w:val="CommentReference"/>
        </w:rPr>
        <w:commentReference w:id="11"/>
      </w:r>
      <w:r w:rsidRPr="008B1280">
        <w:rPr>
          <w:rFonts w:ascii="Arial" w:hAnsi="Arial" w:cs="Arial"/>
          <w:color w:val="000000" w:themeColor="text1"/>
          <w:sz w:val="20"/>
          <w:szCs w:val="20"/>
        </w:rPr>
        <w:t xml:space="preserve"> dimension, with Nigeria having the largest predominance. All 36 of Nigeria's states have some sort of housing issue, such as </w:t>
      </w:r>
      <w:commentRangeStart w:id="12"/>
      <w:r w:rsidRPr="008B1280">
        <w:rPr>
          <w:rFonts w:ascii="Arial" w:hAnsi="Arial" w:cs="Arial"/>
          <w:color w:val="000000" w:themeColor="text1"/>
          <w:sz w:val="20"/>
          <w:szCs w:val="20"/>
        </w:rPr>
        <w:t>overcrowding,</w:t>
      </w:r>
      <w:commentRangeEnd w:id="12"/>
      <w:r w:rsidR="00596102">
        <w:rPr>
          <w:rStyle w:val="CommentReference"/>
        </w:rPr>
        <w:commentReference w:id="12"/>
      </w:r>
      <w:r w:rsidRPr="008B1280">
        <w:rPr>
          <w:rFonts w:ascii="Arial" w:hAnsi="Arial" w:cs="Arial"/>
          <w:color w:val="000000" w:themeColor="text1"/>
          <w:sz w:val="20"/>
          <w:szCs w:val="20"/>
        </w:rPr>
        <w:t xml:space="preserve"> or poor housing quality, which </w:t>
      </w:r>
      <w:commentRangeStart w:id="13"/>
      <w:r w:rsidRPr="008B1280">
        <w:rPr>
          <w:rFonts w:ascii="Arial" w:hAnsi="Arial" w:cs="Arial"/>
          <w:color w:val="000000" w:themeColor="text1"/>
          <w:sz w:val="20"/>
          <w:szCs w:val="20"/>
        </w:rPr>
        <w:t>made</w:t>
      </w:r>
      <w:commentRangeEnd w:id="13"/>
      <w:r w:rsidR="00596102">
        <w:rPr>
          <w:rStyle w:val="CommentReference"/>
        </w:rPr>
        <w:commentReference w:id="13"/>
      </w:r>
      <w:r w:rsidRPr="008B1280">
        <w:rPr>
          <w:rFonts w:ascii="Arial" w:hAnsi="Arial" w:cs="Arial"/>
          <w:color w:val="000000" w:themeColor="text1"/>
          <w:sz w:val="20"/>
          <w:szCs w:val="20"/>
        </w:rPr>
        <w:t xml:space="preserve"> it difficult for residents to live comfortably Olayiwola, (2012).</w:t>
      </w:r>
    </w:p>
    <w:p w14:paraId="168834BC" w14:textId="6C5318F8" w:rsidR="00D26672" w:rsidRPr="008B1280" w:rsidRDefault="00F52B8F">
      <w:pPr>
        <w:spacing w:line="360" w:lineRule="auto"/>
        <w:jc w:val="both"/>
        <w:rPr>
          <w:rFonts w:ascii="Arial" w:hAnsi="Arial" w:cs="Arial"/>
          <w:color w:val="000000" w:themeColor="text1"/>
          <w:sz w:val="20"/>
          <w:szCs w:val="20"/>
        </w:rPr>
      </w:pPr>
      <w:commentRangeStart w:id="14"/>
      <w:r w:rsidRPr="008B1280">
        <w:rPr>
          <w:rFonts w:ascii="Arial" w:hAnsi="Arial" w:cs="Arial"/>
          <w:color w:val="000000" w:themeColor="text1"/>
          <w:sz w:val="20"/>
          <w:szCs w:val="20"/>
        </w:rPr>
        <w:t xml:space="preserve">Just like other cities, Ibadan has been experiencing very rapid </w:t>
      </w:r>
      <w:commentRangeStart w:id="15"/>
      <w:r w:rsidRPr="008B1280">
        <w:rPr>
          <w:rFonts w:ascii="Arial" w:hAnsi="Arial" w:cs="Arial"/>
          <w:color w:val="000000" w:themeColor="text1"/>
          <w:sz w:val="20"/>
          <w:szCs w:val="20"/>
        </w:rPr>
        <w:t>urbanization</w:t>
      </w:r>
      <w:commentRangeEnd w:id="15"/>
      <w:r w:rsidR="00596102">
        <w:rPr>
          <w:rStyle w:val="CommentReference"/>
        </w:rPr>
        <w:commentReference w:id="15"/>
      </w:r>
      <w:r w:rsidRPr="008B1280">
        <w:rPr>
          <w:rFonts w:ascii="Arial" w:hAnsi="Arial" w:cs="Arial"/>
          <w:color w:val="000000" w:themeColor="text1"/>
          <w:sz w:val="20"/>
          <w:szCs w:val="20"/>
        </w:rPr>
        <w:t>. This is mostly a</w:t>
      </w:r>
      <w:r w:rsidR="0074495A" w:rsidRPr="008B1280">
        <w:rPr>
          <w:rFonts w:ascii="Arial" w:hAnsi="Arial" w:cs="Arial"/>
          <w:color w:val="000000" w:themeColor="text1"/>
          <w:sz w:val="20"/>
          <w:szCs w:val="20"/>
        </w:rPr>
        <w:t>ttributed</w:t>
      </w:r>
      <w:r w:rsidRPr="008B1280">
        <w:rPr>
          <w:rFonts w:ascii="Arial" w:hAnsi="Arial" w:cs="Arial"/>
          <w:color w:val="000000" w:themeColor="text1"/>
          <w:sz w:val="20"/>
          <w:szCs w:val="20"/>
        </w:rPr>
        <w:t xml:space="preserve"> to urban growth that is accompanied by natural population growth, rural-urban movement that is fueled by quick socioeconomic change and development, and new urban innovations that are related to state government-led development. </w:t>
      </w:r>
      <w:r w:rsidR="0019743C" w:rsidRPr="008B1280">
        <w:rPr>
          <w:rFonts w:ascii="Arial" w:hAnsi="Arial" w:cs="Arial"/>
          <w:color w:val="000000" w:themeColor="text1"/>
          <w:sz w:val="20"/>
          <w:szCs w:val="20"/>
        </w:rPr>
        <w:t>However, t</w:t>
      </w:r>
      <w:r w:rsidRPr="008B1280">
        <w:rPr>
          <w:rFonts w:ascii="Arial" w:hAnsi="Arial" w:cs="Arial"/>
          <w:color w:val="000000" w:themeColor="text1"/>
          <w:sz w:val="20"/>
          <w:szCs w:val="20"/>
        </w:rPr>
        <w:t>he simultaneous development of suitable housing infrastructure for all in</w:t>
      </w:r>
      <w:r w:rsidR="0019743C" w:rsidRPr="008B1280">
        <w:rPr>
          <w:rFonts w:ascii="Arial" w:hAnsi="Arial" w:cs="Arial"/>
          <w:color w:val="000000" w:themeColor="text1"/>
          <w:sz w:val="20"/>
          <w:szCs w:val="20"/>
        </w:rPr>
        <w:t>come categories has not</w:t>
      </w:r>
      <w:r w:rsidRPr="008B1280">
        <w:rPr>
          <w:rFonts w:ascii="Arial" w:hAnsi="Arial" w:cs="Arial"/>
          <w:color w:val="000000" w:themeColor="text1"/>
          <w:sz w:val="20"/>
          <w:szCs w:val="20"/>
        </w:rPr>
        <w:t xml:space="preserve"> kept pace with this growth.</w:t>
      </w:r>
      <w:commentRangeEnd w:id="14"/>
      <w:r w:rsidR="0034016D">
        <w:rPr>
          <w:rStyle w:val="CommentReference"/>
        </w:rPr>
        <w:commentReference w:id="14"/>
      </w:r>
    </w:p>
    <w:p w14:paraId="6DE82D44" w14:textId="77777777" w:rsidR="00AF1C04" w:rsidRPr="008B1280" w:rsidRDefault="00F52B8F" w:rsidP="00AF1C04">
      <w:pPr>
        <w:pStyle w:val="NormalWeb"/>
        <w:spacing w:line="360" w:lineRule="auto"/>
        <w:jc w:val="both"/>
        <w:rPr>
          <w:rFonts w:ascii="Arial" w:hAnsi="Arial" w:cs="Arial"/>
          <w:color w:val="000000" w:themeColor="text1"/>
          <w:sz w:val="20"/>
          <w:szCs w:val="20"/>
        </w:rPr>
      </w:pPr>
      <w:commentRangeStart w:id="16"/>
      <w:r w:rsidRPr="008B1280">
        <w:rPr>
          <w:rFonts w:ascii="Arial" w:hAnsi="Arial" w:cs="Arial"/>
          <w:color w:val="000000" w:themeColor="text1"/>
          <w:sz w:val="20"/>
          <w:szCs w:val="20"/>
        </w:rPr>
        <w:t xml:space="preserve">Housing affordability is one of the issues that have been of serious concern to housing experts and policymakers. This relates to the need to provide housing in such a way that households will be able to meet their housing obligations without </w:t>
      </w:r>
      <w:commentRangeStart w:id="17"/>
      <w:r w:rsidRPr="008B1280">
        <w:rPr>
          <w:rFonts w:ascii="Arial" w:hAnsi="Arial" w:cs="Arial"/>
          <w:color w:val="000000" w:themeColor="text1"/>
          <w:sz w:val="20"/>
          <w:szCs w:val="20"/>
        </w:rPr>
        <w:t>jeopardizing</w:t>
      </w:r>
      <w:commentRangeEnd w:id="17"/>
      <w:r w:rsidR="0034016D">
        <w:rPr>
          <w:rStyle w:val="CommentReference"/>
          <w:rFonts w:ascii="Calibri" w:eastAsia="Calibri" w:hAnsi="Calibri" w:cs="SimSun"/>
        </w:rPr>
        <w:commentReference w:id="17"/>
      </w:r>
      <w:r w:rsidRPr="008B1280">
        <w:rPr>
          <w:rFonts w:ascii="Arial" w:hAnsi="Arial" w:cs="Arial"/>
          <w:color w:val="000000" w:themeColor="text1"/>
          <w:sz w:val="20"/>
          <w:szCs w:val="20"/>
        </w:rPr>
        <w:t xml:space="preserve"> their other needs. </w:t>
      </w:r>
      <w:commentRangeEnd w:id="16"/>
      <w:r w:rsidR="0034016D">
        <w:rPr>
          <w:rStyle w:val="CommentReference"/>
          <w:rFonts w:ascii="Calibri" w:eastAsia="Calibri" w:hAnsi="Calibri" w:cs="SimSun"/>
        </w:rPr>
        <w:commentReference w:id="16"/>
      </w:r>
      <w:r w:rsidRPr="008B1280">
        <w:rPr>
          <w:rFonts w:ascii="Arial" w:hAnsi="Arial" w:cs="Arial"/>
          <w:color w:val="000000" w:themeColor="text1"/>
          <w:sz w:val="20"/>
          <w:szCs w:val="20"/>
        </w:rPr>
        <w:t xml:space="preserve">Some of these problems have risen from the interpretation of “decent housing”. The minimum standards of housing arrived at from this interpretation came from space standards and acceptable materials, and facilities are usually outside the reach of most households, especially </w:t>
      </w:r>
      <w:commentRangeStart w:id="18"/>
      <w:r w:rsidRPr="008B1280">
        <w:rPr>
          <w:rFonts w:ascii="Arial" w:hAnsi="Arial" w:cs="Arial"/>
          <w:color w:val="000000" w:themeColor="text1"/>
          <w:sz w:val="20"/>
          <w:szCs w:val="20"/>
        </w:rPr>
        <w:t>poor</w:t>
      </w:r>
      <w:commentRangeEnd w:id="18"/>
      <w:r w:rsidR="0034016D">
        <w:rPr>
          <w:rStyle w:val="CommentReference"/>
          <w:rFonts w:ascii="Calibri" w:eastAsia="Calibri" w:hAnsi="Calibri" w:cs="SimSun"/>
        </w:rPr>
        <w:commentReference w:id="18"/>
      </w:r>
      <w:r w:rsidRPr="008B1280">
        <w:rPr>
          <w:rFonts w:ascii="Arial" w:hAnsi="Arial" w:cs="Arial"/>
          <w:color w:val="000000" w:themeColor="text1"/>
          <w:sz w:val="20"/>
          <w:szCs w:val="20"/>
        </w:rPr>
        <w:t xml:space="preserve"> households. </w:t>
      </w:r>
      <w:commentRangeStart w:id="19"/>
      <w:r w:rsidRPr="008B1280">
        <w:rPr>
          <w:rFonts w:ascii="Arial" w:hAnsi="Arial" w:cs="Arial"/>
          <w:color w:val="000000" w:themeColor="text1"/>
          <w:sz w:val="20"/>
          <w:szCs w:val="20"/>
        </w:rPr>
        <w:t>So, the need to cater for the collective interest of all Nigerians’ concerning housing has been a major concern to the government and other agencies or organizations on housing. To this end, the government has embarked on various types of housing schemes especially estates developments to solve the diverse and complex problem that its citizens, staff, employees, and congregation face in accessing decent and adequate housing</w:t>
      </w:r>
      <w:commentRangeEnd w:id="19"/>
      <w:r w:rsidR="0034016D">
        <w:rPr>
          <w:rStyle w:val="CommentReference"/>
          <w:rFonts w:ascii="Calibri" w:eastAsia="Calibri" w:hAnsi="Calibri" w:cs="SimSun"/>
        </w:rPr>
        <w:commentReference w:id="19"/>
      </w:r>
      <w:r w:rsidRPr="008B1280">
        <w:rPr>
          <w:rFonts w:ascii="Arial" w:hAnsi="Arial" w:cs="Arial"/>
          <w:color w:val="000000" w:themeColor="text1"/>
          <w:sz w:val="20"/>
          <w:szCs w:val="20"/>
        </w:rPr>
        <w:t xml:space="preserve">. Nevertheless, there are certain neighborhood attributes or locational factors that even affect the accessibility or affordability of particular housing to an individual who wants or intends to rent that accommodation for their usage, all these need utmost attention. </w:t>
      </w:r>
      <w:r w:rsidR="00AF1C04" w:rsidRPr="008B1280">
        <w:rPr>
          <w:rFonts w:ascii="Arial" w:hAnsi="Arial" w:cs="Arial"/>
          <w:bCs/>
          <w:color w:val="000000" w:themeColor="text1"/>
          <w:sz w:val="20"/>
          <w:szCs w:val="20"/>
        </w:rPr>
        <w:t>Literature abounds in the area of housing affordability.</w:t>
      </w:r>
      <w:r w:rsidR="00AF1C04" w:rsidRPr="008B1280">
        <w:rPr>
          <w:rFonts w:ascii="Arial" w:hAnsi="Arial" w:cs="Arial"/>
          <w:color w:val="000000" w:themeColor="text1"/>
          <w:sz w:val="20"/>
          <w:szCs w:val="20"/>
        </w:rPr>
        <w:t xml:space="preserve"> For instance, </w:t>
      </w:r>
      <w:commentRangeStart w:id="20"/>
      <w:proofErr w:type="spellStart"/>
      <w:r w:rsidR="00AF1C04" w:rsidRPr="008B1280">
        <w:rPr>
          <w:rFonts w:ascii="Arial" w:hAnsi="Arial" w:cs="Arial"/>
          <w:bCs/>
          <w:color w:val="000000" w:themeColor="text1"/>
          <w:sz w:val="20"/>
          <w:szCs w:val="20"/>
        </w:rPr>
        <w:t>Ndubueze</w:t>
      </w:r>
      <w:proofErr w:type="spellEnd"/>
      <w:r w:rsidR="00AF1C04" w:rsidRPr="008B1280">
        <w:rPr>
          <w:rFonts w:ascii="Arial" w:hAnsi="Arial" w:cs="Arial"/>
          <w:bCs/>
          <w:color w:val="000000" w:themeColor="text1"/>
          <w:sz w:val="20"/>
          <w:szCs w:val="20"/>
        </w:rPr>
        <w:t xml:space="preserve"> (2009)</w:t>
      </w:r>
      <w:commentRangeEnd w:id="20"/>
      <w:r w:rsidR="00E8690D">
        <w:rPr>
          <w:rStyle w:val="CommentReference"/>
          <w:rFonts w:ascii="Calibri" w:eastAsia="Calibri" w:hAnsi="Calibri" w:cs="SimSun"/>
        </w:rPr>
        <w:commentReference w:id="20"/>
      </w:r>
      <w:r w:rsidR="00AF1C04" w:rsidRPr="008B1280">
        <w:rPr>
          <w:rFonts w:ascii="Arial" w:hAnsi="Arial" w:cs="Arial"/>
          <w:color w:val="000000" w:themeColor="text1"/>
          <w:sz w:val="20"/>
          <w:szCs w:val="20"/>
        </w:rPr>
        <w:t xml:space="preserve"> examined urban housing affordability and housing policy dilemmas in Nigeria, emphasizing the financial constraints faced by low-income earners. Similarly, </w:t>
      </w:r>
      <w:r w:rsidR="00AF1C04" w:rsidRPr="008B1280">
        <w:rPr>
          <w:rFonts w:ascii="Arial" w:hAnsi="Arial" w:cs="Arial"/>
          <w:bCs/>
          <w:color w:val="000000" w:themeColor="text1"/>
          <w:sz w:val="20"/>
          <w:szCs w:val="20"/>
        </w:rPr>
        <w:t>Bramley (2012)</w:t>
      </w:r>
      <w:r w:rsidR="00AF1C04" w:rsidRPr="008B1280">
        <w:rPr>
          <w:rFonts w:ascii="Arial" w:hAnsi="Arial" w:cs="Arial"/>
          <w:color w:val="000000" w:themeColor="text1"/>
          <w:sz w:val="20"/>
          <w:szCs w:val="20"/>
        </w:rPr>
        <w:t xml:space="preserve"> investigated the relationship between affordability, poverty, and housing need, providing a triangulated measure of affordability </w:t>
      </w:r>
      <w:r w:rsidR="00AF1C04" w:rsidRPr="008B1280">
        <w:rPr>
          <w:rFonts w:ascii="Arial" w:hAnsi="Arial" w:cs="Arial"/>
          <w:color w:val="000000" w:themeColor="text1"/>
          <w:sz w:val="20"/>
          <w:szCs w:val="20"/>
        </w:rPr>
        <w:lastRenderedPageBreak/>
        <w:t xml:space="preserve">standards. Meanwhile, </w:t>
      </w:r>
      <w:r w:rsidR="00AF1C04" w:rsidRPr="008B1280">
        <w:rPr>
          <w:rFonts w:ascii="Arial" w:hAnsi="Arial" w:cs="Arial"/>
          <w:bCs/>
          <w:color w:val="000000" w:themeColor="text1"/>
          <w:sz w:val="20"/>
          <w:szCs w:val="20"/>
        </w:rPr>
        <w:t>Jimoh and Abdullahi (2022)</w:t>
      </w:r>
      <w:r w:rsidR="00AF1C04" w:rsidRPr="008B1280">
        <w:rPr>
          <w:rFonts w:ascii="Arial" w:hAnsi="Arial" w:cs="Arial"/>
          <w:color w:val="000000" w:themeColor="text1"/>
          <w:sz w:val="20"/>
          <w:szCs w:val="20"/>
        </w:rPr>
        <w:t xml:space="preserve"> studied the financial burden of housing on low-income earners and highlighted the economic challenges affecting homeownership in Nigeria. In a related study, </w:t>
      </w:r>
      <w:r w:rsidR="00AF1C04" w:rsidRPr="008B1280">
        <w:rPr>
          <w:rFonts w:ascii="Arial" w:hAnsi="Arial" w:cs="Arial"/>
          <w:bCs/>
          <w:color w:val="000000" w:themeColor="text1"/>
          <w:sz w:val="20"/>
          <w:szCs w:val="20"/>
        </w:rPr>
        <w:t xml:space="preserve">Gan and Hill </w:t>
      </w:r>
      <w:commentRangeStart w:id="21"/>
      <w:r w:rsidR="00AF1C04" w:rsidRPr="008B1280">
        <w:rPr>
          <w:rFonts w:ascii="Arial" w:hAnsi="Arial" w:cs="Arial"/>
          <w:bCs/>
          <w:color w:val="000000" w:themeColor="text1"/>
          <w:sz w:val="20"/>
          <w:szCs w:val="20"/>
        </w:rPr>
        <w:t>(2009)</w:t>
      </w:r>
      <w:r w:rsidR="00AF1C04" w:rsidRPr="008B1280">
        <w:rPr>
          <w:rFonts w:ascii="Arial" w:hAnsi="Arial" w:cs="Arial"/>
          <w:color w:val="000000" w:themeColor="text1"/>
          <w:sz w:val="20"/>
          <w:szCs w:val="20"/>
        </w:rPr>
        <w:t xml:space="preserve"> </w:t>
      </w:r>
      <w:commentRangeEnd w:id="21"/>
      <w:r w:rsidR="00E8690D">
        <w:rPr>
          <w:rStyle w:val="CommentReference"/>
          <w:rFonts w:ascii="Calibri" w:eastAsia="Calibri" w:hAnsi="Calibri" w:cs="SimSun"/>
        </w:rPr>
        <w:commentReference w:id="21"/>
      </w:r>
      <w:r w:rsidR="00AF1C04" w:rsidRPr="008B1280">
        <w:rPr>
          <w:rFonts w:ascii="Arial" w:hAnsi="Arial" w:cs="Arial"/>
          <w:color w:val="000000" w:themeColor="text1"/>
          <w:sz w:val="20"/>
          <w:szCs w:val="20"/>
        </w:rPr>
        <w:t>explored different affordability metrics, focusing on the ratio of median house prices to median income.</w:t>
      </w:r>
    </w:p>
    <w:p w14:paraId="0DC16550" w14:textId="5D67EFBC" w:rsidR="00AF1C04" w:rsidRPr="008B1280" w:rsidRDefault="00AF1C04" w:rsidP="008B1280">
      <w:pPr>
        <w:spacing w:before="100" w:beforeAutospacing="1" w:after="100" w:afterAutospacing="1" w:line="360" w:lineRule="auto"/>
        <w:jc w:val="both"/>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Despite these submissions, the aspect of housing affordability among the low-income group, particularly in Ibadan North Local Government, has not been adequately researched in the literature. This study, therefore, assesses housing affordability among low-income earners in Ibadan, examining the economic and non-economic factors that influence their access to adequate housing.</w:t>
      </w:r>
      <w:r w:rsidRPr="008B1280">
        <w:rPr>
          <w:rFonts w:ascii="Arial" w:eastAsia="Times New Roman" w:hAnsi="Arial" w:cs="Arial"/>
          <w:vanish/>
          <w:color w:val="000000" w:themeColor="text1"/>
          <w:sz w:val="16"/>
          <w:szCs w:val="16"/>
        </w:rPr>
        <w:t>Bottom of Form</w:t>
      </w:r>
    </w:p>
    <w:p w14:paraId="025BCEDE" w14:textId="1102CF53" w:rsidR="00D26672" w:rsidRPr="008B1280" w:rsidRDefault="00D26672">
      <w:pPr>
        <w:spacing w:line="360" w:lineRule="auto"/>
        <w:jc w:val="both"/>
        <w:rPr>
          <w:rFonts w:ascii="Arial" w:hAnsi="Arial" w:cs="Arial"/>
          <w:color w:val="000000" w:themeColor="text1"/>
        </w:rPr>
      </w:pPr>
    </w:p>
    <w:p w14:paraId="171BC177" w14:textId="77777777" w:rsidR="00D26672" w:rsidRPr="008B1280" w:rsidRDefault="00F52B8F">
      <w:pPr>
        <w:spacing w:line="360" w:lineRule="auto"/>
        <w:rPr>
          <w:rFonts w:ascii="Arial" w:hAnsi="Arial" w:cs="Arial"/>
          <w:b/>
          <w:color w:val="000000" w:themeColor="text1"/>
        </w:rPr>
      </w:pPr>
      <w:r w:rsidRPr="008B1280">
        <w:rPr>
          <w:rFonts w:ascii="Arial" w:hAnsi="Arial" w:cs="Arial"/>
          <w:b/>
          <w:color w:val="000000" w:themeColor="text1"/>
        </w:rPr>
        <w:t>STUDY AREA</w:t>
      </w:r>
    </w:p>
    <w:p w14:paraId="1ED9A928" w14:textId="77777777" w:rsidR="00D26672" w:rsidRPr="008B1280" w:rsidRDefault="00F52B8F">
      <w:pPr>
        <w:spacing w:line="360" w:lineRule="auto"/>
        <w:jc w:val="both"/>
        <w:rPr>
          <w:rFonts w:ascii="Arial" w:hAnsi="Arial" w:cs="Arial"/>
          <w:color w:val="000000" w:themeColor="text1"/>
          <w:sz w:val="20"/>
          <w:szCs w:val="20"/>
          <w:bdr w:val="none" w:sz="0" w:space="0" w:color="auto" w:frame="1"/>
        </w:rPr>
      </w:pPr>
      <w:r w:rsidRPr="008B1280">
        <w:rPr>
          <w:rFonts w:ascii="Arial" w:hAnsi="Arial" w:cs="Arial"/>
          <w:color w:val="000000" w:themeColor="text1"/>
          <w:sz w:val="20"/>
          <w:szCs w:val="20"/>
          <w:shd w:val="clear" w:color="auto" w:fill="FFFFFF"/>
        </w:rPr>
        <w:t xml:space="preserve">The present Ibadan North Local Government was created by the Federal Military Government in September 27, 1991. It was carved out of the defunct Ibadan Municipal Government (IMG) along with four others, namely Ibadan North West, Ibadan South West, Ibadan South East and Ibadan North East. The local government headquarter is located at Agodi Gate Area </w:t>
      </w:r>
      <w:commentRangeStart w:id="22"/>
      <w:r w:rsidRPr="008B1280">
        <w:rPr>
          <w:rFonts w:ascii="Arial" w:hAnsi="Arial" w:cs="Arial"/>
          <w:color w:val="000000" w:themeColor="text1"/>
          <w:sz w:val="20"/>
          <w:szCs w:val="20"/>
          <w:shd w:val="clear" w:color="auto" w:fill="FFFFFF"/>
        </w:rPr>
        <w:t>od</w:t>
      </w:r>
      <w:commentRangeEnd w:id="22"/>
      <w:r w:rsidR="00E8690D">
        <w:rPr>
          <w:rStyle w:val="CommentReference"/>
        </w:rPr>
        <w:commentReference w:id="22"/>
      </w:r>
      <w:r w:rsidRPr="008B1280">
        <w:rPr>
          <w:rFonts w:ascii="Arial" w:hAnsi="Arial" w:cs="Arial"/>
          <w:color w:val="000000" w:themeColor="text1"/>
          <w:sz w:val="20"/>
          <w:szCs w:val="20"/>
          <w:shd w:val="clear" w:color="auto" w:fill="FFFFFF"/>
        </w:rPr>
        <w:t xml:space="preserve"> Ibadan. The name Ibadan North was derived from the geographical location of the region (on the Ibadan-Ilorin axis). The local government is believed to fall within the developed area of the Ibadan municipal</w:t>
      </w:r>
      <w:commentRangeStart w:id="23"/>
      <w:r w:rsidRPr="008B1280">
        <w:rPr>
          <w:rFonts w:ascii="Arial" w:hAnsi="Arial" w:cs="Arial"/>
          <w:color w:val="000000" w:themeColor="text1"/>
          <w:sz w:val="20"/>
          <w:szCs w:val="20"/>
          <w:shd w:val="clear" w:color="auto" w:fill="FFFFFF"/>
        </w:rPr>
        <w:t xml:space="preserve"> </w:t>
      </w:r>
      <w:commentRangeEnd w:id="23"/>
      <w:r w:rsidR="00E8690D">
        <w:rPr>
          <w:rStyle w:val="CommentReference"/>
        </w:rPr>
        <w:commentReference w:id="23"/>
      </w:r>
      <w:r w:rsidRPr="008B1280">
        <w:rPr>
          <w:rFonts w:ascii="Arial" w:hAnsi="Arial" w:cs="Arial"/>
          <w:color w:val="000000" w:themeColor="text1"/>
          <w:sz w:val="20"/>
          <w:szCs w:val="20"/>
          <w:shd w:val="clear" w:color="auto" w:fill="FFFFFF"/>
        </w:rPr>
        <w:t xml:space="preserve">which is as a result of efficient road network. </w:t>
      </w:r>
      <w:r w:rsidRPr="008B1280">
        <w:rPr>
          <w:rFonts w:ascii="Arial" w:hAnsi="Arial" w:cs="Arial"/>
          <w:color w:val="000000" w:themeColor="text1"/>
          <w:sz w:val="20"/>
          <w:szCs w:val="20"/>
          <w:bdr w:val="none" w:sz="0" w:space="0" w:color="auto" w:frame="1"/>
        </w:rPr>
        <w:t xml:space="preserve">The area extent is about 163sq km. </w:t>
      </w:r>
      <w:bookmarkStart w:id="24" w:name="_Hlk147929622"/>
      <w:r w:rsidRPr="008B1280">
        <w:rPr>
          <w:rFonts w:ascii="Arial" w:hAnsi="Arial" w:cs="Arial"/>
          <w:color w:val="000000" w:themeColor="text1"/>
          <w:sz w:val="20"/>
          <w:szCs w:val="20"/>
          <w:bdr w:val="none" w:sz="0" w:space="0" w:color="auto" w:frame="1"/>
        </w:rPr>
        <w:t xml:space="preserve">It extends from Beere Roundabout through </w:t>
      </w:r>
      <w:proofErr w:type="spellStart"/>
      <w:r w:rsidRPr="008B1280">
        <w:rPr>
          <w:rFonts w:ascii="Arial" w:hAnsi="Arial" w:cs="Arial"/>
          <w:color w:val="000000" w:themeColor="text1"/>
          <w:sz w:val="20"/>
          <w:szCs w:val="20"/>
          <w:bdr w:val="none" w:sz="0" w:space="0" w:color="auto" w:frame="1"/>
        </w:rPr>
        <w:t>Oke</w:t>
      </w:r>
      <w:proofErr w:type="spellEnd"/>
      <w:r w:rsidRPr="008B1280">
        <w:rPr>
          <w:rFonts w:ascii="Arial" w:hAnsi="Arial" w:cs="Arial"/>
          <w:color w:val="000000" w:themeColor="text1"/>
          <w:sz w:val="20"/>
          <w:szCs w:val="20"/>
          <w:bdr w:val="none" w:sz="0" w:space="0" w:color="auto" w:frame="1"/>
        </w:rPr>
        <w:t xml:space="preserve"> Are</w:t>
      </w:r>
      <w:r w:rsidRPr="008B1280">
        <w:rPr>
          <w:rFonts w:ascii="Arial" w:hAnsi="Arial" w:cs="Arial"/>
          <w:color w:val="000000" w:themeColor="text1"/>
          <w:sz w:val="20"/>
          <w:szCs w:val="20"/>
        </w:rPr>
        <w:t xml:space="preserve">, </w:t>
      </w:r>
      <w:r w:rsidRPr="008B1280">
        <w:rPr>
          <w:rFonts w:ascii="Arial" w:hAnsi="Arial" w:cs="Arial"/>
          <w:color w:val="000000" w:themeColor="text1"/>
          <w:sz w:val="20"/>
          <w:szCs w:val="20"/>
          <w:bdr w:val="none" w:sz="0" w:space="0" w:color="auto" w:frame="1"/>
        </w:rPr>
        <w:t xml:space="preserve">Mokola, </w:t>
      </w:r>
      <w:proofErr w:type="spellStart"/>
      <w:r w:rsidRPr="008B1280">
        <w:rPr>
          <w:rFonts w:ascii="Arial" w:hAnsi="Arial" w:cs="Arial"/>
          <w:color w:val="000000" w:themeColor="text1"/>
          <w:sz w:val="20"/>
          <w:szCs w:val="20"/>
          <w:bdr w:val="none" w:sz="0" w:space="0" w:color="auto" w:frame="1"/>
        </w:rPr>
        <w:t>Oke</w:t>
      </w:r>
      <w:proofErr w:type="spellEnd"/>
      <w:r w:rsidRPr="008B1280">
        <w:rPr>
          <w:rFonts w:ascii="Arial" w:hAnsi="Arial" w:cs="Arial"/>
          <w:color w:val="000000" w:themeColor="text1"/>
          <w:sz w:val="20"/>
          <w:szCs w:val="20"/>
          <w:bdr w:val="none" w:sz="0" w:space="0" w:color="auto" w:frame="1"/>
        </w:rPr>
        <w:t xml:space="preserve"> </w:t>
      </w:r>
      <w:proofErr w:type="spellStart"/>
      <w:r w:rsidRPr="008B1280">
        <w:rPr>
          <w:rFonts w:ascii="Arial" w:hAnsi="Arial" w:cs="Arial"/>
          <w:color w:val="000000" w:themeColor="text1"/>
          <w:sz w:val="20"/>
          <w:szCs w:val="20"/>
          <w:bdr w:val="none" w:sz="0" w:space="0" w:color="auto" w:frame="1"/>
        </w:rPr>
        <w:t>Itunu</w:t>
      </w:r>
      <w:proofErr w:type="spellEnd"/>
      <w:r w:rsidRPr="008B1280">
        <w:rPr>
          <w:rFonts w:ascii="Arial" w:hAnsi="Arial" w:cs="Arial"/>
          <w:color w:val="000000" w:themeColor="text1"/>
          <w:sz w:val="20"/>
          <w:szCs w:val="20"/>
          <w:bdr w:val="none" w:sz="0" w:space="0" w:color="auto" w:frame="1"/>
        </w:rPr>
        <w:t xml:space="preserve">, </w:t>
      </w:r>
      <w:proofErr w:type="spellStart"/>
      <w:r w:rsidRPr="008B1280">
        <w:rPr>
          <w:rFonts w:ascii="Arial" w:hAnsi="Arial" w:cs="Arial"/>
          <w:color w:val="000000" w:themeColor="text1"/>
          <w:sz w:val="20"/>
          <w:szCs w:val="20"/>
          <w:bdr w:val="none" w:sz="0" w:space="0" w:color="auto" w:frame="1"/>
        </w:rPr>
        <w:t>Ijokodo</w:t>
      </w:r>
      <w:proofErr w:type="spellEnd"/>
      <w:r w:rsidRPr="008B1280">
        <w:rPr>
          <w:rFonts w:ascii="Arial" w:hAnsi="Arial" w:cs="Arial"/>
          <w:color w:val="000000" w:themeColor="text1"/>
          <w:sz w:val="20"/>
          <w:szCs w:val="20"/>
          <w:bdr w:val="none" w:sz="0" w:space="0" w:color="auto" w:frame="1"/>
        </w:rPr>
        <w:t>. Also, from Beere to Gate, Idi-</w:t>
      </w:r>
      <w:commentRangeStart w:id="25"/>
      <w:r w:rsidRPr="008B1280">
        <w:rPr>
          <w:rFonts w:ascii="Arial" w:hAnsi="Arial" w:cs="Arial"/>
          <w:color w:val="000000" w:themeColor="text1"/>
          <w:sz w:val="20"/>
          <w:szCs w:val="20"/>
          <w:bdr w:val="none" w:sz="0" w:space="0" w:color="auto" w:frame="1"/>
        </w:rPr>
        <w:t xml:space="preserve"> </w:t>
      </w:r>
      <w:commentRangeEnd w:id="25"/>
      <w:r w:rsidR="00E8690D">
        <w:rPr>
          <w:rStyle w:val="CommentReference"/>
        </w:rPr>
        <w:commentReference w:id="25"/>
      </w:r>
      <w:r w:rsidRPr="008B1280">
        <w:rPr>
          <w:rFonts w:ascii="Arial" w:hAnsi="Arial" w:cs="Arial"/>
          <w:color w:val="000000" w:themeColor="text1"/>
          <w:sz w:val="20"/>
          <w:szCs w:val="20"/>
          <w:bdr w:val="none" w:sz="0" w:space="0" w:color="auto" w:frame="1"/>
        </w:rPr>
        <w:t>Ape, Bashorun and Lagos</w:t>
      </w:r>
      <w:r w:rsidRPr="008B1280">
        <w:rPr>
          <w:rFonts w:ascii="Arial" w:hAnsi="Arial" w:cs="Arial"/>
          <w:color w:val="000000" w:themeColor="text1"/>
          <w:sz w:val="20"/>
          <w:szCs w:val="20"/>
        </w:rPr>
        <w:t>-</w:t>
      </w:r>
      <w:r w:rsidRPr="008B1280">
        <w:rPr>
          <w:rFonts w:ascii="Arial" w:hAnsi="Arial" w:cs="Arial"/>
          <w:color w:val="000000" w:themeColor="text1"/>
          <w:sz w:val="20"/>
          <w:szCs w:val="20"/>
          <w:bdr w:val="none" w:sz="0" w:space="0" w:color="auto" w:frame="1"/>
        </w:rPr>
        <w:t xml:space="preserve">Ibadan Expressway, </w:t>
      </w:r>
      <w:commentRangeStart w:id="26"/>
      <w:proofErr w:type="spellStart"/>
      <w:r w:rsidRPr="008B1280">
        <w:rPr>
          <w:rFonts w:ascii="Arial" w:hAnsi="Arial" w:cs="Arial"/>
          <w:color w:val="000000" w:themeColor="text1"/>
          <w:sz w:val="20"/>
          <w:szCs w:val="20"/>
          <w:bdr w:val="none" w:sz="0" w:space="0" w:color="auto" w:frame="1"/>
        </w:rPr>
        <w:t>Sectariat</w:t>
      </w:r>
      <w:commentRangeEnd w:id="26"/>
      <w:proofErr w:type="spellEnd"/>
      <w:r w:rsidR="00E8690D">
        <w:rPr>
          <w:rStyle w:val="CommentReference"/>
        </w:rPr>
        <w:commentReference w:id="26"/>
      </w:r>
      <w:r w:rsidRPr="008B1280">
        <w:rPr>
          <w:rFonts w:ascii="Arial" w:hAnsi="Arial" w:cs="Arial"/>
          <w:color w:val="000000" w:themeColor="text1"/>
          <w:sz w:val="20"/>
          <w:szCs w:val="20"/>
          <w:bdr w:val="none" w:sz="0" w:space="0" w:color="auto" w:frame="1"/>
        </w:rPr>
        <w:t xml:space="preserve">, </w:t>
      </w:r>
      <w:proofErr w:type="spellStart"/>
      <w:r w:rsidRPr="008B1280">
        <w:rPr>
          <w:rFonts w:ascii="Arial" w:hAnsi="Arial" w:cs="Arial"/>
          <w:color w:val="000000" w:themeColor="text1"/>
          <w:sz w:val="20"/>
          <w:szCs w:val="20"/>
          <w:bdr w:val="none" w:sz="0" w:space="0" w:color="auto" w:frame="1"/>
        </w:rPr>
        <w:t>Bodija</w:t>
      </w:r>
      <w:proofErr w:type="spellEnd"/>
      <w:r w:rsidRPr="008B1280">
        <w:rPr>
          <w:rFonts w:ascii="Arial" w:hAnsi="Arial" w:cs="Arial"/>
          <w:color w:val="000000" w:themeColor="text1"/>
          <w:sz w:val="20"/>
          <w:szCs w:val="20"/>
          <w:bdr w:val="none" w:sz="0" w:space="0" w:color="auto" w:frame="1"/>
        </w:rPr>
        <w:t xml:space="preserve">, University of Ibadan and </w:t>
      </w:r>
      <w:proofErr w:type="spellStart"/>
      <w:r w:rsidRPr="008B1280">
        <w:rPr>
          <w:rFonts w:ascii="Arial" w:hAnsi="Arial" w:cs="Arial"/>
          <w:color w:val="000000" w:themeColor="text1"/>
          <w:sz w:val="20"/>
          <w:szCs w:val="20"/>
          <w:bdr w:val="none" w:sz="0" w:space="0" w:color="auto" w:frame="1"/>
        </w:rPr>
        <w:t>Agbowo</w:t>
      </w:r>
      <w:proofErr w:type="spellEnd"/>
      <w:r w:rsidRPr="008B1280">
        <w:rPr>
          <w:rFonts w:ascii="Arial" w:hAnsi="Arial" w:cs="Arial"/>
          <w:color w:val="000000" w:themeColor="text1"/>
          <w:sz w:val="20"/>
          <w:szCs w:val="20"/>
          <w:bdr w:val="none" w:sz="0" w:space="0" w:color="auto" w:frame="1"/>
        </w:rPr>
        <w:t xml:space="preserve"> environs. It is bounded in the North by Akinyele, in the West by Ido, Ibadan South West and Ibadan South East and in the East by Ibadan North East and </w:t>
      </w:r>
      <w:proofErr w:type="spellStart"/>
      <w:r w:rsidRPr="008B1280">
        <w:rPr>
          <w:rFonts w:ascii="Arial" w:hAnsi="Arial" w:cs="Arial"/>
          <w:color w:val="000000" w:themeColor="text1"/>
          <w:sz w:val="20"/>
          <w:szCs w:val="20"/>
          <w:bdr w:val="none" w:sz="0" w:space="0" w:color="auto" w:frame="1"/>
        </w:rPr>
        <w:t>Lagelu</w:t>
      </w:r>
      <w:proofErr w:type="spellEnd"/>
      <w:r w:rsidRPr="008B1280">
        <w:rPr>
          <w:rFonts w:ascii="Arial" w:hAnsi="Arial" w:cs="Arial"/>
          <w:color w:val="000000" w:themeColor="text1"/>
          <w:sz w:val="20"/>
          <w:szCs w:val="20"/>
          <w:bdr w:val="none" w:sz="0" w:space="0" w:color="auto" w:frame="1"/>
        </w:rPr>
        <w:t> Local Governments respectively. There are twelve wards and forty</w:t>
      </w:r>
      <w:r w:rsidRPr="008B1280">
        <w:rPr>
          <w:rFonts w:ascii="Arial" w:hAnsi="Arial" w:cs="Arial"/>
          <w:color w:val="000000" w:themeColor="text1"/>
          <w:sz w:val="20"/>
          <w:szCs w:val="20"/>
        </w:rPr>
        <w:t>-one</w:t>
      </w:r>
      <w:r w:rsidRPr="008B1280">
        <w:rPr>
          <w:rFonts w:ascii="Arial" w:hAnsi="Arial" w:cs="Arial"/>
          <w:color w:val="000000" w:themeColor="text1"/>
          <w:spacing w:val="15"/>
          <w:sz w:val="20"/>
          <w:szCs w:val="20"/>
          <w:bdr w:val="none" w:sz="0" w:space="0" w:color="auto" w:frame="1"/>
        </w:rPr>
        <w:t xml:space="preserve"> </w:t>
      </w:r>
      <w:r w:rsidRPr="008B1280">
        <w:rPr>
          <w:rFonts w:ascii="Arial" w:hAnsi="Arial" w:cs="Arial"/>
          <w:color w:val="000000" w:themeColor="text1"/>
          <w:sz w:val="20"/>
          <w:szCs w:val="20"/>
          <w:bdr w:val="none" w:sz="0" w:space="0" w:color="auto" w:frame="1"/>
        </w:rPr>
        <w:t>localities in Ibadan North Local Government</w:t>
      </w:r>
      <w:bookmarkEnd w:id="24"/>
      <w:r w:rsidRPr="008B1280">
        <w:rPr>
          <w:rFonts w:ascii="Arial" w:hAnsi="Arial" w:cs="Arial"/>
          <w:color w:val="000000" w:themeColor="text1"/>
          <w:sz w:val="20"/>
          <w:szCs w:val="20"/>
          <w:bdr w:val="none" w:sz="0" w:space="0" w:color="auto" w:frame="1"/>
        </w:rPr>
        <w:t xml:space="preserve">. </w:t>
      </w:r>
    </w:p>
    <w:p w14:paraId="1F3B337B" w14:textId="77777777" w:rsidR="00D26672" w:rsidRPr="008B1280" w:rsidRDefault="00F52B8F">
      <w:pPr>
        <w:spacing w:line="360" w:lineRule="auto"/>
        <w:jc w:val="both"/>
        <w:rPr>
          <w:rFonts w:ascii="Arial" w:hAnsi="Arial" w:cs="Arial"/>
          <w:b/>
          <w:bCs/>
          <w:color w:val="000000" w:themeColor="text1"/>
          <w:sz w:val="20"/>
          <w:szCs w:val="20"/>
          <w:bdr w:val="none" w:sz="0" w:space="0" w:color="auto" w:frame="1"/>
        </w:rPr>
      </w:pPr>
      <w:r w:rsidRPr="008B1280">
        <w:rPr>
          <w:rFonts w:ascii="Arial" w:hAnsi="Arial" w:cs="Arial"/>
          <w:b/>
          <w:bCs/>
          <w:color w:val="000000" w:themeColor="text1"/>
          <w:sz w:val="20"/>
          <w:szCs w:val="20"/>
          <w:bdr w:val="none" w:sz="0" w:space="0" w:color="auto" w:frame="1"/>
        </w:rPr>
        <w:t>Geographical Location of Ibadan North Local Government</w:t>
      </w:r>
    </w:p>
    <w:p w14:paraId="3D32C841" w14:textId="77777777" w:rsidR="00D26672" w:rsidRPr="008B1280" w:rsidRDefault="00F52B8F">
      <w:pPr>
        <w:spacing w:line="360" w:lineRule="auto"/>
        <w:jc w:val="both"/>
        <w:rPr>
          <w:rFonts w:ascii="Arial" w:hAnsi="Arial" w:cs="Arial"/>
          <w:color w:val="000000" w:themeColor="text1"/>
          <w:sz w:val="20"/>
          <w:szCs w:val="20"/>
          <w:bdr w:val="none" w:sz="0" w:space="0" w:color="auto" w:frame="1"/>
        </w:rPr>
      </w:pPr>
      <w:r w:rsidRPr="008B1280">
        <w:rPr>
          <w:rFonts w:ascii="Arial" w:hAnsi="Arial" w:cs="Arial"/>
          <w:color w:val="000000" w:themeColor="text1"/>
          <w:sz w:val="20"/>
          <w:szCs w:val="20"/>
          <w:bdr w:val="none" w:sz="0" w:space="0" w:color="auto" w:frame="1"/>
        </w:rPr>
        <w:t>Ibadan North Local Government in which Agodi falls is geographically located on longitude 3°53ꞌ and 3°56ꞌ East of Greenwich Meridian and latitude 7°23ꞌ and 7°29ꞌ North of Equator with a total land area of 145.58km</w:t>
      </w:r>
      <w:r w:rsidRPr="008B1280">
        <w:rPr>
          <w:rFonts w:ascii="Arial" w:hAnsi="Arial" w:cs="Arial"/>
          <w:color w:val="000000" w:themeColor="text1"/>
          <w:sz w:val="20"/>
          <w:szCs w:val="20"/>
          <w:bdr w:val="none" w:sz="0" w:space="0" w:color="auto" w:frame="1"/>
          <w:vertAlign w:val="superscript"/>
        </w:rPr>
        <w:t>2</w:t>
      </w:r>
      <w:r w:rsidRPr="008B1280">
        <w:rPr>
          <w:rFonts w:ascii="Arial" w:hAnsi="Arial" w:cs="Arial"/>
          <w:color w:val="000000" w:themeColor="text1"/>
          <w:sz w:val="20"/>
          <w:szCs w:val="20"/>
          <w:bdr w:val="none" w:sz="0" w:space="0" w:color="auto" w:frame="1"/>
        </w:rPr>
        <w:t xml:space="preserve">. Ibadan-North is bounded in the North by Akinyele Local Government, in the East by </w:t>
      </w:r>
      <w:proofErr w:type="spellStart"/>
      <w:r w:rsidRPr="008B1280">
        <w:rPr>
          <w:rFonts w:ascii="Arial" w:hAnsi="Arial" w:cs="Arial"/>
          <w:color w:val="000000" w:themeColor="text1"/>
          <w:sz w:val="20"/>
          <w:szCs w:val="20"/>
          <w:bdr w:val="none" w:sz="0" w:space="0" w:color="auto" w:frame="1"/>
        </w:rPr>
        <w:t>Lagelu</w:t>
      </w:r>
      <w:proofErr w:type="spellEnd"/>
      <w:r w:rsidRPr="008B1280">
        <w:rPr>
          <w:rFonts w:ascii="Arial" w:hAnsi="Arial" w:cs="Arial"/>
          <w:color w:val="000000" w:themeColor="text1"/>
          <w:sz w:val="20"/>
          <w:szCs w:val="20"/>
          <w:bdr w:val="none" w:sz="0" w:space="0" w:color="auto" w:frame="1"/>
        </w:rPr>
        <w:t xml:space="preserve"> Local Government and Egbeda Local Government, in the West by Ibadan North-West Local Government and in the south by Ibadan North-East Local Government. It occupies a total landmass of 145.58 square </w:t>
      </w:r>
      <w:proofErr w:type="spellStart"/>
      <w:r w:rsidRPr="008B1280">
        <w:rPr>
          <w:rFonts w:ascii="Arial" w:hAnsi="Arial" w:cs="Arial"/>
          <w:color w:val="000000" w:themeColor="text1"/>
          <w:sz w:val="20"/>
          <w:szCs w:val="20"/>
          <w:bdr w:val="none" w:sz="0" w:space="0" w:color="auto" w:frame="1"/>
        </w:rPr>
        <w:t>kilometres</w:t>
      </w:r>
      <w:proofErr w:type="spellEnd"/>
      <w:r w:rsidRPr="008B1280">
        <w:rPr>
          <w:rFonts w:ascii="Arial" w:hAnsi="Arial" w:cs="Arial"/>
          <w:color w:val="000000" w:themeColor="text1"/>
          <w:sz w:val="20"/>
          <w:szCs w:val="20"/>
          <w:bdr w:val="none" w:sz="0" w:space="0" w:color="auto" w:frame="1"/>
        </w:rPr>
        <w:t xml:space="preserve"> (Federal Republic of Nigeria Official Gazette, 2007).  </w:t>
      </w:r>
    </w:p>
    <w:p w14:paraId="603945E5" w14:textId="77777777" w:rsidR="00D26672" w:rsidRPr="008B1280" w:rsidRDefault="00F52B8F">
      <w:pPr>
        <w:spacing w:line="360" w:lineRule="auto"/>
        <w:jc w:val="both"/>
        <w:rPr>
          <w:rFonts w:ascii="Arial" w:hAnsi="Arial" w:cs="Arial"/>
          <w:color w:val="000000" w:themeColor="text1"/>
          <w:sz w:val="20"/>
          <w:szCs w:val="20"/>
          <w:bdr w:val="none" w:sz="0" w:space="0" w:color="auto" w:frame="1"/>
        </w:rPr>
      </w:pPr>
      <w:r w:rsidRPr="008B1280">
        <w:rPr>
          <w:rFonts w:ascii="Arial" w:hAnsi="Arial" w:cs="Arial"/>
          <w:color w:val="000000" w:themeColor="text1"/>
          <w:sz w:val="20"/>
          <w:szCs w:val="20"/>
          <w:bdr w:val="none" w:sz="0" w:space="0" w:color="auto" w:frame="1"/>
        </w:rPr>
        <w:t xml:space="preserve">Ibadan North Local Government Area extends from Beere Roundabout through </w:t>
      </w:r>
      <w:proofErr w:type="spellStart"/>
      <w:r w:rsidRPr="008B1280">
        <w:rPr>
          <w:rFonts w:ascii="Arial" w:hAnsi="Arial" w:cs="Arial"/>
          <w:color w:val="000000" w:themeColor="text1"/>
          <w:sz w:val="20"/>
          <w:szCs w:val="20"/>
          <w:bdr w:val="none" w:sz="0" w:space="0" w:color="auto" w:frame="1"/>
        </w:rPr>
        <w:t>Oke</w:t>
      </w:r>
      <w:proofErr w:type="spellEnd"/>
      <w:r w:rsidRPr="008B1280">
        <w:rPr>
          <w:rFonts w:ascii="Arial" w:hAnsi="Arial" w:cs="Arial"/>
          <w:color w:val="000000" w:themeColor="text1"/>
          <w:sz w:val="20"/>
          <w:szCs w:val="20"/>
          <w:bdr w:val="none" w:sz="0" w:space="0" w:color="auto" w:frame="1"/>
        </w:rPr>
        <w:t xml:space="preserve"> Are- Mokola, </w:t>
      </w:r>
      <w:proofErr w:type="spellStart"/>
      <w:r w:rsidRPr="008B1280">
        <w:rPr>
          <w:rFonts w:ascii="Arial" w:hAnsi="Arial" w:cs="Arial"/>
          <w:color w:val="000000" w:themeColor="text1"/>
          <w:sz w:val="20"/>
          <w:szCs w:val="20"/>
          <w:bdr w:val="none" w:sz="0" w:space="0" w:color="auto" w:frame="1"/>
        </w:rPr>
        <w:t>Oke</w:t>
      </w:r>
      <w:proofErr w:type="spellEnd"/>
      <w:r w:rsidRPr="008B1280">
        <w:rPr>
          <w:rFonts w:ascii="Arial" w:hAnsi="Arial" w:cs="Arial"/>
          <w:color w:val="000000" w:themeColor="text1"/>
          <w:sz w:val="20"/>
          <w:szCs w:val="20"/>
          <w:bdr w:val="none" w:sz="0" w:space="0" w:color="auto" w:frame="1"/>
        </w:rPr>
        <w:t xml:space="preserve"> </w:t>
      </w:r>
      <w:proofErr w:type="spellStart"/>
      <w:r w:rsidRPr="008B1280">
        <w:rPr>
          <w:rFonts w:ascii="Arial" w:hAnsi="Arial" w:cs="Arial"/>
          <w:color w:val="000000" w:themeColor="text1"/>
          <w:sz w:val="20"/>
          <w:szCs w:val="20"/>
          <w:bdr w:val="none" w:sz="0" w:space="0" w:color="auto" w:frame="1"/>
        </w:rPr>
        <w:t>Itunu</w:t>
      </w:r>
      <w:proofErr w:type="spellEnd"/>
      <w:r w:rsidRPr="008B1280">
        <w:rPr>
          <w:rFonts w:ascii="Arial" w:hAnsi="Arial" w:cs="Arial"/>
          <w:color w:val="000000" w:themeColor="text1"/>
          <w:sz w:val="20"/>
          <w:szCs w:val="20"/>
          <w:bdr w:val="none" w:sz="0" w:space="0" w:color="auto" w:frame="1"/>
        </w:rPr>
        <w:t xml:space="preserve">, </w:t>
      </w:r>
      <w:proofErr w:type="spellStart"/>
      <w:r w:rsidRPr="008B1280">
        <w:rPr>
          <w:rFonts w:ascii="Arial" w:hAnsi="Arial" w:cs="Arial"/>
          <w:color w:val="000000" w:themeColor="text1"/>
          <w:sz w:val="20"/>
          <w:szCs w:val="20"/>
          <w:bdr w:val="none" w:sz="0" w:space="0" w:color="auto" w:frame="1"/>
        </w:rPr>
        <w:t>Ijokodo</w:t>
      </w:r>
      <w:proofErr w:type="spellEnd"/>
      <w:r w:rsidRPr="008B1280">
        <w:rPr>
          <w:rFonts w:ascii="Arial" w:hAnsi="Arial" w:cs="Arial"/>
          <w:color w:val="000000" w:themeColor="text1"/>
          <w:sz w:val="20"/>
          <w:szCs w:val="20"/>
          <w:bdr w:val="none" w:sz="0" w:space="0" w:color="auto" w:frame="1"/>
        </w:rPr>
        <w:t xml:space="preserve">. Also, from Beere to Gate, Idi-Ape, Bashorun and Lagos-Ibadan Expressway, Secretariat, </w:t>
      </w:r>
      <w:proofErr w:type="spellStart"/>
      <w:r w:rsidRPr="008B1280">
        <w:rPr>
          <w:rFonts w:ascii="Arial" w:hAnsi="Arial" w:cs="Arial"/>
          <w:color w:val="000000" w:themeColor="text1"/>
          <w:sz w:val="20"/>
          <w:szCs w:val="20"/>
          <w:bdr w:val="none" w:sz="0" w:space="0" w:color="auto" w:frame="1"/>
        </w:rPr>
        <w:t>Bodija</w:t>
      </w:r>
      <w:proofErr w:type="spellEnd"/>
      <w:r w:rsidRPr="008B1280">
        <w:rPr>
          <w:rFonts w:ascii="Arial" w:hAnsi="Arial" w:cs="Arial"/>
          <w:color w:val="000000" w:themeColor="text1"/>
          <w:sz w:val="20"/>
          <w:szCs w:val="20"/>
          <w:bdr w:val="none" w:sz="0" w:space="0" w:color="auto" w:frame="1"/>
        </w:rPr>
        <w:t xml:space="preserve">, University of Ibadan and </w:t>
      </w:r>
      <w:proofErr w:type="spellStart"/>
      <w:r w:rsidRPr="008B1280">
        <w:rPr>
          <w:rFonts w:ascii="Arial" w:hAnsi="Arial" w:cs="Arial"/>
          <w:color w:val="000000" w:themeColor="text1"/>
          <w:sz w:val="20"/>
          <w:szCs w:val="20"/>
          <w:bdr w:val="none" w:sz="0" w:space="0" w:color="auto" w:frame="1"/>
        </w:rPr>
        <w:t>Agbowo</w:t>
      </w:r>
      <w:proofErr w:type="spellEnd"/>
      <w:r w:rsidRPr="008B1280">
        <w:rPr>
          <w:rFonts w:ascii="Arial" w:hAnsi="Arial" w:cs="Arial"/>
          <w:color w:val="000000" w:themeColor="text1"/>
          <w:sz w:val="20"/>
          <w:szCs w:val="20"/>
          <w:bdr w:val="none" w:sz="0" w:space="0" w:color="auto" w:frame="1"/>
        </w:rPr>
        <w:t xml:space="preserve"> environs. </w:t>
      </w:r>
    </w:p>
    <w:p w14:paraId="103B4BB2" w14:textId="77777777" w:rsidR="00D26672" w:rsidRPr="008B1280" w:rsidRDefault="00F52B8F">
      <w:pPr>
        <w:spacing w:line="360" w:lineRule="auto"/>
        <w:jc w:val="both"/>
        <w:rPr>
          <w:rFonts w:ascii="Arial" w:hAnsi="Arial" w:cs="Arial"/>
          <w:color w:val="000000" w:themeColor="text1"/>
          <w:bdr w:val="none" w:sz="0" w:space="0" w:color="auto" w:frame="1"/>
        </w:rPr>
      </w:pPr>
      <w:r w:rsidRPr="008B1280">
        <w:rPr>
          <w:rFonts w:ascii="Arial" w:hAnsi="Arial" w:cs="Arial"/>
          <w:color w:val="000000" w:themeColor="text1"/>
          <w:sz w:val="20"/>
          <w:szCs w:val="20"/>
          <w:bdr w:val="none" w:sz="0" w:space="0" w:color="auto" w:frame="1"/>
        </w:rPr>
        <w:t>There are twelve wards and forty-one localities in Ibadan Local Government</w:t>
      </w:r>
      <w:r w:rsidRPr="008B1280">
        <w:rPr>
          <w:rFonts w:ascii="Arial" w:hAnsi="Arial" w:cs="Arial"/>
          <w:color w:val="000000" w:themeColor="text1"/>
          <w:bdr w:val="none" w:sz="0" w:space="0" w:color="auto" w:frame="1"/>
        </w:rPr>
        <w:t>.</w:t>
      </w:r>
    </w:p>
    <w:p w14:paraId="2409C068" w14:textId="25272D00" w:rsidR="004C4CD6" w:rsidRPr="008B1280" w:rsidRDefault="004C4CD6">
      <w:pPr>
        <w:spacing w:line="360" w:lineRule="auto"/>
        <w:jc w:val="both"/>
        <w:rPr>
          <w:rFonts w:ascii="Arial" w:hAnsi="Arial" w:cs="Arial"/>
          <w:color w:val="000000" w:themeColor="text1"/>
          <w:bdr w:val="none" w:sz="0" w:space="0" w:color="auto" w:frame="1"/>
        </w:rPr>
      </w:pPr>
      <w:commentRangeStart w:id="27"/>
      <w:r w:rsidRPr="008B1280">
        <w:rPr>
          <w:rFonts w:ascii="Arial" w:hAnsi="Arial" w:cs="Arial"/>
          <w:noProof/>
          <w:sz w:val="24"/>
          <w:szCs w:val="24"/>
        </w:rPr>
        <w:lastRenderedPageBreak/>
        <w:drawing>
          <wp:inline distT="0" distB="0" distL="0" distR="0" wp14:anchorId="6AF61CF5" wp14:editId="3D425D35">
            <wp:extent cx="5943600" cy="4437380"/>
            <wp:effectExtent l="0" t="0" r="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dn North Map.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4437380"/>
                    </a:xfrm>
                    <a:prstGeom prst="rect">
                      <a:avLst/>
                    </a:prstGeom>
                  </pic:spPr>
                </pic:pic>
              </a:graphicData>
            </a:graphic>
          </wp:inline>
        </w:drawing>
      </w:r>
      <w:commentRangeEnd w:id="27"/>
      <w:r w:rsidR="00BF7EAF">
        <w:rPr>
          <w:rStyle w:val="CommentReference"/>
        </w:rPr>
        <w:commentReference w:id="27"/>
      </w:r>
    </w:p>
    <w:p w14:paraId="6C6F4BB2" w14:textId="77777777" w:rsidR="00FC4D01" w:rsidRPr="00FC4D01" w:rsidRDefault="00FF40C4" w:rsidP="00FC4D01">
      <w:pPr>
        <w:spacing w:line="360" w:lineRule="auto"/>
        <w:jc w:val="both"/>
        <w:rPr>
          <w:rFonts w:ascii="Arial" w:hAnsi="Arial" w:cs="Arial"/>
          <w:b/>
          <w:bCs/>
          <w:color w:val="000000" w:themeColor="text1"/>
        </w:rPr>
      </w:pPr>
      <w:r w:rsidRPr="00A02664">
        <w:rPr>
          <w:rFonts w:ascii="Arial" w:hAnsi="Arial" w:cs="Arial"/>
          <w:color w:val="000000" w:themeColor="text1"/>
          <w:highlight w:val="yellow"/>
        </w:rPr>
        <w:t>Fig 1.</w:t>
      </w:r>
      <w:r w:rsidR="008E3B28" w:rsidRPr="00A02664">
        <w:rPr>
          <w:rFonts w:ascii="Arial" w:hAnsi="Arial" w:cs="Arial"/>
          <w:color w:val="000000" w:themeColor="text1"/>
          <w:highlight w:val="yellow"/>
        </w:rPr>
        <w:t xml:space="preserve"> </w:t>
      </w:r>
      <w:r w:rsidR="00FC4D01" w:rsidRPr="00A02664">
        <w:rPr>
          <w:rFonts w:ascii="Arial" w:hAnsi="Arial" w:cs="Arial"/>
          <w:b/>
          <w:bCs/>
          <w:color w:val="000000" w:themeColor="text1"/>
          <w:highlight w:val="yellow"/>
        </w:rPr>
        <w:t>Geographical Location of Ibadan North Local Government</w:t>
      </w:r>
    </w:p>
    <w:p w14:paraId="4DD3958C" w14:textId="2A7FB931" w:rsidR="00D26672" w:rsidRPr="008B1280" w:rsidRDefault="00FF40C4">
      <w:pPr>
        <w:spacing w:line="360" w:lineRule="auto"/>
        <w:jc w:val="both"/>
        <w:rPr>
          <w:rFonts w:ascii="Arial" w:hAnsi="Arial" w:cs="Arial"/>
          <w:color w:val="000000" w:themeColor="text1"/>
        </w:rPr>
      </w:pPr>
      <w:r>
        <w:rPr>
          <w:rFonts w:ascii="Arial" w:hAnsi="Arial" w:cs="Arial"/>
          <w:color w:val="000000" w:themeColor="text1"/>
        </w:rPr>
        <w:t xml:space="preserve"> </w:t>
      </w:r>
    </w:p>
    <w:p w14:paraId="491D0A4E" w14:textId="77777777" w:rsidR="00D26672" w:rsidRPr="008B1280" w:rsidRDefault="00F52B8F">
      <w:pPr>
        <w:spacing w:line="360" w:lineRule="auto"/>
        <w:jc w:val="both"/>
        <w:rPr>
          <w:rFonts w:ascii="Arial" w:hAnsi="Arial" w:cs="Arial"/>
          <w:color w:val="000000" w:themeColor="text1"/>
        </w:rPr>
      </w:pPr>
      <w:r w:rsidRPr="008B1280">
        <w:rPr>
          <w:rFonts w:ascii="Arial" w:hAnsi="Arial" w:cs="Arial"/>
          <w:b/>
          <w:color w:val="000000" w:themeColor="text1"/>
        </w:rPr>
        <w:t>LITERATURE REVIEW</w:t>
      </w:r>
    </w:p>
    <w:p w14:paraId="7A212222"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 xml:space="preserve">In the recent two decades, the term "housing affordability" has gained popularity, taking the place of "housing need" as the primary discussion point about the provision of suitable housing for everybody. </w:t>
      </w:r>
      <w:commentRangeStart w:id="28"/>
      <w:r w:rsidRPr="008B1280">
        <w:rPr>
          <w:rFonts w:ascii="Arial" w:hAnsi="Arial" w:cs="Arial"/>
          <w:color w:val="000000" w:themeColor="text1"/>
          <w:sz w:val="20"/>
          <w:szCs w:val="20"/>
        </w:rPr>
        <w:fldChar w:fldCharType="begin"/>
      </w:r>
      <w:r w:rsidRPr="008B1280">
        <w:rPr>
          <w:rFonts w:ascii="Arial" w:hAnsi="Arial" w:cs="Arial"/>
          <w:color w:val="000000" w:themeColor="text1"/>
          <w:sz w:val="20"/>
          <w:szCs w:val="20"/>
        </w:rPr>
        <w:instrText xml:space="preserve"> CITATION Whi91 \l 1033 </w:instrText>
      </w:r>
      <w:r w:rsidRPr="008B1280">
        <w:rPr>
          <w:rFonts w:ascii="Arial" w:hAnsi="Arial" w:cs="Arial"/>
          <w:color w:val="000000" w:themeColor="text1"/>
          <w:sz w:val="20"/>
          <w:szCs w:val="20"/>
        </w:rPr>
        <w:fldChar w:fldCharType="separate"/>
      </w:r>
      <w:r w:rsidRPr="008B1280">
        <w:rPr>
          <w:rFonts w:ascii="Arial" w:hAnsi="Arial" w:cs="Arial"/>
          <w:noProof/>
          <w:color w:val="000000" w:themeColor="text1"/>
          <w:sz w:val="20"/>
          <w:szCs w:val="20"/>
        </w:rPr>
        <w:t>(Whitehead, 1991)</w:t>
      </w:r>
      <w:r w:rsidRPr="008B1280">
        <w:rPr>
          <w:rFonts w:ascii="Arial" w:hAnsi="Arial" w:cs="Arial"/>
          <w:color w:val="000000" w:themeColor="text1"/>
          <w:sz w:val="20"/>
          <w:szCs w:val="20"/>
        </w:rPr>
        <w:fldChar w:fldCharType="end"/>
      </w:r>
      <w:commentRangeEnd w:id="28"/>
      <w:r w:rsidR="00BF7EAF">
        <w:rPr>
          <w:rStyle w:val="CommentReference"/>
        </w:rPr>
        <w:commentReference w:id="28"/>
      </w:r>
      <w:r w:rsidRPr="008B1280">
        <w:rPr>
          <w:rFonts w:ascii="Arial" w:hAnsi="Arial" w:cs="Arial"/>
          <w:color w:val="000000" w:themeColor="text1"/>
          <w:sz w:val="20"/>
          <w:szCs w:val="20"/>
        </w:rPr>
        <w:t xml:space="preserve"> This change, according to Fallis (1993), can be linked to the rising adoption of more market-oriented reforms within the housing sector in many nations. As a result, increased concerns about rising levels of “homelessness”, “housing costs”, “difficulties in accessing to credit”, “mortgage defaults” have brought housing affordability to the center of housing policy discourse since the early 1990s. </w:t>
      </w:r>
      <w:commentRangeStart w:id="29"/>
      <w:r w:rsidRPr="008B1280">
        <w:rPr>
          <w:rFonts w:ascii="Arial" w:hAnsi="Arial" w:cs="Arial"/>
          <w:color w:val="000000" w:themeColor="text1"/>
          <w:sz w:val="20"/>
          <w:szCs w:val="20"/>
        </w:rPr>
        <w:fldChar w:fldCharType="begin"/>
      </w:r>
      <w:r w:rsidRPr="008B1280">
        <w:rPr>
          <w:rFonts w:ascii="Arial" w:hAnsi="Arial" w:cs="Arial"/>
          <w:color w:val="000000" w:themeColor="text1"/>
          <w:sz w:val="20"/>
          <w:szCs w:val="20"/>
        </w:rPr>
        <w:instrText xml:space="preserve"> CITATION Swa02 \l 1033 </w:instrText>
      </w:r>
      <w:r w:rsidRPr="008B1280">
        <w:rPr>
          <w:rFonts w:ascii="Arial" w:hAnsi="Arial" w:cs="Arial"/>
          <w:color w:val="000000" w:themeColor="text1"/>
          <w:sz w:val="20"/>
          <w:szCs w:val="20"/>
        </w:rPr>
        <w:fldChar w:fldCharType="separate"/>
      </w:r>
      <w:r w:rsidRPr="008B1280">
        <w:rPr>
          <w:rFonts w:ascii="Arial" w:hAnsi="Arial" w:cs="Arial"/>
          <w:noProof/>
          <w:color w:val="000000" w:themeColor="text1"/>
          <w:sz w:val="20"/>
          <w:szCs w:val="20"/>
        </w:rPr>
        <w:t>(Swartz &amp; Miller, 2002)</w:t>
      </w:r>
      <w:r w:rsidRPr="008B1280">
        <w:rPr>
          <w:rFonts w:ascii="Arial" w:hAnsi="Arial" w:cs="Arial"/>
          <w:color w:val="000000" w:themeColor="text1"/>
          <w:sz w:val="20"/>
          <w:szCs w:val="20"/>
        </w:rPr>
        <w:fldChar w:fldCharType="end"/>
      </w:r>
      <w:r w:rsidRPr="008B1280">
        <w:rPr>
          <w:rFonts w:ascii="Arial" w:hAnsi="Arial" w:cs="Arial"/>
          <w:color w:val="000000" w:themeColor="text1"/>
          <w:sz w:val="20"/>
          <w:szCs w:val="20"/>
        </w:rPr>
        <w:t>.</w:t>
      </w:r>
      <w:commentRangeEnd w:id="29"/>
      <w:r w:rsidR="00BF7EAF">
        <w:rPr>
          <w:rStyle w:val="CommentReference"/>
        </w:rPr>
        <w:commentReference w:id="29"/>
      </w:r>
      <w:r w:rsidRPr="008B1280">
        <w:rPr>
          <w:rFonts w:ascii="Arial" w:hAnsi="Arial" w:cs="Arial"/>
          <w:color w:val="000000" w:themeColor="text1"/>
          <w:sz w:val="20"/>
          <w:szCs w:val="20"/>
        </w:rPr>
        <w:t xml:space="preserve"> The amount of research on affordable housing is substantial. According to </w:t>
      </w:r>
      <w:proofErr w:type="spellStart"/>
      <w:r w:rsidRPr="008B1280">
        <w:rPr>
          <w:rFonts w:ascii="Arial" w:hAnsi="Arial" w:cs="Arial"/>
          <w:color w:val="000000" w:themeColor="text1"/>
          <w:sz w:val="20"/>
          <w:szCs w:val="20"/>
        </w:rPr>
        <w:t>Ndubueze</w:t>
      </w:r>
      <w:proofErr w:type="spellEnd"/>
      <w:r w:rsidRPr="008B1280">
        <w:rPr>
          <w:rFonts w:ascii="Arial" w:hAnsi="Arial" w:cs="Arial"/>
          <w:color w:val="000000" w:themeColor="text1"/>
          <w:sz w:val="20"/>
          <w:szCs w:val="20"/>
        </w:rPr>
        <w:t xml:space="preserve"> (2009), housing affordability is simply the capacity to afford a place to live. Housing is considered to be affordable if "the housing cost is less than or equal to 30% of gross income", according to a relatively broad definition of the term in literature. </w:t>
      </w:r>
    </w:p>
    <w:p w14:paraId="64275D59"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lastRenderedPageBreak/>
        <w:t xml:space="preserve">According to Stone </w:t>
      </w:r>
      <w:commentRangeStart w:id="30"/>
      <w:r w:rsidRPr="008B1280">
        <w:rPr>
          <w:rFonts w:ascii="Arial" w:hAnsi="Arial" w:cs="Arial"/>
          <w:color w:val="000000" w:themeColor="text1"/>
          <w:sz w:val="20"/>
          <w:szCs w:val="20"/>
        </w:rPr>
        <w:t>(2006)</w:t>
      </w:r>
      <w:commentRangeEnd w:id="30"/>
      <w:r w:rsidR="00BF7EAF">
        <w:rPr>
          <w:rStyle w:val="CommentReference"/>
        </w:rPr>
        <w:commentReference w:id="30"/>
      </w:r>
      <w:r w:rsidRPr="008B1280">
        <w:rPr>
          <w:rFonts w:ascii="Arial" w:hAnsi="Arial" w:cs="Arial"/>
          <w:color w:val="000000" w:themeColor="text1"/>
          <w:sz w:val="20"/>
          <w:szCs w:val="20"/>
        </w:rPr>
        <w:t xml:space="preserve">, it might be challenging for households to balance their costs when their income is limited. Additionally, he describes housing as "an expression of the social and material experiences of people constituted as households." Affordability is defined by Gan and Hill </w:t>
      </w:r>
      <w:commentRangeStart w:id="31"/>
      <w:r w:rsidRPr="008B1280">
        <w:rPr>
          <w:rFonts w:ascii="Arial" w:hAnsi="Arial" w:cs="Arial"/>
          <w:color w:val="000000" w:themeColor="text1"/>
          <w:sz w:val="20"/>
          <w:szCs w:val="20"/>
        </w:rPr>
        <w:t xml:space="preserve">(2009) </w:t>
      </w:r>
      <w:commentRangeEnd w:id="31"/>
      <w:r w:rsidR="00BF7EAF">
        <w:rPr>
          <w:rStyle w:val="CommentReference"/>
        </w:rPr>
        <w:commentReference w:id="31"/>
      </w:r>
      <w:r w:rsidRPr="008B1280">
        <w:rPr>
          <w:rFonts w:ascii="Arial" w:hAnsi="Arial" w:cs="Arial"/>
          <w:color w:val="000000" w:themeColor="text1"/>
          <w:sz w:val="20"/>
          <w:szCs w:val="20"/>
        </w:rPr>
        <w:t xml:space="preserve">as "the ratio of the median house price to the median income". According to Milligan et al., (2004), cheap housing is typically created to "meet the needs of households whose incomes are not enough to let them access convenient housing in the market without assistance". Hancock, </w:t>
      </w:r>
      <w:commentRangeStart w:id="32"/>
      <w:r w:rsidRPr="008B1280">
        <w:rPr>
          <w:rFonts w:ascii="Arial" w:hAnsi="Arial" w:cs="Arial"/>
          <w:color w:val="000000" w:themeColor="text1"/>
          <w:sz w:val="20"/>
          <w:szCs w:val="20"/>
        </w:rPr>
        <w:t>(1993)</w:t>
      </w:r>
      <w:commentRangeEnd w:id="32"/>
      <w:r w:rsidR="00BF7EAF">
        <w:rPr>
          <w:rStyle w:val="CommentReference"/>
        </w:rPr>
        <w:commentReference w:id="32"/>
      </w:r>
      <w:r w:rsidRPr="008B1280">
        <w:rPr>
          <w:rFonts w:ascii="Arial" w:hAnsi="Arial" w:cs="Arial"/>
          <w:color w:val="000000" w:themeColor="text1"/>
          <w:sz w:val="20"/>
          <w:szCs w:val="20"/>
        </w:rPr>
        <w:t xml:space="preserve">, who approaches the issue from a different perspective, states that a cheap rent is one that "leaves the consumer with socially acceptable standards of both housing and non-housing consumption after rent is paid." According to Bramley, </w:t>
      </w:r>
      <w:commentRangeStart w:id="33"/>
      <w:r w:rsidRPr="008B1280">
        <w:rPr>
          <w:rFonts w:ascii="Arial" w:hAnsi="Arial" w:cs="Arial"/>
          <w:color w:val="000000" w:themeColor="text1"/>
          <w:sz w:val="20"/>
          <w:szCs w:val="20"/>
        </w:rPr>
        <w:t>(1990)</w:t>
      </w:r>
      <w:commentRangeEnd w:id="33"/>
      <w:r w:rsidR="00BF7EAF">
        <w:rPr>
          <w:rStyle w:val="CommentReference"/>
        </w:rPr>
        <w:commentReference w:id="33"/>
      </w:r>
      <w:r w:rsidRPr="008B1280">
        <w:rPr>
          <w:rFonts w:ascii="Arial" w:hAnsi="Arial" w:cs="Arial"/>
          <w:color w:val="000000" w:themeColor="text1"/>
          <w:sz w:val="20"/>
          <w:szCs w:val="20"/>
        </w:rPr>
        <w:t>, an affordable housing is one that "households should be able to occupy at a net rent that leaves them enough income to live on without falling below some poverty standard" given the nature and size of their household and well-established social sector norms of adequacy.</w:t>
      </w:r>
    </w:p>
    <w:p w14:paraId="553507DB" w14:textId="77777777" w:rsidR="00D26672" w:rsidRPr="008B1280" w:rsidRDefault="00F52B8F">
      <w:pPr>
        <w:spacing w:line="360" w:lineRule="auto"/>
        <w:jc w:val="both"/>
        <w:rPr>
          <w:rFonts w:ascii="Arial" w:hAnsi="Arial" w:cs="Arial"/>
          <w:b/>
          <w:bCs/>
          <w:i/>
          <w:color w:val="000000" w:themeColor="text1"/>
        </w:rPr>
      </w:pPr>
      <w:bookmarkStart w:id="34" w:name="_Toc151638206"/>
      <w:bookmarkStart w:id="35" w:name="_Toc151636303"/>
      <w:r w:rsidRPr="008B1280">
        <w:rPr>
          <w:rFonts w:ascii="Arial" w:hAnsi="Arial" w:cs="Arial"/>
          <w:b/>
          <w:bCs/>
          <w:i/>
          <w:color w:val="000000" w:themeColor="text1"/>
        </w:rPr>
        <w:t>Housing Delivery and Finance</w:t>
      </w:r>
      <w:bookmarkEnd w:id="34"/>
      <w:bookmarkEnd w:id="35"/>
    </w:p>
    <w:p w14:paraId="6E7B454E"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 xml:space="preserve">The Nigerian housing finance market is divided between formal and informal sectors. The two categories that make up the formal sub-division are the higher-income groups, whose businesses are concentrated in metropolitan areas, and the lower-income groups, who rely on the subsidized NHTF to acquire housing. According to Okonkwo </w:t>
      </w:r>
      <w:commentRangeStart w:id="36"/>
      <w:r w:rsidRPr="008B1280">
        <w:rPr>
          <w:rFonts w:ascii="Arial" w:hAnsi="Arial" w:cs="Arial"/>
          <w:color w:val="000000" w:themeColor="text1"/>
          <w:sz w:val="20"/>
          <w:szCs w:val="20"/>
        </w:rPr>
        <w:t xml:space="preserve">(1999) and </w:t>
      </w:r>
      <w:proofErr w:type="spellStart"/>
      <w:r w:rsidRPr="008B1280">
        <w:rPr>
          <w:rFonts w:ascii="Arial" w:hAnsi="Arial" w:cs="Arial"/>
          <w:color w:val="000000" w:themeColor="text1"/>
          <w:sz w:val="20"/>
          <w:szCs w:val="20"/>
        </w:rPr>
        <w:t>Bichi</w:t>
      </w:r>
      <w:proofErr w:type="spellEnd"/>
      <w:r w:rsidRPr="008B1280">
        <w:rPr>
          <w:rFonts w:ascii="Arial" w:hAnsi="Arial" w:cs="Arial"/>
          <w:color w:val="000000" w:themeColor="text1"/>
          <w:sz w:val="20"/>
          <w:szCs w:val="20"/>
        </w:rPr>
        <w:t xml:space="preserve"> (1997)</w:t>
      </w:r>
      <w:commentRangeEnd w:id="36"/>
      <w:r w:rsidR="00BF7EAF">
        <w:rPr>
          <w:rStyle w:val="CommentReference"/>
        </w:rPr>
        <w:commentReference w:id="36"/>
      </w:r>
      <w:r w:rsidRPr="008B1280">
        <w:rPr>
          <w:rFonts w:ascii="Arial" w:hAnsi="Arial" w:cs="Arial"/>
          <w:color w:val="000000" w:themeColor="text1"/>
          <w:sz w:val="20"/>
          <w:szCs w:val="20"/>
        </w:rPr>
        <w:t>, the informal sector includes credit cooperatives, individual and family savings, and rotating savings and loan associations. The environment for mortgage lending is challenging for a number of reasons, including the lack of distinct property and security rights, the requirement for governor assent, high interest rates, and insufficient long-term funding sources. In general, there are signs of declining activity in the housing finance sector. For example, the average GDP share invested in housing fell from 3.6% in the 1970s to less than 1.7% in the 1990s.</w:t>
      </w:r>
    </w:p>
    <w:p w14:paraId="0A1EBEFF" w14:textId="77777777" w:rsidR="00D26672" w:rsidRPr="008B1280" w:rsidRDefault="00F52B8F">
      <w:pPr>
        <w:spacing w:line="360" w:lineRule="auto"/>
        <w:jc w:val="both"/>
        <w:rPr>
          <w:rFonts w:ascii="Arial" w:hAnsi="Arial" w:cs="Arial"/>
          <w:b/>
          <w:bCs/>
          <w:i/>
          <w:color w:val="000000" w:themeColor="text1"/>
        </w:rPr>
      </w:pPr>
      <w:bookmarkStart w:id="37" w:name="_Toc151638207"/>
      <w:bookmarkStart w:id="38" w:name="_Toc151636304"/>
      <w:r w:rsidRPr="008B1280">
        <w:rPr>
          <w:rFonts w:ascii="Arial" w:hAnsi="Arial" w:cs="Arial"/>
          <w:b/>
          <w:bCs/>
          <w:i/>
          <w:color w:val="000000" w:themeColor="text1"/>
        </w:rPr>
        <w:t>Housing Delivery Approach</w:t>
      </w:r>
      <w:bookmarkEnd w:id="37"/>
      <w:bookmarkEnd w:id="38"/>
    </w:p>
    <w:p w14:paraId="5891E147" w14:textId="41D6791B"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 xml:space="preserve">The Federal Ministry of Housing and Urban Development was also established by the federal government in 2003, and a housing reform was also suggested in light of the dearth of affordable homes in Nigeria. There was a false impression that there were vacant homes. But the majority of them were expensive. Legislation must be significantly changed in order to align its provisions with the new housing regime. The goal of these reviews is to cut red tape and make sure that various laws are in line with the needs of a strong, free market economy </w:t>
      </w:r>
      <w:commentRangeStart w:id="39"/>
      <w:r w:rsidRPr="008B1280">
        <w:rPr>
          <w:rFonts w:ascii="Arial" w:hAnsi="Arial" w:cs="Arial"/>
          <w:color w:val="000000" w:themeColor="text1"/>
          <w:sz w:val="20"/>
          <w:szCs w:val="20"/>
        </w:rPr>
        <w:t>(</w:t>
      </w:r>
      <w:proofErr w:type="spellStart"/>
      <w:r w:rsidRPr="008B1280">
        <w:rPr>
          <w:rFonts w:ascii="Arial" w:hAnsi="Arial" w:cs="Arial"/>
          <w:color w:val="000000" w:themeColor="text1"/>
          <w:sz w:val="20"/>
          <w:szCs w:val="20"/>
        </w:rPr>
        <w:t>Mabogunje</w:t>
      </w:r>
      <w:proofErr w:type="spellEnd"/>
      <w:r w:rsidRPr="008B1280">
        <w:rPr>
          <w:rFonts w:ascii="Arial" w:hAnsi="Arial" w:cs="Arial"/>
          <w:color w:val="000000" w:themeColor="text1"/>
          <w:sz w:val="20"/>
          <w:szCs w:val="20"/>
        </w:rPr>
        <w:t xml:space="preserve"> 2004). </w:t>
      </w:r>
      <w:commentRangeEnd w:id="39"/>
      <w:r w:rsidR="000C71A2">
        <w:rPr>
          <w:rStyle w:val="CommentReference"/>
        </w:rPr>
        <w:commentReference w:id="39"/>
      </w:r>
      <w:r w:rsidRPr="008B1280">
        <w:rPr>
          <w:rFonts w:ascii="Arial" w:hAnsi="Arial" w:cs="Arial"/>
          <w:color w:val="000000" w:themeColor="text1"/>
          <w:sz w:val="20"/>
          <w:szCs w:val="20"/>
        </w:rPr>
        <w:t>During the years 2003 to 2004, a housing policy was implemented that put the private sector in the forefront of the nation's housing delivery. The main components of this policy are the following: the government is given the responsibility for building the essential infrastruc</w:t>
      </w:r>
      <w:r w:rsidR="0092014C" w:rsidRPr="008B1280">
        <w:rPr>
          <w:rFonts w:ascii="Arial" w:hAnsi="Arial" w:cs="Arial"/>
          <w:color w:val="000000" w:themeColor="text1"/>
          <w:sz w:val="20"/>
          <w:szCs w:val="20"/>
        </w:rPr>
        <w:t xml:space="preserve">ture for new estate development. It is a known fact that housing </w:t>
      </w:r>
      <w:commentRangeStart w:id="40"/>
      <w:r w:rsidR="0092014C" w:rsidRPr="008B1280">
        <w:rPr>
          <w:rFonts w:ascii="Arial" w:hAnsi="Arial" w:cs="Arial"/>
          <w:color w:val="000000" w:themeColor="text1"/>
          <w:sz w:val="20"/>
          <w:szCs w:val="20"/>
        </w:rPr>
        <w:t>constitute</w:t>
      </w:r>
      <w:commentRangeEnd w:id="40"/>
      <w:r w:rsidR="000C71A2">
        <w:rPr>
          <w:rStyle w:val="CommentReference"/>
        </w:rPr>
        <w:commentReference w:id="40"/>
      </w:r>
      <w:r w:rsidR="0092014C" w:rsidRPr="008B1280">
        <w:rPr>
          <w:rFonts w:ascii="Arial" w:hAnsi="Arial" w:cs="Arial"/>
          <w:color w:val="000000" w:themeColor="text1"/>
          <w:sz w:val="20"/>
          <w:szCs w:val="20"/>
        </w:rPr>
        <w:t xml:space="preserve"> an integral part of infrastructure development. Studies on infrastructure have been undertaken by Jimoh and </w:t>
      </w:r>
      <w:proofErr w:type="spellStart"/>
      <w:r w:rsidR="0092014C" w:rsidRPr="008B1280">
        <w:rPr>
          <w:rFonts w:ascii="Arial" w:hAnsi="Arial" w:cs="Arial"/>
          <w:color w:val="000000" w:themeColor="text1"/>
          <w:sz w:val="20"/>
          <w:szCs w:val="20"/>
        </w:rPr>
        <w:t>Oparinde</w:t>
      </w:r>
      <w:proofErr w:type="spellEnd"/>
      <w:r w:rsidR="0092014C" w:rsidRPr="008B1280">
        <w:rPr>
          <w:rFonts w:ascii="Arial" w:hAnsi="Arial" w:cs="Arial"/>
          <w:color w:val="000000" w:themeColor="text1"/>
          <w:sz w:val="20"/>
          <w:szCs w:val="20"/>
        </w:rPr>
        <w:t xml:space="preserve"> (2015), Jimoh and Wahab </w:t>
      </w:r>
      <w:r w:rsidR="0084231B" w:rsidRPr="008B1280">
        <w:rPr>
          <w:rFonts w:ascii="Arial" w:hAnsi="Arial" w:cs="Arial"/>
          <w:color w:val="000000" w:themeColor="text1"/>
          <w:sz w:val="20"/>
          <w:szCs w:val="20"/>
        </w:rPr>
        <w:t>(</w:t>
      </w:r>
      <w:r w:rsidR="0092014C" w:rsidRPr="008B1280">
        <w:rPr>
          <w:rFonts w:ascii="Arial" w:hAnsi="Arial" w:cs="Arial"/>
          <w:color w:val="000000" w:themeColor="text1"/>
          <w:sz w:val="20"/>
          <w:szCs w:val="20"/>
        </w:rPr>
        <w:t>2016</w:t>
      </w:r>
      <w:r w:rsidR="0084231B" w:rsidRPr="008B1280">
        <w:rPr>
          <w:rFonts w:ascii="Arial" w:hAnsi="Arial" w:cs="Arial"/>
          <w:color w:val="000000" w:themeColor="text1"/>
          <w:sz w:val="20"/>
          <w:szCs w:val="20"/>
        </w:rPr>
        <w:t>)</w:t>
      </w:r>
      <w:r w:rsidR="0092014C" w:rsidRPr="008B1280">
        <w:rPr>
          <w:rFonts w:ascii="Arial" w:hAnsi="Arial" w:cs="Arial"/>
          <w:color w:val="000000" w:themeColor="text1"/>
          <w:sz w:val="20"/>
          <w:szCs w:val="20"/>
        </w:rPr>
        <w:t xml:space="preserve">, Jimoh </w:t>
      </w:r>
      <w:r w:rsidR="0084231B" w:rsidRPr="008B1280">
        <w:rPr>
          <w:rFonts w:ascii="Arial" w:hAnsi="Arial" w:cs="Arial"/>
          <w:color w:val="000000" w:themeColor="text1"/>
          <w:sz w:val="20"/>
          <w:szCs w:val="20"/>
        </w:rPr>
        <w:t>(</w:t>
      </w:r>
      <w:r w:rsidR="0092014C" w:rsidRPr="008B1280">
        <w:rPr>
          <w:rFonts w:ascii="Arial" w:hAnsi="Arial" w:cs="Arial"/>
          <w:color w:val="000000" w:themeColor="text1"/>
          <w:sz w:val="20"/>
          <w:szCs w:val="20"/>
        </w:rPr>
        <w:t>2022</w:t>
      </w:r>
      <w:r w:rsidR="0084231B" w:rsidRPr="008B1280">
        <w:rPr>
          <w:rFonts w:ascii="Arial" w:hAnsi="Arial" w:cs="Arial"/>
          <w:color w:val="000000" w:themeColor="text1"/>
          <w:sz w:val="20"/>
          <w:szCs w:val="20"/>
        </w:rPr>
        <w:t>)</w:t>
      </w:r>
      <w:r w:rsidR="0092014C" w:rsidRPr="008B1280">
        <w:rPr>
          <w:rFonts w:ascii="Arial" w:hAnsi="Arial" w:cs="Arial"/>
          <w:color w:val="000000" w:themeColor="text1"/>
          <w:sz w:val="20"/>
          <w:szCs w:val="20"/>
        </w:rPr>
        <w:t xml:space="preserve">, Jimoh and </w:t>
      </w:r>
      <w:proofErr w:type="spellStart"/>
      <w:r w:rsidR="0092014C" w:rsidRPr="008B1280">
        <w:rPr>
          <w:rFonts w:ascii="Arial" w:hAnsi="Arial" w:cs="Arial"/>
          <w:color w:val="000000" w:themeColor="text1"/>
          <w:sz w:val="20"/>
          <w:szCs w:val="20"/>
        </w:rPr>
        <w:t>Famewo</w:t>
      </w:r>
      <w:proofErr w:type="spellEnd"/>
      <w:r w:rsidR="0092014C" w:rsidRPr="008B1280">
        <w:rPr>
          <w:rFonts w:ascii="Arial" w:hAnsi="Arial" w:cs="Arial"/>
          <w:color w:val="000000" w:themeColor="text1"/>
          <w:sz w:val="20"/>
          <w:szCs w:val="20"/>
        </w:rPr>
        <w:t xml:space="preserve"> </w:t>
      </w:r>
      <w:r w:rsidR="0084231B" w:rsidRPr="008B1280">
        <w:rPr>
          <w:rFonts w:ascii="Arial" w:hAnsi="Arial" w:cs="Arial"/>
          <w:color w:val="000000" w:themeColor="text1"/>
          <w:sz w:val="20"/>
          <w:szCs w:val="20"/>
        </w:rPr>
        <w:t>(</w:t>
      </w:r>
      <w:r w:rsidR="0092014C" w:rsidRPr="008B1280">
        <w:rPr>
          <w:rFonts w:ascii="Arial" w:hAnsi="Arial" w:cs="Arial"/>
          <w:color w:val="000000" w:themeColor="text1"/>
          <w:sz w:val="20"/>
          <w:szCs w:val="20"/>
        </w:rPr>
        <w:t>2022</w:t>
      </w:r>
      <w:r w:rsidR="0084231B" w:rsidRPr="008B1280">
        <w:rPr>
          <w:rFonts w:ascii="Arial" w:hAnsi="Arial" w:cs="Arial"/>
          <w:color w:val="000000" w:themeColor="text1"/>
          <w:sz w:val="20"/>
          <w:szCs w:val="20"/>
        </w:rPr>
        <w:t>)</w:t>
      </w:r>
      <w:r w:rsidR="0092014C" w:rsidRPr="008B1280">
        <w:rPr>
          <w:rFonts w:ascii="Arial" w:hAnsi="Arial" w:cs="Arial"/>
          <w:color w:val="000000" w:themeColor="text1"/>
          <w:sz w:val="20"/>
          <w:szCs w:val="20"/>
        </w:rPr>
        <w:t xml:space="preserve">, Jimoh and Abdullahi </w:t>
      </w:r>
      <w:r w:rsidR="0084231B" w:rsidRPr="008B1280">
        <w:rPr>
          <w:rFonts w:ascii="Arial" w:hAnsi="Arial" w:cs="Arial"/>
          <w:color w:val="000000" w:themeColor="text1"/>
          <w:sz w:val="20"/>
          <w:szCs w:val="20"/>
        </w:rPr>
        <w:t>(</w:t>
      </w:r>
      <w:r w:rsidR="0092014C" w:rsidRPr="008B1280">
        <w:rPr>
          <w:rFonts w:ascii="Arial" w:hAnsi="Arial" w:cs="Arial"/>
          <w:color w:val="000000" w:themeColor="text1"/>
          <w:sz w:val="20"/>
          <w:szCs w:val="20"/>
        </w:rPr>
        <w:t>2022</w:t>
      </w:r>
      <w:r w:rsidR="0084231B" w:rsidRPr="008B1280">
        <w:rPr>
          <w:rFonts w:ascii="Arial" w:hAnsi="Arial" w:cs="Arial"/>
          <w:color w:val="000000" w:themeColor="text1"/>
          <w:sz w:val="20"/>
          <w:szCs w:val="20"/>
        </w:rPr>
        <w:t>)</w:t>
      </w:r>
      <w:r w:rsidR="0092014C" w:rsidRPr="008B1280">
        <w:rPr>
          <w:rFonts w:ascii="Arial" w:hAnsi="Arial" w:cs="Arial"/>
          <w:color w:val="000000" w:themeColor="text1"/>
          <w:sz w:val="20"/>
          <w:szCs w:val="20"/>
        </w:rPr>
        <w:t xml:space="preserve">, Jimoh and Balogun </w:t>
      </w:r>
      <w:r w:rsidR="0084231B" w:rsidRPr="008B1280">
        <w:rPr>
          <w:rFonts w:ascii="Arial" w:hAnsi="Arial" w:cs="Arial"/>
          <w:color w:val="000000" w:themeColor="text1"/>
          <w:sz w:val="20"/>
          <w:szCs w:val="20"/>
        </w:rPr>
        <w:t>(</w:t>
      </w:r>
      <w:r w:rsidR="0092014C" w:rsidRPr="008B1280">
        <w:rPr>
          <w:rFonts w:ascii="Arial" w:hAnsi="Arial" w:cs="Arial"/>
          <w:color w:val="000000" w:themeColor="text1"/>
          <w:sz w:val="20"/>
          <w:szCs w:val="20"/>
        </w:rPr>
        <w:t>2022</w:t>
      </w:r>
      <w:r w:rsidR="0084231B" w:rsidRPr="008B1280">
        <w:rPr>
          <w:rFonts w:ascii="Arial" w:hAnsi="Arial" w:cs="Arial"/>
          <w:color w:val="000000" w:themeColor="text1"/>
          <w:sz w:val="20"/>
          <w:szCs w:val="20"/>
        </w:rPr>
        <w:t>)</w:t>
      </w:r>
      <w:r w:rsidR="0092014C" w:rsidRPr="008B1280">
        <w:rPr>
          <w:rFonts w:ascii="Arial" w:hAnsi="Arial" w:cs="Arial"/>
          <w:color w:val="000000" w:themeColor="text1"/>
          <w:sz w:val="20"/>
          <w:szCs w:val="20"/>
        </w:rPr>
        <w:t xml:space="preserve">, Jimoh </w:t>
      </w:r>
      <w:r w:rsidR="0084231B" w:rsidRPr="008B1280">
        <w:rPr>
          <w:rFonts w:ascii="Arial" w:hAnsi="Arial" w:cs="Arial"/>
          <w:color w:val="000000" w:themeColor="text1"/>
          <w:sz w:val="20"/>
          <w:szCs w:val="20"/>
        </w:rPr>
        <w:t>(</w:t>
      </w:r>
      <w:r w:rsidR="0092014C" w:rsidRPr="008B1280">
        <w:rPr>
          <w:rFonts w:ascii="Arial" w:hAnsi="Arial" w:cs="Arial"/>
          <w:color w:val="000000" w:themeColor="text1"/>
          <w:sz w:val="20"/>
          <w:szCs w:val="20"/>
        </w:rPr>
        <w:t>2018</w:t>
      </w:r>
      <w:r w:rsidR="0084231B" w:rsidRPr="008B1280">
        <w:rPr>
          <w:rFonts w:ascii="Arial" w:hAnsi="Arial" w:cs="Arial"/>
          <w:color w:val="000000" w:themeColor="text1"/>
          <w:sz w:val="20"/>
          <w:szCs w:val="20"/>
        </w:rPr>
        <w:t>)</w:t>
      </w:r>
      <w:r w:rsidR="0092014C" w:rsidRPr="008B1280">
        <w:rPr>
          <w:rFonts w:ascii="Arial" w:hAnsi="Arial" w:cs="Arial"/>
          <w:color w:val="000000" w:themeColor="text1"/>
          <w:sz w:val="20"/>
          <w:szCs w:val="20"/>
        </w:rPr>
        <w:t xml:space="preserve">, Jimoh </w:t>
      </w:r>
      <w:r w:rsidR="0084231B" w:rsidRPr="008B1280">
        <w:rPr>
          <w:rFonts w:ascii="Arial" w:hAnsi="Arial" w:cs="Arial"/>
          <w:color w:val="000000" w:themeColor="text1"/>
          <w:sz w:val="20"/>
          <w:szCs w:val="20"/>
        </w:rPr>
        <w:t>(</w:t>
      </w:r>
      <w:r w:rsidR="0092014C" w:rsidRPr="008B1280">
        <w:rPr>
          <w:rFonts w:ascii="Arial" w:hAnsi="Arial" w:cs="Arial"/>
          <w:color w:val="000000" w:themeColor="text1"/>
          <w:sz w:val="20"/>
          <w:szCs w:val="20"/>
        </w:rPr>
        <w:t>2021</w:t>
      </w:r>
      <w:r w:rsidR="0084231B" w:rsidRPr="008B1280">
        <w:rPr>
          <w:rFonts w:ascii="Arial" w:hAnsi="Arial" w:cs="Arial"/>
          <w:color w:val="000000" w:themeColor="text1"/>
          <w:sz w:val="20"/>
          <w:szCs w:val="20"/>
        </w:rPr>
        <w:t xml:space="preserve">). </w:t>
      </w:r>
      <w:r w:rsidRPr="008B1280">
        <w:rPr>
          <w:rFonts w:ascii="Arial" w:hAnsi="Arial" w:cs="Arial"/>
          <w:color w:val="000000" w:themeColor="text1"/>
          <w:sz w:val="20"/>
          <w:szCs w:val="20"/>
        </w:rPr>
        <w:t xml:space="preserve"> </w:t>
      </w:r>
      <w:r w:rsidR="0092014C" w:rsidRPr="008B1280">
        <w:rPr>
          <w:rFonts w:ascii="Arial" w:hAnsi="Arial" w:cs="Arial"/>
          <w:color w:val="000000" w:themeColor="text1"/>
          <w:sz w:val="20"/>
          <w:szCs w:val="20"/>
        </w:rPr>
        <w:t xml:space="preserve">In line with this infrastructural development, </w:t>
      </w:r>
      <w:r w:rsidRPr="008B1280">
        <w:rPr>
          <w:rFonts w:ascii="Arial" w:hAnsi="Arial" w:cs="Arial"/>
          <w:color w:val="000000" w:themeColor="text1"/>
          <w:sz w:val="20"/>
          <w:szCs w:val="20"/>
        </w:rPr>
        <w:t xml:space="preserve">the Land Use Act is being reviewed for possible amendment; and the private sector is given a key role in the </w:t>
      </w:r>
      <w:r w:rsidRPr="008B1280">
        <w:rPr>
          <w:rFonts w:ascii="Arial" w:hAnsi="Arial" w:cs="Arial"/>
          <w:color w:val="000000" w:themeColor="text1"/>
          <w:sz w:val="20"/>
          <w:szCs w:val="20"/>
        </w:rPr>
        <w:lastRenderedPageBreak/>
        <w:t>delivery of affordable homes on a sustainable basis. Others include the creation of a new mortgage regime under the NHF to enable more benevolent financing conditions and a five-year tax vacation for developers, the development of a secondary mortgage market involving the FMBN, and the construction of a new mortgage regime.</w:t>
      </w:r>
    </w:p>
    <w:p w14:paraId="6F7C33D0" w14:textId="77777777" w:rsidR="00D26672" w:rsidRPr="008B1280" w:rsidRDefault="00F52B8F">
      <w:pPr>
        <w:spacing w:line="360" w:lineRule="auto"/>
        <w:jc w:val="both"/>
        <w:rPr>
          <w:rFonts w:ascii="Arial" w:hAnsi="Arial" w:cs="Arial"/>
          <w:b/>
          <w:bCs/>
          <w:i/>
          <w:color w:val="000000" w:themeColor="text1"/>
        </w:rPr>
      </w:pPr>
      <w:bookmarkStart w:id="41" w:name="_Toc151638208"/>
      <w:bookmarkStart w:id="42" w:name="_Toc151636305"/>
      <w:r w:rsidRPr="008B1280">
        <w:rPr>
          <w:rFonts w:ascii="Arial" w:hAnsi="Arial" w:cs="Arial"/>
          <w:b/>
          <w:bCs/>
          <w:i/>
          <w:color w:val="000000" w:themeColor="text1"/>
        </w:rPr>
        <w:t>Affordable housing scheme</w:t>
      </w:r>
      <w:bookmarkEnd w:id="41"/>
      <w:bookmarkEnd w:id="42"/>
    </w:p>
    <w:p w14:paraId="7B5C474B" w14:textId="7764EAD1" w:rsidR="00CA1307" w:rsidRPr="008B1280" w:rsidRDefault="00F52B8F" w:rsidP="008B1280">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 xml:space="preserve">Numerous public-private partnership (PPP) programs that provide affordable housing are either wholly supported by the government or jointly funded by the government. In other situations, the government granted a concession to a particular developer in an effort to provide cheap housing, like in the Federal Capital Territory. The private finance initiative (PFI) was added to these efforts as a complement. Jubril (2009) argued further that 87% of the existing stocks are backlogs, which are stocks that do not meet the minimum quality requirement </w:t>
      </w:r>
      <w:commentRangeStart w:id="43"/>
      <w:r w:rsidRPr="008B1280">
        <w:rPr>
          <w:rFonts w:ascii="Arial" w:hAnsi="Arial" w:cs="Arial"/>
          <w:color w:val="000000" w:themeColor="text1"/>
          <w:sz w:val="20"/>
          <w:szCs w:val="20"/>
        </w:rPr>
        <w:t>(Daramola 2004),</w:t>
      </w:r>
      <w:commentRangeEnd w:id="43"/>
      <w:r w:rsidR="000C71A2">
        <w:rPr>
          <w:rStyle w:val="CommentReference"/>
        </w:rPr>
        <w:commentReference w:id="43"/>
      </w:r>
      <w:r w:rsidRPr="008B1280">
        <w:rPr>
          <w:rFonts w:ascii="Arial" w:hAnsi="Arial" w:cs="Arial"/>
          <w:color w:val="000000" w:themeColor="text1"/>
          <w:sz w:val="20"/>
          <w:szCs w:val="20"/>
        </w:rPr>
        <w:t xml:space="preserve"> despite the fact that the quality of the existing stock is also being heavily scrutinized in terms of design and desired functions, including acceptable livable neighborhoods. </w:t>
      </w:r>
    </w:p>
    <w:p w14:paraId="4B7E8C18" w14:textId="5693B38F" w:rsidR="00D26672" w:rsidRPr="008B1280" w:rsidRDefault="00F52B8F">
      <w:pPr>
        <w:spacing w:line="360" w:lineRule="auto"/>
        <w:rPr>
          <w:rFonts w:ascii="Arial" w:hAnsi="Arial" w:cs="Arial"/>
          <w:b/>
          <w:color w:val="000000" w:themeColor="text1"/>
        </w:rPr>
      </w:pPr>
      <w:r w:rsidRPr="008B1280">
        <w:rPr>
          <w:rFonts w:ascii="Arial" w:hAnsi="Arial" w:cs="Arial"/>
          <w:b/>
          <w:color w:val="000000" w:themeColor="text1"/>
        </w:rPr>
        <w:t>RESEARCH METHODOLOGY</w:t>
      </w:r>
    </w:p>
    <w:p w14:paraId="286A4318" w14:textId="34DE7E75" w:rsidR="0093061B" w:rsidRPr="008B1280" w:rsidRDefault="0093061B">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 xml:space="preserve">A cross survey research design was adopted for the study. Both primary and secondary data were sourced. </w:t>
      </w:r>
      <w:commentRangeStart w:id="44"/>
      <w:r w:rsidRPr="008B1280">
        <w:rPr>
          <w:rFonts w:ascii="Arial" w:hAnsi="Arial" w:cs="Arial"/>
          <w:color w:val="000000" w:themeColor="text1"/>
          <w:sz w:val="20"/>
          <w:szCs w:val="20"/>
        </w:rPr>
        <w:t xml:space="preserve">Using a purposive multi </w:t>
      </w:r>
      <w:r w:rsidR="008B1280" w:rsidRPr="008B1280">
        <w:rPr>
          <w:rFonts w:ascii="Arial" w:hAnsi="Arial" w:cs="Arial"/>
          <w:color w:val="000000" w:themeColor="text1"/>
          <w:sz w:val="20"/>
          <w:szCs w:val="20"/>
        </w:rPr>
        <w:t>stage sampling technique, a</w:t>
      </w:r>
      <w:r w:rsidRPr="008B1280">
        <w:rPr>
          <w:rFonts w:ascii="Arial" w:hAnsi="Arial" w:cs="Arial"/>
          <w:color w:val="000000" w:themeColor="text1"/>
          <w:sz w:val="20"/>
          <w:szCs w:val="20"/>
        </w:rPr>
        <w:t xml:space="preserve"> structured questi</w:t>
      </w:r>
      <w:r w:rsidR="004C4CD6" w:rsidRPr="008B1280">
        <w:rPr>
          <w:rFonts w:ascii="Arial" w:hAnsi="Arial" w:cs="Arial"/>
          <w:color w:val="000000" w:themeColor="text1"/>
          <w:sz w:val="20"/>
          <w:szCs w:val="20"/>
        </w:rPr>
        <w:t>onnaire was administered to 186</w:t>
      </w:r>
      <w:r w:rsidRPr="008B1280">
        <w:rPr>
          <w:rFonts w:ascii="Arial" w:hAnsi="Arial" w:cs="Arial"/>
          <w:color w:val="000000" w:themeColor="text1"/>
          <w:sz w:val="20"/>
          <w:szCs w:val="20"/>
        </w:rPr>
        <w:t xml:space="preserve"> respondents</w:t>
      </w:r>
      <w:commentRangeEnd w:id="44"/>
      <w:r w:rsidR="000C71A2">
        <w:rPr>
          <w:rStyle w:val="CommentReference"/>
        </w:rPr>
        <w:commentReference w:id="44"/>
      </w:r>
      <w:r w:rsidRPr="008B1280">
        <w:rPr>
          <w:rFonts w:ascii="Arial" w:hAnsi="Arial" w:cs="Arial"/>
          <w:color w:val="000000" w:themeColor="text1"/>
          <w:sz w:val="20"/>
          <w:szCs w:val="20"/>
        </w:rPr>
        <w:t xml:space="preserve">. Field observation with aid of checklist was used to complement the data.  Variables that were addressed include, the determinants of disposable income of housing affordability, the influence of housing affordability on housing the low income earners, the effects of socio economic status on the resident’s housing satisfaction. Both quantitative and qualitative analysis were used to analysed the data p &lt; 0.05. field observation was utilized in carrying out this research. </w:t>
      </w:r>
    </w:p>
    <w:p w14:paraId="02DC5773" w14:textId="1A7B1568" w:rsidR="00D26672" w:rsidRPr="008B1280" w:rsidRDefault="00F52B8F">
      <w:pPr>
        <w:spacing w:line="360" w:lineRule="auto"/>
        <w:jc w:val="both"/>
        <w:rPr>
          <w:rFonts w:ascii="Arial" w:hAnsi="Arial" w:cs="Arial"/>
          <w:color w:val="000000" w:themeColor="text1"/>
          <w:shd w:val="clear" w:color="auto" w:fill="FFFFFF"/>
        </w:rPr>
      </w:pPr>
      <w:r w:rsidRPr="008B1280">
        <w:rPr>
          <w:rFonts w:ascii="Arial" w:hAnsi="Arial" w:cs="Arial"/>
          <w:b/>
          <w:color w:val="000000" w:themeColor="text1"/>
        </w:rPr>
        <w:t>RESULTS AND DISCUSSION</w:t>
      </w:r>
    </w:p>
    <w:p w14:paraId="383BED5A" w14:textId="69F2EC4E" w:rsidR="00D26672" w:rsidRPr="008B1280" w:rsidRDefault="006C7148">
      <w:pPr>
        <w:spacing w:line="360" w:lineRule="auto"/>
        <w:jc w:val="both"/>
        <w:rPr>
          <w:rFonts w:ascii="Arial" w:hAnsi="Arial" w:cs="Arial"/>
          <w:b/>
          <w:bCs/>
          <w:color w:val="000000" w:themeColor="text1"/>
          <w:shd w:val="clear" w:color="auto" w:fill="FFFFFF"/>
        </w:rPr>
      </w:pPr>
      <w:bookmarkStart w:id="45" w:name="_Toc151636338"/>
      <w:bookmarkStart w:id="46" w:name="_Toc151638241"/>
      <w:r w:rsidRPr="008B1280">
        <w:rPr>
          <w:rFonts w:ascii="Arial" w:hAnsi="Arial" w:cs="Arial"/>
          <w:b/>
          <w:bCs/>
          <w:color w:val="000000" w:themeColor="text1"/>
          <w:shd w:val="clear" w:color="auto" w:fill="FFFFFF"/>
        </w:rPr>
        <w:t>Socio</w:t>
      </w:r>
      <w:r w:rsidR="00E6449D" w:rsidRPr="008B1280">
        <w:rPr>
          <w:rFonts w:ascii="Arial" w:hAnsi="Arial" w:cs="Arial"/>
          <w:b/>
          <w:bCs/>
          <w:color w:val="000000" w:themeColor="text1"/>
          <w:shd w:val="clear" w:color="auto" w:fill="FFFFFF"/>
        </w:rPr>
        <w:t>-economic</w:t>
      </w:r>
      <w:r w:rsidRPr="008B1280">
        <w:rPr>
          <w:rFonts w:ascii="Arial" w:hAnsi="Arial" w:cs="Arial"/>
          <w:b/>
          <w:bCs/>
          <w:color w:val="000000" w:themeColor="text1"/>
          <w:shd w:val="clear" w:color="auto" w:fill="FFFFFF"/>
        </w:rPr>
        <w:t xml:space="preserve"> </w:t>
      </w:r>
      <w:r w:rsidR="00F52B8F" w:rsidRPr="008B1280">
        <w:rPr>
          <w:rFonts w:ascii="Arial" w:hAnsi="Arial" w:cs="Arial"/>
          <w:b/>
          <w:bCs/>
          <w:color w:val="000000" w:themeColor="text1"/>
          <w:shd w:val="clear" w:color="auto" w:fill="FFFFFF"/>
        </w:rPr>
        <w:t>characteristics of residents in Ibadan North</w:t>
      </w:r>
      <w:bookmarkEnd w:id="45"/>
      <w:bookmarkEnd w:id="46"/>
    </w:p>
    <w:p w14:paraId="6E0D6BA3" w14:textId="55F55461" w:rsidR="00D26672" w:rsidRPr="008B1280" w:rsidRDefault="00F52B8F">
      <w:pPr>
        <w:spacing w:line="360" w:lineRule="auto"/>
        <w:jc w:val="both"/>
        <w:rPr>
          <w:rFonts w:ascii="Arial" w:hAnsi="Arial" w:cs="Arial"/>
          <w:color w:val="000000" w:themeColor="text1"/>
          <w:sz w:val="20"/>
          <w:szCs w:val="20"/>
          <w:shd w:val="clear" w:color="auto" w:fill="FFFFFF"/>
        </w:rPr>
      </w:pPr>
      <w:r w:rsidRPr="008B1280">
        <w:rPr>
          <w:rFonts w:ascii="Arial" w:hAnsi="Arial" w:cs="Arial"/>
          <w:color w:val="000000" w:themeColor="text1"/>
          <w:sz w:val="20"/>
          <w:szCs w:val="20"/>
          <w:shd w:val="clear" w:color="auto" w:fill="FFFFFF"/>
        </w:rPr>
        <w:t>This sect</w:t>
      </w:r>
      <w:r w:rsidR="006C7148" w:rsidRPr="008B1280">
        <w:rPr>
          <w:rFonts w:ascii="Arial" w:hAnsi="Arial" w:cs="Arial"/>
          <w:color w:val="000000" w:themeColor="text1"/>
          <w:sz w:val="20"/>
          <w:szCs w:val="20"/>
          <w:shd w:val="clear" w:color="auto" w:fill="FFFFFF"/>
        </w:rPr>
        <w:t>ion captures the socio</w:t>
      </w:r>
      <w:r w:rsidR="00E6449D" w:rsidRPr="008B1280">
        <w:rPr>
          <w:rFonts w:ascii="Arial" w:hAnsi="Arial" w:cs="Arial"/>
          <w:color w:val="000000" w:themeColor="text1"/>
          <w:sz w:val="20"/>
          <w:szCs w:val="20"/>
          <w:shd w:val="clear" w:color="auto" w:fill="FFFFFF"/>
        </w:rPr>
        <w:t xml:space="preserve">-economic </w:t>
      </w:r>
      <w:r w:rsidRPr="008B1280">
        <w:rPr>
          <w:rFonts w:ascii="Arial" w:hAnsi="Arial" w:cs="Arial"/>
          <w:color w:val="000000" w:themeColor="text1"/>
          <w:sz w:val="20"/>
          <w:szCs w:val="20"/>
          <w:shd w:val="clear" w:color="auto" w:fill="FFFFFF"/>
        </w:rPr>
        <w:t xml:space="preserve">characteristics of sampled residents in the study area. The variables considered include, gender, religion, age range, educational status, occupation. </w:t>
      </w:r>
    </w:p>
    <w:p w14:paraId="13E7332B" w14:textId="24844D71" w:rsidR="00D26672" w:rsidRPr="008B1280" w:rsidRDefault="0093061B" w:rsidP="00E6449D">
      <w:pPr>
        <w:spacing w:line="360" w:lineRule="auto"/>
        <w:ind w:left="16"/>
        <w:jc w:val="both"/>
        <w:rPr>
          <w:rFonts w:ascii="Arial" w:hAnsi="Arial" w:cs="Arial"/>
          <w:color w:val="000000" w:themeColor="text1"/>
          <w:sz w:val="20"/>
          <w:szCs w:val="20"/>
          <w:shd w:val="clear" w:color="auto" w:fill="FFFFFF"/>
        </w:rPr>
      </w:pPr>
      <w:r w:rsidRPr="008B1280">
        <w:rPr>
          <w:rFonts w:ascii="Arial" w:hAnsi="Arial" w:cs="Arial"/>
          <w:color w:val="000000" w:themeColor="text1"/>
          <w:sz w:val="20"/>
          <w:szCs w:val="20"/>
        </w:rPr>
        <w:t xml:space="preserve">Investigation revealed that majority </w:t>
      </w:r>
      <w:r w:rsidR="00A279B6" w:rsidRPr="008B1280">
        <w:rPr>
          <w:rFonts w:ascii="Arial" w:hAnsi="Arial" w:cs="Arial"/>
          <w:color w:val="000000" w:themeColor="text1"/>
          <w:sz w:val="20"/>
          <w:szCs w:val="20"/>
        </w:rPr>
        <w:t>(57.5</w:t>
      </w:r>
      <w:r w:rsidR="002D209C" w:rsidRPr="008B1280">
        <w:rPr>
          <w:rFonts w:ascii="Arial" w:hAnsi="Arial" w:cs="Arial"/>
          <w:color w:val="000000" w:themeColor="text1"/>
          <w:sz w:val="20"/>
          <w:szCs w:val="20"/>
        </w:rPr>
        <w:t>%)</w:t>
      </w:r>
      <w:r w:rsidR="00A279B6" w:rsidRPr="008B1280">
        <w:rPr>
          <w:rFonts w:ascii="Arial" w:hAnsi="Arial" w:cs="Arial"/>
          <w:color w:val="000000" w:themeColor="text1"/>
          <w:sz w:val="20"/>
          <w:szCs w:val="20"/>
        </w:rPr>
        <w:t xml:space="preserve"> </w:t>
      </w:r>
      <w:r w:rsidRPr="008B1280">
        <w:rPr>
          <w:rFonts w:ascii="Arial" w:hAnsi="Arial" w:cs="Arial"/>
          <w:color w:val="000000" w:themeColor="text1"/>
          <w:sz w:val="20"/>
          <w:szCs w:val="20"/>
        </w:rPr>
        <w:t>were female</w:t>
      </w:r>
      <w:r w:rsidR="002D209C" w:rsidRPr="008B1280">
        <w:rPr>
          <w:rFonts w:ascii="Arial" w:hAnsi="Arial" w:cs="Arial"/>
          <w:color w:val="000000" w:themeColor="text1"/>
          <w:sz w:val="20"/>
          <w:szCs w:val="20"/>
        </w:rPr>
        <w:t xml:space="preserve">. On account of age, </w:t>
      </w:r>
      <w:r w:rsidR="0074495A" w:rsidRPr="008B1280">
        <w:rPr>
          <w:rFonts w:ascii="Arial" w:hAnsi="Arial" w:cs="Arial"/>
          <w:color w:val="000000" w:themeColor="text1"/>
          <w:sz w:val="20"/>
          <w:szCs w:val="20"/>
        </w:rPr>
        <w:t xml:space="preserve">4.8% of the respondents were </w:t>
      </w:r>
      <w:r w:rsidR="00F52B8F" w:rsidRPr="008B1280">
        <w:rPr>
          <w:rFonts w:ascii="Arial" w:hAnsi="Arial" w:cs="Arial"/>
          <w:color w:val="000000" w:themeColor="text1"/>
          <w:sz w:val="20"/>
          <w:szCs w:val="20"/>
        </w:rPr>
        <w:t>below 25 years, 49.5% are within 26-40, 38.2% are within 41-60 and 7.5% are above 60 years. In terms of educational qualification, 11.3% only attended primary school, 51.1% have only high school certification, 34.9% attended ter</w:t>
      </w:r>
      <w:r w:rsidR="002D209C" w:rsidRPr="008B1280">
        <w:rPr>
          <w:rFonts w:ascii="Arial" w:hAnsi="Arial" w:cs="Arial"/>
          <w:color w:val="000000" w:themeColor="text1"/>
          <w:sz w:val="20"/>
          <w:szCs w:val="20"/>
        </w:rPr>
        <w:t>tiary institutions and 2.7% had no</w:t>
      </w:r>
      <w:r w:rsidR="00F52B8F" w:rsidRPr="008B1280">
        <w:rPr>
          <w:rFonts w:ascii="Arial" w:hAnsi="Arial" w:cs="Arial"/>
          <w:color w:val="000000" w:themeColor="text1"/>
          <w:sz w:val="20"/>
          <w:szCs w:val="20"/>
        </w:rPr>
        <w:t xml:space="preserve"> formal education.  Just 18.3% of the respondents are single while 66.7% are married, 8.1% are divorced and 7% are widowed. </w:t>
      </w:r>
      <w:r w:rsidR="00F52B8F" w:rsidRPr="008B1280">
        <w:rPr>
          <w:rFonts w:ascii="Arial" w:hAnsi="Arial" w:cs="Arial"/>
          <w:color w:val="000000" w:themeColor="text1"/>
          <w:sz w:val="20"/>
          <w:szCs w:val="20"/>
          <w:shd w:val="clear" w:color="auto" w:fill="FFFFFF"/>
        </w:rPr>
        <w:t>Majority of the respondents are traders or business owners which are 28.5%, and then we have some respondents who are artisans 21.5%, students 18.8% (35), civil servants 12.4%, unemployed, 5.4%, Professionals, 4.3%, clerics 5.4% and the retirees, 3.8%.</w:t>
      </w:r>
      <w:r w:rsidR="00074C94" w:rsidRPr="008B1280">
        <w:rPr>
          <w:rFonts w:ascii="Arial" w:hAnsi="Arial" w:cs="Arial"/>
          <w:color w:val="000000" w:themeColor="text1"/>
          <w:sz w:val="20"/>
          <w:szCs w:val="20"/>
          <w:shd w:val="clear" w:color="auto" w:fill="FFFFFF"/>
        </w:rPr>
        <w:t>T</w:t>
      </w:r>
      <w:r w:rsidR="002D209C" w:rsidRPr="008B1280">
        <w:rPr>
          <w:rFonts w:ascii="Arial" w:hAnsi="Arial" w:cs="Arial"/>
          <w:color w:val="000000" w:themeColor="text1"/>
          <w:sz w:val="20"/>
          <w:szCs w:val="20"/>
          <w:shd w:val="clear" w:color="auto" w:fill="FFFFFF"/>
        </w:rPr>
        <w:t xml:space="preserve">he implication of the result is that majority of the respondents are </w:t>
      </w:r>
      <w:r w:rsidR="00074C94" w:rsidRPr="008B1280">
        <w:rPr>
          <w:rFonts w:ascii="Arial" w:hAnsi="Arial" w:cs="Arial"/>
          <w:color w:val="000000" w:themeColor="text1"/>
          <w:sz w:val="20"/>
          <w:szCs w:val="20"/>
          <w:shd w:val="clear" w:color="auto" w:fill="FFFFFF"/>
        </w:rPr>
        <w:t>within</w:t>
      </w:r>
      <w:r w:rsidR="002D209C" w:rsidRPr="008B1280">
        <w:rPr>
          <w:rFonts w:ascii="Arial" w:hAnsi="Arial" w:cs="Arial"/>
          <w:color w:val="000000" w:themeColor="text1"/>
          <w:sz w:val="20"/>
          <w:szCs w:val="20"/>
          <w:shd w:val="clear" w:color="auto" w:fill="FFFFFF"/>
        </w:rPr>
        <w:t xml:space="preserve"> the active age that </w:t>
      </w:r>
      <w:r w:rsidR="002D209C" w:rsidRPr="008B1280">
        <w:rPr>
          <w:rFonts w:ascii="Arial" w:hAnsi="Arial" w:cs="Arial"/>
          <w:color w:val="000000" w:themeColor="text1"/>
          <w:sz w:val="20"/>
          <w:szCs w:val="20"/>
          <w:shd w:val="clear" w:color="auto" w:fill="FFFFFF"/>
        </w:rPr>
        <w:lastRenderedPageBreak/>
        <w:t>were capable of been productive within the economy. Besides. It also show that virtually all</w:t>
      </w:r>
      <w:r w:rsidR="00E6449D" w:rsidRPr="008B1280">
        <w:rPr>
          <w:rFonts w:ascii="Arial" w:hAnsi="Arial" w:cs="Arial"/>
          <w:color w:val="000000" w:themeColor="text1"/>
          <w:sz w:val="20"/>
          <w:szCs w:val="20"/>
          <w:shd w:val="clear" w:color="auto" w:fill="FFFFFF"/>
        </w:rPr>
        <w:t xml:space="preserve"> of</w:t>
      </w:r>
      <w:r w:rsidR="002D209C" w:rsidRPr="008B1280">
        <w:rPr>
          <w:rFonts w:ascii="Arial" w:hAnsi="Arial" w:cs="Arial"/>
          <w:color w:val="000000" w:themeColor="text1"/>
          <w:sz w:val="20"/>
          <w:szCs w:val="20"/>
          <w:shd w:val="clear" w:color="auto" w:fill="FFFFFF"/>
        </w:rPr>
        <w:t xml:space="preserve"> them are gainfully employed</w:t>
      </w:r>
      <w:r w:rsidR="00E6449D" w:rsidRPr="008B1280">
        <w:rPr>
          <w:rFonts w:ascii="Arial" w:hAnsi="Arial" w:cs="Arial"/>
          <w:color w:val="000000" w:themeColor="text1"/>
          <w:sz w:val="20"/>
          <w:szCs w:val="20"/>
          <w:shd w:val="clear" w:color="auto" w:fill="FFFFFF"/>
        </w:rPr>
        <w:t xml:space="preserve">. </w:t>
      </w:r>
      <w:r w:rsidR="002D209C" w:rsidRPr="008B1280">
        <w:rPr>
          <w:rFonts w:ascii="Arial" w:hAnsi="Arial" w:cs="Arial"/>
          <w:color w:val="000000" w:themeColor="text1"/>
          <w:sz w:val="20"/>
          <w:szCs w:val="20"/>
          <w:shd w:val="clear" w:color="auto" w:fill="FFFFFF"/>
        </w:rPr>
        <w:t xml:space="preserve"> </w:t>
      </w:r>
    </w:p>
    <w:tbl>
      <w:tblPr>
        <w:tblpPr w:leftFromText="180" w:rightFromText="180" w:vertAnchor="text" w:tblpY="1085"/>
        <w:tblW w:w="8730" w:type="dxa"/>
        <w:tblLook w:val="04A0" w:firstRow="1" w:lastRow="0" w:firstColumn="1" w:lastColumn="0" w:noHBand="0" w:noVBand="1"/>
      </w:tblPr>
      <w:tblGrid>
        <w:gridCol w:w="900"/>
        <w:gridCol w:w="2790"/>
        <w:gridCol w:w="2335"/>
        <w:gridCol w:w="2705"/>
      </w:tblGrid>
      <w:tr w:rsidR="000C71A2" w:rsidRPr="008B1280" w14:paraId="4202796F" w14:textId="77777777" w:rsidTr="000C71A2">
        <w:trPr>
          <w:trHeight w:val="290"/>
        </w:trPr>
        <w:tc>
          <w:tcPr>
            <w:tcW w:w="3690" w:type="dxa"/>
            <w:gridSpan w:val="2"/>
            <w:tcBorders>
              <w:top w:val="single" w:sz="8" w:space="0" w:color="auto"/>
              <w:bottom w:val="single" w:sz="8" w:space="0" w:color="auto"/>
            </w:tcBorders>
            <w:shd w:val="clear" w:color="auto" w:fill="auto"/>
            <w:noWrap/>
            <w:vAlign w:val="bottom"/>
            <w:hideMark/>
          </w:tcPr>
          <w:p w14:paraId="5DEC6D83" w14:textId="77777777" w:rsidR="000C71A2" w:rsidRPr="008B1280" w:rsidRDefault="000C71A2" w:rsidP="000C71A2">
            <w:pPr>
              <w:spacing w:after="0" w:line="360" w:lineRule="auto"/>
              <w:rPr>
                <w:rFonts w:ascii="Arial" w:eastAsia="Times New Roman" w:hAnsi="Arial" w:cs="Arial"/>
                <w:color w:val="000000" w:themeColor="text1"/>
                <w:sz w:val="20"/>
                <w:szCs w:val="20"/>
              </w:rPr>
            </w:pPr>
          </w:p>
        </w:tc>
        <w:tc>
          <w:tcPr>
            <w:tcW w:w="2335" w:type="dxa"/>
            <w:tcBorders>
              <w:top w:val="single" w:sz="8" w:space="0" w:color="auto"/>
              <w:bottom w:val="single" w:sz="8" w:space="0" w:color="auto"/>
            </w:tcBorders>
            <w:shd w:val="clear" w:color="auto" w:fill="auto"/>
            <w:noWrap/>
            <w:vAlign w:val="bottom"/>
            <w:hideMark/>
          </w:tcPr>
          <w:p w14:paraId="52321C85"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 xml:space="preserve"> </w:t>
            </w:r>
          </w:p>
        </w:tc>
        <w:tc>
          <w:tcPr>
            <w:tcW w:w="2705" w:type="dxa"/>
            <w:tcBorders>
              <w:top w:val="single" w:sz="8" w:space="0" w:color="auto"/>
              <w:bottom w:val="single" w:sz="8" w:space="0" w:color="auto"/>
            </w:tcBorders>
            <w:shd w:val="clear" w:color="auto" w:fill="auto"/>
            <w:noWrap/>
            <w:vAlign w:val="bottom"/>
            <w:hideMark/>
          </w:tcPr>
          <w:p w14:paraId="677D03AA" w14:textId="77777777" w:rsidR="000C71A2" w:rsidRPr="008B1280" w:rsidRDefault="000C71A2" w:rsidP="000C71A2">
            <w:pPr>
              <w:spacing w:after="0" w:line="360" w:lineRule="auto"/>
              <w:jc w:val="center"/>
              <w:rPr>
                <w:rFonts w:ascii="Arial" w:eastAsia="Times New Roman" w:hAnsi="Arial" w:cs="Arial"/>
                <w:b/>
                <w:color w:val="000000" w:themeColor="text1"/>
                <w:sz w:val="20"/>
                <w:szCs w:val="20"/>
              </w:rPr>
            </w:pPr>
            <w:r w:rsidRPr="008B1280">
              <w:rPr>
                <w:rFonts w:ascii="Arial" w:eastAsia="Times New Roman" w:hAnsi="Arial" w:cs="Arial"/>
                <w:b/>
                <w:color w:val="000000" w:themeColor="text1"/>
                <w:sz w:val="20"/>
                <w:szCs w:val="20"/>
              </w:rPr>
              <w:t>Percentage</w:t>
            </w:r>
          </w:p>
        </w:tc>
      </w:tr>
      <w:tr w:rsidR="000C71A2" w:rsidRPr="008B1280" w14:paraId="153A578B" w14:textId="77777777" w:rsidTr="000C71A2">
        <w:trPr>
          <w:gridBefore w:val="1"/>
          <w:wBefore w:w="900" w:type="dxa"/>
          <w:trHeight w:val="290"/>
        </w:trPr>
        <w:tc>
          <w:tcPr>
            <w:tcW w:w="2790" w:type="dxa"/>
            <w:tcBorders>
              <w:top w:val="single" w:sz="8" w:space="0" w:color="auto"/>
            </w:tcBorders>
            <w:shd w:val="clear" w:color="auto" w:fill="auto"/>
            <w:noWrap/>
            <w:vAlign w:val="bottom"/>
            <w:hideMark/>
          </w:tcPr>
          <w:p w14:paraId="73F967A5" w14:textId="77777777" w:rsidR="000C71A2" w:rsidRPr="008B1280" w:rsidRDefault="000C71A2" w:rsidP="000C71A2">
            <w:pPr>
              <w:spacing w:after="0" w:line="360" w:lineRule="auto"/>
              <w:rPr>
                <w:rFonts w:ascii="Arial" w:eastAsia="Times New Roman" w:hAnsi="Arial" w:cs="Arial"/>
                <w:b/>
                <w:color w:val="000000" w:themeColor="text1"/>
                <w:sz w:val="20"/>
                <w:szCs w:val="20"/>
              </w:rPr>
            </w:pPr>
            <w:r w:rsidRPr="008B1280">
              <w:rPr>
                <w:rFonts w:ascii="Arial" w:eastAsia="Times New Roman" w:hAnsi="Arial" w:cs="Arial"/>
                <w:b/>
                <w:color w:val="000000" w:themeColor="text1"/>
                <w:sz w:val="20"/>
                <w:szCs w:val="20"/>
              </w:rPr>
              <w:t>Gender</w:t>
            </w:r>
          </w:p>
        </w:tc>
        <w:tc>
          <w:tcPr>
            <w:tcW w:w="2335" w:type="dxa"/>
            <w:tcBorders>
              <w:top w:val="single" w:sz="8" w:space="0" w:color="auto"/>
            </w:tcBorders>
            <w:shd w:val="clear" w:color="auto" w:fill="auto"/>
            <w:noWrap/>
            <w:vAlign w:val="bottom"/>
            <w:hideMark/>
          </w:tcPr>
          <w:p w14:paraId="420A1A5B"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Male</w:t>
            </w:r>
          </w:p>
        </w:tc>
        <w:tc>
          <w:tcPr>
            <w:tcW w:w="2705" w:type="dxa"/>
            <w:tcBorders>
              <w:top w:val="single" w:sz="8" w:space="0" w:color="auto"/>
            </w:tcBorders>
            <w:shd w:val="clear" w:color="auto" w:fill="auto"/>
            <w:noWrap/>
            <w:vAlign w:val="bottom"/>
            <w:hideMark/>
          </w:tcPr>
          <w:p w14:paraId="18A1E0D0"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42.5</w:t>
            </w:r>
          </w:p>
        </w:tc>
      </w:tr>
      <w:tr w:rsidR="000C71A2" w:rsidRPr="008B1280" w14:paraId="31F1E586" w14:textId="77777777" w:rsidTr="000C71A2">
        <w:trPr>
          <w:gridBefore w:val="1"/>
          <w:wBefore w:w="900" w:type="dxa"/>
          <w:trHeight w:val="290"/>
        </w:trPr>
        <w:tc>
          <w:tcPr>
            <w:tcW w:w="2790" w:type="dxa"/>
            <w:shd w:val="clear" w:color="auto" w:fill="auto"/>
            <w:noWrap/>
            <w:vAlign w:val="bottom"/>
            <w:hideMark/>
          </w:tcPr>
          <w:p w14:paraId="7A3D2A03" w14:textId="77777777" w:rsidR="000C71A2" w:rsidRPr="008B1280" w:rsidRDefault="000C71A2" w:rsidP="000C71A2">
            <w:pPr>
              <w:spacing w:after="0" w:line="360" w:lineRule="auto"/>
              <w:rPr>
                <w:rFonts w:ascii="Arial" w:eastAsia="Times New Roman" w:hAnsi="Arial" w:cs="Arial"/>
                <w:b/>
                <w:color w:val="000000" w:themeColor="text1"/>
                <w:sz w:val="20"/>
                <w:szCs w:val="20"/>
              </w:rPr>
            </w:pPr>
          </w:p>
        </w:tc>
        <w:tc>
          <w:tcPr>
            <w:tcW w:w="2335" w:type="dxa"/>
            <w:shd w:val="clear" w:color="auto" w:fill="auto"/>
            <w:noWrap/>
            <w:vAlign w:val="bottom"/>
            <w:hideMark/>
          </w:tcPr>
          <w:p w14:paraId="1781AFFA"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Female</w:t>
            </w:r>
          </w:p>
        </w:tc>
        <w:tc>
          <w:tcPr>
            <w:tcW w:w="2705" w:type="dxa"/>
            <w:shd w:val="clear" w:color="auto" w:fill="auto"/>
            <w:noWrap/>
            <w:vAlign w:val="bottom"/>
            <w:hideMark/>
          </w:tcPr>
          <w:p w14:paraId="6548B919"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57.5</w:t>
            </w:r>
          </w:p>
        </w:tc>
      </w:tr>
      <w:tr w:rsidR="000C71A2" w:rsidRPr="008B1280" w14:paraId="2C00619B" w14:textId="77777777" w:rsidTr="000C71A2">
        <w:trPr>
          <w:gridBefore w:val="1"/>
          <w:wBefore w:w="900" w:type="dxa"/>
          <w:trHeight w:val="290"/>
        </w:trPr>
        <w:tc>
          <w:tcPr>
            <w:tcW w:w="2790" w:type="dxa"/>
            <w:shd w:val="clear" w:color="auto" w:fill="auto"/>
            <w:noWrap/>
            <w:vAlign w:val="bottom"/>
            <w:hideMark/>
          </w:tcPr>
          <w:p w14:paraId="27FF1FAC" w14:textId="77777777" w:rsidR="000C71A2" w:rsidRPr="008B1280" w:rsidRDefault="000C71A2" w:rsidP="000C71A2">
            <w:pPr>
              <w:spacing w:after="0" w:line="360" w:lineRule="auto"/>
              <w:rPr>
                <w:rFonts w:ascii="Arial" w:eastAsia="Times New Roman" w:hAnsi="Arial" w:cs="Arial"/>
                <w:b/>
                <w:color w:val="000000" w:themeColor="text1"/>
                <w:sz w:val="20"/>
                <w:szCs w:val="20"/>
              </w:rPr>
            </w:pPr>
          </w:p>
        </w:tc>
        <w:tc>
          <w:tcPr>
            <w:tcW w:w="2335" w:type="dxa"/>
            <w:shd w:val="clear" w:color="auto" w:fill="auto"/>
            <w:noWrap/>
            <w:vAlign w:val="bottom"/>
            <w:hideMark/>
          </w:tcPr>
          <w:p w14:paraId="016EC2BC"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Total</w:t>
            </w:r>
          </w:p>
        </w:tc>
        <w:tc>
          <w:tcPr>
            <w:tcW w:w="2705" w:type="dxa"/>
            <w:shd w:val="clear" w:color="auto" w:fill="auto"/>
            <w:noWrap/>
            <w:vAlign w:val="bottom"/>
            <w:hideMark/>
          </w:tcPr>
          <w:p w14:paraId="11315116"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100</w:t>
            </w:r>
          </w:p>
        </w:tc>
      </w:tr>
      <w:tr w:rsidR="000C71A2" w:rsidRPr="008B1280" w14:paraId="3C793F4A" w14:textId="77777777" w:rsidTr="000C71A2">
        <w:trPr>
          <w:gridBefore w:val="1"/>
          <w:wBefore w:w="900" w:type="dxa"/>
          <w:trHeight w:val="290"/>
        </w:trPr>
        <w:tc>
          <w:tcPr>
            <w:tcW w:w="2790" w:type="dxa"/>
            <w:shd w:val="clear" w:color="auto" w:fill="auto"/>
            <w:noWrap/>
            <w:vAlign w:val="bottom"/>
            <w:hideMark/>
          </w:tcPr>
          <w:p w14:paraId="25AD4785" w14:textId="77777777" w:rsidR="000C71A2" w:rsidRPr="008B1280" w:rsidRDefault="000C71A2" w:rsidP="000C71A2">
            <w:pPr>
              <w:spacing w:after="0" w:line="360" w:lineRule="auto"/>
              <w:rPr>
                <w:rFonts w:ascii="Arial" w:eastAsia="Times New Roman" w:hAnsi="Arial" w:cs="Arial"/>
                <w:b/>
                <w:color w:val="000000" w:themeColor="text1"/>
                <w:sz w:val="20"/>
                <w:szCs w:val="20"/>
              </w:rPr>
            </w:pPr>
          </w:p>
        </w:tc>
        <w:tc>
          <w:tcPr>
            <w:tcW w:w="2335" w:type="dxa"/>
            <w:shd w:val="clear" w:color="auto" w:fill="auto"/>
            <w:noWrap/>
            <w:vAlign w:val="bottom"/>
            <w:hideMark/>
          </w:tcPr>
          <w:p w14:paraId="039D9119" w14:textId="77777777" w:rsidR="000C71A2" w:rsidRPr="008B1280" w:rsidRDefault="000C71A2" w:rsidP="000C71A2">
            <w:pPr>
              <w:spacing w:after="0" w:line="360" w:lineRule="auto"/>
              <w:rPr>
                <w:rFonts w:ascii="Arial" w:eastAsia="Times New Roman" w:hAnsi="Arial" w:cs="Arial"/>
                <w:b/>
                <w:color w:val="000000" w:themeColor="text1"/>
                <w:sz w:val="20"/>
                <w:szCs w:val="20"/>
              </w:rPr>
            </w:pPr>
          </w:p>
        </w:tc>
        <w:tc>
          <w:tcPr>
            <w:tcW w:w="2705" w:type="dxa"/>
            <w:shd w:val="clear" w:color="auto" w:fill="auto"/>
            <w:noWrap/>
            <w:vAlign w:val="bottom"/>
            <w:hideMark/>
          </w:tcPr>
          <w:p w14:paraId="4ED42AC2" w14:textId="77777777" w:rsidR="000C71A2" w:rsidRPr="008B1280" w:rsidRDefault="000C71A2" w:rsidP="000C71A2">
            <w:pPr>
              <w:spacing w:after="0" w:line="360" w:lineRule="auto"/>
              <w:jc w:val="center"/>
              <w:rPr>
                <w:rFonts w:ascii="Arial" w:eastAsia="Times New Roman" w:hAnsi="Arial" w:cs="Arial"/>
                <w:b/>
                <w:color w:val="000000" w:themeColor="text1"/>
                <w:sz w:val="20"/>
                <w:szCs w:val="20"/>
              </w:rPr>
            </w:pPr>
            <w:r w:rsidRPr="008B1280">
              <w:rPr>
                <w:rFonts w:ascii="Arial" w:eastAsia="Times New Roman" w:hAnsi="Arial" w:cs="Arial"/>
                <w:b/>
                <w:color w:val="000000" w:themeColor="text1"/>
                <w:sz w:val="20"/>
                <w:szCs w:val="20"/>
              </w:rPr>
              <w:t>Percentage</w:t>
            </w:r>
          </w:p>
        </w:tc>
      </w:tr>
      <w:tr w:rsidR="000C71A2" w:rsidRPr="008B1280" w14:paraId="672E1ACD" w14:textId="77777777" w:rsidTr="000C71A2">
        <w:trPr>
          <w:gridBefore w:val="1"/>
          <w:wBefore w:w="900" w:type="dxa"/>
          <w:trHeight w:val="290"/>
        </w:trPr>
        <w:tc>
          <w:tcPr>
            <w:tcW w:w="2790" w:type="dxa"/>
            <w:shd w:val="clear" w:color="auto" w:fill="auto"/>
            <w:noWrap/>
            <w:vAlign w:val="bottom"/>
            <w:hideMark/>
          </w:tcPr>
          <w:p w14:paraId="127DBDC5" w14:textId="77777777" w:rsidR="000C71A2" w:rsidRPr="008B1280" w:rsidRDefault="000C71A2" w:rsidP="000C71A2">
            <w:pPr>
              <w:spacing w:after="0" w:line="360" w:lineRule="auto"/>
              <w:rPr>
                <w:rFonts w:ascii="Arial" w:eastAsia="Times New Roman" w:hAnsi="Arial" w:cs="Arial"/>
                <w:b/>
                <w:color w:val="000000" w:themeColor="text1"/>
                <w:sz w:val="20"/>
                <w:szCs w:val="20"/>
              </w:rPr>
            </w:pPr>
            <w:r w:rsidRPr="008B1280">
              <w:rPr>
                <w:rFonts w:ascii="Arial" w:eastAsia="Times New Roman" w:hAnsi="Arial" w:cs="Arial"/>
                <w:b/>
                <w:color w:val="000000" w:themeColor="text1"/>
                <w:sz w:val="20"/>
                <w:szCs w:val="20"/>
              </w:rPr>
              <w:t>Age Range</w:t>
            </w:r>
          </w:p>
        </w:tc>
        <w:tc>
          <w:tcPr>
            <w:tcW w:w="2335" w:type="dxa"/>
            <w:shd w:val="clear" w:color="auto" w:fill="auto"/>
            <w:noWrap/>
            <w:vAlign w:val="bottom"/>
            <w:hideMark/>
          </w:tcPr>
          <w:p w14:paraId="7CE5F7C5"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below 25 years</w:t>
            </w:r>
          </w:p>
        </w:tc>
        <w:tc>
          <w:tcPr>
            <w:tcW w:w="2705" w:type="dxa"/>
            <w:shd w:val="clear" w:color="auto" w:fill="auto"/>
            <w:noWrap/>
            <w:vAlign w:val="bottom"/>
            <w:hideMark/>
          </w:tcPr>
          <w:p w14:paraId="1D5F2C2A"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4.8</w:t>
            </w:r>
          </w:p>
        </w:tc>
      </w:tr>
      <w:tr w:rsidR="000C71A2" w:rsidRPr="008B1280" w14:paraId="472A97FC" w14:textId="77777777" w:rsidTr="000C71A2">
        <w:trPr>
          <w:gridBefore w:val="1"/>
          <w:wBefore w:w="900" w:type="dxa"/>
          <w:trHeight w:val="290"/>
        </w:trPr>
        <w:tc>
          <w:tcPr>
            <w:tcW w:w="2790" w:type="dxa"/>
            <w:shd w:val="clear" w:color="auto" w:fill="auto"/>
            <w:noWrap/>
            <w:vAlign w:val="bottom"/>
            <w:hideMark/>
          </w:tcPr>
          <w:p w14:paraId="6EC7189D" w14:textId="77777777" w:rsidR="000C71A2" w:rsidRPr="008B1280" w:rsidRDefault="000C71A2" w:rsidP="000C71A2">
            <w:pPr>
              <w:spacing w:after="0" w:line="360" w:lineRule="auto"/>
              <w:rPr>
                <w:rFonts w:ascii="Arial" w:eastAsia="Times New Roman" w:hAnsi="Arial" w:cs="Arial"/>
                <w:b/>
                <w:color w:val="000000" w:themeColor="text1"/>
                <w:sz w:val="20"/>
                <w:szCs w:val="20"/>
              </w:rPr>
            </w:pPr>
          </w:p>
        </w:tc>
        <w:tc>
          <w:tcPr>
            <w:tcW w:w="2335" w:type="dxa"/>
            <w:shd w:val="clear" w:color="auto" w:fill="auto"/>
            <w:noWrap/>
            <w:vAlign w:val="bottom"/>
            <w:hideMark/>
          </w:tcPr>
          <w:p w14:paraId="67083FAF"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25-40</w:t>
            </w:r>
          </w:p>
        </w:tc>
        <w:tc>
          <w:tcPr>
            <w:tcW w:w="2705" w:type="dxa"/>
            <w:shd w:val="clear" w:color="auto" w:fill="auto"/>
            <w:noWrap/>
            <w:vAlign w:val="bottom"/>
            <w:hideMark/>
          </w:tcPr>
          <w:p w14:paraId="42801822"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49.5</w:t>
            </w:r>
          </w:p>
        </w:tc>
      </w:tr>
      <w:tr w:rsidR="000C71A2" w:rsidRPr="008B1280" w14:paraId="1096891D" w14:textId="77777777" w:rsidTr="000C71A2">
        <w:trPr>
          <w:gridBefore w:val="1"/>
          <w:wBefore w:w="900" w:type="dxa"/>
          <w:trHeight w:val="290"/>
        </w:trPr>
        <w:tc>
          <w:tcPr>
            <w:tcW w:w="2790" w:type="dxa"/>
            <w:shd w:val="clear" w:color="auto" w:fill="auto"/>
            <w:noWrap/>
            <w:vAlign w:val="bottom"/>
            <w:hideMark/>
          </w:tcPr>
          <w:p w14:paraId="48156AE6" w14:textId="77777777" w:rsidR="000C71A2" w:rsidRPr="008B1280" w:rsidRDefault="000C71A2" w:rsidP="000C71A2">
            <w:pPr>
              <w:spacing w:after="0" w:line="360" w:lineRule="auto"/>
              <w:rPr>
                <w:rFonts w:ascii="Arial" w:eastAsia="Times New Roman" w:hAnsi="Arial" w:cs="Arial"/>
                <w:b/>
                <w:color w:val="000000" w:themeColor="text1"/>
                <w:sz w:val="20"/>
                <w:szCs w:val="20"/>
              </w:rPr>
            </w:pPr>
          </w:p>
        </w:tc>
        <w:tc>
          <w:tcPr>
            <w:tcW w:w="2335" w:type="dxa"/>
            <w:shd w:val="clear" w:color="auto" w:fill="auto"/>
            <w:noWrap/>
            <w:vAlign w:val="bottom"/>
            <w:hideMark/>
          </w:tcPr>
          <w:p w14:paraId="78B2D6EA"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41-60</w:t>
            </w:r>
          </w:p>
        </w:tc>
        <w:tc>
          <w:tcPr>
            <w:tcW w:w="2705" w:type="dxa"/>
            <w:shd w:val="clear" w:color="auto" w:fill="auto"/>
            <w:noWrap/>
            <w:vAlign w:val="bottom"/>
            <w:hideMark/>
          </w:tcPr>
          <w:p w14:paraId="7FEBB548"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38.2</w:t>
            </w:r>
          </w:p>
        </w:tc>
      </w:tr>
      <w:tr w:rsidR="000C71A2" w:rsidRPr="008B1280" w14:paraId="33412BF1" w14:textId="77777777" w:rsidTr="000C71A2">
        <w:trPr>
          <w:gridBefore w:val="1"/>
          <w:wBefore w:w="900" w:type="dxa"/>
          <w:trHeight w:val="290"/>
        </w:trPr>
        <w:tc>
          <w:tcPr>
            <w:tcW w:w="2790" w:type="dxa"/>
            <w:shd w:val="clear" w:color="auto" w:fill="auto"/>
            <w:noWrap/>
            <w:vAlign w:val="bottom"/>
            <w:hideMark/>
          </w:tcPr>
          <w:p w14:paraId="7A16DE0C" w14:textId="77777777" w:rsidR="000C71A2" w:rsidRPr="008B1280" w:rsidRDefault="000C71A2" w:rsidP="000C71A2">
            <w:pPr>
              <w:spacing w:after="0" w:line="360" w:lineRule="auto"/>
              <w:rPr>
                <w:rFonts w:ascii="Arial" w:eastAsia="Times New Roman" w:hAnsi="Arial" w:cs="Arial"/>
                <w:b/>
                <w:color w:val="000000" w:themeColor="text1"/>
                <w:sz w:val="20"/>
                <w:szCs w:val="20"/>
              </w:rPr>
            </w:pPr>
          </w:p>
        </w:tc>
        <w:tc>
          <w:tcPr>
            <w:tcW w:w="2335" w:type="dxa"/>
            <w:shd w:val="clear" w:color="auto" w:fill="auto"/>
            <w:noWrap/>
            <w:vAlign w:val="bottom"/>
            <w:hideMark/>
          </w:tcPr>
          <w:p w14:paraId="5A515B42"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60 years and above</w:t>
            </w:r>
          </w:p>
        </w:tc>
        <w:tc>
          <w:tcPr>
            <w:tcW w:w="2705" w:type="dxa"/>
            <w:shd w:val="clear" w:color="auto" w:fill="auto"/>
            <w:noWrap/>
            <w:vAlign w:val="bottom"/>
            <w:hideMark/>
          </w:tcPr>
          <w:p w14:paraId="7E26D834"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7.5</w:t>
            </w:r>
          </w:p>
        </w:tc>
      </w:tr>
      <w:tr w:rsidR="000C71A2" w:rsidRPr="008B1280" w14:paraId="700F68AD" w14:textId="77777777" w:rsidTr="000C71A2">
        <w:trPr>
          <w:gridBefore w:val="1"/>
          <w:wBefore w:w="900" w:type="dxa"/>
          <w:trHeight w:val="290"/>
        </w:trPr>
        <w:tc>
          <w:tcPr>
            <w:tcW w:w="2790" w:type="dxa"/>
            <w:shd w:val="clear" w:color="auto" w:fill="auto"/>
            <w:noWrap/>
            <w:vAlign w:val="bottom"/>
            <w:hideMark/>
          </w:tcPr>
          <w:p w14:paraId="663F8980" w14:textId="77777777" w:rsidR="000C71A2" w:rsidRPr="008B1280" w:rsidRDefault="000C71A2" w:rsidP="000C71A2">
            <w:pPr>
              <w:spacing w:after="0" w:line="360" w:lineRule="auto"/>
              <w:jc w:val="right"/>
              <w:rPr>
                <w:rFonts w:ascii="Arial" w:eastAsia="Times New Roman" w:hAnsi="Arial" w:cs="Arial"/>
                <w:b/>
                <w:color w:val="000000" w:themeColor="text1"/>
                <w:sz w:val="20"/>
                <w:szCs w:val="20"/>
              </w:rPr>
            </w:pPr>
          </w:p>
        </w:tc>
        <w:tc>
          <w:tcPr>
            <w:tcW w:w="2335" w:type="dxa"/>
            <w:shd w:val="clear" w:color="auto" w:fill="auto"/>
            <w:noWrap/>
            <w:vAlign w:val="bottom"/>
            <w:hideMark/>
          </w:tcPr>
          <w:p w14:paraId="2E8AE23F"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Total</w:t>
            </w:r>
          </w:p>
        </w:tc>
        <w:tc>
          <w:tcPr>
            <w:tcW w:w="2705" w:type="dxa"/>
            <w:shd w:val="clear" w:color="auto" w:fill="auto"/>
            <w:noWrap/>
            <w:vAlign w:val="bottom"/>
            <w:hideMark/>
          </w:tcPr>
          <w:p w14:paraId="21165033"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100</w:t>
            </w:r>
          </w:p>
        </w:tc>
      </w:tr>
      <w:tr w:rsidR="000C71A2" w:rsidRPr="008B1280" w14:paraId="124E9ABB" w14:textId="77777777" w:rsidTr="000C71A2">
        <w:trPr>
          <w:gridBefore w:val="1"/>
          <w:wBefore w:w="900" w:type="dxa"/>
          <w:trHeight w:val="290"/>
        </w:trPr>
        <w:tc>
          <w:tcPr>
            <w:tcW w:w="2790" w:type="dxa"/>
            <w:shd w:val="clear" w:color="auto" w:fill="auto"/>
            <w:noWrap/>
            <w:vAlign w:val="bottom"/>
            <w:hideMark/>
          </w:tcPr>
          <w:p w14:paraId="1A2F9EE0" w14:textId="77777777" w:rsidR="000C71A2" w:rsidRPr="008B1280" w:rsidRDefault="000C71A2" w:rsidP="000C71A2">
            <w:pPr>
              <w:spacing w:after="0" w:line="360" w:lineRule="auto"/>
              <w:jc w:val="right"/>
              <w:rPr>
                <w:rFonts w:ascii="Arial" w:eastAsia="Times New Roman" w:hAnsi="Arial" w:cs="Arial"/>
                <w:b/>
                <w:color w:val="000000" w:themeColor="text1"/>
                <w:sz w:val="20"/>
                <w:szCs w:val="20"/>
              </w:rPr>
            </w:pPr>
          </w:p>
        </w:tc>
        <w:tc>
          <w:tcPr>
            <w:tcW w:w="2335" w:type="dxa"/>
            <w:shd w:val="clear" w:color="auto" w:fill="auto"/>
            <w:noWrap/>
            <w:vAlign w:val="bottom"/>
            <w:hideMark/>
          </w:tcPr>
          <w:p w14:paraId="2FEEABC0" w14:textId="77777777" w:rsidR="000C71A2" w:rsidRPr="008B1280" w:rsidRDefault="000C71A2" w:rsidP="000C71A2">
            <w:pPr>
              <w:spacing w:after="0" w:line="360" w:lineRule="auto"/>
              <w:rPr>
                <w:rFonts w:ascii="Arial" w:eastAsia="Times New Roman" w:hAnsi="Arial" w:cs="Arial"/>
                <w:b/>
                <w:color w:val="000000" w:themeColor="text1"/>
                <w:sz w:val="20"/>
                <w:szCs w:val="20"/>
              </w:rPr>
            </w:pPr>
          </w:p>
        </w:tc>
        <w:tc>
          <w:tcPr>
            <w:tcW w:w="2705" w:type="dxa"/>
            <w:shd w:val="clear" w:color="auto" w:fill="auto"/>
            <w:noWrap/>
            <w:vAlign w:val="bottom"/>
            <w:hideMark/>
          </w:tcPr>
          <w:p w14:paraId="723FBD50" w14:textId="77777777" w:rsidR="000C71A2" w:rsidRPr="008B1280" w:rsidRDefault="000C71A2" w:rsidP="000C71A2">
            <w:pPr>
              <w:spacing w:after="0" w:line="360" w:lineRule="auto"/>
              <w:jc w:val="center"/>
              <w:rPr>
                <w:rFonts w:ascii="Arial" w:eastAsia="Times New Roman" w:hAnsi="Arial" w:cs="Arial"/>
                <w:b/>
                <w:color w:val="000000" w:themeColor="text1"/>
                <w:sz w:val="20"/>
                <w:szCs w:val="20"/>
              </w:rPr>
            </w:pPr>
            <w:r w:rsidRPr="008B1280">
              <w:rPr>
                <w:rFonts w:ascii="Arial" w:eastAsia="Times New Roman" w:hAnsi="Arial" w:cs="Arial"/>
                <w:b/>
                <w:color w:val="000000" w:themeColor="text1"/>
                <w:sz w:val="20"/>
                <w:szCs w:val="20"/>
              </w:rPr>
              <w:t>Percentage</w:t>
            </w:r>
          </w:p>
        </w:tc>
      </w:tr>
      <w:tr w:rsidR="000C71A2" w:rsidRPr="008B1280" w14:paraId="087A2998" w14:textId="77777777" w:rsidTr="000C71A2">
        <w:trPr>
          <w:gridBefore w:val="1"/>
          <w:wBefore w:w="900" w:type="dxa"/>
          <w:trHeight w:val="290"/>
        </w:trPr>
        <w:tc>
          <w:tcPr>
            <w:tcW w:w="2790" w:type="dxa"/>
            <w:shd w:val="clear" w:color="auto" w:fill="auto"/>
            <w:noWrap/>
            <w:vAlign w:val="bottom"/>
            <w:hideMark/>
          </w:tcPr>
          <w:p w14:paraId="6C92A45D" w14:textId="77777777" w:rsidR="000C71A2" w:rsidRPr="008B1280" w:rsidRDefault="000C71A2" w:rsidP="000C71A2">
            <w:pPr>
              <w:spacing w:after="0" w:line="360" w:lineRule="auto"/>
              <w:rPr>
                <w:rFonts w:ascii="Arial" w:eastAsia="Times New Roman" w:hAnsi="Arial" w:cs="Arial"/>
                <w:b/>
                <w:color w:val="000000" w:themeColor="text1"/>
                <w:sz w:val="20"/>
                <w:szCs w:val="20"/>
              </w:rPr>
            </w:pPr>
          </w:p>
        </w:tc>
        <w:tc>
          <w:tcPr>
            <w:tcW w:w="2335" w:type="dxa"/>
            <w:shd w:val="clear" w:color="auto" w:fill="auto"/>
            <w:noWrap/>
            <w:vAlign w:val="bottom"/>
            <w:hideMark/>
          </w:tcPr>
          <w:p w14:paraId="50B878F9"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Basic Primary</w:t>
            </w:r>
          </w:p>
        </w:tc>
        <w:tc>
          <w:tcPr>
            <w:tcW w:w="2705" w:type="dxa"/>
            <w:shd w:val="clear" w:color="auto" w:fill="auto"/>
            <w:noWrap/>
            <w:vAlign w:val="bottom"/>
            <w:hideMark/>
          </w:tcPr>
          <w:p w14:paraId="5005C598"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11.3</w:t>
            </w:r>
          </w:p>
        </w:tc>
      </w:tr>
      <w:tr w:rsidR="000C71A2" w:rsidRPr="008B1280" w14:paraId="7A9C253F" w14:textId="77777777" w:rsidTr="000C71A2">
        <w:trPr>
          <w:gridBefore w:val="1"/>
          <w:wBefore w:w="900" w:type="dxa"/>
          <w:trHeight w:val="290"/>
        </w:trPr>
        <w:tc>
          <w:tcPr>
            <w:tcW w:w="2790" w:type="dxa"/>
            <w:shd w:val="clear" w:color="auto" w:fill="auto"/>
            <w:noWrap/>
            <w:vAlign w:val="bottom"/>
            <w:hideMark/>
          </w:tcPr>
          <w:p w14:paraId="519A69BC" w14:textId="77777777" w:rsidR="000C71A2" w:rsidRPr="008B1280" w:rsidRDefault="000C71A2" w:rsidP="000C71A2">
            <w:pPr>
              <w:spacing w:after="0" w:line="360" w:lineRule="auto"/>
              <w:rPr>
                <w:rFonts w:ascii="Arial" w:eastAsia="Times New Roman" w:hAnsi="Arial" w:cs="Arial"/>
                <w:b/>
                <w:color w:val="000000" w:themeColor="text1"/>
                <w:sz w:val="20"/>
                <w:szCs w:val="20"/>
              </w:rPr>
            </w:pPr>
            <w:r w:rsidRPr="008B1280">
              <w:rPr>
                <w:rFonts w:ascii="Arial" w:eastAsia="Times New Roman" w:hAnsi="Arial" w:cs="Arial"/>
                <w:b/>
                <w:color w:val="000000" w:themeColor="text1"/>
                <w:sz w:val="20"/>
                <w:szCs w:val="20"/>
              </w:rPr>
              <w:t>Educational status</w:t>
            </w:r>
          </w:p>
        </w:tc>
        <w:tc>
          <w:tcPr>
            <w:tcW w:w="2335" w:type="dxa"/>
            <w:shd w:val="clear" w:color="auto" w:fill="auto"/>
            <w:noWrap/>
            <w:vAlign w:val="bottom"/>
            <w:hideMark/>
          </w:tcPr>
          <w:p w14:paraId="2BD73002"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High School</w:t>
            </w:r>
          </w:p>
        </w:tc>
        <w:tc>
          <w:tcPr>
            <w:tcW w:w="2705" w:type="dxa"/>
            <w:shd w:val="clear" w:color="auto" w:fill="auto"/>
            <w:noWrap/>
            <w:vAlign w:val="bottom"/>
            <w:hideMark/>
          </w:tcPr>
          <w:p w14:paraId="795986FA"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51.1</w:t>
            </w:r>
          </w:p>
        </w:tc>
      </w:tr>
      <w:tr w:rsidR="000C71A2" w:rsidRPr="008B1280" w14:paraId="49358300" w14:textId="77777777" w:rsidTr="000C71A2">
        <w:trPr>
          <w:gridBefore w:val="1"/>
          <w:wBefore w:w="900" w:type="dxa"/>
          <w:trHeight w:val="290"/>
        </w:trPr>
        <w:tc>
          <w:tcPr>
            <w:tcW w:w="2790" w:type="dxa"/>
            <w:shd w:val="clear" w:color="auto" w:fill="auto"/>
            <w:noWrap/>
            <w:vAlign w:val="bottom"/>
            <w:hideMark/>
          </w:tcPr>
          <w:p w14:paraId="534DC89D" w14:textId="77777777" w:rsidR="000C71A2" w:rsidRPr="008B1280" w:rsidRDefault="000C71A2" w:rsidP="000C71A2">
            <w:pPr>
              <w:spacing w:after="0" w:line="360" w:lineRule="auto"/>
              <w:rPr>
                <w:rFonts w:ascii="Arial" w:eastAsia="Times New Roman" w:hAnsi="Arial" w:cs="Arial"/>
                <w:b/>
                <w:color w:val="000000" w:themeColor="text1"/>
                <w:sz w:val="20"/>
                <w:szCs w:val="20"/>
              </w:rPr>
            </w:pPr>
          </w:p>
        </w:tc>
        <w:tc>
          <w:tcPr>
            <w:tcW w:w="2335" w:type="dxa"/>
            <w:shd w:val="clear" w:color="auto" w:fill="auto"/>
            <w:noWrap/>
            <w:vAlign w:val="bottom"/>
            <w:hideMark/>
          </w:tcPr>
          <w:p w14:paraId="6A160A12"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Tertiary</w:t>
            </w:r>
          </w:p>
        </w:tc>
        <w:tc>
          <w:tcPr>
            <w:tcW w:w="2705" w:type="dxa"/>
            <w:shd w:val="clear" w:color="auto" w:fill="auto"/>
            <w:noWrap/>
            <w:vAlign w:val="bottom"/>
            <w:hideMark/>
          </w:tcPr>
          <w:p w14:paraId="6A8D48FA"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34.9</w:t>
            </w:r>
          </w:p>
        </w:tc>
      </w:tr>
      <w:tr w:rsidR="000C71A2" w:rsidRPr="008B1280" w14:paraId="3CDBE898" w14:textId="77777777" w:rsidTr="000C71A2">
        <w:trPr>
          <w:gridBefore w:val="1"/>
          <w:wBefore w:w="900" w:type="dxa"/>
          <w:trHeight w:val="290"/>
        </w:trPr>
        <w:tc>
          <w:tcPr>
            <w:tcW w:w="2790" w:type="dxa"/>
            <w:shd w:val="clear" w:color="auto" w:fill="auto"/>
            <w:noWrap/>
            <w:vAlign w:val="bottom"/>
            <w:hideMark/>
          </w:tcPr>
          <w:p w14:paraId="24EF6B39" w14:textId="77777777" w:rsidR="000C71A2" w:rsidRPr="008B1280" w:rsidRDefault="000C71A2" w:rsidP="000C71A2">
            <w:pPr>
              <w:spacing w:after="0" w:line="360" w:lineRule="auto"/>
              <w:rPr>
                <w:rFonts w:ascii="Arial" w:eastAsia="Times New Roman" w:hAnsi="Arial" w:cs="Arial"/>
                <w:b/>
                <w:color w:val="000000" w:themeColor="text1"/>
                <w:sz w:val="20"/>
                <w:szCs w:val="20"/>
              </w:rPr>
            </w:pPr>
          </w:p>
        </w:tc>
        <w:tc>
          <w:tcPr>
            <w:tcW w:w="2335" w:type="dxa"/>
            <w:shd w:val="clear" w:color="auto" w:fill="auto"/>
            <w:noWrap/>
            <w:vAlign w:val="bottom"/>
            <w:hideMark/>
          </w:tcPr>
          <w:p w14:paraId="0FF1237B"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No Formal Education</w:t>
            </w:r>
          </w:p>
        </w:tc>
        <w:tc>
          <w:tcPr>
            <w:tcW w:w="2705" w:type="dxa"/>
            <w:shd w:val="clear" w:color="auto" w:fill="auto"/>
            <w:noWrap/>
            <w:vAlign w:val="bottom"/>
            <w:hideMark/>
          </w:tcPr>
          <w:p w14:paraId="30EADAE2"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2.7</w:t>
            </w:r>
          </w:p>
        </w:tc>
      </w:tr>
      <w:tr w:rsidR="000C71A2" w:rsidRPr="008B1280" w14:paraId="224F1EF6" w14:textId="77777777" w:rsidTr="000C71A2">
        <w:trPr>
          <w:gridBefore w:val="1"/>
          <w:wBefore w:w="900" w:type="dxa"/>
          <w:trHeight w:val="171"/>
        </w:trPr>
        <w:tc>
          <w:tcPr>
            <w:tcW w:w="2790" w:type="dxa"/>
            <w:shd w:val="clear" w:color="auto" w:fill="auto"/>
            <w:noWrap/>
            <w:vAlign w:val="bottom"/>
            <w:hideMark/>
          </w:tcPr>
          <w:p w14:paraId="5B76D68D" w14:textId="77777777" w:rsidR="000C71A2" w:rsidRPr="008B1280" w:rsidRDefault="000C71A2" w:rsidP="000C71A2">
            <w:pPr>
              <w:spacing w:after="0" w:line="360" w:lineRule="auto"/>
              <w:jc w:val="right"/>
              <w:rPr>
                <w:rFonts w:ascii="Arial" w:eastAsia="Times New Roman" w:hAnsi="Arial" w:cs="Arial"/>
                <w:b/>
                <w:color w:val="000000" w:themeColor="text1"/>
                <w:sz w:val="20"/>
                <w:szCs w:val="20"/>
              </w:rPr>
            </w:pPr>
          </w:p>
        </w:tc>
        <w:tc>
          <w:tcPr>
            <w:tcW w:w="2335" w:type="dxa"/>
            <w:shd w:val="clear" w:color="auto" w:fill="auto"/>
            <w:noWrap/>
            <w:vAlign w:val="bottom"/>
            <w:hideMark/>
          </w:tcPr>
          <w:p w14:paraId="7911B610"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Total</w:t>
            </w:r>
          </w:p>
        </w:tc>
        <w:tc>
          <w:tcPr>
            <w:tcW w:w="2705" w:type="dxa"/>
            <w:shd w:val="clear" w:color="auto" w:fill="auto"/>
            <w:noWrap/>
            <w:vAlign w:val="bottom"/>
            <w:hideMark/>
          </w:tcPr>
          <w:p w14:paraId="378271A9"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100</w:t>
            </w:r>
          </w:p>
        </w:tc>
      </w:tr>
      <w:tr w:rsidR="000C71A2" w:rsidRPr="008B1280" w14:paraId="1C3EC35F" w14:textId="77777777" w:rsidTr="000C71A2">
        <w:trPr>
          <w:gridBefore w:val="1"/>
          <w:wBefore w:w="900" w:type="dxa"/>
          <w:trHeight w:val="290"/>
        </w:trPr>
        <w:tc>
          <w:tcPr>
            <w:tcW w:w="2790" w:type="dxa"/>
            <w:shd w:val="clear" w:color="auto" w:fill="auto"/>
            <w:noWrap/>
            <w:vAlign w:val="bottom"/>
            <w:hideMark/>
          </w:tcPr>
          <w:p w14:paraId="5063908B" w14:textId="77777777" w:rsidR="000C71A2" w:rsidRPr="008B1280" w:rsidRDefault="000C71A2" w:rsidP="000C71A2">
            <w:pPr>
              <w:spacing w:after="0" w:line="360" w:lineRule="auto"/>
              <w:jc w:val="right"/>
              <w:rPr>
                <w:rFonts w:ascii="Arial" w:eastAsia="Times New Roman" w:hAnsi="Arial" w:cs="Arial"/>
                <w:b/>
                <w:color w:val="000000" w:themeColor="text1"/>
                <w:sz w:val="20"/>
                <w:szCs w:val="20"/>
              </w:rPr>
            </w:pPr>
          </w:p>
        </w:tc>
        <w:tc>
          <w:tcPr>
            <w:tcW w:w="2335" w:type="dxa"/>
            <w:shd w:val="clear" w:color="auto" w:fill="auto"/>
            <w:noWrap/>
            <w:vAlign w:val="bottom"/>
            <w:hideMark/>
          </w:tcPr>
          <w:p w14:paraId="16AD01C9" w14:textId="77777777" w:rsidR="000C71A2" w:rsidRPr="008B1280" w:rsidRDefault="000C71A2" w:rsidP="000C71A2">
            <w:pPr>
              <w:spacing w:after="0" w:line="360" w:lineRule="auto"/>
              <w:rPr>
                <w:rFonts w:ascii="Arial" w:eastAsia="Times New Roman" w:hAnsi="Arial" w:cs="Arial"/>
                <w:color w:val="000000" w:themeColor="text1"/>
                <w:sz w:val="20"/>
                <w:szCs w:val="20"/>
              </w:rPr>
            </w:pPr>
          </w:p>
        </w:tc>
        <w:tc>
          <w:tcPr>
            <w:tcW w:w="2705" w:type="dxa"/>
            <w:shd w:val="clear" w:color="auto" w:fill="auto"/>
            <w:noWrap/>
            <w:vAlign w:val="bottom"/>
            <w:hideMark/>
          </w:tcPr>
          <w:p w14:paraId="062A34F8" w14:textId="77777777" w:rsidR="000C71A2" w:rsidRPr="008B1280" w:rsidRDefault="000C71A2" w:rsidP="000C71A2">
            <w:pPr>
              <w:spacing w:after="0" w:line="360" w:lineRule="auto"/>
              <w:jc w:val="center"/>
              <w:rPr>
                <w:rFonts w:ascii="Arial" w:eastAsia="Times New Roman" w:hAnsi="Arial" w:cs="Arial"/>
                <w:b/>
                <w:color w:val="000000" w:themeColor="text1"/>
                <w:sz w:val="20"/>
                <w:szCs w:val="20"/>
              </w:rPr>
            </w:pPr>
            <w:r w:rsidRPr="008B1280">
              <w:rPr>
                <w:rFonts w:ascii="Arial" w:eastAsia="Times New Roman" w:hAnsi="Arial" w:cs="Arial"/>
                <w:b/>
                <w:color w:val="000000" w:themeColor="text1"/>
                <w:sz w:val="20"/>
                <w:szCs w:val="20"/>
              </w:rPr>
              <w:t>Percentage</w:t>
            </w:r>
          </w:p>
        </w:tc>
      </w:tr>
      <w:tr w:rsidR="000C71A2" w:rsidRPr="008B1280" w14:paraId="39C645C0" w14:textId="77777777" w:rsidTr="000C71A2">
        <w:trPr>
          <w:gridBefore w:val="1"/>
          <w:wBefore w:w="900" w:type="dxa"/>
          <w:trHeight w:val="290"/>
        </w:trPr>
        <w:tc>
          <w:tcPr>
            <w:tcW w:w="2790" w:type="dxa"/>
            <w:shd w:val="clear" w:color="auto" w:fill="auto"/>
            <w:noWrap/>
            <w:vAlign w:val="bottom"/>
            <w:hideMark/>
          </w:tcPr>
          <w:p w14:paraId="2ED9CC9C" w14:textId="77777777" w:rsidR="000C71A2" w:rsidRPr="008B1280" w:rsidRDefault="000C71A2" w:rsidP="000C71A2">
            <w:pPr>
              <w:spacing w:after="0" w:line="360" w:lineRule="auto"/>
              <w:rPr>
                <w:rFonts w:ascii="Arial" w:eastAsia="Times New Roman" w:hAnsi="Arial" w:cs="Arial"/>
                <w:b/>
                <w:color w:val="000000" w:themeColor="text1"/>
                <w:sz w:val="20"/>
                <w:szCs w:val="20"/>
              </w:rPr>
            </w:pPr>
          </w:p>
        </w:tc>
        <w:tc>
          <w:tcPr>
            <w:tcW w:w="2335" w:type="dxa"/>
            <w:shd w:val="clear" w:color="auto" w:fill="auto"/>
            <w:noWrap/>
            <w:vAlign w:val="bottom"/>
            <w:hideMark/>
          </w:tcPr>
          <w:p w14:paraId="748B3FE1"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Single</w:t>
            </w:r>
          </w:p>
        </w:tc>
        <w:tc>
          <w:tcPr>
            <w:tcW w:w="2705" w:type="dxa"/>
            <w:shd w:val="clear" w:color="auto" w:fill="auto"/>
            <w:noWrap/>
            <w:vAlign w:val="bottom"/>
            <w:hideMark/>
          </w:tcPr>
          <w:p w14:paraId="1D1E9852"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18.3</w:t>
            </w:r>
          </w:p>
        </w:tc>
      </w:tr>
      <w:tr w:rsidR="000C71A2" w:rsidRPr="008B1280" w14:paraId="674D3C64" w14:textId="77777777" w:rsidTr="000C71A2">
        <w:trPr>
          <w:gridBefore w:val="1"/>
          <w:wBefore w:w="900" w:type="dxa"/>
          <w:trHeight w:val="290"/>
        </w:trPr>
        <w:tc>
          <w:tcPr>
            <w:tcW w:w="2790" w:type="dxa"/>
            <w:shd w:val="clear" w:color="auto" w:fill="auto"/>
            <w:noWrap/>
            <w:vAlign w:val="bottom"/>
            <w:hideMark/>
          </w:tcPr>
          <w:p w14:paraId="066EA6ED" w14:textId="77777777" w:rsidR="000C71A2" w:rsidRPr="008B1280" w:rsidRDefault="000C71A2" w:rsidP="000C71A2">
            <w:pPr>
              <w:spacing w:after="0" w:line="360" w:lineRule="auto"/>
              <w:rPr>
                <w:rFonts w:ascii="Arial" w:eastAsia="Times New Roman" w:hAnsi="Arial" w:cs="Arial"/>
                <w:b/>
                <w:color w:val="000000" w:themeColor="text1"/>
                <w:sz w:val="20"/>
                <w:szCs w:val="20"/>
              </w:rPr>
            </w:pPr>
            <w:r w:rsidRPr="008B1280">
              <w:rPr>
                <w:rFonts w:ascii="Arial" w:eastAsia="Times New Roman" w:hAnsi="Arial" w:cs="Arial"/>
                <w:b/>
                <w:color w:val="000000" w:themeColor="text1"/>
                <w:sz w:val="20"/>
                <w:szCs w:val="20"/>
              </w:rPr>
              <w:t>Marital status</w:t>
            </w:r>
          </w:p>
        </w:tc>
        <w:tc>
          <w:tcPr>
            <w:tcW w:w="2335" w:type="dxa"/>
            <w:shd w:val="clear" w:color="auto" w:fill="auto"/>
            <w:noWrap/>
            <w:vAlign w:val="bottom"/>
            <w:hideMark/>
          </w:tcPr>
          <w:p w14:paraId="5E069335"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Married</w:t>
            </w:r>
          </w:p>
        </w:tc>
        <w:tc>
          <w:tcPr>
            <w:tcW w:w="2705" w:type="dxa"/>
            <w:shd w:val="clear" w:color="auto" w:fill="auto"/>
            <w:noWrap/>
            <w:vAlign w:val="bottom"/>
            <w:hideMark/>
          </w:tcPr>
          <w:p w14:paraId="3D4A528A"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66.7</w:t>
            </w:r>
          </w:p>
        </w:tc>
      </w:tr>
      <w:tr w:rsidR="000C71A2" w:rsidRPr="008B1280" w14:paraId="311D1FB7" w14:textId="77777777" w:rsidTr="000C71A2">
        <w:trPr>
          <w:gridBefore w:val="1"/>
          <w:wBefore w:w="900" w:type="dxa"/>
          <w:trHeight w:val="290"/>
        </w:trPr>
        <w:tc>
          <w:tcPr>
            <w:tcW w:w="2790" w:type="dxa"/>
            <w:shd w:val="clear" w:color="auto" w:fill="auto"/>
            <w:noWrap/>
            <w:vAlign w:val="bottom"/>
            <w:hideMark/>
          </w:tcPr>
          <w:p w14:paraId="1912B461" w14:textId="77777777" w:rsidR="000C71A2" w:rsidRPr="008B1280" w:rsidRDefault="000C71A2" w:rsidP="000C71A2">
            <w:pPr>
              <w:spacing w:after="0" w:line="360" w:lineRule="auto"/>
              <w:rPr>
                <w:rFonts w:ascii="Arial" w:eastAsia="Times New Roman" w:hAnsi="Arial" w:cs="Arial"/>
                <w:b/>
                <w:color w:val="000000" w:themeColor="text1"/>
                <w:sz w:val="20"/>
                <w:szCs w:val="20"/>
              </w:rPr>
            </w:pPr>
          </w:p>
        </w:tc>
        <w:tc>
          <w:tcPr>
            <w:tcW w:w="2335" w:type="dxa"/>
            <w:shd w:val="clear" w:color="auto" w:fill="auto"/>
            <w:noWrap/>
            <w:vAlign w:val="bottom"/>
            <w:hideMark/>
          </w:tcPr>
          <w:p w14:paraId="7D9E9DDD"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Divorced</w:t>
            </w:r>
          </w:p>
        </w:tc>
        <w:tc>
          <w:tcPr>
            <w:tcW w:w="2705" w:type="dxa"/>
            <w:shd w:val="clear" w:color="auto" w:fill="auto"/>
            <w:noWrap/>
            <w:vAlign w:val="bottom"/>
            <w:hideMark/>
          </w:tcPr>
          <w:p w14:paraId="491B2311"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8.1</w:t>
            </w:r>
          </w:p>
        </w:tc>
      </w:tr>
      <w:tr w:rsidR="000C71A2" w:rsidRPr="008B1280" w14:paraId="60E3E43F" w14:textId="77777777" w:rsidTr="000C71A2">
        <w:trPr>
          <w:gridBefore w:val="1"/>
          <w:wBefore w:w="900" w:type="dxa"/>
          <w:trHeight w:val="290"/>
        </w:trPr>
        <w:tc>
          <w:tcPr>
            <w:tcW w:w="2790" w:type="dxa"/>
            <w:shd w:val="clear" w:color="auto" w:fill="auto"/>
            <w:noWrap/>
            <w:vAlign w:val="bottom"/>
            <w:hideMark/>
          </w:tcPr>
          <w:p w14:paraId="45566F78" w14:textId="77777777" w:rsidR="000C71A2" w:rsidRPr="008B1280" w:rsidRDefault="000C71A2" w:rsidP="000C71A2">
            <w:pPr>
              <w:spacing w:after="0" w:line="360" w:lineRule="auto"/>
              <w:jc w:val="right"/>
              <w:rPr>
                <w:rFonts w:ascii="Arial" w:eastAsia="Times New Roman" w:hAnsi="Arial" w:cs="Arial"/>
                <w:b/>
                <w:color w:val="000000" w:themeColor="text1"/>
                <w:sz w:val="20"/>
                <w:szCs w:val="20"/>
              </w:rPr>
            </w:pPr>
          </w:p>
        </w:tc>
        <w:tc>
          <w:tcPr>
            <w:tcW w:w="2335" w:type="dxa"/>
            <w:shd w:val="clear" w:color="auto" w:fill="auto"/>
            <w:noWrap/>
            <w:vAlign w:val="bottom"/>
            <w:hideMark/>
          </w:tcPr>
          <w:p w14:paraId="1FFF2D15"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Widow</w:t>
            </w:r>
          </w:p>
        </w:tc>
        <w:tc>
          <w:tcPr>
            <w:tcW w:w="2705" w:type="dxa"/>
            <w:shd w:val="clear" w:color="auto" w:fill="auto"/>
            <w:noWrap/>
            <w:vAlign w:val="bottom"/>
            <w:hideMark/>
          </w:tcPr>
          <w:p w14:paraId="1B7133FB"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7</w:t>
            </w:r>
          </w:p>
        </w:tc>
      </w:tr>
      <w:tr w:rsidR="000C71A2" w:rsidRPr="008B1280" w14:paraId="6149B4A9" w14:textId="77777777" w:rsidTr="000C71A2">
        <w:trPr>
          <w:gridBefore w:val="1"/>
          <w:wBefore w:w="900" w:type="dxa"/>
          <w:trHeight w:val="290"/>
        </w:trPr>
        <w:tc>
          <w:tcPr>
            <w:tcW w:w="2790" w:type="dxa"/>
            <w:shd w:val="clear" w:color="auto" w:fill="auto"/>
            <w:noWrap/>
            <w:vAlign w:val="bottom"/>
            <w:hideMark/>
          </w:tcPr>
          <w:p w14:paraId="21B82A58" w14:textId="77777777" w:rsidR="000C71A2" w:rsidRPr="008B1280" w:rsidRDefault="000C71A2" w:rsidP="000C71A2">
            <w:pPr>
              <w:spacing w:after="0" w:line="360" w:lineRule="auto"/>
              <w:jc w:val="right"/>
              <w:rPr>
                <w:rFonts w:ascii="Arial" w:eastAsia="Times New Roman" w:hAnsi="Arial" w:cs="Arial"/>
                <w:b/>
                <w:color w:val="000000" w:themeColor="text1"/>
                <w:sz w:val="20"/>
                <w:szCs w:val="20"/>
              </w:rPr>
            </w:pPr>
          </w:p>
        </w:tc>
        <w:tc>
          <w:tcPr>
            <w:tcW w:w="2335" w:type="dxa"/>
            <w:shd w:val="clear" w:color="auto" w:fill="auto"/>
            <w:noWrap/>
            <w:vAlign w:val="bottom"/>
            <w:hideMark/>
          </w:tcPr>
          <w:p w14:paraId="313D2333"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Total</w:t>
            </w:r>
          </w:p>
        </w:tc>
        <w:tc>
          <w:tcPr>
            <w:tcW w:w="2705" w:type="dxa"/>
            <w:shd w:val="clear" w:color="auto" w:fill="auto"/>
            <w:noWrap/>
            <w:vAlign w:val="bottom"/>
            <w:hideMark/>
          </w:tcPr>
          <w:p w14:paraId="117C1BF8"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100</w:t>
            </w:r>
          </w:p>
        </w:tc>
      </w:tr>
      <w:tr w:rsidR="000C71A2" w:rsidRPr="008B1280" w14:paraId="0903CBC0" w14:textId="77777777" w:rsidTr="000C71A2">
        <w:trPr>
          <w:gridBefore w:val="1"/>
          <w:wBefore w:w="900" w:type="dxa"/>
          <w:trHeight w:val="290"/>
        </w:trPr>
        <w:tc>
          <w:tcPr>
            <w:tcW w:w="2790" w:type="dxa"/>
            <w:shd w:val="clear" w:color="auto" w:fill="auto"/>
            <w:noWrap/>
            <w:vAlign w:val="bottom"/>
            <w:hideMark/>
          </w:tcPr>
          <w:p w14:paraId="63A4A0BE" w14:textId="77777777" w:rsidR="000C71A2" w:rsidRPr="008B1280" w:rsidRDefault="000C71A2" w:rsidP="000C71A2">
            <w:pPr>
              <w:spacing w:after="0" w:line="360" w:lineRule="auto"/>
              <w:jc w:val="right"/>
              <w:rPr>
                <w:rFonts w:ascii="Arial" w:eastAsia="Times New Roman" w:hAnsi="Arial" w:cs="Arial"/>
                <w:b/>
                <w:color w:val="000000" w:themeColor="text1"/>
                <w:sz w:val="20"/>
                <w:szCs w:val="20"/>
              </w:rPr>
            </w:pPr>
          </w:p>
        </w:tc>
        <w:tc>
          <w:tcPr>
            <w:tcW w:w="2335" w:type="dxa"/>
            <w:shd w:val="clear" w:color="auto" w:fill="auto"/>
            <w:noWrap/>
            <w:vAlign w:val="bottom"/>
            <w:hideMark/>
          </w:tcPr>
          <w:p w14:paraId="3DB781B3" w14:textId="77777777" w:rsidR="000C71A2" w:rsidRPr="008B1280" w:rsidRDefault="000C71A2" w:rsidP="000C71A2">
            <w:pPr>
              <w:spacing w:after="0" w:line="360" w:lineRule="auto"/>
              <w:rPr>
                <w:rFonts w:ascii="Arial" w:eastAsia="Times New Roman" w:hAnsi="Arial" w:cs="Arial"/>
                <w:color w:val="000000" w:themeColor="text1"/>
                <w:sz w:val="20"/>
                <w:szCs w:val="20"/>
              </w:rPr>
            </w:pPr>
          </w:p>
        </w:tc>
        <w:tc>
          <w:tcPr>
            <w:tcW w:w="2705" w:type="dxa"/>
            <w:shd w:val="clear" w:color="auto" w:fill="auto"/>
            <w:noWrap/>
            <w:vAlign w:val="bottom"/>
            <w:hideMark/>
          </w:tcPr>
          <w:p w14:paraId="43F7805A" w14:textId="77777777" w:rsidR="000C71A2" w:rsidRPr="008B1280" w:rsidRDefault="000C71A2" w:rsidP="000C71A2">
            <w:pPr>
              <w:spacing w:after="0" w:line="360" w:lineRule="auto"/>
              <w:jc w:val="center"/>
              <w:rPr>
                <w:rFonts w:ascii="Arial" w:eastAsia="Times New Roman" w:hAnsi="Arial" w:cs="Arial"/>
                <w:b/>
                <w:color w:val="000000" w:themeColor="text1"/>
                <w:sz w:val="20"/>
                <w:szCs w:val="20"/>
              </w:rPr>
            </w:pPr>
            <w:r w:rsidRPr="008B1280">
              <w:rPr>
                <w:rFonts w:ascii="Arial" w:eastAsia="Times New Roman" w:hAnsi="Arial" w:cs="Arial"/>
                <w:b/>
                <w:color w:val="000000" w:themeColor="text1"/>
                <w:sz w:val="20"/>
                <w:szCs w:val="20"/>
              </w:rPr>
              <w:t>Percentage</w:t>
            </w:r>
          </w:p>
        </w:tc>
      </w:tr>
      <w:tr w:rsidR="000C71A2" w:rsidRPr="008B1280" w14:paraId="3AF14E5B" w14:textId="77777777" w:rsidTr="000C71A2">
        <w:trPr>
          <w:gridBefore w:val="1"/>
          <w:wBefore w:w="900" w:type="dxa"/>
          <w:trHeight w:val="290"/>
        </w:trPr>
        <w:tc>
          <w:tcPr>
            <w:tcW w:w="2790" w:type="dxa"/>
            <w:shd w:val="clear" w:color="auto" w:fill="auto"/>
            <w:noWrap/>
            <w:vAlign w:val="bottom"/>
            <w:hideMark/>
          </w:tcPr>
          <w:p w14:paraId="71AC2A10" w14:textId="77777777" w:rsidR="000C71A2" w:rsidRPr="008B1280" w:rsidRDefault="000C71A2" w:rsidP="000C71A2">
            <w:pPr>
              <w:spacing w:after="0" w:line="360" w:lineRule="auto"/>
              <w:rPr>
                <w:rFonts w:ascii="Arial" w:eastAsia="Times New Roman" w:hAnsi="Arial" w:cs="Arial"/>
                <w:b/>
                <w:color w:val="000000" w:themeColor="text1"/>
                <w:sz w:val="20"/>
                <w:szCs w:val="20"/>
              </w:rPr>
            </w:pPr>
            <w:r w:rsidRPr="008B1280">
              <w:rPr>
                <w:rFonts w:ascii="Arial" w:eastAsia="Times New Roman" w:hAnsi="Arial" w:cs="Arial"/>
                <w:b/>
                <w:color w:val="000000" w:themeColor="text1"/>
                <w:sz w:val="20"/>
                <w:szCs w:val="20"/>
              </w:rPr>
              <w:t>Occupation</w:t>
            </w:r>
          </w:p>
        </w:tc>
        <w:tc>
          <w:tcPr>
            <w:tcW w:w="2335" w:type="dxa"/>
            <w:shd w:val="clear" w:color="auto" w:fill="auto"/>
            <w:noWrap/>
            <w:vAlign w:val="bottom"/>
            <w:hideMark/>
          </w:tcPr>
          <w:p w14:paraId="74D6932F"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Student</w:t>
            </w:r>
          </w:p>
        </w:tc>
        <w:tc>
          <w:tcPr>
            <w:tcW w:w="2705" w:type="dxa"/>
            <w:shd w:val="clear" w:color="auto" w:fill="auto"/>
            <w:noWrap/>
            <w:vAlign w:val="bottom"/>
            <w:hideMark/>
          </w:tcPr>
          <w:p w14:paraId="66D95727"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18.8</w:t>
            </w:r>
          </w:p>
        </w:tc>
      </w:tr>
      <w:tr w:rsidR="000C71A2" w:rsidRPr="008B1280" w14:paraId="1DDF1FFA" w14:textId="77777777" w:rsidTr="000C71A2">
        <w:trPr>
          <w:gridBefore w:val="1"/>
          <w:wBefore w:w="900" w:type="dxa"/>
          <w:trHeight w:val="290"/>
        </w:trPr>
        <w:tc>
          <w:tcPr>
            <w:tcW w:w="2790" w:type="dxa"/>
            <w:shd w:val="clear" w:color="auto" w:fill="auto"/>
            <w:noWrap/>
            <w:vAlign w:val="bottom"/>
            <w:hideMark/>
          </w:tcPr>
          <w:p w14:paraId="5657D512" w14:textId="77777777" w:rsidR="000C71A2" w:rsidRPr="008B1280" w:rsidRDefault="000C71A2" w:rsidP="000C71A2">
            <w:pPr>
              <w:spacing w:after="0" w:line="360" w:lineRule="auto"/>
              <w:jc w:val="right"/>
              <w:rPr>
                <w:rFonts w:ascii="Arial" w:eastAsia="Times New Roman" w:hAnsi="Arial" w:cs="Arial"/>
                <w:b/>
                <w:color w:val="000000" w:themeColor="text1"/>
                <w:sz w:val="20"/>
                <w:szCs w:val="20"/>
              </w:rPr>
            </w:pPr>
          </w:p>
        </w:tc>
        <w:tc>
          <w:tcPr>
            <w:tcW w:w="2335" w:type="dxa"/>
            <w:shd w:val="clear" w:color="auto" w:fill="auto"/>
            <w:noWrap/>
            <w:vAlign w:val="bottom"/>
            <w:hideMark/>
          </w:tcPr>
          <w:p w14:paraId="0295EF7B"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Trading/Business</w:t>
            </w:r>
          </w:p>
        </w:tc>
        <w:tc>
          <w:tcPr>
            <w:tcW w:w="2705" w:type="dxa"/>
            <w:shd w:val="clear" w:color="auto" w:fill="auto"/>
            <w:noWrap/>
            <w:vAlign w:val="bottom"/>
            <w:hideMark/>
          </w:tcPr>
          <w:p w14:paraId="4D10F04A"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28.5</w:t>
            </w:r>
          </w:p>
        </w:tc>
      </w:tr>
      <w:tr w:rsidR="000C71A2" w:rsidRPr="008B1280" w14:paraId="4784394B" w14:textId="77777777" w:rsidTr="000C71A2">
        <w:trPr>
          <w:gridBefore w:val="1"/>
          <w:wBefore w:w="900" w:type="dxa"/>
          <w:trHeight w:val="290"/>
        </w:trPr>
        <w:tc>
          <w:tcPr>
            <w:tcW w:w="2790" w:type="dxa"/>
            <w:shd w:val="clear" w:color="auto" w:fill="auto"/>
            <w:noWrap/>
            <w:vAlign w:val="bottom"/>
            <w:hideMark/>
          </w:tcPr>
          <w:p w14:paraId="13DA832E" w14:textId="77777777" w:rsidR="000C71A2" w:rsidRPr="008B1280" w:rsidRDefault="000C71A2" w:rsidP="000C71A2">
            <w:pPr>
              <w:spacing w:after="0" w:line="360" w:lineRule="auto"/>
              <w:jc w:val="right"/>
              <w:rPr>
                <w:rFonts w:ascii="Arial" w:eastAsia="Times New Roman" w:hAnsi="Arial" w:cs="Arial"/>
                <w:color w:val="000000" w:themeColor="text1"/>
                <w:sz w:val="20"/>
                <w:szCs w:val="20"/>
              </w:rPr>
            </w:pPr>
          </w:p>
        </w:tc>
        <w:tc>
          <w:tcPr>
            <w:tcW w:w="2335" w:type="dxa"/>
            <w:shd w:val="clear" w:color="auto" w:fill="auto"/>
            <w:noWrap/>
            <w:vAlign w:val="bottom"/>
            <w:hideMark/>
          </w:tcPr>
          <w:p w14:paraId="40E72885"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Artisan</w:t>
            </w:r>
          </w:p>
        </w:tc>
        <w:tc>
          <w:tcPr>
            <w:tcW w:w="2705" w:type="dxa"/>
            <w:shd w:val="clear" w:color="auto" w:fill="auto"/>
            <w:noWrap/>
            <w:vAlign w:val="bottom"/>
            <w:hideMark/>
          </w:tcPr>
          <w:p w14:paraId="7F0A419E"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21.5</w:t>
            </w:r>
          </w:p>
        </w:tc>
      </w:tr>
      <w:tr w:rsidR="000C71A2" w:rsidRPr="008B1280" w14:paraId="5276D630" w14:textId="77777777" w:rsidTr="000C71A2">
        <w:trPr>
          <w:gridBefore w:val="1"/>
          <w:wBefore w:w="900" w:type="dxa"/>
          <w:trHeight w:val="54"/>
        </w:trPr>
        <w:tc>
          <w:tcPr>
            <w:tcW w:w="2790" w:type="dxa"/>
            <w:shd w:val="clear" w:color="auto" w:fill="auto"/>
            <w:noWrap/>
            <w:vAlign w:val="bottom"/>
            <w:hideMark/>
          </w:tcPr>
          <w:p w14:paraId="3696C57E" w14:textId="77777777" w:rsidR="000C71A2" w:rsidRPr="008B1280" w:rsidRDefault="000C71A2" w:rsidP="000C71A2">
            <w:pPr>
              <w:spacing w:after="0" w:line="360" w:lineRule="auto"/>
              <w:jc w:val="right"/>
              <w:rPr>
                <w:rFonts w:ascii="Arial" w:eastAsia="Times New Roman" w:hAnsi="Arial" w:cs="Arial"/>
                <w:color w:val="000000" w:themeColor="text1"/>
                <w:sz w:val="20"/>
                <w:szCs w:val="20"/>
              </w:rPr>
            </w:pPr>
          </w:p>
        </w:tc>
        <w:tc>
          <w:tcPr>
            <w:tcW w:w="2335" w:type="dxa"/>
            <w:shd w:val="clear" w:color="auto" w:fill="auto"/>
            <w:noWrap/>
            <w:vAlign w:val="bottom"/>
            <w:hideMark/>
          </w:tcPr>
          <w:p w14:paraId="5123450B"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Professional</w:t>
            </w:r>
          </w:p>
        </w:tc>
        <w:tc>
          <w:tcPr>
            <w:tcW w:w="2705" w:type="dxa"/>
            <w:shd w:val="clear" w:color="auto" w:fill="auto"/>
            <w:noWrap/>
            <w:vAlign w:val="bottom"/>
            <w:hideMark/>
          </w:tcPr>
          <w:p w14:paraId="511CA1C5"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4.3</w:t>
            </w:r>
          </w:p>
        </w:tc>
      </w:tr>
      <w:tr w:rsidR="000C71A2" w:rsidRPr="008B1280" w14:paraId="20E643FB" w14:textId="77777777" w:rsidTr="000C71A2">
        <w:trPr>
          <w:gridBefore w:val="1"/>
          <w:wBefore w:w="900" w:type="dxa"/>
          <w:trHeight w:val="290"/>
        </w:trPr>
        <w:tc>
          <w:tcPr>
            <w:tcW w:w="2790" w:type="dxa"/>
            <w:shd w:val="clear" w:color="auto" w:fill="auto"/>
            <w:noWrap/>
            <w:vAlign w:val="bottom"/>
            <w:hideMark/>
          </w:tcPr>
          <w:p w14:paraId="3403BE30" w14:textId="77777777" w:rsidR="000C71A2" w:rsidRPr="008B1280" w:rsidRDefault="000C71A2" w:rsidP="000C71A2">
            <w:pPr>
              <w:spacing w:after="0" w:line="360" w:lineRule="auto"/>
              <w:jc w:val="right"/>
              <w:rPr>
                <w:rFonts w:ascii="Arial" w:eastAsia="Times New Roman" w:hAnsi="Arial" w:cs="Arial"/>
                <w:color w:val="000000" w:themeColor="text1"/>
                <w:sz w:val="20"/>
                <w:szCs w:val="20"/>
              </w:rPr>
            </w:pPr>
          </w:p>
        </w:tc>
        <w:tc>
          <w:tcPr>
            <w:tcW w:w="2335" w:type="dxa"/>
            <w:shd w:val="clear" w:color="auto" w:fill="auto"/>
            <w:noWrap/>
            <w:vAlign w:val="bottom"/>
            <w:hideMark/>
          </w:tcPr>
          <w:p w14:paraId="0EA40D9C"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Civil Servant</w:t>
            </w:r>
          </w:p>
        </w:tc>
        <w:tc>
          <w:tcPr>
            <w:tcW w:w="2705" w:type="dxa"/>
            <w:shd w:val="clear" w:color="auto" w:fill="auto"/>
            <w:noWrap/>
            <w:vAlign w:val="bottom"/>
            <w:hideMark/>
          </w:tcPr>
          <w:p w14:paraId="46AAC8CD"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12.4</w:t>
            </w:r>
          </w:p>
        </w:tc>
      </w:tr>
      <w:tr w:rsidR="000C71A2" w:rsidRPr="008B1280" w14:paraId="66CCA09C" w14:textId="77777777" w:rsidTr="000C71A2">
        <w:trPr>
          <w:gridBefore w:val="1"/>
          <w:wBefore w:w="900" w:type="dxa"/>
          <w:trHeight w:val="290"/>
        </w:trPr>
        <w:tc>
          <w:tcPr>
            <w:tcW w:w="2790" w:type="dxa"/>
            <w:shd w:val="clear" w:color="auto" w:fill="auto"/>
            <w:noWrap/>
            <w:vAlign w:val="bottom"/>
            <w:hideMark/>
          </w:tcPr>
          <w:p w14:paraId="3CCAB00D" w14:textId="77777777" w:rsidR="000C71A2" w:rsidRPr="008B1280" w:rsidRDefault="000C71A2" w:rsidP="000C71A2">
            <w:pPr>
              <w:spacing w:after="0" w:line="360" w:lineRule="auto"/>
              <w:jc w:val="right"/>
              <w:rPr>
                <w:rFonts w:ascii="Arial" w:eastAsia="Times New Roman" w:hAnsi="Arial" w:cs="Arial"/>
                <w:color w:val="000000" w:themeColor="text1"/>
                <w:sz w:val="20"/>
                <w:szCs w:val="20"/>
              </w:rPr>
            </w:pPr>
          </w:p>
        </w:tc>
        <w:tc>
          <w:tcPr>
            <w:tcW w:w="2335" w:type="dxa"/>
            <w:shd w:val="clear" w:color="auto" w:fill="auto"/>
            <w:noWrap/>
            <w:vAlign w:val="bottom"/>
            <w:hideMark/>
          </w:tcPr>
          <w:p w14:paraId="46D0C195"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Cleric</w:t>
            </w:r>
          </w:p>
        </w:tc>
        <w:tc>
          <w:tcPr>
            <w:tcW w:w="2705" w:type="dxa"/>
            <w:shd w:val="clear" w:color="auto" w:fill="auto"/>
            <w:noWrap/>
            <w:vAlign w:val="bottom"/>
            <w:hideMark/>
          </w:tcPr>
          <w:p w14:paraId="519F4952"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5.4</w:t>
            </w:r>
          </w:p>
        </w:tc>
      </w:tr>
      <w:tr w:rsidR="000C71A2" w:rsidRPr="008B1280" w14:paraId="1CA8BCA9" w14:textId="77777777" w:rsidTr="000C71A2">
        <w:trPr>
          <w:gridBefore w:val="1"/>
          <w:wBefore w:w="900" w:type="dxa"/>
          <w:trHeight w:val="290"/>
        </w:trPr>
        <w:tc>
          <w:tcPr>
            <w:tcW w:w="2790" w:type="dxa"/>
            <w:shd w:val="clear" w:color="auto" w:fill="auto"/>
            <w:noWrap/>
            <w:vAlign w:val="bottom"/>
            <w:hideMark/>
          </w:tcPr>
          <w:p w14:paraId="533A67FF" w14:textId="77777777" w:rsidR="000C71A2" w:rsidRPr="008B1280" w:rsidRDefault="000C71A2" w:rsidP="000C71A2">
            <w:pPr>
              <w:spacing w:after="0" w:line="360" w:lineRule="auto"/>
              <w:jc w:val="right"/>
              <w:rPr>
                <w:rFonts w:ascii="Arial" w:eastAsia="Times New Roman" w:hAnsi="Arial" w:cs="Arial"/>
                <w:color w:val="000000" w:themeColor="text1"/>
                <w:sz w:val="20"/>
                <w:szCs w:val="20"/>
              </w:rPr>
            </w:pPr>
          </w:p>
        </w:tc>
        <w:tc>
          <w:tcPr>
            <w:tcW w:w="2335" w:type="dxa"/>
            <w:shd w:val="clear" w:color="auto" w:fill="auto"/>
            <w:noWrap/>
            <w:vAlign w:val="bottom"/>
            <w:hideMark/>
          </w:tcPr>
          <w:p w14:paraId="02B48DFD"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Retiree</w:t>
            </w:r>
          </w:p>
        </w:tc>
        <w:tc>
          <w:tcPr>
            <w:tcW w:w="2705" w:type="dxa"/>
            <w:shd w:val="clear" w:color="auto" w:fill="auto"/>
            <w:noWrap/>
            <w:vAlign w:val="bottom"/>
            <w:hideMark/>
          </w:tcPr>
          <w:p w14:paraId="63B7C90C"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3.8</w:t>
            </w:r>
          </w:p>
        </w:tc>
      </w:tr>
      <w:tr w:rsidR="000C71A2" w:rsidRPr="008B1280" w14:paraId="27B1CB90" w14:textId="77777777" w:rsidTr="000C71A2">
        <w:trPr>
          <w:gridBefore w:val="1"/>
          <w:wBefore w:w="900" w:type="dxa"/>
          <w:trHeight w:val="290"/>
        </w:trPr>
        <w:tc>
          <w:tcPr>
            <w:tcW w:w="2790" w:type="dxa"/>
            <w:shd w:val="clear" w:color="auto" w:fill="auto"/>
            <w:noWrap/>
            <w:vAlign w:val="bottom"/>
          </w:tcPr>
          <w:p w14:paraId="105A6E13" w14:textId="77777777" w:rsidR="000C71A2" w:rsidRPr="008B1280" w:rsidRDefault="000C71A2" w:rsidP="000C71A2">
            <w:pPr>
              <w:spacing w:after="0" w:line="360" w:lineRule="auto"/>
              <w:jc w:val="right"/>
              <w:rPr>
                <w:rFonts w:ascii="Arial" w:eastAsia="Times New Roman" w:hAnsi="Arial" w:cs="Arial"/>
                <w:color w:val="000000" w:themeColor="text1"/>
                <w:sz w:val="20"/>
                <w:szCs w:val="20"/>
              </w:rPr>
            </w:pPr>
          </w:p>
        </w:tc>
        <w:tc>
          <w:tcPr>
            <w:tcW w:w="2335" w:type="dxa"/>
            <w:shd w:val="clear" w:color="auto" w:fill="auto"/>
            <w:noWrap/>
            <w:vAlign w:val="bottom"/>
          </w:tcPr>
          <w:p w14:paraId="783D77BC" w14:textId="77777777" w:rsidR="000C71A2" w:rsidRPr="008B1280" w:rsidRDefault="000C71A2" w:rsidP="000C71A2">
            <w:pPr>
              <w:spacing w:after="0" w:line="360" w:lineRule="auto"/>
              <w:rPr>
                <w:rFonts w:ascii="Arial" w:eastAsia="Times New Roman" w:hAnsi="Arial" w:cs="Arial"/>
                <w:color w:val="000000" w:themeColor="text1"/>
                <w:sz w:val="20"/>
                <w:szCs w:val="20"/>
              </w:rPr>
            </w:pPr>
          </w:p>
        </w:tc>
        <w:tc>
          <w:tcPr>
            <w:tcW w:w="2705" w:type="dxa"/>
            <w:shd w:val="clear" w:color="auto" w:fill="auto"/>
            <w:noWrap/>
            <w:vAlign w:val="bottom"/>
          </w:tcPr>
          <w:p w14:paraId="69276746" w14:textId="77777777" w:rsidR="000C71A2" w:rsidRPr="008B1280" w:rsidRDefault="000C71A2" w:rsidP="000C71A2">
            <w:pPr>
              <w:spacing w:after="0" w:line="360" w:lineRule="auto"/>
              <w:jc w:val="center"/>
              <w:rPr>
                <w:rFonts w:ascii="Arial" w:eastAsia="Times New Roman" w:hAnsi="Arial" w:cs="Arial"/>
                <w:b/>
                <w:color w:val="000000" w:themeColor="text1"/>
                <w:sz w:val="20"/>
                <w:szCs w:val="20"/>
              </w:rPr>
            </w:pPr>
            <w:r w:rsidRPr="008B1280">
              <w:rPr>
                <w:rFonts w:ascii="Arial" w:eastAsia="Times New Roman" w:hAnsi="Arial" w:cs="Arial"/>
                <w:b/>
                <w:color w:val="000000" w:themeColor="text1"/>
                <w:sz w:val="20"/>
                <w:szCs w:val="20"/>
              </w:rPr>
              <w:t>Percentage</w:t>
            </w:r>
          </w:p>
        </w:tc>
      </w:tr>
      <w:tr w:rsidR="000C71A2" w:rsidRPr="008B1280" w14:paraId="26A8DDBC" w14:textId="77777777" w:rsidTr="000C71A2">
        <w:trPr>
          <w:gridBefore w:val="1"/>
          <w:wBefore w:w="900" w:type="dxa"/>
          <w:trHeight w:val="290"/>
        </w:trPr>
        <w:tc>
          <w:tcPr>
            <w:tcW w:w="2790" w:type="dxa"/>
            <w:shd w:val="clear" w:color="auto" w:fill="auto"/>
            <w:noWrap/>
            <w:vAlign w:val="bottom"/>
          </w:tcPr>
          <w:p w14:paraId="6ADB12B3"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b/>
                <w:color w:val="000000" w:themeColor="text1"/>
                <w:sz w:val="20"/>
                <w:szCs w:val="20"/>
              </w:rPr>
              <w:lastRenderedPageBreak/>
              <w:t>Range of Income</w:t>
            </w:r>
          </w:p>
        </w:tc>
        <w:tc>
          <w:tcPr>
            <w:tcW w:w="2335" w:type="dxa"/>
            <w:shd w:val="clear" w:color="auto" w:fill="auto"/>
            <w:noWrap/>
            <w:vAlign w:val="bottom"/>
          </w:tcPr>
          <w:p w14:paraId="7169507D"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Below 30,000</w:t>
            </w:r>
          </w:p>
        </w:tc>
        <w:tc>
          <w:tcPr>
            <w:tcW w:w="2705" w:type="dxa"/>
            <w:shd w:val="clear" w:color="auto" w:fill="auto"/>
            <w:noWrap/>
            <w:vAlign w:val="bottom"/>
          </w:tcPr>
          <w:p w14:paraId="7041C82A"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18.3</w:t>
            </w:r>
          </w:p>
        </w:tc>
      </w:tr>
      <w:tr w:rsidR="000C71A2" w:rsidRPr="008B1280" w14:paraId="650FE34D" w14:textId="77777777" w:rsidTr="000C71A2">
        <w:trPr>
          <w:gridBefore w:val="1"/>
          <w:wBefore w:w="900" w:type="dxa"/>
          <w:trHeight w:val="54"/>
        </w:trPr>
        <w:tc>
          <w:tcPr>
            <w:tcW w:w="2790" w:type="dxa"/>
            <w:shd w:val="clear" w:color="auto" w:fill="auto"/>
            <w:noWrap/>
            <w:vAlign w:val="bottom"/>
            <w:hideMark/>
          </w:tcPr>
          <w:p w14:paraId="374F2D1F" w14:textId="77777777" w:rsidR="000C71A2" w:rsidRPr="008B1280" w:rsidRDefault="000C71A2" w:rsidP="000C71A2">
            <w:pPr>
              <w:spacing w:after="0" w:line="360" w:lineRule="auto"/>
              <w:jc w:val="right"/>
              <w:rPr>
                <w:rFonts w:ascii="Arial" w:eastAsia="Times New Roman" w:hAnsi="Arial" w:cs="Arial"/>
                <w:color w:val="000000" w:themeColor="text1"/>
                <w:sz w:val="20"/>
                <w:szCs w:val="20"/>
              </w:rPr>
            </w:pPr>
          </w:p>
        </w:tc>
        <w:tc>
          <w:tcPr>
            <w:tcW w:w="2335" w:type="dxa"/>
            <w:shd w:val="clear" w:color="auto" w:fill="auto"/>
            <w:noWrap/>
            <w:vAlign w:val="bottom"/>
            <w:hideMark/>
          </w:tcPr>
          <w:p w14:paraId="7382BE19"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30,000 – 50,000</w:t>
            </w:r>
          </w:p>
        </w:tc>
        <w:tc>
          <w:tcPr>
            <w:tcW w:w="2705" w:type="dxa"/>
            <w:shd w:val="clear" w:color="auto" w:fill="auto"/>
            <w:noWrap/>
            <w:vAlign w:val="bottom"/>
            <w:hideMark/>
          </w:tcPr>
          <w:p w14:paraId="79C3BBFD"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35.5</w:t>
            </w:r>
          </w:p>
        </w:tc>
      </w:tr>
      <w:tr w:rsidR="000C71A2" w:rsidRPr="008B1280" w14:paraId="757DF4C2" w14:textId="77777777" w:rsidTr="000C71A2">
        <w:trPr>
          <w:gridBefore w:val="1"/>
          <w:wBefore w:w="900" w:type="dxa"/>
          <w:trHeight w:val="54"/>
        </w:trPr>
        <w:tc>
          <w:tcPr>
            <w:tcW w:w="2790" w:type="dxa"/>
            <w:shd w:val="clear" w:color="auto" w:fill="auto"/>
            <w:noWrap/>
            <w:vAlign w:val="bottom"/>
          </w:tcPr>
          <w:p w14:paraId="2D8FEDB2" w14:textId="77777777" w:rsidR="000C71A2" w:rsidRPr="008B1280" w:rsidRDefault="000C71A2" w:rsidP="000C71A2">
            <w:pPr>
              <w:spacing w:after="0" w:line="360" w:lineRule="auto"/>
              <w:jc w:val="right"/>
              <w:rPr>
                <w:rFonts w:ascii="Arial" w:eastAsia="Times New Roman" w:hAnsi="Arial" w:cs="Arial"/>
                <w:color w:val="000000" w:themeColor="text1"/>
                <w:sz w:val="20"/>
                <w:szCs w:val="20"/>
              </w:rPr>
            </w:pPr>
          </w:p>
        </w:tc>
        <w:tc>
          <w:tcPr>
            <w:tcW w:w="2335" w:type="dxa"/>
            <w:shd w:val="clear" w:color="auto" w:fill="auto"/>
            <w:noWrap/>
            <w:vAlign w:val="bottom"/>
          </w:tcPr>
          <w:p w14:paraId="059E8EA6"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50,000-100,000</w:t>
            </w:r>
          </w:p>
        </w:tc>
        <w:tc>
          <w:tcPr>
            <w:tcW w:w="2705" w:type="dxa"/>
            <w:shd w:val="clear" w:color="auto" w:fill="auto"/>
            <w:noWrap/>
            <w:vAlign w:val="bottom"/>
          </w:tcPr>
          <w:p w14:paraId="2ED326A3"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14.0</w:t>
            </w:r>
          </w:p>
        </w:tc>
      </w:tr>
      <w:tr w:rsidR="000C71A2" w:rsidRPr="008B1280" w14:paraId="04FAD2EE" w14:textId="77777777" w:rsidTr="000C71A2">
        <w:trPr>
          <w:gridBefore w:val="1"/>
          <w:wBefore w:w="900" w:type="dxa"/>
          <w:trHeight w:val="54"/>
        </w:trPr>
        <w:tc>
          <w:tcPr>
            <w:tcW w:w="2790" w:type="dxa"/>
            <w:shd w:val="clear" w:color="auto" w:fill="auto"/>
            <w:noWrap/>
            <w:vAlign w:val="bottom"/>
          </w:tcPr>
          <w:p w14:paraId="7C23A37E" w14:textId="77777777" w:rsidR="000C71A2" w:rsidRPr="008B1280" w:rsidRDefault="000C71A2" w:rsidP="000C71A2">
            <w:pPr>
              <w:spacing w:after="0" w:line="360" w:lineRule="auto"/>
              <w:jc w:val="right"/>
              <w:rPr>
                <w:rFonts w:ascii="Arial" w:eastAsia="Times New Roman" w:hAnsi="Arial" w:cs="Arial"/>
                <w:color w:val="000000" w:themeColor="text1"/>
                <w:sz w:val="20"/>
                <w:szCs w:val="20"/>
              </w:rPr>
            </w:pPr>
          </w:p>
        </w:tc>
        <w:tc>
          <w:tcPr>
            <w:tcW w:w="2335" w:type="dxa"/>
            <w:shd w:val="clear" w:color="auto" w:fill="auto"/>
            <w:noWrap/>
            <w:vAlign w:val="bottom"/>
          </w:tcPr>
          <w:p w14:paraId="7E442410"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100,000 – 150,000</w:t>
            </w:r>
          </w:p>
        </w:tc>
        <w:tc>
          <w:tcPr>
            <w:tcW w:w="2705" w:type="dxa"/>
            <w:shd w:val="clear" w:color="auto" w:fill="auto"/>
            <w:noWrap/>
            <w:vAlign w:val="bottom"/>
          </w:tcPr>
          <w:p w14:paraId="17286D6E"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2.7</w:t>
            </w:r>
          </w:p>
        </w:tc>
      </w:tr>
      <w:tr w:rsidR="000C71A2" w:rsidRPr="008B1280" w14:paraId="7DACC9CB" w14:textId="77777777" w:rsidTr="000C71A2">
        <w:trPr>
          <w:gridBefore w:val="1"/>
          <w:wBefore w:w="900" w:type="dxa"/>
          <w:trHeight w:val="54"/>
        </w:trPr>
        <w:tc>
          <w:tcPr>
            <w:tcW w:w="2790" w:type="dxa"/>
            <w:tcBorders>
              <w:bottom w:val="single" w:sz="8" w:space="0" w:color="auto"/>
            </w:tcBorders>
            <w:shd w:val="clear" w:color="auto" w:fill="auto"/>
            <w:noWrap/>
            <w:vAlign w:val="bottom"/>
          </w:tcPr>
          <w:p w14:paraId="257AB041" w14:textId="77777777" w:rsidR="000C71A2" w:rsidRPr="008B1280" w:rsidRDefault="000C71A2" w:rsidP="000C71A2">
            <w:pPr>
              <w:spacing w:after="0" w:line="360" w:lineRule="auto"/>
              <w:jc w:val="right"/>
              <w:rPr>
                <w:rFonts w:ascii="Arial" w:eastAsia="Times New Roman" w:hAnsi="Arial" w:cs="Arial"/>
                <w:color w:val="000000" w:themeColor="text1"/>
                <w:sz w:val="20"/>
                <w:szCs w:val="20"/>
              </w:rPr>
            </w:pPr>
          </w:p>
        </w:tc>
        <w:tc>
          <w:tcPr>
            <w:tcW w:w="2335" w:type="dxa"/>
            <w:tcBorders>
              <w:bottom w:val="single" w:sz="8" w:space="0" w:color="auto"/>
            </w:tcBorders>
            <w:shd w:val="clear" w:color="auto" w:fill="auto"/>
            <w:noWrap/>
            <w:vAlign w:val="bottom"/>
          </w:tcPr>
          <w:p w14:paraId="6EC88580" w14:textId="77777777" w:rsidR="000C71A2" w:rsidRPr="008B1280" w:rsidRDefault="000C71A2" w:rsidP="000C71A2">
            <w:pPr>
              <w:spacing w:after="0" w:line="360" w:lineRule="auto"/>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Total</w:t>
            </w:r>
          </w:p>
        </w:tc>
        <w:tc>
          <w:tcPr>
            <w:tcW w:w="2705" w:type="dxa"/>
            <w:tcBorders>
              <w:bottom w:val="single" w:sz="8" w:space="0" w:color="auto"/>
            </w:tcBorders>
            <w:shd w:val="clear" w:color="auto" w:fill="auto"/>
            <w:noWrap/>
            <w:vAlign w:val="bottom"/>
          </w:tcPr>
          <w:p w14:paraId="1DB6822D" w14:textId="77777777" w:rsidR="000C71A2" w:rsidRPr="008B1280" w:rsidRDefault="000C71A2" w:rsidP="000C71A2">
            <w:pPr>
              <w:spacing w:after="0"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100</w:t>
            </w:r>
          </w:p>
        </w:tc>
      </w:tr>
    </w:tbl>
    <w:p w14:paraId="177B3202" w14:textId="77777777" w:rsidR="002D68CC" w:rsidRDefault="002D68CC">
      <w:pPr>
        <w:spacing w:line="360" w:lineRule="auto"/>
        <w:jc w:val="both"/>
        <w:rPr>
          <w:rFonts w:ascii="Arial" w:hAnsi="Arial" w:cs="Arial"/>
          <w:color w:val="000000" w:themeColor="text1"/>
          <w:sz w:val="20"/>
          <w:szCs w:val="20"/>
        </w:rPr>
      </w:pPr>
    </w:p>
    <w:p w14:paraId="10072C55" w14:textId="77777777" w:rsidR="002D68CC" w:rsidRDefault="002D68CC">
      <w:pPr>
        <w:spacing w:line="360" w:lineRule="auto"/>
        <w:jc w:val="both"/>
        <w:rPr>
          <w:rFonts w:ascii="Arial" w:hAnsi="Arial" w:cs="Arial"/>
          <w:color w:val="000000" w:themeColor="text1"/>
          <w:sz w:val="20"/>
          <w:szCs w:val="20"/>
        </w:rPr>
      </w:pPr>
    </w:p>
    <w:p w14:paraId="0133745A" w14:textId="6C3A34C4" w:rsidR="004C4CD6" w:rsidRPr="008B1280" w:rsidRDefault="006C7148">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 xml:space="preserve">Income levels among respondents indicate a predominance of low-income earners, reflecting the financial constraints that impact their housing choices. Findings reveal that 29.6% of respondents had no source of income, while 18.3% earned below ₦30,000 per month, and 35.5% earned between ₦30,000 - ₦50,000 per month. Additionally, 14.0% of respondents earned between ₦50,000 - ₦100,000 per month, whereas only 2.7% earned between ₦100,000 - ₦150,000 per month. These figures demonstrate that a significant proportion of respondents fall within the low-income bracket, which directly influences their ability to afford adequate housing. Given that 100% of respondents reside in rented housing, the economic burden of rent payments is evident, as many households likely spend a substantial portion of their earnings on housing. This underscores the pressing need for affordable housing initiatives and financial interventions to improve access to decent living conditions for low-income earners </w:t>
      </w:r>
      <w:r w:rsidR="00E6449D" w:rsidRPr="008B1280">
        <w:rPr>
          <w:rFonts w:ascii="Arial" w:hAnsi="Arial" w:cs="Arial"/>
          <w:color w:val="000000" w:themeColor="text1"/>
          <w:sz w:val="20"/>
          <w:szCs w:val="20"/>
        </w:rPr>
        <w:t xml:space="preserve">in the study area. </w:t>
      </w:r>
    </w:p>
    <w:p w14:paraId="596E7B8B" w14:textId="6C0DC338" w:rsidR="00E6449D" w:rsidRPr="008B1280" w:rsidRDefault="0074495A">
      <w:pPr>
        <w:spacing w:line="360" w:lineRule="auto"/>
        <w:jc w:val="both"/>
        <w:rPr>
          <w:rFonts w:ascii="Arial" w:hAnsi="Arial" w:cs="Arial"/>
          <w:b/>
          <w:color w:val="000000" w:themeColor="text1"/>
          <w:sz w:val="20"/>
          <w:szCs w:val="20"/>
          <w:shd w:val="clear" w:color="auto" w:fill="FFFFFF"/>
        </w:rPr>
      </w:pPr>
      <w:r w:rsidRPr="008B1280">
        <w:rPr>
          <w:rFonts w:ascii="Arial" w:hAnsi="Arial" w:cs="Arial"/>
          <w:b/>
          <w:color w:val="000000" w:themeColor="text1"/>
          <w:sz w:val="20"/>
          <w:szCs w:val="20"/>
          <w:shd w:val="clear" w:color="auto" w:fill="FFFFFF"/>
        </w:rPr>
        <w:t>Table 1: Socio</w:t>
      </w:r>
      <w:r w:rsidR="00F52B8F" w:rsidRPr="008B1280">
        <w:rPr>
          <w:rFonts w:ascii="Arial" w:hAnsi="Arial" w:cs="Arial"/>
          <w:b/>
          <w:color w:val="000000" w:themeColor="text1"/>
          <w:sz w:val="20"/>
          <w:szCs w:val="20"/>
          <w:shd w:val="clear" w:color="auto" w:fill="FFFFFF"/>
        </w:rPr>
        <w:t xml:space="preserve"> characteristics of respondents</w:t>
      </w:r>
    </w:p>
    <w:p w14:paraId="50AE476D" w14:textId="09CF62B3" w:rsidR="00E6449D" w:rsidRPr="008B1280" w:rsidRDefault="00F52B8F">
      <w:pPr>
        <w:spacing w:line="360" w:lineRule="auto"/>
        <w:jc w:val="both"/>
        <w:rPr>
          <w:rFonts w:ascii="Arial" w:hAnsi="Arial" w:cs="Arial"/>
          <w:color w:val="000000" w:themeColor="text1"/>
          <w:sz w:val="20"/>
          <w:szCs w:val="20"/>
          <w:shd w:val="clear" w:color="auto" w:fill="FFFFFF"/>
        </w:rPr>
      </w:pPr>
      <w:r w:rsidRPr="008B1280">
        <w:rPr>
          <w:rFonts w:ascii="Arial" w:hAnsi="Arial" w:cs="Arial"/>
          <w:color w:val="000000" w:themeColor="text1"/>
          <w:sz w:val="20"/>
          <w:szCs w:val="20"/>
          <w:shd w:val="clear" w:color="auto" w:fill="FFFFFF"/>
        </w:rPr>
        <w:t>Source: Field Work Analysis (2023)</w:t>
      </w:r>
    </w:p>
    <w:p w14:paraId="5AF16B91" w14:textId="77777777" w:rsidR="00D26672" w:rsidRPr="008B1280" w:rsidRDefault="00F52B8F">
      <w:pPr>
        <w:spacing w:line="360" w:lineRule="auto"/>
        <w:jc w:val="both"/>
        <w:rPr>
          <w:rFonts w:ascii="Arial" w:hAnsi="Arial" w:cs="Arial"/>
          <w:b/>
          <w:bCs/>
          <w:color w:val="000000" w:themeColor="text1"/>
          <w:sz w:val="20"/>
          <w:szCs w:val="20"/>
          <w:shd w:val="clear" w:color="auto" w:fill="FFFFFF"/>
        </w:rPr>
      </w:pPr>
      <w:r w:rsidRPr="008B1280">
        <w:rPr>
          <w:rFonts w:ascii="Arial" w:hAnsi="Arial" w:cs="Arial"/>
          <w:b/>
          <w:bCs/>
          <w:color w:val="000000" w:themeColor="text1"/>
          <w:sz w:val="20"/>
          <w:szCs w:val="20"/>
          <w:shd w:val="clear" w:color="auto" w:fill="FFFFFF"/>
        </w:rPr>
        <w:t>Regular Source of Income</w:t>
      </w:r>
    </w:p>
    <w:p w14:paraId="7AB881E6" w14:textId="77777777" w:rsidR="00D26672" w:rsidRPr="008B1280" w:rsidRDefault="00F52B8F">
      <w:pPr>
        <w:spacing w:line="360" w:lineRule="auto"/>
        <w:jc w:val="both"/>
        <w:rPr>
          <w:rFonts w:ascii="Arial" w:hAnsi="Arial" w:cs="Arial"/>
          <w:color w:val="000000" w:themeColor="text1"/>
          <w:sz w:val="20"/>
          <w:szCs w:val="20"/>
          <w:shd w:val="clear" w:color="auto" w:fill="FFFFFF"/>
        </w:rPr>
      </w:pPr>
      <w:r w:rsidRPr="008B1280">
        <w:rPr>
          <w:rFonts w:ascii="Arial" w:hAnsi="Arial" w:cs="Arial"/>
          <w:color w:val="000000" w:themeColor="text1"/>
          <w:sz w:val="20"/>
          <w:szCs w:val="20"/>
          <w:shd w:val="clear" w:color="auto" w:fill="FFFFFF"/>
        </w:rPr>
        <w:t>This section shows the number of respondents that have a regular source of income based on their occupation, it was shown that out of 186 respondents, 132 respondents accumulating to 71.0% of the population have a regular source of income while 54 of the respondents resulting into 29.0% of the respondents don’t have a regular source of income.</w:t>
      </w:r>
    </w:p>
    <w:p w14:paraId="135C47CC" w14:textId="77777777" w:rsidR="00D26672" w:rsidRPr="008B1280" w:rsidRDefault="00F52B8F">
      <w:pPr>
        <w:spacing w:line="360" w:lineRule="auto"/>
        <w:jc w:val="both"/>
        <w:rPr>
          <w:rFonts w:ascii="Arial" w:hAnsi="Arial" w:cs="Arial"/>
          <w:b/>
          <w:color w:val="000000" w:themeColor="text1"/>
          <w:sz w:val="20"/>
          <w:szCs w:val="20"/>
        </w:rPr>
      </w:pPr>
      <w:r w:rsidRPr="008B1280">
        <w:rPr>
          <w:rFonts w:ascii="Arial" w:hAnsi="Arial" w:cs="Arial"/>
          <w:b/>
          <w:color w:val="000000" w:themeColor="text1"/>
          <w:sz w:val="20"/>
          <w:szCs w:val="20"/>
          <w:shd w:val="clear" w:color="auto" w:fill="FFFFFF"/>
        </w:rPr>
        <w:t xml:space="preserve">Table 2: </w:t>
      </w:r>
      <w:r w:rsidRPr="008B1280">
        <w:rPr>
          <w:rFonts w:ascii="Arial" w:hAnsi="Arial" w:cs="Arial"/>
          <w:b/>
          <w:color w:val="000000" w:themeColor="text1"/>
          <w:sz w:val="20"/>
          <w:szCs w:val="20"/>
        </w:rPr>
        <w:t>Gender and source of income of the respondents</w:t>
      </w:r>
    </w:p>
    <w:tbl>
      <w:tblPr>
        <w:tblW w:w="9592" w:type="dxa"/>
        <w:tblInd w:w="-5" w:type="dxa"/>
        <w:tblBorders>
          <w:top w:val="single" w:sz="12" w:space="0" w:color="auto"/>
          <w:bottom w:val="single" w:sz="12" w:space="0" w:color="auto"/>
        </w:tblBorders>
        <w:tblLayout w:type="fixed"/>
        <w:tblLook w:val="0000" w:firstRow="0" w:lastRow="0" w:firstColumn="0" w:lastColumn="0" w:noHBand="0" w:noVBand="0"/>
      </w:tblPr>
      <w:tblGrid>
        <w:gridCol w:w="2517"/>
        <w:gridCol w:w="753"/>
        <w:gridCol w:w="1053"/>
        <w:gridCol w:w="1054"/>
        <w:gridCol w:w="1053"/>
        <w:gridCol w:w="1055"/>
        <w:gridCol w:w="1053"/>
        <w:gridCol w:w="1054"/>
      </w:tblGrid>
      <w:tr w:rsidR="004C4CD6" w:rsidRPr="008B1280" w14:paraId="49F6A4A6" w14:textId="77777777">
        <w:trPr>
          <w:trHeight w:val="376"/>
        </w:trPr>
        <w:tc>
          <w:tcPr>
            <w:tcW w:w="3270" w:type="dxa"/>
            <w:gridSpan w:val="2"/>
            <w:vMerge w:val="restart"/>
            <w:tcBorders>
              <w:top w:val="single" w:sz="12" w:space="0" w:color="auto"/>
              <w:bottom w:val="single" w:sz="12" w:space="0" w:color="auto"/>
            </w:tcBorders>
          </w:tcPr>
          <w:p w14:paraId="563B1EAC" w14:textId="77777777" w:rsidR="00D26672" w:rsidRPr="008B1280" w:rsidRDefault="00D26672">
            <w:pPr>
              <w:spacing w:line="360" w:lineRule="auto"/>
              <w:jc w:val="both"/>
              <w:rPr>
                <w:rFonts w:ascii="Arial" w:hAnsi="Arial" w:cs="Arial"/>
                <w:color w:val="000000" w:themeColor="text1"/>
                <w:sz w:val="20"/>
                <w:szCs w:val="20"/>
              </w:rPr>
            </w:pPr>
          </w:p>
        </w:tc>
        <w:tc>
          <w:tcPr>
            <w:tcW w:w="4215" w:type="dxa"/>
            <w:gridSpan w:val="4"/>
            <w:tcBorders>
              <w:top w:val="single" w:sz="12" w:space="0" w:color="auto"/>
              <w:bottom w:val="single" w:sz="12" w:space="0" w:color="auto"/>
            </w:tcBorders>
          </w:tcPr>
          <w:p w14:paraId="351483DA"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Gender</w:t>
            </w:r>
          </w:p>
        </w:tc>
        <w:tc>
          <w:tcPr>
            <w:tcW w:w="2107" w:type="dxa"/>
            <w:gridSpan w:val="2"/>
            <w:vMerge w:val="restart"/>
            <w:tcBorders>
              <w:top w:val="single" w:sz="12" w:space="0" w:color="auto"/>
              <w:bottom w:val="single" w:sz="12" w:space="0" w:color="auto"/>
            </w:tcBorders>
          </w:tcPr>
          <w:p w14:paraId="6F131417"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Total</w:t>
            </w:r>
          </w:p>
        </w:tc>
      </w:tr>
      <w:tr w:rsidR="004C4CD6" w:rsidRPr="008B1280" w14:paraId="518D84C0" w14:textId="77777777">
        <w:trPr>
          <w:trHeight w:val="405"/>
        </w:trPr>
        <w:tc>
          <w:tcPr>
            <w:tcW w:w="3270" w:type="dxa"/>
            <w:gridSpan w:val="2"/>
            <w:vMerge/>
            <w:tcBorders>
              <w:top w:val="single" w:sz="12" w:space="0" w:color="auto"/>
              <w:bottom w:val="single" w:sz="12" w:space="0" w:color="auto"/>
            </w:tcBorders>
          </w:tcPr>
          <w:p w14:paraId="16175C88" w14:textId="77777777" w:rsidR="00D26672" w:rsidRPr="008B1280" w:rsidRDefault="00D26672">
            <w:pPr>
              <w:spacing w:line="360" w:lineRule="auto"/>
              <w:jc w:val="both"/>
              <w:rPr>
                <w:rFonts w:ascii="Arial" w:hAnsi="Arial" w:cs="Arial"/>
                <w:color w:val="000000" w:themeColor="text1"/>
                <w:sz w:val="20"/>
                <w:szCs w:val="20"/>
              </w:rPr>
            </w:pPr>
          </w:p>
        </w:tc>
        <w:tc>
          <w:tcPr>
            <w:tcW w:w="2107" w:type="dxa"/>
            <w:gridSpan w:val="2"/>
            <w:tcBorders>
              <w:top w:val="single" w:sz="12" w:space="0" w:color="auto"/>
              <w:bottom w:val="single" w:sz="12" w:space="0" w:color="auto"/>
            </w:tcBorders>
          </w:tcPr>
          <w:p w14:paraId="19459A49"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Male</w:t>
            </w:r>
          </w:p>
        </w:tc>
        <w:tc>
          <w:tcPr>
            <w:tcW w:w="2107" w:type="dxa"/>
            <w:gridSpan w:val="2"/>
            <w:tcBorders>
              <w:top w:val="single" w:sz="12" w:space="0" w:color="auto"/>
              <w:bottom w:val="single" w:sz="12" w:space="0" w:color="auto"/>
            </w:tcBorders>
          </w:tcPr>
          <w:p w14:paraId="1E3CA3EF"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Female</w:t>
            </w:r>
          </w:p>
        </w:tc>
        <w:tc>
          <w:tcPr>
            <w:tcW w:w="2107" w:type="dxa"/>
            <w:gridSpan w:val="2"/>
            <w:vMerge/>
            <w:tcBorders>
              <w:top w:val="nil"/>
              <w:bottom w:val="single" w:sz="12" w:space="0" w:color="auto"/>
            </w:tcBorders>
          </w:tcPr>
          <w:p w14:paraId="1769D142" w14:textId="77777777" w:rsidR="00D26672" w:rsidRPr="008B1280" w:rsidRDefault="00D26672">
            <w:pPr>
              <w:spacing w:line="360" w:lineRule="auto"/>
              <w:jc w:val="both"/>
              <w:rPr>
                <w:rFonts w:ascii="Arial" w:hAnsi="Arial" w:cs="Arial"/>
                <w:color w:val="000000" w:themeColor="text1"/>
                <w:sz w:val="20"/>
                <w:szCs w:val="20"/>
              </w:rPr>
            </w:pPr>
          </w:p>
        </w:tc>
      </w:tr>
      <w:tr w:rsidR="004C4CD6" w:rsidRPr="008B1280" w14:paraId="19948892" w14:textId="77777777">
        <w:trPr>
          <w:trHeight w:val="405"/>
        </w:trPr>
        <w:tc>
          <w:tcPr>
            <w:tcW w:w="3270" w:type="dxa"/>
            <w:gridSpan w:val="2"/>
            <w:vMerge/>
            <w:tcBorders>
              <w:top w:val="single" w:sz="12" w:space="0" w:color="auto"/>
            </w:tcBorders>
          </w:tcPr>
          <w:p w14:paraId="3D2AA74C" w14:textId="77777777" w:rsidR="00D26672" w:rsidRPr="008B1280" w:rsidRDefault="00D26672">
            <w:pPr>
              <w:spacing w:line="360" w:lineRule="auto"/>
              <w:jc w:val="both"/>
              <w:rPr>
                <w:rFonts w:ascii="Arial" w:hAnsi="Arial" w:cs="Arial"/>
                <w:color w:val="000000" w:themeColor="text1"/>
                <w:sz w:val="20"/>
                <w:szCs w:val="20"/>
              </w:rPr>
            </w:pPr>
          </w:p>
        </w:tc>
        <w:tc>
          <w:tcPr>
            <w:tcW w:w="1053" w:type="dxa"/>
            <w:tcBorders>
              <w:top w:val="single" w:sz="12" w:space="0" w:color="auto"/>
            </w:tcBorders>
          </w:tcPr>
          <w:p w14:paraId="2860D784"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N</w:t>
            </w:r>
          </w:p>
        </w:tc>
        <w:tc>
          <w:tcPr>
            <w:tcW w:w="1053" w:type="dxa"/>
            <w:tcBorders>
              <w:top w:val="single" w:sz="12" w:space="0" w:color="auto"/>
            </w:tcBorders>
          </w:tcPr>
          <w:p w14:paraId="2638B2AE"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w:t>
            </w:r>
          </w:p>
        </w:tc>
        <w:tc>
          <w:tcPr>
            <w:tcW w:w="1053" w:type="dxa"/>
            <w:tcBorders>
              <w:top w:val="single" w:sz="12" w:space="0" w:color="auto"/>
            </w:tcBorders>
          </w:tcPr>
          <w:p w14:paraId="682B7AE0"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N</w:t>
            </w:r>
          </w:p>
        </w:tc>
        <w:tc>
          <w:tcPr>
            <w:tcW w:w="1053" w:type="dxa"/>
            <w:tcBorders>
              <w:top w:val="single" w:sz="12" w:space="0" w:color="auto"/>
            </w:tcBorders>
          </w:tcPr>
          <w:p w14:paraId="6715D005"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w:t>
            </w:r>
          </w:p>
        </w:tc>
        <w:tc>
          <w:tcPr>
            <w:tcW w:w="1053" w:type="dxa"/>
            <w:tcBorders>
              <w:top w:val="single" w:sz="12" w:space="0" w:color="auto"/>
            </w:tcBorders>
          </w:tcPr>
          <w:p w14:paraId="4ADA3831"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N</w:t>
            </w:r>
          </w:p>
        </w:tc>
        <w:tc>
          <w:tcPr>
            <w:tcW w:w="1053" w:type="dxa"/>
            <w:tcBorders>
              <w:top w:val="single" w:sz="12" w:space="0" w:color="auto"/>
            </w:tcBorders>
          </w:tcPr>
          <w:p w14:paraId="30AA8A9D"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w:t>
            </w:r>
          </w:p>
        </w:tc>
      </w:tr>
      <w:tr w:rsidR="004C4CD6" w:rsidRPr="008B1280" w14:paraId="214CB057" w14:textId="77777777">
        <w:trPr>
          <w:trHeight w:val="361"/>
        </w:trPr>
        <w:tc>
          <w:tcPr>
            <w:tcW w:w="2517" w:type="dxa"/>
            <w:vMerge w:val="restart"/>
          </w:tcPr>
          <w:p w14:paraId="72481337"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Regular source of income</w:t>
            </w:r>
          </w:p>
        </w:tc>
        <w:tc>
          <w:tcPr>
            <w:tcW w:w="753" w:type="dxa"/>
          </w:tcPr>
          <w:p w14:paraId="52161E70"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Yes</w:t>
            </w:r>
          </w:p>
        </w:tc>
        <w:tc>
          <w:tcPr>
            <w:tcW w:w="1053" w:type="dxa"/>
          </w:tcPr>
          <w:p w14:paraId="359A9976"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57</w:t>
            </w:r>
          </w:p>
        </w:tc>
        <w:tc>
          <w:tcPr>
            <w:tcW w:w="1053" w:type="dxa"/>
          </w:tcPr>
          <w:p w14:paraId="06FE177E"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72.2%</w:t>
            </w:r>
          </w:p>
        </w:tc>
        <w:tc>
          <w:tcPr>
            <w:tcW w:w="1053" w:type="dxa"/>
          </w:tcPr>
          <w:p w14:paraId="5CD7E529"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75</w:t>
            </w:r>
          </w:p>
        </w:tc>
        <w:tc>
          <w:tcPr>
            <w:tcW w:w="1053" w:type="dxa"/>
          </w:tcPr>
          <w:p w14:paraId="617F2C0F"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70.1%</w:t>
            </w:r>
          </w:p>
        </w:tc>
        <w:tc>
          <w:tcPr>
            <w:tcW w:w="1053" w:type="dxa"/>
          </w:tcPr>
          <w:p w14:paraId="66CA374E"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132</w:t>
            </w:r>
          </w:p>
        </w:tc>
        <w:tc>
          <w:tcPr>
            <w:tcW w:w="1053" w:type="dxa"/>
          </w:tcPr>
          <w:p w14:paraId="76B88ED6"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71.0%</w:t>
            </w:r>
          </w:p>
        </w:tc>
      </w:tr>
      <w:tr w:rsidR="004C4CD6" w:rsidRPr="008B1280" w14:paraId="4BB340C1" w14:textId="77777777">
        <w:trPr>
          <w:trHeight w:val="376"/>
        </w:trPr>
        <w:tc>
          <w:tcPr>
            <w:tcW w:w="2517" w:type="dxa"/>
            <w:vMerge/>
          </w:tcPr>
          <w:p w14:paraId="1615B22E" w14:textId="77777777" w:rsidR="00D26672" w:rsidRPr="008B1280" w:rsidRDefault="00D26672">
            <w:pPr>
              <w:spacing w:line="360" w:lineRule="auto"/>
              <w:jc w:val="both"/>
              <w:rPr>
                <w:rFonts w:ascii="Arial" w:hAnsi="Arial" w:cs="Arial"/>
                <w:color w:val="000000" w:themeColor="text1"/>
                <w:sz w:val="20"/>
                <w:szCs w:val="20"/>
              </w:rPr>
            </w:pPr>
          </w:p>
        </w:tc>
        <w:tc>
          <w:tcPr>
            <w:tcW w:w="753" w:type="dxa"/>
          </w:tcPr>
          <w:p w14:paraId="59614781"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No</w:t>
            </w:r>
          </w:p>
        </w:tc>
        <w:tc>
          <w:tcPr>
            <w:tcW w:w="1053" w:type="dxa"/>
          </w:tcPr>
          <w:p w14:paraId="040113EE"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22</w:t>
            </w:r>
          </w:p>
        </w:tc>
        <w:tc>
          <w:tcPr>
            <w:tcW w:w="1053" w:type="dxa"/>
          </w:tcPr>
          <w:p w14:paraId="386652CD"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27.8%</w:t>
            </w:r>
          </w:p>
        </w:tc>
        <w:tc>
          <w:tcPr>
            <w:tcW w:w="1053" w:type="dxa"/>
          </w:tcPr>
          <w:p w14:paraId="488344EF"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32</w:t>
            </w:r>
          </w:p>
        </w:tc>
        <w:tc>
          <w:tcPr>
            <w:tcW w:w="1053" w:type="dxa"/>
          </w:tcPr>
          <w:p w14:paraId="6EF86315"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29.9%</w:t>
            </w:r>
          </w:p>
        </w:tc>
        <w:tc>
          <w:tcPr>
            <w:tcW w:w="1053" w:type="dxa"/>
          </w:tcPr>
          <w:p w14:paraId="49FE09CD"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54</w:t>
            </w:r>
          </w:p>
        </w:tc>
        <w:tc>
          <w:tcPr>
            <w:tcW w:w="1053" w:type="dxa"/>
          </w:tcPr>
          <w:p w14:paraId="31CAC9FA"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29.0%</w:t>
            </w:r>
          </w:p>
        </w:tc>
      </w:tr>
      <w:tr w:rsidR="004C4CD6" w:rsidRPr="008B1280" w14:paraId="0B9CCA1E" w14:textId="77777777">
        <w:trPr>
          <w:trHeight w:val="376"/>
        </w:trPr>
        <w:tc>
          <w:tcPr>
            <w:tcW w:w="3270" w:type="dxa"/>
            <w:gridSpan w:val="2"/>
          </w:tcPr>
          <w:p w14:paraId="36C80A26"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Total</w:t>
            </w:r>
          </w:p>
        </w:tc>
        <w:tc>
          <w:tcPr>
            <w:tcW w:w="1053" w:type="dxa"/>
          </w:tcPr>
          <w:p w14:paraId="333A2C12"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79</w:t>
            </w:r>
          </w:p>
        </w:tc>
        <w:tc>
          <w:tcPr>
            <w:tcW w:w="1053" w:type="dxa"/>
          </w:tcPr>
          <w:p w14:paraId="59B98754"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100.0%</w:t>
            </w:r>
          </w:p>
        </w:tc>
        <w:tc>
          <w:tcPr>
            <w:tcW w:w="1053" w:type="dxa"/>
          </w:tcPr>
          <w:p w14:paraId="3D8984B9"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107</w:t>
            </w:r>
          </w:p>
        </w:tc>
        <w:tc>
          <w:tcPr>
            <w:tcW w:w="1053" w:type="dxa"/>
          </w:tcPr>
          <w:p w14:paraId="5FB57390"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100.0%</w:t>
            </w:r>
          </w:p>
        </w:tc>
        <w:tc>
          <w:tcPr>
            <w:tcW w:w="1053" w:type="dxa"/>
          </w:tcPr>
          <w:p w14:paraId="4F1F4AA8"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186</w:t>
            </w:r>
          </w:p>
        </w:tc>
        <w:tc>
          <w:tcPr>
            <w:tcW w:w="1053" w:type="dxa"/>
          </w:tcPr>
          <w:p w14:paraId="7E7FE5B8" w14:textId="77777777"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100.0%</w:t>
            </w:r>
          </w:p>
        </w:tc>
      </w:tr>
    </w:tbl>
    <w:p w14:paraId="1902A78F" w14:textId="77777777" w:rsidR="00D26672" w:rsidRPr="008B1280" w:rsidRDefault="00F52B8F">
      <w:pPr>
        <w:spacing w:line="360" w:lineRule="auto"/>
        <w:jc w:val="both"/>
        <w:rPr>
          <w:rFonts w:ascii="Arial" w:hAnsi="Arial" w:cs="Arial"/>
          <w:color w:val="000000" w:themeColor="text1"/>
          <w:sz w:val="20"/>
          <w:szCs w:val="20"/>
          <w:shd w:val="clear" w:color="auto" w:fill="FFFFFF"/>
        </w:rPr>
      </w:pPr>
      <w:r w:rsidRPr="008B1280">
        <w:rPr>
          <w:rFonts w:ascii="Arial" w:hAnsi="Arial" w:cs="Arial"/>
          <w:color w:val="000000" w:themeColor="text1"/>
          <w:sz w:val="20"/>
          <w:szCs w:val="20"/>
          <w:shd w:val="clear" w:color="auto" w:fill="FFFFFF"/>
        </w:rPr>
        <w:t>Source: Field Work Analysis (2023)</w:t>
      </w:r>
    </w:p>
    <w:p w14:paraId="15E2D771" w14:textId="77777777" w:rsidR="00D26672" w:rsidRPr="008B1280" w:rsidRDefault="00F52B8F">
      <w:pPr>
        <w:spacing w:line="360" w:lineRule="auto"/>
        <w:jc w:val="both"/>
        <w:rPr>
          <w:rFonts w:ascii="Arial" w:hAnsi="Arial" w:cs="Arial"/>
          <w:b/>
          <w:bCs/>
          <w:color w:val="000000" w:themeColor="text1"/>
          <w:sz w:val="20"/>
          <w:szCs w:val="20"/>
        </w:rPr>
      </w:pPr>
      <w:r w:rsidRPr="008B1280">
        <w:rPr>
          <w:rFonts w:ascii="Arial" w:hAnsi="Arial" w:cs="Arial"/>
          <w:b/>
          <w:bCs/>
          <w:color w:val="000000" w:themeColor="text1"/>
          <w:sz w:val="20"/>
          <w:szCs w:val="20"/>
        </w:rPr>
        <w:t>Monthly income dedicated towards housing expenses</w:t>
      </w:r>
    </w:p>
    <w:p w14:paraId="14DDA51D" w14:textId="6AEB2FE1" w:rsidR="00E6449D" w:rsidRPr="008B1280" w:rsidRDefault="00C54F80">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lastRenderedPageBreak/>
        <w:t xml:space="preserve">Furthermore, an investigation was conducted on the </w:t>
      </w:r>
      <w:r w:rsidRPr="008B1280">
        <w:rPr>
          <w:rFonts w:ascii="Arial" w:hAnsi="Arial" w:cs="Arial"/>
          <w:bCs/>
          <w:color w:val="000000" w:themeColor="text1"/>
          <w:sz w:val="20"/>
          <w:szCs w:val="20"/>
        </w:rPr>
        <w:t>monthly income dedicated towards housing expenses in the study area. It was revealed that 3.2</w:t>
      </w:r>
      <w:r w:rsidR="00E6449D" w:rsidRPr="008B1280">
        <w:rPr>
          <w:rFonts w:ascii="Arial" w:hAnsi="Arial" w:cs="Arial"/>
          <w:bCs/>
          <w:color w:val="000000" w:themeColor="text1"/>
          <w:sz w:val="20"/>
          <w:szCs w:val="20"/>
        </w:rPr>
        <w:t>%</w:t>
      </w:r>
      <w:r w:rsidR="00F52B8F" w:rsidRPr="008B1280">
        <w:rPr>
          <w:rFonts w:ascii="Arial" w:hAnsi="Arial" w:cs="Arial"/>
          <w:color w:val="000000" w:themeColor="text1"/>
          <w:sz w:val="20"/>
          <w:szCs w:val="20"/>
        </w:rPr>
        <w:t xml:space="preserve"> (6) of the sampled respondents spend 10% of their income on their housing expenses, 13.4% (25) of the sampled respondents spend 20% of their monthly income on housing expenses, 47.3% (88) of the sampled respondents spend 30% of their monthly income on their housing expenses while 34.4% (64) of the sampled respondents spend 40% of their monthly income on their housing expenses</w:t>
      </w:r>
      <w:r w:rsidR="00E6449D" w:rsidRPr="008B1280">
        <w:rPr>
          <w:rFonts w:ascii="Arial" w:hAnsi="Arial" w:cs="Arial"/>
          <w:color w:val="000000" w:themeColor="text1"/>
          <w:sz w:val="20"/>
          <w:szCs w:val="20"/>
        </w:rPr>
        <w:t xml:space="preserve"> The findings indicate that a significant proportion of respondents experience housing cost burdens, as 47.3% spend at least 30% of their income while 34.4% of the respondents spend at least 40% of their income on housing expenses, surpassing the affordability benchmark. This high expenditure on housing reduces their ability to meet other essential needs such as food, healthcare, and education, leading to financial strain and economic vulnerability. Additionally, households with limited disposable income may face housing insecurity, eviction risks, or be forced to live in substandard conditions. The lack of savings and investment opportunities further limits economic mobility, trapping many in a cycle of poverty. These findings underscore the urgent need for government intervention through affordable housing initiatives, rent control measures, and improved access to housing finance, ensuring that low-income earners can secure decent and financially sustainable accommodation.</w:t>
      </w:r>
    </w:p>
    <w:p w14:paraId="0938BA02" w14:textId="1613F78B" w:rsidR="00D26672" w:rsidRPr="008B1280" w:rsidRDefault="00F52B8F">
      <w:pPr>
        <w:spacing w:line="360" w:lineRule="auto"/>
        <w:jc w:val="both"/>
        <w:rPr>
          <w:rFonts w:ascii="Arial" w:hAnsi="Arial" w:cs="Arial"/>
          <w:b/>
          <w:color w:val="000000" w:themeColor="text1"/>
          <w:sz w:val="20"/>
          <w:szCs w:val="20"/>
        </w:rPr>
      </w:pPr>
      <w:r w:rsidRPr="008B1280">
        <w:rPr>
          <w:rFonts w:ascii="Arial" w:hAnsi="Arial" w:cs="Arial"/>
          <w:b/>
          <w:color w:val="000000" w:themeColor="text1"/>
          <w:sz w:val="20"/>
          <w:szCs w:val="20"/>
        </w:rPr>
        <w:t>Table 3: Monthly income spent on housing expenses</w:t>
      </w:r>
    </w:p>
    <w:tbl>
      <w:tblPr>
        <w:tblW w:w="9766" w:type="dxa"/>
        <w:tblBorders>
          <w:top w:val="single" w:sz="12" w:space="0" w:color="auto"/>
          <w:bottom w:val="single" w:sz="12" w:space="0" w:color="auto"/>
        </w:tblBorders>
        <w:tblLook w:val="04A0" w:firstRow="1" w:lastRow="0" w:firstColumn="1" w:lastColumn="0" w:noHBand="0" w:noVBand="1"/>
      </w:tblPr>
      <w:tblGrid>
        <w:gridCol w:w="2780"/>
        <w:gridCol w:w="3241"/>
        <w:gridCol w:w="3745"/>
      </w:tblGrid>
      <w:tr w:rsidR="004C4CD6" w:rsidRPr="008B1280" w14:paraId="5A5368D4" w14:textId="77777777" w:rsidTr="0074495A">
        <w:trPr>
          <w:trHeight w:val="561"/>
        </w:trPr>
        <w:tc>
          <w:tcPr>
            <w:tcW w:w="6021" w:type="dxa"/>
            <w:gridSpan w:val="2"/>
            <w:tcBorders>
              <w:top w:val="single" w:sz="12" w:space="0" w:color="auto"/>
              <w:bottom w:val="single" w:sz="12" w:space="0" w:color="auto"/>
            </w:tcBorders>
            <w:hideMark/>
          </w:tcPr>
          <w:p w14:paraId="60448D1B" w14:textId="56A80831" w:rsidR="0074495A" w:rsidRPr="008B1280" w:rsidRDefault="0074495A" w:rsidP="0074495A">
            <w:pPr>
              <w:tabs>
                <w:tab w:val="center" w:pos="1875"/>
              </w:tabs>
              <w:spacing w:line="360" w:lineRule="auto"/>
              <w:jc w:val="center"/>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Income Range</w:t>
            </w:r>
          </w:p>
        </w:tc>
        <w:tc>
          <w:tcPr>
            <w:tcW w:w="3745" w:type="dxa"/>
            <w:tcBorders>
              <w:top w:val="single" w:sz="12" w:space="0" w:color="auto"/>
              <w:bottom w:val="single" w:sz="12" w:space="0" w:color="auto"/>
            </w:tcBorders>
            <w:hideMark/>
          </w:tcPr>
          <w:p w14:paraId="59B39B23" w14:textId="77777777" w:rsidR="0074495A" w:rsidRPr="008B1280" w:rsidRDefault="0074495A">
            <w:pPr>
              <w:spacing w:line="360" w:lineRule="auto"/>
              <w:jc w:val="both"/>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Percent</w:t>
            </w:r>
          </w:p>
        </w:tc>
      </w:tr>
      <w:tr w:rsidR="004C4CD6" w:rsidRPr="008B1280" w14:paraId="7BED8CDF" w14:textId="77777777" w:rsidTr="0074495A">
        <w:trPr>
          <w:trHeight w:val="296"/>
        </w:trPr>
        <w:tc>
          <w:tcPr>
            <w:tcW w:w="2780" w:type="dxa"/>
            <w:vMerge w:val="restart"/>
            <w:tcBorders>
              <w:top w:val="single" w:sz="12" w:space="0" w:color="auto"/>
            </w:tcBorders>
            <w:hideMark/>
          </w:tcPr>
          <w:p w14:paraId="4CE9620F" w14:textId="77777777" w:rsidR="0074495A" w:rsidRPr="008B1280" w:rsidRDefault="0074495A">
            <w:pPr>
              <w:spacing w:line="360" w:lineRule="auto"/>
              <w:jc w:val="both"/>
              <w:rPr>
                <w:rFonts w:ascii="Arial" w:eastAsia="Times New Roman" w:hAnsi="Arial" w:cs="Arial"/>
                <w:color w:val="000000" w:themeColor="text1"/>
                <w:sz w:val="20"/>
                <w:szCs w:val="20"/>
              </w:rPr>
            </w:pPr>
          </w:p>
        </w:tc>
        <w:tc>
          <w:tcPr>
            <w:tcW w:w="3240" w:type="dxa"/>
            <w:tcBorders>
              <w:top w:val="single" w:sz="12" w:space="0" w:color="auto"/>
            </w:tcBorders>
            <w:hideMark/>
          </w:tcPr>
          <w:p w14:paraId="3063B982" w14:textId="77777777" w:rsidR="0074495A" w:rsidRPr="008B1280" w:rsidRDefault="0074495A">
            <w:pPr>
              <w:spacing w:line="360" w:lineRule="auto"/>
              <w:jc w:val="both"/>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10%</w:t>
            </w:r>
          </w:p>
        </w:tc>
        <w:tc>
          <w:tcPr>
            <w:tcW w:w="3745" w:type="dxa"/>
            <w:tcBorders>
              <w:top w:val="single" w:sz="12" w:space="0" w:color="auto"/>
            </w:tcBorders>
            <w:noWrap/>
            <w:hideMark/>
          </w:tcPr>
          <w:p w14:paraId="668448E6" w14:textId="77777777" w:rsidR="0074495A" w:rsidRPr="008B1280" w:rsidRDefault="0074495A">
            <w:pPr>
              <w:spacing w:line="360" w:lineRule="auto"/>
              <w:jc w:val="both"/>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3.2%</w:t>
            </w:r>
          </w:p>
        </w:tc>
      </w:tr>
      <w:tr w:rsidR="004C4CD6" w:rsidRPr="008B1280" w14:paraId="33762334" w14:textId="77777777" w:rsidTr="0074495A">
        <w:trPr>
          <w:trHeight w:val="296"/>
        </w:trPr>
        <w:tc>
          <w:tcPr>
            <w:tcW w:w="2780" w:type="dxa"/>
            <w:vMerge/>
            <w:hideMark/>
          </w:tcPr>
          <w:p w14:paraId="634247BD" w14:textId="77777777" w:rsidR="0074495A" w:rsidRPr="008B1280" w:rsidRDefault="0074495A">
            <w:pPr>
              <w:spacing w:line="360" w:lineRule="auto"/>
              <w:jc w:val="both"/>
              <w:rPr>
                <w:rFonts w:ascii="Arial" w:eastAsia="Times New Roman" w:hAnsi="Arial" w:cs="Arial"/>
                <w:color w:val="000000" w:themeColor="text1"/>
                <w:sz w:val="20"/>
                <w:szCs w:val="20"/>
              </w:rPr>
            </w:pPr>
          </w:p>
        </w:tc>
        <w:tc>
          <w:tcPr>
            <w:tcW w:w="3240" w:type="dxa"/>
            <w:hideMark/>
          </w:tcPr>
          <w:p w14:paraId="00C6F9E7" w14:textId="77777777" w:rsidR="0074495A" w:rsidRPr="008B1280" w:rsidRDefault="0074495A">
            <w:pPr>
              <w:spacing w:line="360" w:lineRule="auto"/>
              <w:jc w:val="both"/>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20%</w:t>
            </w:r>
          </w:p>
        </w:tc>
        <w:tc>
          <w:tcPr>
            <w:tcW w:w="3745" w:type="dxa"/>
            <w:noWrap/>
            <w:hideMark/>
          </w:tcPr>
          <w:p w14:paraId="48139CE0" w14:textId="77777777" w:rsidR="0074495A" w:rsidRPr="008B1280" w:rsidRDefault="0074495A">
            <w:pPr>
              <w:spacing w:line="360" w:lineRule="auto"/>
              <w:jc w:val="both"/>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13.4%</w:t>
            </w:r>
          </w:p>
        </w:tc>
      </w:tr>
      <w:tr w:rsidR="004C4CD6" w:rsidRPr="008B1280" w14:paraId="3907A7F4" w14:textId="77777777" w:rsidTr="0074495A">
        <w:trPr>
          <w:trHeight w:val="296"/>
        </w:trPr>
        <w:tc>
          <w:tcPr>
            <w:tcW w:w="2780" w:type="dxa"/>
            <w:vMerge/>
            <w:hideMark/>
          </w:tcPr>
          <w:p w14:paraId="563155F6" w14:textId="77777777" w:rsidR="0074495A" w:rsidRPr="008B1280" w:rsidRDefault="0074495A">
            <w:pPr>
              <w:spacing w:line="360" w:lineRule="auto"/>
              <w:jc w:val="both"/>
              <w:rPr>
                <w:rFonts w:ascii="Arial" w:eastAsia="Times New Roman" w:hAnsi="Arial" w:cs="Arial"/>
                <w:color w:val="000000" w:themeColor="text1"/>
                <w:sz w:val="20"/>
                <w:szCs w:val="20"/>
              </w:rPr>
            </w:pPr>
          </w:p>
        </w:tc>
        <w:tc>
          <w:tcPr>
            <w:tcW w:w="3240" w:type="dxa"/>
            <w:hideMark/>
          </w:tcPr>
          <w:p w14:paraId="3DBB9090" w14:textId="77777777" w:rsidR="0074495A" w:rsidRPr="008B1280" w:rsidRDefault="0074495A">
            <w:pPr>
              <w:spacing w:line="360" w:lineRule="auto"/>
              <w:jc w:val="both"/>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30%</w:t>
            </w:r>
          </w:p>
        </w:tc>
        <w:tc>
          <w:tcPr>
            <w:tcW w:w="3745" w:type="dxa"/>
            <w:noWrap/>
            <w:hideMark/>
          </w:tcPr>
          <w:p w14:paraId="75FAFEA3" w14:textId="77777777" w:rsidR="0074495A" w:rsidRPr="008B1280" w:rsidRDefault="0074495A">
            <w:pPr>
              <w:spacing w:line="360" w:lineRule="auto"/>
              <w:jc w:val="both"/>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47.3%</w:t>
            </w:r>
          </w:p>
        </w:tc>
      </w:tr>
      <w:tr w:rsidR="004C4CD6" w:rsidRPr="008B1280" w14:paraId="13AA28E6" w14:textId="77777777" w:rsidTr="0074495A">
        <w:trPr>
          <w:trHeight w:val="296"/>
        </w:trPr>
        <w:tc>
          <w:tcPr>
            <w:tcW w:w="2780" w:type="dxa"/>
            <w:vMerge/>
            <w:hideMark/>
          </w:tcPr>
          <w:p w14:paraId="75C3157A" w14:textId="77777777" w:rsidR="0074495A" w:rsidRPr="008B1280" w:rsidRDefault="0074495A">
            <w:pPr>
              <w:spacing w:line="360" w:lineRule="auto"/>
              <w:jc w:val="both"/>
              <w:rPr>
                <w:rFonts w:ascii="Arial" w:eastAsia="Times New Roman" w:hAnsi="Arial" w:cs="Arial"/>
                <w:color w:val="000000" w:themeColor="text1"/>
                <w:sz w:val="20"/>
                <w:szCs w:val="20"/>
              </w:rPr>
            </w:pPr>
          </w:p>
        </w:tc>
        <w:tc>
          <w:tcPr>
            <w:tcW w:w="3240" w:type="dxa"/>
            <w:hideMark/>
          </w:tcPr>
          <w:p w14:paraId="581BE15B" w14:textId="77777777" w:rsidR="0074495A" w:rsidRPr="008B1280" w:rsidRDefault="0074495A">
            <w:pPr>
              <w:spacing w:line="360" w:lineRule="auto"/>
              <w:jc w:val="both"/>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40%</w:t>
            </w:r>
          </w:p>
        </w:tc>
        <w:tc>
          <w:tcPr>
            <w:tcW w:w="3745" w:type="dxa"/>
            <w:noWrap/>
            <w:hideMark/>
          </w:tcPr>
          <w:p w14:paraId="042B7EBF" w14:textId="77777777" w:rsidR="0074495A" w:rsidRPr="008B1280" w:rsidRDefault="0074495A">
            <w:pPr>
              <w:spacing w:line="360" w:lineRule="auto"/>
              <w:jc w:val="both"/>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34.4%</w:t>
            </w:r>
          </w:p>
        </w:tc>
      </w:tr>
      <w:tr w:rsidR="004C4CD6" w:rsidRPr="008B1280" w14:paraId="083BABE2" w14:textId="77777777" w:rsidTr="0074495A">
        <w:trPr>
          <w:trHeight w:val="296"/>
        </w:trPr>
        <w:tc>
          <w:tcPr>
            <w:tcW w:w="2780" w:type="dxa"/>
            <w:vMerge/>
            <w:tcBorders>
              <w:bottom w:val="single" w:sz="12" w:space="0" w:color="auto"/>
            </w:tcBorders>
            <w:hideMark/>
          </w:tcPr>
          <w:p w14:paraId="01EFCC49" w14:textId="77777777" w:rsidR="0074495A" w:rsidRPr="008B1280" w:rsidRDefault="0074495A">
            <w:pPr>
              <w:spacing w:line="360" w:lineRule="auto"/>
              <w:jc w:val="both"/>
              <w:rPr>
                <w:rFonts w:ascii="Arial" w:eastAsia="Times New Roman" w:hAnsi="Arial" w:cs="Arial"/>
                <w:color w:val="000000" w:themeColor="text1"/>
                <w:sz w:val="20"/>
                <w:szCs w:val="20"/>
              </w:rPr>
            </w:pPr>
          </w:p>
        </w:tc>
        <w:tc>
          <w:tcPr>
            <w:tcW w:w="3240" w:type="dxa"/>
            <w:tcBorders>
              <w:bottom w:val="single" w:sz="12" w:space="0" w:color="auto"/>
            </w:tcBorders>
            <w:noWrap/>
            <w:hideMark/>
          </w:tcPr>
          <w:p w14:paraId="677CBFFE" w14:textId="77777777" w:rsidR="0074495A" w:rsidRPr="008B1280" w:rsidRDefault="0074495A">
            <w:pPr>
              <w:spacing w:line="360" w:lineRule="auto"/>
              <w:jc w:val="both"/>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Total</w:t>
            </w:r>
          </w:p>
        </w:tc>
        <w:tc>
          <w:tcPr>
            <w:tcW w:w="3745" w:type="dxa"/>
            <w:tcBorders>
              <w:bottom w:val="single" w:sz="12" w:space="0" w:color="auto"/>
            </w:tcBorders>
            <w:noWrap/>
            <w:hideMark/>
          </w:tcPr>
          <w:p w14:paraId="6AC7A617" w14:textId="77777777" w:rsidR="0074495A" w:rsidRPr="008B1280" w:rsidRDefault="0074495A">
            <w:pPr>
              <w:spacing w:line="360" w:lineRule="auto"/>
              <w:jc w:val="both"/>
              <w:rPr>
                <w:rFonts w:ascii="Arial" w:eastAsia="Times New Roman" w:hAnsi="Arial" w:cs="Arial"/>
                <w:color w:val="000000" w:themeColor="text1"/>
                <w:sz w:val="20"/>
                <w:szCs w:val="20"/>
              </w:rPr>
            </w:pPr>
            <w:r w:rsidRPr="008B1280">
              <w:rPr>
                <w:rFonts w:ascii="Arial" w:eastAsia="Times New Roman" w:hAnsi="Arial" w:cs="Arial"/>
                <w:color w:val="000000" w:themeColor="text1"/>
                <w:sz w:val="20"/>
                <w:szCs w:val="20"/>
              </w:rPr>
              <w:t>100.0</w:t>
            </w:r>
          </w:p>
        </w:tc>
      </w:tr>
    </w:tbl>
    <w:p w14:paraId="743DA363" w14:textId="77777777" w:rsidR="00D26672" w:rsidRPr="008B1280" w:rsidRDefault="00F52B8F">
      <w:pPr>
        <w:spacing w:line="360" w:lineRule="auto"/>
        <w:jc w:val="both"/>
        <w:rPr>
          <w:rFonts w:ascii="Arial" w:hAnsi="Arial" w:cs="Arial"/>
          <w:color w:val="000000" w:themeColor="text1"/>
          <w:sz w:val="20"/>
          <w:szCs w:val="20"/>
          <w:shd w:val="clear" w:color="auto" w:fill="FFFFFF"/>
        </w:rPr>
      </w:pPr>
      <w:r w:rsidRPr="008B1280">
        <w:rPr>
          <w:rFonts w:ascii="Arial" w:hAnsi="Arial" w:cs="Arial"/>
          <w:color w:val="000000" w:themeColor="text1"/>
          <w:sz w:val="20"/>
          <w:szCs w:val="20"/>
          <w:shd w:val="clear" w:color="auto" w:fill="FFFFFF"/>
        </w:rPr>
        <w:t>Source: Field Work Analysis (2023)</w:t>
      </w:r>
    </w:p>
    <w:p w14:paraId="7BB20632" w14:textId="77777777" w:rsidR="00D26672" w:rsidRPr="008B1280" w:rsidRDefault="00F52B8F">
      <w:pPr>
        <w:spacing w:line="360" w:lineRule="auto"/>
        <w:jc w:val="both"/>
        <w:rPr>
          <w:rFonts w:ascii="Arial" w:hAnsi="Arial" w:cs="Arial"/>
          <w:b/>
          <w:color w:val="000000" w:themeColor="text1"/>
          <w:sz w:val="20"/>
          <w:szCs w:val="20"/>
        </w:rPr>
      </w:pPr>
      <w:r w:rsidRPr="008B1280">
        <w:rPr>
          <w:rFonts w:ascii="Arial" w:hAnsi="Arial" w:cs="Arial"/>
          <w:b/>
          <w:color w:val="000000" w:themeColor="text1"/>
          <w:sz w:val="20"/>
          <w:szCs w:val="20"/>
        </w:rPr>
        <w:t xml:space="preserve">Effects of Income on the Housing Affordability </w:t>
      </w:r>
    </w:p>
    <w:p w14:paraId="77A4A878" w14:textId="7B1F1C66" w:rsidR="00D26672" w:rsidRPr="008B1280" w:rsidRDefault="00F52B8F">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From the study, it was gathered that 28% (52) of the sampled respondents perceived their housing not to be affordable, 49.5% (92) of the sampled respondents perceived their housing to be slightly affordable, 16.1 (30) perceived their housing to be affordable while 6.5% (12) out of the sampled respondents perceived their housing to be very affo</w:t>
      </w:r>
      <w:r w:rsidR="00C54F80" w:rsidRPr="008B1280">
        <w:rPr>
          <w:rFonts w:ascii="Arial" w:hAnsi="Arial" w:cs="Arial"/>
          <w:color w:val="000000" w:themeColor="text1"/>
          <w:sz w:val="20"/>
          <w:szCs w:val="20"/>
        </w:rPr>
        <w:t xml:space="preserve">rdable. </w:t>
      </w:r>
    </w:p>
    <w:p w14:paraId="7B3D0102" w14:textId="77777777" w:rsidR="00CA1307" w:rsidRPr="008B1280" w:rsidRDefault="00CA1307">
      <w:pPr>
        <w:spacing w:line="360" w:lineRule="auto"/>
        <w:jc w:val="both"/>
        <w:rPr>
          <w:rFonts w:ascii="Arial" w:hAnsi="Arial" w:cs="Arial"/>
          <w:color w:val="000000" w:themeColor="text1"/>
          <w:sz w:val="20"/>
          <w:szCs w:val="20"/>
        </w:rPr>
      </w:pPr>
    </w:p>
    <w:p w14:paraId="6E5C9AA4" w14:textId="77777777" w:rsidR="00CA1307" w:rsidRPr="008B1280" w:rsidRDefault="00CA1307">
      <w:pPr>
        <w:spacing w:line="360" w:lineRule="auto"/>
        <w:jc w:val="both"/>
        <w:rPr>
          <w:rFonts w:ascii="Arial" w:hAnsi="Arial" w:cs="Arial"/>
          <w:color w:val="000000" w:themeColor="text1"/>
          <w:sz w:val="20"/>
          <w:szCs w:val="20"/>
        </w:rPr>
      </w:pPr>
    </w:p>
    <w:p w14:paraId="02DFEAA0" w14:textId="77777777" w:rsidR="00D26672" w:rsidRPr="008B1280" w:rsidRDefault="00F52B8F">
      <w:pPr>
        <w:spacing w:line="360" w:lineRule="auto"/>
        <w:jc w:val="both"/>
        <w:rPr>
          <w:rFonts w:ascii="Arial" w:hAnsi="Arial" w:cs="Arial"/>
          <w:b/>
          <w:color w:val="000000" w:themeColor="text1"/>
          <w:sz w:val="20"/>
          <w:szCs w:val="20"/>
        </w:rPr>
      </w:pPr>
      <w:r w:rsidRPr="008B1280">
        <w:rPr>
          <w:rFonts w:ascii="Arial" w:hAnsi="Arial" w:cs="Arial"/>
          <w:b/>
          <w:color w:val="000000" w:themeColor="text1"/>
          <w:sz w:val="20"/>
          <w:szCs w:val="20"/>
        </w:rPr>
        <w:t>Table 4: Respondent’s perception of housing options in the study area.</w:t>
      </w:r>
    </w:p>
    <w:tbl>
      <w:tblPr>
        <w:tblW w:w="9552" w:type="dxa"/>
        <w:tblBorders>
          <w:top w:val="single" w:sz="12" w:space="0" w:color="auto"/>
          <w:bottom w:val="single" w:sz="12" w:space="0" w:color="auto"/>
        </w:tblBorders>
        <w:tblLayout w:type="fixed"/>
        <w:tblLook w:val="0000" w:firstRow="0" w:lastRow="0" w:firstColumn="0" w:lastColumn="0" w:noHBand="0" w:noVBand="0"/>
      </w:tblPr>
      <w:tblGrid>
        <w:gridCol w:w="1982"/>
        <w:gridCol w:w="4803"/>
        <w:gridCol w:w="2767"/>
      </w:tblGrid>
      <w:tr w:rsidR="004C4CD6" w:rsidRPr="008B1280" w14:paraId="6DE298C2" w14:textId="77777777" w:rsidTr="006C7148">
        <w:trPr>
          <w:trHeight w:val="438"/>
        </w:trPr>
        <w:tc>
          <w:tcPr>
            <w:tcW w:w="6785" w:type="dxa"/>
            <w:gridSpan w:val="2"/>
            <w:tcBorders>
              <w:top w:val="single" w:sz="12" w:space="0" w:color="auto"/>
              <w:bottom w:val="single" w:sz="12" w:space="0" w:color="auto"/>
            </w:tcBorders>
          </w:tcPr>
          <w:p w14:paraId="6338A64F" w14:textId="77777777" w:rsidR="006C7148" w:rsidRPr="008B1280" w:rsidRDefault="006C7148">
            <w:pPr>
              <w:spacing w:line="360" w:lineRule="auto"/>
              <w:jc w:val="both"/>
              <w:rPr>
                <w:rFonts w:ascii="Arial" w:hAnsi="Arial" w:cs="Arial"/>
                <w:color w:val="000000" w:themeColor="text1"/>
                <w:sz w:val="20"/>
                <w:szCs w:val="20"/>
              </w:rPr>
            </w:pPr>
          </w:p>
        </w:tc>
        <w:tc>
          <w:tcPr>
            <w:tcW w:w="2767" w:type="dxa"/>
            <w:tcBorders>
              <w:top w:val="single" w:sz="12" w:space="0" w:color="auto"/>
              <w:bottom w:val="single" w:sz="12" w:space="0" w:color="auto"/>
            </w:tcBorders>
          </w:tcPr>
          <w:p w14:paraId="32C5EB5A" w14:textId="77777777" w:rsidR="006C7148" w:rsidRPr="008B1280" w:rsidRDefault="006C7148">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Percent</w:t>
            </w:r>
          </w:p>
        </w:tc>
      </w:tr>
      <w:tr w:rsidR="004C4CD6" w:rsidRPr="008B1280" w14:paraId="2EE0E52C" w14:textId="77777777" w:rsidTr="006C7148">
        <w:trPr>
          <w:trHeight w:val="399"/>
        </w:trPr>
        <w:tc>
          <w:tcPr>
            <w:tcW w:w="1982" w:type="dxa"/>
            <w:vMerge w:val="restart"/>
            <w:tcBorders>
              <w:top w:val="single" w:sz="12" w:space="0" w:color="auto"/>
            </w:tcBorders>
          </w:tcPr>
          <w:p w14:paraId="290B4C1B" w14:textId="77777777" w:rsidR="006C7148" w:rsidRPr="008B1280" w:rsidRDefault="006C7148">
            <w:pPr>
              <w:spacing w:line="360" w:lineRule="auto"/>
              <w:jc w:val="both"/>
              <w:rPr>
                <w:rFonts w:ascii="Arial" w:hAnsi="Arial" w:cs="Arial"/>
                <w:color w:val="000000" w:themeColor="text1"/>
                <w:sz w:val="20"/>
                <w:szCs w:val="20"/>
              </w:rPr>
            </w:pPr>
          </w:p>
        </w:tc>
        <w:tc>
          <w:tcPr>
            <w:tcW w:w="4802" w:type="dxa"/>
            <w:tcBorders>
              <w:top w:val="single" w:sz="12" w:space="0" w:color="auto"/>
            </w:tcBorders>
          </w:tcPr>
          <w:p w14:paraId="31736494" w14:textId="77777777" w:rsidR="006C7148" w:rsidRPr="008B1280" w:rsidRDefault="006C7148">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Not affordable</w:t>
            </w:r>
          </w:p>
        </w:tc>
        <w:tc>
          <w:tcPr>
            <w:tcW w:w="2767" w:type="dxa"/>
            <w:tcBorders>
              <w:top w:val="single" w:sz="12" w:space="0" w:color="auto"/>
            </w:tcBorders>
          </w:tcPr>
          <w:p w14:paraId="465E68A2" w14:textId="77777777" w:rsidR="006C7148" w:rsidRPr="008B1280" w:rsidRDefault="006C7148">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28.0</w:t>
            </w:r>
          </w:p>
        </w:tc>
      </w:tr>
      <w:tr w:rsidR="004C4CD6" w:rsidRPr="008B1280" w14:paraId="3CFD2B58" w14:textId="77777777" w:rsidTr="006C7148">
        <w:trPr>
          <w:trHeight w:val="418"/>
        </w:trPr>
        <w:tc>
          <w:tcPr>
            <w:tcW w:w="1982" w:type="dxa"/>
            <w:vMerge/>
          </w:tcPr>
          <w:p w14:paraId="04C4860E" w14:textId="77777777" w:rsidR="006C7148" w:rsidRPr="008B1280" w:rsidRDefault="006C7148">
            <w:pPr>
              <w:spacing w:line="360" w:lineRule="auto"/>
              <w:jc w:val="both"/>
              <w:rPr>
                <w:rFonts w:ascii="Arial" w:hAnsi="Arial" w:cs="Arial"/>
                <w:color w:val="000000" w:themeColor="text1"/>
                <w:sz w:val="20"/>
                <w:szCs w:val="20"/>
              </w:rPr>
            </w:pPr>
          </w:p>
        </w:tc>
        <w:tc>
          <w:tcPr>
            <w:tcW w:w="4802" w:type="dxa"/>
          </w:tcPr>
          <w:p w14:paraId="02577BFD" w14:textId="77777777" w:rsidR="006C7148" w:rsidRPr="008B1280" w:rsidRDefault="006C7148">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Slightly Affordable</w:t>
            </w:r>
          </w:p>
        </w:tc>
        <w:tc>
          <w:tcPr>
            <w:tcW w:w="2767" w:type="dxa"/>
          </w:tcPr>
          <w:p w14:paraId="32A9F3DD" w14:textId="77777777" w:rsidR="006C7148" w:rsidRPr="008B1280" w:rsidRDefault="006C7148">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49.5</w:t>
            </w:r>
          </w:p>
        </w:tc>
      </w:tr>
      <w:tr w:rsidR="004C4CD6" w:rsidRPr="008B1280" w14:paraId="2C75E655" w14:textId="77777777" w:rsidTr="006C7148">
        <w:trPr>
          <w:trHeight w:val="418"/>
        </w:trPr>
        <w:tc>
          <w:tcPr>
            <w:tcW w:w="1982" w:type="dxa"/>
            <w:vMerge/>
          </w:tcPr>
          <w:p w14:paraId="5774A270" w14:textId="77777777" w:rsidR="006C7148" w:rsidRPr="008B1280" w:rsidRDefault="006C7148">
            <w:pPr>
              <w:spacing w:line="360" w:lineRule="auto"/>
              <w:jc w:val="both"/>
              <w:rPr>
                <w:rFonts w:ascii="Arial" w:hAnsi="Arial" w:cs="Arial"/>
                <w:color w:val="000000" w:themeColor="text1"/>
                <w:sz w:val="20"/>
                <w:szCs w:val="20"/>
              </w:rPr>
            </w:pPr>
          </w:p>
        </w:tc>
        <w:tc>
          <w:tcPr>
            <w:tcW w:w="4802" w:type="dxa"/>
          </w:tcPr>
          <w:p w14:paraId="308889DD" w14:textId="77777777" w:rsidR="006C7148" w:rsidRPr="008B1280" w:rsidRDefault="006C7148">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Affordable</w:t>
            </w:r>
          </w:p>
        </w:tc>
        <w:tc>
          <w:tcPr>
            <w:tcW w:w="2767" w:type="dxa"/>
          </w:tcPr>
          <w:p w14:paraId="6D9C9E68" w14:textId="77777777" w:rsidR="006C7148" w:rsidRPr="008B1280" w:rsidRDefault="006C7148">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16.1</w:t>
            </w:r>
          </w:p>
        </w:tc>
      </w:tr>
      <w:tr w:rsidR="004C4CD6" w:rsidRPr="008B1280" w14:paraId="2E3B542B" w14:textId="77777777" w:rsidTr="006C7148">
        <w:trPr>
          <w:trHeight w:val="418"/>
        </w:trPr>
        <w:tc>
          <w:tcPr>
            <w:tcW w:w="1982" w:type="dxa"/>
            <w:vMerge/>
          </w:tcPr>
          <w:p w14:paraId="42121522" w14:textId="77777777" w:rsidR="006C7148" w:rsidRPr="008B1280" w:rsidRDefault="006C7148">
            <w:pPr>
              <w:spacing w:line="360" w:lineRule="auto"/>
              <w:jc w:val="both"/>
              <w:rPr>
                <w:rFonts w:ascii="Arial" w:hAnsi="Arial" w:cs="Arial"/>
                <w:color w:val="000000" w:themeColor="text1"/>
                <w:sz w:val="20"/>
                <w:szCs w:val="20"/>
              </w:rPr>
            </w:pPr>
          </w:p>
        </w:tc>
        <w:tc>
          <w:tcPr>
            <w:tcW w:w="4802" w:type="dxa"/>
          </w:tcPr>
          <w:p w14:paraId="4AC1936A" w14:textId="77777777" w:rsidR="006C7148" w:rsidRPr="008B1280" w:rsidRDefault="006C7148">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Very Affordable</w:t>
            </w:r>
          </w:p>
        </w:tc>
        <w:tc>
          <w:tcPr>
            <w:tcW w:w="2767" w:type="dxa"/>
          </w:tcPr>
          <w:p w14:paraId="02DE8906" w14:textId="77777777" w:rsidR="006C7148" w:rsidRPr="008B1280" w:rsidRDefault="006C7148">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6.5</w:t>
            </w:r>
          </w:p>
        </w:tc>
      </w:tr>
      <w:tr w:rsidR="004C4CD6" w:rsidRPr="008B1280" w14:paraId="1E9D8DE3" w14:textId="77777777" w:rsidTr="006C7148">
        <w:trPr>
          <w:trHeight w:val="436"/>
        </w:trPr>
        <w:tc>
          <w:tcPr>
            <w:tcW w:w="1982" w:type="dxa"/>
            <w:vMerge/>
            <w:tcBorders>
              <w:bottom w:val="single" w:sz="12" w:space="0" w:color="auto"/>
            </w:tcBorders>
          </w:tcPr>
          <w:p w14:paraId="3518B6D0" w14:textId="77777777" w:rsidR="006C7148" w:rsidRPr="008B1280" w:rsidRDefault="006C7148">
            <w:pPr>
              <w:spacing w:line="360" w:lineRule="auto"/>
              <w:jc w:val="both"/>
              <w:rPr>
                <w:rFonts w:ascii="Arial" w:hAnsi="Arial" w:cs="Arial"/>
                <w:color w:val="000000" w:themeColor="text1"/>
                <w:sz w:val="20"/>
                <w:szCs w:val="20"/>
              </w:rPr>
            </w:pPr>
          </w:p>
        </w:tc>
        <w:tc>
          <w:tcPr>
            <w:tcW w:w="4802" w:type="dxa"/>
            <w:tcBorders>
              <w:bottom w:val="single" w:sz="12" w:space="0" w:color="auto"/>
            </w:tcBorders>
          </w:tcPr>
          <w:p w14:paraId="102A1518" w14:textId="77777777" w:rsidR="006C7148" w:rsidRPr="008B1280" w:rsidRDefault="006C7148">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Total</w:t>
            </w:r>
          </w:p>
        </w:tc>
        <w:tc>
          <w:tcPr>
            <w:tcW w:w="2767" w:type="dxa"/>
            <w:tcBorders>
              <w:bottom w:val="single" w:sz="12" w:space="0" w:color="auto"/>
            </w:tcBorders>
          </w:tcPr>
          <w:p w14:paraId="495D62A1" w14:textId="77777777" w:rsidR="006C7148" w:rsidRPr="008B1280" w:rsidRDefault="006C7148">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100.0</w:t>
            </w:r>
          </w:p>
        </w:tc>
      </w:tr>
    </w:tbl>
    <w:p w14:paraId="1D58F750" w14:textId="77777777" w:rsidR="00D26672" w:rsidRPr="008B1280" w:rsidRDefault="00F52B8F">
      <w:pPr>
        <w:spacing w:line="360" w:lineRule="auto"/>
        <w:jc w:val="both"/>
        <w:rPr>
          <w:rFonts w:ascii="Arial" w:hAnsi="Arial" w:cs="Arial"/>
          <w:color w:val="000000" w:themeColor="text1"/>
          <w:sz w:val="20"/>
          <w:szCs w:val="20"/>
          <w:shd w:val="clear" w:color="auto" w:fill="FFFFFF"/>
        </w:rPr>
      </w:pPr>
      <w:r w:rsidRPr="008B1280">
        <w:rPr>
          <w:rFonts w:ascii="Arial" w:hAnsi="Arial" w:cs="Arial"/>
          <w:color w:val="000000" w:themeColor="text1"/>
          <w:sz w:val="20"/>
          <w:szCs w:val="20"/>
          <w:shd w:val="clear" w:color="auto" w:fill="FFFFFF"/>
        </w:rPr>
        <w:t>Source: Field Work Analysis (2023)</w:t>
      </w:r>
    </w:p>
    <w:p w14:paraId="7914743A" w14:textId="77777777" w:rsidR="00D26672" w:rsidRPr="008B1280" w:rsidRDefault="00F52B8F">
      <w:pPr>
        <w:spacing w:line="360" w:lineRule="auto"/>
        <w:jc w:val="both"/>
        <w:rPr>
          <w:rFonts w:ascii="Arial" w:hAnsi="Arial" w:cs="Arial"/>
          <w:b/>
          <w:bCs/>
          <w:color w:val="000000" w:themeColor="text1"/>
          <w:sz w:val="20"/>
          <w:szCs w:val="20"/>
        </w:rPr>
      </w:pPr>
      <w:r w:rsidRPr="008B1280">
        <w:rPr>
          <w:rFonts w:ascii="Arial" w:hAnsi="Arial" w:cs="Arial"/>
          <w:b/>
          <w:bCs/>
          <w:color w:val="000000" w:themeColor="text1"/>
          <w:sz w:val="20"/>
          <w:szCs w:val="20"/>
        </w:rPr>
        <w:t>Difficulty in affording housing based on income</w:t>
      </w:r>
    </w:p>
    <w:p w14:paraId="1D07A8CD" w14:textId="2B5DA8BB" w:rsidR="00DB7C9B" w:rsidRPr="008B1280" w:rsidRDefault="00DB7C9B" w:rsidP="00DB7C9B">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The findings suggest that housing affordability is a major challenge for a significant proportion of respondents, as 62.4% struggle to afford suitable housing based on their income. This indicates that a large portion of the population may be living in inadequate housing conditions, facing financial distress, or at risk of eviction due to high housing costs. Additionally, 19.4% of those struggling with affordability rely on borrowing from relatives or friends, highlighting their financial instability and lack of formal support systems for housing expenses. This reliance on informal loans may lead to debt accumulation and financial dependency, further exacerbating economic hardship. The situation underscores the need for government intervention through affordable housing policies, rent control measures, and financial assistance programs to support low-income earners and reduce their housing burden. This imply that housing affordability remains a critical issue, with a majority of respondents struggling to secure suitable housing within their income levels. This financial strain forces some individuals to rely on borrowing, which may lead to a cycle of debt and economic instability. Additionally, limited access to affordable housing can contribute to overcrowding, poor living conditions, and increased homelessness risks. Without government intervention and structured financial support, these challenges could worsen social inequality, hinder economic mobility, and reduce overall quality of life for low-income earners in the study area.</w:t>
      </w:r>
    </w:p>
    <w:p w14:paraId="71A57B96" w14:textId="77777777" w:rsidR="00CA1307" w:rsidRPr="008B1280" w:rsidRDefault="00CA1307">
      <w:pPr>
        <w:spacing w:line="360" w:lineRule="auto"/>
        <w:jc w:val="both"/>
        <w:rPr>
          <w:rFonts w:ascii="Arial" w:hAnsi="Arial" w:cs="Arial"/>
          <w:color w:val="000000" w:themeColor="text1"/>
          <w:sz w:val="20"/>
          <w:szCs w:val="20"/>
        </w:rPr>
      </w:pPr>
    </w:p>
    <w:p w14:paraId="74832CFD" w14:textId="77777777" w:rsidR="00CA1307" w:rsidRPr="008B1280" w:rsidRDefault="00CA1307">
      <w:pPr>
        <w:spacing w:line="360" w:lineRule="auto"/>
        <w:jc w:val="both"/>
        <w:rPr>
          <w:rFonts w:ascii="Arial" w:hAnsi="Arial" w:cs="Arial"/>
          <w:color w:val="000000" w:themeColor="text1"/>
          <w:sz w:val="20"/>
          <w:szCs w:val="20"/>
        </w:rPr>
      </w:pPr>
    </w:p>
    <w:p w14:paraId="601FD9B1" w14:textId="49E38675" w:rsidR="00D26672" w:rsidRPr="008B1280" w:rsidRDefault="00F52B8F">
      <w:pPr>
        <w:spacing w:line="360" w:lineRule="auto"/>
        <w:jc w:val="both"/>
        <w:rPr>
          <w:rFonts w:ascii="Arial" w:hAnsi="Arial" w:cs="Arial"/>
          <w:b/>
          <w:color w:val="000000" w:themeColor="text1"/>
          <w:sz w:val="20"/>
          <w:szCs w:val="20"/>
        </w:rPr>
      </w:pPr>
      <w:r w:rsidRPr="008B1280">
        <w:rPr>
          <w:rFonts w:ascii="Arial" w:hAnsi="Arial" w:cs="Arial"/>
          <w:b/>
          <w:color w:val="000000" w:themeColor="text1"/>
          <w:sz w:val="20"/>
          <w:szCs w:val="20"/>
        </w:rPr>
        <w:t>Table 5: Respondents with difficulties in housing expenses</w:t>
      </w:r>
    </w:p>
    <w:tbl>
      <w:tblPr>
        <w:tblW w:w="9613" w:type="dxa"/>
        <w:tblBorders>
          <w:top w:val="single" w:sz="12" w:space="0" w:color="auto"/>
          <w:bottom w:val="single" w:sz="12" w:space="0" w:color="auto"/>
        </w:tblBorders>
        <w:tblLayout w:type="fixed"/>
        <w:tblLook w:val="0000" w:firstRow="0" w:lastRow="0" w:firstColumn="0" w:lastColumn="0" w:noHBand="0" w:noVBand="0"/>
      </w:tblPr>
      <w:tblGrid>
        <w:gridCol w:w="3420"/>
        <w:gridCol w:w="2105"/>
        <w:gridCol w:w="235"/>
        <w:gridCol w:w="3618"/>
        <w:gridCol w:w="235"/>
      </w:tblGrid>
      <w:tr w:rsidR="004C4CD6" w:rsidRPr="008B1280" w14:paraId="3F8C6961" w14:textId="77777777" w:rsidTr="005E5E41">
        <w:trPr>
          <w:gridAfter w:val="1"/>
          <w:wAfter w:w="235" w:type="dxa"/>
          <w:trHeight w:val="586"/>
        </w:trPr>
        <w:tc>
          <w:tcPr>
            <w:tcW w:w="5525" w:type="dxa"/>
            <w:gridSpan w:val="2"/>
            <w:tcBorders>
              <w:top w:val="single" w:sz="12" w:space="0" w:color="auto"/>
              <w:bottom w:val="single" w:sz="12" w:space="0" w:color="auto"/>
            </w:tcBorders>
          </w:tcPr>
          <w:p w14:paraId="40EF3C8F" w14:textId="77777777" w:rsidR="00E6449D" w:rsidRPr="008B1280" w:rsidRDefault="00E6449D">
            <w:pPr>
              <w:spacing w:line="360" w:lineRule="auto"/>
              <w:jc w:val="both"/>
              <w:rPr>
                <w:rFonts w:ascii="Arial" w:hAnsi="Arial" w:cs="Arial"/>
                <w:color w:val="000000" w:themeColor="text1"/>
                <w:sz w:val="20"/>
                <w:szCs w:val="20"/>
              </w:rPr>
            </w:pPr>
          </w:p>
        </w:tc>
        <w:tc>
          <w:tcPr>
            <w:tcW w:w="3853" w:type="dxa"/>
            <w:gridSpan w:val="2"/>
            <w:tcBorders>
              <w:top w:val="single" w:sz="12" w:space="0" w:color="auto"/>
              <w:bottom w:val="single" w:sz="12" w:space="0" w:color="auto"/>
            </w:tcBorders>
          </w:tcPr>
          <w:p w14:paraId="6AF7CD50" w14:textId="77777777" w:rsidR="00E6449D" w:rsidRPr="008B1280" w:rsidRDefault="00E6449D">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Percent</w:t>
            </w:r>
          </w:p>
        </w:tc>
      </w:tr>
      <w:tr w:rsidR="004C4CD6" w:rsidRPr="008B1280" w14:paraId="6163456B" w14:textId="77777777" w:rsidTr="005E5E41">
        <w:trPr>
          <w:trHeight w:val="331"/>
        </w:trPr>
        <w:tc>
          <w:tcPr>
            <w:tcW w:w="3420" w:type="dxa"/>
            <w:vMerge w:val="restart"/>
            <w:tcBorders>
              <w:top w:val="single" w:sz="12" w:space="0" w:color="auto"/>
            </w:tcBorders>
          </w:tcPr>
          <w:p w14:paraId="44DE119D" w14:textId="3212BDAA" w:rsidR="00E6449D" w:rsidRPr="008B1280" w:rsidRDefault="00E6449D">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Have difficulty in housing expenses</w:t>
            </w:r>
          </w:p>
          <w:p w14:paraId="08B376B3" w14:textId="5FCE1698" w:rsidR="00E6449D" w:rsidRPr="008B1280" w:rsidRDefault="00E6449D">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No difficulty in housing expenses</w:t>
            </w:r>
          </w:p>
        </w:tc>
        <w:tc>
          <w:tcPr>
            <w:tcW w:w="2340" w:type="dxa"/>
            <w:gridSpan w:val="2"/>
            <w:tcBorders>
              <w:top w:val="single" w:sz="12" w:space="0" w:color="auto"/>
            </w:tcBorders>
          </w:tcPr>
          <w:p w14:paraId="67DD56F0" w14:textId="69C091F5" w:rsidR="00E6449D" w:rsidRPr="008B1280" w:rsidRDefault="00E6449D">
            <w:pPr>
              <w:spacing w:line="360" w:lineRule="auto"/>
              <w:jc w:val="both"/>
              <w:rPr>
                <w:rFonts w:ascii="Arial" w:hAnsi="Arial" w:cs="Arial"/>
                <w:color w:val="000000" w:themeColor="text1"/>
                <w:sz w:val="20"/>
                <w:szCs w:val="20"/>
              </w:rPr>
            </w:pPr>
          </w:p>
        </w:tc>
        <w:tc>
          <w:tcPr>
            <w:tcW w:w="3853" w:type="dxa"/>
            <w:gridSpan w:val="2"/>
            <w:tcBorders>
              <w:top w:val="single" w:sz="12" w:space="0" w:color="auto"/>
            </w:tcBorders>
          </w:tcPr>
          <w:p w14:paraId="5F51D4F3" w14:textId="77777777" w:rsidR="00E6449D" w:rsidRPr="008B1280" w:rsidRDefault="00E6449D">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62.4</w:t>
            </w:r>
          </w:p>
        </w:tc>
      </w:tr>
      <w:tr w:rsidR="004C4CD6" w:rsidRPr="008B1280" w14:paraId="633E5825" w14:textId="77777777" w:rsidTr="005E5E41">
        <w:trPr>
          <w:gridAfter w:val="1"/>
          <w:wAfter w:w="235" w:type="dxa"/>
          <w:trHeight w:val="347"/>
        </w:trPr>
        <w:tc>
          <w:tcPr>
            <w:tcW w:w="3420" w:type="dxa"/>
            <w:vMerge/>
          </w:tcPr>
          <w:p w14:paraId="386AFD3A" w14:textId="77777777" w:rsidR="00E6449D" w:rsidRPr="008B1280" w:rsidRDefault="00E6449D">
            <w:pPr>
              <w:spacing w:line="360" w:lineRule="auto"/>
              <w:jc w:val="both"/>
              <w:rPr>
                <w:rFonts w:ascii="Arial" w:hAnsi="Arial" w:cs="Arial"/>
                <w:color w:val="000000" w:themeColor="text1"/>
                <w:sz w:val="20"/>
                <w:szCs w:val="20"/>
              </w:rPr>
            </w:pPr>
          </w:p>
        </w:tc>
        <w:tc>
          <w:tcPr>
            <w:tcW w:w="2105" w:type="dxa"/>
          </w:tcPr>
          <w:p w14:paraId="7B816E5D" w14:textId="6F668CB2" w:rsidR="00E6449D" w:rsidRPr="008B1280" w:rsidRDefault="00E6449D">
            <w:pPr>
              <w:spacing w:line="360" w:lineRule="auto"/>
              <w:jc w:val="both"/>
              <w:rPr>
                <w:rFonts w:ascii="Arial" w:hAnsi="Arial" w:cs="Arial"/>
                <w:color w:val="000000" w:themeColor="text1"/>
                <w:sz w:val="20"/>
                <w:szCs w:val="20"/>
              </w:rPr>
            </w:pPr>
          </w:p>
        </w:tc>
        <w:tc>
          <w:tcPr>
            <w:tcW w:w="3853" w:type="dxa"/>
            <w:gridSpan w:val="2"/>
          </w:tcPr>
          <w:p w14:paraId="0887F7E9" w14:textId="77777777" w:rsidR="00E6449D" w:rsidRPr="008B1280" w:rsidRDefault="00E6449D">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37.6</w:t>
            </w:r>
          </w:p>
        </w:tc>
      </w:tr>
      <w:tr w:rsidR="004C4CD6" w:rsidRPr="008B1280" w14:paraId="4C67D4EB" w14:textId="77777777" w:rsidTr="005E5E41">
        <w:trPr>
          <w:gridAfter w:val="1"/>
          <w:wAfter w:w="235" w:type="dxa"/>
          <w:trHeight w:val="363"/>
        </w:trPr>
        <w:tc>
          <w:tcPr>
            <w:tcW w:w="3420" w:type="dxa"/>
            <w:vMerge/>
            <w:tcBorders>
              <w:bottom w:val="single" w:sz="12" w:space="0" w:color="auto"/>
            </w:tcBorders>
          </w:tcPr>
          <w:p w14:paraId="69C86D9D" w14:textId="77777777" w:rsidR="00E6449D" w:rsidRPr="008B1280" w:rsidRDefault="00E6449D">
            <w:pPr>
              <w:spacing w:line="360" w:lineRule="auto"/>
              <w:jc w:val="both"/>
              <w:rPr>
                <w:rFonts w:ascii="Arial" w:hAnsi="Arial" w:cs="Arial"/>
                <w:color w:val="000000" w:themeColor="text1"/>
                <w:sz w:val="20"/>
                <w:szCs w:val="20"/>
              </w:rPr>
            </w:pPr>
          </w:p>
        </w:tc>
        <w:tc>
          <w:tcPr>
            <w:tcW w:w="2105" w:type="dxa"/>
            <w:tcBorders>
              <w:bottom w:val="single" w:sz="12" w:space="0" w:color="auto"/>
            </w:tcBorders>
          </w:tcPr>
          <w:p w14:paraId="492208A3" w14:textId="32F85CF7" w:rsidR="00E6449D" w:rsidRPr="008B1280" w:rsidRDefault="00E6449D">
            <w:pPr>
              <w:spacing w:line="360" w:lineRule="auto"/>
              <w:jc w:val="both"/>
              <w:rPr>
                <w:rFonts w:ascii="Arial" w:hAnsi="Arial" w:cs="Arial"/>
                <w:color w:val="000000" w:themeColor="text1"/>
                <w:sz w:val="20"/>
                <w:szCs w:val="20"/>
              </w:rPr>
            </w:pPr>
          </w:p>
        </w:tc>
        <w:tc>
          <w:tcPr>
            <w:tcW w:w="3853" w:type="dxa"/>
            <w:gridSpan w:val="2"/>
            <w:tcBorders>
              <w:bottom w:val="single" w:sz="12" w:space="0" w:color="auto"/>
            </w:tcBorders>
          </w:tcPr>
          <w:p w14:paraId="014B9A37" w14:textId="77777777" w:rsidR="00E6449D" w:rsidRPr="008B1280" w:rsidRDefault="00E6449D">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100.0</w:t>
            </w:r>
          </w:p>
        </w:tc>
      </w:tr>
    </w:tbl>
    <w:p w14:paraId="46602A44" w14:textId="77777777" w:rsidR="00D26672" w:rsidRPr="008B1280" w:rsidRDefault="00F52B8F">
      <w:pPr>
        <w:spacing w:line="360" w:lineRule="auto"/>
        <w:jc w:val="both"/>
        <w:rPr>
          <w:rFonts w:ascii="Arial" w:hAnsi="Arial" w:cs="Arial"/>
          <w:color w:val="000000" w:themeColor="text1"/>
          <w:sz w:val="20"/>
          <w:szCs w:val="20"/>
          <w:shd w:val="clear" w:color="auto" w:fill="FFFFFF"/>
        </w:rPr>
      </w:pPr>
      <w:r w:rsidRPr="008B1280">
        <w:rPr>
          <w:rFonts w:ascii="Arial" w:hAnsi="Arial" w:cs="Arial"/>
          <w:color w:val="000000" w:themeColor="text1"/>
          <w:sz w:val="20"/>
          <w:szCs w:val="20"/>
          <w:shd w:val="clear" w:color="auto" w:fill="FFFFFF"/>
        </w:rPr>
        <w:t>Source: Field Work Analysis (2023</w:t>
      </w:r>
    </w:p>
    <w:p w14:paraId="1C29B32D" w14:textId="77777777" w:rsidR="0068647B" w:rsidRDefault="0068647B">
      <w:pPr>
        <w:spacing w:line="360" w:lineRule="auto"/>
        <w:jc w:val="both"/>
        <w:rPr>
          <w:rFonts w:ascii="Arial" w:hAnsi="Arial" w:cs="Arial"/>
          <w:b/>
          <w:color w:val="000000" w:themeColor="text1"/>
          <w:sz w:val="20"/>
          <w:szCs w:val="20"/>
        </w:rPr>
      </w:pPr>
    </w:p>
    <w:p w14:paraId="72425169" w14:textId="11704C3E" w:rsidR="00D26672" w:rsidRPr="008B1280" w:rsidRDefault="00F52B8F">
      <w:pPr>
        <w:spacing w:line="360" w:lineRule="auto"/>
        <w:jc w:val="both"/>
        <w:rPr>
          <w:rFonts w:ascii="Arial" w:hAnsi="Arial" w:cs="Arial"/>
          <w:b/>
          <w:color w:val="000000" w:themeColor="text1"/>
          <w:sz w:val="20"/>
          <w:szCs w:val="20"/>
          <w:shd w:val="clear" w:color="auto" w:fill="FFFFFF"/>
        </w:rPr>
      </w:pPr>
      <w:r w:rsidRPr="008B1280">
        <w:rPr>
          <w:rFonts w:ascii="Arial" w:hAnsi="Arial" w:cs="Arial"/>
          <w:b/>
          <w:color w:val="000000" w:themeColor="text1"/>
          <w:sz w:val="20"/>
          <w:szCs w:val="20"/>
        </w:rPr>
        <w:t>Table 6: Number of respondents who borrow money to pay up housing rent</w:t>
      </w:r>
    </w:p>
    <w:tbl>
      <w:tblPr>
        <w:tblW w:w="9395" w:type="dxa"/>
        <w:tblInd w:w="5" w:type="dxa"/>
        <w:tblBorders>
          <w:top w:val="single" w:sz="12" w:space="0" w:color="auto"/>
          <w:bottom w:val="single" w:sz="12" w:space="0" w:color="auto"/>
        </w:tblBorders>
        <w:tblLayout w:type="fixed"/>
        <w:tblLook w:val="0000" w:firstRow="0" w:lastRow="0" w:firstColumn="0" w:lastColumn="0" w:noHBand="0" w:noVBand="0"/>
      </w:tblPr>
      <w:tblGrid>
        <w:gridCol w:w="1885"/>
        <w:gridCol w:w="3614"/>
        <w:gridCol w:w="256"/>
        <w:gridCol w:w="3640"/>
      </w:tblGrid>
      <w:tr w:rsidR="004C4CD6" w:rsidRPr="008B1280" w14:paraId="1140B1ED" w14:textId="77777777" w:rsidTr="00E6449D">
        <w:trPr>
          <w:trHeight w:val="382"/>
        </w:trPr>
        <w:tc>
          <w:tcPr>
            <w:tcW w:w="5499" w:type="dxa"/>
            <w:gridSpan w:val="2"/>
            <w:tcBorders>
              <w:top w:val="single" w:sz="12" w:space="0" w:color="auto"/>
              <w:bottom w:val="single" w:sz="12" w:space="0" w:color="auto"/>
            </w:tcBorders>
          </w:tcPr>
          <w:p w14:paraId="753A19C2" w14:textId="77777777" w:rsidR="00E6449D" w:rsidRPr="008B1280" w:rsidRDefault="00E6449D">
            <w:pPr>
              <w:spacing w:line="360" w:lineRule="auto"/>
              <w:jc w:val="both"/>
              <w:rPr>
                <w:rFonts w:ascii="Arial" w:hAnsi="Arial" w:cs="Arial"/>
                <w:color w:val="000000" w:themeColor="text1"/>
                <w:sz w:val="20"/>
                <w:szCs w:val="20"/>
              </w:rPr>
            </w:pPr>
          </w:p>
        </w:tc>
        <w:tc>
          <w:tcPr>
            <w:tcW w:w="3896" w:type="dxa"/>
            <w:gridSpan w:val="2"/>
            <w:tcBorders>
              <w:top w:val="single" w:sz="12" w:space="0" w:color="auto"/>
              <w:bottom w:val="single" w:sz="12" w:space="0" w:color="auto"/>
            </w:tcBorders>
          </w:tcPr>
          <w:p w14:paraId="4E398F71" w14:textId="77777777" w:rsidR="00E6449D" w:rsidRPr="008B1280" w:rsidRDefault="00E6449D">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Percent</w:t>
            </w:r>
          </w:p>
        </w:tc>
      </w:tr>
      <w:tr w:rsidR="004C4CD6" w:rsidRPr="008B1280" w14:paraId="5C1C9486" w14:textId="77777777" w:rsidTr="005E5E41">
        <w:trPr>
          <w:trHeight w:val="242"/>
        </w:trPr>
        <w:tc>
          <w:tcPr>
            <w:tcW w:w="1885" w:type="dxa"/>
            <w:vMerge w:val="restart"/>
            <w:tcBorders>
              <w:top w:val="single" w:sz="12" w:space="0" w:color="auto"/>
            </w:tcBorders>
          </w:tcPr>
          <w:p w14:paraId="79F69CB2" w14:textId="77777777" w:rsidR="00E6449D" w:rsidRPr="008B1280" w:rsidRDefault="00E6449D">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Valid</w:t>
            </w:r>
          </w:p>
        </w:tc>
        <w:tc>
          <w:tcPr>
            <w:tcW w:w="3870" w:type="dxa"/>
            <w:gridSpan w:val="2"/>
            <w:tcBorders>
              <w:top w:val="single" w:sz="12" w:space="0" w:color="auto"/>
            </w:tcBorders>
          </w:tcPr>
          <w:p w14:paraId="04E6636F" w14:textId="7A63C82D" w:rsidR="00E6449D" w:rsidRPr="008B1280" w:rsidRDefault="005E5E41">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 xml:space="preserve">Respondents who borrow money </w:t>
            </w:r>
          </w:p>
        </w:tc>
        <w:tc>
          <w:tcPr>
            <w:tcW w:w="3640" w:type="dxa"/>
            <w:tcBorders>
              <w:top w:val="single" w:sz="12" w:space="0" w:color="auto"/>
            </w:tcBorders>
          </w:tcPr>
          <w:p w14:paraId="1EB68BC4" w14:textId="77777777" w:rsidR="00E6449D" w:rsidRPr="008B1280" w:rsidRDefault="00E6449D">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19.4</w:t>
            </w:r>
          </w:p>
        </w:tc>
      </w:tr>
      <w:tr w:rsidR="004C4CD6" w:rsidRPr="008B1280" w14:paraId="103C898A" w14:textId="77777777" w:rsidTr="005E5E41">
        <w:trPr>
          <w:trHeight w:val="261"/>
        </w:trPr>
        <w:tc>
          <w:tcPr>
            <w:tcW w:w="1885" w:type="dxa"/>
            <w:vMerge/>
          </w:tcPr>
          <w:p w14:paraId="4F7ACCF8" w14:textId="77777777" w:rsidR="00E6449D" w:rsidRPr="008B1280" w:rsidRDefault="00E6449D">
            <w:pPr>
              <w:spacing w:line="360" w:lineRule="auto"/>
              <w:jc w:val="both"/>
              <w:rPr>
                <w:rFonts w:ascii="Arial" w:hAnsi="Arial" w:cs="Arial"/>
                <w:color w:val="000000" w:themeColor="text1"/>
                <w:sz w:val="20"/>
                <w:szCs w:val="20"/>
              </w:rPr>
            </w:pPr>
          </w:p>
        </w:tc>
        <w:tc>
          <w:tcPr>
            <w:tcW w:w="3870" w:type="dxa"/>
            <w:gridSpan w:val="2"/>
          </w:tcPr>
          <w:p w14:paraId="35161C56" w14:textId="281C1123" w:rsidR="00E6449D" w:rsidRPr="008B1280" w:rsidRDefault="005E5E41">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Respondents who do not borrow money</w:t>
            </w:r>
          </w:p>
        </w:tc>
        <w:tc>
          <w:tcPr>
            <w:tcW w:w="3640" w:type="dxa"/>
          </w:tcPr>
          <w:p w14:paraId="2AE437C7" w14:textId="77777777" w:rsidR="00E6449D" w:rsidRPr="008B1280" w:rsidRDefault="00E6449D">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80.6</w:t>
            </w:r>
          </w:p>
        </w:tc>
      </w:tr>
      <w:tr w:rsidR="004C4CD6" w:rsidRPr="008B1280" w14:paraId="521F3F38" w14:textId="77777777" w:rsidTr="005E5E41">
        <w:trPr>
          <w:trHeight w:val="261"/>
        </w:trPr>
        <w:tc>
          <w:tcPr>
            <w:tcW w:w="1885" w:type="dxa"/>
            <w:vMerge/>
          </w:tcPr>
          <w:p w14:paraId="7D75281B" w14:textId="77777777" w:rsidR="00E6449D" w:rsidRPr="008B1280" w:rsidRDefault="00E6449D">
            <w:pPr>
              <w:spacing w:line="360" w:lineRule="auto"/>
              <w:jc w:val="both"/>
              <w:rPr>
                <w:rFonts w:ascii="Arial" w:hAnsi="Arial" w:cs="Arial"/>
                <w:color w:val="000000" w:themeColor="text1"/>
                <w:sz w:val="20"/>
                <w:szCs w:val="20"/>
              </w:rPr>
            </w:pPr>
          </w:p>
        </w:tc>
        <w:tc>
          <w:tcPr>
            <w:tcW w:w="3614" w:type="dxa"/>
          </w:tcPr>
          <w:p w14:paraId="12907DC3" w14:textId="77777777" w:rsidR="00E6449D" w:rsidRPr="008B1280" w:rsidRDefault="00E6449D">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Total</w:t>
            </w:r>
          </w:p>
        </w:tc>
        <w:tc>
          <w:tcPr>
            <w:tcW w:w="3896" w:type="dxa"/>
            <w:gridSpan w:val="2"/>
          </w:tcPr>
          <w:p w14:paraId="3430E072" w14:textId="77777777" w:rsidR="00E6449D" w:rsidRPr="008B1280" w:rsidRDefault="00E6449D">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100.0</w:t>
            </w:r>
          </w:p>
        </w:tc>
      </w:tr>
    </w:tbl>
    <w:p w14:paraId="71A00F3A" w14:textId="329E8C9A" w:rsidR="00DB7C9B" w:rsidRPr="008B1280" w:rsidRDefault="00F52B8F" w:rsidP="004C4CD6">
      <w:pPr>
        <w:spacing w:line="360" w:lineRule="auto"/>
        <w:jc w:val="both"/>
        <w:rPr>
          <w:rFonts w:ascii="Arial" w:hAnsi="Arial" w:cs="Arial"/>
          <w:color w:val="000000" w:themeColor="text1"/>
          <w:sz w:val="20"/>
          <w:szCs w:val="20"/>
          <w:shd w:val="clear" w:color="auto" w:fill="FFFFFF"/>
        </w:rPr>
      </w:pPr>
      <w:r w:rsidRPr="008B1280">
        <w:rPr>
          <w:rFonts w:ascii="Arial" w:hAnsi="Arial" w:cs="Arial"/>
          <w:color w:val="000000" w:themeColor="text1"/>
          <w:sz w:val="20"/>
          <w:szCs w:val="20"/>
          <w:shd w:val="clear" w:color="auto" w:fill="FFFFFF"/>
        </w:rPr>
        <w:t>Source: Field Work Analysis (2023)</w:t>
      </w:r>
    </w:p>
    <w:p w14:paraId="302795E3" w14:textId="77777777" w:rsidR="00AD5C7A" w:rsidRPr="008B1280" w:rsidRDefault="00AD5C7A" w:rsidP="00AD5C7A">
      <w:pPr>
        <w:spacing w:line="360" w:lineRule="auto"/>
        <w:jc w:val="both"/>
        <w:rPr>
          <w:rFonts w:ascii="Arial" w:hAnsi="Arial" w:cs="Arial"/>
          <w:b/>
          <w:bCs/>
          <w:sz w:val="20"/>
          <w:szCs w:val="20"/>
        </w:rPr>
      </w:pPr>
      <w:r w:rsidRPr="008B1280">
        <w:rPr>
          <w:rFonts w:ascii="Arial" w:hAnsi="Arial" w:cs="Arial"/>
          <w:b/>
          <w:bCs/>
          <w:sz w:val="20"/>
          <w:szCs w:val="20"/>
        </w:rPr>
        <w:t>Hypothesis testing</w:t>
      </w:r>
    </w:p>
    <w:p w14:paraId="79ADE5D3" w14:textId="347B0224" w:rsidR="00AD5C7A" w:rsidRPr="008B1280" w:rsidRDefault="001B5215" w:rsidP="00AD5C7A">
      <w:pPr>
        <w:spacing w:line="360" w:lineRule="auto"/>
        <w:jc w:val="both"/>
        <w:rPr>
          <w:rFonts w:ascii="Arial" w:hAnsi="Arial" w:cs="Arial"/>
          <w:sz w:val="20"/>
          <w:szCs w:val="20"/>
        </w:rPr>
      </w:pPr>
      <w:r w:rsidRPr="008B1280">
        <w:rPr>
          <w:rFonts w:ascii="Arial" w:hAnsi="Arial" w:cs="Arial"/>
          <w:sz w:val="20"/>
          <w:szCs w:val="20"/>
        </w:rPr>
        <w:t xml:space="preserve">Furthermore, hypothesis which states that income has no significant effect on housing affordability was </w:t>
      </w:r>
      <w:r w:rsidR="005E5E41" w:rsidRPr="008B1280">
        <w:rPr>
          <w:rFonts w:ascii="Arial" w:hAnsi="Arial" w:cs="Arial"/>
          <w:sz w:val="20"/>
          <w:szCs w:val="20"/>
        </w:rPr>
        <w:t xml:space="preserve">tested. </w:t>
      </w:r>
      <w:r w:rsidR="00AD5C7A" w:rsidRPr="008B1280">
        <w:rPr>
          <w:rFonts w:ascii="Arial" w:hAnsi="Arial" w:cs="Arial"/>
          <w:color w:val="000000" w:themeColor="text1"/>
          <w:sz w:val="20"/>
          <w:szCs w:val="20"/>
        </w:rPr>
        <w:t>The descriptive statistics revealed that though majority</w:t>
      </w:r>
      <w:r w:rsidR="00AD5C7A" w:rsidRPr="008B1280">
        <w:rPr>
          <w:rFonts w:ascii="Arial" w:hAnsi="Arial" w:cs="Arial"/>
          <w:sz w:val="20"/>
          <w:szCs w:val="20"/>
        </w:rPr>
        <w:t xml:space="preserve"> of the residents in the study area have a source of income, which resulted into 71% (132) of the respondents, 43% (80) cannot afford suitable housing within the study area while 29% of the respondents which resulted into 54 of the sampled respondents do not have a source of income and 9.7% (18) cannot afford a suitable housing. </w:t>
      </w:r>
    </w:p>
    <w:p w14:paraId="1F56D0FB" w14:textId="3F7C026F" w:rsidR="00AD5C7A" w:rsidRPr="008B1280" w:rsidRDefault="0068647B" w:rsidP="00AD5C7A">
      <w:pPr>
        <w:spacing w:line="360" w:lineRule="auto"/>
        <w:jc w:val="both"/>
        <w:rPr>
          <w:rFonts w:ascii="Arial" w:hAnsi="Arial" w:cs="Arial"/>
          <w:b/>
          <w:sz w:val="20"/>
          <w:szCs w:val="20"/>
        </w:rPr>
      </w:pPr>
      <w:r w:rsidRPr="0068647B">
        <w:rPr>
          <w:rFonts w:ascii="Arial" w:hAnsi="Arial" w:cs="Arial"/>
          <w:b/>
          <w:sz w:val="20"/>
          <w:szCs w:val="20"/>
        </w:rPr>
        <w:t xml:space="preserve">Table </w:t>
      </w:r>
      <w:r>
        <w:rPr>
          <w:rFonts w:ascii="Arial" w:hAnsi="Arial" w:cs="Arial"/>
          <w:b/>
          <w:sz w:val="20"/>
          <w:szCs w:val="20"/>
        </w:rPr>
        <w:t>7</w:t>
      </w:r>
      <w:r w:rsidRPr="0068647B">
        <w:rPr>
          <w:rFonts w:ascii="Arial" w:hAnsi="Arial" w:cs="Arial"/>
          <w:b/>
          <w:sz w:val="20"/>
          <w:szCs w:val="20"/>
        </w:rPr>
        <w:t xml:space="preserve">: </w:t>
      </w:r>
      <w:r w:rsidR="00AD5C7A" w:rsidRPr="008B1280">
        <w:rPr>
          <w:rFonts w:ascii="Arial" w:hAnsi="Arial" w:cs="Arial"/>
          <w:b/>
          <w:sz w:val="20"/>
          <w:szCs w:val="20"/>
        </w:rPr>
        <w:t xml:space="preserve">Respondents with source of income and those with difficulty in assessing housing. </w:t>
      </w:r>
    </w:p>
    <w:tbl>
      <w:tblPr>
        <w:tblStyle w:val="PlainTable2"/>
        <w:tblW w:w="8687" w:type="dxa"/>
        <w:tblInd w:w="-5" w:type="dxa"/>
        <w:tblBorders>
          <w:top w:val="single" w:sz="12" w:space="0" w:color="auto"/>
          <w:bottom w:val="single" w:sz="12" w:space="0" w:color="auto"/>
        </w:tblBorders>
        <w:tblLayout w:type="fixed"/>
        <w:tblLook w:val="0000" w:firstRow="0" w:lastRow="0" w:firstColumn="0" w:lastColumn="0" w:noHBand="0" w:noVBand="0"/>
      </w:tblPr>
      <w:tblGrid>
        <w:gridCol w:w="2574"/>
        <w:gridCol w:w="772"/>
        <w:gridCol w:w="1392"/>
        <w:gridCol w:w="1327"/>
        <w:gridCol w:w="1545"/>
        <w:gridCol w:w="1077"/>
      </w:tblGrid>
      <w:tr w:rsidR="00AD5C7A" w:rsidRPr="008B1280" w14:paraId="7EBA5C6E" w14:textId="77777777" w:rsidTr="00AA5273">
        <w:trPr>
          <w:cnfStyle w:val="000000100000" w:firstRow="0" w:lastRow="0" w:firstColumn="0" w:lastColumn="0" w:oddVBand="0" w:evenVBand="0" w:oddHBand="1" w:evenHBand="0" w:firstRowFirstColumn="0" w:firstRowLastColumn="0" w:lastRowFirstColumn="0" w:lastRowLastColumn="0"/>
          <w:trHeight w:val="602"/>
        </w:trPr>
        <w:tc>
          <w:tcPr>
            <w:cnfStyle w:val="000010000000" w:firstRow="0" w:lastRow="0" w:firstColumn="0" w:lastColumn="0" w:oddVBand="1" w:evenVBand="0" w:oddHBand="0" w:evenHBand="0" w:firstRowFirstColumn="0" w:firstRowLastColumn="0" w:lastRowFirstColumn="0" w:lastRowLastColumn="0"/>
            <w:tcW w:w="4738" w:type="dxa"/>
            <w:gridSpan w:val="3"/>
            <w:vMerge w:val="restart"/>
            <w:tcBorders>
              <w:top w:val="single" w:sz="12" w:space="0" w:color="auto"/>
              <w:left w:val="none" w:sz="0" w:space="0" w:color="auto"/>
              <w:bottom w:val="single" w:sz="12" w:space="0" w:color="auto"/>
              <w:right w:val="none" w:sz="0" w:space="0" w:color="auto"/>
            </w:tcBorders>
          </w:tcPr>
          <w:p w14:paraId="609BF470" w14:textId="77777777" w:rsidR="00AD5C7A" w:rsidRPr="008B1280" w:rsidRDefault="00AD5C7A" w:rsidP="00AA5273">
            <w:pPr>
              <w:spacing w:line="360" w:lineRule="auto"/>
              <w:jc w:val="both"/>
              <w:rPr>
                <w:rFonts w:ascii="Arial" w:hAnsi="Arial" w:cs="Arial"/>
                <w:sz w:val="20"/>
                <w:szCs w:val="20"/>
              </w:rPr>
            </w:pPr>
          </w:p>
        </w:tc>
        <w:tc>
          <w:tcPr>
            <w:cnfStyle w:val="000001000000" w:firstRow="0" w:lastRow="0" w:firstColumn="0" w:lastColumn="0" w:oddVBand="0" w:evenVBand="1" w:oddHBand="0" w:evenHBand="0" w:firstRowFirstColumn="0" w:firstRowLastColumn="0" w:lastRowFirstColumn="0" w:lastRowLastColumn="0"/>
            <w:tcW w:w="2872" w:type="dxa"/>
            <w:gridSpan w:val="2"/>
            <w:tcBorders>
              <w:top w:val="single" w:sz="12" w:space="0" w:color="auto"/>
              <w:left w:val="none" w:sz="0" w:space="0" w:color="auto"/>
              <w:bottom w:val="single" w:sz="12" w:space="0" w:color="auto"/>
              <w:right w:val="none" w:sz="0" w:space="0" w:color="auto"/>
            </w:tcBorders>
          </w:tcPr>
          <w:p w14:paraId="59FD62EC"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Affordability of housing options</w:t>
            </w:r>
          </w:p>
        </w:tc>
        <w:tc>
          <w:tcPr>
            <w:cnfStyle w:val="000010000000" w:firstRow="0" w:lastRow="0" w:firstColumn="0" w:lastColumn="0" w:oddVBand="1" w:evenVBand="0" w:oddHBand="0" w:evenHBand="0" w:firstRowFirstColumn="0" w:firstRowLastColumn="0" w:lastRowFirstColumn="0" w:lastRowLastColumn="0"/>
            <w:tcW w:w="1077" w:type="dxa"/>
            <w:vMerge w:val="restart"/>
            <w:tcBorders>
              <w:top w:val="single" w:sz="12" w:space="0" w:color="auto"/>
              <w:left w:val="none" w:sz="0" w:space="0" w:color="auto"/>
              <w:bottom w:val="single" w:sz="12" w:space="0" w:color="auto"/>
              <w:right w:val="none" w:sz="0" w:space="0" w:color="auto"/>
            </w:tcBorders>
          </w:tcPr>
          <w:p w14:paraId="68C8E9B3"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Total</w:t>
            </w:r>
          </w:p>
        </w:tc>
      </w:tr>
      <w:tr w:rsidR="00AD5C7A" w:rsidRPr="008B1280" w14:paraId="6A7BF189" w14:textId="77777777" w:rsidTr="00AA5273">
        <w:trPr>
          <w:trHeight w:val="339"/>
        </w:trPr>
        <w:tc>
          <w:tcPr>
            <w:cnfStyle w:val="000010000000" w:firstRow="0" w:lastRow="0" w:firstColumn="0" w:lastColumn="0" w:oddVBand="1" w:evenVBand="0" w:oddHBand="0" w:evenHBand="0" w:firstRowFirstColumn="0" w:firstRowLastColumn="0" w:lastRowFirstColumn="0" w:lastRowLastColumn="0"/>
            <w:tcW w:w="4738" w:type="dxa"/>
            <w:gridSpan w:val="3"/>
            <w:vMerge/>
            <w:tcBorders>
              <w:top w:val="single" w:sz="12" w:space="0" w:color="auto"/>
              <w:left w:val="none" w:sz="0" w:space="0" w:color="auto"/>
              <w:bottom w:val="single" w:sz="12" w:space="0" w:color="auto"/>
              <w:right w:val="none" w:sz="0" w:space="0" w:color="auto"/>
            </w:tcBorders>
          </w:tcPr>
          <w:p w14:paraId="4E78D116" w14:textId="77777777" w:rsidR="00AD5C7A" w:rsidRPr="008B1280" w:rsidRDefault="00AD5C7A" w:rsidP="00AA5273">
            <w:pPr>
              <w:spacing w:line="360" w:lineRule="auto"/>
              <w:jc w:val="both"/>
              <w:rPr>
                <w:rFonts w:ascii="Arial" w:hAnsi="Arial" w:cs="Arial"/>
                <w:sz w:val="20"/>
                <w:szCs w:val="20"/>
              </w:rPr>
            </w:pPr>
          </w:p>
        </w:tc>
        <w:tc>
          <w:tcPr>
            <w:cnfStyle w:val="000001000000" w:firstRow="0" w:lastRow="0" w:firstColumn="0" w:lastColumn="0" w:oddVBand="0" w:evenVBand="1" w:oddHBand="0" w:evenHBand="0" w:firstRowFirstColumn="0" w:firstRowLastColumn="0" w:lastRowFirstColumn="0" w:lastRowLastColumn="0"/>
            <w:tcW w:w="1327" w:type="dxa"/>
            <w:tcBorders>
              <w:top w:val="single" w:sz="12" w:space="0" w:color="auto"/>
              <w:left w:val="none" w:sz="0" w:space="0" w:color="auto"/>
              <w:bottom w:val="single" w:sz="12" w:space="0" w:color="auto"/>
              <w:right w:val="none" w:sz="0" w:space="0" w:color="auto"/>
            </w:tcBorders>
          </w:tcPr>
          <w:p w14:paraId="0BFA0CD7" w14:textId="0B6D110A" w:rsidR="00AD5C7A" w:rsidRPr="008B1280" w:rsidRDefault="005E5E41" w:rsidP="00AA5273">
            <w:pPr>
              <w:spacing w:line="360" w:lineRule="auto"/>
              <w:jc w:val="both"/>
              <w:rPr>
                <w:rFonts w:ascii="Arial" w:hAnsi="Arial" w:cs="Arial"/>
                <w:sz w:val="20"/>
                <w:szCs w:val="20"/>
              </w:rPr>
            </w:pPr>
            <w:r w:rsidRPr="008B1280">
              <w:rPr>
                <w:rFonts w:ascii="Arial" w:hAnsi="Arial" w:cs="Arial"/>
                <w:sz w:val="20"/>
                <w:szCs w:val="20"/>
              </w:rPr>
              <w:t>Affordable Housing</w:t>
            </w:r>
          </w:p>
        </w:tc>
        <w:tc>
          <w:tcPr>
            <w:cnfStyle w:val="000010000000" w:firstRow="0" w:lastRow="0" w:firstColumn="0" w:lastColumn="0" w:oddVBand="1" w:evenVBand="0" w:oddHBand="0" w:evenHBand="0" w:firstRowFirstColumn="0" w:firstRowLastColumn="0" w:lastRowFirstColumn="0" w:lastRowLastColumn="0"/>
            <w:tcW w:w="1545" w:type="dxa"/>
            <w:tcBorders>
              <w:top w:val="single" w:sz="12" w:space="0" w:color="auto"/>
              <w:left w:val="none" w:sz="0" w:space="0" w:color="auto"/>
              <w:bottom w:val="single" w:sz="12" w:space="0" w:color="auto"/>
              <w:right w:val="none" w:sz="0" w:space="0" w:color="auto"/>
            </w:tcBorders>
          </w:tcPr>
          <w:p w14:paraId="12CB5166" w14:textId="55897D4B" w:rsidR="00AD5C7A" w:rsidRPr="008B1280" w:rsidRDefault="005E5E41" w:rsidP="00AA5273">
            <w:pPr>
              <w:spacing w:line="360" w:lineRule="auto"/>
              <w:jc w:val="both"/>
              <w:rPr>
                <w:rFonts w:ascii="Arial" w:hAnsi="Arial" w:cs="Arial"/>
                <w:sz w:val="20"/>
                <w:szCs w:val="20"/>
              </w:rPr>
            </w:pPr>
            <w:r w:rsidRPr="008B1280">
              <w:rPr>
                <w:rFonts w:ascii="Arial" w:hAnsi="Arial" w:cs="Arial"/>
                <w:sz w:val="20"/>
                <w:szCs w:val="20"/>
              </w:rPr>
              <w:t>Unaffordable Housing</w:t>
            </w:r>
          </w:p>
        </w:tc>
        <w:tc>
          <w:tcPr>
            <w:cnfStyle w:val="000001000000" w:firstRow="0" w:lastRow="0" w:firstColumn="0" w:lastColumn="0" w:oddVBand="0" w:evenVBand="1" w:oddHBand="0" w:evenHBand="0" w:firstRowFirstColumn="0" w:firstRowLastColumn="0" w:lastRowFirstColumn="0" w:lastRowLastColumn="0"/>
            <w:tcW w:w="1077" w:type="dxa"/>
            <w:vMerge/>
            <w:tcBorders>
              <w:top w:val="single" w:sz="12" w:space="0" w:color="auto"/>
              <w:left w:val="none" w:sz="0" w:space="0" w:color="auto"/>
              <w:bottom w:val="single" w:sz="12" w:space="0" w:color="auto"/>
              <w:right w:val="none" w:sz="0" w:space="0" w:color="auto"/>
            </w:tcBorders>
          </w:tcPr>
          <w:p w14:paraId="1CFE7FDD" w14:textId="77777777" w:rsidR="00AD5C7A" w:rsidRPr="008B1280" w:rsidRDefault="00AD5C7A" w:rsidP="00AA5273">
            <w:pPr>
              <w:spacing w:line="360" w:lineRule="auto"/>
              <w:jc w:val="both"/>
              <w:rPr>
                <w:rFonts w:ascii="Arial" w:hAnsi="Arial" w:cs="Arial"/>
                <w:sz w:val="20"/>
                <w:szCs w:val="20"/>
              </w:rPr>
            </w:pPr>
          </w:p>
        </w:tc>
      </w:tr>
      <w:tr w:rsidR="00AD5C7A" w:rsidRPr="008B1280" w14:paraId="578162B5" w14:textId="77777777" w:rsidTr="00AA5273">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2574" w:type="dxa"/>
            <w:vMerge w:val="restart"/>
            <w:tcBorders>
              <w:top w:val="single" w:sz="12" w:space="0" w:color="auto"/>
              <w:left w:val="none" w:sz="0" w:space="0" w:color="auto"/>
              <w:bottom w:val="none" w:sz="0" w:space="0" w:color="auto"/>
              <w:right w:val="none" w:sz="0" w:space="0" w:color="auto"/>
            </w:tcBorders>
          </w:tcPr>
          <w:p w14:paraId="2FEE1413"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Source of income</w:t>
            </w:r>
          </w:p>
        </w:tc>
        <w:tc>
          <w:tcPr>
            <w:cnfStyle w:val="000001000000" w:firstRow="0" w:lastRow="0" w:firstColumn="0" w:lastColumn="0" w:oddVBand="0" w:evenVBand="1" w:oddHBand="0" w:evenHBand="0" w:firstRowFirstColumn="0" w:firstRowLastColumn="0" w:lastRowFirstColumn="0" w:lastRowLastColumn="0"/>
            <w:tcW w:w="772" w:type="dxa"/>
            <w:vMerge w:val="restart"/>
            <w:tcBorders>
              <w:top w:val="single" w:sz="12" w:space="0" w:color="auto"/>
              <w:left w:val="none" w:sz="0" w:space="0" w:color="auto"/>
              <w:bottom w:val="none" w:sz="0" w:space="0" w:color="auto"/>
              <w:right w:val="none" w:sz="0" w:space="0" w:color="auto"/>
            </w:tcBorders>
          </w:tcPr>
          <w:p w14:paraId="5B84E7AE"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Yes</w:t>
            </w:r>
          </w:p>
        </w:tc>
        <w:tc>
          <w:tcPr>
            <w:cnfStyle w:val="000010000000" w:firstRow="0" w:lastRow="0" w:firstColumn="0" w:lastColumn="0" w:oddVBand="1" w:evenVBand="0" w:oddHBand="0" w:evenHBand="0" w:firstRowFirstColumn="0" w:firstRowLastColumn="0" w:lastRowFirstColumn="0" w:lastRowLastColumn="0"/>
            <w:tcW w:w="1392" w:type="dxa"/>
            <w:tcBorders>
              <w:top w:val="single" w:sz="12" w:space="0" w:color="auto"/>
              <w:left w:val="none" w:sz="0" w:space="0" w:color="auto"/>
              <w:bottom w:val="none" w:sz="0" w:space="0" w:color="auto"/>
              <w:right w:val="none" w:sz="0" w:space="0" w:color="auto"/>
            </w:tcBorders>
          </w:tcPr>
          <w:p w14:paraId="14B8E2B1"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Count</w:t>
            </w:r>
          </w:p>
        </w:tc>
        <w:tc>
          <w:tcPr>
            <w:cnfStyle w:val="000001000000" w:firstRow="0" w:lastRow="0" w:firstColumn="0" w:lastColumn="0" w:oddVBand="0" w:evenVBand="1" w:oddHBand="0" w:evenHBand="0" w:firstRowFirstColumn="0" w:firstRowLastColumn="0" w:lastRowFirstColumn="0" w:lastRowLastColumn="0"/>
            <w:tcW w:w="1327" w:type="dxa"/>
            <w:tcBorders>
              <w:top w:val="single" w:sz="12" w:space="0" w:color="auto"/>
              <w:left w:val="none" w:sz="0" w:space="0" w:color="auto"/>
              <w:bottom w:val="none" w:sz="0" w:space="0" w:color="auto"/>
              <w:right w:val="none" w:sz="0" w:space="0" w:color="auto"/>
            </w:tcBorders>
          </w:tcPr>
          <w:p w14:paraId="13DD6A09"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80</w:t>
            </w:r>
          </w:p>
        </w:tc>
        <w:tc>
          <w:tcPr>
            <w:cnfStyle w:val="000010000000" w:firstRow="0" w:lastRow="0" w:firstColumn="0" w:lastColumn="0" w:oddVBand="1" w:evenVBand="0" w:oddHBand="0" w:evenHBand="0" w:firstRowFirstColumn="0" w:firstRowLastColumn="0" w:lastRowFirstColumn="0" w:lastRowLastColumn="0"/>
            <w:tcW w:w="1545" w:type="dxa"/>
            <w:tcBorders>
              <w:top w:val="single" w:sz="12" w:space="0" w:color="auto"/>
              <w:left w:val="none" w:sz="0" w:space="0" w:color="auto"/>
              <w:bottom w:val="none" w:sz="0" w:space="0" w:color="auto"/>
              <w:right w:val="none" w:sz="0" w:space="0" w:color="auto"/>
            </w:tcBorders>
          </w:tcPr>
          <w:p w14:paraId="3039848E"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52</w:t>
            </w:r>
          </w:p>
        </w:tc>
        <w:tc>
          <w:tcPr>
            <w:cnfStyle w:val="000001000000" w:firstRow="0" w:lastRow="0" w:firstColumn="0" w:lastColumn="0" w:oddVBand="0" w:evenVBand="1" w:oddHBand="0" w:evenHBand="0" w:firstRowFirstColumn="0" w:firstRowLastColumn="0" w:lastRowFirstColumn="0" w:lastRowLastColumn="0"/>
            <w:tcW w:w="1077" w:type="dxa"/>
            <w:tcBorders>
              <w:top w:val="single" w:sz="12" w:space="0" w:color="auto"/>
              <w:left w:val="none" w:sz="0" w:space="0" w:color="auto"/>
              <w:bottom w:val="none" w:sz="0" w:space="0" w:color="auto"/>
              <w:right w:val="none" w:sz="0" w:space="0" w:color="auto"/>
            </w:tcBorders>
          </w:tcPr>
          <w:p w14:paraId="299F18A6"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132</w:t>
            </w:r>
          </w:p>
        </w:tc>
      </w:tr>
      <w:tr w:rsidR="00AD5C7A" w:rsidRPr="008B1280" w14:paraId="12AACF49" w14:textId="77777777" w:rsidTr="00AA5273">
        <w:trPr>
          <w:trHeight w:val="306"/>
        </w:trPr>
        <w:tc>
          <w:tcPr>
            <w:cnfStyle w:val="000010000000" w:firstRow="0" w:lastRow="0" w:firstColumn="0" w:lastColumn="0" w:oddVBand="1" w:evenVBand="0" w:oddHBand="0" w:evenHBand="0" w:firstRowFirstColumn="0" w:firstRowLastColumn="0" w:lastRowFirstColumn="0" w:lastRowLastColumn="0"/>
            <w:tcW w:w="2574" w:type="dxa"/>
            <w:vMerge/>
            <w:tcBorders>
              <w:left w:val="none" w:sz="0" w:space="0" w:color="auto"/>
              <w:right w:val="none" w:sz="0" w:space="0" w:color="auto"/>
            </w:tcBorders>
          </w:tcPr>
          <w:p w14:paraId="19B4A1C2" w14:textId="77777777" w:rsidR="00AD5C7A" w:rsidRPr="008B1280" w:rsidRDefault="00AD5C7A" w:rsidP="00AA5273">
            <w:pPr>
              <w:spacing w:line="360" w:lineRule="auto"/>
              <w:jc w:val="both"/>
              <w:rPr>
                <w:rFonts w:ascii="Arial" w:hAnsi="Arial" w:cs="Arial"/>
                <w:sz w:val="20"/>
                <w:szCs w:val="20"/>
              </w:rPr>
            </w:pPr>
          </w:p>
        </w:tc>
        <w:tc>
          <w:tcPr>
            <w:cnfStyle w:val="000001000000" w:firstRow="0" w:lastRow="0" w:firstColumn="0" w:lastColumn="0" w:oddVBand="0" w:evenVBand="1" w:oddHBand="0" w:evenHBand="0" w:firstRowFirstColumn="0" w:firstRowLastColumn="0" w:lastRowFirstColumn="0" w:lastRowLastColumn="0"/>
            <w:tcW w:w="772" w:type="dxa"/>
            <w:vMerge/>
            <w:tcBorders>
              <w:left w:val="none" w:sz="0" w:space="0" w:color="auto"/>
              <w:right w:val="none" w:sz="0" w:space="0" w:color="auto"/>
            </w:tcBorders>
          </w:tcPr>
          <w:p w14:paraId="41AE4773" w14:textId="77777777" w:rsidR="00AD5C7A" w:rsidRPr="008B1280" w:rsidRDefault="00AD5C7A" w:rsidP="00AA5273">
            <w:pPr>
              <w:spacing w:line="360" w:lineRule="auto"/>
              <w:jc w:val="both"/>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392" w:type="dxa"/>
            <w:tcBorders>
              <w:left w:val="none" w:sz="0" w:space="0" w:color="auto"/>
              <w:right w:val="none" w:sz="0" w:space="0" w:color="auto"/>
            </w:tcBorders>
          </w:tcPr>
          <w:p w14:paraId="55F7D48D"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 of Total</w:t>
            </w:r>
          </w:p>
        </w:tc>
        <w:tc>
          <w:tcPr>
            <w:cnfStyle w:val="000001000000" w:firstRow="0" w:lastRow="0" w:firstColumn="0" w:lastColumn="0" w:oddVBand="0" w:evenVBand="1" w:oddHBand="0" w:evenHBand="0" w:firstRowFirstColumn="0" w:firstRowLastColumn="0" w:lastRowFirstColumn="0" w:lastRowLastColumn="0"/>
            <w:tcW w:w="1327" w:type="dxa"/>
            <w:tcBorders>
              <w:left w:val="none" w:sz="0" w:space="0" w:color="auto"/>
              <w:right w:val="none" w:sz="0" w:space="0" w:color="auto"/>
            </w:tcBorders>
          </w:tcPr>
          <w:p w14:paraId="1FA213E5"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43.0%</w:t>
            </w:r>
          </w:p>
        </w:tc>
        <w:tc>
          <w:tcPr>
            <w:cnfStyle w:val="000010000000" w:firstRow="0" w:lastRow="0" w:firstColumn="0" w:lastColumn="0" w:oddVBand="1" w:evenVBand="0" w:oddHBand="0" w:evenHBand="0" w:firstRowFirstColumn="0" w:firstRowLastColumn="0" w:lastRowFirstColumn="0" w:lastRowLastColumn="0"/>
            <w:tcW w:w="1545" w:type="dxa"/>
            <w:tcBorders>
              <w:left w:val="none" w:sz="0" w:space="0" w:color="auto"/>
              <w:right w:val="none" w:sz="0" w:space="0" w:color="auto"/>
            </w:tcBorders>
          </w:tcPr>
          <w:p w14:paraId="27E1F689"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28.0%</w:t>
            </w:r>
          </w:p>
        </w:tc>
        <w:tc>
          <w:tcPr>
            <w:cnfStyle w:val="000001000000" w:firstRow="0" w:lastRow="0" w:firstColumn="0" w:lastColumn="0" w:oddVBand="0" w:evenVBand="1" w:oddHBand="0" w:evenHBand="0" w:firstRowFirstColumn="0" w:firstRowLastColumn="0" w:lastRowFirstColumn="0" w:lastRowLastColumn="0"/>
            <w:tcW w:w="1077" w:type="dxa"/>
            <w:tcBorders>
              <w:left w:val="none" w:sz="0" w:space="0" w:color="auto"/>
              <w:right w:val="none" w:sz="0" w:space="0" w:color="auto"/>
            </w:tcBorders>
          </w:tcPr>
          <w:p w14:paraId="22BB9E0B"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71.0%</w:t>
            </w:r>
          </w:p>
        </w:tc>
      </w:tr>
      <w:tr w:rsidR="00AD5C7A" w:rsidRPr="008B1280" w14:paraId="0E73C01C" w14:textId="77777777" w:rsidTr="00AA5273">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2574" w:type="dxa"/>
            <w:vMerge/>
            <w:tcBorders>
              <w:top w:val="none" w:sz="0" w:space="0" w:color="auto"/>
              <w:left w:val="none" w:sz="0" w:space="0" w:color="auto"/>
              <w:bottom w:val="none" w:sz="0" w:space="0" w:color="auto"/>
              <w:right w:val="none" w:sz="0" w:space="0" w:color="auto"/>
            </w:tcBorders>
          </w:tcPr>
          <w:p w14:paraId="3DDEDB57" w14:textId="77777777" w:rsidR="00AD5C7A" w:rsidRPr="008B1280" w:rsidRDefault="00AD5C7A" w:rsidP="00AA5273">
            <w:pPr>
              <w:spacing w:line="360" w:lineRule="auto"/>
              <w:jc w:val="both"/>
              <w:rPr>
                <w:rFonts w:ascii="Arial" w:hAnsi="Arial" w:cs="Arial"/>
                <w:sz w:val="20"/>
                <w:szCs w:val="20"/>
              </w:rPr>
            </w:pPr>
          </w:p>
        </w:tc>
        <w:tc>
          <w:tcPr>
            <w:cnfStyle w:val="000001000000" w:firstRow="0" w:lastRow="0" w:firstColumn="0" w:lastColumn="0" w:oddVBand="0" w:evenVBand="1" w:oddHBand="0" w:evenHBand="0" w:firstRowFirstColumn="0" w:firstRowLastColumn="0" w:lastRowFirstColumn="0" w:lastRowLastColumn="0"/>
            <w:tcW w:w="772" w:type="dxa"/>
            <w:vMerge w:val="restart"/>
            <w:tcBorders>
              <w:top w:val="none" w:sz="0" w:space="0" w:color="auto"/>
              <w:left w:val="none" w:sz="0" w:space="0" w:color="auto"/>
              <w:bottom w:val="none" w:sz="0" w:space="0" w:color="auto"/>
              <w:right w:val="none" w:sz="0" w:space="0" w:color="auto"/>
            </w:tcBorders>
          </w:tcPr>
          <w:p w14:paraId="29917ECF"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No</w:t>
            </w:r>
          </w:p>
        </w:tc>
        <w:tc>
          <w:tcPr>
            <w:cnfStyle w:val="000010000000" w:firstRow="0" w:lastRow="0" w:firstColumn="0" w:lastColumn="0" w:oddVBand="1" w:evenVBand="0" w:oddHBand="0" w:evenHBand="0" w:firstRowFirstColumn="0" w:firstRowLastColumn="0" w:lastRowFirstColumn="0" w:lastRowLastColumn="0"/>
            <w:tcW w:w="1392" w:type="dxa"/>
            <w:tcBorders>
              <w:top w:val="none" w:sz="0" w:space="0" w:color="auto"/>
              <w:left w:val="none" w:sz="0" w:space="0" w:color="auto"/>
              <w:bottom w:val="none" w:sz="0" w:space="0" w:color="auto"/>
              <w:right w:val="none" w:sz="0" w:space="0" w:color="auto"/>
            </w:tcBorders>
          </w:tcPr>
          <w:p w14:paraId="4DBA9BBF"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Count</w:t>
            </w:r>
          </w:p>
        </w:tc>
        <w:tc>
          <w:tcPr>
            <w:cnfStyle w:val="000001000000" w:firstRow="0" w:lastRow="0" w:firstColumn="0" w:lastColumn="0" w:oddVBand="0" w:evenVBand="1" w:oddHBand="0" w:evenHBand="0" w:firstRowFirstColumn="0" w:firstRowLastColumn="0" w:lastRowFirstColumn="0" w:lastRowLastColumn="0"/>
            <w:tcW w:w="1327" w:type="dxa"/>
            <w:tcBorders>
              <w:top w:val="none" w:sz="0" w:space="0" w:color="auto"/>
              <w:left w:val="none" w:sz="0" w:space="0" w:color="auto"/>
              <w:bottom w:val="none" w:sz="0" w:space="0" w:color="auto"/>
              <w:right w:val="none" w:sz="0" w:space="0" w:color="auto"/>
            </w:tcBorders>
          </w:tcPr>
          <w:p w14:paraId="0AF5D258"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36</w:t>
            </w:r>
          </w:p>
        </w:tc>
        <w:tc>
          <w:tcPr>
            <w:cnfStyle w:val="000010000000" w:firstRow="0" w:lastRow="0" w:firstColumn="0" w:lastColumn="0" w:oddVBand="1" w:evenVBand="0" w:oddHBand="0" w:evenHBand="0" w:firstRowFirstColumn="0" w:firstRowLastColumn="0" w:lastRowFirstColumn="0" w:lastRowLastColumn="0"/>
            <w:tcW w:w="1545" w:type="dxa"/>
            <w:tcBorders>
              <w:top w:val="none" w:sz="0" w:space="0" w:color="auto"/>
              <w:left w:val="none" w:sz="0" w:space="0" w:color="auto"/>
              <w:bottom w:val="none" w:sz="0" w:space="0" w:color="auto"/>
              <w:right w:val="none" w:sz="0" w:space="0" w:color="auto"/>
            </w:tcBorders>
          </w:tcPr>
          <w:p w14:paraId="13933949"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18</w:t>
            </w:r>
          </w:p>
        </w:tc>
        <w:tc>
          <w:tcPr>
            <w:cnfStyle w:val="000001000000" w:firstRow="0" w:lastRow="0" w:firstColumn="0" w:lastColumn="0" w:oddVBand="0" w:evenVBand="1" w:oddHBand="0" w:evenHBand="0" w:firstRowFirstColumn="0" w:firstRowLastColumn="0" w:lastRowFirstColumn="0" w:lastRowLastColumn="0"/>
            <w:tcW w:w="1077" w:type="dxa"/>
            <w:tcBorders>
              <w:top w:val="none" w:sz="0" w:space="0" w:color="auto"/>
              <w:left w:val="none" w:sz="0" w:space="0" w:color="auto"/>
              <w:bottom w:val="none" w:sz="0" w:space="0" w:color="auto"/>
              <w:right w:val="none" w:sz="0" w:space="0" w:color="auto"/>
            </w:tcBorders>
          </w:tcPr>
          <w:p w14:paraId="12096BA8"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54</w:t>
            </w:r>
          </w:p>
        </w:tc>
      </w:tr>
      <w:tr w:rsidR="00AD5C7A" w:rsidRPr="008B1280" w14:paraId="4C3DE6AC" w14:textId="77777777" w:rsidTr="00AA5273">
        <w:trPr>
          <w:trHeight w:val="306"/>
        </w:trPr>
        <w:tc>
          <w:tcPr>
            <w:cnfStyle w:val="000010000000" w:firstRow="0" w:lastRow="0" w:firstColumn="0" w:lastColumn="0" w:oddVBand="1" w:evenVBand="0" w:oddHBand="0" w:evenHBand="0" w:firstRowFirstColumn="0" w:firstRowLastColumn="0" w:lastRowFirstColumn="0" w:lastRowLastColumn="0"/>
            <w:tcW w:w="2574" w:type="dxa"/>
            <w:vMerge/>
            <w:tcBorders>
              <w:left w:val="none" w:sz="0" w:space="0" w:color="auto"/>
              <w:right w:val="none" w:sz="0" w:space="0" w:color="auto"/>
            </w:tcBorders>
          </w:tcPr>
          <w:p w14:paraId="099DAEDE" w14:textId="77777777" w:rsidR="00AD5C7A" w:rsidRPr="008B1280" w:rsidRDefault="00AD5C7A" w:rsidP="00AA5273">
            <w:pPr>
              <w:spacing w:line="360" w:lineRule="auto"/>
              <w:jc w:val="both"/>
              <w:rPr>
                <w:rFonts w:ascii="Arial" w:hAnsi="Arial" w:cs="Arial"/>
                <w:sz w:val="20"/>
                <w:szCs w:val="20"/>
              </w:rPr>
            </w:pPr>
          </w:p>
        </w:tc>
        <w:tc>
          <w:tcPr>
            <w:cnfStyle w:val="000001000000" w:firstRow="0" w:lastRow="0" w:firstColumn="0" w:lastColumn="0" w:oddVBand="0" w:evenVBand="1" w:oddHBand="0" w:evenHBand="0" w:firstRowFirstColumn="0" w:firstRowLastColumn="0" w:lastRowFirstColumn="0" w:lastRowLastColumn="0"/>
            <w:tcW w:w="772" w:type="dxa"/>
            <w:vMerge/>
            <w:tcBorders>
              <w:left w:val="none" w:sz="0" w:space="0" w:color="auto"/>
              <w:right w:val="none" w:sz="0" w:space="0" w:color="auto"/>
            </w:tcBorders>
          </w:tcPr>
          <w:p w14:paraId="014A3313" w14:textId="77777777" w:rsidR="00AD5C7A" w:rsidRPr="008B1280" w:rsidRDefault="00AD5C7A" w:rsidP="00AA5273">
            <w:pPr>
              <w:spacing w:line="360" w:lineRule="auto"/>
              <w:jc w:val="both"/>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392" w:type="dxa"/>
            <w:tcBorders>
              <w:left w:val="none" w:sz="0" w:space="0" w:color="auto"/>
              <w:right w:val="none" w:sz="0" w:space="0" w:color="auto"/>
            </w:tcBorders>
          </w:tcPr>
          <w:p w14:paraId="16960AC4"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 of Total</w:t>
            </w:r>
          </w:p>
        </w:tc>
        <w:tc>
          <w:tcPr>
            <w:cnfStyle w:val="000001000000" w:firstRow="0" w:lastRow="0" w:firstColumn="0" w:lastColumn="0" w:oddVBand="0" w:evenVBand="1" w:oddHBand="0" w:evenHBand="0" w:firstRowFirstColumn="0" w:firstRowLastColumn="0" w:lastRowFirstColumn="0" w:lastRowLastColumn="0"/>
            <w:tcW w:w="1327" w:type="dxa"/>
            <w:tcBorders>
              <w:left w:val="none" w:sz="0" w:space="0" w:color="auto"/>
              <w:right w:val="none" w:sz="0" w:space="0" w:color="auto"/>
            </w:tcBorders>
          </w:tcPr>
          <w:p w14:paraId="1527B0C9"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19.4%</w:t>
            </w:r>
          </w:p>
        </w:tc>
        <w:tc>
          <w:tcPr>
            <w:cnfStyle w:val="000010000000" w:firstRow="0" w:lastRow="0" w:firstColumn="0" w:lastColumn="0" w:oddVBand="1" w:evenVBand="0" w:oddHBand="0" w:evenHBand="0" w:firstRowFirstColumn="0" w:firstRowLastColumn="0" w:lastRowFirstColumn="0" w:lastRowLastColumn="0"/>
            <w:tcW w:w="1545" w:type="dxa"/>
            <w:tcBorders>
              <w:left w:val="none" w:sz="0" w:space="0" w:color="auto"/>
              <w:right w:val="none" w:sz="0" w:space="0" w:color="auto"/>
            </w:tcBorders>
          </w:tcPr>
          <w:p w14:paraId="2EB5DB1C"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9.7%</w:t>
            </w:r>
          </w:p>
        </w:tc>
        <w:tc>
          <w:tcPr>
            <w:cnfStyle w:val="000001000000" w:firstRow="0" w:lastRow="0" w:firstColumn="0" w:lastColumn="0" w:oddVBand="0" w:evenVBand="1" w:oddHBand="0" w:evenHBand="0" w:firstRowFirstColumn="0" w:firstRowLastColumn="0" w:lastRowFirstColumn="0" w:lastRowLastColumn="0"/>
            <w:tcW w:w="1077" w:type="dxa"/>
            <w:tcBorders>
              <w:left w:val="none" w:sz="0" w:space="0" w:color="auto"/>
              <w:right w:val="none" w:sz="0" w:space="0" w:color="auto"/>
            </w:tcBorders>
          </w:tcPr>
          <w:p w14:paraId="11A39954"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29.0%</w:t>
            </w:r>
          </w:p>
        </w:tc>
      </w:tr>
      <w:tr w:rsidR="00AD5C7A" w:rsidRPr="008B1280" w14:paraId="70274A4E" w14:textId="77777777" w:rsidTr="00AA5273">
        <w:trPr>
          <w:cnfStyle w:val="000000100000" w:firstRow="0" w:lastRow="0" w:firstColumn="0" w:lastColumn="0" w:oddVBand="0" w:evenVBand="0" w:oddHBand="1" w:evenHBand="0" w:firstRowFirstColumn="0" w:firstRowLastColumn="0" w:lastRowFirstColumn="0" w:lastRowLastColumn="0"/>
          <w:trHeight w:val="306"/>
        </w:trPr>
        <w:tc>
          <w:tcPr>
            <w:cnfStyle w:val="000010000000" w:firstRow="0" w:lastRow="0" w:firstColumn="0" w:lastColumn="0" w:oddVBand="1" w:evenVBand="0" w:oddHBand="0" w:evenHBand="0" w:firstRowFirstColumn="0" w:firstRowLastColumn="0" w:lastRowFirstColumn="0" w:lastRowLastColumn="0"/>
            <w:tcW w:w="3346" w:type="dxa"/>
            <w:gridSpan w:val="2"/>
            <w:vMerge w:val="restart"/>
            <w:tcBorders>
              <w:top w:val="none" w:sz="0" w:space="0" w:color="auto"/>
              <w:left w:val="none" w:sz="0" w:space="0" w:color="auto"/>
              <w:bottom w:val="none" w:sz="0" w:space="0" w:color="auto"/>
              <w:right w:val="none" w:sz="0" w:space="0" w:color="auto"/>
            </w:tcBorders>
          </w:tcPr>
          <w:p w14:paraId="7DC72AB0"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Total</w:t>
            </w:r>
          </w:p>
        </w:tc>
        <w:tc>
          <w:tcPr>
            <w:cnfStyle w:val="000001000000" w:firstRow="0" w:lastRow="0" w:firstColumn="0" w:lastColumn="0" w:oddVBand="0" w:evenVBand="1" w:oddHBand="0" w:evenHBand="0" w:firstRowFirstColumn="0" w:firstRowLastColumn="0" w:lastRowFirstColumn="0" w:lastRowLastColumn="0"/>
            <w:tcW w:w="1392" w:type="dxa"/>
            <w:tcBorders>
              <w:top w:val="none" w:sz="0" w:space="0" w:color="auto"/>
              <w:left w:val="none" w:sz="0" w:space="0" w:color="auto"/>
              <w:bottom w:val="none" w:sz="0" w:space="0" w:color="auto"/>
              <w:right w:val="none" w:sz="0" w:space="0" w:color="auto"/>
            </w:tcBorders>
          </w:tcPr>
          <w:p w14:paraId="5CBD8E22"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Count</w:t>
            </w:r>
          </w:p>
        </w:tc>
        <w:tc>
          <w:tcPr>
            <w:cnfStyle w:val="000010000000" w:firstRow="0" w:lastRow="0" w:firstColumn="0" w:lastColumn="0" w:oddVBand="1" w:evenVBand="0" w:oddHBand="0" w:evenHBand="0" w:firstRowFirstColumn="0" w:firstRowLastColumn="0" w:lastRowFirstColumn="0" w:lastRowLastColumn="0"/>
            <w:tcW w:w="1327" w:type="dxa"/>
            <w:tcBorders>
              <w:top w:val="none" w:sz="0" w:space="0" w:color="auto"/>
              <w:left w:val="none" w:sz="0" w:space="0" w:color="auto"/>
              <w:bottom w:val="none" w:sz="0" w:space="0" w:color="auto"/>
              <w:right w:val="none" w:sz="0" w:space="0" w:color="auto"/>
            </w:tcBorders>
          </w:tcPr>
          <w:p w14:paraId="6F029347"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116</w:t>
            </w:r>
          </w:p>
        </w:tc>
        <w:tc>
          <w:tcPr>
            <w:cnfStyle w:val="000001000000" w:firstRow="0" w:lastRow="0" w:firstColumn="0" w:lastColumn="0" w:oddVBand="0" w:evenVBand="1" w:oddHBand="0" w:evenHBand="0" w:firstRowFirstColumn="0" w:firstRowLastColumn="0" w:lastRowFirstColumn="0" w:lastRowLastColumn="0"/>
            <w:tcW w:w="1545" w:type="dxa"/>
            <w:tcBorders>
              <w:top w:val="none" w:sz="0" w:space="0" w:color="auto"/>
              <w:left w:val="none" w:sz="0" w:space="0" w:color="auto"/>
              <w:bottom w:val="none" w:sz="0" w:space="0" w:color="auto"/>
              <w:right w:val="none" w:sz="0" w:space="0" w:color="auto"/>
            </w:tcBorders>
          </w:tcPr>
          <w:p w14:paraId="50D8FE55"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70</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none" w:sz="0" w:space="0" w:color="auto"/>
              <w:bottom w:val="none" w:sz="0" w:space="0" w:color="auto"/>
              <w:right w:val="none" w:sz="0" w:space="0" w:color="auto"/>
            </w:tcBorders>
          </w:tcPr>
          <w:p w14:paraId="2FA1E051"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186</w:t>
            </w:r>
          </w:p>
        </w:tc>
      </w:tr>
      <w:tr w:rsidR="00AD5C7A" w:rsidRPr="008B1280" w14:paraId="22E5542E" w14:textId="77777777" w:rsidTr="00AA5273">
        <w:trPr>
          <w:trHeight w:val="295"/>
        </w:trPr>
        <w:tc>
          <w:tcPr>
            <w:cnfStyle w:val="000010000000" w:firstRow="0" w:lastRow="0" w:firstColumn="0" w:lastColumn="0" w:oddVBand="1" w:evenVBand="0" w:oddHBand="0" w:evenHBand="0" w:firstRowFirstColumn="0" w:firstRowLastColumn="0" w:lastRowFirstColumn="0" w:lastRowLastColumn="0"/>
            <w:tcW w:w="3346" w:type="dxa"/>
            <w:gridSpan w:val="2"/>
            <w:vMerge/>
            <w:tcBorders>
              <w:left w:val="none" w:sz="0" w:space="0" w:color="auto"/>
              <w:right w:val="none" w:sz="0" w:space="0" w:color="auto"/>
            </w:tcBorders>
          </w:tcPr>
          <w:p w14:paraId="2E5A8C19" w14:textId="77777777" w:rsidR="00AD5C7A" w:rsidRPr="008B1280" w:rsidRDefault="00AD5C7A" w:rsidP="00AA5273">
            <w:pPr>
              <w:spacing w:line="360" w:lineRule="auto"/>
              <w:jc w:val="both"/>
              <w:rPr>
                <w:rFonts w:ascii="Arial" w:hAnsi="Arial" w:cs="Arial"/>
                <w:sz w:val="20"/>
                <w:szCs w:val="20"/>
              </w:rPr>
            </w:pPr>
          </w:p>
        </w:tc>
        <w:tc>
          <w:tcPr>
            <w:cnfStyle w:val="000001000000" w:firstRow="0" w:lastRow="0" w:firstColumn="0" w:lastColumn="0" w:oddVBand="0" w:evenVBand="1" w:oddHBand="0" w:evenHBand="0" w:firstRowFirstColumn="0" w:firstRowLastColumn="0" w:lastRowFirstColumn="0" w:lastRowLastColumn="0"/>
            <w:tcW w:w="1392" w:type="dxa"/>
            <w:tcBorders>
              <w:left w:val="none" w:sz="0" w:space="0" w:color="auto"/>
              <w:right w:val="none" w:sz="0" w:space="0" w:color="auto"/>
            </w:tcBorders>
          </w:tcPr>
          <w:p w14:paraId="62BD5500"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 of Total</w:t>
            </w:r>
          </w:p>
        </w:tc>
        <w:tc>
          <w:tcPr>
            <w:cnfStyle w:val="000010000000" w:firstRow="0" w:lastRow="0" w:firstColumn="0" w:lastColumn="0" w:oddVBand="1" w:evenVBand="0" w:oddHBand="0" w:evenHBand="0" w:firstRowFirstColumn="0" w:firstRowLastColumn="0" w:lastRowFirstColumn="0" w:lastRowLastColumn="0"/>
            <w:tcW w:w="1327" w:type="dxa"/>
            <w:tcBorders>
              <w:left w:val="none" w:sz="0" w:space="0" w:color="auto"/>
              <w:right w:val="none" w:sz="0" w:space="0" w:color="auto"/>
            </w:tcBorders>
          </w:tcPr>
          <w:p w14:paraId="1472CA81"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62.4%</w:t>
            </w:r>
          </w:p>
        </w:tc>
        <w:tc>
          <w:tcPr>
            <w:cnfStyle w:val="000001000000" w:firstRow="0" w:lastRow="0" w:firstColumn="0" w:lastColumn="0" w:oddVBand="0" w:evenVBand="1" w:oddHBand="0" w:evenHBand="0" w:firstRowFirstColumn="0" w:firstRowLastColumn="0" w:lastRowFirstColumn="0" w:lastRowLastColumn="0"/>
            <w:tcW w:w="1545" w:type="dxa"/>
            <w:tcBorders>
              <w:left w:val="none" w:sz="0" w:space="0" w:color="auto"/>
              <w:right w:val="none" w:sz="0" w:space="0" w:color="auto"/>
            </w:tcBorders>
          </w:tcPr>
          <w:p w14:paraId="12CF60C0"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37.6%</w:t>
            </w:r>
          </w:p>
        </w:tc>
        <w:tc>
          <w:tcPr>
            <w:cnfStyle w:val="000010000000" w:firstRow="0" w:lastRow="0" w:firstColumn="0" w:lastColumn="0" w:oddVBand="1" w:evenVBand="0" w:oddHBand="0" w:evenHBand="0" w:firstRowFirstColumn="0" w:firstRowLastColumn="0" w:lastRowFirstColumn="0" w:lastRowLastColumn="0"/>
            <w:tcW w:w="1077" w:type="dxa"/>
            <w:tcBorders>
              <w:left w:val="none" w:sz="0" w:space="0" w:color="auto"/>
              <w:right w:val="none" w:sz="0" w:space="0" w:color="auto"/>
            </w:tcBorders>
          </w:tcPr>
          <w:p w14:paraId="38BF6DD5" w14:textId="77777777" w:rsidR="00AD5C7A" w:rsidRPr="008B1280" w:rsidRDefault="00AD5C7A" w:rsidP="00AA5273">
            <w:pPr>
              <w:spacing w:line="360" w:lineRule="auto"/>
              <w:jc w:val="both"/>
              <w:rPr>
                <w:rFonts w:ascii="Arial" w:hAnsi="Arial" w:cs="Arial"/>
                <w:sz w:val="20"/>
                <w:szCs w:val="20"/>
              </w:rPr>
            </w:pPr>
            <w:r w:rsidRPr="008B1280">
              <w:rPr>
                <w:rFonts w:ascii="Arial" w:hAnsi="Arial" w:cs="Arial"/>
                <w:sz w:val="20"/>
                <w:szCs w:val="20"/>
              </w:rPr>
              <w:t>100.0%</w:t>
            </w:r>
          </w:p>
        </w:tc>
      </w:tr>
    </w:tbl>
    <w:p w14:paraId="52DB2D58" w14:textId="77777777" w:rsidR="00AD5C7A" w:rsidRPr="008B1280" w:rsidRDefault="00AD5C7A" w:rsidP="00AD5C7A">
      <w:pPr>
        <w:spacing w:line="360" w:lineRule="auto"/>
        <w:jc w:val="both"/>
        <w:rPr>
          <w:rFonts w:ascii="Arial" w:hAnsi="Arial" w:cs="Arial"/>
          <w:sz w:val="20"/>
          <w:szCs w:val="20"/>
          <w:shd w:val="clear" w:color="auto" w:fill="FFFFFF"/>
        </w:rPr>
      </w:pPr>
      <w:r w:rsidRPr="008B1280">
        <w:rPr>
          <w:rFonts w:ascii="Arial" w:hAnsi="Arial" w:cs="Arial"/>
          <w:sz w:val="20"/>
          <w:szCs w:val="20"/>
          <w:shd w:val="clear" w:color="auto" w:fill="FFFFFF"/>
        </w:rPr>
        <w:t>Source: Field Work Analysis (2023)</w:t>
      </w:r>
    </w:p>
    <w:p w14:paraId="1E93A3CD" w14:textId="38C00051" w:rsidR="007012FE" w:rsidRPr="008B1280" w:rsidRDefault="007012FE" w:rsidP="007012FE">
      <w:pPr>
        <w:spacing w:line="360" w:lineRule="auto"/>
        <w:jc w:val="both"/>
        <w:rPr>
          <w:rFonts w:ascii="Arial" w:hAnsi="Arial" w:cs="Arial"/>
          <w:b/>
          <w:sz w:val="20"/>
          <w:szCs w:val="20"/>
        </w:rPr>
      </w:pPr>
      <w:r w:rsidRPr="008B1280">
        <w:rPr>
          <w:rFonts w:ascii="Arial" w:hAnsi="Arial" w:cs="Arial"/>
          <w:sz w:val="20"/>
          <w:szCs w:val="20"/>
        </w:rPr>
        <w:t>The one-way ANOVA results indicate F (1, 184) = 4.568, p = 0.034, which is not significant at p ≤ 0.05. Thus, we accept the null hypothesis (H</w:t>
      </w:r>
      <w:r w:rsidRPr="008B1280">
        <w:rPr>
          <w:rFonts w:ascii="Cambria Math" w:hAnsi="Cambria Math" w:cs="Cambria Math"/>
          <w:sz w:val="20"/>
          <w:szCs w:val="20"/>
        </w:rPr>
        <w:t>₀</w:t>
      </w:r>
      <w:r w:rsidRPr="008B1280">
        <w:rPr>
          <w:rFonts w:ascii="Arial" w:hAnsi="Arial" w:cs="Arial"/>
          <w:sz w:val="20"/>
          <w:szCs w:val="20"/>
        </w:rPr>
        <w:t>) and reject the alternative hypothesis (H</w:t>
      </w:r>
      <w:r w:rsidRPr="008B1280">
        <w:rPr>
          <w:rFonts w:ascii="Cambria Math" w:hAnsi="Cambria Math" w:cs="Cambria Math"/>
          <w:sz w:val="20"/>
          <w:szCs w:val="20"/>
        </w:rPr>
        <w:t>₁</w:t>
      </w:r>
      <w:r w:rsidRPr="008B1280">
        <w:rPr>
          <w:rFonts w:ascii="Arial" w:hAnsi="Arial" w:cs="Arial"/>
          <w:sz w:val="20"/>
          <w:szCs w:val="20"/>
        </w:rPr>
        <w:t>), suggesting that the income of the respondents has a significant impact on housing affordability in the study area.</w:t>
      </w:r>
    </w:p>
    <w:p w14:paraId="432A7BF2" w14:textId="77777777" w:rsidR="00CF7B8F" w:rsidRDefault="00CF7B8F" w:rsidP="007012FE">
      <w:pPr>
        <w:spacing w:line="360" w:lineRule="auto"/>
        <w:jc w:val="both"/>
        <w:rPr>
          <w:rFonts w:ascii="Arial" w:hAnsi="Arial" w:cs="Arial"/>
          <w:b/>
          <w:sz w:val="20"/>
          <w:szCs w:val="20"/>
        </w:rPr>
      </w:pPr>
    </w:p>
    <w:p w14:paraId="2170BCB5" w14:textId="77777777" w:rsidR="00CF7B8F" w:rsidRDefault="00CF7B8F" w:rsidP="007012FE">
      <w:pPr>
        <w:spacing w:line="360" w:lineRule="auto"/>
        <w:jc w:val="both"/>
        <w:rPr>
          <w:rFonts w:ascii="Arial" w:hAnsi="Arial" w:cs="Arial"/>
          <w:b/>
          <w:sz w:val="20"/>
          <w:szCs w:val="20"/>
        </w:rPr>
      </w:pPr>
    </w:p>
    <w:p w14:paraId="22236CA0" w14:textId="77777777" w:rsidR="00CF7B8F" w:rsidRDefault="00CF7B8F" w:rsidP="007012FE">
      <w:pPr>
        <w:spacing w:line="360" w:lineRule="auto"/>
        <w:jc w:val="both"/>
        <w:rPr>
          <w:rFonts w:ascii="Arial" w:hAnsi="Arial" w:cs="Arial"/>
          <w:b/>
          <w:sz w:val="20"/>
          <w:szCs w:val="20"/>
        </w:rPr>
      </w:pPr>
    </w:p>
    <w:p w14:paraId="222FBB6D" w14:textId="7D041EED" w:rsidR="007012FE" w:rsidRPr="008B1280" w:rsidRDefault="0068647B" w:rsidP="007012FE">
      <w:pPr>
        <w:spacing w:line="360" w:lineRule="auto"/>
        <w:jc w:val="both"/>
        <w:rPr>
          <w:rFonts w:ascii="Arial" w:hAnsi="Arial" w:cs="Arial"/>
          <w:b/>
          <w:sz w:val="20"/>
          <w:szCs w:val="20"/>
        </w:rPr>
      </w:pPr>
      <w:r w:rsidRPr="0068647B">
        <w:rPr>
          <w:rFonts w:ascii="Arial" w:hAnsi="Arial" w:cs="Arial"/>
          <w:b/>
          <w:sz w:val="20"/>
          <w:szCs w:val="20"/>
        </w:rPr>
        <w:t xml:space="preserve">Table </w:t>
      </w:r>
      <w:r>
        <w:rPr>
          <w:rFonts w:ascii="Arial" w:hAnsi="Arial" w:cs="Arial"/>
          <w:b/>
          <w:sz w:val="20"/>
          <w:szCs w:val="20"/>
        </w:rPr>
        <w:t>8</w:t>
      </w:r>
      <w:r w:rsidRPr="0068647B">
        <w:rPr>
          <w:rFonts w:ascii="Arial" w:hAnsi="Arial" w:cs="Arial"/>
          <w:b/>
          <w:sz w:val="20"/>
          <w:szCs w:val="20"/>
        </w:rPr>
        <w:t xml:space="preserve">: </w:t>
      </w:r>
      <w:r w:rsidR="007012FE" w:rsidRPr="008B1280">
        <w:rPr>
          <w:rFonts w:ascii="Arial" w:hAnsi="Arial" w:cs="Arial"/>
          <w:b/>
          <w:sz w:val="20"/>
          <w:szCs w:val="20"/>
        </w:rPr>
        <w:t>Model Summary</w:t>
      </w:r>
    </w:p>
    <w:tbl>
      <w:tblPr>
        <w:tblStyle w:val="PlainTable2"/>
        <w:tblW w:w="8741" w:type="dxa"/>
        <w:tblBorders>
          <w:top w:val="single" w:sz="12" w:space="0" w:color="auto"/>
          <w:bottom w:val="single" w:sz="12" w:space="0" w:color="auto"/>
        </w:tblBorders>
        <w:tblLayout w:type="fixed"/>
        <w:tblLook w:val="0000" w:firstRow="0" w:lastRow="0" w:firstColumn="0" w:lastColumn="0" w:noHBand="0" w:noVBand="0"/>
      </w:tblPr>
      <w:tblGrid>
        <w:gridCol w:w="1189"/>
        <w:gridCol w:w="1531"/>
        <w:gridCol w:w="1624"/>
        <w:gridCol w:w="2197"/>
        <w:gridCol w:w="2200"/>
      </w:tblGrid>
      <w:tr w:rsidR="007012FE" w:rsidRPr="008B1280" w14:paraId="5F0D3078" w14:textId="77777777" w:rsidTr="00AA5273">
        <w:trPr>
          <w:cnfStyle w:val="000000100000" w:firstRow="0" w:lastRow="0" w:firstColumn="0" w:lastColumn="0" w:oddVBand="0" w:evenVBand="0" w:oddHBand="1" w:evenHBand="0" w:firstRowFirstColumn="0" w:firstRowLastColumn="0" w:lastRowFirstColumn="0" w:lastRowLastColumn="0"/>
          <w:trHeight w:val="291"/>
        </w:trPr>
        <w:tc>
          <w:tcPr>
            <w:cnfStyle w:val="000010000000" w:firstRow="0" w:lastRow="0" w:firstColumn="0" w:lastColumn="0" w:oddVBand="1" w:evenVBand="0" w:oddHBand="0" w:evenHBand="0" w:firstRowFirstColumn="0" w:firstRowLastColumn="0" w:lastRowFirstColumn="0" w:lastRowLastColumn="0"/>
            <w:tcW w:w="8741" w:type="dxa"/>
            <w:gridSpan w:val="5"/>
            <w:tcBorders>
              <w:top w:val="none" w:sz="0" w:space="0" w:color="auto"/>
              <w:left w:val="none" w:sz="0" w:space="0" w:color="auto"/>
              <w:bottom w:val="none" w:sz="0" w:space="0" w:color="auto"/>
              <w:right w:val="none" w:sz="0" w:space="0" w:color="auto"/>
            </w:tcBorders>
          </w:tcPr>
          <w:p w14:paraId="1C360291" w14:textId="77777777" w:rsidR="007012FE" w:rsidRPr="008B1280" w:rsidRDefault="007012FE" w:rsidP="007012FE">
            <w:pPr>
              <w:spacing w:line="360" w:lineRule="auto"/>
              <w:jc w:val="both"/>
              <w:rPr>
                <w:rFonts w:ascii="Arial" w:hAnsi="Arial" w:cs="Arial"/>
                <w:sz w:val="20"/>
                <w:szCs w:val="20"/>
              </w:rPr>
            </w:pPr>
            <w:r w:rsidRPr="008B1280">
              <w:rPr>
                <w:rFonts w:ascii="Arial" w:hAnsi="Arial" w:cs="Arial"/>
                <w:sz w:val="20"/>
                <w:szCs w:val="20"/>
              </w:rPr>
              <w:t>Model Summary</w:t>
            </w:r>
          </w:p>
        </w:tc>
      </w:tr>
      <w:tr w:rsidR="007012FE" w:rsidRPr="008B1280" w14:paraId="72FDF532" w14:textId="77777777" w:rsidTr="00AA5273">
        <w:trPr>
          <w:trHeight w:val="604"/>
        </w:trPr>
        <w:tc>
          <w:tcPr>
            <w:cnfStyle w:val="000010000000" w:firstRow="0" w:lastRow="0" w:firstColumn="0" w:lastColumn="0" w:oddVBand="1" w:evenVBand="0" w:oddHBand="0" w:evenHBand="0" w:firstRowFirstColumn="0" w:firstRowLastColumn="0" w:lastRowFirstColumn="0" w:lastRowLastColumn="0"/>
            <w:tcW w:w="1189" w:type="dxa"/>
            <w:tcBorders>
              <w:left w:val="none" w:sz="0" w:space="0" w:color="auto"/>
              <w:right w:val="none" w:sz="0" w:space="0" w:color="auto"/>
            </w:tcBorders>
          </w:tcPr>
          <w:p w14:paraId="1809437D" w14:textId="77777777" w:rsidR="007012FE" w:rsidRPr="008B1280" w:rsidRDefault="007012FE" w:rsidP="007012FE">
            <w:pPr>
              <w:spacing w:line="360" w:lineRule="auto"/>
              <w:jc w:val="both"/>
              <w:rPr>
                <w:rFonts w:ascii="Arial" w:hAnsi="Arial" w:cs="Arial"/>
                <w:sz w:val="20"/>
                <w:szCs w:val="20"/>
              </w:rPr>
            </w:pPr>
            <w:r w:rsidRPr="008B1280">
              <w:rPr>
                <w:rFonts w:ascii="Arial" w:hAnsi="Arial" w:cs="Arial"/>
                <w:sz w:val="20"/>
                <w:szCs w:val="20"/>
              </w:rPr>
              <w:t>Model</w:t>
            </w:r>
          </w:p>
        </w:tc>
        <w:tc>
          <w:tcPr>
            <w:cnfStyle w:val="000001000000" w:firstRow="0" w:lastRow="0" w:firstColumn="0" w:lastColumn="0" w:oddVBand="0" w:evenVBand="1" w:oddHBand="0" w:evenHBand="0" w:firstRowFirstColumn="0" w:firstRowLastColumn="0" w:lastRowFirstColumn="0" w:lastRowLastColumn="0"/>
            <w:tcW w:w="1531" w:type="dxa"/>
            <w:tcBorders>
              <w:left w:val="none" w:sz="0" w:space="0" w:color="auto"/>
              <w:right w:val="none" w:sz="0" w:space="0" w:color="auto"/>
            </w:tcBorders>
          </w:tcPr>
          <w:p w14:paraId="366EC85C" w14:textId="77777777" w:rsidR="007012FE" w:rsidRPr="008B1280" w:rsidRDefault="007012FE" w:rsidP="007012FE">
            <w:pPr>
              <w:spacing w:line="360" w:lineRule="auto"/>
              <w:jc w:val="both"/>
              <w:rPr>
                <w:rFonts w:ascii="Arial" w:hAnsi="Arial" w:cs="Arial"/>
                <w:sz w:val="20"/>
                <w:szCs w:val="20"/>
              </w:rPr>
            </w:pPr>
            <w:r w:rsidRPr="008B1280">
              <w:rPr>
                <w:rFonts w:ascii="Arial" w:hAnsi="Arial" w:cs="Arial"/>
                <w:sz w:val="20"/>
                <w:szCs w:val="20"/>
              </w:rPr>
              <w:t>R</w:t>
            </w:r>
          </w:p>
        </w:tc>
        <w:tc>
          <w:tcPr>
            <w:cnfStyle w:val="000010000000" w:firstRow="0" w:lastRow="0" w:firstColumn="0" w:lastColumn="0" w:oddVBand="1" w:evenVBand="0" w:oddHBand="0" w:evenHBand="0" w:firstRowFirstColumn="0" w:firstRowLastColumn="0" w:lastRowFirstColumn="0" w:lastRowLastColumn="0"/>
            <w:tcW w:w="1624" w:type="dxa"/>
            <w:tcBorders>
              <w:left w:val="none" w:sz="0" w:space="0" w:color="auto"/>
              <w:right w:val="none" w:sz="0" w:space="0" w:color="auto"/>
            </w:tcBorders>
          </w:tcPr>
          <w:p w14:paraId="530942DE" w14:textId="77777777" w:rsidR="007012FE" w:rsidRPr="008B1280" w:rsidRDefault="007012FE" w:rsidP="007012FE">
            <w:pPr>
              <w:spacing w:line="360" w:lineRule="auto"/>
              <w:jc w:val="both"/>
              <w:rPr>
                <w:rFonts w:ascii="Arial" w:hAnsi="Arial" w:cs="Arial"/>
                <w:sz w:val="20"/>
                <w:szCs w:val="20"/>
              </w:rPr>
            </w:pPr>
            <w:r w:rsidRPr="008B1280">
              <w:rPr>
                <w:rFonts w:ascii="Arial" w:hAnsi="Arial" w:cs="Arial"/>
                <w:sz w:val="20"/>
                <w:szCs w:val="20"/>
              </w:rPr>
              <w:t>R Square</w:t>
            </w:r>
          </w:p>
        </w:tc>
        <w:tc>
          <w:tcPr>
            <w:cnfStyle w:val="000001000000" w:firstRow="0" w:lastRow="0" w:firstColumn="0" w:lastColumn="0" w:oddVBand="0" w:evenVBand="1" w:oddHBand="0" w:evenHBand="0" w:firstRowFirstColumn="0" w:firstRowLastColumn="0" w:lastRowFirstColumn="0" w:lastRowLastColumn="0"/>
            <w:tcW w:w="2197" w:type="dxa"/>
            <w:tcBorders>
              <w:left w:val="none" w:sz="0" w:space="0" w:color="auto"/>
              <w:right w:val="none" w:sz="0" w:space="0" w:color="auto"/>
            </w:tcBorders>
          </w:tcPr>
          <w:p w14:paraId="25572980" w14:textId="77777777" w:rsidR="007012FE" w:rsidRPr="008B1280" w:rsidRDefault="007012FE" w:rsidP="007012FE">
            <w:pPr>
              <w:spacing w:line="360" w:lineRule="auto"/>
              <w:jc w:val="both"/>
              <w:rPr>
                <w:rFonts w:ascii="Arial" w:hAnsi="Arial" w:cs="Arial"/>
                <w:sz w:val="20"/>
                <w:szCs w:val="20"/>
              </w:rPr>
            </w:pPr>
            <w:r w:rsidRPr="008B1280">
              <w:rPr>
                <w:rFonts w:ascii="Arial" w:hAnsi="Arial" w:cs="Arial"/>
                <w:sz w:val="20"/>
                <w:szCs w:val="20"/>
              </w:rPr>
              <w:t>Adjusted R Square</w:t>
            </w:r>
          </w:p>
        </w:tc>
        <w:tc>
          <w:tcPr>
            <w:cnfStyle w:val="000010000000" w:firstRow="0" w:lastRow="0" w:firstColumn="0" w:lastColumn="0" w:oddVBand="1" w:evenVBand="0" w:oddHBand="0" w:evenHBand="0" w:firstRowFirstColumn="0" w:firstRowLastColumn="0" w:lastRowFirstColumn="0" w:lastRowLastColumn="0"/>
            <w:tcW w:w="2200" w:type="dxa"/>
            <w:tcBorders>
              <w:left w:val="none" w:sz="0" w:space="0" w:color="auto"/>
              <w:right w:val="none" w:sz="0" w:space="0" w:color="auto"/>
            </w:tcBorders>
          </w:tcPr>
          <w:p w14:paraId="1BDFC7BA" w14:textId="77777777" w:rsidR="007012FE" w:rsidRPr="008B1280" w:rsidRDefault="007012FE" w:rsidP="007012FE">
            <w:pPr>
              <w:spacing w:line="360" w:lineRule="auto"/>
              <w:jc w:val="both"/>
              <w:rPr>
                <w:rFonts w:ascii="Arial" w:hAnsi="Arial" w:cs="Arial"/>
                <w:sz w:val="20"/>
                <w:szCs w:val="20"/>
              </w:rPr>
            </w:pPr>
            <w:r w:rsidRPr="008B1280">
              <w:rPr>
                <w:rFonts w:ascii="Arial" w:hAnsi="Arial" w:cs="Arial"/>
                <w:sz w:val="20"/>
                <w:szCs w:val="20"/>
              </w:rPr>
              <w:t>Std. Error of the Estimate</w:t>
            </w:r>
          </w:p>
        </w:tc>
      </w:tr>
      <w:tr w:rsidR="007012FE" w:rsidRPr="008B1280" w14:paraId="2DF31E76" w14:textId="77777777" w:rsidTr="00AA5273">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1189" w:type="dxa"/>
            <w:tcBorders>
              <w:top w:val="none" w:sz="0" w:space="0" w:color="auto"/>
              <w:left w:val="none" w:sz="0" w:space="0" w:color="auto"/>
              <w:bottom w:val="none" w:sz="0" w:space="0" w:color="auto"/>
              <w:right w:val="none" w:sz="0" w:space="0" w:color="auto"/>
            </w:tcBorders>
          </w:tcPr>
          <w:p w14:paraId="13B47C13" w14:textId="77777777" w:rsidR="007012FE" w:rsidRPr="008B1280" w:rsidRDefault="007012FE" w:rsidP="007012FE">
            <w:pPr>
              <w:spacing w:line="360" w:lineRule="auto"/>
              <w:jc w:val="both"/>
              <w:rPr>
                <w:rFonts w:ascii="Arial" w:hAnsi="Arial" w:cs="Arial"/>
                <w:sz w:val="20"/>
                <w:szCs w:val="20"/>
              </w:rPr>
            </w:pPr>
            <w:r w:rsidRPr="008B1280">
              <w:rPr>
                <w:rFonts w:ascii="Arial" w:hAnsi="Arial" w:cs="Arial"/>
                <w:sz w:val="20"/>
                <w:szCs w:val="20"/>
              </w:rPr>
              <w:t>1</w:t>
            </w:r>
          </w:p>
        </w:tc>
        <w:tc>
          <w:tcPr>
            <w:cnfStyle w:val="000001000000" w:firstRow="0" w:lastRow="0" w:firstColumn="0" w:lastColumn="0" w:oddVBand="0" w:evenVBand="1" w:oddHBand="0" w:evenHBand="0" w:firstRowFirstColumn="0" w:firstRowLastColumn="0" w:lastRowFirstColumn="0" w:lastRowLastColumn="0"/>
            <w:tcW w:w="1531" w:type="dxa"/>
            <w:tcBorders>
              <w:top w:val="none" w:sz="0" w:space="0" w:color="auto"/>
              <w:left w:val="none" w:sz="0" w:space="0" w:color="auto"/>
              <w:bottom w:val="none" w:sz="0" w:space="0" w:color="auto"/>
              <w:right w:val="none" w:sz="0" w:space="0" w:color="auto"/>
            </w:tcBorders>
          </w:tcPr>
          <w:p w14:paraId="0E089097" w14:textId="77777777" w:rsidR="007012FE" w:rsidRPr="008B1280" w:rsidRDefault="007012FE" w:rsidP="007012FE">
            <w:pPr>
              <w:spacing w:line="360" w:lineRule="auto"/>
              <w:jc w:val="both"/>
              <w:rPr>
                <w:rFonts w:ascii="Arial" w:hAnsi="Arial" w:cs="Arial"/>
                <w:sz w:val="20"/>
                <w:szCs w:val="20"/>
              </w:rPr>
            </w:pPr>
            <w:r w:rsidRPr="008B1280">
              <w:rPr>
                <w:rFonts w:ascii="Arial" w:hAnsi="Arial" w:cs="Arial"/>
                <w:sz w:val="20"/>
                <w:szCs w:val="20"/>
              </w:rPr>
              <w:t>.156a</w:t>
            </w:r>
          </w:p>
        </w:tc>
        <w:tc>
          <w:tcPr>
            <w:cnfStyle w:val="000010000000" w:firstRow="0" w:lastRow="0" w:firstColumn="0" w:lastColumn="0" w:oddVBand="1" w:evenVBand="0" w:oddHBand="0" w:evenHBand="0" w:firstRowFirstColumn="0" w:firstRowLastColumn="0" w:lastRowFirstColumn="0" w:lastRowLastColumn="0"/>
            <w:tcW w:w="1624" w:type="dxa"/>
            <w:tcBorders>
              <w:top w:val="none" w:sz="0" w:space="0" w:color="auto"/>
              <w:left w:val="none" w:sz="0" w:space="0" w:color="auto"/>
              <w:bottom w:val="none" w:sz="0" w:space="0" w:color="auto"/>
              <w:right w:val="none" w:sz="0" w:space="0" w:color="auto"/>
            </w:tcBorders>
          </w:tcPr>
          <w:p w14:paraId="799FA05B" w14:textId="77777777" w:rsidR="007012FE" w:rsidRPr="008B1280" w:rsidRDefault="007012FE" w:rsidP="007012FE">
            <w:pPr>
              <w:spacing w:line="360" w:lineRule="auto"/>
              <w:jc w:val="both"/>
              <w:rPr>
                <w:rFonts w:ascii="Arial" w:hAnsi="Arial" w:cs="Arial"/>
                <w:sz w:val="20"/>
                <w:szCs w:val="20"/>
              </w:rPr>
            </w:pPr>
            <w:r w:rsidRPr="008B1280">
              <w:rPr>
                <w:rFonts w:ascii="Arial" w:hAnsi="Arial" w:cs="Arial"/>
                <w:sz w:val="20"/>
                <w:szCs w:val="20"/>
              </w:rPr>
              <w:t>.024</w:t>
            </w:r>
          </w:p>
        </w:tc>
        <w:tc>
          <w:tcPr>
            <w:cnfStyle w:val="000001000000" w:firstRow="0" w:lastRow="0" w:firstColumn="0" w:lastColumn="0" w:oddVBand="0" w:evenVBand="1" w:oddHBand="0" w:evenHBand="0" w:firstRowFirstColumn="0" w:firstRowLastColumn="0" w:lastRowFirstColumn="0" w:lastRowLastColumn="0"/>
            <w:tcW w:w="2197" w:type="dxa"/>
            <w:tcBorders>
              <w:top w:val="none" w:sz="0" w:space="0" w:color="auto"/>
              <w:left w:val="none" w:sz="0" w:space="0" w:color="auto"/>
              <w:bottom w:val="none" w:sz="0" w:space="0" w:color="auto"/>
              <w:right w:val="none" w:sz="0" w:space="0" w:color="auto"/>
            </w:tcBorders>
          </w:tcPr>
          <w:p w14:paraId="7BD7C967" w14:textId="77777777" w:rsidR="007012FE" w:rsidRPr="008B1280" w:rsidRDefault="007012FE" w:rsidP="007012FE">
            <w:pPr>
              <w:spacing w:line="360" w:lineRule="auto"/>
              <w:jc w:val="both"/>
              <w:rPr>
                <w:rFonts w:ascii="Arial" w:hAnsi="Arial" w:cs="Arial"/>
                <w:sz w:val="20"/>
                <w:szCs w:val="20"/>
              </w:rPr>
            </w:pPr>
            <w:r w:rsidRPr="008B1280">
              <w:rPr>
                <w:rFonts w:ascii="Arial" w:hAnsi="Arial" w:cs="Arial"/>
                <w:sz w:val="20"/>
                <w:szCs w:val="20"/>
              </w:rPr>
              <w:t>.019</w:t>
            </w:r>
          </w:p>
        </w:tc>
        <w:tc>
          <w:tcPr>
            <w:cnfStyle w:val="000010000000" w:firstRow="0" w:lastRow="0" w:firstColumn="0" w:lastColumn="0" w:oddVBand="1" w:evenVBand="0" w:oddHBand="0" w:evenHBand="0" w:firstRowFirstColumn="0" w:firstRowLastColumn="0" w:lastRowFirstColumn="0" w:lastRowLastColumn="0"/>
            <w:tcW w:w="2200" w:type="dxa"/>
            <w:tcBorders>
              <w:top w:val="none" w:sz="0" w:space="0" w:color="auto"/>
              <w:left w:val="none" w:sz="0" w:space="0" w:color="auto"/>
              <w:bottom w:val="none" w:sz="0" w:space="0" w:color="auto"/>
              <w:right w:val="none" w:sz="0" w:space="0" w:color="auto"/>
            </w:tcBorders>
          </w:tcPr>
          <w:p w14:paraId="2056687C" w14:textId="77777777" w:rsidR="007012FE" w:rsidRPr="008B1280" w:rsidRDefault="007012FE" w:rsidP="007012FE">
            <w:pPr>
              <w:spacing w:line="360" w:lineRule="auto"/>
              <w:jc w:val="both"/>
              <w:rPr>
                <w:rFonts w:ascii="Arial" w:hAnsi="Arial" w:cs="Arial"/>
                <w:sz w:val="20"/>
                <w:szCs w:val="20"/>
              </w:rPr>
            </w:pPr>
            <w:r w:rsidRPr="008B1280">
              <w:rPr>
                <w:rFonts w:ascii="Arial" w:hAnsi="Arial" w:cs="Arial"/>
                <w:sz w:val="20"/>
                <w:szCs w:val="20"/>
              </w:rPr>
              <w:t>.86312</w:t>
            </w:r>
          </w:p>
        </w:tc>
      </w:tr>
    </w:tbl>
    <w:p w14:paraId="01225569" w14:textId="0F300498" w:rsidR="007012FE" w:rsidRPr="008B1280" w:rsidRDefault="007012FE" w:rsidP="00AD5C7A">
      <w:pPr>
        <w:spacing w:line="360" w:lineRule="auto"/>
        <w:jc w:val="both"/>
        <w:rPr>
          <w:rFonts w:ascii="Arial" w:hAnsi="Arial" w:cs="Arial"/>
          <w:sz w:val="20"/>
          <w:szCs w:val="20"/>
        </w:rPr>
      </w:pPr>
      <w:r w:rsidRPr="008B1280">
        <w:rPr>
          <w:rFonts w:ascii="Arial" w:hAnsi="Arial" w:cs="Arial"/>
          <w:sz w:val="20"/>
          <w:szCs w:val="20"/>
        </w:rPr>
        <w:t>The regression model shows that housing affordability (R = 0.156) is weakly correlated with income levels, and only 24% of the variation in housing affordability (R² = 0.024) is explained by income. Using the regression equation: Ý = 1.460+0.298(Income). It is observed that a unit increase in income results in only a 0.024 increase in housing affordability. Based on these findings, the study accepts the null hypothesis (H</w:t>
      </w:r>
      <w:r w:rsidRPr="008B1280">
        <w:rPr>
          <w:rFonts w:ascii="Cambria Math" w:hAnsi="Cambria Math" w:cs="Cambria Math"/>
          <w:sz w:val="20"/>
          <w:szCs w:val="20"/>
        </w:rPr>
        <w:t>₀</w:t>
      </w:r>
      <w:r w:rsidRPr="008B1280">
        <w:rPr>
          <w:rFonts w:ascii="Arial" w:hAnsi="Arial" w:cs="Arial"/>
          <w:sz w:val="20"/>
          <w:szCs w:val="20"/>
        </w:rPr>
        <w:t>) that income does not significantly determine housing affordability in the study area.</w:t>
      </w:r>
    </w:p>
    <w:p w14:paraId="258F3F4F" w14:textId="236EC496" w:rsidR="00D26672" w:rsidRPr="008B1280" w:rsidRDefault="00DB7C9B" w:rsidP="00DB7C9B">
      <w:pPr>
        <w:rPr>
          <w:rFonts w:ascii="Arial" w:hAnsi="Arial" w:cs="Arial"/>
          <w:b/>
          <w:color w:val="000000" w:themeColor="text1"/>
        </w:rPr>
      </w:pPr>
      <w:r w:rsidRPr="008B1280">
        <w:rPr>
          <w:rFonts w:ascii="Arial" w:hAnsi="Arial" w:cs="Arial"/>
          <w:b/>
          <w:color w:val="000000" w:themeColor="text1"/>
        </w:rPr>
        <w:t>CONCLUSION AND RECOMMENDATIONS</w:t>
      </w:r>
    </w:p>
    <w:p w14:paraId="3C6A4321" w14:textId="61D3C954" w:rsidR="00AD5C7A" w:rsidRPr="008B1280" w:rsidRDefault="00AD5C7A" w:rsidP="00AD5C7A">
      <w:pPr>
        <w:spacing w:line="360" w:lineRule="auto"/>
        <w:jc w:val="both"/>
        <w:rPr>
          <w:rFonts w:ascii="Arial" w:hAnsi="Arial" w:cs="Arial"/>
          <w:sz w:val="20"/>
          <w:szCs w:val="20"/>
        </w:rPr>
      </w:pPr>
      <w:r w:rsidRPr="008B1280">
        <w:rPr>
          <w:rFonts w:ascii="Arial" w:hAnsi="Arial" w:cs="Arial"/>
          <w:sz w:val="20"/>
          <w:szCs w:val="20"/>
        </w:rPr>
        <w:t>The study therefore concludes that the income of the respondents has a significant impact on housing affordability. Findings reveal that a majority of respondents spend over 30% of their income on rent, exceeding the affordability threshold and indicating a severe housing cost burden. The predominance of rental tenure and the inadequacy of basic housing infrastructure further highlight the financial strain on low-income earners. The hypothesis testing confirms that income plays a crucial role in determining housing affordability, reinforcing the argument that economic constraints limit access to suitable housing. To address these challenges, government intervention is essential in implementing affordable housing programs, rental control measures, and accessible housing finance schemes. Additionally, strengthening public-private partnerships and community-driven housing initiatives can help bridge the affordability gap. Without strategic policy actions, low-income earners will continue to face housing insecurity, financial strain, and worsening living conditions.</w:t>
      </w:r>
    </w:p>
    <w:p w14:paraId="78270736" w14:textId="402D0147" w:rsidR="004C4CD6" w:rsidRPr="008B1280" w:rsidRDefault="00DB7C9B" w:rsidP="007012FE">
      <w:pPr>
        <w:spacing w:line="360" w:lineRule="auto"/>
        <w:jc w:val="both"/>
        <w:rPr>
          <w:rFonts w:ascii="Arial" w:hAnsi="Arial" w:cs="Arial"/>
          <w:color w:val="000000" w:themeColor="text1"/>
          <w:sz w:val="20"/>
          <w:szCs w:val="20"/>
        </w:rPr>
      </w:pPr>
      <w:r w:rsidRPr="008B1280">
        <w:rPr>
          <w:rFonts w:ascii="Arial" w:hAnsi="Arial" w:cs="Arial"/>
          <w:color w:val="000000" w:themeColor="text1"/>
          <w:sz w:val="20"/>
          <w:szCs w:val="20"/>
        </w:rPr>
        <w:t xml:space="preserve">To improve housing affordability, a multi-pronged approach is essential. The government should implement rental control measures to prevent exploitation, particularly in low-income housing markets. Additionally, land </w:t>
      </w:r>
      <w:commentRangeStart w:id="47"/>
      <w:r w:rsidRPr="008B1280">
        <w:rPr>
          <w:rFonts w:ascii="Arial" w:hAnsi="Arial" w:cs="Arial"/>
          <w:color w:val="000000" w:themeColor="text1"/>
          <w:sz w:val="20"/>
          <w:szCs w:val="20"/>
        </w:rPr>
        <w:t>regularization</w:t>
      </w:r>
      <w:commentRangeEnd w:id="47"/>
      <w:r w:rsidR="00EA7947">
        <w:rPr>
          <w:rStyle w:val="CommentReference"/>
        </w:rPr>
        <w:commentReference w:id="47"/>
      </w:r>
      <w:r w:rsidRPr="008B1280">
        <w:rPr>
          <w:rFonts w:ascii="Arial" w:hAnsi="Arial" w:cs="Arial"/>
          <w:color w:val="000000" w:themeColor="text1"/>
          <w:sz w:val="20"/>
          <w:szCs w:val="20"/>
        </w:rPr>
        <w:t xml:space="preserve"> programs in informal settlements should be promoted to enhance tenure security and improve living conditions. A more affordable homeownership framework should be developed, making both new and existing housing financially accessible. Engaging stakeholders, community </w:t>
      </w:r>
      <w:commentRangeStart w:id="48"/>
      <w:r w:rsidRPr="008B1280">
        <w:rPr>
          <w:rFonts w:ascii="Arial" w:hAnsi="Arial" w:cs="Arial"/>
          <w:color w:val="000000" w:themeColor="text1"/>
          <w:sz w:val="20"/>
          <w:szCs w:val="20"/>
        </w:rPr>
        <w:t>organizations</w:t>
      </w:r>
      <w:commentRangeEnd w:id="48"/>
      <w:r w:rsidR="00EA7947">
        <w:rPr>
          <w:rStyle w:val="CommentReference"/>
        </w:rPr>
        <w:commentReference w:id="48"/>
      </w:r>
      <w:r w:rsidRPr="008B1280">
        <w:rPr>
          <w:rFonts w:ascii="Arial" w:hAnsi="Arial" w:cs="Arial"/>
          <w:color w:val="000000" w:themeColor="text1"/>
          <w:sz w:val="20"/>
          <w:szCs w:val="20"/>
        </w:rPr>
        <w:t>, and private developers in coordinated efforts will be key to achieving sustainable and equitable housing solutions for low-income residents in Ibadan.</w:t>
      </w:r>
    </w:p>
    <w:p w14:paraId="4AA6A23B" w14:textId="77777777" w:rsidR="00D26672" w:rsidRPr="008B1280" w:rsidRDefault="00F52B8F">
      <w:pPr>
        <w:pStyle w:val="Heading1"/>
        <w:rPr>
          <w:rFonts w:ascii="Arial" w:hAnsi="Arial" w:cs="Arial"/>
          <w:b/>
          <w:bCs/>
          <w:color w:val="000000" w:themeColor="text1"/>
          <w:sz w:val="22"/>
          <w:szCs w:val="22"/>
        </w:rPr>
      </w:pPr>
      <w:bookmarkStart w:id="49" w:name="_Toc159519975"/>
      <w:bookmarkStart w:id="50" w:name="_Toc159520079"/>
      <w:r w:rsidRPr="008B1280">
        <w:rPr>
          <w:rFonts w:ascii="Arial" w:hAnsi="Arial" w:cs="Arial"/>
          <w:b/>
          <w:bCs/>
          <w:color w:val="000000" w:themeColor="text1"/>
          <w:sz w:val="22"/>
          <w:szCs w:val="22"/>
        </w:rPr>
        <w:t>REFERENCES</w:t>
      </w:r>
      <w:bookmarkEnd w:id="49"/>
      <w:bookmarkEnd w:id="50"/>
    </w:p>
    <w:p w14:paraId="75AA81FB" w14:textId="77777777" w:rsidR="00D26672" w:rsidRPr="008B1280" w:rsidRDefault="00F52B8F">
      <w:pPr>
        <w:pStyle w:val="Bibliography"/>
        <w:tabs>
          <w:tab w:val="left" w:pos="2598"/>
        </w:tabs>
        <w:ind w:left="720" w:hanging="720"/>
        <w:rPr>
          <w:rFonts w:ascii="Arial" w:hAnsi="Arial" w:cs="Arial"/>
          <w:noProof/>
          <w:color w:val="000000" w:themeColor="text1"/>
          <w:sz w:val="20"/>
          <w:szCs w:val="20"/>
        </w:rPr>
      </w:pPr>
      <w:r w:rsidRPr="008B1280">
        <w:rPr>
          <w:rFonts w:ascii="Arial" w:hAnsi="Arial" w:cs="Arial"/>
          <w:color w:val="000000" w:themeColor="text1"/>
          <w:sz w:val="20"/>
          <w:szCs w:val="20"/>
          <w:lang w:val="en-GB"/>
        </w:rPr>
        <w:fldChar w:fldCharType="begin"/>
      </w:r>
      <w:r w:rsidRPr="008B1280">
        <w:rPr>
          <w:rFonts w:ascii="Arial" w:hAnsi="Arial" w:cs="Arial"/>
          <w:color w:val="000000" w:themeColor="text1"/>
          <w:sz w:val="20"/>
          <w:szCs w:val="20"/>
        </w:rPr>
        <w:instrText xml:space="preserve"> BIBLIOGRAPHY </w:instrText>
      </w:r>
      <w:r w:rsidRPr="008B1280">
        <w:rPr>
          <w:rFonts w:ascii="Arial" w:hAnsi="Arial" w:cs="Arial"/>
          <w:color w:val="000000" w:themeColor="text1"/>
          <w:sz w:val="20"/>
          <w:szCs w:val="20"/>
          <w:lang w:val="en-GB"/>
        </w:rPr>
        <w:fldChar w:fldCharType="separate"/>
      </w:r>
    </w:p>
    <w:p w14:paraId="29495E24"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lastRenderedPageBreak/>
        <w:t xml:space="preserve">Akinmoladun, O., &amp; Oluwoye, J. (2007). An Assessment of Why the Problems of Housing Shortage Persist in Developing Countries: A Case Study of Lagos Metropolis, Nigeria. </w:t>
      </w:r>
      <w:r w:rsidRPr="008B1280">
        <w:rPr>
          <w:rFonts w:ascii="Arial" w:hAnsi="Arial" w:cs="Arial"/>
          <w:i/>
          <w:iCs/>
          <w:noProof/>
          <w:color w:val="000000" w:themeColor="text1"/>
          <w:sz w:val="20"/>
          <w:szCs w:val="20"/>
        </w:rPr>
        <w:t>Pakistan Journal of Social Science</w:t>
      </w:r>
      <w:r w:rsidRPr="008B1280">
        <w:rPr>
          <w:rFonts w:ascii="Arial" w:hAnsi="Arial" w:cs="Arial"/>
          <w:noProof/>
          <w:color w:val="000000" w:themeColor="text1"/>
          <w:sz w:val="20"/>
          <w:szCs w:val="20"/>
        </w:rPr>
        <w:t>, 589-598.</w:t>
      </w:r>
    </w:p>
    <w:p w14:paraId="7EAD4A8A"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 xml:space="preserve">Bichi, K. M. (1997). Housing finance in the context of vision 2010. Housing Today. </w:t>
      </w:r>
      <w:r w:rsidRPr="008B1280">
        <w:rPr>
          <w:rFonts w:ascii="Arial" w:hAnsi="Arial" w:cs="Arial"/>
          <w:i/>
          <w:iCs/>
          <w:noProof/>
          <w:color w:val="000000" w:themeColor="text1"/>
          <w:sz w:val="20"/>
          <w:szCs w:val="20"/>
        </w:rPr>
        <w:t>Journal of the Housing Corporation of Nigeria</w:t>
      </w:r>
      <w:r w:rsidRPr="008B1280">
        <w:rPr>
          <w:rFonts w:ascii="Arial" w:hAnsi="Arial" w:cs="Arial"/>
          <w:noProof/>
          <w:color w:val="000000" w:themeColor="text1"/>
          <w:sz w:val="20"/>
          <w:szCs w:val="20"/>
        </w:rPr>
        <w:t>(4), 30-37.</w:t>
      </w:r>
    </w:p>
    <w:p w14:paraId="59118A90"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 xml:space="preserve">Bramley, G. (2012). Affordability, poverty and housing need: Triangulating measures and standards. </w:t>
      </w:r>
      <w:r w:rsidRPr="008B1280">
        <w:rPr>
          <w:rFonts w:ascii="Arial" w:hAnsi="Arial" w:cs="Arial"/>
          <w:i/>
          <w:iCs/>
          <w:noProof/>
          <w:color w:val="000000" w:themeColor="text1"/>
          <w:sz w:val="20"/>
          <w:szCs w:val="20"/>
        </w:rPr>
        <w:t>Journal of Housing and Built Environment</w:t>
      </w:r>
      <w:r w:rsidRPr="008B1280">
        <w:rPr>
          <w:rFonts w:ascii="Arial" w:hAnsi="Arial" w:cs="Arial"/>
          <w:noProof/>
          <w:color w:val="000000" w:themeColor="text1"/>
          <w:sz w:val="20"/>
          <w:szCs w:val="20"/>
        </w:rPr>
        <w:t>(21), 133 - 151.</w:t>
      </w:r>
    </w:p>
    <w:p w14:paraId="10FDAF06"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Bramley, G., Bartlett, W., &amp; Lambert, C. (2004). Key Issues in Housing: Policies and Market in 21st Century in Britain.</w:t>
      </w:r>
    </w:p>
    <w:p w14:paraId="6F30448E"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 xml:space="preserve">Daramola, S. A. (2004, April 15). Private Public participation in Housing delivery in Nigeria. </w:t>
      </w:r>
      <w:r w:rsidRPr="008B1280">
        <w:rPr>
          <w:rFonts w:ascii="Arial" w:hAnsi="Arial" w:cs="Arial"/>
          <w:i/>
          <w:iCs/>
          <w:noProof/>
          <w:color w:val="000000" w:themeColor="text1"/>
          <w:sz w:val="20"/>
          <w:szCs w:val="20"/>
        </w:rPr>
        <w:t>Paper presented at a business luncheon organised the Royal Institute of Surveyors (RIS) in Chinese restaurant, Palmgroove, Lagos</w:t>
      </w:r>
      <w:r w:rsidRPr="008B1280">
        <w:rPr>
          <w:rFonts w:ascii="Arial" w:hAnsi="Arial" w:cs="Arial"/>
          <w:noProof/>
          <w:color w:val="000000" w:themeColor="text1"/>
          <w:sz w:val="20"/>
          <w:szCs w:val="20"/>
        </w:rPr>
        <w:t>.</w:t>
      </w:r>
    </w:p>
    <w:p w14:paraId="29C2F173"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European Commission. (2005). Housing Finance Systems for Countries in Transition: Principles and Examples. Retrieved from http://www.unece.org/fileadmin/DAM/hlm/documents/Publications/housing_finance_system.pdf</w:t>
      </w:r>
    </w:p>
    <w:p w14:paraId="36B597FA"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Fallis, G. (1993). On Chosen Social Policy Instruments: The Case of Non-Profit Housing, Housing Allowance or Income Assistance.</w:t>
      </w:r>
    </w:p>
    <w:p w14:paraId="6F942B6F"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Federal Government of Nigeria (FGN). (1991). National Housing Policy.</w:t>
      </w:r>
    </w:p>
    <w:p w14:paraId="22532475"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 xml:space="preserve">Gan, Q., &amp; Hill, R. J. (2009). Measuring housing affordability: Looking beyond the median. </w:t>
      </w:r>
      <w:r w:rsidRPr="008B1280">
        <w:rPr>
          <w:rFonts w:ascii="Arial" w:hAnsi="Arial" w:cs="Arial"/>
          <w:i/>
          <w:iCs/>
          <w:noProof/>
          <w:color w:val="000000" w:themeColor="text1"/>
          <w:sz w:val="20"/>
          <w:szCs w:val="20"/>
        </w:rPr>
        <w:t>Journal of Housing Economics</w:t>
      </w:r>
      <w:r w:rsidRPr="008B1280">
        <w:rPr>
          <w:rFonts w:ascii="Arial" w:hAnsi="Arial" w:cs="Arial"/>
          <w:noProof/>
          <w:color w:val="000000" w:themeColor="text1"/>
          <w:sz w:val="20"/>
          <w:szCs w:val="20"/>
        </w:rPr>
        <w:t>, 115-125. Retrieved from https://doi.org/10.1016/j.jhe.2009.04.003</w:t>
      </w:r>
    </w:p>
    <w:p w14:paraId="6AAA5BF7"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 xml:space="preserve">Hancock, K. E. (1993). Can pay? Won't pay? Or economic principles of "affordability". </w:t>
      </w:r>
      <w:r w:rsidRPr="008B1280">
        <w:rPr>
          <w:rFonts w:ascii="Arial" w:hAnsi="Arial" w:cs="Arial"/>
          <w:i/>
          <w:iCs/>
          <w:noProof/>
          <w:color w:val="000000" w:themeColor="text1"/>
          <w:sz w:val="20"/>
          <w:szCs w:val="20"/>
        </w:rPr>
        <w:t>Urban Studies</w:t>
      </w:r>
      <w:r w:rsidRPr="008B1280">
        <w:rPr>
          <w:rFonts w:ascii="Arial" w:hAnsi="Arial" w:cs="Arial"/>
          <w:noProof/>
          <w:color w:val="000000" w:themeColor="text1"/>
          <w:sz w:val="20"/>
          <w:szCs w:val="20"/>
        </w:rPr>
        <w:t>, 127-145.</w:t>
      </w:r>
    </w:p>
    <w:p w14:paraId="24970D2A" w14:textId="2F2FE722"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Henilane. (2015). The Evaluation of housing situation in Latvia. 33-106.</w:t>
      </w:r>
    </w:p>
    <w:p w14:paraId="073C1C46" w14:textId="77777777" w:rsidR="0084231B" w:rsidRPr="008B1280" w:rsidRDefault="0084231B" w:rsidP="0084231B">
      <w:pPr>
        <w:tabs>
          <w:tab w:val="left" w:pos="0"/>
        </w:tabs>
        <w:spacing w:after="0" w:line="240" w:lineRule="auto"/>
        <w:ind w:left="540" w:hanging="540"/>
        <w:jc w:val="both"/>
        <w:rPr>
          <w:rFonts w:ascii="Arial" w:hAnsi="Arial" w:cs="Arial"/>
          <w:color w:val="000000" w:themeColor="text1"/>
          <w:sz w:val="20"/>
          <w:szCs w:val="20"/>
        </w:rPr>
      </w:pPr>
      <w:r w:rsidRPr="008B1280">
        <w:rPr>
          <w:rFonts w:ascii="Arial" w:hAnsi="Arial" w:cs="Arial"/>
          <w:color w:val="000000" w:themeColor="text1"/>
          <w:sz w:val="20"/>
          <w:szCs w:val="20"/>
        </w:rPr>
        <w:t xml:space="preserve">Jimoh, U.U. and Oparinde, O.  (2015). The Roles and Challenges of Women in </w:t>
      </w:r>
    </w:p>
    <w:p w14:paraId="281552F1" w14:textId="77777777" w:rsidR="0084231B" w:rsidRPr="008B1280" w:rsidRDefault="0084231B" w:rsidP="0084231B">
      <w:pPr>
        <w:tabs>
          <w:tab w:val="left" w:pos="0"/>
        </w:tabs>
        <w:spacing w:after="0" w:line="240" w:lineRule="auto"/>
        <w:ind w:left="540" w:hanging="540"/>
        <w:jc w:val="both"/>
        <w:rPr>
          <w:rFonts w:ascii="Arial" w:hAnsi="Arial" w:cs="Arial"/>
          <w:i/>
          <w:color w:val="000000" w:themeColor="text1"/>
          <w:sz w:val="20"/>
          <w:szCs w:val="20"/>
        </w:rPr>
      </w:pPr>
      <w:r w:rsidRPr="008B1280">
        <w:rPr>
          <w:rFonts w:ascii="Arial" w:hAnsi="Arial" w:cs="Arial"/>
          <w:color w:val="000000" w:themeColor="text1"/>
          <w:sz w:val="20"/>
          <w:szCs w:val="20"/>
        </w:rPr>
        <w:t xml:space="preserve">            Housing Construction in Osogbo Local Government Area, Osun State. </w:t>
      </w:r>
      <w:r w:rsidRPr="008B1280">
        <w:rPr>
          <w:rFonts w:ascii="Arial" w:hAnsi="Arial" w:cs="Arial"/>
          <w:i/>
          <w:color w:val="000000" w:themeColor="text1"/>
          <w:sz w:val="20"/>
          <w:szCs w:val="20"/>
        </w:rPr>
        <w:t xml:space="preserve">Ibadan </w:t>
      </w:r>
    </w:p>
    <w:p w14:paraId="551BB327" w14:textId="77777777" w:rsidR="0084231B" w:rsidRPr="008B1280" w:rsidRDefault="0084231B" w:rsidP="0084231B">
      <w:pPr>
        <w:tabs>
          <w:tab w:val="left" w:pos="0"/>
        </w:tabs>
        <w:spacing w:after="0" w:line="240" w:lineRule="auto"/>
        <w:ind w:left="540" w:hanging="540"/>
        <w:jc w:val="both"/>
        <w:rPr>
          <w:rFonts w:ascii="Arial" w:hAnsi="Arial" w:cs="Arial"/>
          <w:color w:val="000000" w:themeColor="text1"/>
          <w:sz w:val="20"/>
          <w:szCs w:val="20"/>
        </w:rPr>
      </w:pPr>
      <w:r w:rsidRPr="008B1280">
        <w:rPr>
          <w:rFonts w:ascii="Arial" w:hAnsi="Arial" w:cs="Arial"/>
          <w:i/>
          <w:color w:val="000000" w:themeColor="text1"/>
          <w:sz w:val="20"/>
          <w:szCs w:val="20"/>
        </w:rPr>
        <w:t xml:space="preserve">            Journal of the Social Sciences </w:t>
      </w:r>
      <w:r w:rsidRPr="008B1280">
        <w:rPr>
          <w:rFonts w:ascii="Arial" w:hAnsi="Arial" w:cs="Arial"/>
          <w:color w:val="000000" w:themeColor="text1"/>
          <w:sz w:val="20"/>
          <w:szCs w:val="20"/>
        </w:rPr>
        <w:t>Vol. 13. No. 2: 241-256.</w:t>
      </w:r>
    </w:p>
    <w:p w14:paraId="22B4C393" w14:textId="77777777" w:rsidR="0084231B" w:rsidRPr="008B1280" w:rsidRDefault="0084231B" w:rsidP="0084231B">
      <w:pPr>
        <w:tabs>
          <w:tab w:val="left" w:pos="0"/>
        </w:tabs>
        <w:spacing w:after="0" w:line="240" w:lineRule="auto"/>
        <w:ind w:left="540" w:hanging="540"/>
        <w:jc w:val="both"/>
        <w:rPr>
          <w:rFonts w:ascii="Arial" w:hAnsi="Arial" w:cs="Arial"/>
          <w:color w:val="000000" w:themeColor="text1"/>
          <w:sz w:val="20"/>
          <w:szCs w:val="20"/>
        </w:rPr>
      </w:pPr>
    </w:p>
    <w:p w14:paraId="0BBFA12B"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color w:val="000000" w:themeColor="text1"/>
          <w:sz w:val="20"/>
          <w:szCs w:val="20"/>
        </w:rPr>
        <w:t>Jimoh U.U and Wahab W.B, (2016), Health care Financing and Budgetary Allocation in Ondo</w:t>
      </w:r>
    </w:p>
    <w:p w14:paraId="51969C07"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color w:val="000000" w:themeColor="text1"/>
          <w:sz w:val="20"/>
          <w:szCs w:val="20"/>
        </w:rPr>
        <w:t xml:space="preserve">          State, </w:t>
      </w:r>
      <w:r w:rsidRPr="008B1280">
        <w:rPr>
          <w:rFonts w:ascii="Arial" w:hAnsi="Arial" w:cs="Arial"/>
          <w:i/>
          <w:color w:val="000000" w:themeColor="text1"/>
          <w:sz w:val="20"/>
          <w:szCs w:val="20"/>
        </w:rPr>
        <w:t>British Journal of Medicine and Medical Research</w:t>
      </w:r>
      <w:r w:rsidRPr="008B1280">
        <w:rPr>
          <w:rFonts w:ascii="Arial" w:hAnsi="Arial" w:cs="Arial"/>
          <w:color w:val="000000" w:themeColor="text1"/>
          <w:sz w:val="20"/>
          <w:szCs w:val="20"/>
        </w:rPr>
        <w:t>, Vol16 (5), 1-9.</w:t>
      </w:r>
    </w:p>
    <w:p w14:paraId="19EC953B" w14:textId="77777777" w:rsidR="0084231B" w:rsidRPr="008B1280" w:rsidRDefault="0084231B" w:rsidP="0084231B">
      <w:pPr>
        <w:spacing w:line="240" w:lineRule="auto"/>
        <w:ind w:right="-31"/>
        <w:jc w:val="both"/>
        <w:rPr>
          <w:rFonts w:ascii="Arial" w:hAnsi="Arial" w:cs="Arial"/>
          <w:color w:val="000000" w:themeColor="text1"/>
          <w:sz w:val="20"/>
          <w:szCs w:val="20"/>
        </w:rPr>
      </w:pPr>
    </w:p>
    <w:p w14:paraId="2425C65C"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color w:val="000000" w:themeColor="text1"/>
          <w:sz w:val="20"/>
          <w:szCs w:val="20"/>
        </w:rPr>
        <w:t>Jimoh U.U and W.O Abdullahi (2022) Generation and composition of Biomedical Waste in</w:t>
      </w:r>
    </w:p>
    <w:p w14:paraId="58378DAA"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color w:val="000000" w:themeColor="text1"/>
          <w:sz w:val="20"/>
          <w:szCs w:val="20"/>
        </w:rPr>
        <w:t xml:space="preserve">           Selected Hospital in Akure south Local Government Area, Nigeria, African Journal of</w:t>
      </w:r>
    </w:p>
    <w:p w14:paraId="66428F38"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color w:val="000000" w:themeColor="text1"/>
          <w:sz w:val="20"/>
          <w:szCs w:val="20"/>
        </w:rPr>
        <w:t xml:space="preserve">           Biomedical Research, 25 (1) 73-81</w:t>
      </w:r>
    </w:p>
    <w:p w14:paraId="227D36BB" w14:textId="77777777" w:rsidR="0084231B" w:rsidRPr="008B1280" w:rsidRDefault="0084231B" w:rsidP="0084231B">
      <w:pPr>
        <w:spacing w:after="0" w:line="240" w:lineRule="auto"/>
        <w:ind w:right="-31"/>
        <w:jc w:val="both"/>
        <w:rPr>
          <w:rFonts w:ascii="Arial" w:hAnsi="Arial" w:cs="Arial"/>
          <w:color w:val="000000" w:themeColor="text1"/>
          <w:sz w:val="20"/>
          <w:szCs w:val="20"/>
        </w:rPr>
      </w:pPr>
    </w:p>
    <w:p w14:paraId="38A9602D"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color w:val="000000" w:themeColor="text1"/>
          <w:sz w:val="20"/>
          <w:szCs w:val="20"/>
        </w:rPr>
        <w:t xml:space="preserve">Jimoh, U.U, (2022) Spatial and Seasonal Pattern of Flood Inundation in Lokoja, Kogi State, </w:t>
      </w:r>
    </w:p>
    <w:p w14:paraId="54DB79AF"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color w:val="000000" w:themeColor="text1"/>
          <w:sz w:val="20"/>
          <w:szCs w:val="20"/>
        </w:rPr>
        <w:t xml:space="preserve">            Nigeria.  </w:t>
      </w:r>
      <w:r w:rsidRPr="008B1280">
        <w:rPr>
          <w:rFonts w:ascii="Arial" w:hAnsi="Arial" w:cs="Arial"/>
          <w:i/>
          <w:color w:val="000000" w:themeColor="text1"/>
          <w:sz w:val="20"/>
          <w:szCs w:val="20"/>
        </w:rPr>
        <w:t>Forum Geografi</w:t>
      </w:r>
      <w:r w:rsidRPr="008B1280">
        <w:rPr>
          <w:rFonts w:ascii="Arial" w:hAnsi="Arial" w:cs="Arial"/>
          <w:color w:val="000000" w:themeColor="text1"/>
          <w:sz w:val="20"/>
          <w:szCs w:val="20"/>
        </w:rPr>
        <w:t xml:space="preserve">, 36 </w:t>
      </w:r>
    </w:p>
    <w:p w14:paraId="02D81887" w14:textId="77777777" w:rsidR="0084231B" w:rsidRPr="008B1280" w:rsidRDefault="0084231B" w:rsidP="0084231B">
      <w:pPr>
        <w:spacing w:after="0" w:line="240" w:lineRule="auto"/>
        <w:ind w:right="-31"/>
        <w:jc w:val="both"/>
        <w:rPr>
          <w:rFonts w:ascii="Arial" w:hAnsi="Arial" w:cs="Arial"/>
          <w:color w:val="000000" w:themeColor="text1"/>
          <w:sz w:val="20"/>
          <w:szCs w:val="20"/>
        </w:rPr>
      </w:pPr>
    </w:p>
    <w:p w14:paraId="3731A060"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color w:val="000000" w:themeColor="text1"/>
          <w:sz w:val="20"/>
          <w:szCs w:val="20"/>
        </w:rPr>
        <w:t>Jimoh, U. U and F Balogun (2022) Environmental Challenges against Health Care Utilisation in a</w:t>
      </w:r>
    </w:p>
    <w:p w14:paraId="05E25899"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color w:val="000000" w:themeColor="text1"/>
          <w:sz w:val="20"/>
          <w:szCs w:val="20"/>
        </w:rPr>
        <w:t xml:space="preserve">            Marginalised Communities of Sagamu Local Government Area, Ogun State, Nigeria.</w:t>
      </w:r>
    </w:p>
    <w:p w14:paraId="576DA844"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color w:val="000000" w:themeColor="text1"/>
          <w:sz w:val="20"/>
          <w:szCs w:val="20"/>
        </w:rPr>
        <w:t xml:space="preserve">            </w:t>
      </w:r>
      <w:r w:rsidRPr="008B1280">
        <w:rPr>
          <w:rFonts w:ascii="Arial" w:hAnsi="Arial" w:cs="Arial"/>
          <w:i/>
          <w:color w:val="000000" w:themeColor="text1"/>
          <w:sz w:val="20"/>
          <w:szCs w:val="20"/>
        </w:rPr>
        <w:t>African Ethnography</w:t>
      </w:r>
      <w:r w:rsidRPr="008B1280">
        <w:rPr>
          <w:rFonts w:ascii="Arial" w:hAnsi="Arial" w:cs="Arial"/>
          <w:color w:val="000000" w:themeColor="text1"/>
          <w:sz w:val="20"/>
          <w:szCs w:val="20"/>
        </w:rPr>
        <w:t xml:space="preserve">, Vol (4)20 -37 </w:t>
      </w:r>
    </w:p>
    <w:p w14:paraId="24DD2BDF" w14:textId="77777777" w:rsidR="0084231B" w:rsidRPr="008B1280" w:rsidRDefault="0084231B" w:rsidP="0084231B">
      <w:pPr>
        <w:spacing w:after="0" w:line="240" w:lineRule="auto"/>
        <w:ind w:right="-31"/>
        <w:jc w:val="both"/>
        <w:rPr>
          <w:rFonts w:ascii="Arial" w:hAnsi="Arial" w:cs="Arial"/>
          <w:color w:val="000000" w:themeColor="text1"/>
          <w:sz w:val="20"/>
          <w:szCs w:val="20"/>
        </w:rPr>
      </w:pPr>
    </w:p>
    <w:p w14:paraId="53E8C474" w14:textId="77777777" w:rsidR="0084231B" w:rsidRPr="008B1280" w:rsidRDefault="0084231B" w:rsidP="0084231B">
      <w:pPr>
        <w:spacing w:after="0" w:line="240" w:lineRule="auto"/>
        <w:jc w:val="both"/>
        <w:rPr>
          <w:rFonts w:ascii="Arial" w:hAnsi="Arial" w:cs="Arial"/>
          <w:color w:val="000000" w:themeColor="text1"/>
          <w:sz w:val="20"/>
          <w:szCs w:val="20"/>
        </w:rPr>
      </w:pPr>
      <w:r w:rsidRPr="008B1280">
        <w:rPr>
          <w:rFonts w:ascii="Arial" w:hAnsi="Arial" w:cs="Arial"/>
          <w:color w:val="000000" w:themeColor="text1"/>
          <w:sz w:val="20"/>
          <w:szCs w:val="20"/>
        </w:rPr>
        <w:t>Jimoh, U.U.  (2018). Effects of PZ Chemical Waste on Water Quality and</w:t>
      </w:r>
    </w:p>
    <w:p w14:paraId="23C58A0F" w14:textId="77777777" w:rsidR="0084231B" w:rsidRPr="008B1280" w:rsidRDefault="0084231B" w:rsidP="0084231B">
      <w:pPr>
        <w:spacing w:after="0" w:line="240" w:lineRule="auto"/>
        <w:jc w:val="both"/>
        <w:rPr>
          <w:rFonts w:ascii="Arial" w:hAnsi="Arial" w:cs="Arial"/>
          <w:color w:val="000000" w:themeColor="text1"/>
          <w:sz w:val="20"/>
          <w:szCs w:val="20"/>
        </w:rPr>
      </w:pPr>
      <w:r w:rsidRPr="008B1280">
        <w:rPr>
          <w:rFonts w:ascii="Arial" w:hAnsi="Arial" w:cs="Arial"/>
          <w:color w:val="000000" w:themeColor="text1"/>
          <w:sz w:val="20"/>
          <w:szCs w:val="20"/>
        </w:rPr>
        <w:t xml:space="preserve">               Household Health Chall0enges in Odogunyan Community, Ikorodu Lagos</w:t>
      </w:r>
    </w:p>
    <w:p w14:paraId="6C4E14D9" w14:textId="77777777" w:rsidR="0084231B" w:rsidRPr="008B1280" w:rsidRDefault="0084231B" w:rsidP="0084231B">
      <w:pPr>
        <w:spacing w:after="0" w:line="240" w:lineRule="auto"/>
        <w:jc w:val="both"/>
        <w:rPr>
          <w:rFonts w:ascii="Arial" w:hAnsi="Arial" w:cs="Arial"/>
          <w:color w:val="000000" w:themeColor="text1"/>
          <w:sz w:val="20"/>
          <w:szCs w:val="20"/>
        </w:rPr>
      </w:pPr>
      <w:r w:rsidRPr="008B1280">
        <w:rPr>
          <w:rFonts w:ascii="Arial" w:hAnsi="Arial" w:cs="Arial"/>
          <w:color w:val="000000" w:themeColor="text1"/>
          <w:sz w:val="20"/>
          <w:szCs w:val="20"/>
        </w:rPr>
        <w:t xml:space="preserve">               State, Nigeria, </w:t>
      </w:r>
      <w:r w:rsidRPr="008B1280">
        <w:rPr>
          <w:rFonts w:ascii="Arial" w:hAnsi="Arial" w:cs="Arial"/>
          <w:i/>
          <w:color w:val="000000" w:themeColor="text1"/>
          <w:sz w:val="20"/>
          <w:szCs w:val="20"/>
        </w:rPr>
        <w:t>Ethiopian Journal of Environmental Studies and Management</w:t>
      </w:r>
      <w:r w:rsidRPr="008B1280">
        <w:rPr>
          <w:rFonts w:ascii="Arial" w:hAnsi="Arial" w:cs="Arial"/>
          <w:color w:val="000000" w:themeColor="text1"/>
          <w:sz w:val="20"/>
          <w:szCs w:val="20"/>
        </w:rPr>
        <w:t xml:space="preserve"> </w:t>
      </w:r>
    </w:p>
    <w:p w14:paraId="0A82B9E7"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color w:val="000000" w:themeColor="text1"/>
          <w:sz w:val="20"/>
          <w:szCs w:val="20"/>
        </w:rPr>
        <w:t xml:space="preserve">               Vol 11.No 6. 654 – 665.</w:t>
      </w:r>
    </w:p>
    <w:p w14:paraId="54228A24" w14:textId="77777777" w:rsidR="0084231B" w:rsidRPr="008B1280" w:rsidRDefault="0084231B" w:rsidP="0084231B">
      <w:pPr>
        <w:spacing w:after="0" w:line="240" w:lineRule="auto"/>
        <w:ind w:right="-31"/>
        <w:jc w:val="both"/>
        <w:rPr>
          <w:rFonts w:ascii="Arial" w:hAnsi="Arial" w:cs="Arial"/>
          <w:color w:val="000000" w:themeColor="text1"/>
          <w:sz w:val="20"/>
          <w:szCs w:val="20"/>
        </w:rPr>
      </w:pPr>
    </w:p>
    <w:p w14:paraId="4C1A5BE6" w14:textId="77777777" w:rsidR="0084231B" w:rsidRPr="008B1280" w:rsidRDefault="0084231B" w:rsidP="0084231B">
      <w:pPr>
        <w:spacing w:after="0" w:line="240" w:lineRule="auto"/>
        <w:jc w:val="both"/>
        <w:rPr>
          <w:rFonts w:ascii="Arial" w:hAnsi="Arial" w:cs="Arial"/>
          <w:color w:val="000000" w:themeColor="text1"/>
          <w:sz w:val="20"/>
          <w:szCs w:val="20"/>
        </w:rPr>
      </w:pPr>
      <w:r w:rsidRPr="008B1280">
        <w:rPr>
          <w:rFonts w:ascii="Arial" w:hAnsi="Arial" w:cs="Arial"/>
          <w:color w:val="000000" w:themeColor="text1"/>
          <w:sz w:val="20"/>
          <w:szCs w:val="20"/>
        </w:rPr>
        <w:lastRenderedPageBreak/>
        <w:t>Jimoh, U.U.</w:t>
      </w:r>
      <w:r w:rsidRPr="008B1280">
        <w:rPr>
          <w:rFonts w:ascii="Arial" w:hAnsi="Arial" w:cs="Arial"/>
          <w:b/>
          <w:color w:val="000000" w:themeColor="text1"/>
          <w:sz w:val="20"/>
          <w:szCs w:val="20"/>
        </w:rPr>
        <w:t xml:space="preserve"> </w:t>
      </w:r>
      <w:r w:rsidRPr="008B1280">
        <w:rPr>
          <w:rFonts w:ascii="Arial" w:hAnsi="Arial" w:cs="Arial"/>
          <w:color w:val="000000" w:themeColor="text1"/>
          <w:sz w:val="20"/>
          <w:szCs w:val="20"/>
        </w:rPr>
        <w:t>(2021) Physical Planning Standard of Health Care Facilities in The Rural</w:t>
      </w:r>
    </w:p>
    <w:p w14:paraId="2A4451B6" w14:textId="77777777" w:rsidR="0084231B" w:rsidRPr="008B1280" w:rsidRDefault="0084231B" w:rsidP="0084231B">
      <w:pPr>
        <w:spacing w:after="0" w:line="240" w:lineRule="auto"/>
        <w:jc w:val="both"/>
        <w:rPr>
          <w:rFonts w:ascii="Arial" w:hAnsi="Arial" w:cs="Arial"/>
          <w:color w:val="000000" w:themeColor="text1"/>
          <w:sz w:val="20"/>
          <w:szCs w:val="20"/>
        </w:rPr>
      </w:pPr>
      <w:r w:rsidRPr="008B1280">
        <w:rPr>
          <w:rFonts w:ascii="Arial" w:hAnsi="Arial" w:cs="Arial"/>
          <w:color w:val="000000" w:themeColor="text1"/>
          <w:sz w:val="20"/>
          <w:szCs w:val="20"/>
        </w:rPr>
        <w:t xml:space="preserve">                Communities of Ondo State, </w:t>
      </w:r>
      <w:r w:rsidRPr="008B1280">
        <w:rPr>
          <w:rFonts w:ascii="Arial" w:hAnsi="Arial" w:cs="Arial"/>
          <w:i/>
          <w:color w:val="000000" w:themeColor="text1"/>
          <w:sz w:val="20"/>
          <w:szCs w:val="20"/>
        </w:rPr>
        <w:t>Development in practice</w:t>
      </w:r>
      <w:r w:rsidRPr="008B1280">
        <w:rPr>
          <w:rFonts w:ascii="Arial" w:hAnsi="Arial" w:cs="Arial"/>
          <w:color w:val="000000" w:themeColor="text1"/>
          <w:sz w:val="20"/>
          <w:szCs w:val="20"/>
        </w:rPr>
        <w:t>, Taylor and Francis, Vol. No. 6</w:t>
      </w:r>
    </w:p>
    <w:p w14:paraId="19FF6DB7"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color w:val="000000" w:themeColor="text1"/>
          <w:sz w:val="20"/>
          <w:szCs w:val="20"/>
        </w:rPr>
        <w:t xml:space="preserve">                717-725</w:t>
      </w:r>
    </w:p>
    <w:p w14:paraId="7720BA9A" w14:textId="77777777" w:rsidR="0084231B" w:rsidRPr="008B1280" w:rsidRDefault="0084231B" w:rsidP="0084231B">
      <w:pPr>
        <w:spacing w:after="0" w:line="240" w:lineRule="auto"/>
        <w:jc w:val="both"/>
        <w:rPr>
          <w:rFonts w:ascii="Arial" w:hAnsi="Arial" w:cs="Arial"/>
          <w:color w:val="000000" w:themeColor="text1"/>
          <w:sz w:val="20"/>
          <w:szCs w:val="20"/>
        </w:rPr>
      </w:pPr>
      <w:r w:rsidRPr="008B1280">
        <w:rPr>
          <w:rFonts w:ascii="Arial" w:hAnsi="Arial" w:cs="Arial"/>
          <w:color w:val="000000" w:themeColor="text1"/>
          <w:sz w:val="20"/>
          <w:szCs w:val="20"/>
        </w:rPr>
        <w:t>Jimoh,U.U and Famewo. A (2022) Occupational health risks of informal e</w:t>
      </w:r>
      <w:r w:rsidRPr="008B1280">
        <w:rPr>
          <w:rFonts w:ascii="Cambria Math" w:hAnsi="Cambria Math" w:cs="Cambria Math"/>
          <w:color w:val="000000" w:themeColor="text1"/>
          <w:sz w:val="20"/>
          <w:szCs w:val="20"/>
        </w:rPr>
        <w:t>‑</w:t>
      </w:r>
      <w:r w:rsidRPr="008B1280">
        <w:rPr>
          <w:rFonts w:ascii="Arial" w:hAnsi="Arial" w:cs="Arial"/>
          <w:color w:val="000000" w:themeColor="text1"/>
          <w:sz w:val="20"/>
          <w:szCs w:val="20"/>
        </w:rPr>
        <w:t xml:space="preserve">waste </w:t>
      </w:r>
    </w:p>
    <w:p w14:paraId="3DA39DD5" w14:textId="77777777" w:rsidR="0084231B" w:rsidRPr="008B1280" w:rsidRDefault="0084231B" w:rsidP="0084231B">
      <w:pPr>
        <w:spacing w:after="0" w:line="240" w:lineRule="auto"/>
        <w:jc w:val="both"/>
        <w:rPr>
          <w:rFonts w:ascii="Arial" w:hAnsi="Arial" w:cs="Arial"/>
          <w:i/>
          <w:color w:val="000000" w:themeColor="text1"/>
          <w:sz w:val="20"/>
          <w:szCs w:val="20"/>
        </w:rPr>
      </w:pPr>
      <w:r w:rsidRPr="008B1280">
        <w:rPr>
          <w:rFonts w:ascii="Arial" w:hAnsi="Arial" w:cs="Arial"/>
          <w:color w:val="000000" w:themeColor="text1"/>
          <w:sz w:val="20"/>
          <w:szCs w:val="20"/>
        </w:rPr>
        <w:t xml:space="preserve">                Activities on major landfills and e</w:t>
      </w:r>
      <w:r w:rsidRPr="008B1280">
        <w:rPr>
          <w:rFonts w:ascii="Cambria Math" w:hAnsi="Cambria Math" w:cs="Cambria Math"/>
          <w:color w:val="000000" w:themeColor="text1"/>
          <w:sz w:val="20"/>
          <w:szCs w:val="20"/>
        </w:rPr>
        <w:t>‑</w:t>
      </w:r>
      <w:r w:rsidRPr="008B1280">
        <w:rPr>
          <w:rFonts w:ascii="Arial" w:hAnsi="Arial" w:cs="Arial"/>
          <w:color w:val="000000" w:themeColor="text1"/>
          <w:sz w:val="20"/>
          <w:szCs w:val="20"/>
        </w:rPr>
        <w:t xml:space="preserve">village in Lagos State, Nigeria. </w:t>
      </w:r>
      <w:r w:rsidRPr="008B1280">
        <w:rPr>
          <w:rFonts w:ascii="Arial" w:hAnsi="Arial" w:cs="Arial"/>
          <w:i/>
          <w:color w:val="000000" w:themeColor="text1"/>
          <w:sz w:val="20"/>
          <w:szCs w:val="20"/>
        </w:rPr>
        <w:t xml:space="preserve">Journal of </w:t>
      </w:r>
    </w:p>
    <w:p w14:paraId="48EABFD5"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i/>
          <w:color w:val="000000" w:themeColor="text1"/>
          <w:sz w:val="20"/>
          <w:szCs w:val="20"/>
        </w:rPr>
        <w:t xml:space="preserve">                Public Health Policy,</w:t>
      </w:r>
      <w:r w:rsidRPr="008B1280">
        <w:rPr>
          <w:rFonts w:ascii="Arial" w:hAnsi="Arial" w:cs="Arial"/>
          <w:color w:val="000000" w:themeColor="text1"/>
          <w:sz w:val="20"/>
          <w:szCs w:val="20"/>
        </w:rPr>
        <w:t xml:space="preserve"> Vol. 43. No.3 335-346</w:t>
      </w:r>
    </w:p>
    <w:p w14:paraId="70CE24D8" w14:textId="77777777" w:rsidR="0084231B" w:rsidRPr="008B1280" w:rsidRDefault="0084231B" w:rsidP="0084231B">
      <w:pPr>
        <w:spacing w:after="0" w:line="240" w:lineRule="auto"/>
        <w:ind w:right="-31"/>
        <w:jc w:val="both"/>
        <w:rPr>
          <w:rFonts w:ascii="Arial" w:hAnsi="Arial" w:cs="Arial"/>
          <w:color w:val="000000" w:themeColor="text1"/>
          <w:sz w:val="20"/>
          <w:szCs w:val="20"/>
        </w:rPr>
      </w:pPr>
    </w:p>
    <w:p w14:paraId="2F6863D6"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color w:val="000000" w:themeColor="text1"/>
          <w:sz w:val="20"/>
          <w:szCs w:val="20"/>
        </w:rPr>
        <w:t>Jimoh,U.U and Famewo. A (2023) Involvement of Teenagers in E Waste Activities On the Major</w:t>
      </w:r>
    </w:p>
    <w:p w14:paraId="52CADBD6"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color w:val="000000" w:themeColor="text1"/>
          <w:sz w:val="20"/>
          <w:szCs w:val="20"/>
        </w:rPr>
        <w:t xml:space="preserve">                Landfills in Lagos, </w:t>
      </w:r>
      <w:r w:rsidRPr="008B1280">
        <w:rPr>
          <w:rFonts w:ascii="Arial" w:hAnsi="Arial" w:cs="Arial"/>
          <w:i/>
          <w:color w:val="000000" w:themeColor="text1"/>
          <w:sz w:val="20"/>
          <w:szCs w:val="20"/>
        </w:rPr>
        <w:t>African Journal of Biomedical Research</w:t>
      </w:r>
      <w:r w:rsidRPr="008B1280">
        <w:rPr>
          <w:rFonts w:ascii="Arial" w:hAnsi="Arial" w:cs="Arial"/>
          <w:color w:val="000000" w:themeColor="text1"/>
          <w:sz w:val="20"/>
          <w:szCs w:val="20"/>
        </w:rPr>
        <w:t xml:space="preserve"> 25 (1) 73-81</w:t>
      </w:r>
    </w:p>
    <w:p w14:paraId="4B608B71" w14:textId="77777777" w:rsidR="0084231B" w:rsidRPr="008B1280" w:rsidRDefault="0084231B" w:rsidP="0084231B">
      <w:pPr>
        <w:spacing w:after="0" w:line="240" w:lineRule="auto"/>
        <w:ind w:right="-31"/>
        <w:jc w:val="both"/>
        <w:rPr>
          <w:rFonts w:ascii="Arial" w:hAnsi="Arial" w:cs="Arial"/>
          <w:color w:val="000000" w:themeColor="text1"/>
          <w:sz w:val="20"/>
          <w:szCs w:val="20"/>
        </w:rPr>
      </w:pPr>
    </w:p>
    <w:p w14:paraId="51D23AB4" w14:textId="77777777" w:rsidR="0084231B" w:rsidRPr="008B1280" w:rsidRDefault="0084231B" w:rsidP="0084231B">
      <w:pPr>
        <w:spacing w:after="0" w:line="240" w:lineRule="auto"/>
        <w:ind w:right="-31"/>
        <w:jc w:val="both"/>
        <w:rPr>
          <w:rFonts w:ascii="Arial" w:hAnsi="Arial" w:cs="Arial"/>
          <w:color w:val="000000" w:themeColor="text1"/>
          <w:sz w:val="20"/>
          <w:szCs w:val="20"/>
        </w:rPr>
      </w:pPr>
      <w:r w:rsidRPr="008B1280">
        <w:rPr>
          <w:rFonts w:ascii="Arial" w:hAnsi="Arial" w:cs="Arial"/>
          <w:color w:val="000000" w:themeColor="text1"/>
          <w:sz w:val="20"/>
          <w:szCs w:val="20"/>
        </w:rPr>
        <w:t>Jimoh,U.U and Famewo. A (2022) Inequality of Public Health and Effects of Health Care</w:t>
      </w:r>
    </w:p>
    <w:p w14:paraId="0922DE44" w14:textId="77777777" w:rsidR="0084231B" w:rsidRPr="008B1280" w:rsidRDefault="0084231B" w:rsidP="0084231B">
      <w:pPr>
        <w:spacing w:after="0" w:line="240" w:lineRule="auto"/>
        <w:ind w:right="-31"/>
        <w:jc w:val="both"/>
        <w:rPr>
          <w:rFonts w:ascii="Arial" w:hAnsi="Arial" w:cs="Arial"/>
          <w:i/>
          <w:color w:val="000000" w:themeColor="text1"/>
          <w:sz w:val="20"/>
          <w:szCs w:val="20"/>
        </w:rPr>
      </w:pPr>
      <w:r w:rsidRPr="008B1280">
        <w:rPr>
          <w:rFonts w:ascii="Arial" w:hAnsi="Arial" w:cs="Arial"/>
          <w:color w:val="000000" w:themeColor="text1"/>
          <w:sz w:val="20"/>
          <w:szCs w:val="20"/>
        </w:rPr>
        <w:t xml:space="preserve">                Accessibility on Patient Referral System in Ondo State, </w:t>
      </w:r>
      <w:r w:rsidRPr="008B1280">
        <w:rPr>
          <w:rFonts w:ascii="Arial" w:hAnsi="Arial" w:cs="Arial"/>
          <w:i/>
          <w:color w:val="000000" w:themeColor="text1"/>
          <w:sz w:val="20"/>
          <w:szCs w:val="20"/>
        </w:rPr>
        <w:t xml:space="preserve">Caleabevi Scientific Research </w:t>
      </w:r>
    </w:p>
    <w:p w14:paraId="5BC2E163" w14:textId="746C654A" w:rsidR="0084231B" w:rsidRPr="008B1280" w:rsidRDefault="0084231B" w:rsidP="004C4CD6">
      <w:pPr>
        <w:spacing w:after="0" w:line="240" w:lineRule="auto"/>
        <w:ind w:right="-31"/>
        <w:jc w:val="both"/>
        <w:rPr>
          <w:rFonts w:ascii="Arial" w:hAnsi="Arial" w:cs="Arial"/>
          <w:color w:val="000000" w:themeColor="text1"/>
          <w:sz w:val="20"/>
          <w:szCs w:val="20"/>
        </w:rPr>
      </w:pPr>
      <w:r w:rsidRPr="008B1280">
        <w:rPr>
          <w:rFonts w:ascii="Arial" w:hAnsi="Arial" w:cs="Arial"/>
          <w:i/>
          <w:color w:val="000000" w:themeColor="text1"/>
          <w:sz w:val="20"/>
          <w:szCs w:val="20"/>
        </w:rPr>
        <w:t xml:space="preserve">                Journal, </w:t>
      </w:r>
      <w:r w:rsidRPr="008B1280">
        <w:rPr>
          <w:rFonts w:ascii="Arial" w:hAnsi="Arial" w:cs="Arial"/>
          <w:color w:val="000000" w:themeColor="text1"/>
          <w:sz w:val="20"/>
          <w:szCs w:val="20"/>
        </w:rPr>
        <w:t>Vol 2 (1) 16-25</w:t>
      </w:r>
    </w:p>
    <w:p w14:paraId="7D76AC82" w14:textId="77777777" w:rsidR="004C4CD6" w:rsidRPr="008B1280" w:rsidRDefault="004C4CD6" w:rsidP="004C4CD6">
      <w:pPr>
        <w:spacing w:after="0" w:line="240" w:lineRule="auto"/>
        <w:ind w:right="-31"/>
        <w:jc w:val="both"/>
        <w:rPr>
          <w:rFonts w:ascii="Arial" w:hAnsi="Arial" w:cs="Arial"/>
          <w:color w:val="000000" w:themeColor="text1"/>
          <w:sz w:val="20"/>
          <w:szCs w:val="20"/>
        </w:rPr>
      </w:pPr>
    </w:p>
    <w:p w14:paraId="51E0D674"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 xml:space="preserve">Jubril, I. (2009, May 3-8). Squatter resettlement/relocation programme in Abuja, Nigeria and the issue of land title Security. </w:t>
      </w:r>
      <w:r w:rsidRPr="008B1280">
        <w:rPr>
          <w:rFonts w:ascii="Arial" w:hAnsi="Arial" w:cs="Arial"/>
          <w:i/>
          <w:iCs/>
          <w:noProof/>
          <w:color w:val="000000" w:themeColor="text1"/>
          <w:sz w:val="20"/>
          <w:szCs w:val="20"/>
        </w:rPr>
        <w:t xml:space="preserve">FIG Conference paper </w:t>
      </w:r>
      <w:r w:rsidRPr="008B1280">
        <w:rPr>
          <w:rFonts w:ascii="Arial" w:hAnsi="Arial" w:cs="Arial"/>
          <w:noProof/>
          <w:color w:val="000000" w:themeColor="text1"/>
          <w:sz w:val="20"/>
          <w:szCs w:val="20"/>
        </w:rPr>
        <w:t>.</w:t>
      </w:r>
    </w:p>
    <w:p w14:paraId="399003F2"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 xml:space="preserve">Marshall, D., Grant, F., Freeman, A., &amp; Whitehead, C. (2000). Getting Rents Right? The Place of Affordability in the Rent Setting Process: A Summary Report. </w:t>
      </w:r>
      <w:r w:rsidRPr="008B1280">
        <w:rPr>
          <w:rFonts w:ascii="Arial" w:hAnsi="Arial" w:cs="Arial"/>
          <w:i/>
          <w:iCs/>
          <w:noProof/>
          <w:color w:val="000000" w:themeColor="text1"/>
          <w:sz w:val="20"/>
          <w:szCs w:val="20"/>
        </w:rPr>
        <w:t>Cambridge Housing and Planning Research, University of Cambridge.</w:t>
      </w:r>
      <w:r w:rsidRPr="008B1280">
        <w:rPr>
          <w:rFonts w:ascii="Arial" w:hAnsi="Arial" w:cs="Arial"/>
          <w:noProof/>
          <w:color w:val="000000" w:themeColor="text1"/>
          <w:sz w:val="20"/>
          <w:szCs w:val="20"/>
        </w:rPr>
        <w:t xml:space="preserve"> </w:t>
      </w:r>
    </w:p>
    <w:p w14:paraId="07482569" w14:textId="7A2EE74D" w:rsidR="00D26672" w:rsidRPr="008B1280" w:rsidRDefault="00F52B8F" w:rsidP="004C4CD6">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 xml:space="preserve">Milligan, V. (2004). A practical framework for expanding affordable housing services in Australia learning from experience. </w:t>
      </w:r>
      <w:r w:rsidRPr="008B1280">
        <w:rPr>
          <w:rFonts w:ascii="Arial" w:hAnsi="Arial" w:cs="Arial"/>
          <w:i/>
          <w:iCs/>
          <w:noProof/>
          <w:color w:val="000000" w:themeColor="text1"/>
          <w:sz w:val="20"/>
          <w:szCs w:val="20"/>
        </w:rPr>
        <w:t>Australian Housing and Urban Research Institute.</w:t>
      </w:r>
      <w:r w:rsidRPr="008B1280">
        <w:rPr>
          <w:rFonts w:ascii="Arial" w:hAnsi="Arial" w:cs="Arial"/>
          <w:noProof/>
          <w:color w:val="000000" w:themeColor="text1"/>
          <w:sz w:val="20"/>
          <w:szCs w:val="20"/>
        </w:rPr>
        <w:t xml:space="preserve"> </w:t>
      </w:r>
    </w:p>
    <w:p w14:paraId="75CFE078"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 xml:space="preserve">Ndubueze, O. J. (2009). Urban Housing Affordability and Housing Policy Dilemmas in Nigeria. </w:t>
      </w:r>
      <w:r w:rsidRPr="008B1280">
        <w:rPr>
          <w:rFonts w:ascii="Arial" w:hAnsi="Arial" w:cs="Arial"/>
          <w:i/>
          <w:iCs/>
          <w:noProof/>
          <w:color w:val="000000" w:themeColor="text1"/>
          <w:sz w:val="20"/>
          <w:szCs w:val="20"/>
        </w:rPr>
        <w:t>Unpublished PhD thesis, University of Birmingham</w:t>
      </w:r>
      <w:r w:rsidRPr="008B1280">
        <w:rPr>
          <w:rFonts w:ascii="Arial" w:hAnsi="Arial" w:cs="Arial"/>
          <w:noProof/>
          <w:color w:val="000000" w:themeColor="text1"/>
          <w:sz w:val="20"/>
          <w:szCs w:val="20"/>
        </w:rPr>
        <w:t>. Retrieved December 30, 2009, from http://ethesis.bham.ac.uk.</w:t>
      </w:r>
    </w:p>
    <w:p w14:paraId="42E345B1"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 xml:space="preserve">Nubi, O. T. (2008). Affordable Housing Delivery in Nigeria. </w:t>
      </w:r>
      <w:r w:rsidRPr="008B1280">
        <w:rPr>
          <w:rFonts w:ascii="Arial" w:hAnsi="Arial" w:cs="Arial"/>
          <w:i/>
          <w:iCs/>
          <w:noProof/>
          <w:color w:val="000000" w:themeColor="text1"/>
          <w:sz w:val="20"/>
          <w:szCs w:val="20"/>
        </w:rPr>
        <w:t>The South African Foundation International Conference and Exhibition</w:t>
      </w:r>
      <w:r w:rsidRPr="008B1280">
        <w:rPr>
          <w:rFonts w:ascii="Arial" w:hAnsi="Arial" w:cs="Arial"/>
          <w:noProof/>
          <w:color w:val="000000" w:themeColor="text1"/>
          <w:sz w:val="20"/>
          <w:szCs w:val="20"/>
        </w:rPr>
        <w:t>, (pp. 1-18). Cape Town.</w:t>
      </w:r>
    </w:p>
    <w:p w14:paraId="23F578EF"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Okonkwo, O. ( 1999). Mortgage Finance in Nigeria</w:t>
      </w:r>
    </w:p>
    <w:p w14:paraId="1B2D364D"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 xml:space="preserve">Olayiwola, L. M. (2005). Public housing delivery in Nigeria: Problems and challenges. </w:t>
      </w:r>
      <w:r w:rsidRPr="008B1280">
        <w:rPr>
          <w:rFonts w:ascii="Arial" w:hAnsi="Arial" w:cs="Arial"/>
          <w:i/>
          <w:iCs/>
          <w:noProof/>
          <w:color w:val="000000" w:themeColor="text1"/>
          <w:sz w:val="20"/>
          <w:szCs w:val="20"/>
        </w:rPr>
        <w:t>A paper presented at the ‘World congress on housing transforming housing environments through the design’</w:t>
      </w:r>
      <w:r w:rsidRPr="008B1280">
        <w:rPr>
          <w:rFonts w:ascii="Arial" w:hAnsi="Arial" w:cs="Arial"/>
          <w:noProof/>
          <w:color w:val="000000" w:themeColor="text1"/>
          <w:sz w:val="20"/>
          <w:szCs w:val="20"/>
        </w:rPr>
        <w:t>.</w:t>
      </w:r>
    </w:p>
    <w:p w14:paraId="3088FAC5"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 xml:space="preserve">Quigley, J. M., &amp; Raphael, S. (2004, February). Is Housing Unaffordable? Why Isn't It More Affordable? </w:t>
      </w:r>
      <w:r w:rsidRPr="008B1280">
        <w:rPr>
          <w:rFonts w:ascii="Arial" w:hAnsi="Arial" w:cs="Arial"/>
          <w:i/>
          <w:iCs/>
          <w:noProof/>
          <w:color w:val="000000" w:themeColor="text1"/>
          <w:sz w:val="20"/>
          <w:szCs w:val="20"/>
        </w:rPr>
        <w:t>Journal of Economic Perspectives</w:t>
      </w:r>
      <w:r w:rsidRPr="008B1280">
        <w:rPr>
          <w:rFonts w:ascii="Arial" w:hAnsi="Arial" w:cs="Arial"/>
          <w:noProof/>
          <w:color w:val="000000" w:themeColor="text1"/>
          <w:sz w:val="20"/>
          <w:szCs w:val="20"/>
        </w:rPr>
        <w:t>, 191-214.</w:t>
      </w:r>
    </w:p>
    <w:p w14:paraId="12092665"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 xml:space="preserve">Robinson, M., Scobie, G. M., &amp; Hallinan, B. (2006). Affordability of Housing: Concepts , Measurement and Evidence . </w:t>
      </w:r>
      <w:r w:rsidRPr="008B1280">
        <w:rPr>
          <w:rFonts w:ascii="Arial" w:hAnsi="Arial" w:cs="Arial"/>
          <w:i/>
          <w:iCs/>
          <w:noProof/>
          <w:color w:val="000000" w:themeColor="text1"/>
          <w:sz w:val="20"/>
          <w:szCs w:val="20"/>
        </w:rPr>
        <w:t>New Zealand Treasury Working Paper 06/03. Wellington: New Zealand Treasury.</w:t>
      </w:r>
      <w:r w:rsidRPr="008B1280">
        <w:rPr>
          <w:rFonts w:ascii="Arial" w:hAnsi="Arial" w:cs="Arial"/>
          <w:noProof/>
          <w:color w:val="000000" w:themeColor="text1"/>
          <w:sz w:val="20"/>
          <w:szCs w:val="20"/>
        </w:rPr>
        <w:t xml:space="preserve"> </w:t>
      </w:r>
    </w:p>
    <w:p w14:paraId="0412A778"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Sule, &amp; Van Kempen, R. (2001). Housing Careers of Minority Ethnic Groups: Experiences, Explanations and Prospects. 365-379.</w:t>
      </w:r>
    </w:p>
    <w:p w14:paraId="5AAF519A"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Swartz, R., &amp; Miller, B. (2002). Welfare reform and housing. Retrieved from https://www.brookings.edu/wp-content/uploads/2016/06/pb16.pdf</w:t>
      </w:r>
    </w:p>
    <w:p w14:paraId="12DA64D4" w14:textId="77777777" w:rsidR="00D26672" w:rsidRPr="008B1280" w:rsidRDefault="00F52B8F">
      <w:pPr>
        <w:pStyle w:val="Bibliography"/>
        <w:ind w:left="720" w:hanging="720"/>
        <w:rPr>
          <w:rFonts w:ascii="Arial" w:hAnsi="Arial" w:cs="Arial"/>
          <w:noProof/>
          <w:color w:val="000000" w:themeColor="text1"/>
          <w:sz w:val="20"/>
          <w:szCs w:val="20"/>
        </w:rPr>
      </w:pPr>
      <w:r w:rsidRPr="008B1280">
        <w:rPr>
          <w:rFonts w:ascii="Arial" w:hAnsi="Arial" w:cs="Arial"/>
          <w:noProof/>
          <w:color w:val="000000" w:themeColor="text1"/>
          <w:sz w:val="20"/>
          <w:szCs w:val="20"/>
        </w:rPr>
        <w:t xml:space="preserve">Whitehead, C. M. (1991). "From need to affordability: An analysis of UK housing objectives". </w:t>
      </w:r>
      <w:r w:rsidRPr="008B1280">
        <w:rPr>
          <w:rFonts w:ascii="Arial" w:hAnsi="Arial" w:cs="Arial"/>
          <w:i/>
          <w:iCs/>
          <w:noProof/>
          <w:color w:val="000000" w:themeColor="text1"/>
          <w:sz w:val="20"/>
          <w:szCs w:val="20"/>
        </w:rPr>
        <w:t>Urban Studies</w:t>
      </w:r>
      <w:r w:rsidRPr="008B1280">
        <w:rPr>
          <w:rFonts w:ascii="Arial" w:hAnsi="Arial" w:cs="Arial"/>
          <w:noProof/>
          <w:color w:val="000000" w:themeColor="text1"/>
          <w:sz w:val="20"/>
          <w:szCs w:val="20"/>
        </w:rPr>
        <w:t>, 871-877.</w:t>
      </w:r>
    </w:p>
    <w:p w14:paraId="5F5AD15C" w14:textId="77777777" w:rsidR="00D26672" w:rsidRPr="008B1280" w:rsidRDefault="00F52B8F">
      <w:pPr>
        <w:rPr>
          <w:rFonts w:ascii="Arial" w:hAnsi="Arial" w:cs="Arial"/>
          <w:color w:val="000000" w:themeColor="text1"/>
          <w:sz w:val="20"/>
          <w:szCs w:val="20"/>
        </w:rPr>
      </w:pPr>
      <w:r w:rsidRPr="008B1280">
        <w:rPr>
          <w:rFonts w:ascii="Arial" w:hAnsi="Arial" w:cs="Arial"/>
          <w:b/>
          <w:bCs/>
          <w:noProof/>
          <w:color w:val="000000" w:themeColor="text1"/>
          <w:sz w:val="20"/>
          <w:szCs w:val="20"/>
        </w:rPr>
        <w:fldChar w:fldCharType="end"/>
      </w:r>
    </w:p>
    <w:p w14:paraId="3A1EA70A" w14:textId="77777777" w:rsidR="00D26672" w:rsidRPr="008B1280" w:rsidRDefault="00D26672">
      <w:pPr>
        <w:spacing w:line="360" w:lineRule="auto"/>
        <w:jc w:val="both"/>
        <w:rPr>
          <w:rFonts w:ascii="Arial" w:hAnsi="Arial" w:cs="Arial"/>
          <w:color w:val="000000" w:themeColor="text1"/>
          <w:sz w:val="20"/>
          <w:szCs w:val="20"/>
        </w:rPr>
      </w:pPr>
    </w:p>
    <w:p w14:paraId="4AEECFDF" w14:textId="77777777" w:rsidR="0093061B" w:rsidRPr="008B1280" w:rsidRDefault="0093061B">
      <w:pPr>
        <w:spacing w:line="360" w:lineRule="auto"/>
        <w:jc w:val="both"/>
        <w:rPr>
          <w:rFonts w:ascii="Arial" w:hAnsi="Arial" w:cs="Arial"/>
          <w:color w:val="000000" w:themeColor="text1"/>
          <w:sz w:val="20"/>
          <w:szCs w:val="20"/>
        </w:rPr>
      </w:pPr>
    </w:p>
    <w:sectPr w:rsidR="0093061B" w:rsidRPr="008B128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George Otuonuyo" w:date="2025-04-16T06:19:00Z" w:initials="GO">
    <w:p w14:paraId="79763007" w14:textId="7365EE89" w:rsidR="00491DB1" w:rsidRDefault="00491DB1">
      <w:pPr>
        <w:pStyle w:val="CommentText"/>
      </w:pPr>
      <w:r>
        <w:rPr>
          <w:rStyle w:val="CommentReference"/>
        </w:rPr>
        <w:annotationRef/>
      </w:r>
      <w:r>
        <w:t>Insert “- “hyphen between Low and Income then put a comma between State and Nigeria.</w:t>
      </w:r>
      <w:r w:rsidR="00EA7947">
        <w:t xml:space="preserve"> Also </w:t>
      </w:r>
      <w:proofErr w:type="spellStart"/>
      <w:r w:rsidR="00EA7947">
        <w:t>centralise</w:t>
      </w:r>
      <w:proofErr w:type="spellEnd"/>
      <w:r w:rsidR="00EA7947">
        <w:t xml:space="preserve"> or justify the heading</w:t>
      </w:r>
    </w:p>
  </w:comment>
  <w:comment w:id="4" w:author="George Otuonuyo" w:date="2025-04-16T06:23:00Z" w:initials="GO">
    <w:p w14:paraId="2C5D71DC" w14:textId="710E713A" w:rsidR="00491DB1" w:rsidRDefault="00491DB1">
      <w:pPr>
        <w:pStyle w:val="CommentText"/>
      </w:pPr>
      <w:r>
        <w:rPr>
          <w:rStyle w:val="CommentReference"/>
        </w:rPr>
        <w:annotationRef/>
      </w:r>
      <w:r>
        <w:t>Put a comma between State and Nigeria</w:t>
      </w:r>
    </w:p>
  </w:comment>
  <w:comment w:id="5" w:author="George Otuonuyo" w:date="2025-04-16T06:22:00Z" w:initials="GO">
    <w:p w14:paraId="7C3526D6" w14:textId="5193C0EF" w:rsidR="00491DB1" w:rsidRDefault="00491DB1">
      <w:pPr>
        <w:pStyle w:val="CommentText"/>
      </w:pPr>
      <w:r>
        <w:rPr>
          <w:rStyle w:val="CommentReference"/>
        </w:rPr>
        <w:annotationRef/>
      </w:r>
      <w:r>
        <w:t>Insert hyphen in-between the highlighted words</w:t>
      </w:r>
    </w:p>
  </w:comment>
  <w:comment w:id="3" w:author="George Otuonuyo" w:date="2025-04-16T07:35:00Z" w:initials="GO">
    <w:p w14:paraId="26A9FC7F" w14:textId="4221FEDE" w:rsidR="00EA7947" w:rsidRDefault="00EA7947">
      <w:pPr>
        <w:pStyle w:val="CommentText"/>
      </w:pPr>
      <w:r>
        <w:rPr>
          <w:rStyle w:val="CommentReference"/>
        </w:rPr>
        <w:annotationRef/>
      </w:r>
      <w:r>
        <w:t xml:space="preserve">Clearly state </w:t>
      </w:r>
      <w:r w:rsidR="008D5251">
        <w:t>your Aim and Objectives</w:t>
      </w:r>
    </w:p>
  </w:comment>
  <w:comment w:id="6" w:author="George Otuonuyo" w:date="2025-04-16T06:35:00Z" w:initials="GO">
    <w:p w14:paraId="5BFD6D10" w14:textId="581E0167" w:rsidR="00596102" w:rsidRDefault="00596102">
      <w:pPr>
        <w:pStyle w:val="CommentText"/>
      </w:pPr>
      <w:r>
        <w:rPr>
          <w:rStyle w:val="CommentReference"/>
        </w:rPr>
        <w:annotationRef/>
      </w:r>
      <w:r>
        <w:t>Find a more recent citation from Google scholar</w:t>
      </w:r>
      <w:r w:rsidR="0005485E">
        <w:t xml:space="preserve">, </w:t>
      </w:r>
      <w:proofErr w:type="spellStart"/>
      <w:r>
        <w:t>Research</w:t>
      </w:r>
      <w:r w:rsidR="0005485E">
        <w:t>gate</w:t>
      </w:r>
      <w:proofErr w:type="spellEnd"/>
      <w:r w:rsidR="0005485E">
        <w:t xml:space="preserve"> or other sources to add to outdated citations such as this</w:t>
      </w:r>
    </w:p>
  </w:comment>
  <w:comment w:id="7" w:author="George Otuonuyo" w:date="2025-04-16T06:38:00Z" w:initials="GO">
    <w:p w14:paraId="1228AD27" w14:textId="14D57324" w:rsidR="0005485E" w:rsidRDefault="0005485E">
      <w:pPr>
        <w:pStyle w:val="CommentText"/>
      </w:pPr>
      <w:r>
        <w:rPr>
          <w:rStyle w:val="CommentReference"/>
        </w:rPr>
        <w:annotationRef/>
      </w:r>
      <w:r>
        <w:t>Do same as above citation here.</w:t>
      </w:r>
    </w:p>
  </w:comment>
  <w:comment w:id="8" w:author="George Otuonuyo" w:date="2025-04-16T06:40:00Z" w:initials="GO">
    <w:p w14:paraId="5BAEF847" w14:textId="3618D73F" w:rsidR="0005485E" w:rsidRDefault="0005485E">
      <w:pPr>
        <w:pStyle w:val="CommentText"/>
      </w:pPr>
      <w:r>
        <w:rPr>
          <w:rStyle w:val="CommentReference"/>
        </w:rPr>
        <w:annotationRef/>
      </w:r>
      <w:r>
        <w:t>Insert an in-text citation here, that is the author who said the highlighted statements</w:t>
      </w:r>
    </w:p>
  </w:comment>
  <w:comment w:id="9" w:author="George Otuonuyo" w:date="2025-04-16T06:41:00Z" w:initials="GO">
    <w:p w14:paraId="72065EFB" w14:textId="1AA71F46" w:rsidR="0005485E" w:rsidRDefault="0005485E">
      <w:pPr>
        <w:pStyle w:val="CommentText"/>
      </w:pPr>
      <w:r>
        <w:rPr>
          <w:rStyle w:val="CommentReference"/>
        </w:rPr>
        <w:annotationRef/>
      </w:r>
      <w:r>
        <w:t>Insert citation here too.</w:t>
      </w:r>
    </w:p>
  </w:comment>
  <w:comment w:id="10" w:author="George Otuonuyo" w:date="2025-04-16T06:42:00Z" w:initials="GO">
    <w:p w14:paraId="18678837" w14:textId="0F59D20D" w:rsidR="0005485E" w:rsidRDefault="0005485E">
      <w:pPr>
        <w:pStyle w:val="CommentText"/>
      </w:pPr>
      <w:r>
        <w:rPr>
          <w:rStyle w:val="CommentReference"/>
        </w:rPr>
        <w:annotationRef/>
      </w:r>
      <w:r>
        <w:t>Insert hyphen here</w:t>
      </w:r>
    </w:p>
  </w:comment>
  <w:comment w:id="11" w:author="George Otuonuyo" w:date="2025-04-16T06:28:00Z" w:initials="GO">
    <w:p w14:paraId="44025424" w14:textId="3E46F0D5" w:rsidR="00596102" w:rsidRDefault="00596102">
      <w:pPr>
        <w:pStyle w:val="CommentText"/>
      </w:pPr>
      <w:r>
        <w:rPr>
          <w:rStyle w:val="CommentReference"/>
        </w:rPr>
        <w:annotationRef/>
      </w:r>
      <w:r>
        <w:t>Change this to Quantitative.</w:t>
      </w:r>
    </w:p>
  </w:comment>
  <w:comment w:id="12" w:author="George Otuonuyo" w:date="2025-04-16T06:33:00Z" w:initials="GO">
    <w:p w14:paraId="0B5B4CC6" w14:textId="273CA11C" w:rsidR="00596102" w:rsidRDefault="00596102">
      <w:pPr>
        <w:pStyle w:val="CommentText"/>
      </w:pPr>
      <w:r>
        <w:rPr>
          <w:rStyle w:val="CommentReference"/>
        </w:rPr>
        <w:annotationRef/>
      </w:r>
      <w:r>
        <w:t xml:space="preserve">Remove the comma here </w:t>
      </w:r>
    </w:p>
  </w:comment>
  <w:comment w:id="13" w:author="George Otuonuyo" w:date="2025-04-16T06:30:00Z" w:initials="GO">
    <w:p w14:paraId="4292004F" w14:textId="64BB2293" w:rsidR="00596102" w:rsidRPr="00596102" w:rsidRDefault="00596102">
      <w:pPr>
        <w:pStyle w:val="CommentText"/>
        <w:rPr>
          <w:b/>
          <w:bCs/>
        </w:rPr>
      </w:pPr>
      <w:r>
        <w:rPr>
          <w:rStyle w:val="CommentReference"/>
        </w:rPr>
        <w:annotationRef/>
      </w:r>
      <w:r>
        <w:t xml:space="preserve">Change it to </w:t>
      </w:r>
      <w:r>
        <w:rPr>
          <w:b/>
          <w:bCs/>
        </w:rPr>
        <w:t>makes</w:t>
      </w:r>
    </w:p>
  </w:comment>
  <w:comment w:id="15" w:author="George Otuonuyo" w:date="2025-04-16T06:31:00Z" w:initials="GO">
    <w:p w14:paraId="7A2A3D09" w14:textId="752E46B4" w:rsidR="00596102" w:rsidRPr="00596102" w:rsidRDefault="00596102">
      <w:pPr>
        <w:pStyle w:val="CommentText"/>
        <w:rPr>
          <w:b/>
          <w:bCs/>
        </w:rPr>
      </w:pPr>
      <w:r>
        <w:rPr>
          <w:rStyle w:val="CommentReference"/>
        </w:rPr>
        <w:annotationRef/>
      </w:r>
      <w:r>
        <w:t xml:space="preserve">Your writing language should be </w:t>
      </w:r>
      <w:proofErr w:type="spellStart"/>
      <w:r>
        <w:t>british</w:t>
      </w:r>
      <w:proofErr w:type="spellEnd"/>
      <w:r>
        <w:t xml:space="preserve"> English “</w:t>
      </w:r>
      <w:r>
        <w:rPr>
          <w:b/>
          <w:bCs/>
        </w:rPr>
        <w:t>Urbanisation”</w:t>
      </w:r>
    </w:p>
  </w:comment>
  <w:comment w:id="14" w:author="George Otuonuyo" w:date="2025-04-16T06:47:00Z" w:initials="GO">
    <w:p w14:paraId="58797FB0" w14:textId="604A24B9" w:rsidR="0034016D" w:rsidRDefault="0034016D">
      <w:pPr>
        <w:pStyle w:val="CommentText"/>
      </w:pPr>
      <w:r>
        <w:rPr>
          <w:rStyle w:val="CommentReference"/>
        </w:rPr>
        <w:annotationRef/>
      </w:r>
      <w:r>
        <w:t>Look for recent articles written on Ibadan and cite the author</w:t>
      </w:r>
    </w:p>
  </w:comment>
  <w:comment w:id="17" w:author="George Otuonuyo" w:date="2025-04-16T06:48:00Z" w:initials="GO">
    <w:p w14:paraId="176FC16C" w14:textId="435ED433" w:rsidR="0034016D" w:rsidRPr="0034016D" w:rsidRDefault="0034016D">
      <w:pPr>
        <w:pStyle w:val="CommentText"/>
        <w:rPr>
          <w:b/>
          <w:bCs/>
        </w:rPr>
      </w:pPr>
      <w:r>
        <w:rPr>
          <w:rStyle w:val="CommentReference"/>
        </w:rPr>
        <w:annotationRef/>
      </w:r>
      <w:r>
        <w:t xml:space="preserve">Make it British by changing the </w:t>
      </w:r>
      <w:r>
        <w:rPr>
          <w:b/>
          <w:bCs/>
        </w:rPr>
        <w:t>Z to S</w:t>
      </w:r>
    </w:p>
  </w:comment>
  <w:comment w:id="16" w:author="George Otuonuyo" w:date="2025-04-16T06:50:00Z" w:initials="GO">
    <w:p w14:paraId="30F67FB6" w14:textId="10EB59CE" w:rsidR="0034016D" w:rsidRDefault="0034016D">
      <w:pPr>
        <w:pStyle w:val="CommentText"/>
      </w:pPr>
      <w:r>
        <w:rPr>
          <w:rStyle w:val="CommentReference"/>
        </w:rPr>
        <w:annotationRef/>
      </w:r>
      <w:r>
        <w:t>No in-text citation (kindly cite an author here</w:t>
      </w:r>
    </w:p>
  </w:comment>
  <w:comment w:id="18" w:author="George Otuonuyo" w:date="2025-04-16T06:52:00Z" w:initials="GO">
    <w:p w14:paraId="7F4F2733" w14:textId="40F53E8C" w:rsidR="0034016D" w:rsidRDefault="0034016D">
      <w:pPr>
        <w:pStyle w:val="CommentText"/>
      </w:pPr>
      <w:r>
        <w:rPr>
          <w:rStyle w:val="CommentReference"/>
        </w:rPr>
        <w:annotationRef/>
      </w:r>
      <w:r>
        <w:t xml:space="preserve">Replace with </w:t>
      </w:r>
      <w:r w:rsidRPr="0034016D">
        <w:rPr>
          <w:b/>
          <w:bCs/>
        </w:rPr>
        <w:t>low-income</w:t>
      </w:r>
    </w:p>
  </w:comment>
  <w:comment w:id="19" w:author="George Otuonuyo" w:date="2025-04-16T06:54:00Z" w:initials="GO">
    <w:p w14:paraId="1B6D65F1" w14:textId="2FED2374" w:rsidR="0034016D" w:rsidRDefault="0034016D">
      <w:pPr>
        <w:pStyle w:val="CommentText"/>
      </w:pPr>
      <w:r>
        <w:rPr>
          <w:rStyle w:val="CommentReference"/>
        </w:rPr>
        <w:annotationRef/>
      </w:r>
      <w:r>
        <w:t>There should be another citation here</w:t>
      </w:r>
    </w:p>
  </w:comment>
  <w:comment w:id="20" w:author="George Otuonuyo" w:date="2025-04-16T06:56:00Z" w:initials="GO">
    <w:p w14:paraId="656E8BC5" w14:textId="3E1308AF" w:rsidR="00E8690D" w:rsidRDefault="00E8690D">
      <w:pPr>
        <w:pStyle w:val="CommentText"/>
      </w:pPr>
      <w:r>
        <w:rPr>
          <w:rStyle w:val="CommentReference"/>
        </w:rPr>
        <w:annotationRef/>
      </w:r>
      <w:r>
        <w:t>2009 is far back, kindly add more recent author here</w:t>
      </w:r>
    </w:p>
  </w:comment>
  <w:comment w:id="21" w:author="George Otuonuyo" w:date="2025-04-16T06:58:00Z" w:initials="GO">
    <w:p w14:paraId="7B410035" w14:textId="40978FC3" w:rsidR="00E8690D" w:rsidRDefault="00E8690D">
      <w:pPr>
        <w:pStyle w:val="CommentText"/>
      </w:pPr>
      <w:r>
        <w:rPr>
          <w:rStyle w:val="CommentReference"/>
        </w:rPr>
        <w:annotationRef/>
      </w:r>
      <w:r>
        <w:t xml:space="preserve">Your currency of data should </w:t>
      </w:r>
      <w:proofErr w:type="spellStart"/>
      <w:r>
        <w:t>atleast</w:t>
      </w:r>
      <w:proofErr w:type="spellEnd"/>
      <w:r>
        <w:t xml:space="preserve"> be 5 years that is from 2020-2025</w:t>
      </w:r>
    </w:p>
  </w:comment>
  <w:comment w:id="22" w:author="George Otuonuyo" w:date="2025-04-16T07:01:00Z" w:initials="GO">
    <w:p w14:paraId="11730FCC" w14:textId="45841A3D" w:rsidR="00E8690D" w:rsidRPr="00E8690D" w:rsidRDefault="00E8690D">
      <w:pPr>
        <w:pStyle w:val="CommentText"/>
        <w:rPr>
          <w:b/>
          <w:bCs/>
        </w:rPr>
      </w:pPr>
      <w:r>
        <w:rPr>
          <w:rStyle w:val="CommentReference"/>
        </w:rPr>
        <w:annotationRef/>
      </w:r>
      <w:r>
        <w:t xml:space="preserve">Change to </w:t>
      </w:r>
      <w:r>
        <w:rPr>
          <w:b/>
          <w:bCs/>
        </w:rPr>
        <w:t>OF in small letters</w:t>
      </w:r>
    </w:p>
  </w:comment>
  <w:comment w:id="23" w:author="George Otuonuyo" w:date="2025-04-16T07:02:00Z" w:initials="GO">
    <w:p w14:paraId="77EF746B" w14:textId="2AA33940" w:rsidR="00E8690D" w:rsidRDefault="00E8690D">
      <w:pPr>
        <w:pStyle w:val="CommentText"/>
      </w:pPr>
      <w:r>
        <w:rPr>
          <w:rStyle w:val="CommentReference"/>
        </w:rPr>
        <w:annotationRef/>
      </w:r>
      <w:r>
        <w:t>Insert comma here</w:t>
      </w:r>
    </w:p>
  </w:comment>
  <w:comment w:id="25" w:author="George Otuonuyo" w:date="2025-04-16T07:05:00Z" w:initials="GO">
    <w:p w14:paraId="46C804E4" w14:textId="74E6AC4E" w:rsidR="00E8690D" w:rsidRDefault="00E8690D">
      <w:pPr>
        <w:pStyle w:val="CommentText"/>
      </w:pPr>
      <w:r>
        <w:rPr>
          <w:rStyle w:val="CommentReference"/>
        </w:rPr>
        <w:annotationRef/>
      </w:r>
      <w:r>
        <w:t>Remove the extra space here</w:t>
      </w:r>
    </w:p>
  </w:comment>
  <w:comment w:id="26" w:author="George Otuonuyo" w:date="2025-04-16T07:03:00Z" w:initials="GO">
    <w:p w14:paraId="52D82437" w14:textId="67D3E368" w:rsidR="00E8690D" w:rsidRPr="00E8690D" w:rsidRDefault="00E8690D">
      <w:pPr>
        <w:pStyle w:val="CommentText"/>
      </w:pPr>
      <w:r>
        <w:rPr>
          <w:rStyle w:val="CommentReference"/>
        </w:rPr>
        <w:annotationRef/>
      </w:r>
      <w:r>
        <w:t xml:space="preserve">I guess you mean </w:t>
      </w:r>
      <w:r w:rsidRPr="00E8690D">
        <w:rPr>
          <w:b/>
          <w:bCs/>
        </w:rPr>
        <w:t>(</w:t>
      </w:r>
      <w:r>
        <w:rPr>
          <w:b/>
          <w:bCs/>
        </w:rPr>
        <w:t>Secretariat), kindly check the spellings</w:t>
      </w:r>
    </w:p>
  </w:comment>
  <w:comment w:id="27" w:author="George Otuonuyo" w:date="2025-04-16T07:07:00Z" w:initials="GO">
    <w:p w14:paraId="5EB3E3AB" w14:textId="34892557" w:rsidR="00BF7EAF" w:rsidRDefault="00BF7EAF">
      <w:pPr>
        <w:pStyle w:val="CommentText"/>
      </w:pPr>
      <w:r>
        <w:rPr>
          <w:rStyle w:val="CommentReference"/>
        </w:rPr>
        <w:annotationRef/>
      </w:r>
      <w:r>
        <w:t>Insert the image source below fig 1</w:t>
      </w:r>
    </w:p>
  </w:comment>
  <w:comment w:id="28" w:author="George Otuonuyo" w:date="2025-04-16T07:08:00Z" w:initials="GO">
    <w:p w14:paraId="0C6A3DAB" w14:textId="072A828E" w:rsidR="00BF7EAF" w:rsidRDefault="00BF7EAF">
      <w:pPr>
        <w:pStyle w:val="CommentText"/>
      </w:pPr>
      <w:r>
        <w:rPr>
          <w:rStyle w:val="CommentReference"/>
        </w:rPr>
        <w:annotationRef/>
      </w:r>
      <w:r>
        <w:t xml:space="preserve">Add a more recent citation to the exiting one here </w:t>
      </w:r>
      <w:proofErr w:type="spellStart"/>
      <w:r>
        <w:t>here</w:t>
      </w:r>
      <w:proofErr w:type="spellEnd"/>
    </w:p>
  </w:comment>
  <w:comment w:id="29" w:author="George Otuonuyo" w:date="2025-04-16T07:10:00Z" w:initials="GO">
    <w:p w14:paraId="04DF2C4D" w14:textId="15469604" w:rsidR="00BF7EAF" w:rsidRDefault="00BF7EAF">
      <w:pPr>
        <w:pStyle w:val="CommentText"/>
      </w:pPr>
      <w:r>
        <w:rPr>
          <w:rStyle w:val="CommentReference"/>
        </w:rPr>
        <w:annotationRef/>
      </w:r>
      <w:r>
        <w:t>Move this citation behind 1990s</w:t>
      </w:r>
    </w:p>
  </w:comment>
  <w:comment w:id="30" w:author="George Otuonuyo" w:date="2025-04-16T07:12:00Z" w:initials="GO">
    <w:p w14:paraId="4FF5DCD6" w14:textId="5627E9F2" w:rsidR="00BF7EAF" w:rsidRDefault="00BF7EAF">
      <w:pPr>
        <w:pStyle w:val="CommentText"/>
      </w:pPr>
      <w:r>
        <w:rPr>
          <w:rStyle w:val="CommentReference"/>
        </w:rPr>
        <w:annotationRef/>
      </w:r>
      <w:r>
        <w:t>Kindly add a more recent citation to this</w:t>
      </w:r>
    </w:p>
  </w:comment>
  <w:comment w:id="31" w:author="George Otuonuyo" w:date="2025-04-16T07:13:00Z" w:initials="GO">
    <w:p w14:paraId="5446C06E" w14:textId="56D5EF9E" w:rsidR="00BF7EAF" w:rsidRDefault="00BF7EAF">
      <w:pPr>
        <w:pStyle w:val="CommentText"/>
      </w:pPr>
      <w:r>
        <w:rPr>
          <w:rStyle w:val="CommentReference"/>
        </w:rPr>
        <w:annotationRef/>
      </w:r>
      <w:r>
        <w:t>Do same here</w:t>
      </w:r>
    </w:p>
  </w:comment>
  <w:comment w:id="32" w:author="George Otuonuyo" w:date="2025-04-16T07:13:00Z" w:initials="GO">
    <w:p w14:paraId="68566E9E" w14:textId="3CBB0D6B" w:rsidR="00BF7EAF" w:rsidRDefault="00BF7EAF">
      <w:pPr>
        <w:pStyle w:val="CommentText"/>
      </w:pPr>
      <w:r>
        <w:rPr>
          <w:rStyle w:val="CommentReference"/>
        </w:rPr>
        <w:annotationRef/>
      </w:r>
      <w:r>
        <w:t>Do same here</w:t>
      </w:r>
    </w:p>
  </w:comment>
  <w:comment w:id="33" w:author="George Otuonuyo" w:date="2025-04-16T07:13:00Z" w:initials="GO">
    <w:p w14:paraId="6EFE8C46" w14:textId="6C502084" w:rsidR="00BF7EAF" w:rsidRDefault="00BF7EAF">
      <w:pPr>
        <w:pStyle w:val="CommentText"/>
      </w:pPr>
      <w:r>
        <w:rPr>
          <w:rStyle w:val="CommentReference"/>
        </w:rPr>
        <w:annotationRef/>
      </w:r>
      <w:r>
        <w:t>Do same here</w:t>
      </w:r>
    </w:p>
  </w:comment>
  <w:comment w:id="36" w:author="George Otuonuyo" w:date="2025-04-16T07:14:00Z" w:initials="GO">
    <w:p w14:paraId="58FC57AC" w14:textId="575D99E7" w:rsidR="00BF7EAF" w:rsidRDefault="00BF7EAF">
      <w:pPr>
        <w:pStyle w:val="CommentText"/>
      </w:pPr>
      <w:r>
        <w:rPr>
          <w:rStyle w:val="CommentReference"/>
        </w:rPr>
        <w:annotationRef/>
      </w:r>
      <w:r>
        <w:t>Check the date (quite old, there have been a lot of recent citations on housing) check google scholar</w:t>
      </w:r>
    </w:p>
  </w:comment>
  <w:comment w:id="39" w:author="George Otuonuyo" w:date="2025-04-16T07:16:00Z" w:initials="GO">
    <w:p w14:paraId="272D106B" w14:textId="75398052" w:rsidR="000C71A2" w:rsidRDefault="000C71A2">
      <w:pPr>
        <w:pStyle w:val="CommentText"/>
      </w:pPr>
      <w:r>
        <w:rPr>
          <w:rStyle w:val="CommentReference"/>
        </w:rPr>
        <w:annotationRef/>
      </w:r>
      <w:r>
        <w:t>Add more recent author</w:t>
      </w:r>
    </w:p>
  </w:comment>
  <w:comment w:id="40" w:author="George Otuonuyo" w:date="2025-04-16T07:17:00Z" w:initials="GO">
    <w:p w14:paraId="39FCB696" w14:textId="72FC6CC8" w:rsidR="000C71A2" w:rsidRDefault="000C71A2">
      <w:pPr>
        <w:pStyle w:val="CommentText"/>
      </w:pPr>
      <w:r>
        <w:rPr>
          <w:rStyle w:val="CommentReference"/>
        </w:rPr>
        <w:annotationRef/>
      </w:r>
      <w:r>
        <w:t>constitutes</w:t>
      </w:r>
    </w:p>
  </w:comment>
  <w:comment w:id="43" w:author="George Otuonuyo" w:date="2025-04-16T07:22:00Z" w:initials="GO">
    <w:p w14:paraId="58E62BDE" w14:textId="5D557245" w:rsidR="000C71A2" w:rsidRDefault="000C71A2">
      <w:pPr>
        <w:pStyle w:val="CommentText"/>
      </w:pPr>
      <w:r>
        <w:rPr>
          <w:rStyle w:val="CommentReference"/>
        </w:rPr>
        <w:annotationRef/>
      </w:r>
      <w:r>
        <w:t>add a more recent citation here</w:t>
      </w:r>
    </w:p>
  </w:comment>
  <w:comment w:id="44" w:author="George Otuonuyo" w:date="2025-04-16T07:23:00Z" w:initials="GO">
    <w:p w14:paraId="320DACD1" w14:textId="4B211027" w:rsidR="000C71A2" w:rsidRDefault="000C71A2">
      <w:pPr>
        <w:pStyle w:val="CommentText"/>
      </w:pPr>
      <w:r>
        <w:rPr>
          <w:rStyle w:val="CommentReference"/>
        </w:rPr>
        <w:annotationRef/>
      </w:r>
      <w:r>
        <w:t xml:space="preserve">I </w:t>
      </w:r>
      <w:proofErr w:type="spellStart"/>
      <w:r>
        <w:t>recomment</w:t>
      </w:r>
      <w:proofErr w:type="spellEnd"/>
      <w:r>
        <w:t xml:space="preserve"> you install Grammarly or other related </w:t>
      </w:r>
      <w:proofErr w:type="spellStart"/>
      <w:r>
        <w:t>softwares</w:t>
      </w:r>
      <w:proofErr w:type="spellEnd"/>
      <w:r>
        <w:t xml:space="preserve"> for grammatical proof corrections</w:t>
      </w:r>
    </w:p>
  </w:comment>
  <w:comment w:id="47" w:author="George Otuonuyo" w:date="2025-04-16T07:28:00Z" w:initials="GO">
    <w:p w14:paraId="6A535AC9" w14:textId="1344F6AA" w:rsidR="00EA7947" w:rsidRDefault="00EA7947">
      <w:pPr>
        <w:pStyle w:val="CommentText"/>
      </w:pPr>
      <w:r>
        <w:rPr>
          <w:rStyle w:val="CommentReference"/>
        </w:rPr>
        <w:annotationRef/>
      </w:r>
      <w:r>
        <w:t>Make it British</w:t>
      </w:r>
    </w:p>
  </w:comment>
  <w:comment w:id="48" w:author="George Otuonuyo" w:date="2025-04-16T07:30:00Z" w:initials="GO">
    <w:p w14:paraId="166DE1F0" w14:textId="3CDF343C" w:rsidR="00EA7947" w:rsidRDefault="00EA7947">
      <w:pPr>
        <w:pStyle w:val="CommentText"/>
      </w:pPr>
      <w:r>
        <w:rPr>
          <w:rStyle w:val="CommentReference"/>
        </w:rPr>
        <w:annotationRef/>
      </w:r>
      <w:r>
        <w:t>Make it British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763007" w15:done="0"/>
  <w15:commentEx w15:paraId="2C5D71DC" w15:done="0"/>
  <w15:commentEx w15:paraId="7C3526D6" w15:done="0"/>
  <w15:commentEx w15:paraId="26A9FC7F" w15:done="0"/>
  <w15:commentEx w15:paraId="5BFD6D10" w15:done="0"/>
  <w15:commentEx w15:paraId="1228AD27" w15:done="0"/>
  <w15:commentEx w15:paraId="5BAEF847" w15:done="0"/>
  <w15:commentEx w15:paraId="72065EFB" w15:done="0"/>
  <w15:commentEx w15:paraId="18678837" w15:done="0"/>
  <w15:commentEx w15:paraId="44025424" w15:done="0"/>
  <w15:commentEx w15:paraId="0B5B4CC6" w15:done="0"/>
  <w15:commentEx w15:paraId="4292004F" w15:done="0"/>
  <w15:commentEx w15:paraId="7A2A3D09" w15:done="0"/>
  <w15:commentEx w15:paraId="58797FB0" w15:done="0"/>
  <w15:commentEx w15:paraId="176FC16C" w15:done="0"/>
  <w15:commentEx w15:paraId="30F67FB6" w15:done="0"/>
  <w15:commentEx w15:paraId="7F4F2733" w15:done="0"/>
  <w15:commentEx w15:paraId="1B6D65F1" w15:done="0"/>
  <w15:commentEx w15:paraId="656E8BC5" w15:done="0"/>
  <w15:commentEx w15:paraId="7B410035" w15:done="0"/>
  <w15:commentEx w15:paraId="11730FCC" w15:done="0"/>
  <w15:commentEx w15:paraId="77EF746B" w15:done="0"/>
  <w15:commentEx w15:paraId="46C804E4" w15:done="0"/>
  <w15:commentEx w15:paraId="52D82437" w15:done="0"/>
  <w15:commentEx w15:paraId="5EB3E3AB" w15:done="0"/>
  <w15:commentEx w15:paraId="0C6A3DAB" w15:done="0"/>
  <w15:commentEx w15:paraId="04DF2C4D" w15:done="0"/>
  <w15:commentEx w15:paraId="4FF5DCD6" w15:done="0"/>
  <w15:commentEx w15:paraId="5446C06E" w15:done="0"/>
  <w15:commentEx w15:paraId="68566E9E" w15:done="0"/>
  <w15:commentEx w15:paraId="6EFE8C46" w15:done="0"/>
  <w15:commentEx w15:paraId="58FC57AC" w15:done="0"/>
  <w15:commentEx w15:paraId="272D106B" w15:done="0"/>
  <w15:commentEx w15:paraId="39FCB696" w15:done="0"/>
  <w15:commentEx w15:paraId="58E62BDE" w15:done="0"/>
  <w15:commentEx w15:paraId="320DACD1" w15:done="0"/>
  <w15:commentEx w15:paraId="6A535AC9" w15:done="0"/>
  <w15:commentEx w15:paraId="166DE1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1AC23A" w16cex:dateUtc="2025-04-16T05:19:00Z"/>
  <w16cex:commentExtensible w16cex:durableId="373CF724" w16cex:dateUtc="2025-04-16T05:23:00Z"/>
  <w16cex:commentExtensible w16cex:durableId="220DB0EB" w16cex:dateUtc="2025-04-16T05:22:00Z"/>
  <w16cex:commentExtensible w16cex:durableId="308BD52A" w16cex:dateUtc="2025-04-16T06:35:00Z"/>
  <w16cex:commentExtensible w16cex:durableId="62CD5114" w16cex:dateUtc="2025-04-16T05:35:00Z"/>
  <w16cex:commentExtensible w16cex:durableId="46ACBD5C" w16cex:dateUtc="2025-04-16T05:38:00Z"/>
  <w16cex:commentExtensible w16cex:durableId="27B09C5C" w16cex:dateUtc="2025-04-16T05:40:00Z"/>
  <w16cex:commentExtensible w16cex:durableId="4F97D04C" w16cex:dateUtc="2025-04-16T05:41:00Z"/>
  <w16cex:commentExtensible w16cex:durableId="0AAC77D6" w16cex:dateUtc="2025-04-16T05:42:00Z"/>
  <w16cex:commentExtensible w16cex:durableId="476A97DC" w16cex:dateUtc="2025-04-16T05:28:00Z"/>
  <w16cex:commentExtensible w16cex:durableId="780A80F1" w16cex:dateUtc="2025-04-16T05:33:00Z"/>
  <w16cex:commentExtensible w16cex:durableId="10D0AAC2" w16cex:dateUtc="2025-04-16T05:30:00Z"/>
  <w16cex:commentExtensible w16cex:durableId="2465BD0E" w16cex:dateUtc="2025-04-16T05:31:00Z"/>
  <w16cex:commentExtensible w16cex:durableId="26BD64B3" w16cex:dateUtc="2025-04-16T05:47:00Z"/>
  <w16cex:commentExtensible w16cex:durableId="754C5DBF" w16cex:dateUtc="2025-04-16T05:48:00Z"/>
  <w16cex:commentExtensible w16cex:durableId="5DDE8DDD" w16cex:dateUtc="2025-04-16T05:50:00Z"/>
  <w16cex:commentExtensible w16cex:durableId="6E29B29B" w16cex:dateUtc="2025-04-16T05:52:00Z"/>
  <w16cex:commentExtensible w16cex:durableId="3E8AF037" w16cex:dateUtc="2025-04-16T05:54:00Z"/>
  <w16cex:commentExtensible w16cex:durableId="7AC0E7EE" w16cex:dateUtc="2025-04-16T05:56:00Z"/>
  <w16cex:commentExtensible w16cex:durableId="57423E7E" w16cex:dateUtc="2025-04-16T05:58:00Z"/>
  <w16cex:commentExtensible w16cex:durableId="54191B84" w16cex:dateUtc="2025-04-16T06:01:00Z"/>
  <w16cex:commentExtensible w16cex:durableId="50CE0181" w16cex:dateUtc="2025-04-16T06:02:00Z"/>
  <w16cex:commentExtensible w16cex:durableId="02C3A57A" w16cex:dateUtc="2025-04-16T06:05:00Z"/>
  <w16cex:commentExtensible w16cex:durableId="131C9D89" w16cex:dateUtc="2025-04-16T06:03:00Z"/>
  <w16cex:commentExtensible w16cex:durableId="030C89FD" w16cex:dateUtc="2025-04-16T06:07:00Z"/>
  <w16cex:commentExtensible w16cex:durableId="04EB4D8C" w16cex:dateUtc="2025-04-16T06:08:00Z"/>
  <w16cex:commentExtensible w16cex:durableId="0A19DC2C" w16cex:dateUtc="2025-04-16T06:10:00Z"/>
  <w16cex:commentExtensible w16cex:durableId="54D63B56" w16cex:dateUtc="2025-04-16T06:12:00Z"/>
  <w16cex:commentExtensible w16cex:durableId="668F7FB0" w16cex:dateUtc="2025-04-16T06:13:00Z"/>
  <w16cex:commentExtensible w16cex:durableId="1CEBAB48" w16cex:dateUtc="2025-04-16T06:13:00Z"/>
  <w16cex:commentExtensible w16cex:durableId="6F0275C6" w16cex:dateUtc="2025-04-16T06:13:00Z"/>
  <w16cex:commentExtensible w16cex:durableId="102A0D3D" w16cex:dateUtc="2025-04-16T06:14:00Z"/>
  <w16cex:commentExtensible w16cex:durableId="34054735" w16cex:dateUtc="2025-04-16T06:16:00Z"/>
  <w16cex:commentExtensible w16cex:durableId="2FEAD3C0" w16cex:dateUtc="2025-04-16T06:17:00Z"/>
  <w16cex:commentExtensible w16cex:durableId="7623AB60" w16cex:dateUtc="2025-04-16T06:22:00Z"/>
  <w16cex:commentExtensible w16cex:durableId="601476CC" w16cex:dateUtc="2025-04-16T06:23:00Z"/>
  <w16cex:commentExtensible w16cex:durableId="017BF7F8" w16cex:dateUtc="2025-04-16T06:28:00Z"/>
  <w16cex:commentExtensible w16cex:durableId="5BD14010" w16cex:dateUtc="2025-04-16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763007" w16cid:durableId="011AC23A"/>
  <w16cid:commentId w16cid:paraId="2C5D71DC" w16cid:durableId="373CF724"/>
  <w16cid:commentId w16cid:paraId="7C3526D6" w16cid:durableId="220DB0EB"/>
  <w16cid:commentId w16cid:paraId="26A9FC7F" w16cid:durableId="308BD52A"/>
  <w16cid:commentId w16cid:paraId="5BFD6D10" w16cid:durableId="62CD5114"/>
  <w16cid:commentId w16cid:paraId="1228AD27" w16cid:durableId="46ACBD5C"/>
  <w16cid:commentId w16cid:paraId="5BAEF847" w16cid:durableId="27B09C5C"/>
  <w16cid:commentId w16cid:paraId="72065EFB" w16cid:durableId="4F97D04C"/>
  <w16cid:commentId w16cid:paraId="18678837" w16cid:durableId="0AAC77D6"/>
  <w16cid:commentId w16cid:paraId="44025424" w16cid:durableId="476A97DC"/>
  <w16cid:commentId w16cid:paraId="0B5B4CC6" w16cid:durableId="780A80F1"/>
  <w16cid:commentId w16cid:paraId="4292004F" w16cid:durableId="10D0AAC2"/>
  <w16cid:commentId w16cid:paraId="7A2A3D09" w16cid:durableId="2465BD0E"/>
  <w16cid:commentId w16cid:paraId="58797FB0" w16cid:durableId="26BD64B3"/>
  <w16cid:commentId w16cid:paraId="176FC16C" w16cid:durableId="754C5DBF"/>
  <w16cid:commentId w16cid:paraId="30F67FB6" w16cid:durableId="5DDE8DDD"/>
  <w16cid:commentId w16cid:paraId="7F4F2733" w16cid:durableId="6E29B29B"/>
  <w16cid:commentId w16cid:paraId="1B6D65F1" w16cid:durableId="3E8AF037"/>
  <w16cid:commentId w16cid:paraId="656E8BC5" w16cid:durableId="7AC0E7EE"/>
  <w16cid:commentId w16cid:paraId="7B410035" w16cid:durableId="57423E7E"/>
  <w16cid:commentId w16cid:paraId="11730FCC" w16cid:durableId="54191B84"/>
  <w16cid:commentId w16cid:paraId="77EF746B" w16cid:durableId="50CE0181"/>
  <w16cid:commentId w16cid:paraId="46C804E4" w16cid:durableId="02C3A57A"/>
  <w16cid:commentId w16cid:paraId="52D82437" w16cid:durableId="131C9D89"/>
  <w16cid:commentId w16cid:paraId="5EB3E3AB" w16cid:durableId="030C89FD"/>
  <w16cid:commentId w16cid:paraId="0C6A3DAB" w16cid:durableId="04EB4D8C"/>
  <w16cid:commentId w16cid:paraId="04DF2C4D" w16cid:durableId="0A19DC2C"/>
  <w16cid:commentId w16cid:paraId="4FF5DCD6" w16cid:durableId="54D63B56"/>
  <w16cid:commentId w16cid:paraId="5446C06E" w16cid:durableId="668F7FB0"/>
  <w16cid:commentId w16cid:paraId="68566E9E" w16cid:durableId="1CEBAB48"/>
  <w16cid:commentId w16cid:paraId="6EFE8C46" w16cid:durableId="6F0275C6"/>
  <w16cid:commentId w16cid:paraId="58FC57AC" w16cid:durableId="102A0D3D"/>
  <w16cid:commentId w16cid:paraId="272D106B" w16cid:durableId="34054735"/>
  <w16cid:commentId w16cid:paraId="39FCB696" w16cid:durableId="2FEAD3C0"/>
  <w16cid:commentId w16cid:paraId="58E62BDE" w16cid:durableId="7623AB60"/>
  <w16cid:commentId w16cid:paraId="320DACD1" w16cid:durableId="601476CC"/>
  <w16cid:commentId w16cid:paraId="6A535AC9" w16cid:durableId="017BF7F8"/>
  <w16cid:commentId w16cid:paraId="166DE1F0" w16cid:durableId="5BD140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6CE97" w14:textId="77777777" w:rsidR="001E45DC" w:rsidRDefault="001E45DC">
      <w:pPr>
        <w:spacing w:after="0" w:line="240" w:lineRule="auto"/>
      </w:pPr>
      <w:r>
        <w:separator/>
      </w:r>
    </w:p>
  </w:endnote>
  <w:endnote w:type="continuationSeparator" w:id="0">
    <w:p w14:paraId="1DDADF57" w14:textId="77777777" w:rsidR="001E45DC" w:rsidRDefault="001E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7BEDF" w14:textId="77777777" w:rsidR="004355C9" w:rsidRDefault="00435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6741" w14:textId="679D5180" w:rsidR="00E6449D" w:rsidRDefault="00E6449D">
    <w:pPr>
      <w:pStyle w:val="Footer"/>
      <w:jc w:val="center"/>
    </w:pPr>
    <w:r>
      <w:fldChar w:fldCharType="begin"/>
    </w:r>
    <w:r>
      <w:instrText xml:space="preserve"> PAGE   \* MERGEFORMAT </w:instrText>
    </w:r>
    <w:r>
      <w:fldChar w:fldCharType="separate"/>
    </w:r>
    <w:r w:rsidR="00A02664">
      <w:rPr>
        <w:noProof/>
      </w:rPr>
      <w:t>5</w:t>
    </w:r>
    <w:r>
      <w:rPr>
        <w:noProof/>
      </w:rPr>
      <w:fldChar w:fldCharType="end"/>
    </w:r>
  </w:p>
  <w:p w14:paraId="698D08AB" w14:textId="77777777" w:rsidR="00E6449D" w:rsidRDefault="00E64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EC9A" w14:textId="77777777" w:rsidR="004355C9" w:rsidRDefault="00435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01FBC" w14:textId="77777777" w:rsidR="001E45DC" w:rsidRDefault="001E45DC">
      <w:pPr>
        <w:spacing w:after="0" w:line="240" w:lineRule="auto"/>
      </w:pPr>
      <w:r>
        <w:separator/>
      </w:r>
    </w:p>
  </w:footnote>
  <w:footnote w:type="continuationSeparator" w:id="0">
    <w:p w14:paraId="2FEF8E34" w14:textId="77777777" w:rsidR="001E45DC" w:rsidRDefault="001E4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152AD" w14:textId="471445DE" w:rsidR="004355C9" w:rsidRDefault="00000000">
    <w:pPr>
      <w:pStyle w:val="Header"/>
    </w:pPr>
    <w:r>
      <w:rPr>
        <w:noProof/>
      </w:rPr>
      <w:pict w14:anchorId="56098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857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CD4F" w14:textId="61E22CEB" w:rsidR="004355C9" w:rsidRDefault="00000000">
    <w:pPr>
      <w:pStyle w:val="Header"/>
    </w:pPr>
    <w:r>
      <w:rPr>
        <w:noProof/>
      </w:rPr>
      <w:pict w14:anchorId="396B3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857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71ED" w14:textId="4B98C201" w:rsidR="004355C9" w:rsidRDefault="00000000">
    <w:pPr>
      <w:pStyle w:val="Header"/>
    </w:pPr>
    <w:r>
      <w:rPr>
        <w:noProof/>
      </w:rPr>
      <w:pict w14:anchorId="1DA7D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857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B0C37"/>
    <w:multiLevelType w:val="multilevel"/>
    <w:tmpl w:val="A050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9284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rge Otuonuyo">
    <w15:presenceInfo w15:providerId="Windows Live" w15:userId="ad145d91d6abc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0N7Aws7AwNzMyMDdX0lEKTi0uzszPAykwrAUAhahuWiwAAAA="/>
  </w:docVars>
  <w:rsids>
    <w:rsidRoot w:val="00D26672"/>
    <w:rsid w:val="000034A6"/>
    <w:rsid w:val="0005485E"/>
    <w:rsid w:val="00072790"/>
    <w:rsid w:val="00074C94"/>
    <w:rsid w:val="000C71A2"/>
    <w:rsid w:val="000D12A7"/>
    <w:rsid w:val="000D343D"/>
    <w:rsid w:val="00121862"/>
    <w:rsid w:val="0018432F"/>
    <w:rsid w:val="0019743C"/>
    <w:rsid w:val="001B5215"/>
    <w:rsid w:val="001C3D5B"/>
    <w:rsid w:val="001D58B3"/>
    <w:rsid w:val="001E45DC"/>
    <w:rsid w:val="001F4EB8"/>
    <w:rsid w:val="0025243D"/>
    <w:rsid w:val="002B52E0"/>
    <w:rsid w:val="002C4F0E"/>
    <w:rsid w:val="002D209C"/>
    <w:rsid w:val="002D68CC"/>
    <w:rsid w:val="003317C5"/>
    <w:rsid w:val="003327C0"/>
    <w:rsid w:val="0034016D"/>
    <w:rsid w:val="003D1801"/>
    <w:rsid w:val="003F5CC4"/>
    <w:rsid w:val="004355C9"/>
    <w:rsid w:val="00491DB1"/>
    <w:rsid w:val="004963AF"/>
    <w:rsid w:val="004C29C1"/>
    <w:rsid w:val="004C4CD6"/>
    <w:rsid w:val="004C695C"/>
    <w:rsid w:val="004E5928"/>
    <w:rsid w:val="005005BE"/>
    <w:rsid w:val="005170D9"/>
    <w:rsid w:val="00552A13"/>
    <w:rsid w:val="0056642B"/>
    <w:rsid w:val="00596102"/>
    <w:rsid w:val="005E5E41"/>
    <w:rsid w:val="0068647B"/>
    <w:rsid w:val="006876C8"/>
    <w:rsid w:val="00691BB2"/>
    <w:rsid w:val="006C7148"/>
    <w:rsid w:val="006E3197"/>
    <w:rsid w:val="007012FE"/>
    <w:rsid w:val="0072306B"/>
    <w:rsid w:val="0072471B"/>
    <w:rsid w:val="0074495A"/>
    <w:rsid w:val="00766E0A"/>
    <w:rsid w:val="007F108E"/>
    <w:rsid w:val="0084231B"/>
    <w:rsid w:val="00875A0F"/>
    <w:rsid w:val="00891870"/>
    <w:rsid w:val="008B1280"/>
    <w:rsid w:val="008D5251"/>
    <w:rsid w:val="008D5402"/>
    <w:rsid w:val="008E3B28"/>
    <w:rsid w:val="008F1A01"/>
    <w:rsid w:val="0092014C"/>
    <w:rsid w:val="0093061B"/>
    <w:rsid w:val="00953C35"/>
    <w:rsid w:val="009A1B77"/>
    <w:rsid w:val="00A02664"/>
    <w:rsid w:val="00A24C03"/>
    <w:rsid w:val="00A279B6"/>
    <w:rsid w:val="00A763D6"/>
    <w:rsid w:val="00AB6105"/>
    <w:rsid w:val="00AD5C7A"/>
    <w:rsid w:val="00AF1C04"/>
    <w:rsid w:val="00AF33F4"/>
    <w:rsid w:val="00B125A0"/>
    <w:rsid w:val="00B506BD"/>
    <w:rsid w:val="00B578DA"/>
    <w:rsid w:val="00BF7EAF"/>
    <w:rsid w:val="00C54F80"/>
    <w:rsid w:val="00CA1307"/>
    <w:rsid w:val="00CF7B8F"/>
    <w:rsid w:val="00D26672"/>
    <w:rsid w:val="00D513D7"/>
    <w:rsid w:val="00D6547C"/>
    <w:rsid w:val="00DA5495"/>
    <w:rsid w:val="00DB7C9B"/>
    <w:rsid w:val="00E05B7F"/>
    <w:rsid w:val="00E16022"/>
    <w:rsid w:val="00E41694"/>
    <w:rsid w:val="00E57212"/>
    <w:rsid w:val="00E6449D"/>
    <w:rsid w:val="00E8690D"/>
    <w:rsid w:val="00EA7947"/>
    <w:rsid w:val="00EE1647"/>
    <w:rsid w:val="00F1792E"/>
    <w:rsid w:val="00F52B8F"/>
    <w:rsid w:val="00F71870"/>
    <w:rsid w:val="00F74245"/>
    <w:rsid w:val="00F81BF7"/>
    <w:rsid w:val="00FA5BAE"/>
    <w:rsid w:val="00FC4D01"/>
    <w:rsid w:val="00FF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CB2C6"/>
  <w15:docId w15:val="{6C05709D-7D24-43BB-991C-1DC984B5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ibliography">
    <w:name w:val="Bibliography"/>
    <w:basedOn w:val="Normal"/>
    <w:next w:val="Normal"/>
    <w:uiPriority w:val="37"/>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sid w:val="003F5CC4"/>
    <w:rPr>
      <w:sz w:val="16"/>
      <w:szCs w:val="16"/>
    </w:rPr>
  </w:style>
  <w:style w:type="paragraph" w:styleId="CommentText">
    <w:name w:val="annotation text"/>
    <w:basedOn w:val="Normal"/>
    <w:link w:val="CommentTextChar"/>
    <w:uiPriority w:val="99"/>
    <w:semiHidden/>
    <w:unhideWhenUsed/>
    <w:rsid w:val="003F5CC4"/>
    <w:pPr>
      <w:spacing w:line="240" w:lineRule="auto"/>
    </w:pPr>
    <w:rPr>
      <w:sz w:val="20"/>
      <w:szCs w:val="20"/>
    </w:rPr>
  </w:style>
  <w:style w:type="character" w:customStyle="1" w:styleId="CommentTextChar">
    <w:name w:val="Comment Text Char"/>
    <w:basedOn w:val="DefaultParagraphFont"/>
    <w:link w:val="CommentText"/>
    <w:uiPriority w:val="99"/>
    <w:semiHidden/>
    <w:rsid w:val="003F5CC4"/>
    <w:rPr>
      <w:sz w:val="20"/>
      <w:szCs w:val="20"/>
    </w:rPr>
  </w:style>
  <w:style w:type="paragraph" w:styleId="CommentSubject">
    <w:name w:val="annotation subject"/>
    <w:basedOn w:val="CommentText"/>
    <w:next w:val="CommentText"/>
    <w:link w:val="CommentSubjectChar"/>
    <w:uiPriority w:val="99"/>
    <w:semiHidden/>
    <w:unhideWhenUsed/>
    <w:rsid w:val="003F5CC4"/>
    <w:rPr>
      <w:b/>
      <w:bCs/>
    </w:rPr>
  </w:style>
  <w:style w:type="character" w:customStyle="1" w:styleId="CommentSubjectChar">
    <w:name w:val="Comment Subject Char"/>
    <w:basedOn w:val="CommentTextChar"/>
    <w:link w:val="CommentSubject"/>
    <w:uiPriority w:val="99"/>
    <w:semiHidden/>
    <w:rsid w:val="003F5CC4"/>
    <w:rPr>
      <w:b/>
      <w:bCs/>
      <w:sz w:val="20"/>
      <w:szCs w:val="20"/>
    </w:rPr>
  </w:style>
  <w:style w:type="paragraph" w:styleId="BalloonText">
    <w:name w:val="Balloon Text"/>
    <w:basedOn w:val="Normal"/>
    <w:link w:val="BalloonTextChar"/>
    <w:uiPriority w:val="99"/>
    <w:semiHidden/>
    <w:unhideWhenUsed/>
    <w:rsid w:val="003F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CC4"/>
    <w:rPr>
      <w:rFonts w:ascii="Segoe UI" w:hAnsi="Segoe UI" w:cs="Segoe UI"/>
      <w:sz w:val="18"/>
      <w:szCs w:val="18"/>
    </w:rPr>
  </w:style>
  <w:style w:type="paragraph" w:styleId="NormalWeb">
    <w:name w:val="Normal (Web)"/>
    <w:basedOn w:val="Normal"/>
    <w:uiPriority w:val="99"/>
    <w:semiHidden/>
    <w:unhideWhenUsed/>
    <w:rsid w:val="00AF1C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C04"/>
    <w:rPr>
      <w:b/>
      <w:bCs/>
    </w:rPr>
  </w:style>
  <w:style w:type="character" w:customStyle="1" w:styleId="overflow-hidden">
    <w:name w:val="overflow-hidden"/>
    <w:basedOn w:val="DefaultParagraphFont"/>
    <w:rsid w:val="00AF1C04"/>
  </w:style>
  <w:style w:type="paragraph" w:styleId="z-TopofForm">
    <w:name w:val="HTML Top of Form"/>
    <w:basedOn w:val="Normal"/>
    <w:next w:val="Normal"/>
    <w:link w:val="z-TopofFormChar"/>
    <w:hidden/>
    <w:uiPriority w:val="99"/>
    <w:semiHidden/>
    <w:unhideWhenUsed/>
    <w:rsid w:val="00AF1C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1C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F1C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F1C04"/>
    <w:rPr>
      <w:rFonts w:ascii="Arial" w:eastAsia="Times New Roman" w:hAnsi="Arial" w:cs="Arial"/>
      <w:vanish/>
      <w:sz w:val="16"/>
      <w:szCs w:val="16"/>
    </w:rPr>
  </w:style>
  <w:style w:type="table" w:styleId="PlainTable2">
    <w:name w:val="Plain Table 2"/>
    <w:basedOn w:val="TableNormal"/>
    <w:uiPriority w:val="42"/>
    <w:rsid w:val="00AD5C7A"/>
    <w:pPr>
      <w:spacing w:after="0" w:line="240" w:lineRule="auto"/>
    </w:pPr>
    <w:rPr>
      <w:rFonts w:asciiTheme="minorHAnsi" w:eastAsia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katex-mathml">
    <w:name w:val="katex-mathml"/>
    <w:basedOn w:val="DefaultParagraphFont"/>
    <w:rsid w:val="007012FE"/>
  </w:style>
  <w:style w:type="character" w:customStyle="1" w:styleId="mord">
    <w:name w:val="mord"/>
    <w:basedOn w:val="DefaultParagraphFont"/>
    <w:rsid w:val="007012FE"/>
  </w:style>
  <w:style w:type="character" w:customStyle="1" w:styleId="mrel">
    <w:name w:val="mrel"/>
    <w:basedOn w:val="DefaultParagraphFont"/>
    <w:rsid w:val="007012FE"/>
  </w:style>
  <w:style w:type="character" w:customStyle="1" w:styleId="mbin">
    <w:name w:val="mbin"/>
    <w:basedOn w:val="DefaultParagraphFont"/>
    <w:rsid w:val="007012FE"/>
  </w:style>
  <w:style w:type="character" w:customStyle="1" w:styleId="mopen">
    <w:name w:val="mopen"/>
    <w:basedOn w:val="DefaultParagraphFont"/>
    <w:rsid w:val="007012FE"/>
  </w:style>
  <w:style w:type="character" w:customStyle="1" w:styleId="mclose">
    <w:name w:val="mclose"/>
    <w:basedOn w:val="DefaultParagraphFont"/>
    <w:rsid w:val="007012FE"/>
  </w:style>
  <w:style w:type="table" w:styleId="TableGrid">
    <w:name w:val="Table Grid"/>
    <w:basedOn w:val="TableNormal"/>
    <w:uiPriority w:val="39"/>
    <w:rsid w:val="00F8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306B"/>
    <w:rPr>
      <w:color w:val="0000FF" w:themeColor="hyperlink"/>
      <w:u w:val="single"/>
    </w:rPr>
  </w:style>
  <w:style w:type="character" w:customStyle="1" w:styleId="UnresolvedMention1">
    <w:name w:val="Unresolved Mention1"/>
    <w:basedOn w:val="DefaultParagraphFont"/>
    <w:uiPriority w:val="99"/>
    <w:semiHidden/>
    <w:unhideWhenUsed/>
    <w:rsid w:val="0072306B"/>
    <w:rPr>
      <w:color w:val="605E5C"/>
      <w:shd w:val="clear" w:color="auto" w:fill="E1DFDD"/>
    </w:rPr>
  </w:style>
  <w:style w:type="paragraph" w:styleId="ListParagraph">
    <w:name w:val="List Paragraph"/>
    <w:basedOn w:val="Normal"/>
    <w:uiPriority w:val="34"/>
    <w:qFormat/>
    <w:rsid w:val="00331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40195">
      <w:bodyDiv w:val="1"/>
      <w:marLeft w:val="0"/>
      <w:marRight w:val="0"/>
      <w:marTop w:val="0"/>
      <w:marBottom w:val="0"/>
      <w:divBdr>
        <w:top w:val="none" w:sz="0" w:space="0" w:color="auto"/>
        <w:left w:val="none" w:sz="0" w:space="0" w:color="auto"/>
        <w:bottom w:val="none" w:sz="0" w:space="0" w:color="auto"/>
        <w:right w:val="none" w:sz="0" w:space="0" w:color="auto"/>
      </w:divBdr>
      <w:divsChild>
        <w:div w:id="708997442">
          <w:marLeft w:val="0"/>
          <w:marRight w:val="0"/>
          <w:marTop w:val="0"/>
          <w:marBottom w:val="0"/>
          <w:divBdr>
            <w:top w:val="none" w:sz="0" w:space="0" w:color="auto"/>
            <w:left w:val="none" w:sz="0" w:space="0" w:color="auto"/>
            <w:bottom w:val="none" w:sz="0" w:space="0" w:color="auto"/>
            <w:right w:val="none" w:sz="0" w:space="0" w:color="auto"/>
          </w:divBdr>
          <w:divsChild>
            <w:div w:id="627010612">
              <w:marLeft w:val="0"/>
              <w:marRight w:val="0"/>
              <w:marTop w:val="0"/>
              <w:marBottom w:val="0"/>
              <w:divBdr>
                <w:top w:val="none" w:sz="0" w:space="0" w:color="auto"/>
                <w:left w:val="none" w:sz="0" w:space="0" w:color="auto"/>
                <w:bottom w:val="none" w:sz="0" w:space="0" w:color="auto"/>
                <w:right w:val="none" w:sz="0" w:space="0" w:color="auto"/>
              </w:divBdr>
              <w:divsChild>
                <w:div w:id="86930388">
                  <w:marLeft w:val="0"/>
                  <w:marRight w:val="0"/>
                  <w:marTop w:val="0"/>
                  <w:marBottom w:val="0"/>
                  <w:divBdr>
                    <w:top w:val="none" w:sz="0" w:space="0" w:color="auto"/>
                    <w:left w:val="none" w:sz="0" w:space="0" w:color="auto"/>
                    <w:bottom w:val="none" w:sz="0" w:space="0" w:color="auto"/>
                    <w:right w:val="none" w:sz="0" w:space="0" w:color="auto"/>
                  </w:divBdr>
                  <w:divsChild>
                    <w:div w:id="1781533910">
                      <w:marLeft w:val="0"/>
                      <w:marRight w:val="0"/>
                      <w:marTop w:val="0"/>
                      <w:marBottom w:val="0"/>
                      <w:divBdr>
                        <w:top w:val="none" w:sz="0" w:space="0" w:color="auto"/>
                        <w:left w:val="none" w:sz="0" w:space="0" w:color="auto"/>
                        <w:bottom w:val="none" w:sz="0" w:space="0" w:color="auto"/>
                        <w:right w:val="none" w:sz="0" w:space="0" w:color="auto"/>
                      </w:divBdr>
                      <w:divsChild>
                        <w:div w:id="929507704">
                          <w:marLeft w:val="0"/>
                          <w:marRight w:val="0"/>
                          <w:marTop w:val="0"/>
                          <w:marBottom w:val="0"/>
                          <w:divBdr>
                            <w:top w:val="none" w:sz="0" w:space="0" w:color="auto"/>
                            <w:left w:val="none" w:sz="0" w:space="0" w:color="auto"/>
                            <w:bottom w:val="none" w:sz="0" w:space="0" w:color="auto"/>
                            <w:right w:val="none" w:sz="0" w:space="0" w:color="auto"/>
                          </w:divBdr>
                          <w:divsChild>
                            <w:div w:id="1763602047">
                              <w:marLeft w:val="0"/>
                              <w:marRight w:val="0"/>
                              <w:marTop w:val="0"/>
                              <w:marBottom w:val="0"/>
                              <w:divBdr>
                                <w:top w:val="none" w:sz="0" w:space="0" w:color="auto"/>
                                <w:left w:val="none" w:sz="0" w:space="0" w:color="auto"/>
                                <w:bottom w:val="none" w:sz="0" w:space="0" w:color="auto"/>
                                <w:right w:val="none" w:sz="0" w:space="0" w:color="auto"/>
                              </w:divBdr>
                              <w:divsChild>
                                <w:div w:id="1057900048">
                                  <w:marLeft w:val="0"/>
                                  <w:marRight w:val="0"/>
                                  <w:marTop w:val="0"/>
                                  <w:marBottom w:val="0"/>
                                  <w:divBdr>
                                    <w:top w:val="none" w:sz="0" w:space="0" w:color="auto"/>
                                    <w:left w:val="none" w:sz="0" w:space="0" w:color="auto"/>
                                    <w:bottom w:val="none" w:sz="0" w:space="0" w:color="auto"/>
                                    <w:right w:val="none" w:sz="0" w:space="0" w:color="auto"/>
                                  </w:divBdr>
                                  <w:divsChild>
                                    <w:div w:id="446505404">
                                      <w:marLeft w:val="0"/>
                                      <w:marRight w:val="0"/>
                                      <w:marTop w:val="0"/>
                                      <w:marBottom w:val="0"/>
                                      <w:divBdr>
                                        <w:top w:val="none" w:sz="0" w:space="0" w:color="auto"/>
                                        <w:left w:val="none" w:sz="0" w:space="0" w:color="auto"/>
                                        <w:bottom w:val="none" w:sz="0" w:space="0" w:color="auto"/>
                                        <w:right w:val="none" w:sz="0" w:space="0" w:color="auto"/>
                                      </w:divBdr>
                                      <w:divsChild>
                                        <w:div w:id="397361768">
                                          <w:marLeft w:val="0"/>
                                          <w:marRight w:val="0"/>
                                          <w:marTop w:val="0"/>
                                          <w:marBottom w:val="0"/>
                                          <w:divBdr>
                                            <w:top w:val="none" w:sz="0" w:space="0" w:color="auto"/>
                                            <w:left w:val="none" w:sz="0" w:space="0" w:color="auto"/>
                                            <w:bottom w:val="none" w:sz="0" w:space="0" w:color="auto"/>
                                            <w:right w:val="none" w:sz="0" w:space="0" w:color="auto"/>
                                          </w:divBdr>
                                          <w:divsChild>
                                            <w:div w:id="1196583053">
                                              <w:marLeft w:val="0"/>
                                              <w:marRight w:val="0"/>
                                              <w:marTop w:val="0"/>
                                              <w:marBottom w:val="0"/>
                                              <w:divBdr>
                                                <w:top w:val="none" w:sz="0" w:space="0" w:color="auto"/>
                                                <w:left w:val="none" w:sz="0" w:space="0" w:color="auto"/>
                                                <w:bottom w:val="none" w:sz="0" w:space="0" w:color="auto"/>
                                                <w:right w:val="none" w:sz="0" w:space="0" w:color="auto"/>
                                              </w:divBdr>
                                              <w:divsChild>
                                                <w:div w:id="811561403">
                                                  <w:marLeft w:val="0"/>
                                                  <w:marRight w:val="0"/>
                                                  <w:marTop w:val="0"/>
                                                  <w:marBottom w:val="0"/>
                                                  <w:divBdr>
                                                    <w:top w:val="none" w:sz="0" w:space="0" w:color="auto"/>
                                                    <w:left w:val="none" w:sz="0" w:space="0" w:color="auto"/>
                                                    <w:bottom w:val="none" w:sz="0" w:space="0" w:color="auto"/>
                                                    <w:right w:val="none" w:sz="0" w:space="0" w:color="auto"/>
                                                  </w:divBdr>
                                                  <w:divsChild>
                                                    <w:div w:id="4191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8031">
                                          <w:marLeft w:val="0"/>
                                          <w:marRight w:val="0"/>
                                          <w:marTop w:val="0"/>
                                          <w:marBottom w:val="0"/>
                                          <w:divBdr>
                                            <w:top w:val="none" w:sz="0" w:space="0" w:color="auto"/>
                                            <w:left w:val="none" w:sz="0" w:space="0" w:color="auto"/>
                                            <w:bottom w:val="none" w:sz="0" w:space="0" w:color="auto"/>
                                            <w:right w:val="none" w:sz="0" w:space="0" w:color="auto"/>
                                          </w:divBdr>
                                          <w:divsChild>
                                            <w:div w:id="813876">
                                              <w:marLeft w:val="0"/>
                                              <w:marRight w:val="0"/>
                                              <w:marTop w:val="0"/>
                                              <w:marBottom w:val="0"/>
                                              <w:divBdr>
                                                <w:top w:val="none" w:sz="0" w:space="0" w:color="auto"/>
                                                <w:left w:val="none" w:sz="0" w:space="0" w:color="auto"/>
                                                <w:bottom w:val="none" w:sz="0" w:space="0" w:color="auto"/>
                                                <w:right w:val="none" w:sz="0" w:space="0" w:color="auto"/>
                                              </w:divBdr>
                                              <w:divsChild>
                                                <w:div w:id="548541411">
                                                  <w:marLeft w:val="0"/>
                                                  <w:marRight w:val="0"/>
                                                  <w:marTop w:val="0"/>
                                                  <w:marBottom w:val="0"/>
                                                  <w:divBdr>
                                                    <w:top w:val="none" w:sz="0" w:space="0" w:color="auto"/>
                                                    <w:left w:val="none" w:sz="0" w:space="0" w:color="auto"/>
                                                    <w:bottom w:val="none" w:sz="0" w:space="0" w:color="auto"/>
                                                    <w:right w:val="none" w:sz="0" w:space="0" w:color="auto"/>
                                                  </w:divBdr>
                                                  <w:divsChild>
                                                    <w:div w:id="1710644468">
                                                      <w:marLeft w:val="0"/>
                                                      <w:marRight w:val="0"/>
                                                      <w:marTop w:val="0"/>
                                                      <w:marBottom w:val="0"/>
                                                      <w:divBdr>
                                                        <w:top w:val="none" w:sz="0" w:space="0" w:color="auto"/>
                                                        <w:left w:val="none" w:sz="0" w:space="0" w:color="auto"/>
                                                        <w:bottom w:val="none" w:sz="0" w:space="0" w:color="auto"/>
                                                        <w:right w:val="none" w:sz="0" w:space="0" w:color="auto"/>
                                                      </w:divBdr>
                                                      <w:divsChild>
                                                        <w:div w:id="5076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9747644">
          <w:marLeft w:val="0"/>
          <w:marRight w:val="0"/>
          <w:marTop w:val="0"/>
          <w:marBottom w:val="0"/>
          <w:divBdr>
            <w:top w:val="none" w:sz="0" w:space="0" w:color="auto"/>
            <w:left w:val="none" w:sz="0" w:space="0" w:color="auto"/>
            <w:bottom w:val="none" w:sz="0" w:space="0" w:color="auto"/>
            <w:right w:val="none" w:sz="0" w:space="0" w:color="auto"/>
          </w:divBdr>
          <w:divsChild>
            <w:div w:id="2004164908">
              <w:marLeft w:val="0"/>
              <w:marRight w:val="0"/>
              <w:marTop w:val="0"/>
              <w:marBottom w:val="0"/>
              <w:divBdr>
                <w:top w:val="none" w:sz="0" w:space="0" w:color="auto"/>
                <w:left w:val="none" w:sz="0" w:space="0" w:color="auto"/>
                <w:bottom w:val="none" w:sz="0" w:space="0" w:color="auto"/>
                <w:right w:val="none" w:sz="0" w:space="0" w:color="auto"/>
              </w:divBdr>
              <w:divsChild>
                <w:div w:id="561334053">
                  <w:marLeft w:val="0"/>
                  <w:marRight w:val="0"/>
                  <w:marTop w:val="0"/>
                  <w:marBottom w:val="0"/>
                  <w:divBdr>
                    <w:top w:val="none" w:sz="0" w:space="0" w:color="auto"/>
                    <w:left w:val="none" w:sz="0" w:space="0" w:color="auto"/>
                    <w:bottom w:val="none" w:sz="0" w:space="0" w:color="auto"/>
                    <w:right w:val="none" w:sz="0" w:space="0" w:color="auto"/>
                  </w:divBdr>
                  <w:divsChild>
                    <w:div w:id="1283226473">
                      <w:marLeft w:val="0"/>
                      <w:marRight w:val="0"/>
                      <w:marTop w:val="0"/>
                      <w:marBottom w:val="0"/>
                      <w:divBdr>
                        <w:top w:val="none" w:sz="0" w:space="0" w:color="auto"/>
                        <w:left w:val="none" w:sz="0" w:space="0" w:color="auto"/>
                        <w:bottom w:val="none" w:sz="0" w:space="0" w:color="auto"/>
                        <w:right w:val="none" w:sz="0" w:space="0" w:color="auto"/>
                      </w:divBdr>
                      <w:divsChild>
                        <w:div w:id="166553576">
                          <w:marLeft w:val="0"/>
                          <w:marRight w:val="0"/>
                          <w:marTop w:val="0"/>
                          <w:marBottom w:val="0"/>
                          <w:divBdr>
                            <w:top w:val="none" w:sz="0" w:space="0" w:color="auto"/>
                            <w:left w:val="none" w:sz="0" w:space="0" w:color="auto"/>
                            <w:bottom w:val="none" w:sz="0" w:space="0" w:color="auto"/>
                            <w:right w:val="none" w:sz="0" w:space="0" w:color="auto"/>
                          </w:divBdr>
                          <w:divsChild>
                            <w:div w:id="1040399177">
                              <w:marLeft w:val="0"/>
                              <w:marRight w:val="0"/>
                              <w:marTop w:val="0"/>
                              <w:marBottom w:val="0"/>
                              <w:divBdr>
                                <w:top w:val="none" w:sz="0" w:space="0" w:color="auto"/>
                                <w:left w:val="none" w:sz="0" w:space="0" w:color="auto"/>
                                <w:bottom w:val="none" w:sz="0" w:space="0" w:color="auto"/>
                                <w:right w:val="none" w:sz="0" w:space="0" w:color="auto"/>
                              </w:divBdr>
                              <w:divsChild>
                                <w:div w:id="1671522553">
                                  <w:marLeft w:val="0"/>
                                  <w:marRight w:val="0"/>
                                  <w:marTop w:val="0"/>
                                  <w:marBottom w:val="0"/>
                                  <w:divBdr>
                                    <w:top w:val="none" w:sz="0" w:space="0" w:color="auto"/>
                                    <w:left w:val="none" w:sz="0" w:space="0" w:color="auto"/>
                                    <w:bottom w:val="none" w:sz="0" w:space="0" w:color="auto"/>
                                    <w:right w:val="none" w:sz="0" w:space="0" w:color="auto"/>
                                  </w:divBdr>
                                  <w:divsChild>
                                    <w:div w:id="2054234630">
                                      <w:marLeft w:val="0"/>
                                      <w:marRight w:val="0"/>
                                      <w:marTop w:val="0"/>
                                      <w:marBottom w:val="0"/>
                                      <w:divBdr>
                                        <w:top w:val="none" w:sz="0" w:space="0" w:color="auto"/>
                                        <w:left w:val="none" w:sz="0" w:space="0" w:color="auto"/>
                                        <w:bottom w:val="none" w:sz="0" w:space="0" w:color="auto"/>
                                        <w:right w:val="none" w:sz="0" w:space="0" w:color="auto"/>
                                      </w:divBdr>
                                      <w:divsChild>
                                        <w:div w:id="1460105194">
                                          <w:marLeft w:val="0"/>
                                          <w:marRight w:val="0"/>
                                          <w:marTop w:val="0"/>
                                          <w:marBottom w:val="0"/>
                                          <w:divBdr>
                                            <w:top w:val="none" w:sz="0" w:space="0" w:color="auto"/>
                                            <w:left w:val="none" w:sz="0" w:space="0" w:color="auto"/>
                                            <w:bottom w:val="none" w:sz="0" w:space="0" w:color="auto"/>
                                            <w:right w:val="none" w:sz="0" w:space="0" w:color="auto"/>
                                          </w:divBdr>
                                          <w:divsChild>
                                            <w:div w:id="472260883">
                                              <w:marLeft w:val="0"/>
                                              <w:marRight w:val="0"/>
                                              <w:marTop w:val="0"/>
                                              <w:marBottom w:val="0"/>
                                              <w:divBdr>
                                                <w:top w:val="none" w:sz="0" w:space="0" w:color="auto"/>
                                                <w:left w:val="none" w:sz="0" w:space="0" w:color="auto"/>
                                                <w:bottom w:val="none" w:sz="0" w:space="0" w:color="auto"/>
                                                <w:right w:val="none" w:sz="0" w:space="0" w:color="auto"/>
                                              </w:divBdr>
                                              <w:divsChild>
                                                <w:div w:id="1747336090">
                                                  <w:marLeft w:val="0"/>
                                                  <w:marRight w:val="0"/>
                                                  <w:marTop w:val="0"/>
                                                  <w:marBottom w:val="0"/>
                                                  <w:divBdr>
                                                    <w:top w:val="none" w:sz="0" w:space="0" w:color="auto"/>
                                                    <w:left w:val="none" w:sz="0" w:space="0" w:color="auto"/>
                                                    <w:bottom w:val="none" w:sz="0" w:space="0" w:color="auto"/>
                                                    <w:right w:val="none" w:sz="0" w:space="0" w:color="auto"/>
                                                  </w:divBdr>
                                                  <w:divsChild>
                                                    <w:div w:id="474952077">
                                                      <w:marLeft w:val="0"/>
                                                      <w:marRight w:val="0"/>
                                                      <w:marTop w:val="0"/>
                                                      <w:marBottom w:val="0"/>
                                                      <w:divBdr>
                                                        <w:top w:val="none" w:sz="0" w:space="0" w:color="auto"/>
                                                        <w:left w:val="none" w:sz="0" w:space="0" w:color="auto"/>
                                                        <w:bottom w:val="none" w:sz="0" w:space="0" w:color="auto"/>
                                                        <w:right w:val="none" w:sz="0" w:space="0" w:color="auto"/>
                                                      </w:divBdr>
                                                    </w:div>
                                                    <w:div w:id="906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1454">
      <w:bodyDiv w:val="1"/>
      <w:marLeft w:val="0"/>
      <w:marRight w:val="0"/>
      <w:marTop w:val="0"/>
      <w:marBottom w:val="0"/>
      <w:divBdr>
        <w:top w:val="none" w:sz="0" w:space="0" w:color="auto"/>
        <w:left w:val="none" w:sz="0" w:space="0" w:color="auto"/>
        <w:bottom w:val="none" w:sz="0" w:space="0" w:color="auto"/>
        <w:right w:val="none" w:sz="0" w:space="0" w:color="auto"/>
      </w:divBdr>
    </w:div>
    <w:div w:id="1166625024">
      <w:bodyDiv w:val="1"/>
      <w:marLeft w:val="0"/>
      <w:marRight w:val="0"/>
      <w:marTop w:val="0"/>
      <w:marBottom w:val="0"/>
      <w:divBdr>
        <w:top w:val="none" w:sz="0" w:space="0" w:color="auto"/>
        <w:left w:val="none" w:sz="0" w:space="0" w:color="auto"/>
        <w:bottom w:val="none" w:sz="0" w:space="0" w:color="auto"/>
        <w:right w:val="none" w:sz="0" w:space="0" w:color="auto"/>
      </w:divBdr>
    </w:div>
    <w:div w:id="1335917364">
      <w:bodyDiv w:val="1"/>
      <w:marLeft w:val="0"/>
      <w:marRight w:val="0"/>
      <w:marTop w:val="0"/>
      <w:marBottom w:val="0"/>
      <w:divBdr>
        <w:top w:val="none" w:sz="0" w:space="0" w:color="auto"/>
        <w:left w:val="none" w:sz="0" w:space="0" w:color="auto"/>
        <w:bottom w:val="none" w:sz="0" w:space="0" w:color="auto"/>
        <w:right w:val="none" w:sz="0" w:space="0" w:color="auto"/>
      </w:divBdr>
    </w:div>
    <w:div w:id="1509056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Eur05</b:Tag>
    <b:SourceType>JournalArticle</b:SourceType>
    <b:Guid>{BD5DD4C0-F107-4E53-AC34-FF0EAD4FC378}</b:Guid>
    <b:Author>
      <b:Author>
        <b:Corporate>European Commission</b:Corporate>
      </b:Author>
    </b:Author>
    <b:Title>Housing Finance Systems for Countries in Transition: Principles and Examples</b:Title>
    <b:Year>2005</b:Year>
    <b:City>Switzerland</b:City>
    <b:Publisher>United Nation Publications</b:Publisher>
    <b:URL>http://www.unece.org/fileadmin/DAM/hlm/documents/Publications/housing_finance_system.pdf</b:URL>
    <b:RefOrder>1</b:RefOrder>
  </b:Source>
  <b:Source>
    <b:Tag>Hen15</b:Tag>
    <b:SourceType>JournalArticle</b:SourceType>
    <b:Guid>{D8E273C9-3AB7-432D-9A3E-A1F68E3FA836}</b:Guid>
    <b:Author>
      <b:Author>
        <b:NameList>
          <b:Person>
            <b:Last>Henilane</b:Last>
          </b:Person>
        </b:NameList>
      </b:Author>
    </b:Author>
    <b:Year>2015</b:Year>
    <b:Pages>33-106</b:Pages>
    <b:City>Riga, Latvia</b:City>
    <b:Title>The Evaluation of housing situation in Latvia</b:Title>
    <b:RefOrder>2</b:RefOrder>
  </b:Source>
  <b:Source>
    <b:Tag>Sul01</b:Tag>
    <b:SourceType>JournalArticle</b:SourceType>
    <b:Guid>{DCDF674B-DD7C-431F-A87E-68EC1FFB94A8}</b:Guid>
    <b:Author>
      <b:Author>
        <b:NameList>
          <b:Person>
            <b:Last>Sule</b:Last>
          </b:Person>
          <b:Person>
            <b:Last>Van Kempen</b:Last>
            <b:First>R.</b:First>
          </b:Person>
        </b:NameList>
      </b:Author>
    </b:Author>
    <b:Title>Housing Careers of Minority Ethnic Groups: Experiences, Explanations and Prospects.</b:Title>
    <b:Year>2001</b:Year>
    <b:Pages>365-379</b:Pages>
    <b:RefOrder>5</b:RefOrder>
  </b:Source>
  <b:Source>
    <b:Tag>Ebi03</b:Tag>
    <b:SourceType>JournalArticle</b:SourceType>
    <b:Guid>{9103361F-4A27-47A3-B4DA-A5E1BB05F6B1}</b:Guid>
    <b:Author>
      <b:Author>
        <b:NameList>
          <b:Person>
            <b:Last>Ebie</b:Last>
            <b:First>F</b:First>
          </b:Person>
        </b:NameList>
      </b:Author>
    </b:Author>
    <b:Title>Greater Prospects Ahead in the Mortgage Sector. Houses and Property Magazine</b:Title>
    <b:Year>2004</b:Year>
    <b:Pages>43-49</b:Pages>
    <b:RefOrder>6</b:RefOrder>
  </b:Source>
  <b:Source>
    <b:Tag>UNH01</b:Tag>
    <b:SourceType>JournalArticle</b:SourceType>
    <b:Guid>{BB4A635C-0596-41D2-90DD-CF8B32508150}</b:Guid>
    <b:Author>
      <b:Author>
        <b:Corporate>UN Habitat</b:Corporate>
      </b:Author>
    </b:Author>
    <b:Title>National Trend in Housing Production Practices</b:Title>
    <b:JournalName>Nigeria: United Nations Centre for Human Settlements</b:JournalName>
    <b:Year>2001</b:Year>
    <b:Pages>60-69</b:Pages>
    <b:Volume>4</b:Volume>
    <b:URL>http://www.chs.ubc.ca/archives/files/HS-313.pdf.</b:URL>
    <b:RefOrder>8</b:RefOrder>
  </b:Source>
  <b:Source>
    <b:Tag>Hen12</b:Tag>
    <b:SourceType>JournalArticle</b:SourceType>
    <b:Guid>{014E4AFB-A4CD-4FE9-9C8A-8F9456B3D16D}</b:Guid>
    <b:Author>
      <b:Author>
        <b:NameList>
          <b:Person>
            <b:Last>Henman</b:Last>
            <b:First>P.</b:First>
          </b:Person>
          <b:Person>
            <b:Last>Jones</b:Last>
            <b:First>A.</b:First>
          </b:Person>
        </b:NameList>
      </b:Author>
    </b:Author>
    <b:Title>Exploring the Use of Residual Measures of Housing Affordability in Australia: Methodologies and Concepts.</b:Title>
    <b:JournalName>AHURI Final Report No.180. Melbourne: Australian Housing and Urban Research Institute.</b:JournalName>
    <b:Year>2012</b:Year>
    <b:RefOrder>37</b:RefOrder>
  </b:Source>
  <b:Source>
    <b:Tag>Qui04</b:Tag>
    <b:SourceType>JournalArticle</b:SourceType>
    <b:Guid>{1110E0C2-5DCC-459F-BBB3-8F4FDA861507}</b:Guid>
    <b:Author>
      <b:Author>
        <b:NameList>
          <b:Person>
            <b:Last>Quigley</b:Last>
            <b:First>John</b:First>
            <b:Middle>M</b:Middle>
          </b:Person>
          <b:Person>
            <b:Last>Raphael</b:Last>
            <b:First>Steven</b:First>
          </b:Person>
        </b:NameList>
      </b:Author>
    </b:Author>
    <b:Title>Is Housing Unaffordable? Why Isn't It More Affordable?</b:Title>
    <b:JournalName>Journal of Economic Perspectives</b:JournalName>
    <b:Year>2004</b:Year>
    <b:Pages>191-214</b:Pages>
    <b:Month>February</b:Month>
    <b:RefOrder>3</b:RefOrder>
  </b:Source>
  <b:Source>
    <b:Tag>Bra90</b:Tag>
    <b:SourceType>JournalArticle</b:SourceType>
    <b:Guid>{49DCD0E9-FCFA-4FB1-8608-1F5A5F00B4E1}</b:Guid>
    <b:Author>
      <b:Author>
        <b:NameList>
          <b:Person>
            <b:Last>Bramley</b:Last>
          </b:Person>
        </b:NameList>
      </b:Author>
    </b:Author>
    <b:Title>Access, Affordability and Housing Need</b:Title>
    <b:Year>1990</b:Year>
    <b:City>Bristol</b:City>
    <b:RefOrder>4</b:RefOrder>
  </b:Source>
  <b:Source>
    <b:Tag>Alu10</b:Tag>
    <b:SourceType>JournalArticle</b:SourceType>
    <b:Guid>{3D3111AB-467D-44F1-9B5A-68F4B74A8A87}</b:Guid>
    <b:Author>
      <b:Author>
        <b:NameList>
          <b:Person>
            <b:Last>Aluko</b:Last>
            <b:First>O.</b:First>
          </b:Person>
        </b:NameList>
      </b:Author>
    </b:Author>
    <b:Title>The Impact of Urbanization on Housing Development: The Lagos Experience, Nigeria.</b:Title>
    <b:Year>2010 </b:Year>
    <b:JournalName>Ethiopian Journal of Environmental Studies and Management</b:JournalName>
    <b:RefOrder>7</b:RefOrder>
  </b:Source>
  <b:Source>
    <b:Tag>Pen01</b:Tag>
    <b:SourceType>JournalArticle</b:SourceType>
    <b:Guid>{7EDBA14A-27CA-4834-84C9-800911A69CC3}</b:Guid>
    <b:Title>“Consumption poverty in Canada, 1969 to 1998.”</b:Title>
    <b:Year>2001</b:Year>
    <b:Author>
      <b:Author>
        <b:NameList>
          <b:Person>
            <b:Last>Pendakur</b:Last>
            <b:First>Krishna.</b:First>
          </b:Person>
        </b:NameList>
      </b:Author>
    </b:Author>
    <b:Pages>125–149.</b:Pages>
    <b:Volume>27</b:Volume>
    <b:StandardNumber>2</b:StandardNumber>
    <b:RefOrder>9</b:RefOrder>
  </b:Source>
  <b:Source>
    <b:Tag>Can05</b:Tag>
    <b:SourceType>JournalArticle</b:SourceType>
    <b:Guid>{940D8B3B-9CC6-4839-ACEC-42724B0E87EF}</b:Guid>
    <b:Author>
      <b:Author>
        <b:Corporate>Canada Mortgage and Housing Corporation (CMHC)</b:Corporate>
      </b:Author>
    </b:Author>
    <b:Title>2001 Census Housing Series: Issue 8 Revised: Households Spending at least 50% of their Income on Shelter.</b:Title>
    <b:Year>2005</b:Year>
    <b:City>Ottawa</b:City>
    <b:RefOrder>10</b:RefOrder>
  </b:Source>
  <b:Source>
    <b:Tag>Bel05</b:Tag>
    <b:SourceType>JournalArticle</b:SourceType>
    <b:Guid>{3DD56053-ECFC-4CF8-A060-064713A03296}</b:Guid>
    <b:Author>
      <b:Author>
        <b:NameList>
          <b:Person>
            <b:Last>Belsky</b:Last>
            <b:First>E.</b:First>
            <b:Middle>S</b:Middle>
          </b:Person>
          <b:Person>
            <b:Last>Goodman</b:Last>
            <b:First>J</b:First>
          </b:Person>
          <b:Person>
            <b:Last>Drew</b:Last>
            <b:First>R.</b:First>
          </b:Person>
        </b:NameList>
      </b:Author>
    </b:Author>
    <b:Title>Measuring the Nation's Rental Housing Affordability Problem</b:Title>
    <b:Year>2005</b:Year>
    <b:URL>http://www.jchs.harvard.edu/research/publications.</b:URL>
    <b:RefOrder>11</b:RefOrder>
  </b:Source>
  <b:Source>
    <b:Tag>Nat10</b:Tag>
    <b:SourceType>JournalArticle</b:SourceType>
    <b:Guid>{AC7C4522-8A04-465A-9D55-FF6AEAA0048B}</b:Guid>
    <b:Author>
      <b:Author>
        <b:Corporate>National Housing and Planning Advice Unit [NHPAU]</b:Corporate>
      </b:Author>
    </b:Author>
    <b:Title>Housing Affordability: A Fuller Picture</b:Title>
    <b:JournalName>Titchfield: NHPAU.</b:JournalName>
    <b:Year>2010</b:Year>
    <b:RefOrder>12</b:RefOrder>
  </b:Source>
  <b:Source>
    <b:Tag>Tan09</b:Tag>
    <b:SourceType>JournalArticle</b:SourceType>
    <b:Guid>{854B1ABC-CF0A-484B-AA45-4C42718E6F20}</b:Guid>
    <b:Author>
      <b:Author>
        <b:NameList>
          <b:Person>
            <b:Last>Tang</b:Last>
            <b:First>C.</b:First>
            <b:Middle>P.</b:Middle>
          </b:Person>
        </b:NameList>
      </b:Author>
    </b:Author>
    <b:Title>Affordability of Housing Association Rents: Rent-to-Income Ratio vs. residual Income. A Dataspring Briefing Paper on behalf of the Tenant Services Authority</b:Title>
    <b:JournalName>Cambridge Centre for Housing and Planning Research, Department of land economy, University of Cambridge.</b:JournalName>
    <b:Year>2009</b:Year>
    <b:RefOrder>13</b:RefOrder>
  </b:Source>
  <b:Source>
    <b:Tag>Yat06</b:Tag>
    <b:SourceType>JournalArticle</b:SourceType>
    <b:Guid>{FD570D81-6E7B-4F1B-9187-B44EF79AEE17}</b:Guid>
    <b:Author>
      <b:Author>
        <b:NameList>
          <b:Person>
            <b:Last>Yates</b:Last>
            <b:First>J</b:First>
          </b:Person>
          <b:Person>
            <b:Last>Gabriel</b:Last>
            <b:First>M</b:First>
          </b:Person>
        </b:NameList>
      </b:Author>
    </b:Author>
    <b:Title>Housing Affordability in Australia</b:Title>
    <b:JournalName>National Research Venture 3: Housing Affordability for lower income Australians Research paper 3 Sydney: Australian Housing and Urban Research Institute.</b:JournalName>
    <b:Year>2006</b:Year>
    <b:RefOrder>14</b:RefOrder>
  </b:Source>
  <b:Source>
    <b:Tag>May92</b:Tag>
    <b:SourceType>JournalArticle</b:SourceType>
    <b:Guid>{69508D44-ED69-4C97-B50C-E986792A47A2}</b:Guid>
    <b:Author>
      <b:Author>
        <b:NameList>
          <b:Person>
            <b:Last>Mayo</b:Last>
            <b:First>S.</b:First>
          </b:Person>
          <b:Person>
            <b:Last>Stephens</b:Last>
            <b:First>W.</b:First>
          </b:Person>
        </b:NameList>
      </b:Author>
    </b:Author>
    <b:Title>Housing Indicators Program</b:Title>
    <b:Year>1992</b:Year>
    <b:YearAccessed>2012</b:YearAccessed>
    <b:MonthAccessed>April</b:MonthAccessed>
    <b:DayAccessed>23</b:DayAccessed>
    <b:URL>http://siteresources.worldbank.org/INTURBANDEVELOPMENT/Resources/336387-1169578899171/rd-hs7.htm.</b:URL>
    <b:RefOrder>15</b:RefOrder>
  </b:Source>
  <b:Source>
    <b:Tag>Jon11</b:Tag>
    <b:SourceType>JournalArticle</b:SourceType>
    <b:Guid>{428BAF63-10B4-4A63-80A8-5FEA233DECD3}</b:Guid>
    <b:Author>
      <b:Author>
        <b:NameList>
          <b:Person>
            <b:Last>Jones</b:Last>
            <b:First>C.</b:First>
          </b:Person>
          <b:Person>
            <b:Last>Watkins</b:Last>
            <b:First>C.</b:First>
          </b:Person>
          <b:Person>
            <b:Last>Watkins</b:Last>
            <b:First>D.</b:First>
          </b:Person>
        </b:NameList>
      </b:Author>
    </b:Author>
    <b:Title>Measuring local affordability: Variations between housing market areas.</b:Title>
    <b:JournalName>International Journal of Housing Markets and Analysis</b:JournalName>
    <b:Year>2011</b:Year>
    <b:Pages>341-356.</b:Pages>
    <b:Volume>4</b:Volume>
    <b:RefOrder>16</b:RefOrder>
  </b:Source>
  <b:Source>
    <b:Tag>Hul95</b:Tag>
    <b:SourceType>JournalArticle</b:SourceType>
    <b:Guid>{97008D5E-36E3-4866-9670-C3B3FF42956C}</b:Guid>
    <b:Author>
      <b:Author>
        <b:NameList>
          <b:Person>
            <b:Last>Hulchanski</b:Last>
            <b:First>J.</b:First>
            <b:Middle>D</b:Middle>
          </b:Person>
        </b:NameList>
      </b:Author>
    </b:Author>
    <b:Title>The concept of housing affordability: Six contemporary uses of the housing expenditures-to-income ratio</b:Title>
    <b:JournalName>Housing Studies</b:JournalName>
    <b:Year>1995</b:Year>
    <b:Pages>471 - 492</b:Pages>
    <b:RefOrder>17</b:RefOrder>
  </b:Source>
  <b:Source>
    <b:Tag>Kim12</b:Tag>
    <b:SourceType>JournalArticle</b:SourceType>
    <b:Guid>{008C087E-F94D-441D-9C4E-D1E5237504AB}</b:Guid>
    <b:Author>
      <b:Author>
        <b:NameList>
          <b:Person>
            <b:Last>Kim</b:Last>
            <b:First>K,</b:First>
          </b:Person>
          <b:Person>
            <b:Last>Cho</b:Last>
            <b:First>M.</b:First>
          </b:Person>
        </b:NameList>
      </b:Author>
    </b:Author>
    <b:Title>Structural changes, housing price dynamics and housing affordability in Korea.</b:Title>
    <b:JournalName>Housing Studies</b:JournalName>
    <b:Year>2012</b:Year>
    <b:Pages>839-856</b:Pages>
    <b:RefOrder>18</b:RefOrder>
  </b:Source>
  <b:Source>
    <b:Tag>Mar00</b:Tag>
    <b:SourceType>JournalArticle</b:SourceType>
    <b:Guid>{C35F96E7-1CA6-4FC9-BFA8-D391D172EB3E}</b:Guid>
    <b:Author>
      <b:Author>
        <b:NameList>
          <b:Person>
            <b:Last>Marshall</b:Last>
            <b:First>D</b:First>
          </b:Person>
          <b:Person>
            <b:Last>Grant</b:Last>
            <b:First>F.L</b:First>
          </b:Person>
          <b:Person>
            <b:Last>Freeman</b:Last>
            <b:First>A</b:First>
          </b:Person>
          <b:Person>
            <b:Last>Whitehead</b:Last>
            <b:First>C.</b:First>
          </b:Person>
        </b:NameList>
      </b:Author>
    </b:Author>
    <b:Title>Getting Rents Right? The Place of Affordability in the Rent Setting Process: A Summary Report.</b:Title>
    <b:JournalName>Cambridge Housing and Planning Research, University of Cambridge.</b:JournalName>
    <b:Year>2000</b:Year>
    <b:RefOrder>19</b:RefOrder>
  </b:Source>
  <b:Source>
    <b:Tag>Sto6a</b:Tag>
    <b:SourceType>JournalArticle</b:SourceType>
    <b:Guid>{0D901B5A-4F13-4BD1-8FAC-F2CA75A26263}</b:Guid>
    <b:Author>
      <b:Author>
        <b:NameList>
          <b:Person>
            <b:Last>Stone</b:Last>
          </b:Person>
        </b:NameList>
      </b:Author>
    </b:Author>
    <b:Title>A housing affordability standard for the UK.</b:Title>
    <b:JournalName>Housing Studies</b:JournalName>
    <b:Year>2006a</b:Year>
    <b:Pages>453 - 476</b:Pages>
    <b:Volume>21</b:Volume>
    <b:RefOrder>20</b:RefOrder>
  </b:Source>
  <b:Source>
    <b:Tag>Bur11</b:Tag>
    <b:SourceType>JournalArticle</b:SourceType>
    <b:Guid>{CB3DB8A5-BB24-4B49-BEE0-C746E278C5C3}</b:Guid>
    <b:Author>
      <b:Author>
        <b:NameList>
          <b:Person>
            <b:Last>Burke</b:Last>
            <b:First>T.</b:First>
          </b:Person>
          <b:Person>
            <b:Last>Stone</b:Last>
            <b:First>M.</b:First>
          </b:Person>
          <b:Person>
            <b:Last>Ralston</b:Last>
            <b:First>L.</b:First>
          </b:Person>
        </b:NameList>
      </b:Author>
    </b:Author>
    <b:Title>The Residual Income Method: A New Lens on Housing Affordability and Market Behaviour.</b:Title>
    <b:JournalName>AHURI Final Report No. 176. Melbourne: Australian Housing and Urban Research Institute.</b:JournalName>
    <b:Year>2011</b:Year>
    <b:RefOrder>21</b:RefOrder>
  </b:Source>
  <b:Source>
    <b:Tag>Bou96</b:Tag>
    <b:SourceType>JournalArticle</b:SourceType>
    <b:Guid>{7039EACE-BEF7-4D08-8C78-91F4325D4BF2}</b:Guid>
    <b:Author>
      <b:Author>
        <b:NameList>
          <b:Person>
            <b:Last>Bourassa</b:Last>
            <b:First>S.</b:First>
            <b:Middle>C.</b:Middle>
          </b:Person>
        </b:NameList>
      </b:Author>
    </b:Author>
    <b:Title>Measuring the affordability of home-ownership.</b:Title>
    <b:JournalName>Urban Studies</b:JournalName>
    <b:Year>1996</b:Year>
    <b:Pages>1867 - 1877</b:Pages>
    <b:RefOrder>22</b:RefOrder>
  </b:Source>
  <b:Source>
    <b:Tag>Cha96</b:Tag>
    <b:SourceType>JournalArticle</b:SourceType>
    <b:Guid>{41404A34-7683-47A6-92E7-90574B84F083}</b:Guid>
    <b:Author>
      <b:Author>
        <b:NameList>
          <b:Person>
            <b:Last>Chaplin</b:Last>
            <b:First>R.</b:First>
          </b:Person>
          <b:Person>
            <b:Last>Freeman</b:Last>
            <b:First>A.</b:First>
          </b:Person>
        </b:NameList>
      </b:Author>
    </b:Author>
    <b:Title>Towards an an accurate description of affordability.</b:Title>
    <b:JournalName>Urban Studies.</b:JournalName>
    <b:Year>1996</b:Year>
    <b:Pages>1949 - 1957</b:Pages>
    <b:RefOrder>23</b:RefOrder>
  </b:Source>
  <b:Source>
    <b:Tag>Tha03</b:Tag>
    <b:SourceType>JournalArticle</b:SourceType>
    <b:Guid>{CAC41732-5C96-4CC7-8AA5-B5EC2B08D3CA}</b:Guid>
    <b:Author>
      <b:Author>
        <b:NameList>
          <b:Person>
            <b:Last>Thalmann</b:Last>
            <b:First>P.</b:First>
          </b:Person>
        </b:NameList>
      </b:Author>
    </b:Author>
    <b:Title>'House poor' or simply 'poor'?</b:Title>
    <b:JournalName>Journal of Housing Economics</b:JournalName>
    <b:Year>2003</b:Year>
    <b:Pages>291–317</b:Pages>
    <b:Issue>12</b:Issue>
    <b:RefOrder>24</b:RefOrder>
  </b:Source>
  <b:Source>
    <b:Tag>Har17</b:Tag>
    <b:SourceType>JournalArticle</b:SourceType>
    <b:Guid>{42E5A3B6-C944-412A-BE2C-916CDE2A255C}</b:Guid>
    <b:Author>
      <b:Author>
        <b:NameList>
          <b:Person>
            <b:Last>Hartwich</b:Last>
            <b:First>O.</b:First>
          </b:Person>
        </b:NameList>
      </b:Author>
    </b:Author>
    <b:Title>Introduction: Housing Affordability: A Social Imperative</b:Title>
    <b:Year>2017</b:Year>
    <b:RefOrder>25</b:RefOrder>
  </b:Source>
  <b:Source>
    <b:Tag>Ndu09</b:Tag>
    <b:SourceType>JournalArticle</b:SourceType>
    <b:Guid>{4098D2A1-7546-4008-A87D-C9A71AB0996A}</b:Guid>
    <b:Author>
      <b:Author>
        <b:NameList>
          <b:Person>
            <b:Last>Ndubueze</b:Last>
            <b:First>O.</b:First>
            <b:Middle>J.</b:Middle>
          </b:Person>
        </b:NameList>
      </b:Author>
    </b:Author>
    <b:Title>Urban Housing Affordability and Housing Policy Dilemmas in Nigeria.</b:Title>
    <b:JournalName>Unpublished PhD thesis, University of Birmingham</b:JournalName>
    <b:Year>2009</b:Year>
    <b:YearAccessed>2009</b:YearAccessed>
    <b:MonthAccessed>December</b:MonthAccessed>
    <b:DayAccessed>30</b:DayAccessed>
    <b:URL>http://ethesis.bham.ac.uk.</b:URL>
    <b:RefOrder>26</b:RefOrder>
  </b:Source>
  <b:Source>
    <b:Tag>LiJ14</b:Tag>
    <b:SourceType>JournalArticle</b:SourceType>
    <b:Guid>{DD7F7343-3873-4B09-B8F1-D551CF7025FA}</b:Guid>
    <b:Author>
      <b:Author>
        <b:NameList>
          <b:Person>
            <b:Last>Li</b:Last>
            <b:First>J.</b:First>
          </b:Person>
        </b:NameList>
      </b:Author>
    </b:Author>
    <b:Title>Recent Trends on Housing Affordability Research: What are We up to?</b:Title>
    <b:JournalName>Urban Research Group – CityU on Cities Working Paper Series, No. 5/2014.</b:JournalName>
    <b:Year>2014 </b:Year>
    <b:RefOrder>27</b:RefOrder>
  </b:Source>
  <b:Source>
    <b:Tag>Whi91</b:Tag>
    <b:SourceType>JournalArticle</b:SourceType>
    <b:Guid>{087412FE-0E6F-4BD5-B050-7CA2ED3CC136}</b:Guid>
    <b:Author>
      <b:Author>
        <b:NameList>
          <b:Person>
            <b:Last>Whitehead</b:Last>
            <b:First>C.</b:First>
            <b:Middle>M.</b:Middle>
          </b:Person>
        </b:NameList>
      </b:Author>
    </b:Author>
    <b:Title>"From need to affordability: An analysis of UK housing objectives"</b:Title>
    <b:JournalName>Urban Studies</b:JournalName>
    <b:Year>1991</b:Year>
    <b:Pages>871-877</b:Pages>
    <b:RefOrder>28</b:RefOrder>
  </b:Source>
  <b:Source>
    <b:Tag>Swa02</b:Tag>
    <b:SourceType>JournalArticle</b:SourceType>
    <b:Guid>{9E2E6D94-A8C4-4AD8-827E-9B149A273366}</b:Guid>
    <b:Author>
      <b:Author>
        <b:NameList>
          <b:Person>
            <b:Last>Swartz</b:Last>
            <b:First>R.</b:First>
          </b:Person>
          <b:Person>
            <b:Last>Miller</b:Last>
            <b:First>B.</b:First>
          </b:Person>
        </b:NameList>
      </b:Author>
    </b:Author>
    <b:Title>Welfare reform and housing</b:Title>
    <b:Year>2002</b:Year>
    <b:URL>https://www.brookings.edu/wp-content/uploads/2016/06/pb16.pdf</b:URL>
    <b:RefOrder>29</b:RefOrder>
  </b:Source>
  <b:Source>
    <b:Tag>Yat07</b:Tag>
    <b:SourceType>JournalArticle</b:SourceType>
    <b:Guid>{473A082E-800B-4285-A357-9C0F623C8E91}</b:Guid>
    <b:Author>
      <b:Author>
        <b:NameList>
          <b:Person>
            <b:Last>Yates</b:Last>
            <b:First>J.,</b:First>
            <b:Middle>Milligan, V.</b:Middle>
          </b:Person>
          <b:Person>
            <b:Last>Berry</b:Last>
            <b:First>M.</b:First>
          </b:Person>
          <b:Person>
            <b:Last>Burke</b:Last>
            <b:First>T.</b:First>
          </b:Person>
          <b:Person>
            <b:Last>Gabriel</b:Last>
            <b:First>M.</b:First>
          </b:Person>
          <b:Person>
            <b:Last>Phibbs</b:Last>
            <b:First>P.</b:First>
          </b:Person>
          <b:Person>
            <b:Last>Pinnegar</b:Last>
            <b:First>S.</b:First>
          </b:Person>
          <b:Person>
            <b:Last>Randolph</b:Last>
            <b:First>B.</b:First>
          </b:Person>
        </b:NameList>
      </b:Author>
    </b:Author>
    <b:Title>Housing affordability: A 21st century problem</b:Title>
    <b:JournalName>Australian Housing and Urban Research Institute</b:JournalName>
    <b:Year>2007</b:Year>
    <b:RefOrder>30</b:RefOrder>
  </b:Source>
  <b:Source>
    <b:Tag>Ari08</b:Tag>
    <b:SourceType>JournalArticle</b:SourceType>
    <b:Guid>{36191F25-E105-4A8C-B7CE-2063BF788A49}</b:Guid>
    <b:Author>
      <b:Author>
        <b:NameList>
          <b:Person>
            <b:Last>Aribigbola</b:Last>
            <b:First>A.</b:First>
          </b:Person>
        </b:NameList>
      </b:Author>
    </b:Author>
    <b:Title>Housing policy formulation in developing countries: Evidence of programme implementation from Akure, Ondo State Nigeria.</b:Title>
    <b:JournalName>Journal of Human Ecology</b:JournalName>
    <b:Year>2008</b:Year>
    <b:Pages>125-134</b:Pages>
    <b:Volume>23</b:Volume>
    <b:Issue>2</b:Issue>
    <b:RefOrder>31</b:RefOrder>
  </b:Source>
  <b:Source>
    <b:Tag>Wor10</b:Tag>
    <b:SourceType>JournalArticle</b:SourceType>
    <b:Guid>{47B0717D-833D-4387-9617-0A30A57F058D}</b:Guid>
    <b:Author>
      <b:Author>
        <b:Corporate>World Bank. </b:Corporate>
      </b:Author>
    </b:Author>
    <b:Title>World development indicators.</b:Title>
    <b:Year>2010</b:Year>
    <b:RefOrder>32</b:RefOrder>
  </b:Source>
  <b:Source>
    <b:Tag>Pis101</b:Tag>
    <b:SourceType>JournalArticle</b:SourceType>
    <b:Guid>{52F00C06-75CE-42F9-9863-C3E6FE6701EF}</b:Guid>
    <b:Author>
      <b:Author>
        <b:Corporate>Pison Housing Company</b:Corporate>
      </b:Author>
    </b:Author>
    <b:Title>Overview of the housing finance sector in Nigeria.</b:Title>
    <b:JournalName>Commissioned by EFInA and FinMark, Finmark Trust</b:JournalName>
    <b:Year>2010</b:Year>
    <b:Pages>15-20</b:Pages>
    <b:Volume>1</b:Volume>
    <b:RefOrder>33</b:RefOrder>
  </b:Source>
  <b:Source>
    <b:Tag>Anu05</b:Tag>
    <b:SourceType>JournalArticle</b:SourceType>
    <b:Guid>{C1017E67-F99C-4E1E-AC2C-E58BE804F8D4}</b:Guid>
    <b:Author>
      <b:Author>
        <b:NameList>
          <b:Person>
            <b:Last>Anugwom</b:Last>
            <b:First>E.</b:First>
            <b:Middle>E.</b:Middle>
          </b:Person>
        </b:NameList>
      </b:Author>
    </b:Author>
    <b:Title>Privatization of workers housing provision: The national housing fund scheme in Nigeria for African training and research centre in administration for development.</b:Title>
    <b:Year>2005</b:Year>
    <b:RefOrder>34</b:RefOrder>
  </b:Source>
  <b:Source>
    <b:Tag>Oni95</b:Tag>
    <b:SourceType>JournalArticle</b:SourceType>
    <b:Guid>{EA7A930E-0D68-4284-B88B-77576569B47D}</b:Guid>
    <b:Author>
      <b:Author>
        <b:NameList>
          <b:Person>
            <b:Last>Onibokun</b:Last>
            <b:First>A.</b:First>
          </b:Person>
          <b:Person>
            <b:Last>Faniran</b:Last>
            <b:First>A.</b:First>
          </b:Person>
        </b:NameList>
      </b:Author>
    </b:Author>
    <b:Title> Urbanization and Urban Problems in Nigeria In: Urban Research in Nigeria</b:Title>
    <b:Year>1995</b:Year>
    <b:RefOrder>35</b:RefOrder>
  </b:Source>
  <b:Source>
    <b:Tag>Iwe07</b:Tag>
    <b:SourceType>Book</b:SourceType>
    <b:Guid>{8B9D57FE-3D3D-460F-B5A5-30E08A1C8A65}</b:Guid>
    <b:Author>
      <b:Author>
        <b:NameList>
          <b:Person>
            <b:Last>Iwena</b:Last>
            <b:First>O.</b:First>
            <b:Middle>A.</b:Middle>
          </b:Person>
        </b:NameList>
      </b:Author>
    </b:Author>
    <b:Title>Essentail Agricultural Science for Senior Secondary School</b:Title>
    <b:Year>2007</b:Year>
    <b:City>Ibafo</b:City>
    <b:Publisher>Tonad Publishers</b:Publisher>
    <b:RefOrder>36</b:RefOrder>
  </b:Source>
  <b:Source>
    <b:Tag>Aki07</b:Tag>
    <b:SourceType>JournalArticle</b:SourceType>
    <b:Guid>{57EE20E2-09A8-447C-B6D5-0E947006EA22}</b:Guid>
    <b:Author>
      <b:Author>
        <b:NameList>
          <b:Person>
            <b:Last>Akinmoladun</b:Last>
            <b:First>O</b:First>
          </b:Person>
          <b:Person>
            <b:Last>Oluwoye</b:Last>
            <b:First>J.</b:First>
          </b:Person>
        </b:NameList>
      </b:Author>
    </b:Author>
    <b:Title>An Assessment of Why the Problems of Housing Shortage Persist in Developing Countries: A Case Study of Lagos Metropolis, Nigeria</b:Title>
    <b:JournalName>Pakistan Journal of Social Science</b:JournalName>
    <b:Year>2007</b:Year>
    <b:Pages>589-598</b:Pages>
    <b:RefOrder>38</b:RefOrder>
  </b:Source>
  <b:Source>
    <b:Tag>Ade08</b:Tag>
    <b:SourceType>JournalArticle</b:SourceType>
    <b:Guid>{69093525-A4BB-40D3-B07F-759DC8B4E80C}</b:Guid>
    <b:Author>
      <b:Author>
        <b:NameList>
          <b:Person>
            <b:Last>Ademiluyi</b:Last>
            <b:First>A.</b:First>
            <b:Middle>I</b:Middle>
          </b:Person>
          <b:Person>
            <b:Last>Raji</b:Last>
            <b:First>B.</b:First>
            <b:Middle>A.</b:Middle>
          </b:Person>
        </b:NameList>
      </b:Author>
    </b:Author>
    <b:Title>Public and Private Developers as Agents in Urban Housing Delivery in Sub- Saharan Africa: The Situation in Lagos State. Humanity</b:Title>
    <b:Year>2008</b:Year>
    <b:RefOrder>39</b:RefOrder>
  </b:Source>
  <b:Source>
    <b:Tag>Fed91</b:Tag>
    <b:SourceType>JournalArticle</b:SourceType>
    <b:Guid>{2EBF60E3-7F52-4229-8D48-B029AD660A43}</b:Guid>
    <b:Author>
      <b:Author>
        <b:Corporate>Federal Government of Nigeria (FGN)</b:Corporate>
      </b:Author>
    </b:Author>
    <b:Title>National Housing Policy</b:Title>
    <b:Year>1991</b:Year>
    <b:Publisher>Federal Ministry of Works and Housing, Lagos.</b:Publisher>
    <b:RefOrder>40</b:RefOrder>
  </b:Source>
  <b:Source>
    <b:Tag>Smi09</b:Tag>
    <b:SourceType>JournalArticle</b:SourceType>
    <b:Guid>{3B194AB2-7969-40D4-A473-6C8D41A8E70C}</b:Guid>
    <b:Author>
      <b:Author>
        <b:NameList>
          <b:Person>
            <b:Last>Smith</b:Last>
            <b:First>S</b:First>
          </b:Person>
        </b:NameList>
      </b:Author>
    </b:Author>
    <b:Title>AHURI research agenda: Looking forward, Australian Housing and Urban Research Institute, Melbourne.</b:Title>
    <b:Year>2009</b:Year>
    <b:RefOrder>41</b:RefOrder>
  </b:Source>
  <b:Source>
    <b:Tag>Daw09</b:Tag>
    <b:SourceType>Book</b:SourceType>
    <b:Guid>{EB3950CF-E4F1-457C-8A76-B8B4166D1F6D}</b:Guid>
    <b:Author>
      <b:Author>
        <b:NameList>
          <b:Person>
            <b:Last>Dawson</b:Last>
          </b:Person>
        </b:NameList>
      </b:Author>
    </b:Author>
    <b:Title>Introduction to Research Methods: A Practical Guide for Anyone Undertaking a Research Project</b:Title>
    <b:Year>2009</b:Year>
    <b:Publisher>Oxford</b:Publisher>
    <b:Edition>4th</b:Edition>
    <b:RefOrder>42</b:RefOrder>
  </b:Source>
  <b:Source>
    <b:Tag>Kot04</b:Tag>
    <b:SourceType>Book</b:SourceType>
    <b:Guid>{D8E477E6-5B61-40AD-812A-8B7C0A1771EE}</b:Guid>
    <b:Author>
      <b:Author>
        <b:NameList>
          <b:Person>
            <b:Last>Kothari</b:Last>
          </b:Person>
        </b:NameList>
      </b:Author>
    </b:Author>
    <b:Title>Research Methodology; Methods and Techniques</b:Title>
    <b:Year>2004</b:Year>
    <b:City>Jalpur</b:City>
    <b:Publisher>New Age International Publishers</b:Publisher>
    <b:CountryRegion>India</b:CountryRegion>
    <b:Edition>2nd</b:Edition>
    <b:RefOrder>43</b:RefOrder>
  </b:Source>
  <b:Source>
    <b:Tag>Agb041</b:Tag>
    <b:SourceType>Book</b:SourceType>
    <b:Guid>{336C0E01-EEB0-4D66-8368-3643CF05E3F8}</b:Guid>
    <b:Author>
      <b:Author>
        <b:NameList>
          <b:Person>
            <b:Last>Agbola</b:Last>
            <b:First>Tunde</b:First>
          </b:Person>
          <b:Person>
            <b:Last>Oladoja</b:Last>
          </b:Person>
        </b:NameList>
      </b:Author>
    </b:Author>
    <b:Title>"Philosophy and Theory of Urban and Regional Planning." in Agbola Tunde (ed.) Reading in Urban and Regional Planning</b:Title>
    <b:Year>2004</b:Year>
    <b:City>Ibadan</b:City>
    <b:Publisher>Ibadan Macmillan </b:Publisher>
    <b:RefOrder>44</b:RefOrder>
  </b:Source>
  <b:Source>
    <b:Tag>Agb04</b:Tag>
    <b:SourceType>Book</b:SourceType>
    <b:Guid>{0786DBD2-4511-4EA6-8437-2153C7A73F15}</b:Guid>
    <b:Author>
      <b:Author>
        <b:NameList>
          <b:Person>
            <b:Last>Agbola</b:Last>
            <b:First>Tunde</b:First>
          </b:Person>
          <b:Person>
            <b:Last>Olatubara</b:Last>
          </b:Person>
        </b:NameList>
      </b:Author>
    </b:Author>
    <b:Title>"Writing in Urban and Regional Planning Dissertation". in Agbola Tunde (ed.) Reading in Urban and Regional Planning</b:Title>
    <b:Year>2004</b:Year>
    <b:Pages>555-581</b:Pages>
    <b:Publisher>Ibadan Macmillan</b:Publisher>
    <b:City>Ibadan</b:City>
    <b:RefOrder>45</b:RefOrder>
  </b:Source>
  <b:Source>
    <b:Tag>Cox17</b:Tag>
    <b:SourceType>JournalArticle</b:SourceType>
    <b:Guid>{FB41A8D8-9D58-4E8E-9C45-809D81CFCC14}</b:Guid>
    <b:Author>
      <b:Author>
        <b:NameList>
          <b:Person>
            <b:Last>Cox</b:Last>
            <b:First>W</b:First>
          </b:Person>
          <b:Person>
            <b:Last>Pavletich</b:Last>
            <b:First>H.</b:First>
          </b:Person>
        </b:NameList>
      </b:Author>
    </b:Author>
    <b:Title>13th Annual Demographia International Housing Affordabilty Survey; 2017</b:Title>
    <b:JournalName>Belleville: Demographia International / Performance Urban</b:JournalName>
    <b:Year>2017</b:Year>
    <b:URL>http://www.demographia.com/dhi.pdf.</b:URL>
    <b:RefOrder>46</b:RefOrder>
  </b:Source>
  <b:Source>
    <b:Tag>Bur03</b:Tag>
    <b:SourceType>JournalArticle</b:SourceType>
    <b:Guid>{717C2D31-7624-4667-8300-97E0F7E2D906}</b:Guid>
    <b:Author>
      <b:Author>
        <b:NameList>
          <b:Person>
            <b:Last>Burke</b:Last>
            <b:First>T</b:First>
          </b:Person>
          <b:Person>
            <b:Last>Ralston</b:Last>
            <b:First>L.</b:First>
          </b:Person>
        </b:NameList>
      </b:Author>
    </b:Author>
    <b:Title>Analysis of Expenditure Patterns and Levels of Household Indebtedness of Public and Private Rental Households,1975 - 1999.</b:Title>
    <b:JournalName>AHURI Final Report No 34. Melbourne: Australian Housing and Urban Research Institute.</b:JournalName>
    <b:Year>2003</b:Year>
    <b:RefOrder>47</b:RefOrder>
  </b:Source>
  <b:Source>
    <b:Tag>Chu18</b:Tag>
    <b:SourceType>JournalArticle</b:SourceType>
    <b:Guid>{FF4A82D3-79CC-4728-A60B-C2BF9A5CE3DE}</b:Guid>
    <b:Author>
      <b:Author>
        <b:NameList>
          <b:Person>
            <b:Last>Chukwuma</b:Last>
            <b:First>N.</b:First>
            <b:Middle>C.</b:Middle>
          </b:Person>
          <b:Person>
            <b:Last>Iche</b:Last>
            <b:First>K.</b:First>
            <b:Middle>U.</b:Middle>
          </b:Person>
        </b:NameList>
      </b:Author>
    </b:Author>
    <b:Title>Measuring Housing Affordability: The Two Approaches</b:Title>
    <b:JournalName>ATBU Journal of Environmental Technology</b:JournalName>
    <b:Year>2018</b:Year>
    <b:Pages>127-143</b:Pages>
    <b:RefOrder>48</b:RefOrder>
  </b:Source>
  <b:Source>
    <b:Tag>Sto93</b:Tag>
    <b:SourceType>JournalArticle</b:SourceType>
    <b:Guid>{237C9C5E-88EE-4D85-97DD-6405BB2FDF99}</b:Guid>
    <b:Title>Shelter Poverty. New Ideas on Housing Affordability.</b:Title>
    <b:Year>1993</b:Year>
    <b:Author>
      <b:Author>
        <b:NameList>
          <b:Person>
            <b:Last>Stone</b:Last>
            <b:First>M.</b:First>
            <b:Middle>E.</b:Middle>
          </b:Person>
        </b:NameList>
      </b:Author>
    </b:Author>
    <b:City>Philadephia</b:City>
    <b:Publisher>Temple University Press</b:Publisher>
    <b:RefOrder>49</b:RefOrder>
  </b:Source>
  <b:Source>
    <b:Tag>Han</b:Tag>
    <b:SourceType>JournalArticle</b:SourceType>
    <b:Guid>{6BD65E8C-A505-4E81-8F77-D7F6F55F7D34}</b:Guid>
    <b:Author>
      <b:Author>
        <b:NameList>
          <b:Person>
            <b:Last>Hancock</b:Last>
            <b:First>K.</b:First>
            <b:Middle>E.</b:Middle>
          </b:Person>
        </b:NameList>
      </b:Author>
    </b:Author>
    <b:Title>Can pay? Won't pay? Or economic principles of "affordability".</b:Title>
    <b:JournalName>Urban Studies</b:JournalName>
    <b:Pages>127-145</b:Pages>
    <b:Year>1993</b:Year>
    <b:RefOrder>50</b:RefOrder>
  </b:Source>
  <b:Source>
    <b:Tag>Kut05</b:Tag>
    <b:SourceType>JournalArticle</b:SourceType>
    <b:Guid>{75581E50-776B-437B-B2B0-67F5FCAADBA7}</b:Guid>
    <b:Author>
      <b:Author>
        <b:NameList>
          <b:Person>
            <b:Last>Kutty</b:Last>
            <b:First>N.</b:First>
            <b:Middle>K.</b:Middle>
          </b:Person>
        </b:NameList>
      </b:Author>
    </b:Author>
    <b:Title>A new measure of housing affordability: Estimates and analytical results</b:Title>
    <b:JournalName>Housing Policy Debate</b:JournalName>
    <b:Year>2005</b:Year>
    <b:Pages>113 - 142.</b:Pages>
    <b:Volume>16</b:Volume>
    <b:RefOrder>51</b:RefOrder>
  </b:Source>
  <b:Source>
    <b:Tag>Hey10</b:Tag>
    <b:SourceType>JournalArticle</b:SourceType>
    <b:Guid>{3CDE0592-D121-4B65-B82E-508994E9A317}</b:Guid>
    <b:Author>
      <b:Author>
        <b:NameList>
          <b:Person>
            <b:Last>Heylen</b:Last>
            <b:First>K.</b:First>
          </b:Person>
          <b:Person>
            <b:Last>Haffner</b:Last>
            <b:First>M.</b:First>
          </b:Person>
        </b:NameList>
      </b:Author>
    </b:Author>
    <b:Title>A budget for Approach for Comparing Housing Affordability.</b:Title>
    <b:JournalName>Paper presented at the Conference on Comparative Housing Research- Approaches and Policy Challenges in a New International Era, TU Deft, 24 - 25, March</b:JournalName>
    <b:Year>2010</b:Year>
    <b:RefOrder>52</b:RefOrder>
  </b:Source>
  <b:Source>
    <b:Tag>Rob06</b:Tag>
    <b:SourceType>JournalArticle</b:SourceType>
    <b:Guid>{337982CC-E06A-4081-8ADF-A54014D20415}</b:Guid>
    <b:Author>
      <b:Author>
        <b:NameList>
          <b:Person>
            <b:Last>Robinson</b:Last>
            <b:First>M.</b:First>
          </b:Person>
          <b:Person>
            <b:Last>Scobie</b:Last>
            <b:First>G.</b:First>
            <b:Middle>M.</b:Middle>
          </b:Person>
          <b:Person>
            <b:Last>Hallinan</b:Last>
            <b:First>B.</b:First>
          </b:Person>
        </b:NameList>
      </b:Author>
    </b:Author>
    <b:Title>Affordability of Housing: Concepts , Measurement and Evidence </b:Title>
    <b:JournalName>New Zealand Treasury Working Paper 06/03. Wellington: New Zealand Treasury.</b:JournalName>
    <b:Year>2006</b:Year>
    <b:RefOrder>53</b:RefOrder>
  </b:Source>
  <b:Source>
    <b:Tag>Che10</b:Tag>
    <b:SourceType>JournalArticle</b:SourceType>
    <b:Guid>{EA32A756-E98A-4AD2-BFC2-57BE5D881BAE}</b:Guid>
    <b:Author>
      <b:Author>
        <b:NameList>
          <b:Person>
            <b:Last>Chen</b:Last>
            <b:First>J.</b:First>
          </b:Person>
          <b:Person>
            <b:Last>Hao</b:Last>
            <b:First>Q.</b:First>
          </b:Person>
          <b:Person>
            <b:Last>Stephens</b:Last>
            <b:First>M.</b:First>
          </b:Person>
        </b:NameList>
      </b:Author>
    </b:Author>
    <b:Title>Assessing housing affordability in post-reform China: a case study of Shangai</b:Title>
    <b:JournalName>Housing Studies</b:JournalName>
    <b:Year>2010</b:Year>
    <b:Pages>877-901</b:Pages>
    <b:RefOrder>54</b:RefOrder>
  </b:Source>
  <b:Source>
    <b:Tag>Bel051</b:Tag>
    <b:SourceType>JournalArticle</b:SourceType>
    <b:Guid>{E83D072B-36DB-4A98-9725-4348BA408D4E}</b:Guid>
    <b:Author>
      <b:Author>
        <b:NameList>
          <b:Person>
            <b:Last>Belsky</b:Last>
            <b:First>E.</b:First>
            <b:Middle>S.</b:Middle>
          </b:Person>
          <b:Person>
            <b:Last>Goodman</b:Last>
            <b:First>J.</b:First>
          </b:Person>
          <b:Person>
            <b:Last>Drew</b:Last>
            <b:First>R.</b:First>
          </b:Person>
        </b:NameList>
      </b:Author>
    </b:Author>
    <b:Title>Measuring the Nation's Rental Housing Affordability Problems</b:Title>
    <b:JournalName>Cambridge, MA: Joint Centre for Housing Studies, Harvard University.</b:JournalName>
    <b:Year>2005</b:Year>
    <b:Publisher>Harvard University Publishers</b:Publisher>
    <b:URL>http://www.jchs.harvard.edu/researc</b:URL>
    <b:RefOrder>55</b:RefOrder>
  </b:Source>
  <b:Source>
    <b:Tag>Bra12</b:Tag>
    <b:SourceType>JournalArticle</b:SourceType>
    <b:Guid>{CE07814C-18A3-4600-82DB-ACFE27BEB07F}</b:Guid>
    <b:Author>
      <b:Author>
        <b:NameList>
          <b:Person>
            <b:Last>Bramley</b:Last>
            <b:First>G.</b:First>
          </b:Person>
        </b:NameList>
      </b:Author>
    </b:Author>
    <b:Title>Affordability, poverty and housing need: Triangulating measures and standards.</b:Title>
    <b:JournalName>Journal of Housing and Built Environment</b:JournalName>
    <b:Year>2012</b:Year>
    <b:Pages>133 - 151</b:Pages>
    <b:Issue>21</b:Issue>
    <b:RefOrder>56</b:RefOrder>
  </b:Source>
  <b:Source>
    <b:Tag>Fal93</b:Tag>
    <b:SourceType>JournalArticle</b:SourceType>
    <b:Guid>{23FF1EB2-3684-4CE3-8BB7-E56C0F857501}</b:Guid>
    <b:Author>
      <b:Author>
        <b:NameList>
          <b:Person>
            <b:Last>Fallis</b:Last>
            <b:First>G.</b:First>
          </b:Person>
        </b:NameList>
      </b:Author>
    </b:Author>
    <b:Title>On Chosen Social Policy Instruments: The Case of Non-Profit Housing, Housing Allowance or Income Assistance.</b:Title>
    <b:Year>1993</b:Year>
    <b:Publisher>Pergamon Press</b:Publisher>
    <b:RefOrder>57</b:RefOrder>
  </b:Source>
  <b:Source>
    <b:Tag>Bra04</b:Tag>
    <b:SourceType>JournalArticle</b:SourceType>
    <b:Guid>{DD2D4051-EC88-4FE1-BB59-973669674659}</b:Guid>
    <b:Author>
      <b:Author>
        <b:NameList>
          <b:Person>
            <b:Last>Bramley</b:Last>
            <b:First>G.</b:First>
          </b:Person>
          <b:Person>
            <b:Last>Bartlett</b:Last>
            <b:First>W.</b:First>
          </b:Person>
          <b:Person>
            <b:Last>Lambert</b:Last>
            <b:First>C.</b:First>
          </b:Person>
        </b:NameList>
      </b:Author>
    </b:Author>
    <b:Title>Key Issues in Housing: Policies and Market in 21st Century in Britain.</b:Title>
    <b:Year>2004</b:Year>
    <b:Publisher>Palgrave Macmillan</b:Publisher>
    <b:RefOrder>58</b:RefOrder>
  </b:Source>
  <b:Source>
    <b:Tag>Mac90</b:Tag>
    <b:SourceType>JournalArticle</b:SourceType>
    <b:Guid>{2A89F3D4-D83B-464D-A4A1-44BD9CE0ED9B}</b:Guid>
    <b:Author>
      <b:Author>
        <b:NameList>
          <b:Person>
            <b:Last>Maclennan</b:Last>
            <b:First>D.</b:First>
          </b:Person>
          <b:Person>
            <b:Last>Williams</b:Last>
            <b:First>R.</b:First>
          </b:Person>
        </b:NameList>
      </b:Author>
    </b:Author>
    <b:Title>Affordable Housing in Britain and the United States</b:Title>
    <b:Year>1990</b:Year>
    <b:Publisher>Joseph Rowntree Foundation</b:Publisher>
    <b:RefOrder>59</b:RefOrder>
  </b:Source>
  <b:Source>
    <b:Tag>Sto061</b:Tag>
    <b:SourceType>JournalArticle</b:SourceType>
    <b:Guid>{4DBCE5A8-1BF6-45A3-B627-169487C69256}</b:Guid>
    <b:Author>
      <b:Author>
        <b:NameList>
          <b:Person>
            <b:Last>Stone</b:Last>
            <b:First>M.</b:First>
            <b:Middle>E.</b:Middle>
          </b:Person>
        </b:NameList>
      </b:Author>
    </b:Author>
    <b:Title>What is housing affordability? The case for the residual income approach</b:Title>
    <b:JournalName>Housing Policy Debate</b:JournalName>
    <b:Year>2006</b:Year>
    <b:Pages>151–184</b:Pages>
    <b:URL>https://doi.org/10.1080/10511482.2006.9521564</b:URL>
    <b:RefOrder>60</b:RefOrder>
  </b:Source>
  <b:Source>
    <b:Tag>Gan</b:Tag>
    <b:SourceType>JournalArticle</b:SourceType>
    <b:Guid>{8DB3B6B4-C13F-47C6-A7CF-93D2CEE19967}</b:Guid>
    <b:Author>
      <b:Author>
        <b:NameList>
          <b:Person>
            <b:Last>Gan</b:Last>
            <b:First>Q.</b:First>
          </b:Person>
          <b:Person>
            <b:Last>Hill</b:Last>
            <b:First>R.</b:First>
            <b:Middle>J.</b:Middle>
          </b:Person>
        </b:NameList>
      </b:Author>
    </b:Author>
    <b:Title>Measuring housing affordability: Looking beyond the median</b:Title>
    <b:JournalName>Journal of Housing Economics</b:JournalName>
    <b:Pages>115-125</b:Pages>
    <b:URL>https://doi.org/10.1016/j.jhe.2009.04.003</b:URL>
    <b:Year>2009</b:Year>
    <b:RefOrder>61</b:RefOrder>
  </b:Source>
  <b:Source>
    <b:Tag>Mil04</b:Tag>
    <b:SourceType>JournalArticle</b:SourceType>
    <b:Guid>{0269D9A2-F352-439B-9B23-37774313039E}</b:Guid>
    <b:Author>
      <b:Author>
        <b:NameList>
          <b:Person>
            <b:Last>Milligan</b:Last>
            <b:First>V.</b:First>
          </b:Person>
        </b:NameList>
      </b:Author>
    </b:Author>
    <b:Title>A practical framework for expanding affordable housing services in Australia learning from experience</b:Title>
    <b:JournalName>Australian Housing and Urban Research Institute.</b:JournalName>
    <b:Year>2004</b:Year>
    <b:RefOrder>62</b:RefOrder>
  </b:Source>
  <b:Source>
    <b:Tag>Mal94</b:Tag>
    <b:SourceType>JournalArticle</b:SourceType>
    <b:Guid>{F0A050F3-5643-4C57-8AB3-3062125E2643}</b:Guid>
    <b:Author>
      <b:Author>
        <b:NameList>
          <b:Person>
            <b:Last>Malpass</b:Last>
            <b:First>P.</b:First>
          </b:Person>
          <b:Person>
            <b:Last>Murie</b:Last>
            <b:First>A.</b:First>
          </b:Person>
        </b:NameList>
      </b:Author>
    </b:Author>
    <b:Title>Housing Policy and Practice</b:Title>
    <b:Year>1994</b:Year>
    <b:Publisher>London (U.A): Macmillan</b:Publisher>
    <b:RefOrder>63</b:RefOrder>
  </b:Source>
  <b:Source>
    <b:Tag>Sto06</b:Tag>
    <b:SourceType>JournalArticle</b:SourceType>
    <b:Guid>{D4D8B462-1818-4CD2-815D-ED0CA43C4D23}</b:Guid>
    <b:Author>
      <b:Author>
        <b:NameList>
          <b:Person>
            <b:Last>Stone</b:Last>
            <b:First>M.</b:First>
            <b:Middle>E.</b:Middle>
          </b:Person>
        </b:NameList>
      </b:Author>
    </b:Author>
    <b:Title>What is housing Affordabilty? The case for residual income approach</b:Title>
    <b:JournalName>Housing Policy Debate</b:JournalName>
    <b:Year>2006b</b:Year>
    <b:Pages>151-156</b:Pages>
    <b:RefOrder>64</b:RefOrder>
  </b:Source>
  <b:Source>
    <b:Tag>Ola05</b:Tag>
    <b:SourceType>JournalArticle</b:SourceType>
    <b:Guid>{08AC6909-4117-4EAC-BD60-28D204B121FB}</b:Guid>
    <b:Author>
      <b:Author>
        <b:NameList>
          <b:Person>
            <b:Last>Olayiwola</b:Last>
            <b:First>L.</b:First>
            <b:Middle>M.</b:Middle>
          </b:Person>
        </b:NameList>
      </b:Author>
    </b:Author>
    <b:Title>Public housing delivery in Nigeria: Problems and challenges.</b:Title>
    <b:JournalName>A paper presented at the ‘World congress on housing transforming housing environments through the design’</b:JournalName>
    <b:Year>2005</b:Year>
    <b:City>Pretoria, South Africa.</b:City>
    <b:RefOrder>65</b:RefOrder>
  </b:Source>
  <b:Source>
    <b:Tag>Oku02</b:Tag>
    <b:SourceType>JournalArticle</b:SourceType>
    <b:Guid>{CC01FF12-69B5-4AA5-AAB7-F7C032A50414}</b:Guid>
    <b:Author>
      <b:Author>
        <b:NameList>
          <b:Person>
            <b:Last>Okupe</b:Last>
            <b:First>O.</b:First>
          </b:Person>
        </b:NameList>
      </b:Author>
    </b:Author>
    <b:Title>Problem of real estate developers in Nigeria.</b:Title>
    <b:JournalName>A paper presented at a workshop organised by the Nigerian Institute of Quantity Surveyors.</b:JournalName>
    <b:Year>2002</b:Year>
    <b:City>Abuja</b:City>
    <b:RefOrder>66</b:RefOrder>
  </b:Source>
  <b:Source>
    <b:Tag>Vuy03</b:Tag>
    <b:SourceType>JournalArticle</b:SourceType>
    <b:Guid>{AAE30CC1-12F8-4C03-9509-4C00B669E577}</b:Guid>
    <b:Author>
      <b:Author>
        <b:NameList>
          <b:Person>
            <b:Last>Vuyisani</b:Last>
            <b:First>M.</b:First>
          </b:Person>
        </b:NameList>
      </b:Author>
    </b:Author>
    <b:Title>Preview of housing finance systems in four different African countries: South Africa, Nigeria, Ghana and Tanzania.</b:Title>
    <b:Year>2003</b:Year>
    <b:RefOrder>67</b:RefOrder>
  </b:Source>
  <b:Source>
    <b:Tag>Agb87</b:Tag>
    <b:SourceType>JournalArticle</b:SourceType>
    <b:Guid>{EFC1AAC0-0FE6-4E9B-BA3F-915DB7DDDF12}</b:Guid>
    <b:Author>
      <b:Author>
        <b:NameList>
          <b:Person>
            <b:Last>Agbola</b:Last>
            <b:First>T.</b:First>
          </b:Person>
        </b:NameList>
      </b:Author>
    </b:Author>
    <b:Title>Institutional constraints on housing development: The urban areas of Nigeria, the landuse decree and the building plan approval process.</b:Title>
    <b:JournalName>Habitat International</b:JournalName>
    <b:Year>1987</b:Year>
    <b:Pages>113-120</b:Pages>
    <b:RefOrder>68</b:RefOrder>
  </b:Source>
  <b:Source>
    <b:Tag>Aku07</b:Tag>
    <b:SourceType>JournalArticle</b:SourceType>
    <b:Guid>{B5924C89-7E88-4A31-80F4-AFDAEF668CEE}</b:Guid>
    <b:Author>
      <b:Author>
        <b:NameList>
          <b:Person>
            <b:Last>Akunlusi</b:Last>
            <b:First>A.</b:First>
          </b:Person>
        </b:NameList>
      </b:Author>
    </b:Author>
    <b:Title>Mortgage facilities; a Panacea for mass housing development</b:Title>
    <b:JournalName>A paper presented at Nigerian Institute of Building conference, Lagos</b:JournalName>
    <b:Year>2007</b:Year>
    <b:Pages>9-16</b:Pages>
    <b:Month>November</b:Month>
    <b:Day>13</b:Day>
    <b:RefOrder>69</b:RefOrder>
  </b:Source>
  <b:Source>
    <b:Tag>Fal80</b:Tag>
    <b:SourceType>JournalArticle</b:SourceType>
    <b:Guid>{CACE06EC-0029-431B-9545-93300CA08F6A}</b:Guid>
    <b:Author>
      <b:Author>
        <b:NameList>
          <b:Person>
            <b:Last>Falegan</b:Last>
            <b:First>S.</b:First>
            <b:Middle>B.</b:Middle>
          </b:Person>
        </b:NameList>
      </b:Author>
    </b:Author>
    <b:Title>Problems and prospects of the federal mortgage bank of Nigeria. Central Bank of Nigera Bullion</b:Title>
    <b:Year>1980</b:Year>
    <b:RefOrder>70</b:RefOrder>
  </b:Source>
  <b:Source>
    <b:Tag>Pis10</b:Tag>
    <b:SourceType>JournalArticle</b:SourceType>
    <b:Guid>{B3A019CA-DA34-496A-A2AB-BBD1A4720009}</b:Guid>
    <b:Author>
      <b:Author>
        <b:Corporate>Pison Housing Company.</b:Corporate>
      </b:Author>
    </b:Author>
    <b:Title>Overview of the housing finance sector in Nigeria.</b:Title>
    <b:JournalName>Commissioned by EFInA and FinMark, Finmark Trust.</b:JournalName>
    <b:Year>2010</b:Year>
    <b:Pages>15-20</b:Pages>
    <b:Volume>1</b:Volume>
    <b:RefOrder>71</b:RefOrder>
  </b:Source>
  <b:Source>
    <b:Tag>Odu98</b:Tag>
    <b:SourceType>JournalArticle</b:SourceType>
    <b:Guid>{557A8F71-D7B5-4F3E-B6E4-5A67078E5273}</b:Guid>
    <b:Author>
      <b:Author>
        <b:NameList>
          <b:Person>
            <b:Last>Oduwaye</b:Last>
            <b:First>A.</b:First>
            <b:Middle>O.</b:Middle>
          </b:Person>
        </b:NameList>
      </b:Author>
    </b:Author>
    <b:Title>Beyond structural adjustment programme: Strategic options for increasing housing stock in Nigeria</b:Title>
    <b:Year>1998</b:Year>
    <b:RefOrder>72</b:RefOrder>
  </b:Source>
  <b:Source>
    <b:Tag>Fas98</b:Tag>
    <b:SourceType>JournalArticle</b:SourceType>
    <b:Guid>{D8EDBCA8-0127-4CC5-94B4-8CF724965721}</b:Guid>
    <b:Author>
      <b:Author>
        <b:NameList>
          <b:Person>
            <b:Last>Fasakin</b:Last>
            <b:First>J.</b:First>
            <b:Middle>O.</b:Middle>
          </b:Person>
        </b:NameList>
      </b:Author>
    </b:Author>
    <b:Title>Cooperative housing; the concept, experience and applicability to Nigeria’s socio economic milieu’.</b:Title>
    <b:JournalName>Seminar paper presented at the Federal University of Technology, Akure</b:JournalName>
    <b:Year>1998</b:Year>
    <b:RefOrder>73</b:RefOrder>
  </b:Source>
  <b:Source>
    <b:Tag>Igb09</b:Tag>
    <b:SourceType>JournalArticle</b:SourceType>
    <b:Guid>{29349860-27E9-48E9-864A-EFE7A33FE9FF}</b:Guid>
    <b:Author>
      <b:Author>
        <b:NameList>
          <b:Person>
            <b:Last>Igbinoba</b:Last>
            <b:First>R.</b:First>
          </b:Person>
        </b:NameList>
      </b:Author>
    </b:Author>
    <b:Title>Investment Opportunities in Housing Development in Africa</b:Title>
    <b:JournalName>Pison Housing Company Ltd. IGICA International Conference, Abuja, Nigeria</b:JournalName>
    <b:Year>2009</b:Year>
    <b:Pages>178-184</b:Pages>
    <b:Month>June</b:Month>
    <b:Day>8–10</b:Day>
    <b:URL>http://www.kfint.com/igica/files/IGICA%20Proceedings.</b:URL>
    <b:RefOrder>74</b:RefOrder>
  </b:Source>
  <b:Source>
    <b:Tag>Dar04</b:Tag>
    <b:SourceType>JournalArticle</b:SourceType>
    <b:Guid>{9A0183E5-AE6A-49B2-870C-52F986A0F9DF}</b:Guid>
    <b:Author>
      <b:Author>
        <b:NameList>
          <b:Person>
            <b:Last>Daramola</b:Last>
            <b:First>S.</b:First>
            <b:Middle>A.</b:Middle>
          </b:Person>
        </b:NameList>
      </b:Author>
    </b:Author>
    <b:Title>Private Public participation in Housing delivery in Nigeria</b:Title>
    <b:JournalName>Paper presented at a business luncheon organised the Royal Institute of Surveyors (RIS) in Chinese restaurant, Palmgroove, Lagos</b:JournalName>
    <b:Year>2004</b:Year>
    <b:Month>April</b:Month>
    <b:Day>15</b:Day>
    <b:RefOrder>75</b:RefOrder>
  </b:Source>
  <b:Source>
    <b:Tag>Omo01</b:Tag>
    <b:SourceType>JournalArticle</b:SourceType>
    <b:Guid>{B610E5E5-AA6F-48AE-8AB9-03F28CFB7075}</b:Guid>
    <b:Author>
      <b:Author>
        <b:NameList>
          <b:Person>
            <b:Last>Omole</b:Last>
            <b:First>F.</b:First>
            <b:Middle>K.</b:Middle>
          </b:Person>
        </b:NameList>
      </b:Author>
    </b:Author>
    <b:Title>Basic issues in housing development.</b:Title>
    <b:Year>2001</b:Year>
    <b:City>Ondo</b:City>
    <b:Publisher> FemoBless Publishers</b:Publisher>
    <b:RefOrder>76</b:RefOrder>
  </b:Source>
  <b:Source>
    <b:Tag>Jib09</b:Tag>
    <b:SourceType>JournalArticle</b:SourceType>
    <b:Guid>{224CFF2F-1D65-4396-9671-3FF11866090C}</b:Guid>
    <b:Author>
      <b:Author>
        <b:NameList>
          <b:Person>
            <b:Last>Jibril</b:Last>
            <b:First>I.</b:First>
          </b:Person>
        </b:NameList>
      </b:Author>
    </b:Author>
    <b:Title>Squatter resettlement/relocation programme in Abuja, Nigeria and the issue of land title Security.</b:Title>
    <b:JournalName>FIG Conference paper </b:JournalName>
    <b:Year>2009</b:Year>
    <b:City>Eliat, Isreal.</b:City>
    <b:Month>May</b:Month>
    <b:Day>3-8</b:Day>
    <b:RefOrder>77</b:RefOrder>
  </b:Source>
  <b:Source>
    <b:Tag>Bic97</b:Tag>
    <b:SourceType>JournalArticle</b:SourceType>
    <b:Guid>{9E2B24CC-9004-49DF-944A-844CCD542BDE}</b:Guid>
    <b:Author>
      <b:Author>
        <b:NameList>
          <b:Person>
            <b:Last>Bichi</b:Last>
            <b:First>K.</b:First>
            <b:Middle>M.</b:Middle>
          </b:Person>
        </b:NameList>
      </b:Author>
    </b:Author>
    <b:Title>Housing finance in the context of vision 2010. Housing Today.</b:Title>
    <b:JournalName>Journal of the Housing Corporation of Nigeria</b:JournalName>
    <b:Year>1997</b:Year>
    <b:Pages>30-37</b:Pages>
    <b:Issue>4</b:Issue>
    <b:RefOrder>78</b:RefOrder>
  </b:Source>
  <b:Source>
    <b:Tag>Oko99</b:Tag>
    <b:SourceType>JournalArticle</b:SourceType>
    <b:Guid>{EF54D3DC-3421-458E-B794-FBF337B093E7}</b:Guid>
    <b:Author>
      <b:Author>
        <b:NameList>
          <b:Person>
            <b:Last>Okonkwo</b:Last>
            <b:First>O.</b:First>
          </b:Person>
        </b:NameList>
      </b:Author>
    </b:Author>
    <b:Title>Mortgage Finance in Nigeria.</b:Title>
    <b:Year> 1999</b:Year>
    <b:Publisher> Esquire Press Ltd.</b:Publisher>
    <b:RefOrder>79</b:RefOrder>
  </b:Source>
</b:Sources>
</file>

<file path=customXml/itemProps1.xml><?xml version="1.0" encoding="utf-8"?>
<ds:datastoreItem xmlns:ds="http://schemas.openxmlformats.org/officeDocument/2006/customXml" ds:itemID="{C31C5C0A-B286-4691-AAEA-1F80C9F5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4886</Words>
  <Characters>27950</Characters>
  <Application>Microsoft Office Word</Application>
  <DocSecurity>0</DocSecurity>
  <Lines>665</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George Otuonuyo</cp:lastModifiedBy>
  <cp:revision>22</cp:revision>
  <dcterms:created xsi:type="dcterms:W3CDTF">2025-04-14T12:44:00Z</dcterms:created>
  <dcterms:modified xsi:type="dcterms:W3CDTF">2025-04-16T07:10:00Z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9bc1dbc8b69649d5b919a7ef7ea9526b</vt:lpwstr>
  </property>
  <property fmtid="{D5CDD505-2E9C-101B-9397-08002B2CF9AE}" pid="3" name="GrammarlyDocumentId">
    <vt:lpwstr>a3d89ba82212c8a2aa95942e3fbc8c55df7eedced945573d9d930dc1659970cd</vt:lpwstr>
  </property>
</Properties>
</file>