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5BA61" w14:textId="160C97F8" w:rsidR="00D4366B" w:rsidRPr="00404669" w:rsidRDefault="00D4366B" w:rsidP="00D4366B">
      <w:pPr>
        <w:spacing w:after="120" w:line="240" w:lineRule="auto"/>
        <w:jc w:val="center"/>
        <w:rPr>
          <w:rFonts w:ascii="Times New Roman" w:hAnsi="Times New Roman" w:cs="Times New Roman"/>
          <w:b/>
          <w:bCs/>
          <w:sz w:val="28"/>
          <w:szCs w:val="28"/>
        </w:rPr>
      </w:pPr>
      <w:bookmarkStart w:id="0" w:name="_GoBack"/>
      <w:r w:rsidRPr="00404669">
        <w:rPr>
          <w:rFonts w:ascii="Times New Roman" w:hAnsi="Times New Roman" w:cs="Times New Roman"/>
          <w:b/>
          <w:bCs/>
          <w:sz w:val="28"/>
          <w:szCs w:val="28"/>
        </w:rPr>
        <w:t xml:space="preserve">Evaluating the Role of </w:t>
      </w:r>
      <w:proofErr w:type="spellStart"/>
      <w:r w:rsidRPr="00404669">
        <w:rPr>
          <w:rFonts w:ascii="Times New Roman" w:hAnsi="Times New Roman" w:cs="Times New Roman"/>
          <w:b/>
          <w:bCs/>
          <w:sz w:val="28"/>
          <w:szCs w:val="28"/>
        </w:rPr>
        <w:t>Aek</w:t>
      </w:r>
      <w:proofErr w:type="spellEnd"/>
      <w:r w:rsidRPr="00404669">
        <w:rPr>
          <w:rFonts w:ascii="Times New Roman" w:hAnsi="Times New Roman" w:cs="Times New Roman"/>
          <w:b/>
          <w:bCs/>
          <w:sz w:val="28"/>
          <w:szCs w:val="28"/>
        </w:rPr>
        <w:t xml:space="preserve"> </w:t>
      </w:r>
      <w:proofErr w:type="spellStart"/>
      <w:r w:rsidRPr="00404669">
        <w:rPr>
          <w:rFonts w:ascii="Times New Roman" w:hAnsi="Times New Roman" w:cs="Times New Roman"/>
          <w:b/>
          <w:bCs/>
          <w:sz w:val="28"/>
          <w:szCs w:val="28"/>
        </w:rPr>
        <w:t>Sibundong</w:t>
      </w:r>
      <w:proofErr w:type="spellEnd"/>
      <w:r w:rsidRPr="00404669">
        <w:rPr>
          <w:rFonts w:ascii="Times New Roman" w:hAnsi="Times New Roman" w:cs="Times New Roman"/>
          <w:b/>
          <w:bCs/>
          <w:sz w:val="28"/>
          <w:szCs w:val="28"/>
        </w:rPr>
        <w:t xml:space="preserve"> Irrigation Development in Agricultural Productivity and Regional Growth in </w:t>
      </w:r>
      <w:proofErr w:type="spellStart"/>
      <w:r w:rsidRPr="00404669">
        <w:rPr>
          <w:rFonts w:ascii="Times New Roman" w:hAnsi="Times New Roman" w:cs="Times New Roman"/>
          <w:b/>
          <w:bCs/>
          <w:sz w:val="28"/>
          <w:szCs w:val="28"/>
        </w:rPr>
        <w:t>Humbang</w:t>
      </w:r>
      <w:proofErr w:type="spellEnd"/>
      <w:r w:rsidRPr="00404669">
        <w:rPr>
          <w:rFonts w:ascii="Times New Roman" w:hAnsi="Times New Roman" w:cs="Times New Roman"/>
          <w:b/>
          <w:bCs/>
          <w:sz w:val="28"/>
          <w:szCs w:val="28"/>
        </w:rPr>
        <w:t xml:space="preserve"> </w:t>
      </w:r>
      <w:proofErr w:type="spellStart"/>
      <w:r w:rsidRPr="00404669">
        <w:rPr>
          <w:rFonts w:ascii="Times New Roman" w:hAnsi="Times New Roman" w:cs="Times New Roman"/>
          <w:b/>
          <w:bCs/>
          <w:sz w:val="28"/>
          <w:szCs w:val="28"/>
        </w:rPr>
        <w:t>Hasundutan</w:t>
      </w:r>
      <w:proofErr w:type="spellEnd"/>
      <w:r w:rsidRPr="00404669">
        <w:rPr>
          <w:rFonts w:ascii="Times New Roman" w:hAnsi="Times New Roman" w:cs="Times New Roman"/>
          <w:b/>
          <w:bCs/>
          <w:sz w:val="28"/>
          <w:szCs w:val="28"/>
        </w:rPr>
        <w:t>, Indonesia</w:t>
      </w:r>
    </w:p>
    <w:p w14:paraId="78ED8E52" w14:textId="77777777" w:rsidR="00D4366B" w:rsidRDefault="00D4366B" w:rsidP="00D4366B">
      <w:pPr>
        <w:spacing w:after="120" w:line="240" w:lineRule="auto"/>
        <w:rPr>
          <w:rFonts w:ascii="Times New Roman" w:hAnsi="Times New Roman" w:cs="Times New Roman"/>
        </w:rPr>
      </w:pPr>
    </w:p>
    <w:p w14:paraId="08EF24F3" w14:textId="77777777" w:rsidR="00D4366B" w:rsidRDefault="00D4366B" w:rsidP="00D4366B">
      <w:pPr>
        <w:spacing w:after="120" w:line="240" w:lineRule="auto"/>
        <w:jc w:val="center"/>
        <w:rPr>
          <w:rFonts w:ascii="Times New Roman" w:hAnsi="Times New Roman" w:cs="Times New Roman"/>
          <w:b/>
          <w:bCs/>
        </w:rPr>
      </w:pPr>
      <w:r>
        <w:rPr>
          <w:rFonts w:ascii="Times New Roman" w:hAnsi="Times New Roman" w:cs="Times New Roman"/>
          <w:b/>
          <w:bCs/>
        </w:rPr>
        <w:t>Abstract</w:t>
      </w:r>
    </w:p>
    <w:p w14:paraId="66A3B786" w14:textId="58F34D73" w:rsidR="00D4366B" w:rsidRPr="00D4366B" w:rsidRDefault="00D4366B" w:rsidP="00D4366B">
      <w:pPr>
        <w:spacing w:after="120" w:line="240" w:lineRule="auto"/>
        <w:jc w:val="both"/>
        <w:rPr>
          <w:rFonts w:ascii="Times New Roman" w:hAnsi="Times New Roman" w:cs="Times New Roman"/>
        </w:rPr>
      </w:pPr>
      <w:r w:rsidRPr="00D4366B">
        <w:rPr>
          <w:rFonts w:ascii="Times New Roman" w:hAnsi="Times New Roman" w:cs="Times New Roman"/>
        </w:rPr>
        <w:t xml:space="preserve">This study examines the contribution of the </w:t>
      </w:r>
      <w:proofErr w:type="spellStart"/>
      <w:r w:rsidRPr="00D4366B">
        <w:rPr>
          <w:rFonts w:ascii="Times New Roman" w:hAnsi="Times New Roman" w:cs="Times New Roman"/>
        </w:rPr>
        <w:t>Aek</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Sibundong</w:t>
      </w:r>
      <w:proofErr w:type="spellEnd"/>
      <w:r w:rsidRPr="00D4366B">
        <w:rPr>
          <w:rFonts w:ascii="Times New Roman" w:hAnsi="Times New Roman" w:cs="Times New Roman"/>
        </w:rPr>
        <w:t xml:space="preserve"> irrigation system to agricultural productivity and regional development in the subdistricts of </w:t>
      </w:r>
      <w:proofErr w:type="spellStart"/>
      <w:r w:rsidRPr="00D4366B">
        <w:rPr>
          <w:rFonts w:ascii="Times New Roman" w:hAnsi="Times New Roman" w:cs="Times New Roman"/>
        </w:rPr>
        <w:t>Doloksanggul</w:t>
      </w:r>
      <w:proofErr w:type="spellEnd"/>
      <w:r w:rsidRPr="00D4366B">
        <w:rPr>
          <w:rFonts w:ascii="Times New Roman" w:hAnsi="Times New Roman" w:cs="Times New Roman"/>
        </w:rPr>
        <w:t xml:space="preserve"> and </w:t>
      </w:r>
      <w:proofErr w:type="spellStart"/>
      <w:r w:rsidRPr="00D4366B">
        <w:rPr>
          <w:rFonts w:ascii="Times New Roman" w:hAnsi="Times New Roman" w:cs="Times New Roman"/>
        </w:rPr>
        <w:t>Pollung</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Humbang</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Hasundutan</w:t>
      </w:r>
      <w:proofErr w:type="spellEnd"/>
      <w:r w:rsidRPr="00D4366B">
        <w:rPr>
          <w:rFonts w:ascii="Times New Roman" w:hAnsi="Times New Roman" w:cs="Times New Roman"/>
        </w:rPr>
        <w:t xml:space="preserve"> Regency, North Sumatra, Indonesia. As irrigation is a critical infrastructure component in enhancing paddy productivity and rural livelihoods, this research aims to analyze the effectiveness and economic feasibility of extending irrigation coverage in the </w:t>
      </w:r>
      <w:proofErr w:type="spellStart"/>
      <w:r w:rsidRPr="00D4366B">
        <w:rPr>
          <w:rFonts w:ascii="Times New Roman" w:hAnsi="Times New Roman" w:cs="Times New Roman"/>
        </w:rPr>
        <w:t>Aek</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Sibundong</w:t>
      </w:r>
      <w:proofErr w:type="spellEnd"/>
      <w:r w:rsidRPr="00D4366B">
        <w:rPr>
          <w:rFonts w:ascii="Times New Roman" w:hAnsi="Times New Roman" w:cs="Times New Roman"/>
        </w:rPr>
        <w:t xml:space="preserve"> area. Utilizing a quantitative approach, data were collected from 100 local farmers (both irrigation and non-irrigation users) through structured interviews and questionnaires. The findings show a statistically significant increase in paddy yield per hectare in irrigated farms compared to non-irrigated plots, with a productivity gap of 0.26 tons/ha annually. Economic feasibility analysis reveals a Net Present Value (NPV) of IDR 2.01 billion, Benefit-Cost Ratio (BCR) of 3.82, and an Internal Rate of Return (IRR) of 32.29%, indicating high viability of investment. These results suggest that upgrading irrigation infrastructure is not only economically feasible but also instrumental in regional agricultural development. The study highlights the need for integrated irrigation planning to address water distribution equity, infrastructure resilience, and broader rural development goals.</w:t>
      </w:r>
    </w:p>
    <w:p w14:paraId="31C470DD" w14:textId="77777777" w:rsidR="00D4366B" w:rsidRDefault="00D4366B" w:rsidP="00D4366B">
      <w:pPr>
        <w:spacing w:after="120" w:line="240" w:lineRule="auto"/>
        <w:rPr>
          <w:rFonts w:ascii="Times New Roman" w:hAnsi="Times New Roman" w:cs="Times New Roman"/>
        </w:rPr>
      </w:pPr>
      <w:r w:rsidRPr="00D4366B">
        <w:rPr>
          <w:rFonts w:ascii="Times New Roman" w:hAnsi="Times New Roman" w:cs="Times New Roman"/>
          <w:b/>
          <w:bCs/>
        </w:rPr>
        <w:t>Keywords:</w:t>
      </w:r>
      <w:r w:rsidRPr="00D4366B">
        <w:rPr>
          <w:rFonts w:ascii="Times New Roman" w:hAnsi="Times New Roman" w:cs="Times New Roman"/>
        </w:rPr>
        <w:t xml:space="preserve"> Irrigation development, regional planning, agricultural productivity, feasibility analysis, economic infrastructure, Indonesia</w:t>
      </w:r>
    </w:p>
    <w:p w14:paraId="2995763C" w14:textId="77777777" w:rsidR="00D4366B" w:rsidRPr="00D4366B" w:rsidRDefault="00D4366B" w:rsidP="00D4366B">
      <w:pPr>
        <w:spacing w:after="120" w:line="240" w:lineRule="auto"/>
        <w:rPr>
          <w:rFonts w:ascii="Times New Roman" w:hAnsi="Times New Roman" w:cs="Times New Roman"/>
        </w:rPr>
      </w:pPr>
    </w:p>
    <w:p w14:paraId="7B115F54" w14:textId="4F5146F5" w:rsidR="00D4366B" w:rsidRPr="00D4366B" w:rsidRDefault="00404669" w:rsidP="00D4366B">
      <w:pPr>
        <w:pStyle w:val="ListParagraph"/>
        <w:numPr>
          <w:ilvl w:val="0"/>
          <w:numId w:val="1"/>
        </w:numPr>
        <w:spacing w:after="120" w:line="240" w:lineRule="auto"/>
        <w:ind w:left="709"/>
        <w:rPr>
          <w:rFonts w:ascii="Times New Roman" w:hAnsi="Times New Roman" w:cs="Times New Roman"/>
          <w:b/>
          <w:bCs/>
        </w:rPr>
      </w:pPr>
      <w:r w:rsidRPr="00D4366B">
        <w:rPr>
          <w:rFonts w:ascii="Times New Roman" w:hAnsi="Times New Roman" w:cs="Times New Roman"/>
          <w:b/>
          <w:bCs/>
        </w:rPr>
        <w:t>INTRODUCTION</w:t>
      </w:r>
    </w:p>
    <w:p w14:paraId="2145AEBF" w14:textId="31CFCE3A" w:rsidR="00D4366B" w:rsidRDefault="00D4366B" w:rsidP="00D4366B">
      <w:pPr>
        <w:spacing w:after="120" w:line="240" w:lineRule="auto"/>
        <w:ind w:firstLine="709"/>
        <w:jc w:val="both"/>
        <w:rPr>
          <w:rFonts w:ascii="Times New Roman" w:hAnsi="Times New Roman" w:cs="Times New Roman"/>
        </w:rPr>
      </w:pPr>
      <w:r w:rsidRPr="00D4366B">
        <w:rPr>
          <w:rFonts w:ascii="Times New Roman" w:hAnsi="Times New Roman" w:cs="Times New Roman"/>
        </w:rPr>
        <w:t>Irrigation systems are vital components of agricultural infrastructure, especially in rural economies dependent on crop production. In many developing nations, particularly in Southeast Asia, irrigation not only enhances land productivity but also stabilizes farmer income across seasons. In Indonesia, where agriculture employs over 29% of the labor force, irrigation plays a central role in national food security strategies (</w:t>
      </w:r>
      <w:proofErr w:type="spellStart"/>
      <w:r w:rsidR="007773F0">
        <w:rPr>
          <w:rFonts w:ascii="Times New Roman" w:hAnsi="Times New Roman" w:cs="Times New Roman"/>
        </w:rPr>
        <w:t>Tirtalistyani</w:t>
      </w:r>
      <w:proofErr w:type="spellEnd"/>
      <w:r w:rsidRPr="00D4366B">
        <w:rPr>
          <w:rFonts w:ascii="Times New Roman" w:hAnsi="Times New Roman" w:cs="Times New Roman"/>
        </w:rPr>
        <w:t>, 202</w:t>
      </w:r>
      <w:r w:rsidR="007773F0">
        <w:rPr>
          <w:rFonts w:ascii="Times New Roman" w:hAnsi="Times New Roman" w:cs="Times New Roman"/>
        </w:rPr>
        <w:t>2</w:t>
      </w:r>
      <w:r w:rsidRPr="00D4366B">
        <w:rPr>
          <w:rFonts w:ascii="Times New Roman" w:hAnsi="Times New Roman" w:cs="Times New Roman"/>
        </w:rPr>
        <w:t>). However, disparities in irrigation access across regions often result in uneven development and productivity gaps. Thus, evaluating the impacts of regional irrigation projects becomes crucial for rural transformation.</w:t>
      </w:r>
    </w:p>
    <w:p w14:paraId="538290BF" w14:textId="38751B07" w:rsidR="00D4366B" w:rsidRDefault="00D4366B" w:rsidP="00D4366B">
      <w:pPr>
        <w:spacing w:after="120" w:line="240" w:lineRule="auto"/>
        <w:ind w:firstLine="709"/>
        <w:jc w:val="both"/>
        <w:rPr>
          <w:rFonts w:ascii="Times New Roman" w:hAnsi="Times New Roman" w:cs="Times New Roman"/>
        </w:rPr>
      </w:pPr>
      <w:r w:rsidRPr="00D4366B">
        <w:rPr>
          <w:rFonts w:ascii="Times New Roman" w:hAnsi="Times New Roman" w:cs="Times New Roman"/>
        </w:rPr>
        <w:t xml:space="preserve">Indonesia has invested significantly in irrigation since </w:t>
      </w:r>
      <w:r w:rsidR="00C875A6">
        <w:rPr>
          <w:rFonts w:ascii="Times New Roman" w:hAnsi="Times New Roman" w:cs="Times New Roman"/>
        </w:rPr>
        <w:t>long ago</w:t>
      </w:r>
      <w:r w:rsidRPr="00D4366B">
        <w:rPr>
          <w:rFonts w:ascii="Times New Roman" w:hAnsi="Times New Roman" w:cs="Times New Roman"/>
        </w:rPr>
        <w:t>, yet many rural areas continue to face suboptimal water distribution and declining infrastructure quality (</w:t>
      </w:r>
      <w:proofErr w:type="spellStart"/>
      <w:r w:rsidR="00526E41">
        <w:rPr>
          <w:rFonts w:ascii="Times New Roman" w:hAnsi="Times New Roman" w:cs="Times New Roman"/>
        </w:rPr>
        <w:t>Alaerts</w:t>
      </w:r>
      <w:proofErr w:type="spellEnd"/>
      <w:r w:rsidR="00C875A6">
        <w:rPr>
          <w:rFonts w:ascii="Times New Roman" w:hAnsi="Times New Roman" w:cs="Times New Roman"/>
        </w:rPr>
        <w:t>, 2020</w:t>
      </w:r>
      <w:r w:rsidRPr="00D4366B">
        <w:rPr>
          <w:rFonts w:ascii="Times New Roman" w:hAnsi="Times New Roman" w:cs="Times New Roman"/>
        </w:rPr>
        <w:t>). This has implications not only for yield outputs but also for farmer motivation and agricultural land use trends. Empirical studies suggest that improved irrigation coverage correlates positively with paddy productivity and cropping intensity (</w:t>
      </w:r>
      <w:proofErr w:type="spellStart"/>
      <w:r w:rsidR="00C875A6">
        <w:rPr>
          <w:rFonts w:ascii="Times New Roman" w:hAnsi="Times New Roman" w:cs="Times New Roman"/>
        </w:rPr>
        <w:t>Rusttinsyah</w:t>
      </w:r>
      <w:proofErr w:type="spellEnd"/>
      <w:r w:rsidR="00C875A6">
        <w:rPr>
          <w:rFonts w:ascii="Times New Roman" w:hAnsi="Times New Roman" w:cs="Times New Roman"/>
        </w:rPr>
        <w:t>, 2019</w:t>
      </w:r>
      <w:r w:rsidRPr="00D4366B">
        <w:rPr>
          <w:rFonts w:ascii="Times New Roman" w:hAnsi="Times New Roman" w:cs="Times New Roman"/>
        </w:rPr>
        <w:t xml:space="preserve">). Therefore, a detailed case study on a local irrigation system can offer valuable micro-level insight. </w:t>
      </w:r>
      <w:proofErr w:type="spellStart"/>
      <w:r w:rsidRPr="00D4366B">
        <w:rPr>
          <w:rFonts w:ascii="Times New Roman" w:hAnsi="Times New Roman" w:cs="Times New Roman"/>
        </w:rPr>
        <w:t>Aek</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Sibundong</w:t>
      </w:r>
      <w:proofErr w:type="spellEnd"/>
      <w:r w:rsidRPr="00D4366B">
        <w:rPr>
          <w:rFonts w:ascii="Times New Roman" w:hAnsi="Times New Roman" w:cs="Times New Roman"/>
        </w:rPr>
        <w:t xml:space="preserve"> in North Sumatra represents one such under-analyzed system with development potential.</w:t>
      </w:r>
    </w:p>
    <w:p w14:paraId="41A3F460" w14:textId="77777777" w:rsidR="00D4366B" w:rsidRDefault="00D4366B" w:rsidP="00D4366B">
      <w:pPr>
        <w:spacing w:after="120" w:line="240" w:lineRule="auto"/>
        <w:ind w:firstLine="709"/>
        <w:jc w:val="both"/>
        <w:rPr>
          <w:rFonts w:ascii="Times New Roman" w:hAnsi="Times New Roman" w:cs="Times New Roman"/>
        </w:rPr>
      </w:pPr>
      <w:r w:rsidRPr="00D4366B">
        <w:rPr>
          <w:rFonts w:ascii="Times New Roman" w:hAnsi="Times New Roman" w:cs="Times New Roman"/>
        </w:rPr>
        <w:t>Regional development planning increasingly integrates agricultural performance as a lever for spatial equity and poverty alleviation. According to the National Development Planning Agency (</w:t>
      </w:r>
      <w:proofErr w:type="spellStart"/>
      <w:r w:rsidRPr="00D4366B">
        <w:rPr>
          <w:rFonts w:ascii="Times New Roman" w:hAnsi="Times New Roman" w:cs="Times New Roman"/>
        </w:rPr>
        <w:t>Bappenas</w:t>
      </w:r>
      <w:proofErr w:type="spellEnd"/>
      <w:r w:rsidRPr="00D4366B">
        <w:rPr>
          <w:rFonts w:ascii="Times New Roman" w:hAnsi="Times New Roman" w:cs="Times New Roman"/>
        </w:rPr>
        <w:t>), irrigation-linked agriculture serves as a key pillar in accelerating development in remote and rural regencies (</w:t>
      </w:r>
      <w:proofErr w:type="spellStart"/>
      <w:r w:rsidRPr="00D4366B">
        <w:rPr>
          <w:rFonts w:ascii="Times New Roman" w:hAnsi="Times New Roman" w:cs="Times New Roman"/>
        </w:rPr>
        <w:t>Bappenas</w:t>
      </w:r>
      <w:proofErr w:type="spellEnd"/>
      <w:r w:rsidRPr="00D4366B">
        <w:rPr>
          <w:rFonts w:ascii="Times New Roman" w:hAnsi="Times New Roman" w:cs="Times New Roman"/>
        </w:rPr>
        <w:t xml:space="preserve">, 2022). The district of </w:t>
      </w:r>
      <w:proofErr w:type="spellStart"/>
      <w:r w:rsidRPr="00D4366B">
        <w:rPr>
          <w:rFonts w:ascii="Times New Roman" w:hAnsi="Times New Roman" w:cs="Times New Roman"/>
        </w:rPr>
        <w:t>Humbang</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Hasundutan</w:t>
      </w:r>
      <w:proofErr w:type="spellEnd"/>
      <w:r w:rsidRPr="00D4366B">
        <w:rPr>
          <w:rFonts w:ascii="Times New Roman" w:hAnsi="Times New Roman" w:cs="Times New Roman"/>
        </w:rPr>
        <w:t xml:space="preserve">, with its </w:t>
      </w:r>
      <w:proofErr w:type="spellStart"/>
      <w:r w:rsidRPr="00D4366B">
        <w:rPr>
          <w:rFonts w:ascii="Times New Roman" w:hAnsi="Times New Roman" w:cs="Times New Roman"/>
        </w:rPr>
        <w:t>agro</w:t>
      </w:r>
      <w:proofErr w:type="spellEnd"/>
      <w:r w:rsidRPr="00D4366B">
        <w:rPr>
          <w:rFonts w:ascii="Times New Roman" w:hAnsi="Times New Roman" w:cs="Times New Roman"/>
        </w:rPr>
        <w:t xml:space="preserve">-climatic advantages, is seen as a strategic location for rice-based agriculture if supported by adequate irrigation. However, there remains limited empirical </w:t>
      </w:r>
      <w:r w:rsidRPr="00D4366B">
        <w:rPr>
          <w:rFonts w:ascii="Times New Roman" w:hAnsi="Times New Roman" w:cs="Times New Roman"/>
        </w:rPr>
        <w:lastRenderedPageBreak/>
        <w:t xml:space="preserve">literature evaluating how specific irrigation projects like </w:t>
      </w:r>
      <w:proofErr w:type="spellStart"/>
      <w:r w:rsidRPr="00D4366B">
        <w:rPr>
          <w:rFonts w:ascii="Times New Roman" w:hAnsi="Times New Roman" w:cs="Times New Roman"/>
        </w:rPr>
        <w:t>Aek</w:t>
      </w:r>
      <w:proofErr w:type="spellEnd"/>
      <w:r w:rsidRPr="00D4366B">
        <w:rPr>
          <w:rFonts w:ascii="Times New Roman" w:hAnsi="Times New Roman" w:cs="Times New Roman"/>
        </w:rPr>
        <w:t xml:space="preserve"> </w:t>
      </w:r>
      <w:proofErr w:type="spellStart"/>
      <w:r w:rsidRPr="00D4366B">
        <w:rPr>
          <w:rFonts w:ascii="Times New Roman" w:hAnsi="Times New Roman" w:cs="Times New Roman"/>
        </w:rPr>
        <w:t>Sibundong</w:t>
      </w:r>
      <w:proofErr w:type="spellEnd"/>
      <w:r w:rsidRPr="00D4366B">
        <w:rPr>
          <w:rFonts w:ascii="Times New Roman" w:hAnsi="Times New Roman" w:cs="Times New Roman"/>
        </w:rPr>
        <w:t xml:space="preserve"> shape regional development. This study attempts to fill that gap.</w:t>
      </w:r>
    </w:p>
    <w:p w14:paraId="569DD149" w14:textId="2B3BCE40"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Existing studies emphasize the technical and financial feasibility of irrigation projects, yet fewer delve into localized social and spatial outcomes (</w:t>
      </w:r>
      <w:proofErr w:type="spellStart"/>
      <w:r w:rsidR="00526E41">
        <w:rPr>
          <w:rFonts w:ascii="Times New Roman" w:hAnsi="Times New Roman" w:cs="Times New Roman"/>
        </w:rPr>
        <w:t>Rizaldy</w:t>
      </w:r>
      <w:proofErr w:type="spellEnd"/>
      <w:r w:rsidR="00526E41">
        <w:rPr>
          <w:rFonts w:ascii="Times New Roman" w:hAnsi="Times New Roman" w:cs="Times New Roman"/>
        </w:rPr>
        <w:t>, 2023</w:t>
      </w:r>
      <w:r w:rsidRPr="00C875A6">
        <w:rPr>
          <w:rFonts w:ascii="Times New Roman" w:hAnsi="Times New Roman" w:cs="Times New Roman"/>
        </w:rPr>
        <w:t xml:space="preserve">). In </w:t>
      </w:r>
      <w:proofErr w:type="spellStart"/>
      <w:r w:rsidRPr="00C875A6">
        <w:rPr>
          <w:rFonts w:ascii="Times New Roman" w:hAnsi="Times New Roman" w:cs="Times New Roman"/>
        </w:rPr>
        <w:t>Doloksanggul</w:t>
      </w:r>
      <w:proofErr w:type="spellEnd"/>
      <w:r w:rsidRPr="00C875A6">
        <w:rPr>
          <w:rFonts w:ascii="Times New Roman" w:hAnsi="Times New Roman" w:cs="Times New Roman"/>
        </w:rPr>
        <w:t xml:space="preserve"> and </w:t>
      </w:r>
      <w:proofErr w:type="spellStart"/>
      <w:r w:rsidRPr="00C875A6">
        <w:rPr>
          <w:rFonts w:ascii="Times New Roman" w:hAnsi="Times New Roman" w:cs="Times New Roman"/>
        </w:rPr>
        <w:t>Pollung</w:t>
      </w:r>
      <w:proofErr w:type="spellEnd"/>
      <w:r w:rsidRPr="00C875A6">
        <w:rPr>
          <w:rFonts w:ascii="Times New Roman" w:hAnsi="Times New Roman" w:cs="Times New Roman"/>
        </w:rPr>
        <w:t xml:space="preserve"> subdistricts, community reliance on rain-fed agriculture has historically limited productivity. As the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w:t>
      </w:r>
      <w:proofErr w:type="spellEnd"/>
      <w:r w:rsidRPr="00C875A6">
        <w:rPr>
          <w:rFonts w:ascii="Times New Roman" w:hAnsi="Times New Roman" w:cs="Times New Roman"/>
        </w:rPr>
        <w:t xml:space="preserve"> irrigation expansion progresses, its influence on yield differentials and livelihood patterns needs critical assessment. Additionally, understanding economic indicators such as Net Present Value (NPV) and Internal Rate of Return (IRR) helps evaluate investment sustainability. These indicators are widely used in </w:t>
      </w:r>
      <w:proofErr w:type="spellStart"/>
      <w:r w:rsidRPr="00C875A6">
        <w:rPr>
          <w:rFonts w:ascii="Times New Roman" w:hAnsi="Times New Roman" w:cs="Times New Roman"/>
        </w:rPr>
        <w:t>agro</w:t>
      </w:r>
      <w:proofErr w:type="spellEnd"/>
      <w:r w:rsidRPr="00C875A6">
        <w:rPr>
          <w:rFonts w:ascii="Times New Roman" w:hAnsi="Times New Roman" w:cs="Times New Roman"/>
        </w:rPr>
        <w:t>-economic evaluations across developing economies (World Bank, 2019).</w:t>
      </w:r>
    </w:p>
    <w:p w14:paraId="7F72B063" w14:textId="1AF2890B"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Research on irrigation effectiveness also underscores the role of governance and community participation. Decentralized management, often through Water User Associations (WUAs), has shown to improve water-use efficiency and reduce conflict (</w:t>
      </w:r>
      <w:proofErr w:type="spellStart"/>
      <w:r w:rsidRPr="00C875A6">
        <w:rPr>
          <w:rFonts w:ascii="Times New Roman" w:hAnsi="Times New Roman" w:cs="Times New Roman"/>
        </w:rPr>
        <w:t>Rustinsyah</w:t>
      </w:r>
      <w:proofErr w:type="spellEnd"/>
      <w:r w:rsidRPr="00C875A6">
        <w:rPr>
          <w:rFonts w:ascii="Times New Roman" w:hAnsi="Times New Roman" w:cs="Times New Roman"/>
        </w:rPr>
        <w:t xml:space="preserve"> &amp; </w:t>
      </w:r>
      <w:proofErr w:type="spellStart"/>
      <w:r w:rsidRPr="00C875A6">
        <w:rPr>
          <w:rFonts w:ascii="Times New Roman" w:hAnsi="Times New Roman" w:cs="Times New Roman"/>
        </w:rPr>
        <w:t>Herdisman</w:t>
      </w:r>
      <w:proofErr w:type="spellEnd"/>
      <w:r w:rsidRPr="00C875A6">
        <w:rPr>
          <w:rFonts w:ascii="Times New Roman" w:hAnsi="Times New Roman" w:cs="Times New Roman"/>
        </w:rPr>
        <w:t xml:space="preserve">, 2023). However, implementation challenges persist, especially in hilly terrains and remote regencies like </w:t>
      </w:r>
      <w:proofErr w:type="spellStart"/>
      <w:r w:rsidRPr="00C875A6">
        <w:rPr>
          <w:rFonts w:ascii="Times New Roman" w:hAnsi="Times New Roman" w:cs="Times New Roman"/>
        </w:rPr>
        <w:t>Humbang</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Hasundutan</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Sibundong's</w:t>
      </w:r>
      <w:proofErr w:type="spellEnd"/>
      <w:r w:rsidRPr="00C875A6">
        <w:rPr>
          <w:rFonts w:ascii="Times New Roman" w:hAnsi="Times New Roman" w:cs="Times New Roman"/>
        </w:rPr>
        <w:t xml:space="preserve"> geographic profile and institutional capacity must be accounted for in any feasibility assessment. Without local stakeholder involvement, irrigation projects risk underperformance.</w:t>
      </w:r>
    </w:p>
    <w:p w14:paraId="6DE5C21E" w14:textId="1B1C8960"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Climatic variability further complicates irrigation performance in tropical regions. In recent years, shifts in rainfall patterns have challenged conventional irrigation scheduling and water allocation (</w:t>
      </w:r>
      <w:proofErr w:type="spellStart"/>
      <w:r w:rsidR="002E2D83">
        <w:rPr>
          <w:rFonts w:ascii="Times New Roman" w:hAnsi="Times New Roman" w:cs="Times New Roman"/>
        </w:rPr>
        <w:t>Pasandaran</w:t>
      </w:r>
      <w:proofErr w:type="spellEnd"/>
      <w:r w:rsidR="002E2D83">
        <w:rPr>
          <w:rFonts w:ascii="Times New Roman" w:hAnsi="Times New Roman" w:cs="Times New Roman"/>
        </w:rPr>
        <w:t>, 2001</w:t>
      </w:r>
      <w:r w:rsidRPr="00C875A6">
        <w:rPr>
          <w:rFonts w:ascii="Times New Roman" w:hAnsi="Times New Roman" w:cs="Times New Roman"/>
        </w:rPr>
        <w:t xml:space="preserve">). In this context, gravity-based irrigation schemes such as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w:t>
      </w:r>
      <w:proofErr w:type="spellEnd"/>
      <w:r w:rsidRPr="00C875A6">
        <w:rPr>
          <w:rFonts w:ascii="Times New Roman" w:hAnsi="Times New Roman" w:cs="Times New Roman"/>
        </w:rPr>
        <w:t xml:space="preserve"> require adaptive infrastructure and updated hydrological data to maintain consistency. This demands a dual focus on both physical rehabilitation and institutional strengthening. The success of such systems increasingly hinges on integrating climate-resilient planning (</w:t>
      </w:r>
      <w:r w:rsidR="002E2D83">
        <w:rPr>
          <w:rFonts w:ascii="Times New Roman" w:hAnsi="Times New Roman" w:cs="Times New Roman"/>
        </w:rPr>
        <w:t>Yasa, 2022)</w:t>
      </w:r>
      <w:r w:rsidRPr="00C875A6">
        <w:rPr>
          <w:rFonts w:ascii="Times New Roman" w:hAnsi="Times New Roman" w:cs="Times New Roman"/>
        </w:rPr>
        <w:t>).</w:t>
      </w:r>
    </w:p>
    <w:p w14:paraId="2254F85B" w14:textId="77777777"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 xml:space="preserve">From an economic standpoint, cost-benefit analysis (CBA) offers a robust framework for assessing the viability of irrigation investments. A meta-analysis of Indonesian irrigation projects shows that those with BCR values above 2.0 are generally sustainable under current market conditions (Bolan &amp; </w:t>
      </w:r>
      <w:proofErr w:type="spellStart"/>
      <w:r w:rsidRPr="00C875A6">
        <w:rPr>
          <w:rFonts w:ascii="Times New Roman" w:hAnsi="Times New Roman" w:cs="Times New Roman"/>
        </w:rPr>
        <w:t>Suryana</w:t>
      </w:r>
      <w:proofErr w:type="spellEnd"/>
      <w:r w:rsidRPr="00C875A6">
        <w:rPr>
          <w:rFonts w:ascii="Times New Roman" w:hAnsi="Times New Roman" w:cs="Times New Roman"/>
        </w:rPr>
        <w:t xml:space="preserve">, 2023; IWMI, 2007). In the case of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w:t>
      </w:r>
      <w:proofErr w:type="spellEnd"/>
      <w:r w:rsidRPr="00C875A6">
        <w:rPr>
          <w:rFonts w:ascii="Times New Roman" w:hAnsi="Times New Roman" w:cs="Times New Roman"/>
        </w:rPr>
        <w:t>, early estimates suggest a high BCR and IRR, warranting closer empirical verification. This study adopts the standard metrics of NPV, BCR, and IRR in line with international feasibility benchmarks. These findings aim to inform both local policymakers and national development planners.</w:t>
      </w:r>
    </w:p>
    <w:p w14:paraId="30C86D7D" w14:textId="506297C9"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 xml:space="preserve">Another research gap lies in the comparative productivity between irrigated and non-irrigated plots in a single </w:t>
      </w:r>
      <w:proofErr w:type="spellStart"/>
      <w:r w:rsidRPr="00C875A6">
        <w:rPr>
          <w:rFonts w:ascii="Times New Roman" w:hAnsi="Times New Roman" w:cs="Times New Roman"/>
        </w:rPr>
        <w:t>agro</w:t>
      </w:r>
      <w:proofErr w:type="spellEnd"/>
      <w:r w:rsidRPr="00C875A6">
        <w:rPr>
          <w:rFonts w:ascii="Times New Roman" w:hAnsi="Times New Roman" w:cs="Times New Roman"/>
        </w:rPr>
        <w:t>-ecological region. Several studies in Java and Bali have highlighted productivity differentials of up to 30%, but few are available for Sumatra’s highland areas (</w:t>
      </w:r>
      <w:r w:rsidR="002E2D83">
        <w:rPr>
          <w:rFonts w:ascii="Times New Roman" w:hAnsi="Times New Roman" w:cs="Times New Roman"/>
        </w:rPr>
        <w:t>Yasa</w:t>
      </w:r>
      <w:r w:rsidRPr="00C875A6">
        <w:rPr>
          <w:rFonts w:ascii="Times New Roman" w:hAnsi="Times New Roman" w:cs="Times New Roman"/>
        </w:rPr>
        <w:t xml:space="preserve">, 2019). The </w:t>
      </w:r>
      <w:proofErr w:type="spellStart"/>
      <w:r w:rsidRPr="00C875A6">
        <w:rPr>
          <w:rFonts w:ascii="Times New Roman" w:hAnsi="Times New Roman" w:cs="Times New Roman"/>
        </w:rPr>
        <w:t>Doloksanggul</w:t>
      </w:r>
      <w:proofErr w:type="spellEnd"/>
      <w:r w:rsidRPr="00C875A6">
        <w:rPr>
          <w:rFonts w:ascii="Times New Roman" w:hAnsi="Times New Roman" w:cs="Times New Roman"/>
        </w:rPr>
        <w:t xml:space="preserve"> and </w:t>
      </w:r>
      <w:proofErr w:type="spellStart"/>
      <w:r w:rsidRPr="00C875A6">
        <w:rPr>
          <w:rFonts w:ascii="Times New Roman" w:hAnsi="Times New Roman" w:cs="Times New Roman"/>
        </w:rPr>
        <w:t>Pollung</w:t>
      </w:r>
      <w:proofErr w:type="spellEnd"/>
      <w:r w:rsidRPr="00C875A6">
        <w:rPr>
          <w:rFonts w:ascii="Times New Roman" w:hAnsi="Times New Roman" w:cs="Times New Roman"/>
        </w:rPr>
        <w:t xml:space="preserve"> areas present a natural experiment setting, where both irrigation and non-irrigation users operate under similar climatic and soil conditions. This comparison allows a more precise attribution of yield gains to irrigation effects. Such analysis strengthens the evidence base for further infrastructure investment.</w:t>
      </w:r>
    </w:p>
    <w:p w14:paraId="141D1141" w14:textId="64AF60D7" w:rsidR="00C875A6" w:rsidRPr="00C875A6"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t>In line with regional autonomy laws, districts are now expected to co-finance and co-manage irrigation projects. This decentralization model has yielded mixed results across Indonesia due to capacity asymmetries (</w:t>
      </w:r>
      <w:proofErr w:type="spellStart"/>
      <w:r w:rsidR="002E2D83">
        <w:rPr>
          <w:rFonts w:ascii="Times New Roman" w:hAnsi="Times New Roman" w:cs="Times New Roman"/>
        </w:rPr>
        <w:t>Rejekiningrum</w:t>
      </w:r>
      <w:proofErr w:type="spellEnd"/>
      <w:r w:rsidRPr="00C875A6">
        <w:rPr>
          <w:rFonts w:ascii="Times New Roman" w:hAnsi="Times New Roman" w:cs="Times New Roman"/>
        </w:rPr>
        <w:t xml:space="preserve">, 2022). In </w:t>
      </w:r>
      <w:proofErr w:type="spellStart"/>
      <w:r w:rsidRPr="00C875A6">
        <w:rPr>
          <w:rFonts w:ascii="Times New Roman" w:hAnsi="Times New Roman" w:cs="Times New Roman"/>
        </w:rPr>
        <w:t>Humbang</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Hasundutan</w:t>
      </w:r>
      <w:proofErr w:type="spellEnd"/>
      <w:r w:rsidRPr="00C875A6">
        <w:rPr>
          <w:rFonts w:ascii="Times New Roman" w:hAnsi="Times New Roman" w:cs="Times New Roman"/>
        </w:rPr>
        <w:t xml:space="preserve">, recent infrastructure initiatives suggest growing institutional readiness, though documentation remains sparse. By offering an in-depth case study of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w:t>
      </w:r>
      <w:proofErr w:type="spellEnd"/>
      <w:r w:rsidRPr="00C875A6">
        <w:rPr>
          <w:rFonts w:ascii="Times New Roman" w:hAnsi="Times New Roman" w:cs="Times New Roman"/>
        </w:rPr>
        <w:t>, this paper contributes to evaluating district-level development capacities. It also assesses whether irrigation investment serves as a feasible regional development tool beyond just yield enhancement.</w:t>
      </w:r>
    </w:p>
    <w:p w14:paraId="7764C883" w14:textId="75BDCF68" w:rsidR="00D4366B" w:rsidRPr="00D4366B" w:rsidRDefault="00C875A6" w:rsidP="00C875A6">
      <w:pPr>
        <w:spacing w:after="120" w:line="240" w:lineRule="auto"/>
        <w:ind w:firstLine="709"/>
        <w:jc w:val="both"/>
        <w:rPr>
          <w:rFonts w:ascii="Times New Roman" w:hAnsi="Times New Roman" w:cs="Times New Roman"/>
        </w:rPr>
      </w:pPr>
      <w:r w:rsidRPr="00C875A6">
        <w:rPr>
          <w:rFonts w:ascii="Times New Roman" w:hAnsi="Times New Roman" w:cs="Times New Roman"/>
        </w:rPr>
        <w:lastRenderedPageBreak/>
        <w:t xml:space="preserve">Given these dynamics, this study sets out to assess the agricultural, financial, and planning impacts of the </w:t>
      </w:r>
      <w:proofErr w:type="spellStart"/>
      <w:r w:rsidRPr="00C875A6">
        <w:rPr>
          <w:rFonts w:ascii="Times New Roman" w:hAnsi="Times New Roman" w:cs="Times New Roman"/>
        </w:rPr>
        <w:t>Aek</w:t>
      </w:r>
      <w:proofErr w:type="spellEnd"/>
      <w:r w:rsidRPr="00C875A6">
        <w:rPr>
          <w:rFonts w:ascii="Times New Roman" w:hAnsi="Times New Roman" w:cs="Times New Roman"/>
        </w:rPr>
        <w:t xml:space="preserve"> </w:t>
      </w:r>
      <w:proofErr w:type="spellStart"/>
      <w:r w:rsidRPr="00C875A6">
        <w:rPr>
          <w:rFonts w:ascii="Times New Roman" w:hAnsi="Times New Roman" w:cs="Times New Roman"/>
        </w:rPr>
        <w:t>Sibundong</w:t>
      </w:r>
      <w:proofErr w:type="spellEnd"/>
      <w:r w:rsidRPr="00C875A6">
        <w:rPr>
          <w:rFonts w:ascii="Times New Roman" w:hAnsi="Times New Roman" w:cs="Times New Roman"/>
        </w:rPr>
        <w:t xml:space="preserve"> irrigation system. We evaluate how the project influences paddy productivity, farmer income, and cost-benefit ratios. Moreover, this research situates these outcomes within broader discussions of rural planning, decentralization, and sustainable development. Our findings aim to contribute to the empirical literature on irrigation planning and provide concrete recommendations for regional policymakers. In doing so, we bridge micro-level field data with macro-level development discourse</w:t>
      </w:r>
      <w:r w:rsidR="00D4366B" w:rsidRPr="00D4366B">
        <w:rPr>
          <w:rFonts w:ascii="Times New Roman" w:hAnsi="Times New Roman" w:cs="Times New Roman"/>
        </w:rPr>
        <w:t>.</w:t>
      </w:r>
    </w:p>
    <w:p w14:paraId="114B3E87" w14:textId="77777777" w:rsidR="00D4366B" w:rsidRDefault="00D4366B" w:rsidP="00D4366B">
      <w:pPr>
        <w:spacing w:after="120" w:line="240" w:lineRule="auto"/>
        <w:rPr>
          <w:rFonts w:ascii="Times New Roman" w:hAnsi="Times New Roman" w:cs="Times New Roman"/>
        </w:rPr>
      </w:pPr>
    </w:p>
    <w:p w14:paraId="3C140630" w14:textId="2168E6A1"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Pr>
          <w:rFonts w:ascii="Times New Roman" w:hAnsi="Times New Roman" w:cs="Times New Roman"/>
          <w:b/>
          <w:bCs/>
        </w:rPr>
        <w:t>METHODS</w:t>
      </w:r>
    </w:p>
    <w:p w14:paraId="41ECEE1C" w14:textId="2F014394"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1 Study Area</w:t>
      </w:r>
    </w:p>
    <w:p w14:paraId="3977883B" w14:textId="5C1C463D" w:rsidR="00597A09" w:rsidRPr="00EE77A8"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This study was conducted in the subdistricts of </w:t>
      </w:r>
      <w:proofErr w:type="spellStart"/>
      <w:r w:rsidRPr="00597A09">
        <w:rPr>
          <w:rFonts w:ascii="Times New Roman" w:hAnsi="Times New Roman" w:cs="Times New Roman"/>
        </w:rPr>
        <w:t>Doloksanggul</w:t>
      </w:r>
      <w:proofErr w:type="spellEnd"/>
      <w:r w:rsidRPr="00597A09">
        <w:rPr>
          <w:rFonts w:ascii="Times New Roman" w:hAnsi="Times New Roman" w:cs="Times New Roman"/>
        </w:rPr>
        <w:t xml:space="preserve"> and </w:t>
      </w:r>
      <w:proofErr w:type="spellStart"/>
      <w:r w:rsidRPr="00597A09">
        <w:rPr>
          <w:rFonts w:ascii="Times New Roman" w:hAnsi="Times New Roman" w:cs="Times New Roman"/>
        </w:rPr>
        <w:t>Pollung</w:t>
      </w:r>
      <w:proofErr w:type="spellEnd"/>
      <w:r w:rsidRPr="00597A09">
        <w:rPr>
          <w:rFonts w:ascii="Times New Roman" w:hAnsi="Times New Roman" w:cs="Times New Roman"/>
        </w:rPr>
        <w:t xml:space="preserve"> in </w:t>
      </w:r>
      <w:proofErr w:type="spellStart"/>
      <w:r w:rsidRPr="00597A09">
        <w:rPr>
          <w:rFonts w:ascii="Times New Roman" w:hAnsi="Times New Roman" w:cs="Times New Roman"/>
        </w:rPr>
        <w:t>Humbang</w:t>
      </w:r>
      <w:proofErr w:type="spellEnd"/>
      <w:r w:rsidRPr="00597A09">
        <w:rPr>
          <w:rFonts w:ascii="Times New Roman" w:hAnsi="Times New Roman" w:cs="Times New Roman"/>
        </w:rPr>
        <w:t xml:space="preserve"> </w:t>
      </w:r>
      <w:proofErr w:type="spellStart"/>
      <w:r w:rsidRPr="00597A09">
        <w:rPr>
          <w:rFonts w:ascii="Times New Roman" w:hAnsi="Times New Roman" w:cs="Times New Roman"/>
        </w:rPr>
        <w:t>Hasundutan</w:t>
      </w:r>
      <w:proofErr w:type="spellEnd"/>
      <w:r w:rsidRPr="00597A09">
        <w:rPr>
          <w:rFonts w:ascii="Times New Roman" w:hAnsi="Times New Roman" w:cs="Times New Roman"/>
        </w:rPr>
        <w:t xml:space="preserve"> Regency, located in North Sumatra, Indonesia. These areas are characterized by their highland </w:t>
      </w:r>
      <w:proofErr w:type="spellStart"/>
      <w:r w:rsidRPr="00597A09">
        <w:rPr>
          <w:rFonts w:ascii="Times New Roman" w:hAnsi="Times New Roman" w:cs="Times New Roman"/>
        </w:rPr>
        <w:t>agro</w:t>
      </w:r>
      <w:proofErr w:type="spellEnd"/>
      <w:r w:rsidRPr="00597A09">
        <w:rPr>
          <w:rFonts w:ascii="Times New Roman" w:hAnsi="Times New Roman" w:cs="Times New Roman"/>
        </w:rPr>
        <w:t xml:space="preserve">-ecology, moderate rainfall, and reliance on paddy cultivation. The </w:t>
      </w:r>
      <w:proofErr w:type="spellStart"/>
      <w:r w:rsidRPr="00597A09">
        <w:rPr>
          <w:rFonts w:ascii="Times New Roman" w:hAnsi="Times New Roman" w:cs="Times New Roman"/>
        </w:rPr>
        <w:t>Aek</w:t>
      </w:r>
      <w:proofErr w:type="spellEnd"/>
      <w:r w:rsidRPr="00597A09">
        <w:rPr>
          <w:rFonts w:ascii="Times New Roman" w:hAnsi="Times New Roman" w:cs="Times New Roman"/>
        </w:rPr>
        <w:t xml:space="preserve"> </w:t>
      </w:r>
      <w:proofErr w:type="spellStart"/>
      <w:r w:rsidRPr="00597A09">
        <w:rPr>
          <w:rFonts w:ascii="Times New Roman" w:hAnsi="Times New Roman" w:cs="Times New Roman"/>
        </w:rPr>
        <w:t>Sibundong</w:t>
      </w:r>
      <w:proofErr w:type="spellEnd"/>
      <w:r w:rsidRPr="00597A09">
        <w:rPr>
          <w:rFonts w:ascii="Times New Roman" w:hAnsi="Times New Roman" w:cs="Times New Roman"/>
        </w:rPr>
        <w:t xml:space="preserve"> irrigation system serves as the primary water source for agricultural land in the region, with varying coverage between the two subdistricts. The choice of these locations enables a natural comparative assessment between irrigation-access and non-access farming households. According to regional statistics, agriculture represents over 60% of local employment (BPS </w:t>
      </w:r>
      <w:proofErr w:type="spellStart"/>
      <w:r w:rsidRPr="00597A09">
        <w:rPr>
          <w:rFonts w:ascii="Times New Roman" w:hAnsi="Times New Roman" w:cs="Times New Roman"/>
        </w:rPr>
        <w:t>Humbang</w:t>
      </w:r>
      <w:proofErr w:type="spellEnd"/>
      <w:r w:rsidRPr="00597A09">
        <w:rPr>
          <w:rFonts w:ascii="Times New Roman" w:hAnsi="Times New Roman" w:cs="Times New Roman"/>
        </w:rPr>
        <w:t xml:space="preserve"> </w:t>
      </w:r>
      <w:proofErr w:type="spellStart"/>
      <w:r w:rsidRPr="00597A09">
        <w:rPr>
          <w:rFonts w:ascii="Times New Roman" w:hAnsi="Times New Roman" w:cs="Times New Roman"/>
        </w:rPr>
        <w:t>Hasundutan</w:t>
      </w:r>
      <w:proofErr w:type="spellEnd"/>
      <w:r w:rsidRPr="00597A09">
        <w:rPr>
          <w:rFonts w:ascii="Times New Roman" w:hAnsi="Times New Roman" w:cs="Times New Roman"/>
        </w:rPr>
        <w:t>, 2023).</w:t>
      </w:r>
    </w:p>
    <w:p w14:paraId="3CBA60D6" w14:textId="43BF6FAC" w:rsidR="00597A09" w:rsidRDefault="00597A09" w:rsidP="00597A09">
      <w:pPr>
        <w:spacing w:after="120" w:line="240" w:lineRule="auto"/>
        <w:jc w:val="both"/>
        <w:rPr>
          <w:rFonts w:ascii="Times New Roman" w:hAnsi="Times New Roman" w:cs="Times New Roman"/>
        </w:rPr>
      </w:pPr>
      <w:r>
        <w:rPr>
          <w:rFonts w:ascii="Times New Roman" w:hAnsi="Times New Roman" w:cs="Times New Roman"/>
          <w:noProof/>
          <w:kern w:val="0"/>
          <w14:ligatures w14:val="none"/>
        </w:rPr>
        <w:drawing>
          <wp:anchor distT="0" distB="0" distL="114300" distR="114300" simplePos="0" relativeHeight="251659264" behindDoc="1" locked="0" layoutInCell="1" allowOverlap="1" wp14:anchorId="3A19BDB6" wp14:editId="09569D85">
            <wp:simplePos x="0" y="0"/>
            <wp:positionH relativeFrom="column">
              <wp:posOffset>409575</wp:posOffset>
            </wp:positionH>
            <wp:positionV relativeFrom="paragraph">
              <wp:posOffset>18415</wp:posOffset>
            </wp:positionV>
            <wp:extent cx="5052060" cy="3122295"/>
            <wp:effectExtent l="19050" t="19050" r="15240" b="20955"/>
            <wp:wrapNone/>
            <wp:docPr id="1300929065"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9065" name="Picture 2" descr="A screenshot of a computer scree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l="13365" t="9650" r="23454" b="20760"/>
                    <a:stretch>
                      <a:fillRect/>
                    </a:stretch>
                  </pic:blipFill>
                  <pic:spPr bwMode="auto">
                    <a:xfrm>
                      <a:off x="0" y="0"/>
                      <a:ext cx="5052060" cy="31222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5572C5" w14:textId="77777777" w:rsidR="00597A09" w:rsidRDefault="00597A09" w:rsidP="00597A09">
      <w:pPr>
        <w:spacing w:after="120" w:line="240" w:lineRule="auto"/>
        <w:jc w:val="both"/>
        <w:rPr>
          <w:rFonts w:ascii="Times New Roman" w:hAnsi="Times New Roman" w:cs="Times New Roman"/>
        </w:rPr>
      </w:pPr>
    </w:p>
    <w:p w14:paraId="4A7FC79C" w14:textId="77777777" w:rsidR="00597A09" w:rsidRDefault="00597A09" w:rsidP="00597A09">
      <w:pPr>
        <w:spacing w:after="120" w:line="240" w:lineRule="auto"/>
        <w:jc w:val="both"/>
        <w:rPr>
          <w:rFonts w:ascii="Times New Roman" w:hAnsi="Times New Roman" w:cs="Times New Roman"/>
        </w:rPr>
      </w:pPr>
    </w:p>
    <w:p w14:paraId="2848A00D" w14:textId="77777777" w:rsidR="00597A09" w:rsidRDefault="00597A09" w:rsidP="00597A09">
      <w:pPr>
        <w:spacing w:after="120" w:line="240" w:lineRule="auto"/>
        <w:jc w:val="both"/>
        <w:rPr>
          <w:rFonts w:ascii="Times New Roman" w:hAnsi="Times New Roman" w:cs="Times New Roman"/>
        </w:rPr>
      </w:pPr>
    </w:p>
    <w:p w14:paraId="0ABC5724" w14:textId="0530E91E" w:rsidR="00597A09" w:rsidRDefault="00597A09" w:rsidP="00597A09">
      <w:pPr>
        <w:spacing w:after="120" w:line="240" w:lineRule="auto"/>
        <w:jc w:val="both"/>
        <w:rPr>
          <w:rFonts w:ascii="Times New Roman" w:hAnsi="Times New Roman" w:cs="Times New Roman"/>
        </w:rPr>
      </w:pPr>
    </w:p>
    <w:p w14:paraId="69063F0C" w14:textId="77777777" w:rsidR="00597A09" w:rsidRDefault="00597A09" w:rsidP="00597A09">
      <w:pPr>
        <w:spacing w:after="120" w:line="240" w:lineRule="auto"/>
        <w:jc w:val="both"/>
        <w:rPr>
          <w:rFonts w:ascii="Times New Roman" w:hAnsi="Times New Roman" w:cs="Times New Roman"/>
        </w:rPr>
      </w:pPr>
    </w:p>
    <w:p w14:paraId="341585EB" w14:textId="77777777" w:rsidR="00597A09" w:rsidRDefault="00597A09" w:rsidP="00597A09">
      <w:pPr>
        <w:spacing w:after="120" w:line="240" w:lineRule="auto"/>
        <w:jc w:val="both"/>
        <w:rPr>
          <w:rFonts w:ascii="Times New Roman" w:hAnsi="Times New Roman" w:cs="Times New Roman"/>
        </w:rPr>
      </w:pPr>
    </w:p>
    <w:p w14:paraId="1F9AD523" w14:textId="77777777" w:rsidR="00597A09" w:rsidRDefault="00597A09" w:rsidP="00597A09">
      <w:pPr>
        <w:spacing w:after="120" w:line="240" w:lineRule="auto"/>
        <w:jc w:val="both"/>
        <w:rPr>
          <w:rFonts w:ascii="Times New Roman" w:hAnsi="Times New Roman" w:cs="Times New Roman"/>
        </w:rPr>
      </w:pPr>
    </w:p>
    <w:p w14:paraId="2A031AAD" w14:textId="77777777" w:rsidR="00597A09" w:rsidRDefault="00597A09" w:rsidP="00597A09">
      <w:pPr>
        <w:spacing w:after="120" w:line="240" w:lineRule="auto"/>
        <w:jc w:val="both"/>
        <w:rPr>
          <w:rFonts w:ascii="Times New Roman" w:hAnsi="Times New Roman" w:cs="Times New Roman"/>
        </w:rPr>
      </w:pPr>
    </w:p>
    <w:p w14:paraId="623D77E8" w14:textId="77777777" w:rsidR="00597A09" w:rsidRDefault="00597A09" w:rsidP="00597A09">
      <w:pPr>
        <w:spacing w:after="120" w:line="240" w:lineRule="auto"/>
        <w:jc w:val="both"/>
        <w:rPr>
          <w:rFonts w:ascii="Times New Roman" w:hAnsi="Times New Roman" w:cs="Times New Roman"/>
        </w:rPr>
      </w:pPr>
    </w:p>
    <w:p w14:paraId="38D8B3C8" w14:textId="77777777" w:rsidR="00597A09" w:rsidRDefault="00597A09" w:rsidP="00597A09">
      <w:pPr>
        <w:spacing w:after="120" w:line="240" w:lineRule="auto"/>
        <w:jc w:val="both"/>
        <w:rPr>
          <w:rFonts w:ascii="Times New Roman" w:hAnsi="Times New Roman" w:cs="Times New Roman"/>
        </w:rPr>
      </w:pPr>
    </w:p>
    <w:p w14:paraId="6F5DAA6E" w14:textId="77777777" w:rsidR="00597A09" w:rsidRDefault="00597A09" w:rsidP="00597A09">
      <w:pPr>
        <w:spacing w:after="120" w:line="240" w:lineRule="auto"/>
        <w:jc w:val="both"/>
        <w:rPr>
          <w:rFonts w:ascii="Times New Roman" w:hAnsi="Times New Roman" w:cs="Times New Roman"/>
        </w:rPr>
      </w:pPr>
    </w:p>
    <w:p w14:paraId="425781C4" w14:textId="77777777" w:rsidR="00597A09" w:rsidRDefault="00597A09" w:rsidP="00597A09">
      <w:pPr>
        <w:spacing w:after="120" w:line="240" w:lineRule="auto"/>
        <w:jc w:val="both"/>
        <w:rPr>
          <w:rFonts w:ascii="Times New Roman" w:hAnsi="Times New Roman" w:cs="Times New Roman"/>
        </w:rPr>
      </w:pPr>
    </w:p>
    <w:p w14:paraId="2DEEF41E" w14:textId="48CD784F" w:rsidR="00597A09" w:rsidRPr="00597A09" w:rsidRDefault="00597A09" w:rsidP="00597A09">
      <w:pPr>
        <w:spacing w:after="120" w:line="240" w:lineRule="auto"/>
        <w:jc w:val="center"/>
        <w:rPr>
          <w:rFonts w:ascii="Times New Roman" w:hAnsi="Times New Roman" w:cs="Times New Roman"/>
        </w:rPr>
      </w:pPr>
      <w:r w:rsidRPr="00597A09">
        <w:rPr>
          <w:rFonts w:ascii="Times New Roman" w:hAnsi="Times New Roman" w:cs="Times New Roman"/>
          <w:b/>
          <w:bCs/>
        </w:rPr>
        <w:t>Figure 1</w:t>
      </w:r>
      <w:r w:rsidRPr="00597A09">
        <w:rPr>
          <w:rFonts w:ascii="Times New Roman" w:hAnsi="Times New Roman" w:cs="Times New Roman"/>
        </w:rPr>
        <w:t xml:space="preserve">. Research area </w:t>
      </w:r>
      <w:r w:rsidRPr="00597A09">
        <w:rPr>
          <w:rFonts w:ascii="Times New Roman" w:hAnsi="Times New Roman" w:cs="Times New Roman"/>
          <w:lang w:val="id-ID"/>
        </w:rPr>
        <w:t>D.I. Aek Sibundong</w:t>
      </w:r>
    </w:p>
    <w:p w14:paraId="3BF6163B" w14:textId="77777777" w:rsidR="00597A09" w:rsidRPr="00597A09" w:rsidRDefault="00597A09" w:rsidP="00597A09">
      <w:pPr>
        <w:spacing w:after="120" w:line="240" w:lineRule="auto"/>
        <w:jc w:val="both"/>
        <w:rPr>
          <w:rFonts w:ascii="Times New Roman" w:hAnsi="Times New Roman" w:cs="Times New Roman"/>
        </w:rPr>
      </w:pPr>
    </w:p>
    <w:p w14:paraId="39B21407" w14:textId="7104AFD8"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2 Research Design</w:t>
      </w:r>
    </w:p>
    <w:p w14:paraId="7FB72D27"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The research employs a </w:t>
      </w:r>
      <w:r w:rsidRPr="00597A09">
        <w:rPr>
          <w:rFonts w:ascii="Times New Roman" w:hAnsi="Times New Roman" w:cs="Times New Roman"/>
          <w:b/>
          <w:bCs/>
        </w:rPr>
        <w:t>quantitative comparative</w:t>
      </w:r>
      <w:r w:rsidRPr="00597A09">
        <w:rPr>
          <w:rFonts w:ascii="Times New Roman" w:hAnsi="Times New Roman" w:cs="Times New Roman"/>
        </w:rPr>
        <w:t xml:space="preserve"> approach using </w:t>
      </w:r>
      <w:r w:rsidRPr="00597A09">
        <w:rPr>
          <w:rFonts w:ascii="Times New Roman" w:hAnsi="Times New Roman" w:cs="Times New Roman"/>
          <w:b/>
          <w:bCs/>
        </w:rPr>
        <w:t>survey-based field data</w:t>
      </w:r>
      <w:r w:rsidRPr="00597A09">
        <w:rPr>
          <w:rFonts w:ascii="Times New Roman" w:hAnsi="Times New Roman" w:cs="Times New Roman"/>
        </w:rPr>
        <w:t xml:space="preserve">. The study design involves evaluating differences in productivity and economic outcomes between farmers utilizing irrigation and those dependent on rainfall. Additionally, a </w:t>
      </w:r>
      <w:r w:rsidRPr="00597A09">
        <w:rPr>
          <w:rFonts w:ascii="Times New Roman" w:hAnsi="Times New Roman" w:cs="Times New Roman"/>
          <w:b/>
          <w:bCs/>
        </w:rPr>
        <w:t>feasibility study model</w:t>
      </w:r>
      <w:r w:rsidRPr="00597A09">
        <w:rPr>
          <w:rFonts w:ascii="Times New Roman" w:hAnsi="Times New Roman" w:cs="Times New Roman"/>
        </w:rPr>
        <w:t xml:space="preserve"> was applied using standard indicators such as Net Present Value (NPV), Benefit-Cost Ratio (BCR), and Internal Rate of Return (IRR). This dual analytical design allows both technical-economic evaluation and impact assessment of irrigation.</w:t>
      </w:r>
    </w:p>
    <w:p w14:paraId="314C1E7D" w14:textId="3306ACC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3 Data Collection</w:t>
      </w:r>
    </w:p>
    <w:p w14:paraId="503A7BD9"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lastRenderedPageBreak/>
        <w:t xml:space="preserve">Primary data were gathered through structured questionnaires and direct interviews with farmers. A total of </w:t>
      </w:r>
      <w:r w:rsidRPr="00597A09">
        <w:rPr>
          <w:rFonts w:ascii="Times New Roman" w:hAnsi="Times New Roman" w:cs="Times New Roman"/>
          <w:b/>
          <w:bCs/>
        </w:rPr>
        <w:t>100 respondents</w:t>
      </w:r>
      <w:r w:rsidRPr="00597A09">
        <w:rPr>
          <w:rFonts w:ascii="Times New Roman" w:hAnsi="Times New Roman" w:cs="Times New Roman"/>
        </w:rPr>
        <w:t xml:space="preserve"> were selected, with 50 from irrigated zones and 50 from non-irrigated plots, allowing proportional and balanced comparison. Questions addressed demographic profiles, land size, crop yields, input use, irrigation access, costs, and revenues. Secondary data sources included regional agricultural reports, technical documents from the local public works department, and official cost estimates from previous irrigation rehabilitation projects.</w:t>
      </w:r>
    </w:p>
    <w:p w14:paraId="6EAE16E2" w14:textId="0DB6CCD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4 Sampling Technique</w:t>
      </w:r>
    </w:p>
    <w:p w14:paraId="27B0E140"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The study used </w:t>
      </w:r>
      <w:r w:rsidRPr="00597A09">
        <w:rPr>
          <w:rFonts w:ascii="Times New Roman" w:hAnsi="Times New Roman" w:cs="Times New Roman"/>
          <w:b/>
          <w:bCs/>
        </w:rPr>
        <w:t>purposive sampling</w:t>
      </w:r>
      <w:r w:rsidRPr="00597A09">
        <w:rPr>
          <w:rFonts w:ascii="Times New Roman" w:hAnsi="Times New Roman" w:cs="Times New Roman"/>
        </w:rPr>
        <w:t xml:space="preserve"> to ensure respondents had direct involvement in rice farming and clear categorization regarding irrigation access. Village-level data from agricultural extension officers were used to identify representative farmers. The sampling ensured variation in land size and farming experience while maintaining geographical comparability within each subdistrict. This enhances the validity of conclusions drawn from productivity and income comparisons.</w:t>
      </w:r>
    </w:p>
    <w:p w14:paraId="47BE258C" w14:textId="278DF556"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5 Analytical Framework</w:t>
      </w:r>
    </w:p>
    <w:p w14:paraId="64B348C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The productivity analysis used a </w:t>
      </w:r>
      <w:r w:rsidRPr="00597A09">
        <w:rPr>
          <w:rFonts w:ascii="Times New Roman" w:hAnsi="Times New Roman" w:cs="Times New Roman"/>
          <w:b/>
          <w:bCs/>
        </w:rPr>
        <w:t>yield-per-hectare comparison</w:t>
      </w:r>
      <w:r w:rsidRPr="00597A09">
        <w:rPr>
          <w:rFonts w:ascii="Times New Roman" w:hAnsi="Times New Roman" w:cs="Times New Roman"/>
        </w:rPr>
        <w:t xml:space="preserve">, calculated as the average tonnage of paddy produced per hectare during the main planting season. The results were tested using descriptive statistics and inferential methods to establish significance in differences between irrigated and non-irrigated farms. For economic feasibility, a </w:t>
      </w:r>
      <w:r w:rsidRPr="00597A09">
        <w:rPr>
          <w:rFonts w:ascii="Times New Roman" w:hAnsi="Times New Roman" w:cs="Times New Roman"/>
          <w:b/>
          <w:bCs/>
        </w:rPr>
        <w:t>discounted cash flow analysis</w:t>
      </w:r>
      <w:r w:rsidRPr="00597A09">
        <w:rPr>
          <w:rFonts w:ascii="Times New Roman" w:hAnsi="Times New Roman" w:cs="Times New Roman"/>
        </w:rPr>
        <w:t xml:space="preserve"> was conducted based on the projected life cycle of the irrigation infrastructure, set at 10 years. Assumptions included a bank interest rate of 11.05% as the discount rate, in line with Indonesian agricultural loan rates (Bank Indonesia, 2024).</w:t>
      </w:r>
    </w:p>
    <w:p w14:paraId="4CFB9065" w14:textId="1C0708E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6 Feasibility Indicators</w:t>
      </w:r>
    </w:p>
    <w:p w14:paraId="69DF62EF" w14:textId="77777777"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Three primary indicators were calculated:</w:t>
      </w:r>
    </w:p>
    <w:p w14:paraId="39E34869"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NPV</w:t>
      </w:r>
      <w:r w:rsidRPr="00597A09">
        <w:rPr>
          <w:rFonts w:ascii="Times New Roman" w:hAnsi="Times New Roman" w:cs="Times New Roman"/>
        </w:rPr>
        <w:t xml:space="preserve"> was computed by subtracting the present value of costs from the present value of benefits over a 10-year period.</w:t>
      </w:r>
    </w:p>
    <w:p w14:paraId="5F5DB8F6"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BCR</w:t>
      </w:r>
      <w:r w:rsidRPr="00597A09">
        <w:rPr>
          <w:rFonts w:ascii="Times New Roman" w:hAnsi="Times New Roman" w:cs="Times New Roman"/>
        </w:rPr>
        <w:t xml:space="preserve"> was obtained by dividing total discounted benefits by total discounted costs. A BCR &gt; 1 was considered acceptable.</w:t>
      </w:r>
    </w:p>
    <w:p w14:paraId="298DA6E3"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IRR</w:t>
      </w:r>
      <w:r w:rsidRPr="00597A09">
        <w:rPr>
          <w:rFonts w:ascii="Times New Roman" w:hAnsi="Times New Roman" w:cs="Times New Roman"/>
        </w:rPr>
        <w:t xml:space="preserve"> was derived through internal iteration until the discount rate equaled zero NPV, representing the return on investment.</w:t>
      </w:r>
    </w:p>
    <w:p w14:paraId="3A480D0F" w14:textId="622CE26F"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These calculations followed the standard agricultural investment evaluation models used in Indonesian irrigation studies</w:t>
      </w:r>
      <w:r w:rsidR="002E2D83">
        <w:rPr>
          <w:rFonts w:ascii="Times New Roman" w:hAnsi="Times New Roman" w:cs="Times New Roman"/>
        </w:rPr>
        <w:t xml:space="preserve">. </w:t>
      </w:r>
    </w:p>
    <w:p w14:paraId="7929D3EF" w14:textId="105C61A3"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7 Data Validation and Triangulation</w:t>
      </w:r>
    </w:p>
    <w:p w14:paraId="54B46FB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To strengthen the validity of the findings, triangulation was employed through comparison of field data with district agricultural records and historical yield reports. Interviews with irrigation engineers and village heads supplemented survey results, providing technical and socio-political context. Discrepancies in self-reported yield and revenue data were cross-checked against cooperative records when available.</w:t>
      </w:r>
    </w:p>
    <w:p w14:paraId="72938DC6" w14:textId="77777777" w:rsidR="00597A09" w:rsidRPr="00597A09" w:rsidRDefault="00597A09" w:rsidP="00D4366B">
      <w:pPr>
        <w:spacing w:after="120" w:line="240" w:lineRule="auto"/>
        <w:rPr>
          <w:rFonts w:ascii="Times New Roman" w:hAnsi="Times New Roman" w:cs="Times New Roman"/>
          <w:b/>
          <w:bCs/>
        </w:rPr>
      </w:pPr>
    </w:p>
    <w:p w14:paraId="581716C0" w14:textId="75EF2350"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sidRPr="00597A09">
        <w:rPr>
          <w:rFonts w:ascii="Times New Roman" w:hAnsi="Times New Roman" w:cs="Times New Roman"/>
          <w:b/>
          <w:bCs/>
        </w:rPr>
        <w:t>Result</w:t>
      </w:r>
      <w:r>
        <w:rPr>
          <w:rFonts w:ascii="Times New Roman" w:hAnsi="Times New Roman" w:cs="Times New Roman"/>
          <w:b/>
          <w:bCs/>
        </w:rPr>
        <w:t>s</w:t>
      </w:r>
      <w:r w:rsidRPr="00597A09">
        <w:rPr>
          <w:rFonts w:ascii="Times New Roman" w:hAnsi="Times New Roman" w:cs="Times New Roman"/>
          <w:b/>
          <w:bCs/>
        </w:rPr>
        <w:t xml:space="preserve"> and Discussions</w:t>
      </w:r>
    </w:p>
    <w:p w14:paraId="2D697D68" w14:textId="77777777" w:rsidR="00D4366B" w:rsidRDefault="00D4366B" w:rsidP="00D4366B">
      <w:pPr>
        <w:spacing w:after="120" w:line="240" w:lineRule="auto"/>
        <w:rPr>
          <w:rFonts w:ascii="Times New Roman" w:hAnsi="Times New Roman" w:cs="Times New Roman"/>
        </w:rPr>
      </w:pPr>
    </w:p>
    <w:p w14:paraId="5E36D336" w14:textId="0F6561C3" w:rsidR="002836CC" w:rsidRPr="002836CC" w:rsidRDefault="002836CC" w:rsidP="002836CC">
      <w:pPr>
        <w:spacing w:after="120" w:line="240" w:lineRule="auto"/>
        <w:rPr>
          <w:rFonts w:ascii="Times New Roman" w:hAnsi="Times New Roman" w:cs="Times New Roman"/>
          <w:b/>
          <w:bCs/>
        </w:rPr>
      </w:pPr>
      <w:r>
        <w:rPr>
          <w:rFonts w:ascii="Times New Roman" w:hAnsi="Times New Roman" w:cs="Times New Roman"/>
          <w:b/>
          <w:bCs/>
        </w:rPr>
        <w:t>3</w:t>
      </w:r>
      <w:r w:rsidRPr="002836CC">
        <w:rPr>
          <w:rFonts w:ascii="Times New Roman" w:hAnsi="Times New Roman" w:cs="Times New Roman"/>
          <w:b/>
          <w:bCs/>
        </w:rPr>
        <w:t>.1 Agricultural Productivity Enhancement</w:t>
      </w:r>
    </w:p>
    <w:p w14:paraId="109A1B52" w14:textId="77777777" w:rsidR="00404669"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lastRenderedPageBreak/>
        <w:t xml:space="preserve">Field data demonstrate a meaningful productivity differential between irrigated and non-irrigated paddy fields in the study area.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achieved an average yield of 5.51 tons/ha, compared to 5.25 tons/ha on rain-fed plots. The 0.26 tons/ha difference, representing a 4.95% improvement, suggests that irrigation contributes directly to higher crop yields under otherwise comparable </w:t>
      </w:r>
      <w:proofErr w:type="spellStart"/>
      <w:r w:rsidRPr="002836CC">
        <w:rPr>
          <w:rFonts w:ascii="Times New Roman" w:hAnsi="Times New Roman" w:cs="Times New Roman"/>
        </w:rPr>
        <w:t>agro</w:t>
      </w:r>
      <w:proofErr w:type="spellEnd"/>
      <w:r w:rsidRPr="002836CC">
        <w:rPr>
          <w:rFonts w:ascii="Times New Roman" w:hAnsi="Times New Roman" w:cs="Times New Roman"/>
        </w:rPr>
        <w:t>-climatic conditions.</w:t>
      </w:r>
    </w:p>
    <w:p w14:paraId="67A083E9" w14:textId="6EF79616" w:rsid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This finding corroborates results, who reported that irrigation increases yield by stabilizing water availability during sensitive crop growth phases. Table 1 summarizes the yield comparison:</w:t>
      </w:r>
    </w:p>
    <w:p w14:paraId="67E4CBE0" w14:textId="55173EE1" w:rsidR="002836CC" w:rsidRPr="002836CC" w:rsidRDefault="002836CC" w:rsidP="002836CC">
      <w:pPr>
        <w:spacing w:after="120" w:line="240" w:lineRule="auto"/>
        <w:jc w:val="center"/>
        <w:rPr>
          <w:rFonts w:ascii="Times New Roman" w:hAnsi="Times New Roman" w:cs="Times New Roman"/>
          <w:b/>
          <w:bCs/>
        </w:rPr>
      </w:pPr>
      <w:r w:rsidRPr="002836CC">
        <w:rPr>
          <w:rFonts w:ascii="Times New Roman" w:hAnsi="Times New Roman" w:cs="Times New Roman"/>
          <w:b/>
          <w:bCs/>
        </w:rPr>
        <w:t>Table 1. Productivity Comparison between Farming Systems</w:t>
      </w:r>
    </w:p>
    <w:tbl>
      <w:tblPr>
        <w:tblStyle w:val="TableGrid"/>
        <w:tblW w:w="0" w:type="auto"/>
        <w:jc w:val="center"/>
        <w:tblLook w:val="04A0" w:firstRow="1" w:lastRow="0" w:firstColumn="1" w:lastColumn="0" w:noHBand="0" w:noVBand="1"/>
      </w:tblPr>
      <w:tblGrid>
        <w:gridCol w:w="1668"/>
        <w:gridCol w:w="2607"/>
        <w:gridCol w:w="2843"/>
      </w:tblGrid>
      <w:tr w:rsidR="002836CC" w:rsidRPr="002836CC" w14:paraId="2455C1F1" w14:textId="77777777" w:rsidTr="002836CC">
        <w:trPr>
          <w:jc w:val="center"/>
        </w:trPr>
        <w:tc>
          <w:tcPr>
            <w:tcW w:w="0" w:type="auto"/>
            <w:hideMark/>
          </w:tcPr>
          <w:p w14:paraId="4F6E51DA"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Farming Type</w:t>
            </w:r>
          </w:p>
        </w:tc>
        <w:tc>
          <w:tcPr>
            <w:tcW w:w="0" w:type="auto"/>
            <w:hideMark/>
          </w:tcPr>
          <w:p w14:paraId="5646ED3D"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Average Yield (tons/ha)</w:t>
            </w:r>
          </w:p>
        </w:tc>
        <w:tc>
          <w:tcPr>
            <w:tcW w:w="0" w:type="auto"/>
            <w:hideMark/>
          </w:tcPr>
          <w:p w14:paraId="7A081D37"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Yield Difference (tons/ha)</w:t>
            </w:r>
          </w:p>
        </w:tc>
      </w:tr>
      <w:tr w:rsidR="002836CC" w:rsidRPr="002836CC" w14:paraId="66314171" w14:textId="77777777" w:rsidTr="002836CC">
        <w:trPr>
          <w:jc w:val="center"/>
        </w:trPr>
        <w:tc>
          <w:tcPr>
            <w:tcW w:w="0" w:type="auto"/>
            <w:hideMark/>
          </w:tcPr>
          <w:p w14:paraId="08FDF0E1"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Irrigated</w:t>
            </w:r>
          </w:p>
        </w:tc>
        <w:tc>
          <w:tcPr>
            <w:tcW w:w="0" w:type="auto"/>
            <w:hideMark/>
          </w:tcPr>
          <w:p w14:paraId="110E8F4E"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5.51</w:t>
            </w:r>
          </w:p>
        </w:tc>
        <w:tc>
          <w:tcPr>
            <w:tcW w:w="0" w:type="auto"/>
            <w:hideMark/>
          </w:tcPr>
          <w:p w14:paraId="769C5336"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0.26</w:t>
            </w:r>
          </w:p>
        </w:tc>
      </w:tr>
      <w:tr w:rsidR="002836CC" w:rsidRPr="002836CC" w14:paraId="40A5288A" w14:textId="77777777" w:rsidTr="002836CC">
        <w:trPr>
          <w:jc w:val="center"/>
        </w:trPr>
        <w:tc>
          <w:tcPr>
            <w:tcW w:w="0" w:type="auto"/>
            <w:hideMark/>
          </w:tcPr>
          <w:p w14:paraId="0AA86B97"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Non-Irrigated</w:t>
            </w:r>
          </w:p>
        </w:tc>
        <w:tc>
          <w:tcPr>
            <w:tcW w:w="0" w:type="auto"/>
            <w:hideMark/>
          </w:tcPr>
          <w:p w14:paraId="7A3423AB"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5.25</w:t>
            </w:r>
          </w:p>
        </w:tc>
        <w:tc>
          <w:tcPr>
            <w:tcW w:w="0" w:type="auto"/>
            <w:hideMark/>
          </w:tcPr>
          <w:p w14:paraId="3D495095"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w:t>
            </w:r>
          </w:p>
        </w:tc>
      </w:tr>
    </w:tbl>
    <w:p w14:paraId="15BE2076" w14:textId="0316D82F" w:rsidR="002836CC" w:rsidRPr="002836CC" w:rsidRDefault="002836CC" w:rsidP="002836CC">
      <w:pPr>
        <w:spacing w:after="120" w:line="240" w:lineRule="auto"/>
        <w:jc w:val="both"/>
        <w:rPr>
          <w:rFonts w:ascii="Times New Roman" w:hAnsi="Times New Roman" w:cs="Times New Roman"/>
        </w:rPr>
      </w:pPr>
      <w:r w:rsidRPr="002836CC">
        <w:rPr>
          <w:rFonts w:ascii="Times New Roman" w:hAnsi="Times New Roman" w:cs="Times New Roman"/>
        </w:rPr>
        <w:t xml:space="preserve">This table illustrates the yield advantage observed among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reflecting a 4.95% increase in productivity</w:t>
      </w:r>
      <w:r>
        <w:rPr>
          <w:rFonts w:ascii="Times New Roman" w:hAnsi="Times New Roman" w:cs="Times New Roman"/>
        </w:rPr>
        <w:t>.</w:t>
      </w:r>
    </w:p>
    <w:p w14:paraId="0934DF9E" w14:textId="08F8712F"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.2 Financial Performance of Irrigation Investment</w:t>
      </w:r>
    </w:p>
    <w:p w14:paraId="4711B188" w14:textId="77777777" w:rsidR="002836CC"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financial feasibility of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initiative was evaluated using standard economic indicators: Net Present Value (NPV), Benefit-Cost Ratio (BCR), and Internal Rate of Return (IRR). These are calculated using discounted cash flow (DCF) analysis with a project life of 10 years and a discount rate of 11.05%, matching prevailing agricultural loan rates in Indonesia. </w:t>
      </w:r>
    </w:p>
    <w:p w14:paraId="7F80F46D" w14:textId="1E7029D1"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b/>
          <w:bCs/>
        </w:rPr>
        <w:t>Net Present Value (NPV)</w:t>
      </w:r>
    </w:p>
    <w:p w14:paraId="308BB9C2"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7DC8F813" wp14:editId="25A16D0E">
            <wp:extent cx="1988492" cy="723900"/>
            <wp:effectExtent l="0" t="0" r="0" b="0"/>
            <wp:docPr id="182746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2911" name=""/>
                    <pic:cNvPicPr/>
                  </pic:nvPicPr>
                  <pic:blipFill>
                    <a:blip r:embed="rId8"/>
                    <a:stretch>
                      <a:fillRect/>
                    </a:stretch>
                  </pic:blipFill>
                  <pic:spPr>
                    <a:xfrm>
                      <a:off x="0" y="0"/>
                      <a:ext cx="1998229" cy="727445"/>
                    </a:xfrm>
                    <a:prstGeom prst="rect">
                      <a:avLst/>
                    </a:prstGeom>
                  </pic:spPr>
                </pic:pic>
              </a:graphicData>
            </a:graphic>
          </wp:inline>
        </w:drawing>
      </w:r>
    </w:p>
    <w:p w14:paraId="2B4545B0" w14:textId="3CE1767F"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Where:</w:t>
      </w:r>
    </w:p>
    <w:p w14:paraId="1B8F392C" w14:textId="4DA6402C" w:rsidR="002836CC" w:rsidRPr="002836CC" w:rsidRDefault="002836CC" w:rsidP="002836CC">
      <w:pPr>
        <w:numPr>
          <w:ilvl w:val="0"/>
          <w:numId w:val="12"/>
        </w:numPr>
        <w:spacing w:after="120" w:line="240" w:lineRule="auto"/>
        <w:rPr>
          <w:rFonts w:ascii="Times New Roman" w:hAnsi="Times New Roman" w:cs="Times New Roman"/>
        </w:rPr>
      </w:pPr>
      <w:proofErr w:type="spellStart"/>
      <w:r w:rsidRPr="002836CC">
        <w:rPr>
          <w:rFonts w:ascii="Times New Roman" w:hAnsi="Times New Roman" w:cs="Times New Roman"/>
        </w:rPr>
        <w:t>Bt</w:t>
      </w:r>
      <w:proofErr w:type="spellEnd"/>
      <w:r w:rsidRPr="002836CC">
        <w:rPr>
          <w:rFonts w:ascii="Times New Roman" w:hAnsi="Times New Roman" w:cs="Times New Roman"/>
        </w:rPr>
        <w:t xml:space="preserve"> ​ = Benefit in year t</w:t>
      </w:r>
    </w:p>
    <w:p w14:paraId="6091045B" w14:textId="47A58A84"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Ct ​ = Cost in year t</w:t>
      </w:r>
    </w:p>
    <w:p w14:paraId="3660F9D1" w14:textId="777AA522"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r = Discount rate = 0.1105</w:t>
      </w:r>
    </w:p>
    <w:p w14:paraId="415C89D6" w14:textId="15224C9E"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n = Project lifespan = 10 years</w:t>
      </w:r>
    </w:p>
    <w:p w14:paraId="1620B874" w14:textId="77777777" w:rsidR="002836CC" w:rsidRPr="002836CC" w:rsidRDefault="002836CC" w:rsidP="00404669">
      <w:pPr>
        <w:spacing w:after="120" w:line="240" w:lineRule="auto"/>
        <w:ind w:firstLine="360"/>
        <w:jc w:val="both"/>
        <w:rPr>
          <w:rFonts w:ascii="Times New Roman" w:hAnsi="Times New Roman" w:cs="Times New Roman"/>
        </w:rPr>
      </w:pPr>
      <w:r w:rsidRPr="002836CC">
        <w:rPr>
          <w:rFonts w:ascii="Times New Roman" w:hAnsi="Times New Roman" w:cs="Times New Roman"/>
        </w:rPr>
        <w:t>Using annual projected benefits of IDR 350 million and costs of IDR 100 million:</w:t>
      </w:r>
    </w:p>
    <w:p w14:paraId="0050E83A" w14:textId="34BFC1B2" w:rsidR="002836CC" w:rsidRP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rPr>
        <w:t>NPV= =IDR 1,469,226,277.28</w:t>
      </w:r>
    </w:p>
    <w:p w14:paraId="3AE9A162" w14:textId="77777777"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This positive NPV confirms that the investment generates returns exceeding its costs.</w:t>
      </w:r>
    </w:p>
    <w:p w14:paraId="2FE0FBCE" w14:textId="3B76980A"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Benefit-Cost Ratio (BCR)</w:t>
      </w:r>
    </w:p>
    <w:p w14:paraId="0FC91D20"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1455FD70" wp14:editId="0E1D3AF8">
            <wp:extent cx="1790700" cy="785227"/>
            <wp:effectExtent l="0" t="0" r="0" b="0"/>
            <wp:docPr id="749814603" name="Picture 1" descr="A mathematical equation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4603" name="Picture 1" descr="A mathematical equation with numbers and symbols"/>
                    <pic:cNvPicPr/>
                  </pic:nvPicPr>
                  <pic:blipFill>
                    <a:blip r:embed="rId9"/>
                    <a:stretch>
                      <a:fillRect/>
                    </a:stretch>
                  </pic:blipFill>
                  <pic:spPr>
                    <a:xfrm>
                      <a:off x="0" y="0"/>
                      <a:ext cx="1805272" cy="791617"/>
                    </a:xfrm>
                    <a:prstGeom prst="rect">
                      <a:avLst/>
                    </a:prstGeom>
                  </pic:spPr>
                </pic:pic>
              </a:graphicData>
            </a:graphic>
          </wp:inline>
        </w:drawing>
      </w:r>
    </w:p>
    <w:p w14:paraId="69AC334A" w14:textId="126C05FA"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lastRenderedPageBreak/>
        <w:t>BCR = 3.82, implying that every IDR 1 invested yields IDR 3.82 in benefit—well above the feasibility benchmark of 1.0.</w:t>
      </w:r>
    </w:p>
    <w:p w14:paraId="0E389206" w14:textId="552DFF0B"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Internal Rate of Return (IRR)</w:t>
      </w:r>
    </w:p>
    <w:p w14:paraId="129B11EC" w14:textId="07A803F6" w:rsidR="002836CC" w:rsidRPr="002836CC" w:rsidRDefault="002836CC" w:rsidP="00404669">
      <w:pPr>
        <w:spacing w:after="120" w:line="240" w:lineRule="auto"/>
        <w:jc w:val="center"/>
        <w:rPr>
          <w:rFonts w:ascii="Times New Roman" w:hAnsi="Times New Roman" w:cs="Times New Roman"/>
          <w:vanish/>
        </w:rPr>
      </w:pPr>
      <w:r w:rsidRPr="002836CC">
        <w:rPr>
          <w:rFonts w:ascii="Times New Roman" w:hAnsi="Times New Roman" w:cs="Times New Roman"/>
          <w:noProof/>
        </w:rPr>
        <w:drawing>
          <wp:inline distT="0" distB="0" distL="0" distR="0" wp14:anchorId="53ACAE10" wp14:editId="72BE3B9F">
            <wp:extent cx="1614488" cy="662696"/>
            <wp:effectExtent l="0" t="0" r="5080" b="4445"/>
            <wp:docPr id="2129243814" name="Picture 1" descr="A mathematical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3814" name="Picture 1" descr="A mathematical equation with numbers and symbols&#10;&#10;AI-generated content may be incorrect."/>
                    <pic:cNvPicPr/>
                  </pic:nvPicPr>
                  <pic:blipFill>
                    <a:blip r:embed="rId10"/>
                    <a:stretch>
                      <a:fillRect/>
                    </a:stretch>
                  </pic:blipFill>
                  <pic:spPr>
                    <a:xfrm>
                      <a:off x="0" y="0"/>
                      <a:ext cx="1643465" cy="674590"/>
                    </a:xfrm>
                    <a:prstGeom prst="rect">
                      <a:avLst/>
                    </a:prstGeom>
                  </pic:spPr>
                </pic:pic>
              </a:graphicData>
            </a:graphic>
          </wp:inline>
        </w:drawing>
      </w:r>
      <w:r w:rsidRPr="002836CC">
        <w:rPr>
          <w:rFonts w:ascii="Times New Roman" w:hAnsi="Times New Roman" w:cs="Times New Roman"/>
          <w:vanish/>
        </w:rPr>
        <w:t>Top of Form</w:t>
      </w:r>
    </w:p>
    <w:p w14:paraId="6704D0C4" w14:textId="2CEDE550"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vanish/>
        </w:rPr>
        <w:t>Bottom of Form</w:t>
      </w:r>
    </w:p>
    <w:p w14:paraId="532051C0" w14:textId="07023196" w:rsidR="002836CC" w:rsidRPr="002836CC" w:rsidRDefault="002836CC" w:rsidP="00404669">
      <w:pPr>
        <w:spacing w:after="120" w:line="240" w:lineRule="auto"/>
        <w:jc w:val="both"/>
        <w:rPr>
          <w:rFonts w:ascii="Times New Roman" w:hAnsi="Times New Roman" w:cs="Times New Roman"/>
        </w:rPr>
      </w:pPr>
      <w:r w:rsidRPr="002836CC">
        <w:rPr>
          <w:rFonts w:ascii="Times New Roman" w:hAnsi="Times New Roman" w:cs="Times New Roman"/>
        </w:rPr>
        <w:t>IRR = 32.29%, indicating excellent investment viability, exceeding the opportunity cost of capital.</w:t>
      </w:r>
    </w:p>
    <w:p w14:paraId="7CCDDD11" w14:textId="1AFD110F" w:rsidR="002836CC" w:rsidRPr="002836CC" w:rsidRDefault="002836CC" w:rsidP="002836CC">
      <w:pPr>
        <w:spacing w:after="120" w:line="240" w:lineRule="auto"/>
        <w:jc w:val="center"/>
        <w:rPr>
          <w:rFonts w:ascii="Times New Roman" w:hAnsi="Times New Roman" w:cs="Times New Roman"/>
        </w:rPr>
      </w:pPr>
      <w:r w:rsidRPr="002836CC">
        <w:rPr>
          <w:rFonts w:ascii="Times New Roman" w:hAnsi="Times New Roman" w:cs="Times New Roman"/>
        </w:rPr>
        <w:br/>
      </w:r>
      <w:r w:rsidRPr="002836CC">
        <w:rPr>
          <w:rFonts w:ascii="Times New Roman" w:hAnsi="Times New Roman" w:cs="Times New Roman"/>
          <w:b/>
          <w:bCs/>
        </w:rPr>
        <w:t xml:space="preserve">Table 2. </w:t>
      </w:r>
      <w:r w:rsidRPr="002836CC">
        <w:rPr>
          <w:rFonts w:ascii="Times New Roman" w:hAnsi="Times New Roman" w:cs="Times New Roman"/>
        </w:rPr>
        <w:t>Economic Feasibility Indicators Summary</w:t>
      </w:r>
    </w:p>
    <w:tbl>
      <w:tblPr>
        <w:tblStyle w:val="TableGrid"/>
        <w:tblW w:w="0" w:type="auto"/>
        <w:tblLook w:val="04A0" w:firstRow="1" w:lastRow="0" w:firstColumn="1" w:lastColumn="0" w:noHBand="0" w:noVBand="1"/>
      </w:tblPr>
      <w:tblGrid>
        <w:gridCol w:w="2667"/>
        <w:gridCol w:w="2272"/>
        <w:gridCol w:w="2240"/>
        <w:gridCol w:w="1838"/>
      </w:tblGrid>
      <w:tr w:rsidR="002836CC" w:rsidRPr="002836CC" w14:paraId="52883627" w14:textId="77777777" w:rsidTr="002836CC">
        <w:tc>
          <w:tcPr>
            <w:tcW w:w="0" w:type="auto"/>
            <w:hideMark/>
          </w:tcPr>
          <w:p w14:paraId="00A6C9FE"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Indicator</w:t>
            </w:r>
          </w:p>
        </w:tc>
        <w:tc>
          <w:tcPr>
            <w:tcW w:w="0" w:type="auto"/>
            <w:hideMark/>
          </w:tcPr>
          <w:p w14:paraId="199FCFA5"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Value</w:t>
            </w:r>
          </w:p>
        </w:tc>
        <w:tc>
          <w:tcPr>
            <w:tcW w:w="0" w:type="auto"/>
            <w:hideMark/>
          </w:tcPr>
          <w:p w14:paraId="22EDB387"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Threshold</w:t>
            </w:r>
          </w:p>
        </w:tc>
        <w:tc>
          <w:tcPr>
            <w:tcW w:w="0" w:type="auto"/>
            <w:hideMark/>
          </w:tcPr>
          <w:p w14:paraId="140D0512"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Status</w:t>
            </w:r>
          </w:p>
        </w:tc>
      </w:tr>
      <w:tr w:rsidR="002836CC" w:rsidRPr="002836CC" w14:paraId="37A3FA63" w14:textId="77777777" w:rsidTr="002836CC">
        <w:tc>
          <w:tcPr>
            <w:tcW w:w="0" w:type="auto"/>
            <w:hideMark/>
          </w:tcPr>
          <w:p w14:paraId="4E92579D"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Net Present Value (NPV)</w:t>
            </w:r>
          </w:p>
        </w:tc>
        <w:tc>
          <w:tcPr>
            <w:tcW w:w="0" w:type="auto"/>
            <w:hideMark/>
          </w:tcPr>
          <w:p w14:paraId="5F37F14F"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IDR 1,469,226,277.28</w:t>
            </w:r>
          </w:p>
        </w:tc>
        <w:tc>
          <w:tcPr>
            <w:tcW w:w="0" w:type="auto"/>
            <w:hideMark/>
          </w:tcPr>
          <w:p w14:paraId="0031444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0</w:t>
            </w:r>
          </w:p>
        </w:tc>
        <w:tc>
          <w:tcPr>
            <w:tcW w:w="0" w:type="auto"/>
            <w:hideMark/>
          </w:tcPr>
          <w:p w14:paraId="7D155D2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51BCF905" w14:textId="77777777" w:rsidTr="002836CC">
        <w:tc>
          <w:tcPr>
            <w:tcW w:w="0" w:type="auto"/>
            <w:hideMark/>
          </w:tcPr>
          <w:p w14:paraId="28C98002"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Benefit-Cost Ratio (BCR)</w:t>
            </w:r>
          </w:p>
        </w:tc>
        <w:tc>
          <w:tcPr>
            <w:tcW w:w="0" w:type="auto"/>
            <w:hideMark/>
          </w:tcPr>
          <w:p w14:paraId="5540909C"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3.82</w:t>
            </w:r>
          </w:p>
        </w:tc>
        <w:tc>
          <w:tcPr>
            <w:tcW w:w="0" w:type="auto"/>
            <w:hideMark/>
          </w:tcPr>
          <w:p w14:paraId="28F8A03E"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w:t>
            </w:r>
          </w:p>
        </w:tc>
        <w:tc>
          <w:tcPr>
            <w:tcW w:w="0" w:type="auto"/>
            <w:hideMark/>
          </w:tcPr>
          <w:p w14:paraId="65282FC1"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2D53DADA" w14:textId="77777777" w:rsidTr="002836CC">
        <w:tc>
          <w:tcPr>
            <w:tcW w:w="0" w:type="auto"/>
            <w:hideMark/>
          </w:tcPr>
          <w:p w14:paraId="59AA22F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Internal Rate of Return (IRR)</w:t>
            </w:r>
          </w:p>
        </w:tc>
        <w:tc>
          <w:tcPr>
            <w:tcW w:w="0" w:type="auto"/>
            <w:hideMark/>
          </w:tcPr>
          <w:p w14:paraId="6F0C11A7"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32.29%</w:t>
            </w:r>
          </w:p>
        </w:tc>
        <w:tc>
          <w:tcPr>
            <w:tcW w:w="0" w:type="auto"/>
            <w:hideMark/>
          </w:tcPr>
          <w:p w14:paraId="3D0E2F2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11.05% (interest rate)</w:t>
            </w:r>
          </w:p>
        </w:tc>
        <w:tc>
          <w:tcPr>
            <w:tcW w:w="0" w:type="auto"/>
            <w:hideMark/>
          </w:tcPr>
          <w:p w14:paraId="6433ABD4"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bl>
    <w:p w14:paraId="5B87650B" w14:textId="77777777" w:rsidR="00404669" w:rsidRDefault="00404669" w:rsidP="002836CC">
      <w:pPr>
        <w:spacing w:after="120" w:line="240" w:lineRule="auto"/>
        <w:rPr>
          <w:rFonts w:ascii="Times New Roman" w:hAnsi="Times New Roman" w:cs="Times New Roman"/>
        </w:rPr>
      </w:pPr>
    </w:p>
    <w:p w14:paraId="1C826370" w14:textId="050460AF"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These results confirm the project’s profitability and economic soundness, surpassing standard evaluation benchmarks used for rural infrastructure investment in Indonesia.</w:t>
      </w:r>
      <w:r w:rsidR="00404669">
        <w:rPr>
          <w:rFonts w:ascii="Times New Roman" w:hAnsi="Times New Roman" w:cs="Times New Roman"/>
        </w:rPr>
        <w:t xml:space="preserve"> </w:t>
      </w:r>
      <w:r w:rsidRPr="002836CC">
        <w:rPr>
          <w:rFonts w:ascii="Times New Roman" w:hAnsi="Times New Roman" w:cs="Times New Roman"/>
        </w:rPr>
        <w:t xml:space="preserve">These results are consistent with benchmarks set in Putra &amp; </w:t>
      </w:r>
      <w:proofErr w:type="spellStart"/>
      <w:r w:rsidRPr="002836CC">
        <w:rPr>
          <w:rFonts w:ascii="Times New Roman" w:hAnsi="Times New Roman" w:cs="Times New Roman"/>
        </w:rPr>
        <w:t>Setyawan</w:t>
      </w:r>
      <w:proofErr w:type="spellEnd"/>
      <w:r w:rsidRPr="002836CC">
        <w:rPr>
          <w:rFonts w:ascii="Times New Roman" w:hAnsi="Times New Roman" w:cs="Times New Roman"/>
        </w:rPr>
        <w:t xml:space="preserve"> (2021), who found IRRs above 20% and BCRs above 2.5 to be indicative of high-return irrigation infrastructure in rural Indonesia.</w:t>
      </w:r>
    </w:p>
    <w:p w14:paraId="512D7F87" w14:textId="276F75D5"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.3 Institutional Challenges and Sustainability Risks</w:t>
      </w:r>
    </w:p>
    <w:p w14:paraId="0F2D891D"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Despite the robust economic feasibility, infrastructure sustainability is dependent on governance and maintenance. Interviews with key stakeholders revealed periodic sedimentation, inconsistent tertiary canal clearing, and weak local ownership of irrigation management. These findings echo concerns in </w:t>
      </w:r>
      <w:proofErr w:type="spellStart"/>
      <w:r w:rsidRPr="002836CC">
        <w:rPr>
          <w:rFonts w:ascii="Times New Roman" w:hAnsi="Times New Roman" w:cs="Times New Roman"/>
        </w:rPr>
        <w:t>Irianti</w:t>
      </w:r>
      <w:proofErr w:type="spellEnd"/>
      <w:r w:rsidRPr="002836CC">
        <w:rPr>
          <w:rFonts w:ascii="Times New Roman" w:hAnsi="Times New Roman" w:cs="Times New Roman"/>
        </w:rPr>
        <w:t xml:space="preserve"> et al. (2020), which emphasized the role of functional Water User Associations (WUAs) in reducing infrastructure degradation.</w:t>
      </w:r>
      <w:r w:rsidR="00404669">
        <w:rPr>
          <w:rFonts w:ascii="Times New Roman" w:hAnsi="Times New Roman" w:cs="Times New Roman"/>
        </w:rPr>
        <w:t xml:space="preserve"> </w:t>
      </w:r>
    </w:p>
    <w:p w14:paraId="72423ACF" w14:textId="2A90C6F6"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Without strengthening institutional capacity and ensuring community participation in maintenance, the financial viability of irrigation systems can erode over time.</w:t>
      </w:r>
    </w:p>
    <w:p w14:paraId="71D6FCE0" w14:textId="264B5E20" w:rsidR="002836CC" w:rsidRPr="002836CC" w:rsidRDefault="002836CC" w:rsidP="002836CC">
      <w:pPr>
        <w:spacing w:after="120" w:line="240" w:lineRule="auto"/>
        <w:rPr>
          <w:rFonts w:ascii="Times New Roman" w:hAnsi="Times New Roman" w:cs="Times New Roman"/>
        </w:rPr>
      </w:pPr>
    </w:p>
    <w:p w14:paraId="5FB009F2"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4.4 Spatial Equity and Regional Impacts</w:t>
      </w:r>
    </w:p>
    <w:p w14:paraId="1D08619A"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From a spatial planning perspective, the irrigated zones experienced not only better yields but also increased seasonal employment and stronger engagement with local cooperatives. This suggests that irrigation indirectly stimulates rural development. However, if expansion is not inclusive, it could exacerbate development disparities within the regency. This supports </w:t>
      </w:r>
      <w:proofErr w:type="spellStart"/>
      <w:r w:rsidRPr="002836CC">
        <w:rPr>
          <w:rFonts w:ascii="Times New Roman" w:hAnsi="Times New Roman" w:cs="Times New Roman"/>
        </w:rPr>
        <w:t>Bappenas</w:t>
      </w:r>
      <w:proofErr w:type="spellEnd"/>
      <w:r w:rsidRPr="002836CC">
        <w:rPr>
          <w:rFonts w:ascii="Times New Roman" w:hAnsi="Times New Roman" w:cs="Times New Roman"/>
        </w:rPr>
        <w:t xml:space="preserve"> (2022), which advocated for irrigation to be included in regional equity strategies.</w:t>
      </w:r>
    </w:p>
    <w:p w14:paraId="16508A99" w14:textId="3609477D"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Targeted expansion into currently unserved areas could yield broader socio-economic benefits while preventing intra-district inequality.</w:t>
      </w:r>
    </w:p>
    <w:p w14:paraId="2AE1C442" w14:textId="3466C5B2" w:rsidR="002836CC" w:rsidRPr="002836CC" w:rsidRDefault="002836CC" w:rsidP="002836CC">
      <w:pPr>
        <w:spacing w:after="120" w:line="240" w:lineRule="auto"/>
        <w:rPr>
          <w:rFonts w:ascii="Times New Roman" w:hAnsi="Times New Roman" w:cs="Times New Roman"/>
        </w:rPr>
      </w:pPr>
    </w:p>
    <w:p w14:paraId="3232E60E"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4.5 Climate Resilience and Environmental Considerations</w:t>
      </w:r>
    </w:p>
    <w:p w14:paraId="02A6C081" w14:textId="134C1E6C"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Although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functions adequately under current rainfall patterns, the system lacks embedded climate adaptation mechanisms such as automated flow regulation or integrated watershed monitoring. </w:t>
      </w:r>
      <w:r w:rsidR="002E2D83">
        <w:rPr>
          <w:rFonts w:ascii="Times New Roman" w:hAnsi="Times New Roman" w:cs="Times New Roman"/>
        </w:rPr>
        <w:t>C</w:t>
      </w:r>
      <w:r w:rsidRPr="002836CC">
        <w:rPr>
          <w:rFonts w:ascii="Times New Roman" w:hAnsi="Times New Roman" w:cs="Times New Roman"/>
        </w:rPr>
        <w:t>limate anomalies—especially delayed monsoons—can impair irrigation reliability in upland regions. Without adjustments, such as flow modulation or buffer reservoirs, prolonged dry periods may threaten yield sustainability.</w:t>
      </w:r>
    </w:p>
    <w:p w14:paraId="3B1BC623" w14:textId="212AD128"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Future planning should consider adding climate-resilient features and conducting periodic hydrological reviews.</w:t>
      </w:r>
    </w:p>
    <w:p w14:paraId="338D0CD9" w14:textId="65BB0FDC" w:rsidR="002836CC" w:rsidRPr="002836CC" w:rsidRDefault="002836CC" w:rsidP="002836CC">
      <w:pPr>
        <w:spacing w:after="120" w:line="240" w:lineRule="auto"/>
        <w:rPr>
          <w:rFonts w:ascii="Times New Roman" w:hAnsi="Times New Roman" w:cs="Times New Roman"/>
        </w:rPr>
      </w:pPr>
    </w:p>
    <w:p w14:paraId="4532BC65"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4.6 Policy Implications</w:t>
      </w:r>
    </w:p>
    <w:p w14:paraId="788E0847" w14:textId="53AE9EFF"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high returns and productivity impacts from this irrigation initiative point to a need for replication in other rural districts. However, infrastructure development must be accompanied by local government readiness. </w:t>
      </w:r>
      <w:r w:rsidR="002E2D83">
        <w:rPr>
          <w:rFonts w:ascii="Times New Roman" w:hAnsi="Times New Roman" w:cs="Times New Roman"/>
        </w:rPr>
        <w:t xml:space="preserve">Many </w:t>
      </w:r>
      <w:r w:rsidRPr="002836CC">
        <w:rPr>
          <w:rFonts w:ascii="Times New Roman" w:hAnsi="Times New Roman" w:cs="Times New Roman"/>
        </w:rPr>
        <w:t xml:space="preserve">regencies lack the technical, fiscal, or administrative capacity to manage decentralized irrigation. </w:t>
      </w:r>
      <w:proofErr w:type="spellStart"/>
      <w:r w:rsidRPr="002836CC">
        <w:rPr>
          <w:rFonts w:ascii="Times New Roman" w:hAnsi="Times New Roman" w:cs="Times New Roman"/>
        </w:rPr>
        <w:t>Humbang</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Hasundutan</w:t>
      </w:r>
      <w:proofErr w:type="spellEnd"/>
      <w:r w:rsidRPr="002836CC">
        <w:rPr>
          <w:rFonts w:ascii="Times New Roman" w:hAnsi="Times New Roman" w:cs="Times New Roman"/>
        </w:rPr>
        <w:t xml:space="preserve"> appears relatively prepared, but scaling success requires multi-agency coordination and community-led oversight.</w:t>
      </w:r>
    </w:p>
    <w:p w14:paraId="031D8A8F"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Embedding irrigation into local spatial plans and annual development budgets can institutionalize its role in regional transformation</w:t>
      </w:r>
      <w:r w:rsidR="00404669">
        <w:rPr>
          <w:rFonts w:ascii="Times New Roman" w:hAnsi="Times New Roman" w:cs="Times New Roman"/>
        </w:rPr>
        <w:t xml:space="preserve"> </w:t>
      </w:r>
      <w:r w:rsidR="00EE77A8" w:rsidRPr="00EE77A8">
        <w:rPr>
          <w:rFonts w:ascii="Times New Roman" w:hAnsi="Times New Roman" w:cs="Times New Roman"/>
        </w:rPr>
        <w:t xml:space="preserve">While the study confirms the technical and economic feasibility of the </w:t>
      </w:r>
      <w:proofErr w:type="spellStart"/>
      <w:r w:rsidR="00EE77A8" w:rsidRPr="00EE77A8">
        <w:rPr>
          <w:rFonts w:ascii="Times New Roman" w:hAnsi="Times New Roman" w:cs="Times New Roman"/>
        </w:rPr>
        <w:t>Aek</w:t>
      </w:r>
      <w:proofErr w:type="spellEnd"/>
      <w:r w:rsidR="00EE77A8" w:rsidRPr="00EE77A8">
        <w:rPr>
          <w:rFonts w:ascii="Times New Roman" w:hAnsi="Times New Roman" w:cs="Times New Roman"/>
        </w:rPr>
        <w:t xml:space="preserve"> </w:t>
      </w:r>
      <w:proofErr w:type="spellStart"/>
      <w:r w:rsidR="00EE77A8" w:rsidRPr="00EE77A8">
        <w:rPr>
          <w:rFonts w:ascii="Times New Roman" w:hAnsi="Times New Roman" w:cs="Times New Roman"/>
        </w:rPr>
        <w:t>Sibundong</w:t>
      </w:r>
      <w:proofErr w:type="spellEnd"/>
      <w:r w:rsidR="00EE77A8" w:rsidRPr="00EE77A8">
        <w:rPr>
          <w:rFonts w:ascii="Times New Roman" w:hAnsi="Times New Roman" w:cs="Times New Roman"/>
        </w:rPr>
        <w:t xml:space="preserve"> irrigation system, it is important to recognize the inherent uncertainties in infrastructure planning. Economic indicators such as NPV are sensitive to assumptions about future benefits and discount rates. Fluctuations in rainfall, pest outbreaks, or market volatility could alter projected outcomes.</w:t>
      </w:r>
    </w:p>
    <w:p w14:paraId="362306AF" w14:textId="41375751"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To address this, a sensitivity analysis was conducted by simulating reductions in annual benefits (0%, 10%, 20%) and applying varying discount rates (9%, 11%, 13%). The results, presented in Table 3, demonstrate that while NPV remains positive under all tested scenarios, it declines considerably as benefit assumptions decrease or discount rates increase. This highlights the need for risk mitigation strategies and adaptive financial planning in future irrigation projects.</w:t>
      </w:r>
    </w:p>
    <w:p w14:paraId="1998CD81" w14:textId="0DAD6F77" w:rsidR="00EE77A8" w:rsidRPr="00EE77A8" w:rsidRDefault="00EE77A8" w:rsidP="00EE77A8">
      <w:pPr>
        <w:spacing w:after="120" w:line="240" w:lineRule="auto"/>
        <w:jc w:val="center"/>
        <w:rPr>
          <w:rFonts w:ascii="Times New Roman" w:hAnsi="Times New Roman" w:cs="Times New Roman"/>
        </w:rPr>
      </w:pPr>
      <w:r w:rsidRPr="00EE77A8">
        <w:rPr>
          <w:rFonts w:ascii="Times New Roman" w:hAnsi="Times New Roman" w:cs="Times New Roman"/>
          <w:b/>
          <w:bCs/>
        </w:rPr>
        <w:t xml:space="preserve">Table 3. </w:t>
      </w:r>
      <w:r w:rsidRPr="00EE77A8">
        <w:rPr>
          <w:rFonts w:ascii="Times New Roman" w:hAnsi="Times New Roman" w:cs="Times New Roman"/>
        </w:rPr>
        <w:t>Sensitivity Analysis of NPV (in IDR)</w:t>
      </w:r>
    </w:p>
    <w:tbl>
      <w:tblPr>
        <w:tblStyle w:val="TableGrid"/>
        <w:tblW w:w="0" w:type="auto"/>
        <w:jc w:val="center"/>
        <w:tblLook w:val="04A0" w:firstRow="1" w:lastRow="0" w:firstColumn="1" w:lastColumn="0" w:noHBand="0" w:noVBand="1"/>
      </w:tblPr>
      <w:tblGrid>
        <w:gridCol w:w="2063"/>
        <w:gridCol w:w="1596"/>
        <w:gridCol w:w="1650"/>
        <w:gridCol w:w="1663"/>
      </w:tblGrid>
      <w:tr w:rsidR="00EE77A8" w:rsidRPr="00EE77A8" w14:paraId="1C160124" w14:textId="77777777" w:rsidTr="00EE77A8">
        <w:trPr>
          <w:jc w:val="center"/>
        </w:trPr>
        <w:tc>
          <w:tcPr>
            <w:tcW w:w="0" w:type="auto"/>
            <w:hideMark/>
          </w:tcPr>
          <w:p w14:paraId="1610951F"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Benefit Reduction</w:t>
            </w:r>
          </w:p>
        </w:tc>
        <w:tc>
          <w:tcPr>
            <w:tcW w:w="0" w:type="auto"/>
            <w:hideMark/>
          </w:tcPr>
          <w:p w14:paraId="15359623"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9%</w:t>
            </w:r>
          </w:p>
        </w:tc>
        <w:tc>
          <w:tcPr>
            <w:tcW w:w="0" w:type="auto"/>
            <w:hideMark/>
          </w:tcPr>
          <w:p w14:paraId="43CD8851"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11%</w:t>
            </w:r>
          </w:p>
        </w:tc>
        <w:tc>
          <w:tcPr>
            <w:tcW w:w="0" w:type="auto"/>
            <w:hideMark/>
          </w:tcPr>
          <w:p w14:paraId="3EF36FD5"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13%</w:t>
            </w:r>
          </w:p>
        </w:tc>
      </w:tr>
      <w:tr w:rsidR="00EE77A8" w:rsidRPr="00EE77A8" w14:paraId="2AA101AB" w14:textId="77777777" w:rsidTr="00EE77A8">
        <w:trPr>
          <w:jc w:val="center"/>
        </w:trPr>
        <w:tc>
          <w:tcPr>
            <w:tcW w:w="0" w:type="auto"/>
            <w:hideMark/>
          </w:tcPr>
          <w:p w14:paraId="133695D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0%</w:t>
            </w:r>
          </w:p>
        </w:tc>
        <w:tc>
          <w:tcPr>
            <w:tcW w:w="0" w:type="auto"/>
            <w:hideMark/>
          </w:tcPr>
          <w:p w14:paraId="301F8285"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1,604,414,000</w:t>
            </w:r>
          </w:p>
        </w:tc>
        <w:tc>
          <w:tcPr>
            <w:tcW w:w="0" w:type="auto"/>
            <w:hideMark/>
          </w:tcPr>
          <w:p w14:paraId="43DEF63E"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1,472,308,000</w:t>
            </w:r>
          </w:p>
        </w:tc>
        <w:tc>
          <w:tcPr>
            <w:tcW w:w="0" w:type="auto"/>
            <w:hideMark/>
          </w:tcPr>
          <w:p w14:paraId="5B997EC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1,356,561,000</w:t>
            </w:r>
          </w:p>
        </w:tc>
      </w:tr>
      <w:tr w:rsidR="00EE77A8" w:rsidRPr="00EE77A8" w14:paraId="1A294BEB" w14:textId="77777777" w:rsidTr="00EE77A8">
        <w:trPr>
          <w:jc w:val="center"/>
        </w:trPr>
        <w:tc>
          <w:tcPr>
            <w:tcW w:w="0" w:type="auto"/>
            <w:hideMark/>
          </w:tcPr>
          <w:p w14:paraId="7DC9B623"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w:t>
            </w:r>
          </w:p>
        </w:tc>
        <w:tc>
          <w:tcPr>
            <w:tcW w:w="0" w:type="auto"/>
            <w:hideMark/>
          </w:tcPr>
          <w:p w14:paraId="3E5D65A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1,379,796,000</w:t>
            </w:r>
          </w:p>
        </w:tc>
        <w:tc>
          <w:tcPr>
            <w:tcW w:w="0" w:type="auto"/>
            <w:hideMark/>
          </w:tcPr>
          <w:p w14:paraId="2012C5E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1,266,185,000</w:t>
            </w:r>
          </w:p>
        </w:tc>
        <w:tc>
          <w:tcPr>
            <w:tcW w:w="0" w:type="auto"/>
            <w:hideMark/>
          </w:tcPr>
          <w:p w14:paraId="0B3F6599"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1,166,642,000</w:t>
            </w:r>
          </w:p>
        </w:tc>
      </w:tr>
      <w:tr w:rsidR="00EE77A8" w:rsidRPr="00EE77A8" w14:paraId="52508290" w14:textId="77777777" w:rsidTr="00EE77A8">
        <w:trPr>
          <w:jc w:val="center"/>
        </w:trPr>
        <w:tc>
          <w:tcPr>
            <w:tcW w:w="0" w:type="auto"/>
            <w:hideMark/>
          </w:tcPr>
          <w:p w14:paraId="3D5225B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20%</w:t>
            </w:r>
          </w:p>
        </w:tc>
        <w:tc>
          <w:tcPr>
            <w:tcW w:w="0" w:type="auto"/>
            <w:hideMark/>
          </w:tcPr>
          <w:p w14:paraId="137E229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1,155,178,000</w:t>
            </w:r>
          </w:p>
        </w:tc>
        <w:tc>
          <w:tcPr>
            <w:tcW w:w="0" w:type="auto"/>
            <w:hideMark/>
          </w:tcPr>
          <w:p w14:paraId="6902DD4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1,060,062,000</w:t>
            </w:r>
          </w:p>
        </w:tc>
        <w:tc>
          <w:tcPr>
            <w:tcW w:w="0" w:type="auto"/>
            <w:hideMark/>
          </w:tcPr>
          <w:p w14:paraId="2DEF59B0"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976,723,800</w:t>
            </w:r>
          </w:p>
        </w:tc>
      </w:tr>
    </w:tbl>
    <w:p w14:paraId="75ADAF0B" w14:textId="7F317702" w:rsidR="00EE77A8" w:rsidRPr="00EE77A8" w:rsidRDefault="00EE77A8" w:rsidP="00EE77A8">
      <w:pPr>
        <w:spacing w:after="120" w:line="240" w:lineRule="auto"/>
        <w:rPr>
          <w:rFonts w:ascii="Times New Roman" w:hAnsi="Times New Roman" w:cs="Times New Roman"/>
        </w:rPr>
      </w:pPr>
    </w:p>
    <w:p w14:paraId="232125F2" w14:textId="6F5DDE99"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These results confirm that the project remains economically sound under conservative assumptions, although lower margins may reduce attractiveness for private investment. Future studies could further strengthen risk analysis using dynamic simulation models (e.g., Monte Carlo analysis) and include broader environmental or social impact scenarios</w:t>
      </w:r>
      <w:r>
        <w:rPr>
          <w:rFonts w:ascii="Times New Roman" w:hAnsi="Times New Roman" w:cs="Times New Roman"/>
        </w:rPr>
        <w:t>.</w:t>
      </w:r>
    </w:p>
    <w:p w14:paraId="7890A31F" w14:textId="77777777" w:rsidR="00D4366B" w:rsidRDefault="00D4366B" w:rsidP="00D4366B">
      <w:pPr>
        <w:spacing w:after="120" w:line="240" w:lineRule="auto"/>
        <w:rPr>
          <w:rFonts w:ascii="Times New Roman" w:hAnsi="Times New Roman" w:cs="Times New Roman"/>
        </w:rPr>
      </w:pPr>
    </w:p>
    <w:p w14:paraId="4ABFE3B3" w14:textId="27C3BCF5"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IV</w:t>
      </w:r>
      <w:r w:rsidRPr="00EE77A8">
        <w:rPr>
          <w:rFonts w:ascii="Times New Roman" w:hAnsi="Times New Roman" w:cs="Times New Roman"/>
          <w:b/>
          <w:bCs/>
        </w:rPr>
        <w:t>. Conclusion and Recommendation</w:t>
      </w:r>
    </w:p>
    <w:p w14:paraId="3E8F358D" w14:textId="53A4D7B0"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.1 Conclusion</w:t>
      </w:r>
    </w:p>
    <w:p w14:paraId="593516D3"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lastRenderedPageBreak/>
        <w:t xml:space="preserve">This study provides empirical evidence on the positive role of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system in enhancing rice productivity and supporting regional development in </w:t>
      </w:r>
      <w:proofErr w:type="spellStart"/>
      <w:r w:rsidRPr="00EE77A8">
        <w:rPr>
          <w:rFonts w:ascii="Times New Roman" w:hAnsi="Times New Roman" w:cs="Times New Roman"/>
        </w:rPr>
        <w:t>Humbang</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Hasundutan</w:t>
      </w:r>
      <w:proofErr w:type="spellEnd"/>
      <w:r w:rsidRPr="00EE77A8">
        <w:rPr>
          <w:rFonts w:ascii="Times New Roman" w:hAnsi="Times New Roman" w:cs="Times New Roman"/>
        </w:rPr>
        <w:t>, Indonesia. Farmers with irrigation access experienced a yield advantage of 0.26 tons/ha over those relying solely on rainfall, representing a measurable productivity increase under similar agroecological conditions.</w:t>
      </w:r>
    </w:p>
    <w:p w14:paraId="4970F8DF"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From an economic standpoint, the project achieved a Net Present Value (NPV) of IDR 1.47 billion, a Benefit-Cost Ratio (BCR) of 3.82, and an Internal Rate of Return (IRR) of 32.29%, confirming its financial viability under standard feasibility benchmarks. These outcomes highlight irrigation as a high-return infrastructure investment with significant rural development potential.</w:t>
      </w:r>
    </w:p>
    <w:p w14:paraId="65524EC9" w14:textId="3B230483"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Nevertheless, sustainability challenges persist. Institutional capacity, particularly in water user associations, remains underdeveloped, and environmental risks such as climate variability pose long-term threats. Therefore, while the technical and financial feasibility is established, project continuity depends on governance, maintenance, and adaptation strategies.</w:t>
      </w:r>
    </w:p>
    <w:p w14:paraId="6FFEDE76" w14:textId="77777777" w:rsidR="00404669" w:rsidRDefault="00404669" w:rsidP="00EE77A8">
      <w:pPr>
        <w:spacing w:after="120" w:line="240" w:lineRule="auto"/>
        <w:rPr>
          <w:rFonts w:ascii="Times New Roman" w:hAnsi="Times New Roman" w:cs="Times New Roman"/>
          <w:b/>
          <w:bCs/>
        </w:rPr>
      </w:pPr>
    </w:p>
    <w:p w14:paraId="21A57406" w14:textId="0E085057"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.2 Recommendations</w:t>
      </w:r>
    </w:p>
    <w:p w14:paraId="16690D61" w14:textId="2A000FD9"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Further development should prioritize underserved villages to prevent intra-regional inequality, aligning with inclusive planning goals under national development strategies.</w:t>
      </w:r>
    </w:p>
    <w:p w14:paraId="57330A78" w14:textId="678760C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Water User Associations (WUAs) should receive targeted training in operation and maintenance. District governments must facilitate participatory irrigation governance to ensure sustainability.</w:t>
      </w:r>
    </w:p>
    <w:p w14:paraId="5C257B54" w14:textId="2773467C"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Incorporate hydrological forecasting, adaptive flow management, and periodic infrastructure audits to improve resilience against environmental shocks.</w:t>
      </w:r>
    </w:p>
    <w:p w14:paraId="24F92846" w14:textId="6DD5E55E"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Regional planning offices should routinely apply sensitivity analysis and cost-benefit modeling in the evaluation of future irrigation projects, using the methodology outlined in this study.</w:t>
      </w:r>
    </w:p>
    <w:p w14:paraId="058AC858" w14:textId="79570EF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Link irrigation investment with agricultural extension, market access programs, and cooperative strengthening to maximize multiplier effects on rural development.</w:t>
      </w:r>
    </w:p>
    <w:p w14:paraId="38349350" w14:textId="77777777" w:rsidR="00EE77A8" w:rsidRPr="00EE77A8" w:rsidRDefault="00EE77A8" w:rsidP="00EE77A8">
      <w:pPr>
        <w:spacing w:after="120" w:line="240" w:lineRule="auto"/>
        <w:jc w:val="both"/>
        <w:rPr>
          <w:rFonts w:ascii="Times New Roman" w:hAnsi="Times New Roman" w:cs="Times New Roman"/>
        </w:rPr>
      </w:pPr>
      <w:r w:rsidRPr="00EE77A8">
        <w:rPr>
          <w:rFonts w:ascii="Times New Roman" w:hAnsi="Times New Roman" w:cs="Times New Roman"/>
        </w:rPr>
        <w:t xml:space="preserve">In conclusion,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project represents not only a viable agricultural intervention but a strategic regional development tool. Its replication, supported by sound planning and inclusive governance, could serve as a model for sustainable rural transformation across similar contexts in Indonesia</w:t>
      </w:r>
    </w:p>
    <w:p w14:paraId="5F539EA5" w14:textId="77777777" w:rsidR="00404669" w:rsidRDefault="00404669" w:rsidP="00EE77A8">
      <w:pPr>
        <w:spacing w:after="120" w:line="240" w:lineRule="auto"/>
        <w:jc w:val="both"/>
        <w:rPr>
          <w:rFonts w:ascii="Times New Roman" w:hAnsi="Times New Roman" w:cs="Times New Roman"/>
          <w:b/>
          <w:bCs/>
        </w:rPr>
      </w:pPr>
    </w:p>
    <w:p w14:paraId="03D049BC" w14:textId="77777777" w:rsidR="00404669" w:rsidRDefault="00404669" w:rsidP="00EE77A8">
      <w:pPr>
        <w:spacing w:after="120" w:line="240" w:lineRule="auto"/>
        <w:jc w:val="both"/>
        <w:rPr>
          <w:rFonts w:ascii="Times New Roman" w:hAnsi="Times New Roman" w:cs="Times New Roman"/>
          <w:b/>
          <w:bCs/>
        </w:rPr>
      </w:pPr>
    </w:p>
    <w:p w14:paraId="45D3AE5E" w14:textId="77777777" w:rsidR="00404669" w:rsidRDefault="00404669" w:rsidP="00EE77A8">
      <w:pPr>
        <w:spacing w:after="120" w:line="240" w:lineRule="auto"/>
        <w:jc w:val="both"/>
        <w:rPr>
          <w:rFonts w:ascii="Times New Roman" w:hAnsi="Times New Roman" w:cs="Times New Roman"/>
          <w:b/>
          <w:bCs/>
        </w:rPr>
      </w:pPr>
    </w:p>
    <w:p w14:paraId="42A608ED" w14:textId="68A966A5" w:rsidR="00EE77A8" w:rsidRPr="00EE77A8" w:rsidRDefault="00EE77A8" w:rsidP="00EE77A8">
      <w:pPr>
        <w:spacing w:after="120" w:line="240" w:lineRule="auto"/>
        <w:jc w:val="both"/>
        <w:rPr>
          <w:rFonts w:ascii="Times New Roman" w:hAnsi="Times New Roman" w:cs="Times New Roman"/>
          <w:b/>
          <w:bCs/>
        </w:rPr>
      </w:pPr>
      <w:r w:rsidRPr="00EE77A8">
        <w:rPr>
          <w:rFonts w:ascii="Times New Roman" w:hAnsi="Times New Roman" w:cs="Times New Roman"/>
          <w:b/>
          <w:bCs/>
        </w:rPr>
        <w:t>References</w:t>
      </w:r>
    </w:p>
    <w:p w14:paraId="4D1CFB02"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Alaerts</w:t>
      </w:r>
      <w:proofErr w:type="spellEnd"/>
      <w:r w:rsidRPr="004A25D4">
        <w:rPr>
          <w:rFonts w:ascii="Times New Roman" w:hAnsi="Times New Roman" w:cs="Times New Roman"/>
        </w:rPr>
        <w:t xml:space="preserve">, G. J. (2020). Adaptive policy implementation: Process and impact of Indonesia’s national irrigation reform 1999–2018. </w:t>
      </w:r>
      <w:r w:rsidRPr="004A25D4">
        <w:rPr>
          <w:rFonts w:ascii="Times New Roman" w:hAnsi="Times New Roman" w:cs="Times New Roman"/>
          <w:i/>
          <w:iCs/>
        </w:rPr>
        <w:t>World Development, 129</w:t>
      </w:r>
      <w:r w:rsidRPr="004A25D4">
        <w:rPr>
          <w:rFonts w:ascii="Times New Roman" w:hAnsi="Times New Roman" w:cs="Times New Roman"/>
        </w:rPr>
        <w:t xml:space="preserve">, Article 104880. </w:t>
      </w:r>
      <w:hyperlink r:id="rId11" w:tgtFrame="_new" w:history="1">
        <w:r w:rsidRPr="004A25D4">
          <w:rPr>
            <w:rStyle w:val="Hyperlink"/>
            <w:rFonts w:ascii="Times New Roman" w:hAnsi="Times New Roman" w:cs="Times New Roman"/>
          </w:rPr>
          <w:t>https://doi.org/10.1016/j.worlddev.2020.104880</w:t>
        </w:r>
      </w:hyperlink>
    </w:p>
    <w:p w14:paraId="6BD663BA"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Bappenas</w:t>
      </w:r>
      <w:proofErr w:type="spellEnd"/>
      <w:r w:rsidRPr="004A25D4">
        <w:rPr>
          <w:rFonts w:ascii="Times New Roman" w:hAnsi="Times New Roman" w:cs="Times New Roman"/>
        </w:rPr>
        <w:t xml:space="preserve">. (2022). </w:t>
      </w:r>
      <w:r w:rsidRPr="004A25D4">
        <w:rPr>
          <w:rFonts w:ascii="Times New Roman" w:hAnsi="Times New Roman" w:cs="Times New Roman"/>
          <w:i/>
          <w:iCs/>
        </w:rPr>
        <w:t>Strategi Nasional Pembangunan Wilayah 2020–2024</w:t>
      </w:r>
      <w:r w:rsidRPr="004A25D4">
        <w:rPr>
          <w:rFonts w:ascii="Times New Roman" w:hAnsi="Times New Roman" w:cs="Times New Roman"/>
        </w:rPr>
        <w:t xml:space="preserve">. Retrieved from </w:t>
      </w:r>
      <w:hyperlink r:id="rId12" w:tgtFrame="_new" w:history="1">
        <w:r w:rsidRPr="004A25D4">
          <w:rPr>
            <w:rStyle w:val="Hyperlink"/>
            <w:rFonts w:ascii="Times New Roman" w:hAnsi="Times New Roman" w:cs="Times New Roman"/>
          </w:rPr>
          <w:t>https://www.bappenas.go.id</w:t>
        </w:r>
      </w:hyperlink>
    </w:p>
    <w:p w14:paraId="1ABCB4E8"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lastRenderedPageBreak/>
        <w:t xml:space="preserve">Bolan, N. S., &amp; </w:t>
      </w:r>
      <w:proofErr w:type="spellStart"/>
      <w:r w:rsidRPr="004A25D4">
        <w:rPr>
          <w:rFonts w:ascii="Times New Roman" w:hAnsi="Times New Roman" w:cs="Times New Roman"/>
        </w:rPr>
        <w:t>Suryana</w:t>
      </w:r>
      <w:proofErr w:type="spellEnd"/>
      <w:r w:rsidRPr="004A25D4">
        <w:rPr>
          <w:rFonts w:ascii="Times New Roman" w:hAnsi="Times New Roman" w:cs="Times New Roman"/>
        </w:rPr>
        <w:t xml:space="preserve">. (2023). Irrigation performance evaluation for sustainable water management. </w:t>
      </w:r>
      <w:r w:rsidRPr="004A25D4">
        <w:rPr>
          <w:rFonts w:ascii="Times New Roman" w:hAnsi="Times New Roman" w:cs="Times New Roman"/>
          <w:i/>
          <w:iCs/>
        </w:rPr>
        <w:t>Sustainability, 17</w:t>
      </w:r>
      <w:r w:rsidRPr="004A25D4">
        <w:rPr>
          <w:rFonts w:ascii="Times New Roman" w:hAnsi="Times New Roman" w:cs="Times New Roman"/>
        </w:rPr>
        <w:t xml:space="preserve">(9), 4059. </w:t>
      </w:r>
      <w:hyperlink r:id="rId13" w:tgtFrame="_new" w:history="1">
        <w:r w:rsidRPr="004A25D4">
          <w:rPr>
            <w:rStyle w:val="Hyperlink"/>
            <w:rFonts w:ascii="Times New Roman" w:hAnsi="Times New Roman" w:cs="Times New Roman"/>
          </w:rPr>
          <w:t>https://doi.org/10.3390/su17094059</w:t>
        </w:r>
      </w:hyperlink>
    </w:p>
    <w:p w14:paraId="5474F621"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t xml:space="preserve">International Water Management Institute (IWMI). (2007). </w:t>
      </w:r>
      <w:r w:rsidRPr="004A25D4">
        <w:rPr>
          <w:rFonts w:ascii="Times New Roman" w:hAnsi="Times New Roman" w:cs="Times New Roman"/>
          <w:i/>
          <w:iCs/>
        </w:rPr>
        <w:t>Water for food, water for life: A comprehensive assessment of water management in agriculture</w:t>
      </w:r>
      <w:r w:rsidRPr="004A25D4">
        <w:rPr>
          <w:rFonts w:ascii="Times New Roman" w:hAnsi="Times New Roman" w:cs="Times New Roman"/>
        </w:rPr>
        <w:t>. Earthscan/IWMI.</w:t>
      </w:r>
    </w:p>
    <w:p w14:paraId="261345A1"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Pasandaran</w:t>
      </w:r>
      <w:proofErr w:type="spellEnd"/>
      <w:r w:rsidRPr="004A25D4">
        <w:rPr>
          <w:rFonts w:ascii="Times New Roman" w:hAnsi="Times New Roman" w:cs="Times New Roman"/>
        </w:rPr>
        <w:t xml:space="preserve">, E., &amp; </w:t>
      </w:r>
      <w:proofErr w:type="spellStart"/>
      <w:r w:rsidRPr="004A25D4">
        <w:rPr>
          <w:rFonts w:ascii="Times New Roman" w:hAnsi="Times New Roman" w:cs="Times New Roman"/>
        </w:rPr>
        <w:t>Zukiasri</w:t>
      </w:r>
      <w:proofErr w:type="spellEnd"/>
      <w:r w:rsidRPr="004A25D4">
        <w:rPr>
          <w:rFonts w:ascii="Times New Roman" w:hAnsi="Times New Roman" w:cs="Times New Roman"/>
        </w:rPr>
        <w:t xml:space="preserve">, N. (2001). </w:t>
      </w:r>
      <w:r w:rsidRPr="004A25D4">
        <w:rPr>
          <w:rFonts w:ascii="Times New Roman" w:hAnsi="Times New Roman" w:cs="Times New Roman"/>
          <w:i/>
          <w:iCs/>
        </w:rPr>
        <w:t>Development perspectives of irrigated agriculture in Indonesia</w:t>
      </w:r>
      <w:r w:rsidRPr="004A25D4">
        <w:rPr>
          <w:rFonts w:ascii="Times New Roman" w:hAnsi="Times New Roman" w:cs="Times New Roman"/>
        </w:rPr>
        <w:t xml:space="preserve">. </w:t>
      </w:r>
      <w:r w:rsidRPr="004A25D4">
        <w:rPr>
          <w:rFonts w:ascii="Times New Roman" w:hAnsi="Times New Roman" w:cs="Times New Roman"/>
          <w:i/>
          <w:iCs/>
        </w:rPr>
        <w:t>Research Papers in Economics</w:t>
      </w:r>
      <w:r w:rsidRPr="004A25D4">
        <w:rPr>
          <w:rFonts w:ascii="Times New Roman" w:hAnsi="Times New Roman" w:cs="Times New Roman"/>
        </w:rPr>
        <w:t>.</w:t>
      </w:r>
    </w:p>
    <w:p w14:paraId="4C62EBB5"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Rejekiningrum</w:t>
      </w:r>
      <w:proofErr w:type="spellEnd"/>
      <w:r w:rsidRPr="004A25D4">
        <w:rPr>
          <w:rFonts w:ascii="Times New Roman" w:hAnsi="Times New Roman" w:cs="Times New Roman"/>
        </w:rPr>
        <w:t xml:space="preserve">, P., </w:t>
      </w:r>
      <w:proofErr w:type="spellStart"/>
      <w:r w:rsidRPr="004A25D4">
        <w:rPr>
          <w:rFonts w:ascii="Times New Roman" w:hAnsi="Times New Roman" w:cs="Times New Roman"/>
        </w:rPr>
        <w:t>Apriyana</w:t>
      </w:r>
      <w:proofErr w:type="spellEnd"/>
      <w:r w:rsidRPr="004A25D4">
        <w:rPr>
          <w:rFonts w:ascii="Times New Roman" w:hAnsi="Times New Roman" w:cs="Times New Roman"/>
        </w:rPr>
        <w:t xml:space="preserve">, Y., </w:t>
      </w:r>
      <w:proofErr w:type="spellStart"/>
      <w:r w:rsidRPr="004A25D4">
        <w:rPr>
          <w:rFonts w:ascii="Times New Roman" w:hAnsi="Times New Roman" w:cs="Times New Roman"/>
        </w:rPr>
        <w:t>Sutardi</w:t>
      </w:r>
      <w:proofErr w:type="spellEnd"/>
      <w:r w:rsidRPr="004A25D4">
        <w:rPr>
          <w:rFonts w:ascii="Times New Roman" w:hAnsi="Times New Roman" w:cs="Times New Roman"/>
        </w:rPr>
        <w:t xml:space="preserve">, S., et al. (2022). </w:t>
      </w:r>
      <w:proofErr w:type="spellStart"/>
      <w:r w:rsidRPr="004A25D4">
        <w:rPr>
          <w:rFonts w:ascii="Times New Roman" w:hAnsi="Times New Roman" w:cs="Times New Roman"/>
        </w:rPr>
        <w:t>Optimising</w:t>
      </w:r>
      <w:proofErr w:type="spellEnd"/>
      <w:r w:rsidRPr="004A25D4">
        <w:rPr>
          <w:rFonts w:ascii="Times New Roman" w:hAnsi="Times New Roman" w:cs="Times New Roman"/>
        </w:rPr>
        <w:t xml:space="preserve"> water management in drylands to increase crop productivity and anticipate climate change in Indonesia. </w:t>
      </w:r>
      <w:r w:rsidRPr="004A25D4">
        <w:rPr>
          <w:rFonts w:ascii="Times New Roman" w:hAnsi="Times New Roman" w:cs="Times New Roman"/>
          <w:i/>
          <w:iCs/>
        </w:rPr>
        <w:t>Sustainability, 14</w:t>
      </w:r>
      <w:r w:rsidRPr="004A25D4">
        <w:rPr>
          <w:rFonts w:ascii="Times New Roman" w:hAnsi="Times New Roman" w:cs="Times New Roman"/>
        </w:rPr>
        <w:t xml:space="preserve">(18), 11672. </w:t>
      </w:r>
      <w:hyperlink r:id="rId14" w:tgtFrame="_new" w:history="1">
        <w:r w:rsidRPr="004A25D4">
          <w:rPr>
            <w:rStyle w:val="Hyperlink"/>
            <w:rFonts w:ascii="Times New Roman" w:hAnsi="Times New Roman" w:cs="Times New Roman"/>
          </w:rPr>
          <w:t>https://doi.org/10.3390/su141811672</w:t>
        </w:r>
      </w:hyperlink>
    </w:p>
    <w:p w14:paraId="09F95DC4"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Rizaldy</w:t>
      </w:r>
      <w:proofErr w:type="spellEnd"/>
      <w:r w:rsidRPr="004A25D4">
        <w:rPr>
          <w:rFonts w:ascii="Times New Roman" w:hAnsi="Times New Roman" w:cs="Times New Roman"/>
        </w:rPr>
        <w:t xml:space="preserve">, M. F., Zakaria, W. A., &amp; </w:t>
      </w:r>
      <w:proofErr w:type="spellStart"/>
      <w:r w:rsidRPr="004A25D4">
        <w:rPr>
          <w:rFonts w:ascii="Times New Roman" w:hAnsi="Times New Roman" w:cs="Times New Roman"/>
        </w:rPr>
        <w:t>Endaryanto</w:t>
      </w:r>
      <w:proofErr w:type="spellEnd"/>
      <w:r w:rsidRPr="004A25D4">
        <w:rPr>
          <w:rFonts w:ascii="Times New Roman" w:hAnsi="Times New Roman" w:cs="Times New Roman"/>
        </w:rPr>
        <w:t xml:space="preserve">, T. (2023). Impact of irrigation development on socio-economy and regional development: A case study in Way </w:t>
      </w:r>
      <w:proofErr w:type="spellStart"/>
      <w:r w:rsidRPr="004A25D4">
        <w:rPr>
          <w:rFonts w:ascii="Times New Roman" w:hAnsi="Times New Roman" w:cs="Times New Roman"/>
        </w:rPr>
        <w:t>Tulung</w:t>
      </w:r>
      <w:proofErr w:type="spellEnd"/>
      <w:r w:rsidRPr="004A25D4">
        <w:rPr>
          <w:rFonts w:ascii="Times New Roman" w:hAnsi="Times New Roman" w:cs="Times New Roman"/>
        </w:rPr>
        <w:t xml:space="preserve"> </w:t>
      </w:r>
      <w:proofErr w:type="spellStart"/>
      <w:r w:rsidRPr="004A25D4">
        <w:rPr>
          <w:rFonts w:ascii="Times New Roman" w:hAnsi="Times New Roman" w:cs="Times New Roman"/>
        </w:rPr>
        <w:t>Buho</w:t>
      </w:r>
      <w:proofErr w:type="spellEnd"/>
      <w:r w:rsidRPr="004A25D4">
        <w:rPr>
          <w:rFonts w:ascii="Times New Roman" w:hAnsi="Times New Roman" w:cs="Times New Roman"/>
        </w:rPr>
        <w:t xml:space="preserve">, West </w:t>
      </w:r>
      <w:proofErr w:type="spellStart"/>
      <w:r w:rsidRPr="004A25D4">
        <w:rPr>
          <w:rFonts w:ascii="Times New Roman" w:hAnsi="Times New Roman" w:cs="Times New Roman"/>
        </w:rPr>
        <w:t>Tulang</w:t>
      </w:r>
      <w:proofErr w:type="spellEnd"/>
      <w:r w:rsidRPr="004A25D4">
        <w:rPr>
          <w:rFonts w:ascii="Times New Roman" w:hAnsi="Times New Roman" w:cs="Times New Roman"/>
        </w:rPr>
        <w:t xml:space="preserve"> Bawang. </w:t>
      </w:r>
      <w:proofErr w:type="spellStart"/>
      <w:r w:rsidRPr="004A25D4">
        <w:rPr>
          <w:rFonts w:ascii="Times New Roman" w:hAnsi="Times New Roman" w:cs="Times New Roman"/>
          <w:i/>
          <w:iCs/>
        </w:rPr>
        <w:t>Jurnal</w:t>
      </w:r>
      <w:proofErr w:type="spellEnd"/>
      <w:r w:rsidRPr="004A25D4">
        <w:rPr>
          <w:rFonts w:ascii="Times New Roman" w:hAnsi="Times New Roman" w:cs="Times New Roman"/>
          <w:i/>
          <w:iCs/>
        </w:rPr>
        <w:t xml:space="preserve"> </w:t>
      </w:r>
      <w:proofErr w:type="spellStart"/>
      <w:r w:rsidRPr="004A25D4">
        <w:rPr>
          <w:rFonts w:ascii="Times New Roman" w:hAnsi="Times New Roman" w:cs="Times New Roman"/>
          <w:i/>
          <w:iCs/>
        </w:rPr>
        <w:t>Agrisep</w:t>
      </w:r>
      <w:proofErr w:type="spellEnd"/>
      <w:r w:rsidRPr="004A25D4">
        <w:rPr>
          <w:rFonts w:ascii="Times New Roman" w:hAnsi="Times New Roman" w:cs="Times New Roman"/>
          <w:i/>
          <w:iCs/>
        </w:rPr>
        <w:t>, 22</w:t>
      </w:r>
      <w:r w:rsidRPr="004A25D4">
        <w:rPr>
          <w:rFonts w:ascii="Times New Roman" w:hAnsi="Times New Roman" w:cs="Times New Roman"/>
        </w:rPr>
        <w:t xml:space="preserve">(2), 343–362. </w:t>
      </w:r>
      <w:hyperlink r:id="rId15" w:tgtFrame="_new" w:history="1">
        <w:r w:rsidRPr="004A25D4">
          <w:rPr>
            <w:rStyle w:val="Hyperlink"/>
            <w:rFonts w:ascii="Times New Roman" w:hAnsi="Times New Roman" w:cs="Times New Roman"/>
          </w:rPr>
          <w:t>https://doi.org/10.31186/jagrisep.22.02.343-362</w:t>
        </w:r>
      </w:hyperlink>
    </w:p>
    <w:p w14:paraId="3E8EE7F8"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Rustinsyah</w:t>
      </w:r>
      <w:proofErr w:type="spellEnd"/>
      <w:r w:rsidRPr="004A25D4">
        <w:rPr>
          <w:rFonts w:ascii="Times New Roman" w:hAnsi="Times New Roman" w:cs="Times New Roman"/>
        </w:rPr>
        <w:t xml:space="preserve">, R., &amp; </w:t>
      </w:r>
      <w:proofErr w:type="spellStart"/>
      <w:r w:rsidRPr="004A25D4">
        <w:rPr>
          <w:rFonts w:ascii="Times New Roman" w:hAnsi="Times New Roman" w:cs="Times New Roman"/>
        </w:rPr>
        <w:t>Prasetyo</w:t>
      </w:r>
      <w:proofErr w:type="spellEnd"/>
      <w:r w:rsidRPr="004A25D4">
        <w:rPr>
          <w:rFonts w:ascii="Times New Roman" w:hAnsi="Times New Roman" w:cs="Times New Roman"/>
        </w:rPr>
        <w:t xml:space="preserve">, R. A. (2019). Stakeholder engagement in a water user association for agricultural irrigation management in the villages in Indonesia. </w:t>
      </w:r>
      <w:r w:rsidRPr="004A25D4">
        <w:rPr>
          <w:rFonts w:ascii="Times New Roman" w:hAnsi="Times New Roman" w:cs="Times New Roman"/>
          <w:i/>
          <w:iCs/>
        </w:rPr>
        <w:t>Journal of Water and Land Development, 40</w:t>
      </w:r>
      <w:r w:rsidRPr="004A25D4">
        <w:rPr>
          <w:rFonts w:ascii="Times New Roman" w:hAnsi="Times New Roman" w:cs="Times New Roman"/>
        </w:rPr>
        <w:t xml:space="preserve">(I–III), 181–191. </w:t>
      </w:r>
      <w:hyperlink r:id="rId16" w:tgtFrame="_new" w:history="1">
        <w:r w:rsidRPr="004A25D4">
          <w:rPr>
            <w:rStyle w:val="Hyperlink"/>
            <w:rFonts w:ascii="Times New Roman" w:hAnsi="Times New Roman" w:cs="Times New Roman"/>
          </w:rPr>
          <w:t>https://doi.org/10.2478/jwld-2019-0020</w:t>
        </w:r>
      </w:hyperlink>
    </w:p>
    <w:p w14:paraId="0B65DEAD"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lang w:val="fi-FI"/>
        </w:rPr>
        <w:t xml:space="preserve">Tirtalistyani, R., Murtiningrum, M., &amp; Kanwar, R. S. (2022). </w:t>
      </w:r>
      <w:r w:rsidRPr="004A25D4">
        <w:rPr>
          <w:rFonts w:ascii="Times New Roman" w:hAnsi="Times New Roman" w:cs="Times New Roman"/>
        </w:rPr>
        <w:t xml:space="preserve">Indonesia rice irrigation system: Time for innovation. </w:t>
      </w:r>
      <w:r w:rsidRPr="004A25D4">
        <w:rPr>
          <w:rFonts w:ascii="Times New Roman" w:hAnsi="Times New Roman" w:cs="Times New Roman"/>
          <w:i/>
          <w:iCs/>
        </w:rPr>
        <w:t>Sustainability, 14</w:t>
      </w:r>
      <w:r w:rsidRPr="004A25D4">
        <w:rPr>
          <w:rFonts w:ascii="Times New Roman" w:hAnsi="Times New Roman" w:cs="Times New Roman"/>
        </w:rPr>
        <w:t xml:space="preserve">(19), 12477. </w:t>
      </w:r>
      <w:hyperlink r:id="rId17" w:tgtFrame="_new" w:history="1">
        <w:r w:rsidRPr="004A25D4">
          <w:rPr>
            <w:rStyle w:val="Hyperlink"/>
            <w:rFonts w:ascii="Times New Roman" w:hAnsi="Times New Roman" w:cs="Times New Roman"/>
          </w:rPr>
          <w:t>https://doi.org/10.3390/su141912477</w:t>
        </w:r>
      </w:hyperlink>
    </w:p>
    <w:p w14:paraId="5E1C548F"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rPr>
        <w:t xml:space="preserve">World Bank. (2019). </w:t>
      </w:r>
      <w:r w:rsidRPr="004A25D4">
        <w:rPr>
          <w:rFonts w:ascii="Times New Roman" w:hAnsi="Times New Roman" w:cs="Times New Roman"/>
          <w:i/>
          <w:iCs/>
        </w:rPr>
        <w:t>Indonesia: Strategic irrigation modernization and urgent rehabilitation project</w:t>
      </w:r>
      <w:r w:rsidRPr="004A25D4">
        <w:rPr>
          <w:rFonts w:ascii="Times New Roman" w:hAnsi="Times New Roman" w:cs="Times New Roman"/>
        </w:rPr>
        <w:t xml:space="preserve">. </w:t>
      </w:r>
      <w:hyperlink r:id="rId18" w:tgtFrame="_new" w:history="1">
        <w:r w:rsidRPr="004A25D4">
          <w:rPr>
            <w:rStyle w:val="Hyperlink"/>
            <w:rFonts w:ascii="Times New Roman" w:hAnsi="Times New Roman" w:cs="Times New Roman"/>
            <w:lang w:val="fi-FI"/>
          </w:rPr>
          <w:t>https://projects.worldbank.org/en/projects-operations/project-detail/P157585</w:t>
        </w:r>
      </w:hyperlink>
    </w:p>
    <w:p w14:paraId="7FE4D740"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lang w:val="fi-FI"/>
        </w:rPr>
        <w:t xml:space="preserve">Yasa, M., Sukadana, W., &amp; Meydianawathi, L. G. (2022). </w:t>
      </w:r>
      <w:r w:rsidRPr="004A25D4">
        <w:rPr>
          <w:rFonts w:ascii="Times New Roman" w:hAnsi="Times New Roman" w:cs="Times New Roman"/>
        </w:rPr>
        <w:t xml:space="preserve">Impact of rural development programs on agriculture production and rural-urban migration in Indonesia. </w:t>
      </w:r>
      <w:r w:rsidRPr="004A25D4">
        <w:rPr>
          <w:rFonts w:ascii="Times New Roman" w:hAnsi="Times New Roman" w:cs="Times New Roman"/>
          <w:i/>
          <w:iCs/>
          <w:lang w:val="fi-FI"/>
        </w:rPr>
        <w:t>Jurnal Ekonomi Kuantitatif Terapan, 15</w:t>
      </w:r>
      <w:r w:rsidRPr="004A25D4">
        <w:rPr>
          <w:rFonts w:ascii="Times New Roman" w:hAnsi="Times New Roman" w:cs="Times New Roman"/>
          <w:lang w:val="fi-FI"/>
        </w:rPr>
        <w:t xml:space="preserve">(1), 83–98. </w:t>
      </w:r>
      <w:hyperlink r:id="rId19" w:tgtFrame="_new" w:history="1">
        <w:r w:rsidRPr="004A25D4">
          <w:rPr>
            <w:rStyle w:val="Hyperlink"/>
            <w:rFonts w:ascii="Times New Roman" w:hAnsi="Times New Roman" w:cs="Times New Roman"/>
            <w:lang w:val="fi-FI"/>
          </w:rPr>
          <w:t>https://doi.org/10.24843/jekt.2022.v15.i01.p07</w:t>
        </w:r>
      </w:hyperlink>
    </w:p>
    <w:p w14:paraId="45F62234" w14:textId="77777777" w:rsidR="00D4366B" w:rsidRPr="004A25D4" w:rsidRDefault="00D4366B" w:rsidP="00D4366B">
      <w:pPr>
        <w:spacing w:after="120" w:line="240" w:lineRule="auto"/>
        <w:rPr>
          <w:rFonts w:ascii="Times New Roman" w:hAnsi="Times New Roman" w:cs="Times New Roman"/>
          <w:lang w:val="fi-FI"/>
        </w:rPr>
      </w:pPr>
    </w:p>
    <w:p w14:paraId="02951D8E" w14:textId="77777777" w:rsidR="00D4366B" w:rsidRPr="004A25D4" w:rsidRDefault="00D4366B" w:rsidP="00D4366B">
      <w:pPr>
        <w:spacing w:after="120" w:line="240" w:lineRule="auto"/>
        <w:rPr>
          <w:rFonts w:ascii="Times New Roman" w:hAnsi="Times New Roman" w:cs="Times New Roman"/>
          <w:lang w:val="fi-FI"/>
        </w:rPr>
      </w:pPr>
    </w:p>
    <w:p w14:paraId="3F65EB2C" w14:textId="77777777" w:rsidR="00D4366B" w:rsidRPr="004A25D4" w:rsidRDefault="00D4366B" w:rsidP="00D4366B">
      <w:pPr>
        <w:spacing w:after="120" w:line="240" w:lineRule="auto"/>
        <w:rPr>
          <w:rFonts w:ascii="Times New Roman" w:hAnsi="Times New Roman" w:cs="Times New Roman"/>
          <w:lang w:val="fi-FI"/>
        </w:rPr>
      </w:pPr>
    </w:p>
    <w:p w14:paraId="2DFD0689" w14:textId="77777777" w:rsidR="00D4366B" w:rsidRPr="004A25D4" w:rsidRDefault="00D4366B" w:rsidP="00D4366B">
      <w:pPr>
        <w:spacing w:after="120" w:line="240" w:lineRule="auto"/>
        <w:rPr>
          <w:rFonts w:ascii="Times New Roman" w:hAnsi="Times New Roman" w:cs="Times New Roman"/>
          <w:lang w:val="fi-FI"/>
        </w:rPr>
      </w:pPr>
    </w:p>
    <w:p w14:paraId="48D71DFD" w14:textId="77777777" w:rsidR="00D4366B" w:rsidRPr="004A25D4" w:rsidRDefault="00D4366B" w:rsidP="00D4366B">
      <w:pPr>
        <w:spacing w:after="120" w:line="240" w:lineRule="auto"/>
        <w:rPr>
          <w:rFonts w:ascii="Times New Roman" w:hAnsi="Times New Roman" w:cs="Times New Roman"/>
          <w:lang w:val="fi-FI"/>
        </w:rPr>
      </w:pPr>
    </w:p>
    <w:p w14:paraId="2A14B0D6" w14:textId="77777777" w:rsidR="00D4366B" w:rsidRPr="004A25D4" w:rsidRDefault="00D4366B" w:rsidP="00D4366B">
      <w:pPr>
        <w:spacing w:after="120" w:line="240" w:lineRule="auto"/>
        <w:rPr>
          <w:rFonts w:ascii="Times New Roman" w:hAnsi="Times New Roman" w:cs="Times New Roman"/>
          <w:lang w:val="fi-FI"/>
        </w:rPr>
      </w:pPr>
    </w:p>
    <w:p w14:paraId="449EBF26" w14:textId="77777777" w:rsidR="00D4366B" w:rsidRPr="004A25D4" w:rsidRDefault="00D4366B" w:rsidP="00D4366B">
      <w:pPr>
        <w:spacing w:after="120" w:line="240" w:lineRule="auto"/>
        <w:rPr>
          <w:rFonts w:ascii="Times New Roman" w:hAnsi="Times New Roman" w:cs="Times New Roman"/>
          <w:lang w:val="fi-FI"/>
        </w:rPr>
      </w:pPr>
    </w:p>
    <w:p w14:paraId="43C99D08" w14:textId="77777777" w:rsidR="00D4366B" w:rsidRPr="004A25D4" w:rsidRDefault="00D4366B" w:rsidP="00D4366B">
      <w:pPr>
        <w:spacing w:after="120" w:line="240" w:lineRule="auto"/>
        <w:rPr>
          <w:rFonts w:ascii="Times New Roman" w:hAnsi="Times New Roman" w:cs="Times New Roman"/>
          <w:lang w:val="fi-FI"/>
        </w:rPr>
      </w:pPr>
    </w:p>
    <w:p w14:paraId="38E261D6" w14:textId="77777777" w:rsidR="00D4366B" w:rsidRPr="004A25D4" w:rsidRDefault="00D4366B" w:rsidP="00D4366B">
      <w:pPr>
        <w:spacing w:after="120" w:line="240" w:lineRule="auto"/>
        <w:rPr>
          <w:rFonts w:ascii="Times New Roman" w:hAnsi="Times New Roman" w:cs="Times New Roman"/>
          <w:lang w:val="fi-FI"/>
        </w:rPr>
      </w:pPr>
    </w:p>
    <w:p w14:paraId="503BA798" w14:textId="77777777" w:rsidR="00D4366B" w:rsidRPr="004A25D4" w:rsidRDefault="00D4366B" w:rsidP="00D4366B">
      <w:pPr>
        <w:spacing w:after="120" w:line="240" w:lineRule="auto"/>
        <w:rPr>
          <w:rFonts w:ascii="Times New Roman" w:hAnsi="Times New Roman" w:cs="Times New Roman"/>
          <w:lang w:val="fi-FI"/>
        </w:rPr>
      </w:pPr>
    </w:p>
    <w:p w14:paraId="6210783E" w14:textId="77777777" w:rsidR="00D4366B" w:rsidRPr="004A25D4" w:rsidRDefault="00D4366B" w:rsidP="00D4366B">
      <w:pPr>
        <w:spacing w:after="120" w:line="240" w:lineRule="auto"/>
        <w:rPr>
          <w:rFonts w:ascii="Times New Roman" w:hAnsi="Times New Roman" w:cs="Times New Roman"/>
          <w:lang w:val="fi-FI"/>
        </w:rPr>
      </w:pPr>
    </w:p>
    <w:p w14:paraId="6C517E74" w14:textId="77777777" w:rsidR="00D4366B" w:rsidRPr="004A25D4" w:rsidRDefault="00D4366B" w:rsidP="00D4366B">
      <w:pPr>
        <w:spacing w:after="120" w:line="240" w:lineRule="auto"/>
        <w:rPr>
          <w:rFonts w:ascii="Times New Roman" w:hAnsi="Times New Roman" w:cs="Times New Roman"/>
          <w:lang w:val="fi-FI"/>
        </w:rPr>
      </w:pPr>
    </w:p>
    <w:p w14:paraId="2CF9E904" w14:textId="77777777" w:rsidR="00D4366B" w:rsidRPr="004A25D4" w:rsidRDefault="00D4366B" w:rsidP="00D4366B">
      <w:pPr>
        <w:spacing w:after="120" w:line="240" w:lineRule="auto"/>
        <w:rPr>
          <w:rFonts w:ascii="Times New Roman" w:hAnsi="Times New Roman" w:cs="Times New Roman"/>
          <w:lang w:val="fi-FI"/>
        </w:rPr>
      </w:pPr>
    </w:p>
    <w:p w14:paraId="117E5E25" w14:textId="77777777" w:rsidR="00D4366B" w:rsidRPr="004A25D4" w:rsidRDefault="00D4366B" w:rsidP="00D4366B">
      <w:pPr>
        <w:spacing w:after="120" w:line="240" w:lineRule="auto"/>
        <w:rPr>
          <w:rFonts w:ascii="Times New Roman" w:hAnsi="Times New Roman" w:cs="Times New Roman"/>
          <w:lang w:val="fi-FI"/>
        </w:rPr>
      </w:pPr>
    </w:p>
    <w:p w14:paraId="4ED0867C" w14:textId="77777777" w:rsidR="00D4366B" w:rsidRPr="004A25D4" w:rsidRDefault="00D4366B" w:rsidP="00D4366B">
      <w:pPr>
        <w:spacing w:after="120" w:line="240" w:lineRule="auto"/>
        <w:rPr>
          <w:rFonts w:ascii="Times New Roman" w:hAnsi="Times New Roman" w:cs="Times New Roman"/>
          <w:lang w:val="fi-FI"/>
        </w:rPr>
      </w:pPr>
    </w:p>
    <w:p w14:paraId="6D9AED63" w14:textId="77777777" w:rsidR="00D4366B" w:rsidRPr="004A25D4" w:rsidRDefault="00D4366B" w:rsidP="00D4366B">
      <w:pPr>
        <w:spacing w:after="120" w:line="240" w:lineRule="auto"/>
        <w:rPr>
          <w:rFonts w:ascii="Times New Roman" w:hAnsi="Times New Roman" w:cs="Times New Roman"/>
          <w:lang w:val="fi-FI"/>
        </w:rPr>
      </w:pPr>
    </w:p>
    <w:p w14:paraId="54BCE28B" w14:textId="77777777" w:rsidR="00D4366B" w:rsidRPr="004A25D4" w:rsidRDefault="00D4366B" w:rsidP="00D4366B">
      <w:pPr>
        <w:spacing w:after="120" w:line="240" w:lineRule="auto"/>
        <w:rPr>
          <w:rFonts w:ascii="Times New Roman" w:hAnsi="Times New Roman" w:cs="Times New Roman"/>
          <w:lang w:val="fi-FI"/>
        </w:rPr>
      </w:pPr>
    </w:p>
    <w:p w14:paraId="0F3A5DF4" w14:textId="77777777" w:rsidR="00D4366B" w:rsidRPr="004A25D4" w:rsidRDefault="00D4366B" w:rsidP="00D4366B">
      <w:pPr>
        <w:spacing w:after="120" w:line="240" w:lineRule="auto"/>
        <w:rPr>
          <w:rFonts w:ascii="Times New Roman" w:hAnsi="Times New Roman" w:cs="Times New Roman"/>
          <w:lang w:val="fi-FI"/>
        </w:rPr>
      </w:pPr>
    </w:p>
    <w:p w14:paraId="39B09366" w14:textId="77777777" w:rsidR="00D4366B" w:rsidRPr="004A25D4" w:rsidRDefault="00D4366B" w:rsidP="00D4366B">
      <w:pPr>
        <w:spacing w:after="120" w:line="240" w:lineRule="auto"/>
        <w:rPr>
          <w:rFonts w:ascii="Times New Roman" w:hAnsi="Times New Roman" w:cs="Times New Roman"/>
          <w:lang w:val="fi-FI"/>
        </w:rPr>
      </w:pPr>
    </w:p>
    <w:p w14:paraId="777E1DC6" w14:textId="77777777" w:rsidR="00D4366B" w:rsidRPr="004A25D4" w:rsidRDefault="00D4366B" w:rsidP="00D4366B">
      <w:pPr>
        <w:spacing w:after="120" w:line="240" w:lineRule="auto"/>
        <w:rPr>
          <w:rFonts w:ascii="Times New Roman" w:hAnsi="Times New Roman" w:cs="Times New Roman"/>
          <w:lang w:val="fi-FI"/>
        </w:rPr>
      </w:pPr>
    </w:p>
    <w:p w14:paraId="5D4944F6" w14:textId="77777777" w:rsidR="00D4366B" w:rsidRPr="004A25D4" w:rsidRDefault="00D4366B" w:rsidP="00D4366B">
      <w:pPr>
        <w:spacing w:after="120" w:line="240" w:lineRule="auto"/>
        <w:rPr>
          <w:rFonts w:ascii="Times New Roman" w:hAnsi="Times New Roman" w:cs="Times New Roman"/>
          <w:lang w:val="fi-FI"/>
        </w:rPr>
      </w:pPr>
    </w:p>
    <w:p w14:paraId="72CB9699" w14:textId="77777777" w:rsidR="00D4366B" w:rsidRPr="004A25D4" w:rsidRDefault="00D4366B" w:rsidP="00D4366B">
      <w:pPr>
        <w:spacing w:after="120" w:line="240" w:lineRule="auto"/>
        <w:rPr>
          <w:rFonts w:ascii="Times New Roman" w:hAnsi="Times New Roman" w:cs="Times New Roman"/>
          <w:lang w:val="fi-FI"/>
        </w:rPr>
      </w:pPr>
    </w:p>
    <w:p w14:paraId="25FFAF90" w14:textId="77777777" w:rsidR="00D4366B" w:rsidRPr="004A25D4" w:rsidRDefault="00D4366B" w:rsidP="00D4366B">
      <w:pPr>
        <w:spacing w:after="120" w:line="240" w:lineRule="auto"/>
        <w:rPr>
          <w:rFonts w:ascii="Times New Roman" w:hAnsi="Times New Roman" w:cs="Times New Roman"/>
          <w:lang w:val="fi-FI"/>
        </w:rPr>
      </w:pPr>
    </w:p>
    <w:p w14:paraId="3D2CAEBB" w14:textId="77777777" w:rsidR="00D4366B" w:rsidRPr="004A25D4" w:rsidRDefault="00D4366B" w:rsidP="00D4366B">
      <w:pPr>
        <w:spacing w:after="120" w:line="240" w:lineRule="auto"/>
        <w:rPr>
          <w:rFonts w:ascii="Times New Roman" w:hAnsi="Times New Roman" w:cs="Times New Roman"/>
          <w:lang w:val="fi-FI"/>
        </w:rPr>
      </w:pPr>
    </w:p>
    <w:p w14:paraId="5E049CFE" w14:textId="77777777" w:rsidR="00D4366B" w:rsidRPr="004A25D4" w:rsidRDefault="00D4366B" w:rsidP="00D4366B">
      <w:pPr>
        <w:spacing w:after="120" w:line="240" w:lineRule="auto"/>
        <w:rPr>
          <w:rFonts w:ascii="Times New Roman" w:hAnsi="Times New Roman" w:cs="Times New Roman"/>
          <w:lang w:val="fi-FI"/>
        </w:rPr>
      </w:pPr>
    </w:p>
    <w:p w14:paraId="296F98B1" w14:textId="77777777" w:rsidR="00D4366B" w:rsidRPr="004A25D4" w:rsidRDefault="00D4366B" w:rsidP="00D4366B">
      <w:pPr>
        <w:spacing w:after="120" w:line="240" w:lineRule="auto"/>
        <w:rPr>
          <w:rFonts w:ascii="Times New Roman" w:hAnsi="Times New Roman" w:cs="Times New Roman"/>
          <w:lang w:val="fi-FI"/>
        </w:rPr>
      </w:pPr>
    </w:p>
    <w:p w14:paraId="1F4C2A3E" w14:textId="77777777" w:rsidR="00D4366B" w:rsidRPr="004A25D4" w:rsidRDefault="00D4366B" w:rsidP="00D4366B">
      <w:pPr>
        <w:spacing w:after="120" w:line="240" w:lineRule="auto"/>
        <w:rPr>
          <w:rFonts w:ascii="Times New Roman" w:hAnsi="Times New Roman" w:cs="Times New Roman"/>
          <w:lang w:val="fi-FI"/>
        </w:rPr>
      </w:pPr>
    </w:p>
    <w:p w14:paraId="5BDD3708" w14:textId="77777777" w:rsidR="00D4366B" w:rsidRPr="004A25D4" w:rsidRDefault="00D4366B" w:rsidP="00D4366B">
      <w:pPr>
        <w:spacing w:after="120" w:line="240" w:lineRule="auto"/>
        <w:rPr>
          <w:rFonts w:ascii="Times New Roman" w:hAnsi="Times New Roman" w:cs="Times New Roman"/>
          <w:lang w:val="fi-FI"/>
        </w:rPr>
      </w:pPr>
    </w:p>
    <w:p w14:paraId="7F88055E" w14:textId="77777777" w:rsidR="00D4366B" w:rsidRPr="004A25D4" w:rsidRDefault="00D4366B" w:rsidP="00D4366B">
      <w:pPr>
        <w:spacing w:after="120" w:line="240" w:lineRule="auto"/>
        <w:rPr>
          <w:rFonts w:ascii="Times New Roman" w:hAnsi="Times New Roman" w:cs="Times New Roman"/>
          <w:lang w:val="fi-FI"/>
        </w:rPr>
      </w:pPr>
    </w:p>
    <w:p w14:paraId="401A0BCF" w14:textId="77777777" w:rsidR="00D4366B" w:rsidRPr="004A25D4" w:rsidRDefault="00D4366B" w:rsidP="00D4366B">
      <w:pPr>
        <w:spacing w:after="120" w:line="240" w:lineRule="auto"/>
        <w:rPr>
          <w:rFonts w:ascii="Times New Roman" w:hAnsi="Times New Roman" w:cs="Times New Roman"/>
          <w:lang w:val="fi-FI"/>
        </w:rPr>
      </w:pPr>
    </w:p>
    <w:p w14:paraId="3D59FD75" w14:textId="77777777" w:rsidR="00D4366B" w:rsidRPr="004A25D4" w:rsidRDefault="00D4366B" w:rsidP="00D4366B">
      <w:pPr>
        <w:spacing w:after="120" w:line="240" w:lineRule="auto"/>
        <w:rPr>
          <w:rFonts w:ascii="Times New Roman" w:hAnsi="Times New Roman" w:cs="Times New Roman"/>
          <w:lang w:val="fi-FI"/>
        </w:rPr>
      </w:pPr>
    </w:p>
    <w:p w14:paraId="5445F5FA" w14:textId="77777777" w:rsidR="00D4366B" w:rsidRPr="004A25D4" w:rsidRDefault="00D4366B" w:rsidP="00D4366B">
      <w:pPr>
        <w:spacing w:after="120" w:line="240" w:lineRule="auto"/>
        <w:rPr>
          <w:rFonts w:ascii="Times New Roman" w:hAnsi="Times New Roman" w:cs="Times New Roman"/>
          <w:lang w:val="fi-FI"/>
        </w:rPr>
      </w:pPr>
    </w:p>
    <w:p w14:paraId="1434C2DE" w14:textId="77777777" w:rsidR="00D4366B" w:rsidRPr="004A25D4" w:rsidRDefault="00D4366B" w:rsidP="00D4366B">
      <w:pPr>
        <w:spacing w:after="120" w:line="240" w:lineRule="auto"/>
        <w:rPr>
          <w:rFonts w:ascii="Times New Roman" w:hAnsi="Times New Roman" w:cs="Times New Roman"/>
          <w:lang w:val="fi-FI"/>
        </w:rPr>
      </w:pPr>
    </w:p>
    <w:p w14:paraId="5AF635E9" w14:textId="77777777" w:rsidR="00D4366B" w:rsidRPr="004A25D4" w:rsidRDefault="00D4366B" w:rsidP="00D4366B">
      <w:pPr>
        <w:spacing w:after="120" w:line="240" w:lineRule="auto"/>
        <w:rPr>
          <w:rFonts w:ascii="Times New Roman" w:hAnsi="Times New Roman" w:cs="Times New Roman"/>
          <w:lang w:val="fi-FI"/>
        </w:rPr>
      </w:pPr>
    </w:p>
    <w:p w14:paraId="4EBD0F50" w14:textId="77777777" w:rsidR="00D4366B" w:rsidRPr="004A25D4" w:rsidRDefault="00D4366B" w:rsidP="00D4366B">
      <w:pPr>
        <w:spacing w:after="120" w:line="240" w:lineRule="auto"/>
        <w:rPr>
          <w:rFonts w:ascii="Times New Roman" w:hAnsi="Times New Roman" w:cs="Times New Roman"/>
          <w:lang w:val="fi-FI"/>
        </w:rPr>
      </w:pPr>
    </w:p>
    <w:bookmarkEnd w:id="0"/>
    <w:p w14:paraId="3A859434" w14:textId="77777777" w:rsidR="00D4366B" w:rsidRPr="004A25D4" w:rsidRDefault="00D4366B" w:rsidP="00D4366B">
      <w:pPr>
        <w:spacing w:after="120" w:line="240" w:lineRule="auto"/>
        <w:rPr>
          <w:rFonts w:ascii="Times New Roman" w:hAnsi="Times New Roman" w:cs="Times New Roman"/>
          <w:lang w:val="fi-FI"/>
        </w:rPr>
      </w:pPr>
    </w:p>
    <w:sectPr w:rsidR="00D4366B" w:rsidRPr="004A25D4" w:rsidSect="00D4366B">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FA76A" w14:textId="77777777" w:rsidR="0073699B" w:rsidRDefault="0073699B" w:rsidP="0086045B">
      <w:pPr>
        <w:spacing w:after="0" w:line="240" w:lineRule="auto"/>
      </w:pPr>
      <w:r>
        <w:separator/>
      </w:r>
    </w:p>
  </w:endnote>
  <w:endnote w:type="continuationSeparator" w:id="0">
    <w:p w14:paraId="2CF388DE" w14:textId="77777777" w:rsidR="0073699B" w:rsidRDefault="0073699B" w:rsidP="0086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3184C" w14:textId="77777777" w:rsidR="0086045B" w:rsidRDefault="0086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36DB" w14:textId="77777777" w:rsidR="0086045B" w:rsidRDefault="00860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A78C" w14:textId="77777777" w:rsidR="0086045B" w:rsidRDefault="0086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3338" w14:textId="77777777" w:rsidR="0073699B" w:rsidRDefault="0073699B" w:rsidP="0086045B">
      <w:pPr>
        <w:spacing w:after="0" w:line="240" w:lineRule="auto"/>
      </w:pPr>
      <w:r>
        <w:separator/>
      </w:r>
    </w:p>
  </w:footnote>
  <w:footnote w:type="continuationSeparator" w:id="0">
    <w:p w14:paraId="4F1B1BD8" w14:textId="77777777" w:rsidR="0073699B" w:rsidRDefault="0073699B" w:rsidP="0086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5C651" w14:textId="541383B9" w:rsidR="0086045B" w:rsidRDefault="0086045B">
    <w:pPr>
      <w:pStyle w:val="Header"/>
    </w:pPr>
    <w:r>
      <w:rPr>
        <w:noProof/>
      </w:rPr>
      <w:pict w14:anchorId="66AE9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F319E" w14:textId="09877F76" w:rsidR="0086045B" w:rsidRDefault="0086045B">
    <w:pPr>
      <w:pStyle w:val="Header"/>
    </w:pPr>
    <w:r>
      <w:rPr>
        <w:noProof/>
      </w:rPr>
      <w:pict w14:anchorId="798F4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81AB" w14:textId="78148A69" w:rsidR="0086045B" w:rsidRDefault="0086045B">
    <w:pPr>
      <w:pStyle w:val="Header"/>
    </w:pPr>
    <w:r>
      <w:rPr>
        <w:noProof/>
      </w:rPr>
      <w:pict w14:anchorId="0EAC0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D162B"/>
    <w:multiLevelType w:val="multilevel"/>
    <w:tmpl w:val="37FC45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14BE5"/>
    <w:multiLevelType w:val="multilevel"/>
    <w:tmpl w:val="C0D09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F1A65"/>
    <w:multiLevelType w:val="multilevel"/>
    <w:tmpl w:val="991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F40868"/>
    <w:multiLevelType w:val="multilevel"/>
    <w:tmpl w:val="7ADA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00FD1"/>
    <w:multiLevelType w:val="multilevel"/>
    <w:tmpl w:val="09F2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C183D"/>
    <w:multiLevelType w:val="multilevel"/>
    <w:tmpl w:val="2F7E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D53C9"/>
    <w:multiLevelType w:val="hybridMultilevel"/>
    <w:tmpl w:val="A576132A"/>
    <w:lvl w:ilvl="0" w:tplc="A268F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C21EB6"/>
    <w:multiLevelType w:val="multilevel"/>
    <w:tmpl w:val="B4A83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B8413A"/>
    <w:multiLevelType w:val="multilevel"/>
    <w:tmpl w:val="1A883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82E9C"/>
    <w:multiLevelType w:val="multilevel"/>
    <w:tmpl w:val="B8B81D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D217FD"/>
    <w:multiLevelType w:val="multilevel"/>
    <w:tmpl w:val="D50A8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1D43BB"/>
    <w:multiLevelType w:val="multilevel"/>
    <w:tmpl w:val="57BC3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2DE0"/>
    <w:multiLevelType w:val="multilevel"/>
    <w:tmpl w:val="6F36E0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E619A0"/>
    <w:multiLevelType w:val="multilevel"/>
    <w:tmpl w:val="641CE7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8"/>
  </w:num>
  <w:num w:numId="4">
    <w:abstractNumId w:val="13"/>
  </w:num>
  <w:num w:numId="5">
    <w:abstractNumId w:val="1"/>
  </w:num>
  <w:num w:numId="6">
    <w:abstractNumId w:val="3"/>
  </w:num>
  <w:num w:numId="7">
    <w:abstractNumId w:val="10"/>
  </w:num>
  <w:num w:numId="8">
    <w:abstractNumId w:val="9"/>
  </w:num>
  <w:num w:numId="9">
    <w:abstractNumId w:val="12"/>
  </w:num>
  <w:num w:numId="10">
    <w:abstractNumId w:val="0"/>
  </w:num>
  <w:num w:numId="11">
    <w:abstractNumId w:val="4"/>
  </w:num>
  <w:num w:numId="12">
    <w:abstractNumId w:val="2"/>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66B"/>
    <w:rsid w:val="000539EA"/>
    <w:rsid w:val="002836CC"/>
    <w:rsid w:val="002E2D83"/>
    <w:rsid w:val="003134EC"/>
    <w:rsid w:val="00404669"/>
    <w:rsid w:val="004A25D4"/>
    <w:rsid w:val="00526E41"/>
    <w:rsid w:val="00597A09"/>
    <w:rsid w:val="0073699B"/>
    <w:rsid w:val="007773F0"/>
    <w:rsid w:val="0086045B"/>
    <w:rsid w:val="008A6E95"/>
    <w:rsid w:val="00C539FD"/>
    <w:rsid w:val="00C875A6"/>
    <w:rsid w:val="00D4366B"/>
    <w:rsid w:val="00D73792"/>
    <w:rsid w:val="00EE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05ED5C"/>
  <w15:chartTrackingRefBased/>
  <w15:docId w15:val="{82DC2E0C-D916-478D-BBF0-631C3782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3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3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66B"/>
    <w:rPr>
      <w:rFonts w:eastAsiaTheme="majorEastAsia" w:cstheme="majorBidi"/>
      <w:color w:val="272727" w:themeColor="text1" w:themeTint="D8"/>
    </w:rPr>
  </w:style>
  <w:style w:type="paragraph" w:styleId="Title">
    <w:name w:val="Title"/>
    <w:basedOn w:val="Normal"/>
    <w:next w:val="Normal"/>
    <w:link w:val="TitleChar"/>
    <w:uiPriority w:val="10"/>
    <w:qFormat/>
    <w:rsid w:val="00D43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66B"/>
    <w:pPr>
      <w:spacing w:before="160"/>
      <w:jc w:val="center"/>
    </w:pPr>
    <w:rPr>
      <w:i/>
      <w:iCs/>
      <w:color w:val="404040" w:themeColor="text1" w:themeTint="BF"/>
    </w:rPr>
  </w:style>
  <w:style w:type="character" w:customStyle="1" w:styleId="QuoteChar">
    <w:name w:val="Quote Char"/>
    <w:basedOn w:val="DefaultParagraphFont"/>
    <w:link w:val="Quote"/>
    <w:uiPriority w:val="29"/>
    <w:rsid w:val="00D4366B"/>
    <w:rPr>
      <w:i/>
      <w:iCs/>
      <w:color w:val="404040" w:themeColor="text1" w:themeTint="BF"/>
    </w:rPr>
  </w:style>
  <w:style w:type="paragraph" w:styleId="ListParagraph">
    <w:name w:val="List Paragraph"/>
    <w:basedOn w:val="Normal"/>
    <w:uiPriority w:val="34"/>
    <w:qFormat/>
    <w:rsid w:val="00D4366B"/>
    <w:pPr>
      <w:ind w:left="720"/>
      <w:contextualSpacing/>
    </w:pPr>
  </w:style>
  <w:style w:type="character" w:styleId="IntenseEmphasis">
    <w:name w:val="Intense Emphasis"/>
    <w:basedOn w:val="DefaultParagraphFont"/>
    <w:uiPriority w:val="21"/>
    <w:qFormat/>
    <w:rsid w:val="00D4366B"/>
    <w:rPr>
      <w:i/>
      <w:iCs/>
      <w:color w:val="0F4761" w:themeColor="accent1" w:themeShade="BF"/>
    </w:rPr>
  </w:style>
  <w:style w:type="paragraph" w:styleId="IntenseQuote">
    <w:name w:val="Intense Quote"/>
    <w:basedOn w:val="Normal"/>
    <w:next w:val="Normal"/>
    <w:link w:val="IntenseQuoteChar"/>
    <w:uiPriority w:val="30"/>
    <w:qFormat/>
    <w:rsid w:val="00D43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66B"/>
    <w:rPr>
      <w:i/>
      <w:iCs/>
      <w:color w:val="0F4761" w:themeColor="accent1" w:themeShade="BF"/>
    </w:rPr>
  </w:style>
  <w:style w:type="character" w:styleId="IntenseReference">
    <w:name w:val="Intense Reference"/>
    <w:basedOn w:val="DefaultParagraphFont"/>
    <w:uiPriority w:val="32"/>
    <w:qFormat/>
    <w:rsid w:val="00D4366B"/>
    <w:rPr>
      <w:b/>
      <w:bCs/>
      <w:smallCaps/>
      <w:color w:val="0F4761" w:themeColor="accent1" w:themeShade="BF"/>
      <w:spacing w:val="5"/>
    </w:rPr>
  </w:style>
  <w:style w:type="table" w:styleId="TableGrid">
    <w:name w:val="Table Grid"/>
    <w:basedOn w:val="TableNormal"/>
    <w:uiPriority w:val="39"/>
    <w:rsid w:val="0028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669"/>
    <w:rPr>
      <w:color w:val="467886" w:themeColor="hyperlink"/>
      <w:u w:val="single"/>
    </w:rPr>
  </w:style>
  <w:style w:type="character" w:styleId="UnresolvedMention">
    <w:name w:val="Unresolved Mention"/>
    <w:basedOn w:val="DefaultParagraphFont"/>
    <w:uiPriority w:val="99"/>
    <w:semiHidden/>
    <w:unhideWhenUsed/>
    <w:rsid w:val="00404669"/>
    <w:rPr>
      <w:color w:val="605E5C"/>
      <w:shd w:val="clear" w:color="auto" w:fill="E1DFDD"/>
    </w:rPr>
  </w:style>
  <w:style w:type="character" w:styleId="FollowedHyperlink">
    <w:name w:val="FollowedHyperlink"/>
    <w:basedOn w:val="DefaultParagraphFont"/>
    <w:uiPriority w:val="99"/>
    <w:semiHidden/>
    <w:unhideWhenUsed/>
    <w:rsid w:val="00C875A6"/>
    <w:rPr>
      <w:color w:val="96607D" w:themeColor="followedHyperlink"/>
      <w:u w:val="single"/>
    </w:rPr>
  </w:style>
  <w:style w:type="paragraph" w:styleId="Header">
    <w:name w:val="header"/>
    <w:basedOn w:val="Normal"/>
    <w:link w:val="HeaderChar"/>
    <w:uiPriority w:val="99"/>
    <w:unhideWhenUsed/>
    <w:rsid w:val="0086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45B"/>
  </w:style>
  <w:style w:type="paragraph" w:styleId="Footer">
    <w:name w:val="footer"/>
    <w:basedOn w:val="Normal"/>
    <w:link w:val="FooterChar"/>
    <w:uiPriority w:val="99"/>
    <w:unhideWhenUsed/>
    <w:rsid w:val="0086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4581">
      <w:bodyDiv w:val="1"/>
      <w:marLeft w:val="0"/>
      <w:marRight w:val="0"/>
      <w:marTop w:val="0"/>
      <w:marBottom w:val="0"/>
      <w:divBdr>
        <w:top w:val="none" w:sz="0" w:space="0" w:color="auto"/>
        <w:left w:val="none" w:sz="0" w:space="0" w:color="auto"/>
        <w:bottom w:val="none" w:sz="0" w:space="0" w:color="auto"/>
        <w:right w:val="none" w:sz="0" w:space="0" w:color="auto"/>
      </w:divBdr>
    </w:div>
    <w:div w:id="71048206">
      <w:bodyDiv w:val="1"/>
      <w:marLeft w:val="0"/>
      <w:marRight w:val="0"/>
      <w:marTop w:val="0"/>
      <w:marBottom w:val="0"/>
      <w:divBdr>
        <w:top w:val="none" w:sz="0" w:space="0" w:color="auto"/>
        <w:left w:val="none" w:sz="0" w:space="0" w:color="auto"/>
        <w:bottom w:val="none" w:sz="0" w:space="0" w:color="auto"/>
        <w:right w:val="none" w:sz="0" w:space="0" w:color="auto"/>
      </w:divBdr>
      <w:divsChild>
        <w:div w:id="986545021">
          <w:marLeft w:val="0"/>
          <w:marRight w:val="0"/>
          <w:marTop w:val="0"/>
          <w:marBottom w:val="0"/>
          <w:divBdr>
            <w:top w:val="none" w:sz="0" w:space="0" w:color="auto"/>
            <w:left w:val="none" w:sz="0" w:space="0" w:color="auto"/>
            <w:bottom w:val="none" w:sz="0" w:space="0" w:color="auto"/>
            <w:right w:val="none" w:sz="0" w:space="0" w:color="auto"/>
          </w:divBdr>
          <w:divsChild>
            <w:div w:id="1265454978">
              <w:marLeft w:val="0"/>
              <w:marRight w:val="0"/>
              <w:marTop w:val="0"/>
              <w:marBottom w:val="0"/>
              <w:divBdr>
                <w:top w:val="none" w:sz="0" w:space="0" w:color="auto"/>
                <w:left w:val="none" w:sz="0" w:space="0" w:color="auto"/>
                <w:bottom w:val="none" w:sz="0" w:space="0" w:color="auto"/>
                <w:right w:val="none" w:sz="0" w:space="0" w:color="auto"/>
              </w:divBdr>
            </w:div>
            <w:div w:id="1275136365">
              <w:marLeft w:val="0"/>
              <w:marRight w:val="0"/>
              <w:marTop w:val="0"/>
              <w:marBottom w:val="0"/>
              <w:divBdr>
                <w:top w:val="none" w:sz="0" w:space="0" w:color="auto"/>
                <w:left w:val="none" w:sz="0" w:space="0" w:color="auto"/>
                <w:bottom w:val="none" w:sz="0" w:space="0" w:color="auto"/>
                <w:right w:val="none" w:sz="0" w:space="0" w:color="auto"/>
              </w:divBdr>
            </w:div>
            <w:div w:id="8280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6743">
      <w:bodyDiv w:val="1"/>
      <w:marLeft w:val="0"/>
      <w:marRight w:val="0"/>
      <w:marTop w:val="0"/>
      <w:marBottom w:val="0"/>
      <w:divBdr>
        <w:top w:val="none" w:sz="0" w:space="0" w:color="auto"/>
        <w:left w:val="none" w:sz="0" w:space="0" w:color="auto"/>
        <w:bottom w:val="none" w:sz="0" w:space="0" w:color="auto"/>
        <w:right w:val="none" w:sz="0" w:space="0" w:color="auto"/>
      </w:divBdr>
    </w:div>
    <w:div w:id="164051468">
      <w:bodyDiv w:val="1"/>
      <w:marLeft w:val="0"/>
      <w:marRight w:val="0"/>
      <w:marTop w:val="0"/>
      <w:marBottom w:val="0"/>
      <w:divBdr>
        <w:top w:val="none" w:sz="0" w:space="0" w:color="auto"/>
        <w:left w:val="none" w:sz="0" w:space="0" w:color="auto"/>
        <w:bottom w:val="none" w:sz="0" w:space="0" w:color="auto"/>
        <w:right w:val="none" w:sz="0" w:space="0" w:color="auto"/>
      </w:divBdr>
    </w:div>
    <w:div w:id="266353090">
      <w:bodyDiv w:val="1"/>
      <w:marLeft w:val="0"/>
      <w:marRight w:val="0"/>
      <w:marTop w:val="0"/>
      <w:marBottom w:val="0"/>
      <w:divBdr>
        <w:top w:val="none" w:sz="0" w:space="0" w:color="auto"/>
        <w:left w:val="none" w:sz="0" w:space="0" w:color="auto"/>
        <w:bottom w:val="none" w:sz="0" w:space="0" w:color="auto"/>
        <w:right w:val="none" w:sz="0" w:space="0" w:color="auto"/>
      </w:divBdr>
      <w:divsChild>
        <w:div w:id="1759255935">
          <w:marLeft w:val="0"/>
          <w:marRight w:val="0"/>
          <w:marTop w:val="0"/>
          <w:marBottom w:val="0"/>
          <w:divBdr>
            <w:top w:val="none" w:sz="0" w:space="0" w:color="auto"/>
            <w:left w:val="none" w:sz="0" w:space="0" w:color="auto"/>
            <w:bottom w:val="none" w:sz="0" w:space="0" w:color="auto"/>
            <w:right w:val="none" w:sz="0" w:space="0" w:color="auto"/>
          </w:divBdr>
          <w:divsChild>
            <w:div w:id="429081344">
              <w:marLeft w:val="0"/>
              <w:marRight w:val="0"/>
              <w:marTop w:val="0"/>
              <w:marBottom w:val="0"/>
              <w:divBdr>
                <w:top w:val="none" w:sz="0" w:space="0" w:color="auto"/>
                <w:left w:val="none" w:sz="0" w:space="0" w:color="auto"/>
                <w:bottom w:val="none" w:sz="0" w:space="0" w:color="auto"/>
                <w:right w:val="none" w:sz="0" w:space="0" w:color="auto"/>
              </w:divBdr>
              <w:divsChild>
                <w:div w:id="56831290">
                  <w:marLeft w:val="0"/>
                  <w:marRight w:val="0"/>
                  <w:marTop w:val="0"/>
                  <w:marBottom w:val="0"/>
                  <w:divBdr>
                    <w:top w:val="none" w:sz="0" w:space="0" w:color="auto"/>
                    <w:left w:val="none" w:sz="0" w:space="0" w:color="auto"/>
                    <w:bottom w:val="none" w:sz="0" w:space="0" w:color="auto"/>
                    <w:right w:val="none" w:sz="0" w:space="0" w:color="auto"/>
                  </w:divBdr>
                  <w:divsChild>
                    <w:div w:id="1180772818">
                      <w:marLeft w:val="0"/>
                      <w:marRight w:val="0"/>
                      <w:marTop w:val="0"/>
                      <w:marBottom w:val="0"/>
                      <w:divBdr>
                        <w:top w:val="none" w:sz="0" w:space="0" w:color="auto"/>
                        <w:left w:val="none" w:sz="0" w:space="0" w:color="auto"/>
                        <w:bottom w:val="none" w:sz="0" w:space="0" w:color="auto"/>
                        <w:right w:val="none" w:sz="0" w:space="0" w:color="auto"/>
                      </w:divBdr>
                      <w:divsChild>
                        <w:div w:id="1539859008">
                          <w:marLeft w:val="0"/>
                          <w:marRight w:val="0"/>
                          <w:marTop w:val="0"/>
                          <w:marBottom w:val="0"/>
                          <w:divBdr>
                            <w:top w:val="none" w:sz="0" w:space="0" w:color="auto"/>
                            <w:left w:val="none" w:sz="0" w:space="0" w:color="auto"/>
                            <w:bottom w:val="none" w:sz="0" w:space="0" w:color="auto"/>
                            <w:right w:val="none" w:sz="0" w:space="0" w:color="auto"/>
                          </w:divBdr>
                          <w:divsChild>
                            <w:div w:id="858617019">
                              <w:marLeft w:val="0"/>
                              <w:marRight w:val="0"/>
                              <w:marTop w:val="0"/>
                              <w:marBottom w:val="0"/>
                              <w:divBdr>
                                <w:top w:val="none" w:sz="0" w:space="0" w:color="auto"/>
                                <w:left w:val="none" w:sz="0" w:space="0" w:color="auto"/>
                                <w:bottom w:val="none" w:sz="0" w:space="0" w:color="auto"/>
                                <w:right w:val="none" w:sz="0" w:space="0" w:color="auto"/>
                              </w:divBdr>
                              <w:divsChild>
                                <w:div w:id="478039624">
                                  <w:marLeft w:val="0"/>
                                  <w:marRight w:val="0"/>
                                  <w:marTop w:val="0"/>
                                  <w:marBottom w:val="0"/>
                                  <w:divBdr>
                                    <w:top w:val="none" w:sz="0" w:space="0" w:color="auto"/>
                                    <w:left w:val="none" w:sz="0" w:space="0" w:color="auto"/>
                                    <w:bottom w:val="none" w:sz="0" w:space="0" w:color="auto"/>
                                    <w:right w:val="none" w:sz="0" w:space="0" w:color="auto"/>
                                  </w:divBdr>
                                  <w:divsChild>
                                    <w:div w:id="2130274369">
                                      <w:marLeft w:val="0"/>
                                      <w:marRight w:val="0"/>
                                      <w:marTop w:val="0"/>
                                      <w:marBottom w:val="0"/>
                                      <w:divBdr>
                                        <w:top w:val="none" w:sz="0" w:space="0" w:color="auto"/>
                                        <w:left w:val="none" w:sz="0" w:space="0" w:color="auto"/>
                                        <w:bottom w:val="none" w:sz="0" w:space="0" w:color="auto"/>
                                        <w:right w:val="none" w:sz="0" w:space="0" w:color="auto"/>
                                      </w:divBdr>
                                      <w:divsChild>
                                        <w:div w:id="1492990503">
                                          <w:marLeft w:val="0"/>
                                          <w:marRight w:val="0"/>
                                          <w:marTop w:val="0"/>
                                          <w:marBottom w:val="0"/>
                                          <w:divBdr>
                                            <w:top w:val="none" w:sz="0" w:space="0" w:color="auto"/>
                                            <w:left w:val="none" w:sz="0" w:space="0" w:color="auto"/>
                                            <w:bottom w:val="none" w:sz="0" w:space="0" w:color="auto"/>
                                            <w:right w:val="none" w:sz="0" w:space="0" w:color="auto"/>
                                          </w:divBdr>
                                          <w:divsChild>
                                            <w:div w:id="41708967">
                                              <w:marLeft w:val="0"/>
                                              <w:marRight w:val="0"/>
                                              <w:marTop w:val="0"/>
                                              <w:marBottom w:val="0"/>
                                              <w:divBdr>
                                                <w:top w:val="none" w:sz="0" w:space="0" w:color="auto"/>
                                                <w:left w:val="none" w:sz="0" w:space="0" w:color="auto"/>
                                                <w:bottom w:val="none" w:sz="0" w:space="0" w:color="auto"/>
                                                <w:right w:val="none" w:sz="0" w:space="0" w:color="auto"/>
                                              </w:divBdr>
                                              <w:divsChild>
                                                <w:div w:id="1379889507">
                                                  <w:marLeft w:val="0"/>
                                                  <w:marRight w:val="0"/>
                                                  <w:marTop w:val="0"/>
                                                  <w:marBottom w:val="0"/>
                                                  <w:divBdr>
                                                    <w:top w:val="none" w:sz="0" w:space="0" w:color="auto"/>
                                                    <w:left w:val="none" w:sz="0" w:space="0" w:color="auto"/>
                                                    <w:bottom w:val="none" w:sz="0" w:space="0" w:color="auto"/>
                                                    <w:right w:val="none" w:sz="0" w:space="0" w:color="auto"/>
                                                  </w:divBdr>
                                                  <w:divsChild>
                                                    <w:div w:id="200745335">
                                                      <w:marLeft w:val="0"/>
                                                      <w:marRight w:val="0"/>
                                                      <w:marTop w:val="0"/>
                                                      <w:marBottom w:val="0"/>
                                                      <w:divBdr>
                                                        <w:top w:val="none" w:sz="0" w:space="0" w:color="auto"/>
                                                        <w:left w:val="none" w:sz="0" w:space="0" w:color="auto"/>
                                                        <w:bottom w:val="none" w:sz="0" w:space="0" w:color="auto"/>
                                                        <w:right w:val="none" w:sz="0" w:space="0" w:color="auto"/>
                                                      </w:divBdr>
                                                      <w:divsChild>
                                                        <w:div w:id="1437600435">
                                                          <w:marLeft w:val="0"/>
                                                          <w:marRight w:val="0"/>
                                                          <w:marTop w:val="0"/>
                                                          <w:marBottom w:val="0"/>
                                                          <w:divBdr>
                                                            <w:top w:val="none" w:sz="0" w:space="0" w:color="auto"/>
                                                            <w:left w:val="none" w:sz="0" w:space="0" w:color="auto"/>
                                                            <w:bottom w:val="none" w:sz="0" w:space="0" w:color="auto"/>
                                                            <w:right w:val="none" w:sz="0" w:space="0" w:color="auto"/>
                                                          </w:divBdr>
                                                          <w:divsChild>
                                                            <w:div w:id="303394582">
                                                              <w:marLeft w:val="0"/>
                                                              <w:marRight w:val="0"/>
                                                              <w:marTop w:val="0"/>
                                                              <w:marBottom w:val="0"/>
                                                              <w:divBdr>
                                                                <w:top w:val="none" w:sz="0" w:space="0" w:color="auto"/>
                                                                <w:left w:val="none" w:sz="0" w:space="0" w:color="auto"/>
                                                                <w:bottom w:val="none" w:sz="0" w:space="0" w:color="auto"/>
                                                                <w:right w:val="none" w:sz="0" w:space="0" w:color="auto"/>
                                                              </w:divBdr>
                                                              <w:divsChild>
                                                                <w:div w:id="21358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74947">
      <w:bodyDiv w:val="1"/>
      <w:marLeft w:val="0"/>
      <w:marRight w:val="0"/>
      <w:marTop w:val="0"/>
      <w:marBottom w:val="0"/>
      <w:divBdr>
        <w:top w:val="none" w:sz="0" w:space="0" w:color="auto"/>
        <w:left w:val="none" w:sz="0" w:space="0" w:color="auto"/>
        <w:bottom w:val="none" w:sz="0" w:space="0" w:color="auto"/>
        <w:right w:val="none" w:sz="0" w:space="0" w:color="auto"/>
      </w:divBdr>
    </w:div>
    <w:div w:id="425004150">
      <w:bodyDiv w:val="1"/>
      <w:marLeft w:val="0"/>
      <w:marRight w:val="0"/>
      <w:marTop w:val="0"/>
      <w:marBottom w:val="0"/>
      <w:divBdr>
        <w:top w:val="none" w:sz="0" w:space="0" w:color="auto"/>
        <w:left w:val="none" w:sz="0" w:space="0" w:color="auto"/>
        <w:bottom w:val="none" w:sz="0" w:space="0" w:color="auto"/>
        <w:right w:val="none" w:sz="0" w:space="0" w:color="auto"/>
      </w:divBdr>
      <w:divsChild>
        <w:div w:id="823013994">
          <w:marLeft w:val="0"/>
          <w:marRight w:val="0"/>
          <w:marTop w:val="0"/>
          <w:marBottom w:val="0"/>
          <w:divBdr>
            <w:top w:val="none" w:sz="0" w:space="0" w:color="auto"/>
            <w:left w:val="none" w:sz="0" w:space="0" w:color="auto"/>
            <w:bottom w:val="none" w:sz="0" w:space="0" w:color="auto"/>
            <w:right w:val="none" w:sz="0" w:space="0" w:color="auto"/>
          </w:divBdr>
          <w:divsChild>
            <w:div w:id="1192721354">
              <w:marLeft w:val="0"/>
              <w:marRight w:val="0"/>
              <w:marTop w:val="0"/>
              <w:marBottom w:val="0"/>
              <w:divBdr>
                <w:top w:val="none" w:sz="0" w:space="0" w:color="auto"/>
                <w:left w:val="none" w:sz="0" w:space="0" w:color="auto"/>
                <w:bottom w:val="none" w:sz="0" w:space="0" w:color="auto"/>
                <w:right w:val="none" w:sz="0" w:space="0" w:color="auto"/>
              </w:divBdr>
              <w:divsChild>
                <w:div w:id="533428164">
                  <w:marLeft w:val="0"/>
                  <w:marRight w:val="0"/>
                  <w:marTop w:val="0"/>
                  <w:marBottom w:val="0"/>
                  <w:divBdr>
                    <w:top w:val="none" w:sz="0" w:space="0" w:color="auto"/>
                    <w:left w:val="none" w:sz="0" w:space="0" w:color="auto"/>
                    <w:bottom w:val="none" w:sz="0" w:space="0" w:color="auto"/>
                    <w:right w:val="none" w:sz="0" w:space="0" w:color="auto"/>
                  </w:divBdr>
                  <w:divsChild>
                    <w:div w:id="205414347">
                      <w:marLeft w:val="0"/>
                      <w:marRight w:val="0"/>
                      <w:marTop w:val="0"/>
                      <w:marBottom w:val="0"/>
                      <w:divBdr>
                        <w:top w:val="none" w:sz="0" w:space="0" w:color="auto"/>
                        <w:left w:val="none" w:sz="0" w:space="0" w:color="auto"/>
                        <w:bottom w:val="none" w:sz="0" w:space="0" w:color="auto"/>
                        <w:right w:val="none" w:sz="0" w:space="0" w:color="auto"/>
                      </w:divBdr>
                      <w:divsChild>
                        <w:div w:id="624121198">
                          <w:marLeft w:val="0"/>
                          <w:marRight w:val="0"/>
                          <w:marTop w:val="0"/>
                          <w:marBottom w:val="0"/>
                          <w:divBdr>
                            <w:top w:val="none" w:sz="0" w:space="0" w:color="auto"/>
                            <w:left w:val="none" w:sz="0" w:space="0" w:color="auto"/>
                            <w:bottom w:val="none" w:sz="0" w:space="0" w:color="auto"/>
                            <w:right w:val="none" w:sz="0" w:space="0" w:color="auto"/>
                          </w:divBdr>
                          <w:divsChild>
                            <w:div w:id="2073313669">
                              <w:marLeft w:val="0"/>
                              <w:marRight w:val="0"/>
                              <w:marTop w:val="0"/>
                              <w:marBottom w:val="0"/>
                              <w:divBdr>
                                <w:top w:val="none" w:sz="0" w:space="0" w:color="auto"/>
                                <w:left w:val="none" w:sz="0" w:space="0" w:color="auto"/>
                                <w:bottom w:val="none" w:sz="0" w:space="0" w:color="auto"/>
                                <w:right w:val="none" w:sz="0" w:space="0" w:color="auto"/>
                              </w:divBdr>
                              <w:divsChild>
                                <w:div w:id="198326693">
                                  <w:marLeft w:val="0"/>
                                  <w:marRight w:val="0"/>
                                  <w:marTop w:val="0"/>
                                  <w:marBottom w:val="0"/>
                                  <w:divBdr>
                                    <w:top w:val="none" w:sz="0" w:space="0" w:color="auto"/>
                                    <w:left w:val="none" w:sz="0" w:space="0" w:color="auto"/>
                                    <w:bottom w:val="none" w:sz="0" w:space="0" w:color="auto"/>
                                    <w:right w:val="none" w:sz="0" w:space="0" w:color="auto"/>
                                  </w:divBdr>
                                  <w:divsChild>
                                    <w:div w:id="1373653144">
                                      <w:marLeft w:val="0"/>
                                      <w:marRight w:val="0"/>
                                      <w:marTop w:val="0"/>
                                      <w:marBottom w:val="0"/>
                                      <w:divBdr>
                                        <w:top w:val="none" w:sz="0" w:space="0" w:color="auto"/>
                                        <w:left w:val="none" w:sz="0" w:space="0" w:color="auto"/>
                                        <w:bottom w:val="none" w:sz="0" w:space="0" w:color="auto"/>
                                        <w:right w:val="none" w:sz="0" w:space="0" w:color="auto"/>
                                      </w:divBdr>
                                      <w:divsChild>
                                        <w:div w:id="1142965939">
                                          <w:marLeft w:val="0"/>
                                          <w:marRight w:val="0"/>
                                          <w:marTop w:val="0"/>
                                          <w:marBottom w:val="0"/>
                                          <w:divBdr>
                                            <w:top w:val="none" w:sz="0" w:space="0" w:color="auto"/>
                                            <w:left w:val="none" w:sz="0" w:space="0" w:color="auto"/>
                                            <w:bottom w:val="none" w:sz="0" w:space="0" w:color="auto"/>
                                            <w:right w:val="none" w:sz="0" w:space="0" w:color="auto"/>
                                          </w:divBdr>
                                          <w:divsChild>
                                            <w:div w:id="193344841">
                                              <w:marLeft w:val="0"/>
                                              <w:marRight w:val="0"/>
                                              <w:marTop w:val="0"/>
                                              <w:marBottom w:val="0"/>
                                              <w:divBdr>
                                                <w:top w:val="none" w:sz="0" w:space="0" w:color="auto"/>
                                                <w:left w:val="none" w:sz="0" w:space="0" w:color="auto"/>
                                                <w:bottom w:val="none" w:sz="0" w:space="0" w:color="auto"/>
                                                <w:right w:val="none" w:sz="0" w:space="0" w:color="auto"/>
                                              </w:divBdr>
                                              <w:divsChild>
                                                <w:div w:id="1241408629">
                                                  <w:marLeft w:val="0"/>
                                                  <w:marRight w:val="0"/>
                                                  <w:marTop w:val="0"/>
                                                  <w:marBottom w:val="0"/>
                                                  <w:divBdr>
                                                    <w:top w:val="none" w:sz="0" w:space="0" w:color="auto"/>
                                                    <w:left w:val="none" w:sz="0" w:space="0" w:color="auto"/>
                                                    <w:bottom w:val="none" w:sz="0" w:space="0" w:color="auto"/>
                                                    <w:right w:val="none" w:sz="0" w:space="0" w:color="auto"/>
                                                  </w:divBdr>
                                                  <w:divsChild>
                                                    <w:div w:id="860553732">
                                                      <w:marLeft w:val="0"/>
                                                      <w:marRight w:val="0"/>
                                                      <w:marTop w:val="0"/>
                                                      <w:marBottom w:val="0"/>
                                                      <w:divBdr>
                                                        <w:top w:val="none" w:sz="0" w:space="0" w:color="auto"/>
                                                        <w:left w:val="none" w:sz="0" w:space="0" w:color="auto"/>
                                                        <w:bottom w:val="none" w:sz="0" w:space="0" w:color="auto"/>
                                                        <w:right w:val="none" w:sz="0" w:space="0" w:color="auto"/>
                                                      </w:divBdr>
                                                      <w:divsChild>
                                                        <w:div w:id="1666786258">
                                                          <w:marLeft w:val="0"/>
                                                          <w:marRight w:val="0"/>
                                                          <w:marTop w:val="0"/>
                                                          <w:marBottom w:val="0"/>
                                                          <w:divBdr>
                                                            <w:top w:val="none" w:sz="0" w:space="0" w:color="auto"/>
                                                            <w:left w:val="none" w:sz="0" w:space="0" w:color="auto"/>
                                                            <w:bottom w:val="none" w:sz="0" w:space="0" w:color="auto"/>
                                                            <w:right w:val="none" w:sz="0" w:space="0" w:color="auto"/>
                                                          </w:divBdr>
                                                          <w:divsChild>
                                                            <w:div w:id="725181186">
                                                              <w:marLeft w:val="0"/>
                                                              <w:marRight w:val="0"/>
                                                              <w:marTop w:val="0"/>
                                                              <w:marBottom w:val="0"/>
                                                              <w:divBdr>
                                                                <w:top w:val="none" w:sz="0" w:space="0" w:color="auto"/>
                                                                <w:left w:val="none" w:sz="0" w:space="0" w:color="auto"/>
                                                                <w:bottom w:val="none" w:sz="0" w:space="0" w:color="auto"/>
                                                                <w:right w:val="none" w:sz="0" w:space="0" w:color="auto"/>
                                                              </w:divBdr>
                                                              <w:divsChild>
                                                                <w:div w:id="13334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301950">
      <w:bodyDiv w:val="1"/>
      <w:marLeft w:val="0"/>
      <w:marRight w:val="0"/>
      <w:marTop w:val="0"/>
      <w:marBottom w:val="0"/>
      <w:divBdr>
        <w:top w:val="none" w:sz="0" w:space="0" w:color="auto"/>
        <w:left w:val="none" w:sz="0" w:space="0" w:color="auto"/>
        <w:bottom w:val="none" w:sz="0" w:space="0" w:color="auto"/>
        <w:right w:val="none" w:sz="0" w:space="0" w:color="auto"/>
      </w:divBdr>
      <w:divsChild>
        <w:div w:id="569538522">
          <w:marLeft w:val="0"/>
          <w:marRight w:val="0"/>
          <w:marTop w:val="0"/>
          <w:marBottom w:val="0"/>
          <w:divBdr>
            <w:top w:val="none" w:sz="0" w:space="0" w:color="auto"/>
            <w:left w:val="none" w:sz="0" w:space="0" w:color="auto"/>
            <w:bottom w:val="none" w:sz="0" w:space="0" w:color="auto"/>
            <w:right w:val="none" w:sz="0" w:space="0" w:color="auto"/>
          </w:divBdr>
          <w:divsChild>
            <w:div w:id="574514229">
              <w:marLeft w:val="0"/>
              <w:marRight w:val="0"/>
              <w:marTop w:val="0"/>
              <w:marBottom w:val="0"/>
              <w:divBdr>
                <w:top w:val="none" w:sz="0" w:space="0" w:color="auto"/>
                <w:left w:val="none" w:sz="0" w:space="0" w:color="auto"/>
                <w:bottom w:val="none" w:sz="0" w:space="0" w:color="auto"/>
                <w:right w:val="none" w:sz="0" w:space="0" w:color="auto"/>
              </w:divBdr>
            </w:div>
            <w:div w:id="1929998460">
              <w:marLeft w:val="0"/>
              <w:marRight w:val="0"/>
              <w:marTop w:val="0"/>
              <w:marBottom w:val="0"/>
              <w:divBdr>
                <w:top w:val="none" w:sz="0" w:space="0" w:color="auto"/>
                <w:left w:val="none" w:sz="0" w:space="0" w:color="auto"/>
                <w:bottom w:val="none" w:sz="0" w:space="0" w:color="auto"/>
                <w:right w:val="none" w:sz="0" w:space="0" w:color="auto"/>
              </w:divBdr>
            </w:div>
            <w:div w:id="2061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8627">
      <w:bodyDiv w:val="1"/>
      <w:marLeft w:val="0"/>
      <w:marRight w:val="0"/>
      <w:marTop w:val="0"/>
      <w:marBottom w:val="0"/>
      <w:divBdr>
        <w:top w:val="none" w:sz="0" w:space="0" w:color="auto"/>
        <w:left w:val="none" w:sz="0" w:space="0" w:color="auto"/>
        <w:bottom w:val="none" w:sz="0" w:space="0" w:color="auto"/>
        <w:right w:val="none" w:sz="0" w:space="0" w:color="auto"/>
      </w:divBdr>
      <w:divsChild>
        <w:div w:id="560870124">
          <w:marLeft w:val="0"/>
          <w:marRight w:val="0"/>
          <w:marTop w:val="0"/>
          <w:marBottom w:val="0"/>
          <w:divBdr>
            <w:top w:val="none" w:sz="0" w:space="0" w:color="auto"/>
            <w:left w:val="none" w:sz="0" w:space="0" w:color="auto"/>
            <w:bottom w:val="none" w:sz="0" w:space="0" w:color="auto"/>
            <w:right w:val="none" w:sz="0" w:space="0" w:color="auto"/>
          </w:divBdr>
          <w:divsChild>
            <w:div w:id="2778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7190">
      <w:bodyDiv w:val="1"/>
      <w:marLeft w:val="0"/>
      <w:marRight w:val="0"/>
      <w:marTop w:val="0"/>
      <w:marBottom w:val="0"/>
      <w:divBdr>
        <w:top w:val="none" w:sz="0" w:space="0" w:color="auto"/>
        <w:left w:val="none" w:sz="0" w:space="0" w:color="auto"/>
        <w:bottom w:val="none" w:sz="0" w:space="0" w:color="auto"/>
        <w:right w:val="none" w:sz="0" w:space="0" w:color="auto"/>
      </w:divBdr>
    </w:div>
    <w:div w:id="766198125">
      <w:bodyDiv w:val="1"/>
      <w:marLeft w:val="0"/>
      <w:marRight w:val="0"/>
      <w:marTop w:val="0"/>
      <w:marBottom w:val="0"/>
      <w:divBdr>
        <w:top w:val="none" w:sz="0" w:space="0" w:color="auto"/>
        <w:left w:val="none" w:sz="0" w:space="0" w:color="auto"/>
        <w:bottom w:val="none" w:sz="0" w:space="0" w:color="auto"/>
        <w:right w:val="none" w:sz="0" w:space="0" w:color="auto"/>
      </w:divBdr>
      <w:divsChild>
        <w:div w:id="247812273">
          <w:marLeft w:val="0"/>
          <w:marRight w:val="0"/>
          <w:marTop w:val="0"/>
          <w:marBottom w:val="0"/>
          <w:divBdr>
            <w:top w:val="none" w:sz="0" w:space="0" w:color="auto"/>
            <w:left w:val="none" w:sz="0" w:space="0" w:color="auto"/>
            <w:bottom w:val="none" w:sz="0" w:space="0" w:color="auto"/>
            <w:right w:val="none" w:sz="0" w:space="0" w:color="auto"/>
          </w:divBdr>
          <w:divsChild>
            <w:div w:id="15506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1231">
      <w:bodyDiv w:val="1"/>
      <w:marLeft w:val="0"/>
      <w:marRight w:val="0"/>
      <w:marTop w:val="0"/>
      <w:marBottom w:val="0"/>
      <w:divBdr>
        <w:top w:val="none" w:sz="0" w:space="0" w:color="auto"/>
        <w:left w:val="none" w:sz="0" w:space="0" w:color="auto"/>
        <w:bottom w:val="none" w:sz="0" w:space="0" w:color="auto"/>
        <w:right w:val="none" w:sz="0" w:space="0" w:color="auto"/>
      </w:divBdr>
    </w:div>
    <w:div w:id="846560138">
      <w:bodyDiv w:val="1"/>
      <w:marLeft w:val="0"/>
      <w:marRight w:val="0"/>
      <w:marTop w:val="0"/>
      <w:marBottom w:val="0"/>
      <w:divBdr>
        <w:top w:val="none" w:sz="0" w:space="0" w:color="auto"/>
        <w:left w:val="none" w:sz="0" w:space="0" w:color="auto"/>
        <w:bottom w:val="none" w:sz="0" w:space="0" w:color="auto"/>
        <w:right w:val="none" w:sz="0" w:space="0" w:color="auto"/>
      </w:divBdr>
    </w:div>
    <w:div w:id="882253733">
      <w:bodyDiv w:val="1"/>
      <w:marLeft w:val="0"/>
      <w:marRight w:val="0"/>
      <w:marTop w:val="0"/>
      <w:marBottom w:val="0"/>
      <w:divBdr>
        <w:top w:val="none" w:sz="0" w:space="0" w:color="auto"/>
        <w:left w:val="none" w:sz="0" w:space="0" w:color="auto"/>
        <w:bottom w:val="none" w:sz="0" w:space="0" w:color="auto"/>
        <w:right w:val="none" w:sz="0" w:space="0" w:color="auto"/>
      </w:divBdr>
    </w:div>
    <w:div w:id="953055587">
      <w:bodyDiv w:val="1"/>
      <w:marLeft w:val="0"/>
      <w:marRight w:val="0"/>
      <w:marTop w:val="0"/>
      <w:marBottom w:val="0"/>
      <w:divBdr>
        <w:top w:val="none" w:sz="0" w:space="0" w:color="auto"/>
        <w:left w:val="none" w:sz="0" w:space="0" w:color="auto"/>
        <w:bottom w:val="none" w:sz="0" w:space="0" w:color="auto"/>
        <w:right w:val="none" w:sz="0" w:space="0" w:color="auto"/>
      </w:divBdr>
    </w:div>
    <w:div w:id="1054810166">
      <w:bodyDiv w:val="1"/>
      <w:marLeft w:val="0"/>
      <w:marRight w:val="0"/>
      <w:marTop w:val="0"/>
      <w:marBottom w:val="0"/>
      <w:divBdr>
        <w:top w:val="none" w:sz="0" w:space="0" w:color="auto"/>
        <w:left w:val="none" w:sz="0" w:space="0" w:color="auto"/>
        <w:bottom w:val="none" w:sz="0" w:space="0" w:color="auto"/>
        <w:right w:val="none" w:sz="0" w:space="0" w:color="auto"/>
      </w:divBdr>
      <w:divsChild>
        <w:div w:id="1065034939">
          <w:marLeft w:val="0"/>
          <w:marRight w:val="0"/>
          <w:marTop w:val="0"/>
          <w:marBottom w:val="0"/>
          <w:divBdr>
            <w:top w:val="none" w:sz="0" w:space="0" w:color="auto"/>
            <w:left w:val="none" w:sz="0" w:space="0" w:color="auto"/>
            <w:bottom w:val="none" w:sz="0" w:space="0" w:color="auto"/>
            <w:right w:val="none" w:sz="0" w:space="0" w:color="auto"/>
          </w:divBdr>
          <w:divsChild>
            <w:div w:id="88351855">
              <w:marLeft w:val="0"/>
              <w:marRight w:val="0"/>
              <w:marTop w:val="0"/>
              <w:marBottom w:val="0"/>
              <w:divBdr>
                <w:top w:val="none" w:sz="0" w:space="0" w:color="auto"/>
                <w:left w:val="none" w:sz="0" w:space="0" w:color="auto"/>
                <w:bottom w:val="none" w:sz="0" w:space="0" w:color="auto"/>
                <w:right w:val="none" w:sz="0" w:space="0" w:color="auto"/>
              </w:divBdr>
            </w:div>
            <w:div w:id="1286154218">
              <w:marLeft w:val="0"/>
              <w:marRight w:val="0"/>
              <w:marTop w:val="0"/>
              <w:marBottom w:val="0"/>
              <w:divBdr>
                <w:top w:val="none" w:sz="0" w:space="0" w:color="auto"/>
                <w:left w:val="none" w:sz="0" w:space="0" w:color="auto"/>
                <w:bottom w:val="none" w:sz="0" w:space="0" w:color="auto"/>
                <w:right w:val="none" w:sz="0" w:space="0" w:color="auto"/>
              </w:divBdr>
            </w:div>
            <w:div w:id="10991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6162">
      <w:bodyDiv w:val="1"/>
      <w:marLeft w:val="0"/>
      <w:marRight w:val="0"/>
      <w:marTop w:val="0"/>
      <w:marBottom w:val="0"/>
      <w:divBdr>
        <w:top w:val="none" w:sz="0" w:space="0" w:color="auto"/>
        <w:left w:val="none" w:sz="0" w:space="0" w:color="auto"/>
        <w:bottom w:val="none" w:sz="0" w:space="0" w:color="auto"/>
        <w:right w:val="none" w:sz="0" w:space="0" w:color="auto"/>
      </w:divBdr>
    </w:div>
    <w:div w:id="1164470207">
      <w:bodyDiv w:val="1"/>
      <w:marLeft w:val="0"/>
      <w:marRight w:val="0"/>
      <w:marTop w:val="0"/>
      <w:marBottom w:val="0"/>
      <w:divBdr>
        <w:top w:val="none" w:sz="0" w:space="0" w:color="auto"/>
        <w:left w:val="none" w:sz="0" w:space="0" w:color="auto"/>
        <w:bottom w:val="none" w:sz="0" w:space="0" w:color="auto"/>
        <w:right w:val="none" w:sz="0" w:space="0" w:color="auto"/>
      </w:divBdr>
    </w:div>
    <w:div w:id="1271468185">
      <w:bodyDiv w:val="1"/>
      <w:marLeft w:val="0"/>
      <w:marRight w:val="0"/>
      <w:marTop w:val="0"/>
      <w:marBottom w:val="0"/>
      <w:divBdr>
        <w:top w:val="none" w:sz="0" w:space="0" w:color="auto"/>
        <w:left w:val="none" w:sz="0" w:space="0" w:color="auto"/>
        <w:bottom w:val="none" w:sz="0" w:space="0" w:color="auto"/>
        <w:right w:val="none" w:sz="0" w:space="0" w:color="auto"/>
      </w:divBdr>
    </w:div>
    <w:div w:id="1307516713">
      <w:bodyDiv w:val="1"/>
      <w:marLeft w:val="0"/>
      <w:marRight w:val="0"/>
      <w:marTop w:val="0"/>
      <w:marBottom w:val="0"/>
      <w:divBdr>
        <w:top w:val="none" w:sz="0" w:space="0" w:color="auto"/>
        <w:left w:val="none" w:sz="0" w:space="0" w:color="auto"/>
        <w:bottom w:val="none" w:sz="0" w:space="0" w:color="auto"/>
        <w:right w:val="none" w:sz="0" w:space="0" w:color="auto"/>
      </w:divBdr>
      <w:divsChild>
        <w:div w:id="2051682970">
          <w:marLeft w:val="0"/>
          <w:marRight w:val="0"/>
          <w:marTop w:val="0"/>
          <w:marBottom w:val="0"/>
          <w:divBdr>
            <w:top w:val="none" w:sz="0" w:space="0" w:color="auto"/>
            <w:left w:val="none" w:sz="0" w:space="0" w:color="auto"/>
            <w:bottom w:val="none" w:sz="0" w:space="0" w:color="auto"/>
            <w:right w:val="none" w:sz="0" w:space="0" w:color="auto"/>
          </w:divBdr>
          <w:divsChild>
            <w:div w:id="2644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2228">
      <w:bodyDiv w:val="1"/>
      <w:marLeft w:val="0"/>
      <w:marRight w:val="0"/>
      <w:marTop w:val="0"/>
      <w:marBottom w:val="0"/>
      <w:divBdr>
        <w:top w:val="none" w:sz="0" w:space="0" w:color="auto"/>
        <w:left w:val="none" w:sz="0" w:space="0" w:color="auto"/>
        <w:bottom w:val="none" w:sz="0" w:space="0" w:color="auto"/>
        <w:right w:val="none" w:sz="0" w:space="0" w:color="auto"/>
      </w:divBdr>
    </w:div>
    <w:div w:id="1382165889">
      <w:bodyDiv w:val="1"/>
      <w:marLeft w:val="0"/>
      <w:marRight w:val="0"/>
      <w:marTop w:val="0"/>
      <w:marBottom w:val="0"/>
      <w:divBdr>
        <w:top w:val="none" w:sz="0" w:space="0" w:color="auto"/>
        <w:left w:val="none" w:sz="0" w:space="0" w:color="auto"/>
        <w:bottom w:val="none" w:sz="0" w:space="0" w:color="auto"/>
        <w:right w:val="none" w:sz="0" w:space="0" w:color="auto"/>
      </w:divBdr>
    </w:div>
    <w:div w:id="1401824183">
      <w:bodyDiv w:val="1"/>
      <w:marLeft w:val="0"/>
      <w:marRight w:val="0"/>
      <w:marTop w:val="0"/>
      <w:marBottom w:val="0"/>
      <w:divBdr>
        <w:top w:val="none" w:sz="0" w:space="0" w:color="auto"/>
        <w:left w:val="none" w:sz="0" w:space="0" w:color="auto"/>
        <w:bottom w:val="none" w:sz="0" w:space="0" w:color="auto"/>
        <w:right w:val="none" w:sz="0" w:space="0" w:color="auto"/>
      </w:divBdr>
      <w:divsChild>
        <w:div w:id="1442798070">
          <w:marLeft w:val="0"/>
          <w:marRight w:val="0"/>
          <w:marTop w:val="0"/>
          <w:marBottom w:val="0"/>
          <w:divBdr>
            <w:top w:val="none" w:sz="0" w:space="0" w:color="auto"/>
            <w:left w:val="none" w:sz="0" w:space="0" w:color="auto"/>
            <w:bottom w:val="none" w:sz="0" w:space="0" w:color="auto"/>
            <w:right w:val="none" w:sz="0" w:space="0" w:color="auto"/>
          </w:divBdr>
          <w:divsChild>
            <w:div w:id="523791430">
              <w:marLeft w:val="0"/>
              <w:marRight w:val="0"/>
              <w:marTop w:val="0"/>
              <w:marBottom w:val="0"/>
              <w:divBdr>
                <w:top w:val="none" w:sz="0" w:space="0" w:color="auto"/>
                <w:left w:val="none" w:sz="0" w:space="0" w:color="auto"/>
                <w:bottom w:val="none" w:sz="0" w:space="0" w:color="auto"/>
                <w:right w:val="none" w:sz="0" w:space="0" w:color="auto"/>
              </w:divBdr>
              <w:divsChild>
                <w:div w:id="826823983">
                  <w:marLeft w:val="0"/>
                  <w:marRight w:val="0"/>
                  <w:marTop w:val="0"/>
                  <w:marBottom w:val="0"/>
                  <w:divBdr>
                    <w:top w:val="none" w:sz="0" w:space="0" w:color="auto"/>
                    <w:left w:val="none" w:sz="0" w:space="0" w:color="auto"/>
                    <w:bottom w:val="none" w:sz="0" w:space="0" w:color="auto"/>
                    <w:right w:val="none" w:sz="0" w:space="0" w:color="auto"/>
                  </w:divBdr>
                  <w:divsChild>
                    <w:div w:id="553274047">
                      <w:marLeft w:val="0"/>
                      <w:marRight w:val="0"/>
                      <w:marTop w:val="0"/>
                      <w:marBottom w:val="0"/>
                      <w:divBdr>
                        <w:top w:val="none" w:sz="0" w:space="0" w:color="auto"/>
                        <w:left w:val="none" w:sz="0" w:space="0" w:color="auto"/>
                        <w:bottom w:val="none" w:sz="0" w:space="0" w:color="auto"/>
                        <w:right w:val="none" w:sz="0" w:space="0" w:color="auto"/>
                      </w:divBdr>
                      <w:divsChild>
                        <w:div w:id="1841965517">
                          <w:marLeft w:val="0"/>
                          <w:marRight w:val="0"/>
                          <w:marTop w:val="0"/>
                          <w:marBottom w:val="0"/>
                          <w:divBdr>
                            <w:top w:val="none" w:sz="0" w:space="0" w:color="auto"/>
                            <w:left w:val="none" w:sz="0" w:space="0" w:color="auto"/>
                            <w:bottom w:val="none" w:sz="0" w:space="0" w:color="auto"/>
                            <w:right w:val="none" w:sz="0" w:space="0" w:color="auto"/>
                          </w:divBdr>
                          <w:divsChild>
                            <w:div w:id="1763574744">
                              <w:marLeft w:val="0"/>
                              <w:marRight w:val="0"/>
                              <w:marTop w:val="0"/>
                              <w:marBottom w:val="0"/>
                              <w:divBdr>
                                <w:top w:val="none" w:sz="0" w:space="0" w:color="auto"/>
                                <w:left w:val="none" w:sz="0" w:space="0" w:color="auto"/>
                                <w:bottom w:val="none" w:sz="0" w:space="0" w:color="auto"/>
                                <w:right w:val="none" w:sz="0" w:space="0" w:color="auto"/>
                              </w:divBdr>
                              <w:divsChild>
                                <w:div w:id="1576862239">
                                  <w:marLeft w:val="0"/>
                                  <w:marRight w:val="0"/>
                                  <w:marTop w:val="0"/>
                                  <w:marBottom w:val="0"/>
                                  <w:divBdr>
                                    <w:top w:val="none" w:sz="0" w:space="0" w:color="auto"/>
                                    <w:left w:val="none" w:sz="0" w:space="0" w:color="auto"/>
                                    <w:bottom w:val="none" w:sz="0" w:space="0" w:color="auto"/>
                                    <w:right w:val="none" w:sz="0" w:space="0" w:color="auto"/>
                                  </w:divBdr>
                                  <w:divsChild>
                                    <w:div w:id="1886016807">
                                      <w:marLeft w:val="0"/>
                                      <w:marRight w:val="0"/>
                                      <w:marTop w:val="0"/>
                                      <w:marBottom w:val="0"/>
                                      <w:divBdr>
                                        <w:top w:val="none" w:sz="0" w:space="0" w:color="auto"/>
                                        <w:left w:val="none" w:sz="0" w:space="0" w:color="auto"/>
                                        <w:bottom w:val="none" w:sz="0" w:space="0" w:color="auto"/>
                                        <w:right w:val="none" w:sz="0" w:space="0" w:color="auto"/>
                                      </w:divBdr>
                                      <w:divsChild>
                                        <w:div w:id="1651328621">
                                          <w:marLeft w:val="0"/>
                                          <w:marRight w:val="0"/>
                                          <w:marTop w:val="0"/>
                                          <w:marBottom w:val="0"/>
                                          <w:divBdr>
                                            <w:top w:val="none" w:sz="0" w:space="0" w:color="auto"/>
                                            <w:left w:val="none" w:sz="0" w:space="0" w:color="auto"/>
                                            <w:bottom w:val="none" w:sz="0" w:space="0" w:color="auto"/>
                                            <w:right w:val="none" w:sz="0" w:space="0" w:color="auto"/>
                                          </w:divBdr>
                                          <w:divsChild>
                                            <w:div w:id="2105876465">
                                              <w:marLeft w:val="0"/>
                                              <w:marRight w:val="0"/>
                                              <w:marTop w:val="0"/>
                                              <w:marBottom w:val="0"/>
                                              <w:divBdr>
                                                <w:top w:val="none" w:sz="0" w:space="0" w:color="auto"/>
                                                <w:left w:val="none" w:sz="0" w:space="0" w:color="auto"/>
                                                <w:bottom w:val="none" w:sz="0" w:space="0" w:color="auto"/>
                                                <w:right w:val="none" w:sz="0" w:space="0" w:color="auto"/>
                                              </w:divBdr>
                                              <w:divsChild>
                                                <w:div w:id="375354146">
                                                  <w:marLeft w:val="0"/>
                                                  <w:marRight w:val="0"/>
                                                  <w:marTop w:val="0"/>
                                                  <w:marBottom w:val="0"/>
                                                  <w:divBdr>
                                                    <w:top w:val="none" w:sz="0" w:space="0" w:color="auto"/>
                                                    <w:left w:val="none" w:sz="0" w:space="0" w:color="auto"/>
                                                    <w:bottom w:val="none" w:sz="0" w:space="0" w:color="auto"/>
                                                    <w:right w:val="none" w:sz="0" w:space="0" w:color="auto"/>
                                                  </w:divBdr>
                                                  <w:divsChild>
                                                    <w:div w:id="1258441463">
                                                      <w:marLeft w:val="0"/>
                                                      <w:marRight w:val="0"/>
                                                      <w:marTop w:val="0"/>
                                                      <w:marBottom w:val="0"/>
                                                      <w:divBdr>
                                                        <w:top w:val="none" w:sz="0" w:space="0" w:color="auto"/>
                                                        <w:left w:val="none" w:sz="0" w:space="0" w:color="auto"/>
                                                        <w:bottom w:val="none" w:sz="0" w:space="0" w:color="auto"/>
                                                        <w:right w:val="none" w:sz="0" w:space="0" w:color="auto"/>
                                                      </w:divBdr>
                                                      <w:divsChild>
                                                        <w:div w:id="1493060318">
                                                          <w:marLeft w:val="0"/>
                                                          <w:marRight w:val="0"/>
                                                          <w:marTop w:val="0"/>
                                                          <w:marBottom w:val="0"/>
                                                          <w:divBdr>
                                                            <w:top w:val="none" w:sz="0" w:space="0" w:color="auto"/>
                                                            <w:left w:val="none" w:sz="0" w:space="0" w:color="auto"/>
                                                            <w:bottom w:val="none" w:sz="0" w:space="0" w:color="auto"/>
                                                            <w:right w:val="none" w:sz="0" w:space="0" w:color="auto"/>
                                                          </w:divBdr>
                                                          <w:divsChild>
                                                            <w:div w:id="1202548326">
                                                              <w:marLeft w:val="0"/>
                                                              <w:marRight w:val="0"/>
                                                              <w:marTop w:val="0"/>
                                                              <w:marBottom w:val="0"/>
                                                              <w:divBdr>
                                                                <w:top w:val="none" w:sz="0" w:space="0" w:color="auto"/>
                                                                <w:left w:val="none" w:sz="0" w:space="0" w:color="auto"/>
                                                                <w:bottom w:val="none" w:sz="0" w:space="0" w:color="auto"/>
                                                                <w:right w:val="none" w:sz="0" w:space="0" w:color="auto"/>
                                                              </w:divBdr>
                                                              <w:divsChild>
                                                                <w:div w:id="3364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5710898">
      <w:bodyDiv w:val="1"/>
      <w:marLeft w:val="0"/>
      <w:marRight w:val="0"/>
      <w:marTop w:val="0"/>
      <w:marBottom w:val="0"/>
      <w:divBdr>
        <w:top w:val="none" w:sz="0" w:space="0" w:color="auto"/>
        <w:left w:val="none" w:sz="0" w:space="0" w:color="auto"/>
        <w:bottom w:val="none" w:sz="0" w:space="0" w:color="auto"/>
        <w:right w:val="none" w:sz="0" w:space="0" w:color="auto"/>
      </w:divBdr>
      <w:divsChild>
        <w:div w:id="1041049385">
          <w:marLeft w:val="0"/>
          <w:marRight w:val="0"/>
          <w:marTop w:val="0"/>
          <w:marBottom w:val="0"/>
          <w:divBdr>
            <w:top w:val="none" w:sz="0" w:space="0" w:color="auto"/>
            <w:left w:val="none" w:sz="0" w:space="0" w:color="auto"/>
            <w:bottom w:val="none" w:sz="0" w:space="0" w:color="auto"/>
            <w:right w:val="none" w:sz="0" w:space="0" w:color="auto"/>
          </w:divBdr>
          <w:divsChild>
            <w:div w:id="4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8361">
      <w:bodyDiv w:val="1"/>
      <w:marLeft w:val="0"/>
      <w:marRight w:val="0"/>
      <w:marTop w:val="0"/>
      <w:marBottom w:val="0"/>
      <w:divBdr>
        <w:top w:val="none" w:sz="0" w:space="0" w:color="auto"/>
        <w:left w:val="none" w:sz="0" w:space="0" w:color="auto"/>
        <w:bottom w:val="none" w:sz="0" w:space="0" w:color="auto"/>
        <w:right w:val="none" w:sz="0" w:space="0" w:color="auto"/>
      </w:divBdr>
    </w:div>
    <w:div w:id="1497651996">
      <w:bodyDiv w:val="1"/>
      <w:marLeft w:val="0"/>
      <w:marRight w:val="0"/>
      <w:marTop w:val="0"/>
      <w:marBottom w:val="0"/>
      <w:divBdr>
        <w:top w:val="none" w:sz="0" w:space="0" w:color="auto"/>
        <w:left w:val="none" w:sz="0" w:space="0" w:color="auto"/>
        <w:bottom w:val="none" w:sz="0" w:space="0" w:color="auto"/>
        <w:right w:val="none" w:sz="0" w:space="0" w:color="auto"/>
      </w:divBdr>
      <w:divsChild>
        <w:div w:id="385223843">
          <w:marLeft w:val="0"/>
          <w:marRight w:val="0"/>
          <w:marTop w:val="0"/>
          <w:marBottom w:val="0"/>
          <w:divBdr>
            <w:top w:val="none" w:sz="0" w:space="0" w:color="auto"/>
            <w:left w:val="none" w:sz="0" w:space="0" w:color="auto"/>
            <w:bottom w:val="none" w:sz="0" w:space="0" w:color="auto"/>
            <w:right w:val="none" w:sz="0" w:space="0" w:color="auto"/>
          </w:divBdr>
          <w:divsChild>
            <w:div w:id="71775493">
              <w:marLeft w:val="0"/>
              <w:marRight w:val="0"/>
              <w:marTop w:val="0"/>
              <w:marBottom w:val="0"/>
              <w:divBdr>
                <w:top w:val="none" w:sz="0" w:space="0" w:color="auto"/>
                <w:left w:val="none" w:sz="0" w:space="0" w:color="auto"/>
                <w:bottom w:val="none" w:sz="0" w:space="0" w:color="auto"/>
                <w:right w:val="none" w:sz="0" w:space="0" w:color="auto"/>
              </w:divBdr>
              <w:divsChild>
                <w:div w:id="595669869">
                  <w:marLeft w:val="0"/>
                  <w:marRight w:val="0"/>
                  <w:marTop w:val="0"/>
                  <w:marBottom w:val="0"/>
                  <w:divBdr>
                    <w:top w:val="none" w:sz="0" w:space="0" w:color="auto"/>
                    <w:left w:val="none" w:sz="0" w:space="0" w:color="auto"/>
                    <w:bottom w:val="none" w:sz="0" w:space="0" w:color="auto"/>
                    <w:right w:val="none" w:sz="0" w:space="0" w:color="auto"/>
                  </w:divBdr>
                  <w:divsChild>
                    <w:div w:id="1174539689">
                      <w:marLeft w:val="0"/>
                      <w:marRight w:val="0"/>
                      <w:marTop w:val="0"/>
                      <w:marBottom w:val="0"/>
                      <w:divBdr>
                        <w:top w:val="none" w:sz="0" w:space="0" w:color="auto"/>
                        <w:left w:val="none" w:sz="0" w:space="0" w:color="auto"/>
                        <w:bottom w:val="none" w:sz="0" w:space="0" w:color="auto"/>
                        <w:right w:val="none" w:sz="0" w:space="0" w:color="auto"/>
                      </w:divBdr>
                      <w:divsChild>
                        <w:div w:id="845940351">
                          <w:marLeft w:val="0"/>
                          <w:marRight w:val="0"/>
                          <w:marTop w:val="0"/>
                          <w:marBottom w:val="0"/>
                          <w:divBdr>
                            <w:top w:val="none" w:sz="0" w:space="0" w:color="auto"/>
                            <w:left w:val="none" w:sz="0" w:space="0" w:color="auto"/>
                            <w:bottom w:val="none" w:sz="0" w:space="0" w:color="auto"/>
                            <w:right w:val="none" w:sz="0" w:space="0" w:color="auto"/>
                          </w:divBdr>
                          <w:divsChild>
                            <w:div w:id="1858469959">
                              <w:marLeft w:val="0"/>
                              <w:marRight w:val="0"/>
                              <w:marTop w:val="0"/>
                              <w:marBottom w:val="0"/>
                              <w:divBdr>
                                <w:top w:val="none" w:sz="0" w:space="0" w:color="auto"/>
                                <w:left w:val="none" w:sz="0" w:space="0" w:color="auto"/>
                                <w:bottom w:val="none" w:sz="0" w:space="0" w:color="auto"/>
                                <w:right w:val="none" w:sz="0" w:space="0" w:color="auto"/>
                              </w:divBdr>
                              <w:divsChild>
                                <w:div w:id="836578917">
                                  <w:marLeft w:val="0"/>
                                  <w:marRight w:val="0"/>
                                  <w:marTop w:val="0"/>
                                  <w:marBottom w:val="0"/>
                                  <w:divBdr>
                                    <w:top w:val="none" w:sz="0" w:space="0" w:color="auto"/>
                                    <w:left w:val="none" w:sz="0" w:space="0" w:color="auto"/>
                                    <w:bottom w:val="none" w:sz="0" w:space="0" w:color="auto"/>
                                    <w:right w:val="none" w:sz="0" w:space="0" w:color="auto"/>
                                  </w:divBdr>
                                  <w:divsChild>
                                    <w:div w:id="2091152797">
                                      <w:marLeft w:val="0"/>
                                      <w:marRight w:val="0"/>
                                      <w:marTop w:val="0"/>
                                      <w:marBottom w:val="0"/>
                                      <w:divBdr>
                                        <w:top w:val="none" w:sz="0" w:space="0" w:color="auto"/>
                                        <w:left w:val="none" w:sz="0" w:space="0" w:color="auto"/>
                                        <w:bottom w:val="none" w:sz="0" w:space="0" w:color="auto"/>
                                        <w:right w:val="none" w:sz="0" w:space="0" w:color="auto"/>
                                      </w:divBdr>
                                      <w:divsChild>
                                        <w:div w:id="2087994526">
                                          <w:marLeft w:val="0"/>
                                          <w:marRight w:val="0"/>
                                          <w:marTop w:val="0"/>
                                          <w:marBottom w:val="0"/>
                                          <w:divBdr>
                                            <w:top w:val="none" w:sz="0" w:space="0" w:color="auto"/>
                                            <w:left w:val="none" w:sz="0" w:space="0" w:color="auto"/>
                                            <w:bottom w:val="none" w:sz="0" w:space="0" w:color="auto"/>
                                            <w:right w:val="none" w:sz="0" w:space="0" w:color="auto"/>
                                          </w:divBdr>
                                          <w:divsChild>
                                            <w:div w:id="127237512">
                                              <w:marLeft w:val="0"/>
                                              <w:marRight w:val="0"/>
                                              <w:marTop w:val="0"/>
                                              <w:marBottom w:val="0"/>
                                              <w:divBdr>
                                                <w:top w:val="none" w:sz="0" w:space="0" w:color="auto"/>
                                                <w:left w:val="none" w:sz="0" w:space="0" w:color="auto"/>
                                                <w:bottom w:val="none" w:sz="0" w:space="0" w:color="auto"/>
                                                <w:right w:val="none" w:sz="0" w:space="0" w:color="auto"/>
                                              </w:divBdr>
                                              <w:divsChild>
                                                <w:div w:id="43264477">
                                                  <w:marLeft w:val="0"/>
                                                  <w:marRight w:val="0"/>
                                                  <w:marTop w:val="0"/>
                                                  <w:marBottom w:val="0"/>
                                                  <w:divBdr>
                                                    <w:top w:val="none" w:sz="0" w:space="0" w:color="auto"/>
                                                    <w:left w:val="none" w:sz="0" w:space="0" w:color="auto"/>
                                                    <w:bottom w:val="none" w:sz="0" w:space="0" w:color="auto"/>
                                                    <w:right w:val="none" w:sz="0" w:space="0" w:color="auto"/>
                                                  </w:divBdr>
                                                  <w:divsChild>
                                                    <w:div w:id="945619951">
                                                      <w:marLeft w:val="0"/>
                                                      <w:marRight w:val="0"/>
                                                      <w:marTop w:val="0"/>
                                                      <w:marBottom w:val="0"/>
                                                      <w:divBdr>
                                                        <w:top w:val="none" w:sz="0" w:space="0" w:color="auto"/>
                                                        <w:left w:val="none" w:sz="0" w:space="0" w:color="auto"/>
                                                        <w:bottom w:val="none" w:sz="0" w:space="0" w:color="auto"/>
                                                        <w:right w:val="none" w:sz="0" w:space="0" w:color="auto"/>
                                                      </w:divBdr>
                                                      <w:divsChild>
                                                        <w:div w:id="365327563">
                                                          <w:marLeft w:val="0"/>
                                                          <w:marRight w:val="0"/>
                                                          <w:marTop w:val="0"/>
                                                          <w:marBottom w:val="0"/>
                                                          <w:divBdr>
                                                            <w:top w:val="none" w:sz="0" w:space="0" w:color="auto"/>
                                                            <w:left w:val="none" w:sz="0" w:space="0" w:color="auto"/>
                                                            <w:bottom w:val="none" w:sz="0" w:space="0" w:color="auto"/>
                                                            <w:right w:val="none" w:sz="0" w:space="0" w:color="auto"/>
                                                          </w:divBdr>
                                                          <w:divsChild>
                                                            <w:div w:id="429279851">
                                                              <w:marLeft w:val="0"/>
                                                              <w:marRight w:val="0"/>
                                                              <w:marTop w:val="0"/>
                                                              <w:marBottom w:val="0"/>
                                                              <w:divBdr>
                                                                <w:top w:val="none" w:sz="0" w:space="0" w:color="auto"/>
                                                                <w:left w:val="none" w:sz="0" w:space="0" w:color="auto"/>
                                                                <w:bottom w:val="none" w:sz="0" w:space="0" w:color="auto"/>
                                                                <w:right w:val="none" w:sz="0" w:space="0" w:color="auto"/>
                                                              </w:divBdr>
                                                              <w:divsChild>
                                                                <w:div w:id="14343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972350">
      <w:bodyDiv w:val="1"/>
      <w:marLeft w:val="0"/>
      <w:marRight w:val="0"/>
      <w:marTop w:val="0"/>
      <w:marBottom w:val="0"/>
      <w:divBdr>
        <w:top w:val="none" w:sz="0" w:space="0" w:color="auto"/>
        <w:left w:val="none" w:sz="0" w:space="0" w:color="auto"/>
        <w:bottom w:val="none" w:sz="0" w:space="0" w:color="auto"/>
        <w:right w:val="none" w:sz="0" w:space="0" w:color="auto"/>
      </w:divBdr>
    </w:div>
    <w:div w:id="1766998288">
      <w:bodyDiv w:val="1"/>
      <w:marLeft w:val="0"/>
      <w:marRight w:val="0"/>
      <w:marTop w:val="0"/>
      <w:marBottom w:val="0"/>
      <w:divBdr>
        <w:top w:val="none" w:sz="0" w:space="0" w:color="auto"/>
        <w:left w:val="none" w:sz="0" w:space="0" w:color="auto"/>
        <w:bottom w:val="none" w:sz="0" w:space="0" w:color="auto"/>
        <w:right w:val="none" w:sz="0" w:space="0" w:color="auto"/>
      </w:divBdr>
    </w:div>
    <w:div w:id="1827669124">
      <w:bodyDiv w:val="1"/>
      <w:marLeft w:val="0"/>
      <w:marRight w:val="0"/>
      <w:marTop w:val="0"/>
      <w:marBottom w:val="0"/>
      <w:divBdr>
        <w:top w:val="none" w:sz="0" w:space="0" w:color="auto"/>
        <w:left w:val="none" w:sz="0" w:space="0" w:color="auto"/>
        <w:bottom w:val="none" w:sz="0" w:space="0" w:color="auto"/>
        <w:right w:val="none" w:sz="0" w:space="0" w:color="auto"/>
      </w:divBdr>
    </w:div>
    <w:div w:id="1844052377">
      <w:bodyDiv w:val="1"/>
      <w:marLeft w:val="0"/>
      <w:marRight w:val="0"/>
      <w:marTop w:val="0"/>
      <w:marBottom w:val="0"/>
      <w:divBdr>
        <w:top w:val="none" w:sz="0" w:space="0" w:color="auto"/>
        <w:left w:val="none" w:sz="0" w:space="0" w:color="auto"/>
        <w:bottom w:val="none" w:sz="0" w:space="0" w:color="auto"/>
        <w:right w:val="none" w:sz="0" w:space="0" w:color="auto"/>
      </w:divBdr>
    </w:div>
    <w:div w:id="1927838761">
      <w:bodyDiv w:val="1"/>
      <w:marLeft w:val="0"/>
      <w:marRight w:val="0"/>
      <w:marTop w:val="0"/>
      <w:marBottom w:val="0"/>
      <w:divBdr>
        <w:top w:val="none" w:sz="0" w:space="0" w:color="auto"/>
        <w:left w:val="none" w:sz="0" w:space="0" w:color="auto"/>
        <w:bottom w:val="none" w:sz="0" w:space="0" w:color="auto"/>
        <w:right w:val="none" w:sz="0" w:space="0" w:color="auto"/>
      </w:divBdr>
    </w:div>
    <w:div w:id="1953703587">
      <w:bodyDiv w:val="1"/>
      <w:marLeft w:val="0"/>
      <w:marRight w:val="0"/>
      <w:marTop w:val="0"/>
      <w:marBottom w:val="0"/>
      <w:divBdr>
        <w:top w:val="none" w:sz="0" w:space="0" w:color="auto"/>
        <w:left w:val="none" w:sz="0" w:space="0" w:color="auto"/>
        <w:bottom w:val="none" w:sz="0" w:space="0" w:color="auto"/>
        <w:right w:val="none" w:sz="0" w:space="0" w:color="auto"/>
      </w:divBdr>
      <w:divsChild>
        <w:div w:id="1590503820">
          <w:marLeft w:val="0"/>
          <w:marRight w:val="0"/>
          <w:marTop w:val="0"/>
          <w:marBottom w:val="0"/>
          <w:divBdr>
            <w:top w:val="none" w:sz="0" w:space="0" w:color="auto"/>
            <w:left w:val="none" w:sz="0" w:space="0" w:color="auto"/>
            <w:bottom w:val="none" w:sz="0" w:space="0" w:color="auto"/>
            <w:right w:val="none" w:sz="0" w:space="0" w:color="auto"/>
          </w:divBdr>
          <w:divsChild>
            <w:div w:id="309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159">
      <w:bodyDiv w:val="1"/>
      <w:marLeft w:val="0"/>
      <w:marRight w:val="0"/>
      <w:marTop w:val="0"/>
      <w:marBottom w:val="0"/>
      <w:divBdr>
        <w:top w:val="none" w:sz="0" w:space="0" w:color="auto"/>
        <w:left w:val="none" w:sz="0" w:space="0" w:color="auto"/>
        <w:bottom w:val="none" w:sz="0" w:space="0" w:color="auto"/>
        <w:right w:val="none" w:sz="0" w:space="0" w:color="auto"/>
      </w:divBdr>
    </w:div>
    <w:div w:id="2033260459">
      <w:bodyDiv w:val="1"/>
      <w:marLeft w:val="0"/>
      <w:marRight w:val="0"/>
      <w:marTop w:val="0"/>
      <w:marBottom w:val="0"/>
      <w:divBdr>
        <w:top w:val="none" w:sz="0" w:space="0" w:color="auto"/>
        <w:left w:val="none" w:sz="0" w:space="0" w:color="auto"/>
        <w:bottom w:val="none" w:sz="0" w:space="0" w:color="auto"/>
        <w:right w:val="none" w:sz="0" w:space="0" w:color="auto"/>
      </w:divBdr>
      <w:divsChild>
        <w:div w:id="1945532150">
          <w:marLeft w:val="0"/>
          <w:marRight w:val="0"/>
          <w:marTop w:val="0"/>
          <w:marBottom w:val="0"/>
          <w:divBdr>
            <w:top w:val="none" w:sz="0" w:space="0" w:color="auto"/>
            <w:left w:val="none" w:sz="0" w:space="0" w:color="auto"/>
            <w:bottom w:val="none" w:sz="0" w:space="0" w:color="auto"/>
            <w:right w:val="none" w:sz="0" w:space="0" w:color="auto"/>
          </w:divBdr>
          <w:divsChild>
            <w:div w:id="1094938066">
              <w:marLeft w:val="0"/>
              <w:marRight w:val="0"/>
              <w:marTop w:val="0"/>
              <w:marBottom w:val="0"/>
              <w:divBdr>
                <w:top w:val="none" w:sz="0" w:space="0" w:color="auto"/>
                <w:left w:val="none" w:sz="0" w:space="0" w:color="auto"/>
                <w:bottom w:val="none" w:sz="0" w:space="0" w:color="auto"/>
                <w:right w:val="none" w:sz="0" w:space="0" w:color="auto"/>
              </w:divBdr>
            </w:div>
            <w:div w:id="1057895694">
              <w:marLeft w:val="0"/>
              <w:marRight w:val="0"/>
              <w:marTop w:val="0"/>
              <w:marBottom w:val="0"/>
              <w:divBdr>
                <w:top w:val="none" w:sz="0" w:space="0" w:color="auto"/>
                <w:left w:val="none" w:sz="0" w:space="0" w:color="auto"/>
                <w:bottom w:val="none" w:sz="0" w:space="0" w:color="auto"/>
                <w:right w:val="none" w:sz="0" w:space="0" w:color="auto"/>
              </w:divBdr>
            </w:div>
            <w:div w:id="18194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20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056">
          <w:marLeft w:val="0"/>
          <w:marRight w:val="0"/>
          <w:marTop w:val="0"/>
          <w:marBottom w:val="0"/>
          <w:divBdr>
            <w:top w:val="none" w:sz="0" w:space="0" w:color="auto"/>
            <w:left w:val="none" w:sz="0" w:space="0" w:color="auto"/>
            <w:bottom w:val="none" w:sz="0" w:space="0" w:color="auto"/>
            <w:right w:val="none" w:sz="0" w:space="0" w:color="auto"/>
          </w:divBdr>
          <w:divsChild>
            <w:div w:id="15795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su17094059" TargetMode="External"/><Relationship Id="rId18" Type="http://schemas.openxmlformats.org/officeDocument/2006/relationships/hyperlink" Target="https://projects.worldbank.org/en/projects-operations/project-detail/P15758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bappenas.go.id" TargetMode="External"/><Relationship Id="rId17" Type="http://schemas.openxmlformats.org/officeDocument/2006/relationships/hyperlink" Target="https://doi.org/10.3390/su14191247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2478/jwld-2019-002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worlddev.2020.104880"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1186/jagrisep.22.02.343-362"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24843/jekt.2022.v15.i01.p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su14181167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3594</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1084</cp:lastModifiedBy>
  <cp:revision>7</cp:revision>
  <dcterms:created xsi:type="dcterms:W3CDTF">2025-06-10T00:30:00Z</dcterms:created>
  <dcterms:modified xsi:type="dcterms:W3CDTF">2025-06-10T12:11:00Z</dcterms:modified>
</cp:coreProperties>
</file>