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11" w:rsidRPr="007B1072" w:rsidRDefault="00E35E11" w:rsidP="003E3FFD">
      <w:pPr>
        <w:pStyle w:val="Heading1"/>
        <w:rPr>
          <w:sz w:val="24"/>
          <w:szCs w:val="24"/>
        </w:rPr>
      </w:pPr>
      <w:bookmarkStart w:id="0" w:name="_GoBack"/>
      <w:bookmarkEnd w:id="0"/>
      <w:r w:rsidRPr="007B1072">
        <w:rPr>
          <w:sz w:val="24"/>
          <w:szCs w:val="24"/>
        </w:rPr>
        <w:t>An Analytical Study of the Non-Performing Asset (NPA) Issue in Punjab National Bank Since 2010</w:t>
      </w:r>
    </w:p>
    <w:p w:rsidR="00AE471F" w:rsidRPr="007B1072" w:rsidRDefault="00AE471F" w:rsidP="003E3FFD">
      <w:pPr>
        <w:spacing w:line="360" w:lineRule="auto"/>
        <w:jc w:val="both"/>
        <w:rPr>
          <w:sz w:val="24"/>
          <w:szCs w:val="24"/>
        </w:rPr>
      </w:pPr>
    </w:p>
    <w:p w:rsidR="00AE471F" w:rsidRPr="007B1072" w:rsidRDefault="001D0173" w:rsidP="003E3FFD">
      <w:pPr>
        <w:pStyle w:val="Heading1"/>
        <w:rPr>
          <w:sz w:val="24"/>
          <w:szCs w:val="24"/>
        </w:rPr>
      </w:pPr>
      <w:r w:rsidRPr="007B1072">
        <w:rPr>
          <w:sz w:val="24"/>
          <w:szCs w:val="24"/>
        </w:rPr>
        <w:t>Abstract</w:t>
      </w:r>
    </w:p>
    <w:p w:rsidR="00AE471F" w:rsidRPr="007B1072" w:rsidRDefault="00AE471F" w:rsidP="003E3FFD">
      <w:pPr>
        <w:spacing w:line="360" w:lineRule="auto"/>
        <w:jc w:val="both"/>
        <w:rPr>
          <w:sz w:val="24"/>
          <w:szCs w:val="24"/>
        </w:rPr>
      </w:pPr>
    </w:p>
    <w:p w:rsidR="004E0F42" w:rsidRPr="004E0F42" w:rsidRDefault="004E0F42" w:rsidP="003E3FFD">
      <w:pPr>
        <w:widowControl/>
        <w:autoSpaceDE/>
        <w:autoSpaceDN/>
        <w:spacing w:after="240" w:line="360" w:lineRule="auto"/>
        <w:jc w:val="both"/>
        <w:rPr>
          <w:sz w:val="24"/>
          <w:szCs w:val="24"/>
          <w:lang w:val="en-IN" w:eastAsia="en-IN" w:bidi="hi-IN"/>
        </w:rPr>
      </w:pPr>
      <w:r w:rsidRPr="004E0F42">
        <w:rPr>
          <w:sz w:val="24"/>
          <w:szCs w:val="24"/>
          <w:lang w:val="en-IN" w:eastAsia="en-IN" w:bidi="hi-IN"/>
        </w:rPr>
        <w:t>NPAs are seen as a crucial factor in evaluating banks' implementation and financial stability. One of the factors influencing financial safety and the growth of the saving money division is the amount of non-performing assets (NPAs). These days, financial institutions and organisations face a significant problem in managing non-performing assets (NPAs), as these assets are indicative of a significant set</w:t>
      </w:r>
      <w:r w:rsidR="007B1072">
        <w:rPr>
          <w:sz w:val="24"/>
          <w:szCs w:val="24"/>
          <w:lang w:val="en-IN" w:eastAsia="en-IN" w:bidi="hi-IN"/>
        </w:rPr>
        <w:t xml:space="preserve">back for the economy's growth. </w:t>
      </w:r>
      <w:r w:rsidRPr="004E0F42">
        <w:rPr>
          <w:sz w:val="24"/>
          <w:szCs w:val="24"/>
          <w:lang w:val="en-IN" w:eastAsia="en-IN" w:bidi="hi-IN"/>
        </w:rPr>
        <w:t>Since 2010, the study discovered a substantial correlation between Punjab National Bank's share capital and advances and its gross and net non-performing assets. Figures support the conclusion that, since 2010, the Bank has been steadily increasing the amount of advances it provides at a steady rate.</w:t>
      </w: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r w:rsidRPr="007B1072">
        <w:rPr>
          <w:b/>
          <w:bCs/>
          <w:sz w:val="24"/>
          <w:szCs w:val="24"/>
        </w:rPr>
        <w:t>Keywords:</w:t>
      </w:r>
      <w:r w:rsidRPr="007B1072">
        <w:rPr>
          <w:sz w:val="24"/>
          <w:szCs w:val="24"/>
        </w:rPr>
        <w:t xml:space="preserve"> Non-performing Assets, Public sector banks, Private sector banks</w:t>
      </w: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9E420E" w:rsidRPr="007B1072" w:rsidRDefault="009E420E" w:rsidP="003E3FFD">
      <w:pPr>
        <w:spacing w:line="360" w:lineRule="auto"/>
        <w:jc w:val="both"/>
        <w:rPr>
          <w:sz w:val="24"/>
          <w:szCs w:val="24"/>
        </w:rPr>
      </w:pPr>
    </w:p>
    <w:p w:rsidR="009E420E" w:rsidRPr="007B1072" w:rsidRDefault="009E420E" w:rsidP="003E3FFD">
      <w:pPr>
        <w:spacing w:line="360" w:lineRule="auto"/>
        <w:jc w:val="both"/>
        <w:rPr>
          <w:sz w:val="24"/>
          <w:szCs w:val="24"/>
        </w:rPr>
      </w:pPr>
    </w:p>
    <w:p w:rsidR="00E35E11" w:rsidRPr="007B1072" w:rsidRDefault="00E35E11"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3E3FFD" w:rsidRPr="007B1072" w:rsidRDefault="003E3FFD" w:rsidP="003E3FFD">
      <w:pPr>
        <w:spacing w:line="360" w:lineRule="auto"/>
        <w:jc w:val="both"/>
        <w:rPr>
          <w:sz w:val="24"/>
          <w:szCs w:val="24"/>
        </w:rPr>
      </w:pPr>
    </w:p>
    <w:p w:rsidR="00980C2E" w:rsidRPr="007B1072" w:rsidRDefault="00980C2E" w:rsidP="003E3FFD">
      <w:pPr>
        <w:spacing w:line="360" w:lineRule="auto"/>
        <w:jc w:val="both"/>
        <w:rPr>
          <w:sz w:val="24"/>
          <w:szCs w:val="24"/>
        </w:rPr>
      </w:pPr>
    </w:p>
    <w:p w:rsidR="00AE471F" w:rsidRPr="007B1072" w:rsidRDefault="001D0173" w:rsidP="003E3FFD">
      <w:pPr>
        <w:pStyle w:val="ListParagraph"/>
      </w:pPr>
      <w:r w:rsidRPr="007B1072">
        <w:t>Introduction:</w:t>
      </w:r>
    </w:p>
    <w:p w:rsidR="00AE471F" w:rsidRPr="007B1072" w:rsidRDefault="00AE471F" w:rsidP="003E3FFD">
      <w:pPr>
        <w:spacing w:line="360" w:lineRule="auto"/>
        <w:jc w:val="both"/>
        <w:rPr>
          <w:sz w:val="24"/>
          <w:szCs w:val="24"/>
        </w:rPr>
      </w:pPr>
    </w:p>
    <w:p w:rsidR="004E0F42" w:rsidRPr="004E0F42" w:rsidRDefault="004E0F42" w:rsidP="003E3FFD">
      <w:pPr>
        <w:widowControl/>
        <w:autoSpaceDE/>
        <w:autoSpaceDN/>
        <w:spacing w:line="360" w:lineRule="auto"/>
        <w:jc w:val="both"/>
        <w:rPr>
          <w:sz w:val="24"/>
          <w:szCs w:val="24"/>
          <w:lang w:val="en-IN" w:eastAsia="en-IN" w:bidi="hi-IN"/>
        </w:rPr>
      </w:pPr>
      <w:r w:rsidRPr="004E0F42">
        <w:rPr>
          <w:sz w:val="24"/>
          <w:szCs w:val="24"/>
          <w:lang w:val="en-IN" w:eastAsia="en-IN" w:bidi="hi-IN"/>
        </w:rPr>
        <w:t xml:space="preserve">The issue of non-performing assets (NPAs) in the Indian banking industry has drawn a lot of attention and debate. In a recent assessment on the Indian banking industry, the Standing Committee on Finance noted that growing non-performing assets (NPAs) had significantly impacted banks' ability to lend. The performance of public sector banks in relation to their growing non-performing asset (NPA) problem and the various loan recovery tools are also being examined by the </w:t>
      </w:r>
      <w:proofErr w:type="spellStart"/>
      <w:r w:rsidRPr="004E0F42">
        <w:rPr>
          <w:sz w:val="24"/>
          <w:szCs w:val="24"/>
          <w:lang w:val="en-IN" w:eastAsia="en-IN" w:bidi="hi-IN"/>
        </w:rPr>
        <w:t>Lok</w:t>
      </w:r>
      <w:proofErr w:type="spellEnd"/>
      <w:r w:rsidRPr="004E0F42">
        <w:rPr>
          <w:sz w:val="24"/>
          <w:szCs w:val="24"/>
          <w:lang w:val="en-IN" w:eastAsia="en-IN" w:bidi="hi-IN"/>
        </w:rPr>
        <w:t xml:space="preserve"> Sabha's Estimates Committee. </w:t>
      </w:r>
    </w:p>
    <w:p w:rsidR="004E0F42" w:rsidRPr="004E0F42" w:rsidRDefault="004E0F42" w:rsidP="003E3FFD">
      <w:pPr>
        <w:widowControl/>
        <w:autoSpaceDE/>
        <w:autoSpaceDN/>
        <w:spacing w:line="360" w:lineRule="auto"/>
        <w:jc w:val="both"/>
        <w:rPr>
          <w:sz w:val="24"/>
          <w:szCs w:val="24"/>
          <w:lang w:val="en-IN" w:eastAsia="en-IN" w:bidi="hi-IN"/>
        </w:rPr>
      </w:pPr>
      <w:r w:rsidRPr="004E0F42">
        <w:rPr>
          <w:sz w:val="24"/>
          <w:szCs w:val="24"/>
          <w:lang w:val="en-IN" w:eastAsia="en-IN" w:bidi="hi-IN"/>
        </w:rPr>
        <w:t>Furthermore, the Reserve Bank of India's (RBI) February 2018 directions for banks on the prompt resolution of stressed assets have been questioned and the subject of numerous legal actions. Here, we look at the country's recent increase in non-performing assets (NPAs), some of the factors that contribute to them, and the actions that have been taken to date to address the problem.</w:t>
      </w:r>
    </w:p>
    <w:p w:rsidR="004E0F42" w:rsidRPr="007B1072" w:rsidRDefault="004E0F42" w:rsidP="003E3FFD">
      <w:pPr>
        <w:spacing w:line="360" w:lineRule="auto"/>
        <w:jc w:val="both"/>
        <w:rPr>
          <w:sz w:val="24"/>
          <w:szCs w:val="24"/>
        </w:rPr>
      </w:pPr>
    </w:p>
    <w:p w:rsidR="00AE471F" w:rsidRPr="007B1072" w:rsidRDefault="001D0173" w:rsidP="003E3FFD">
      <w:pPr>
        <w:pStyle w:val="NoSpacing"/>
        <w:spacing w:line="360" w:lineRule="auto"/>
        <w:jc w:val="both"/>
        <w:rPr>
          <w:szCs w:val="24"/>
        </w:rPr>
      </w:pPr>
      <w:r w:rsidRPr="007B1072">
        <w:rPr>
          <w:szCs w:val="24"/>
        </w:rPr>
        <w:t>What is the extent and effect of the NPA problem in India?</w:t>
      </w:r>
    </w:p>
    <w:p w:rsidR="00AE471F" w:rsidRPr="007B1072" w:rsidRDefault="00AE471F" w:rsidP="003E3FFD">
      <w:pPr>
        <w:spacing w:line="360" w:lineRule="auto"/>
        <w:jc w:val="both"/>
        <w:rPr>
          <w:sz w:val="24"/>
          <w:szCs w:val="24"/>
        </w:rPr>
      </w:pP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Banks provide loans and advances to borrowers, which are classified based on repayment performance. These loans can be either: (i) standard assets, where borrowers consistently make payments, or (ii) non-performing assets (NPAs), where no repayment of interest or principal has been made for over 90 days.</w:t>
      </w: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As of March 31, 2018, preliminary data shows that gross NPAs in the Indian economy amounted to ₹10.35 lakh crore. Public sector banks accounted for approximately 85% of these NPAs. For example, the State Bank of India alone had NPAs worth ₹2.23 lakh crore.</w:t>
      </w: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Over the past decade, the gross NPA ratio—NPAs as a percentage of total loans—has risen significantly, from 2.3% in 2008 to 9.3% in 2017 (refer to Figure 1). This trend suggests that a growing share of banks’ assets are no longer generating income, which negatively affects their profitability and limits their capacity to extend new credit.</w:t>
      </w:r>
      <w:r w:rsidR="007B1072">
        <w:rPr>
          <w:sz w:val="24"/>
          <w:szCs w:val="24"/>
          <w:lang w:val="en-IN" w:eastAsia="en-IN" w:bidi="hi-IN"/>
        </w:rPr>
        <w:t xml:space="preserve"> </w:t>
      </w:r>
      <w:r w:rsidRPr="004E0F42">
        <w:rPr>
          <w:sz w:val="24"/>
          <w:szCs w:val="24"/>
          <w:lang w:val="en-IN" w:eastAsia="en-IN" w:bidi="hi-IN"/>
        </w:rPr>
        <w:t>The rise in NPAs forces banks to allocate more funds as provisions for potential losses, further straining their financial health. These increased provisions, combined with structural inefficiencies, contribute to declining profitability. Bank profitability is typically measured using Return on Assets (</w:t>
      </w:r>
      <w:proofErr w:type="spellStart"/>
      <w:r w:rsidRPr="004E0F42">
        <w:rPr>
          <w:sz w:val="24"/>
          <w:szCs w:val="24"/>
          <w:lang w:val="en-IN" w:eastAsia="en-IN" w:bidi="hi-IN"/>
        </w:rPr>
        <w:t>RoA</w:t>
      </w:r>
      <w:proofErr w:type="spellEnd"/>
      <w:r w:rsidRPr="004E0F42">
        <w:rPr>
          <w:sz w:val="24"/>
          <w:szCs w:val="24"/>
          <w:lang w:val="en-IN" w:eastAsia="en-IN" w:bidi="hi-IN"/>
        </w:rPr>
        <w:t xml:space="preserve">), which reflects net profit relative to total assets. In recent years, </w:t>
      </w:r>
      <w:proofErr w:type="spellStart"/>
      <w:r w:rsidRPr="004E0F42">
        <w:rPr>
          <w:sz w:val="24"/>
          <w:szCs w:val="24"/>
          <w:lang w:val="en-IN" w:eastAsia="en-IN" w:bidi="hi-IN"/>
        </w:rPr>
        <w:t>RoA</w:t>
      </w:r>
      <w:proofErr w:type="spellEnd"/>
      <w:r w:rsidRPr="004E0F42">
        <w:rPr>
          <w:sz w:val="24"/>
          <w:szCs w:val="24"/>
          <w:lang w:val="en-IN" w:eastAsia="en-IN" w:bidi="hi-IN"/>
        </w:rPr>
        <w:t xml:space="preserve"> has declined (see Figure 2), leaving banks more exposed to economic downturns and posing risks to depositor funds.</w:t>
      </w:r>
    </w:p>
    <w:p w:rsidR="00AE471F" w:rsidRPr="007B1072" w:rsidRDefault="001D0173" w:rsidP="003E3FFD">
      <w:pPr>
        <w:spacing w:line="360" w:lineRule="auto"/>
        <w:jc w:val="both"/>
        <w:rPr>
          <w:sz w:val="24"/>
          <w:szCs w:val="24"/>
        </w:rPr>
      </w:pPr>
      <w:r w:rsidRPr="007B1072">
        <w:rPr>
          <w:noProof/>
          <w:sz w:val="24"/>
          <w:szCs w:val="24"/>
        </w:rPr>
        <w:lastRenderedPageBreak/>
        <w:drawing>
          <wp:anchor distT="0" distB="0" distL="0" distR="0" simplePos="0" relativeHeight="487587840" behindDoc="1" locked="0" layoutInCell="1" allowOverlap="1" wp14:anchorId="490AEFE0" wp14:editId="43A13359">
            <wp:simplePos x="0" y="0"/>
            <wp:positionH relativeFrom="page">
              <wp:posOffset>990553</wp:posOffset>
            </wp:positionH>
            <wp:positionV relativeFrom="paragraph">
              <wp:posOffset>262304</wp:posOffset>
            </wp:positionV>
            <wp:extent cx="6085665" cy="28194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085665" cy="2819400"/>
                    </a:xfrm>
                    <a:prstGeom prst="rect">
                      <a:avLst/>
                    </a:prstGeom>
                  </pic:spPr>
                </pic:pic>
              </a:graphicData>
            </a:graphic>
          </wp:anchor>
        </w:drawing>
      </w:r>
    </w:p>
    <w:p w:rsidR="00AE471F" w:rsidRPr="007B1072" w:rsidRDefault="00AE471F" w:rsidP="003E3FFD">
      <w:pPr>
        <w:spacing w:line="360" w:lineRule="auto"/>
        <w:jc w:val="both"/>
        <w:rPr>
          <w:sz w:val="24"/>
          <w:szCs w:val="24"/>
        </w:rPr>
      </w:pPr>
    </w:p>
    <w:p w:rsidR="00AE471F" w:rsidRPr="007B1072" w:rsidRDefault="001D0173" w:rsidP="003E3FFD">
      <w:pPr>
        <w:pStyle w:val="NoSpacing"/>
        <w:spacing w:line="360" w:lineRule="auto"/>
        <w:jc w:val="both"/>
        <w:rPr>
          <w:szCs w:val="24"/>
        </w:rPr>
      </w:pPr>
      <w:r w:rsidRPr="007B1072">
        <w:rPr>
          <w:szCs w:val="24"/>
        </w:rPr>
        <w:t>What led to the rise in NPAs?</w:t>
      </w:r>
    </w:p>
    <w:p w:rsidR="00AE471F" w:rsidRPr="007B1072" w:rsidRDefault="00AE471F" w:rsidP="003E3FFD">
      <w:pPr>
        <w:spacing w:line="360" w:lineRule="auto"/>
        <w:jc w:val="both"/>
        <w:rPr>
          <w:sz w:val="24"/>
          <w:szCs w:val="24"/>
        </w:rPr>
      </w:pPr>
    </w:p>
    <w:p w:rsidR="004E0F42" w:rsidRPr="007B1072" w:rsidRDefault="004E0F42" w:rsidP="007B1072">
      <w:pPr>
        <w:pStyle w:val="NoSpacing"/>
        <w:numPr>
          <w:ilvl w:val="0"/>
          <w:numId w:val="0"/>
        </w:numPr>
        <w:spacing w:line="360" w:lineRule="auto"/>
        <w:ind w:left="284" w:firstLine="76"/>
        <w:jc w:val="both"/>
        <w:rPr>
          <w:b w:val="0"/>
          <w:bCs/>
          <w:szCs w:val="24"/>
          <w:lang w:val="en-IN" w:eastAsia="en-IN" w:bidi="hi-IN"/>
        </w:rPr>
      </w:pPr>
      <w:r w:rsidRPr="007B1072">
        <w:rPr>
          <w:b w:val="0"/>
          <w:bCs/>
          <w:szCs w:val="24"/>
          <w:lang w:val="en-IN" w:eastAsia="en-IN" w:bidi="hi-IN"/>
        </w:rPr>
        <w:t>Several factors have contributed to the rise in non-performing assets (NPAs), some of which are external—such as the decline in global commodity prices that affected export performance—while others are rooted within the Indian banking system itself.</w:t>
      </w:r>
    </w:p>
    <w:p w:rsidR="004E0F42" w:rsidRPr="007B1072" w:rsidRDefault="004E0F42" w:rsidP="007B1072">
      <w:pPr>
        <w:pStyle w:val="NoSpacing"/>
        <w:numPr>
          <w:ilvl w:val="0"/>
          <w:numId w:val="0"/>
        </w:numPr>
        <w:spacing w:line="360" w:lineRule="auto"/>
        <w:ind w:left="284"/>
        <w:jc w:val="both"/>
        <w:rPr>
          <w:b w:val="0"/>
          <w:bCs/>
          <w:szCs w:val="24"/>
          <w:lang w:val="en-IN" w:eastAsia="en-IN" w:bidi="hi-IN"/>
        </w:rPr>
      </w:pPr>
      <w:r w:rsidRPr="007B1072">
        <w:rPr>
          <w:b w:val="0"/>
          <w:bCs/>
          <w:szCs w:val="24"/>
          <w:lang w:val="en-IN" w:eastAsia="en-IN" w:bidi="hi-IN"/>
        </w:rPr>
        <w:t>Many of the loans that have now turned into NPAs were issued in the mid-2000s, a period marked by robust economic growth and optimistic business expectations. During this time, large companies received loans for new projects based on their recent performance and projected future success. With easier access to credit, these firms became highly leveraged, relying heavily on borrowed funds rather than internal capital from promoters. However, when economic growth slowed down after the 2008 global financial crisis, their ability to repay loans declined sharply. This situation led to what is referred to as India’s “Twin Balance Sheet” problem—where both the lenders (banks) and the borrowers (corporates) are under financial strain.</w:t>
      </w:r>
    </w:p>
    <w:p w:rsidR="004E0F42" w:rsidRPr="007B1072" w:rsidRDefault="004E0F42" w:rsidP="007B1072">
      <w:pPr>
        <w:pStyle w:val="NoSpacing"/>
        <w:numPr>
          <w:ilvl w:val="0"/>
          <w:numId w:val="0"/>
        </w:numPr>
        <w:spacing w:line="360" w:lineRule="auto"/>
        <w:ind w:left="284"/>
        <w:jc w:val="both"/>
        <w:rPr>
          <w:b w:val="0"/>
          <w:bCs/>
          <w:szCs w:val="24"/>
          <w:lang w:val="en-IN" w:eastAsia="en-IN" w:bidi="hi-IN"/>
        </w:rPr>
      </w:pPr>
      <w:r w:rsidRPr="007B1072">
        <w:rPr>
          <w:b w:val="0"/>
          <w:bCs/>
          <w:szCs w:val="24"/>
          <w:lang w:val="en-IN" w:eastAsia="en-IN" w:bidi="hi-IN"/>
        </w:rPr>
        <w:t>As the projects funded by these loans began to underperform, borrowers found it increasingly difficult to repay. In response, banks engaged in “</w:t>
      </w:r>
      <w:proofErr w:type="spellStart"/>
      <w:r w:rsidRPr="007B1072">
        <w:rPr>
          <w:b w:val="0"/>
          <w:bCs/>
          <w:szCs w:val="24"/>
          <w:lang w:val="en-IN" w:eastAsia="en-IN" w:bidi="hi-IN"/>
        </w:rPr>
        <w:t>evergreening</w:t>
      </w:r>
      <w:proofErr w:type="spellEnd"/>
      <w:r w:rsidRPr="007B1072">
        <w:rPr>
          <w:b w:val="0"/>
          <w:bCs/>
          <w:szCs w:val="24"/>
          <w:lang w:val="en-IN" w:eastAsia="en-IN" w:bidi="hi-IN"/>
        </w:rPr>
        <w:t>,” a practice in which they extended new loans to help borrowers pay existing interest obligations. While this delayed the classification of these loans as NPAs, it failed to address the underlying financial weaknesses of the projects.</w:t>
      </w:r>
    </w:p>
    <w:p w:rsidR="004E0F42" w:rsidRPr="007B1072" w:rsidRDefault="004E0F42" w:rsidP="007B1072">
      <w:pPr>
        <w:pStyle w:val="NoSpacing"/>
        <w:numPr>
          <w:ilvl w:val="0"/>
          <w:numId w:val="0"/>
        </w:numPr>
        <w:spacing w:line="360" w:lineRule="auto"/>
        <w:ind w:left="284"/>
        <w:jc w:val="both"/>
        <w:rPr>
          <w:b w:val="0"/>
          <w:bCs/>
          <w:szCs w:val="24"/>
          <w:lang w:val="en-IN" w:eastAsia="en-IN" w:bidi="hi-IN"/>
        </w:rPr>
      </w:pPr>
      <w:r w:rsidRPr="007B1072">
        <w:rPr>
          <w:b w:val="0"/>
          <w:bCs/>
          <w:szCs w:val="24"/>
          <w:lang w:val="en-IN" w:eastAsia="en-IN" w:bidi="hi-IN"/>
        </w:rPr>
        <w:t>Additionally, the problem has been worsened by large-scale financial frauds. Although the overall contribution of such frauds to total NPAs is relatively minor, their frequency has been growing. Alarmingly, many major fraudsters have yet to face serious consequences, further undermining confidence in the system.</w:t>
      </w:r>
    </w:p>
    <w:p w:rsidR="004E0F42" w:rsidRPr="007B1072" w:rsidRDefault="004E0F42" w:rsidP="003E3FFD">
      <w:pPr>
        <w:pStyle w:val="NoSpacing"/>
        <w:numPr>
          <w:ilvl w:val="0"/>
          <w:numId w:val="0"/>
        </w:numPr>
        <w:spacing w:line="360" w:lineRule="auto"/>
        <w:ind w:left="720"/>
        <w:jc w:val="both"/>
        <w:rPr>
          <w:szCs w:val="24"/>
          <w:lang w:val="en-IN" w:eastAsia="en-IN" w:bidi="hi-IN"/>
        </w:rPr>
      </w:pPr>
    </w:p>
    <w:p w:rsidR="00AE471F" w:rsidRPr="007B1072" w:rsidRDefault="001D0173" w:rsidP="003E3FFD">
      <w:pPr>
        <w:pStyle w:val="NoSpacing"/>
        <w:spacing w:line="360" w:lineRule="auto"/>
        <w:jc w:val="both"/>
        <w:rPr>
          <w:szCs w:val="24"/>
        </w:rPr>
      </w:pPr>
      <w:r w:rsidRPr="007B1072">
        <w:rPr>
          <w:szCs w:val="24"/>
        </w:rPr>
        <w:lastRenderedPageBreak/>
        <w:t>What is being done to address the problem of growing NPAs?</w:t>
      </w:r>
    </w:p>
    <w:p w:rsidR="00AE471F" w:rsidRPr="007B1072" w:rsidRDefault="00AE471F" w:rsidP="003E3FFD">
      <w:pPr>
        <w:spacing w:line="360" w:lineRule="auto"/>
        <w:jc w:val="both"/>
        <w:rPr>
          <w:sz w:val="24"/>
          <w:szCs w:val="24"/>
        </w:rPr>
      </w:pP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Efforts to address and prevent non-performing assets (NPAs) can generally be divided into two categories: first, legal and regulatory frameworks aimed at resolving NPAs, such as the Insolvency and Bankruptcy Code (IBC); and second, corrective measures implemented by the Reserve Bank of India (RBI) to help banks internally restructure stressed assets.</w:t>
      </w: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The Insolvency and Bankruptcy Code, introduced in May 2016, was designed to facilitate a time-bound recovery process—typically within 180 days—for accounts where borrowers are unable to meet their repayment obligations. Under this framework, creditors, guided by a licensed insolvency professional, decide whether to restructure the defaulted loan or sell the borrower's assets to recover dues. If no decision is reached within the stipulated time, the borrower’s assets are liquidated. For enforcement, personal insolvency cases are handled by the Debt Recovery Tribunal, while corporate cases fall under the jurisdiction of the National Company Law Tribunal (NCLT). As of March 2018, 701 cases had been filed under the IBC, out of which 176 had been resolved.</w:t>
      </w:r>
    </w:p>
    <w:p w:rsidR="00F3635D" w:rsidRPr="007B1072" w:rsidRDefault="00F3635D" w:rsidP="003E3FFD">
      <w:pPr>
        <w:spacing w:line="360" w:lineRule="auto"/>
        <w:jc w:val="both"/>
        <w:rPr>
          <w:sz w:val="24"/>
          <w:szCs w:val="24"/>
        </w:rPr>
      </w:pPr>
    </w:p>
    <w:p w:rsidR="00AE471F" w:rsidRPr="007B1072" w:rsidRDefault="001D0173" w:rsidP="003E3FFD">
      <w:pPr>
        <w:pStyle w:val="NoSpacing"/>
        <w:spacing w:line="360" w:lineRule="auto"/>
        <w:jc w:val="both"/>
        <w:rPr>
          <w:szCs w:val="24"/>
        </w:rPr>
      </w:pPr>
      <w:r w:rsidRPr="007B1072">
        <w:rPr>
          <w:szCs w:val="24"/>
        </w:rPr>
        <w:t>What changed recently in the RBI’s guidelines to banks?</w:t>
      </w:r>
    </w:p>
    <w:p w:rsidR="00AE471F" w:rsidRPr="007B1072" w:rsidRDefault="00AE471F" w:rsidP="003E3FFD">
      <w:pPr>
        <w:spacing w:line="360" w:lineRule="auto"/>
        <w:jc w:val="both"/>
        <w:rPr>
          <w:sz w:val="24"/>
          <w:szCs w:val="24"/>
        </w:rPr>
      </w:pP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Over time, the Reserve Bank of India (RBI) has introduced several guidelines to address the issue of stressed assets in the banking sector. These included initiatives such as:</w:t>
      </w:r>
    </w:p>
    <w:p w:rsidR="004E0F42" w:rsidRPr="004E0F42" w:rsidRDefault="004E0F42" w:rsidP="003E3FFD">
      <w:pPr>
        <w:widowControl/>
        <w:numPr>
          <w:ilvl w:val="0"/>
          <w:numId w:val="23"/>
        </w:numPr>
        <w:autoSpaceDE/>
        <w:autoSpaceDN/>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Strategic Debt Restructuring (SDR):</w:t>
      </w:r>
      <w:r w:rsidRPr="004E0F42">
        <w:rPr>
          <w:sz w:val="24"/>
          <w:szCs w:val="24"/>
          <w:lang w:val="en-IN" w:eastAsia="en-IN" w:bidi="hi-IN"/>
        </w:rPr>
        <w:t xml:space="preserve"> This allowed banks to take control of the management of defaulting companies.</w:t>
      </w:r>
    </w:p>
    <w:p w:rsidR="004E0F42" w:rsidRPr="004E0F42" w:rsidRDefault="004E0F42" w:rsidP="003E3FFD">
      <w:pPr>
        <w:widowControl/>
        <w:numPr>
          <w:ilvl w:val="0"/>
          <w:numId w:val="23"/>
        </w:numPr>
        <w:autoSpaceDE/>
        <w:autoSpaceDN/>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Joint Lenders’ Forum (JLF):</w:t>
      </w:r>
      <w:r w:rsidRPr="004E0F42">
        <w:rPr>
          <w:sz w:val="24"/>
          <w:szCs w:val="24"/>
          <w:lang w:val="en-IN" w:eastAsia="en-IN" w:bidi="hi-IN"/>
        </w:rPr>
        <w:t xml:space="preserve"> A platform where lenders collaborated to formulate and vote on resolution strategies.</w:t>
      </w: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Following the introduction of the Insolvency and Bankruptcy Code (IBC), the RBI issued a new circular in February 2018 that replaced all previous schemes with a unified, streamlined, and time-bound framework for resolving stressed assets.</w:t>
      </w: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Under this revised framework, banks were required to implement a resolution plan within 180 days. If they failed to do so, the stressed accounts had to be referred to the National Company Law Tribunal (NCLT) under the IBC within 15 days. Additionally, the framework introduced a “one-day default” monitoring system, where even a single day’s delay in repayment triggered early warning signals.</w:t>
      </w: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lastRenderedPageBreak/>
        <w:t>Some borrowers whose loans had already been classified as NPAs prior to the circular missed the 180-day resolution deadline. These included entities such as power producers and sugar mills, who subsequently challenged the RBI’s guidelines in various High Courts. The Allahabad High Court upheld the RBI's authority to issue such regulations and declined interim relief to borrowers to avoid being referred to the NCLT. Eventually, all legal challenges were consolidated and transferred to the Supreme Court, which issued a status quo order. This means no new insolvency proceedings can be initiated under the circular until the Supreme Court delivers its verdict. As a result, borrowers who approached the courts have received temporary relief until the matter is heard in November 2018.</w:t>
      </w:r>
    </w:p>
    <w:p w:rsidR="004E0F42" w:rsidRPr="004E0F42" w:rsidRDefault="004E0F42" w:rsidP="003E3FFD">
      <w:pPr>
        <w:widowControl/>
        <w:autoSpaceDE/>
        <w:autoSpaceDN/>
        <w:spacing w:line="360" w:lineRule="auto"/>
        <w:jc w:val="both"/>
        <w:rPr>
          <w:sz w:val="24"/>
          <w:szCs w:val="24"/>
          <w:lang w:val="en-IN" w:eastAsia="en-IN" w:bidi="hi-IN"/>
        </w:rPr>
      </w:pPr>
    </w:p>
    <w:p w:rsidR="004E0F42" w:rsidRPr="007B1072" w:rsidRDefault="004E0F42" w:rsidP="003E3FFD">
      <w:pPr>
        <w:pStyle w:val="ListParagraph"/>
        <w:rPr>
          <w:lang w:val="en-IN" w:eastAsia="en-IN" w:bidi="hi-IN"/>
        </w:rPr>
      </w:pPr>
      <w:r w:rsidRPr="007B1072">
        <w:rPr>
          <w:lang w:val="en-IN" w:eastAsia="en-IN" w:bidi="hi-IN"/>
        </w:rPr>
        <w:t>Significance of the Study:</w:t>
      </w:r>
    </w:p>
    <w:p w:rsidR="004E0F42" w:rsidRPr="004E0F42" w:rsidRDefault="004E0F42" w:rsidP="003E3FFD">
      <w:pPr>
        <w:widowControl/>
        <w:autoSpaceDE/>
        <w:autoSpaceDN/>
        <w:spacing w:before="100" w:beforeAutospacing="1" w:after="100" w:afterAutospacing="1" w:line="360" w:lineRule="auto"/>
        <w:jc w:val="both"/>
        <w:rPr>
          <w:sz w:val="24"/>
          <w:szCs w:val="24"/>
          <w:lang w:val="en-IN" w:eastAsia="en-IN" w:bidi="hi-IN"/>
        </w:rPr>
      </w:pPr>
      <w:r w:rsidRPr="004E0F42">
        <w:rPr>
          <w:sz w:val="24"/>
          <w:szCs w:val="24"/>
          <w:lang w:val="en-IN" w:eastAsia="en-IN" w:bidi="hi-IN"/>
        </w:rPr>
        <w:t>This study focuses on the pressing issue of Non-Performing Assets (NPAs) in India. It aims to benefit researchers, analysts, government policymakers, and other stakeholders affected by the NPA crisis. Insights from this study could contribute toward developing practical solutions to mitigate the NPA problem in the near future.</w:t>
      </w:r>
    </w:p>
    <w:p w:rsidR="00AE471F" w:rsidRPr="007B1072" w:rsidRDefault="00AE471F" w:rsidP="003E3FFD">
      <w:pPr>
        <w:spacing w:line="360" w:lineRule="auto"/>
        <w:jc w:val="both"/>
        <w:rPr>
          <w:sz w:val="24"/>
          <w:szCs w:val="24"/>
        </w:rPr>
      </w:pPr>
    </w:p>
    <w:p w:rsidR="00AE471F" w:rsidRPr="007B1072" w:rsidRDefault="00F3635D" w:rsidP="003E3FFD">
      <w:pPr>
        <w:pStyle w:val="ListParagraph"/>
      </w:pPr>
      <w:r w:rsidRPr="007B1072">
        <w:t>Objective</w:t>
      </w:r>
    </w:p>
    <w:p w:rsidR="00AE471F" w:rsidRPr="007B1072" w:rsidRDefault="00AE471F" w:rsidP="003E3FFD">
      <w:pPr>
        <w:spacing w:line="360" w:lineRule="auto"/>
        <w:jc w:val="both"/>
        <w:rPr>
          <w:sz w:val="24"/>
          <w:szCs w:val="24"/>
        </w:rPr>
      </w:pPr>
    </w:p>
    <w:p w:rsidR="00F3635D" w:rsidRPr="007B1072" w:rsidRDefault="001D0173" w:rsidP="003E3FFD">
      <w:pPr>
        <w:pStyle w:val="ListParagraph"/>
        <w:numPr>
          <w:ilvl w:val="0"/>
          <w:numId w:val="8"/>
        </w:numPr>
        <w:rPr>
          <w:b w:val="0"/>
          <w:bCs/>
          <w:u w:val="none"/>
        </w:rPr>
      </w:pPr>
      <w:r w:rsidRPr="007B1072">
        <w:rPr>
          <w:b w:val="0"/>
          <w:bCs/>
          <w:u w:val="none"/>
        </w:rPr>
        <w:t xml:space="preserve">To </w:t>
      </w:r>
      <w:proofErr w:type="spellStart"/>
      <w:r w:rsidRPr="007B1072">
        <w:rPr>
          <w:b w:val="0"/>
          <w:bCs/>
          <w:u w:val="none"/>
        </w:rPr>
        <w:t>analyse</w:t>
      </w:r>
      <w:proofErr w:type="spellEnd"/>
      <w:r w:rsidRPr="007B1072">
        <w:rPr>
          <w:b w:val="0"/>
          <w:bCs/>
          <w:u w:val="none"/>
        </w:rPr>
        <w:t xml:space="preserve"> the trend of NPA in Punjab National Bank.</w:t>
      </w:r>
    </w:p>
    <w:p w:rsidR="00F3635D" w:rsidRPr="007B1072" w:rsidRDefault="001D0173" w:rsidP="003E3FFD">
      <w:pPr>
        <w:pStyle w:val="ListParagraph"/>
        <w:numPr>
          <w:ilvl w:val="0"/>
          <w:numId w:val="8"/>
        </w:numPr>
        <w:rPr>
          <w:b w:val="0"/>
          <w:bCs/>
          <w:u w:val="none"/>
        </w:rPr>
      </w:pPr>
      <w:r w:rsidRPr="007B1072">
        <w:rPr>
          <w:b w:val="0"/>
          <w:bCs/>
          <w:u w:val="none"/>
        </w:rPr>
        <w:t xml:space="preserve">To examine the relationship of share capital with Gross NPA in </w:t>
      </w:r>
      <w:r w:rsidR="00F3635D" w:rsidRPr="007B1072">
        <w:rPr>
          <w:b w:val="0"/>
          <w:bCs/>
          <w:u w:val="none"/>
        </w:rPr>
        <w:t>PNB</w:t>
      </w:r>
    </w:p>
    <w:p w:rsidR="00AE471F" w:rsidRPr="007B1072" w:rsidRDefault="001D0173" w:rsidP="003E3FFD">
      <w:pPr>
        <w:pStyle w:val="ListParagraph"/>
        <w:numPr>
          <w:ilvl w:val="0"/>
          <w:numId w:val="8"/>
        </w:numPr>
        <w:rPr>
          <w:b w:val="0"/>
          <w:bCs/>
          <w:u w:val="none"/>
        </w:rPr>
      </w:pPr>
      <w:r w:rsidRPr="007B1072">
        <w:rPr>
          <w:b w:val="0"/>
          <w:bCs/>
          <w:u w:val="none"/>
        </w:rPr>
        <w:t>To examine the relationship of advances with Gross NPA/ Net NPA in PNB.</w:t>
      </w:r>
    </w:p>
    <w:p w:rsidR="00F3635D" w:rsidRPr="007B1072" w:rsidRDefault="00F3635D" w:rsidP="003E3FFD">
      <w:pPr>
        <w:pStyle w:val="ListParagraph"/>
        <w:numPr>
          <w:ilvl w:val="0"/>
          <w:numId w:val="0"/>
        </w:numPr>
        <w:ind w:left="720"/>
        <w:rPr>
          <w:b w:val="0"/>
          <w:bCs/>
        </w:rPr>
      </w:pPr>
    </w:p>
    <w:p w:rsidR="00AE471F" w:rsidRPr="007B1072" w:rsidRDefault="001D0173" w:rsidP="003E3FFD">
      <w:pPr>
        <w:pStyle w:val="ListParagraph"/>
      </w:pPr>
      <w:r w:rsidRPr="007B1072">
        <w:t>Research methodology:</w:t>
      </w:r>
    </w:p>
    <w:p w:rsidR="00AE471F" w:rsidRPr="007B1072" w:rsidRDefault="00AE471F" w:rsidP="003E3FFD">
      <w:pPr>
        <w:pStyle w:val="ListParagraph"/>
        <w:numPr>
          <w:ilvl w:val="0"/>
          <w:numId w:val="0"/>
        </w:numPr>
        <w:ind w:left="885"/>
      </w:pPr>
    </w:p>
    <w:p w:rsidR="00F3635D" w:rsidRPr="007B1072" w:rsidRDefault="004E0F42" w:rsidP="003E3FFD">
      <w:pPr>
        <w:spacing w:line="360" w:lineRule="auto"/>
        <w:jc w:val="both"/>
        <w:rPr>
          <w:sz w:val="24"/>
          <w:szCs w:val="24"/>
        </w:rPr>
      </w:pPr>
      <w:r w:rsidRPr="007B1072">
        <w:rPr>
          <w:sz w:val="24"/>
          <w:szCs w:val="24"/>
        </w:rPr>
        <w:t>This study relies on secondary data gathered from various credible sources, including official websites, academic journals, monthly publications, government annual reports, and other authorized institutional platforms. The data was analyzed using SPSS software, employing key statistical techniques such as trend analysis (time series), percentage calculations, and Pearson’s correlation. The findings have been visually represented through line graphs for better interpretation.</w:t>
      </w:r>
    </w:p>
    <w:p w:rsidR="00547A58" w:rsidRPr="007B1072" w:rsidRDefault="001D0173" w:rsidP="003E3FFD">
      <w:pPr>
        <w:spacing w:line="360" w:lineRule="auto"/>
        <w:jc w:val="both"/>
        <w:rPr>
          <w:sz w:val="24"/>
          <w:szCs w:val="24"/>
        </w:rPr>
      </w:pPr>
      <w:proofErr w:type="gramStart"/>
      <w:r w:rsidRPr="007B1072">
        <w:rPr>
          <w:b/>
          <w:bCs/>
          <w:sz w:val="24"/>
          <w:szCs w:val="24"/>
        </w:rPr>
        <w:t>H</w:t>
      </w:r>
      <w:r w:rsidRPr="007B1072">
        <w:rPr>
          <w:b/>
          <w:bCs/>
          <w:sz w:val="24"/>
          <w:szCs w:val="24"/>
          <w:vertAlign w:val="subscript"/>
        </w:rPr>
        <w:t>01</w:t>
      </w:r>
      <w:r w:rsidRPr="007B1072">
        <w:rPr>
          <w:sz w:val="24"/>
          <w:szCs w:val="24"/>
        </w:rPr>
        <w:t xml:space="preserve"> </w:t>
      </w:r>
      <w:r w:rsidR="00771CDC" w:rsidRPr="007B1072">
        <w:rPr>
          <w:sz w:val="24"/>
          <w:szCs w:val="24"/>
        </w:rPr>
        <w:t>:</w:t>
      </w:r>
      <w:proofErr w:type="gramEnd"/>
      <w:r w:rsidR="00771CDC" w:rsidRPr="007B1072">
        <w:rPr>
          <w:sz w:val="24"/>
          <w:szCs w:val="24"/>
        </w:rPr>
        <w:t xml:space="preserve"> </w:t>
      </w:r>
      <w:r w:rsidRPr="007B1072">
        <w:rPr>
          <w:sz w:val="24"/>
          <w:szCs w:val="24"/>
        </w:rPr>
        <w:t xml:space="preserve">There is no significant relationship between share capital and NPA. </w:t>
      </w:r>
    </w:p>
    <w:p w:rsidR="00AE471F" w:rsidRPr="007B1072" w:rsidRDefault="001D0173" w:rsidP="003E3FFD">
      <w:pPr>
        <w:spacing w:line="360" w:lineRule="auto"/>
        <w:jc w:val="both"/>
        <w:rPr>
          <w:sz w:val="24"/>
          <w:szCs w:val="24"/>
        </w:rPr>
      </w:pPr>
      <w:proofErr w:type="gramStart"/>
      <w:r w:rsidRPr="007B1072">
        <w:rPr>
          <w:b/>
          <w:bCs/>
          <w:sz w:val="24"/>
          <w:szCs w:val="24"/>
        </w:rPr>
        <w:t>H</w:t>
      </w:r>
      <w:r w:rsidRPr="007B1072">
        <w:rPr>
          <w:b/>
          <w:bCs/>
          <w:sz w:val="24"/>
          <w:szCs w:val="24"/>
          <w:vertAlign w:val="subscript"/>
        </w:rPr>
        <w:t>02</w:t>
      </w:r>
      <w:r w:rsidRPr="007B1072">
        <w:rPr>
          <w:sz w:val="24"/>
          <w:szCs w:val="24"/>
        </w:rPr>
        <w:t xml:space="preserve"> </w:t>
      </w:r>
      <w:r w:rsidR="00771CDC" w:rsidRPr="007B1072">
        <w:rPr>
          <w:sz w:val="24"/>
          <w:szCs w:val="24"/>
        </w:rPr>
        <w:t>:</w:t>
      </w:r>
      <w:proofErr w:type="gramEnd"/>
      <w:r w:rsidR="00771CDC" w:rsidRPr="007B1072">
        <w:rPr>
          <w:sz w:val="24"/>
          <w:szCs w:val="24"/>
        </w:rPr>
        <w:t xml:space="preserve"> </w:t>
      </w:r>
      <w:r w:rsidRPr="007B1072">
        <w:rPr>
          <w:sz w:val="24"/>
          <w:szCs w:val="24"/>
        </w:rPr>
        <w:t>There is no significant relationship between Advances and NPA.</w:t>
      </w:r>
    </w:p>
    <w:p w:rsidR="00F3635D" w:rsidRPr="007B1072" w:rsidRDefault="00F3635D" w:rsidP="003E3FFD">
      <w:pPr>
        <w:spacing w:line="360" w:lineRule="auto"/>
        <w:jc w:val="both"/>
        <w:rPr>
          <w:sz w:val="24"/>
          <w:szCs w:val="24"/>
        </w:rPr>
      </w:pPr>
    </w:p>
    <w:p w:rsidR="00F3635D" w:rsidRPr="007B1072" w:rsidRDefault="001D0173" w:rsidP="003E3FFD">
      <w:pPr>
        <w:pStyle w:val="ListParagraph"/>
      </w:pPr>
      <w:r w:rsidRPr="007B1072">
        <w:t>Analysis and Interpretation:</w:t>
      </w:r>
    </w:p>
    <w:p w:rsidR="003E3FFD" w:rsidRPr="007B1072" w:rsidRDefault="003E3FFD" w:rsidP="003E3FFD">
      <w:pPr>
        <w:pStyle w:val="Caption"/>
        <w:keepNext/>
        <w:rPr>
          <w:sz w:val="24"/>
          <w:szCs w:val="24"/>
        </w:rPr>
      </w:pPr>
    </w:p>
    <w:p w:rsidR="003E3FFD" w:rsidRPr="007B1072" w:rsidRDefault="003E3FFD" w:rsidP="003E3FFD">
      <w:pPr>
        <w:pStyle w:val="Caption"/>
        <w:keepNext/>
        <w:rPr>
          <w:sz w:val="24"/>
          <w:szCs w:val="24"/>
        </w:rPr>
      </w:pPr>
      <w:r w:rsidRPr="007B1072">
        <w:rPr>
          <w:sz w:val="24"/>
          <w:szCs w:val="24"/>
        </w:rPr>
        <w:t xml:space="preserve">Table </w:t>
      </w:r>
      <w:r w:rsidRPr="007B1072">
        <w:rPr>
          <w:sz w:val="24"/>
          <w:szCs w:val="24"/>
        </w:rPr>
        <w:fldChar w:fldCharType="begin"/>
      </w:r>
      <w:r w:rsidRPr="007B1072">
        <w:rPr>
          <w:sz w:val="24"/>
          <w:szCs w:val="24"/>
        </w:rPr>
        <w:instrText xml:space="preserve"> SEQ Table \* ARABIC </w:instrText>
      </w:r>
      <w:r w:rsidRPr="007B1072">
        <w:rPr>
          <w:sz w:val="24"/>
          <w:szCs w:val="24"/>
        </w:rPr>
        <w:fldChar w:fldCharType="separate"/>
      </w:r>
      <w:r w:rsidR="00EC143C">
        <w:rPr>
          <w:noProof/>
          <w:sz w:val="24"/>
          <w:szCs w:val="24"/>
        </w:rPr>
        <w:t>1</w:t>
      </w:r>
      <w:r w:rsidRPr="007B1072">
        <w:rPr>
          <w:sz w:val="24"/>
          <w:szCs w:val="24"/>
        </w:rPr>
        <w:fldChar w:fldCharType="end"/>
      </w:r>
      <w:r w:rsidRPr="007B1072">
        <w:rPr>
          <w:sz w:val="24"/>
          <w:szCs w:val="24"/>
        </w:rPr>
        <w:t>: Loans and Advances</w:t>
      </w:r>
    </w:p>
    <w:tbl>
      <w:tblPr>
        <w:tblStyle w:val="LightShading-Accent1"/>
        <w:tblW w:w="0" w:type="auto"/>
        <w:tblLook w:val="04A0" w:firstRow="1" w:lastRow="0" w:firstColumn="1" w:lastColumn="0" w:noHBand="0" w:noVBand="1"/>
      </w:tblPr>
      <w:tblGrid>
        <w:gridCol w:w="4320"/>
        <w:gridCol w:w="4320"/>
      </w:tblGrid>
      <w:tr w:rsidR="003E3FFD" w:rsidRPr="007B1072" w:rsidTr="003E3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Financial Year</w:t>
            </w:r>
          </w:p>
        </w:tc>
        <w:tc>
          <w:tcPr>
            <w:tcW w:w="4320" w:type="dxa"/>
          </w:tcPr>
          <w:p w:rsidR="003E3FFD" w:rsidRPr="007B1072" w:rsidRDefault="003E3FFD" w:rsidP="00B73A71">
            <w:pPr>
              <w:cnfStyle w:val="100000000000" w:firstRow="1" w:lastRow="0" w:firstColumn="0" w:lastColumn="0" w:oddVBand="0" w:evenVBand="0" w:oddHBand="0" w:evenHBand="0" w:firstRowFirstColumn="0" w:firstRowLastColumn="0" w:lastRowFirstColumn="0" w:lastRowLastColumn="0"/>
              <w:rPr>
                <w:sz w:val="24"/>
                <w:szCs w:val="24"/>
              </w:rPr>
            </w:pPr>
            <w:r w:rsidRPr="007B1072">
              <w:rPr>
                <w:sz w:val="24"/>
                <w:szCs w:val="24"/>
              </w:rPr>
              <w:t>Loans &amp; Advances (in crore)</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2010</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186,601</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2011</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242,107</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2012</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293,775</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2013</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308,796</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2014</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349,269</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2015</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380,534</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2016</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412,326</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2017</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419,493</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2018</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433,775</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2019</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458,249</w:t>
            </w:r>
          </w:p>
        </w:tc>
      </w:tr>
    </w:tbl>
    <w:p w:rsidR="003E3FFD" w:rsidRPr="007B1072" w:rsidRDefault="003E3FFD" w:rsidP="003E3FFD">
      <w:pPr>
        <w:spacing w:line="360" w:lineRule="auto"/>
        <w:jc w:val="both"/>
        <w:rPr>
          <w:sz w:val="24"/>
          <w:szCs w:val="24"/>
        </w:rPr>
      </w:pPr>
    </w:p>
    <w:p w:rsidR="003E3FFD" w:rsidRPr="007B1072" w:rsidRDefault="003E3FFD" w:rsidP="003E3FFD">
      <w:pPr>
        <w:keepNext/>
        <w:spacing w:line="360" w:lineRule="auto"/>
        <w:jc w:val="both"/>
        <w:rPr>
          <w:sz w:val="24"/>
          <w:szCs w:val="24"/>
        </w:rPr>
      </w:pPr>
      <w:r w:rsidRPr="007B1072">
        <w:rPr>
          <w:noProof/>
          <w:sz w:val="24"/>
          <w:szCs w:val="24"/>
        </w:rPr>
        <w:drawing>
          <wp:inline distT="0" distB="0" distL="0" distR="0" wp14:anchorId="1A3BC868" wp14:editId="028406EA">
            <wp:extent cx="5693133" cy="2584174"/>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_and_Advances_Grap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6349" cy="2585634"/>
                    </a:xfrm>
                    <a:prstGeom prst="rect">
                      <a:avLst/>
                    </a:prstGeom>
                  </pic:spPr>
                </pic:pic>
              </a:graphicData>
            </a:graphic>
          </wp:inline>
        </w:drawing>
      </w:r>
    </w:p>
    <w:p w:rsidR="003E3FFD" w:rsidRPr="007B1072" w:rsidRDefault="003E3FFD" w:rsidP="003E3FFD">
      <w:pPr>
        <w:pStyle w:val="Caption"/>
        <w:jc w:val="both"/>
        <w:rPr>
          <w:sz w:val="24"/>
          <w:szCs w:val="24"/>
        </w:rPr>
      </w:pPr>
      <w:r w:rsidRPr="007B1072">
        <w:rPr>
          <w:sz w:val="24"/>
          <w:szCs w:val="24"/>
        </w:rPr>
        <w:t xml:space="preserve">Figure </w:t>
      </w:r>
      <w:r w:rsidRPr="007B1072">
        <w:rPr>
          <w:sz w:val="24"/>
          <w:szCs w:val="24"/>
        </w:rPr>
        <w:fldChar w:fldCharType="begin"/>
      </w:r>
      <w:r w:rsidRPr="007B1072">
        <w:rPr>
          <w:sz w:val="24"/>
          <w:szCs w:val="24"/>
        </w:rPr>
        <w:instrText xml:space="preserve"> SEQ Figure \* ARABIC </w:instrText>
      </w:r>
      <w:r w:rsidRPr="007B1072">
        <w:rPr>
          <w:sz w:val="24"/>
          <w:szCs w:val="24"/>
        </w:rPr>
        <w:fldChar w:fldCharType="separate"/>
      </w:r>
      <w:r w:rsidR="00856960" w:rsidRPr="007B1072">
        <w:rPr>
          <w:noProof/>
          <w:sz w:val="24"/>
          <w:szCs w:val="24"/>
        </w:rPr>
        <w:t>1</w:t>
      </w:r>
      <w:r w:rsidRPr="007B1072">
        <w:rPr>
          <w:sz w:val="24"/>
          <w:szCs w:val="24"/>
        </w:rPr>
        <w:fldChar w:fldCharType="end"/>
      </w:r>
      <w:r w:rsidRPr="007B1072">
        <w:rPr>
          <w:sz w:val="24"/>
          <w:szCs w:val="24"/>
        </w:rPr>
        <w:t>: Loans and Advances</w:t>
      </w:r>
    </w:p>
    <w:p w:rsidR="003E3FFD" w:rsidRPr="007B1072" w:rsidRDefault="004005B1" w:rsidP="003E3FFD">
      <w:pPr>
        <w:spacing w:line="360" w:lineRule="auto"/>
        <w:jc w:val="both"/>
        <w:rPr>
          <w:sz w:val="24"/>
          <w:szCs w:val="24"/>
        </w:rPr>
      </w:pPr>
      <w:r w:rsidRPr="007B1072">
        <w:rPr>
          <w:sz w:val="24"/>
          <w:szCs w:val="24"/>
        </w:rPr>
        <w:tab/>
      </w:r>
    </w:p>
    <w:p w:rsidR="003E3FFD" w:rsidRPr="007B1072" w:rsidRDefault="003E3FFD" w:rsidP="003E3FFD">
      <w:pPr>
        <w:spacing w:line="360" w:lineRule="auto"/>
        <w:jc w:val="both"/>
        <w:rPr>
          <w:sz w:val="24"/>
          <w:szCs w:val="24"/>
        </w:rPr>
      </w:pPr>
    </w:p>
    <w:p w:rsidR="004005B1" w:rsidRPr="007B1072" w:rsidRDefault="004005B1" w:rsidP="003E3FFD">
      <w:pPr>
        <w:spacing w:line="360" w:lineRule="auto"/>
        <w:jc w:val="both"/>
        <w:rPr>
          <w:sz w:val="24"/>
          <w:szCs w:val="24"/>
        </w:rPr>
      </w:pPr>
      <w:r w:rsidRPr="007B1072">
        <w:rPr>
          <w:sz w:val="24"/>
          <w:szCs w:val="24"/>
        </w:rPr>
        <w:t xml:space="preserve">With the help </w:t>
      </w:r>
      <w:proofErr w:type="gramStart"/>
      <w:r w:rsidRPr="007B1072">
        <w:rPr>
          <w:sz w:val="24"/>
          <w:szCs w:val="24"/>
        </w:rPr>
        <w:t xml:space="preserve">of </w:t>
      </w:r>
      <w:r w:rsidR="003E3FFD" w:rsidRPr="007B1072">
        <w:rPr>
          <w:sz w:val="24"/>
          <w:szCs w:val="24"/>
        </w:rPr>
        <w:t xml:space="preserve"> </w:t>
      </w:r>
      <w:r w:rsidR="00856960" w:rsidRPr="007B1072">
        <w:rPr>
          <w:sz w:val="24"/>
          <w:szCs w:val="24"/>
        </w:rPr>
        <w:t>Figure</w:t>
      </w:r>
      <w:proofErr w:type="gramEnd"/>
      <w:r w:rsidR="00856960" w:rsidRPr="007B1072">
        <w:rPr>
          <w:sz w:val="24"/>
          <w:szCs w:val="24"/>
        </w:rPr>
        <w:t xml:space="preserve"> 1</w:t>
      </w:r>
      <w:r w:rsidRPr="007B1072">
        <w:rPr>
          <w:sz w:val="24"/>
          <w:szCs w:val="24"/>
        </w:rPr>
        <w:t xml:space="preserve">, it can be </w:t>
      </w:r>
      <w:proofErr w:type="spellStart"/>
      <w:r w:rsidRPr="007B1072">
        <w:rPr>
          <w:sz w:val="24"/>
          <w:szCs w:val="24"/>
        </w:rPr>
        <w:t>analysed</w:t>
      </w:r>
      <w:proofErr w:type="spellEnd"/>
      <w:r w:rsidRPr="007B1072">
        <w:rPr>
          <w:sz w:val="24"/>
          <w:szCs w:val="24"/>
        </w:rPr>
        <w:t xml:space="preserve"> that the volume of advances, provided by the Bank, has been continuously increasing with the constant rate since 2010.</w:t>
      </w:r>
      <w:r w:rsidR="00771CDC" w:rsidRPr="007B1072">
        <w:rPr>
          <w:sz w:val="24"/>
          <w:szCs w:val="24"/>
        </w:rPr>
        <w:t xml:space="preserve"> It can be interpreted as</w:t>
      </w:r>
    </w:p>
    <w:p w:rsidR="00771CDC" w:rsidRPr="007B1072" w:rsidRDefault="00771CDC" w:rsidP="003E3FFD">
      <w:pPr>
        <w:widowControl/>
        <w:autoSpaceDE/>
        <w:autoSpaceDN/>
        <w:spacing w:before="100" w:beforeAutospacing="1" w:after="100" w:afterAutospacing="1" w:line="360" w:lineRule="auto"/>
        <w:jc w:val="both"/>
        <w:rPr>
          <w:sz w:val="24"/>
          <w:szCs w:val="24"/>
          <w:lang w:val="en-IN" w:eastAsia="en-IN" w:bidi="hi-IN"/>
        </w:rPr>
      </w:pPr>
      <w:proofErr w:type="gramStart"/>
      <w:r w:rsidRPr="007B1072">
        <w:rPr>
          <w:sz w:val="24"/>
          <w:szCs w:val="24"/>
          <w:lang w:val="en-IN" w:eastAsia="en-IN" w:bidi="hi-IN"/>
        </w:rPr>
        <w:t xml:space="preserve">  </w:t>
      </w:r>
      <w:r w:rsidRPr="007B1072">
        <w:rPr>
          <w:b/>
          <w:bCs/>
          <w:sz w:val="24"/>
          <w:szCs w:val="24"/>
          <w:lang w:val="en-IN" w:eastAsia="en-IN" w:bidi="hi-IN"/>
        </w:rPr>
        <w:t>Consistent</w:t>
      </w:r>
      <w:proofErr w:type="gramEnd"/>
      <w:r w:rsidRPr="007B1072">
        <w:rPr>
          <w:b/>
          <w:bCs/>
          <w:sz w:val="24"/>
          <w:szCs w:val="24"/>
          <w:lang w:val="en-IN" w:eastAsia="en-IN" w:bidi="hi-IN"/>
        </w:rPr>
        <w:t xml:space="preserve"> and Linear Growth</w:t>
      </w:r>
      <w:r w:rsidRPr="007B1072">
        <w:rPr>
          <w:sz w:val="24"/>
          <w:szCs w:val="24"/>
          <w:lang w:val="en-IN" w:eastAsia="en-IN" w:bidi="hi-IN"/>
        </w:rPr>
        <w:t>:</w:t>
      </w:r>
    </w:p>
    <w:p w:rsidR="00771CDC" w:rsidRPr="007B1072" w:rsidRDefault="00771CDC" w:rsidP="003E3FFD">
      <w:pPr>
        <w:widowControl/>
        <w:numPr>
          <w:ilvl w:val="0"/>
          <w:numId w:val="20"/>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The graph shows a </w:t>
      </w:r>
      <w:r w:rsidRPr="007B1072">
        <w:rPr>
          <w:b/>
          <w:bCs/>
          <w:sz w:val="24"/>
          <w:szCs w:val="24"/>
          <w:lang w:val="en-IN" w:eastAsia="en-IN" w:bidi="hi-IN"/>
        </w:rPr>
        <w:t>steady and uninterrupted increase</w:t>
      </w:r>
      <w:r w:rsidRPr="007B1072">
        <w:rPr>
          <w:sz w:val="24"/>
          <w:szCs w:val="24"/>
          <w:lang w:val="en-IN" w:eastAsia="en-IN" w:bidi="hi-IN"/>
        </w:rPr>
        <w:t xml:space="preserve"> in the volume of loans and advances from </w:t>
      </w:r>
      <w:r w:rsidRPr="007B1072">
        <w:rPr>
          <w:b/>
          <w:bCs/>
          <w:sz w:val="24"/>
          <w:szCs w:val="24"/>
          <w:lang w:val="en-IN" w:eastAsia="en-IN" w:bidi="hi-IN"/>
        </w:rPr>
        <w:t>approximately ₹1.86 lakh crore in 2010</w:t>
      </w:r>
      <w:r w:rsidRPr="007B1072">
        <w:rPr>
          <w:sz w:val="24"/>
          <w:szCs w:val="24"/>
          <w:lang w:val="en-IN" w:eastAsia="en-IN" w:bidi="hi-IN"/>
        </w:rPr>
        <w:t xml:space="preserve"> to </w:t>
      </w:r>
      <w:r w:rsidRPr="007B1072">
        <w:rPr>
          <w:b/>
          <w:bCs/>
          <w:sz w:val="24"/>
          <w:szCs w:val="24"/>
          <w:lang w:val="en-IN" w:eastAsia="en-IN" w:bidi="hi-IN"/>
        </w:rPr>
        <w:t>over ₹4.58 lakh crore in 2019</w:t>
      </w:r>
      <w:r w:rsidRPr="007B1072">
        <w:rPr>
          <w:sz w:val="24"/>
          <w:szCs w:val="24"/>
          <w:lang w:val="en-IN" w:eastAsia="en-IN" w:bidi="hi-IN"/>
        </w:rPr>
        <w:t>.</w:t>
      </w:r>
    </w:p>
    <w:p w:rsidR="00771CDC" w:rsidRPr="007B1072" w:rsidRDefault="00771CDC" w:rsidP="003E3FFD">
      <w:pPr>
        <w:widowControl/>
        <w:numPr>
          <w:ilvl w:val="0"/>
          <w:numId w:val="20"/>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upward trend reflects the bank’s aggressive credit expansion strategy over the decade, likely driven by growth objectives and efforts to increase market share.</w:t>
      </w:r>
    </w:p>
    <w:p w:rsidR="00771CDC" w:rsidRPr="007B1072" w:rsidRDefault="00771CDC" w:rsidP="003E3FFD">
      <w:pPr>
        <w:widowControl/>
        <w:autoSpaceDE/>
        <w:autoSpaceDN/>
        <w:spacing w:before="100" w:beforeAutospacing="1" w:after="100" w:afterAutospacing="1" w:line="360" w:lineRule="auto"/>
        <w:jc w:val="both"/>
        <w:rPr>
          <w:sz w:val="24"/>
          <w:szCs w:val="24"/>
          <w:lang w:val="en-IN" w:eastAsia="en-IN" w:bidi="hi-IN"/>
        </w:rPr>
      </w:pPr>
      <w:proofErr w:type="gramStart"/>
      <w:r w:rsidRPr="007B1072">
        <w:rPr>
          <w:sz w:val="24"/>
          <w:szCs w:val="24"/>
          <w:lang w:val="en-IN" w:eastAsia="en-IN" w:bidi="hi-IN"/>
        </w:rPr>
        <w:t xml:space="preserve">  </w:t>
      </w:r>
      <w:r w:rsidRPr="007B1072">
        <w:rPr>
          <w:b/>
          <w:bCs/>
          <w:sz w:val="24"/>
          <w:szCs w:val="24"/>
          <w:lang w:val="en-IN" w:eastAsia="en-IN" w:bidi="hi-IN"/>
        </w:rPr>
        <w:t>Implication</w:t>
      </w:r>
      <w:proofErr w:type="gramEnd"/>
      <w:r w:rsidRPr="007B1072">
        <w:rPr>
          <w:b/>
          <w:bCs/>
          <w:sz w:val="24"/>
          <w:szCs w:val="24"/>
          <w:lang w:val="en-IN" w:eastAsia="en-IN" w:bidi="hi-IN"/>
        </w:rPr>
        <w:t xml:space="preserve"> of Rising Credit Exposure</w:t>
      </w:r>
      <w:r w:rsidRPr="007B1072">
        <w:rPr>
          <w:sz w:val="24"/>
          <w:szCs w:val="24"/>
          <w:lang w:val="en-IN" w:eastAsia="en-IN" w:bidi="hi-IN"/>
        </w:rPr>
        <w:t>:</w:t>
      </w:r>
    </w:p>
    <w:p w:rsidR="00771CDC" w:rsidRPr="007B1072" w:rsidRDefault="00771CDC" w:rsidP="003E3FFD">
      <w:pPr>
        <w:widowControl/>
        <w:numPr>
          <w:ilvl w:val="0"/>
          <w:numId w:val="21"/>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lastRenderedPageBreak/>
        <w:t xml:space="preserve">While consistent loan growth is a sign of banking activity and economic stimulation, it also </w:t>
      </w:r>
      <w:r w:rsidRPr="007B1072">
        <w:rPr>
          <w:b/>
          <w:bCs/>
          <w:sz w:val="24"/>
          <w:szCs w:val="24"/>
          <w:lang w:val="en-IN" w:eastAsia="en-IN" w:bidi="hi-IN"/>
        </w:rPr>
        <w:t>increases credit risk</w:t>
      </w:r>
      <w:r w:rsidRPr="007B1072">
        <w:rPr>
          <w:sz w:val="24"/>
          <w:szCs w:val="24"/>
          <w:lang w:val="en-IN" w:eastAsia="en-IN" w:bidi="hi-IN"/>
        </w:rPr>
        <w:t>, particularly when growth is not matched by robust risk management.</w:t>
      </w:r>
    </w:p>
    <w:p w:rsidR="00771CDC" w:rsidRPr="007B1072" w:rsidRDefault="00771CDC" w:rsidP="003E3FFD">
      <w:pPr>
        <w:widowControl/>
        <w:numPr>
          <w:ilvl w:val="0"/>
          <w:numId w:val="21"/>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The rising trend must be viewed alongside the simultaneous increase in Gross and Net NPAs (as seen in previous graphs), suggesting that a portion of these advances became non-performing, impacting the asset quality.</w:t>
      </w:r>
    </w:p>
    <w:p w:rsidR="00771CDC" w:rsidRPr="007B1072" w:rsidRDefault="00771CDC" w:rsidP="003E3FFD">
      <w:pPr>
        <w:widowControl/>
        <w:autoSpaceDE/>
        <w:autoSpaceDN/>
        <w:spacing w:before="100" w:beforeAutospacing="1" w:after="100" w:afterAutospacing="1" w:line="360" w:lineRule="auto"/>
        <w:jc w:val="both"/>
        <w:rPr>
          <w:sz w:val="24"/>
          <w:szCs w:val="24"/>
          <w:lang w:val="en-IN" w:eastAsia="en-IN" w:bidi="hi-IN"/>
        </w:rPr>
      </w:pPr>
      <w:proofErr w:type="gramStart"/>
      <w:r w:rsidRPr="007B1072">
        <w:rPr>
          <w:sz w:val="24"/>
          <w:szCs w:val="24"/>
          <w:lang w:val="en-IN" w:eastAsia="en-IN" w:bidi="hi-IN"/>
        </w:rPr>
        <w:t xml:space="preserve">  </w:t>
      </w:r>
      <w:r w:rsidRPr="007B1072">
        <w:rPr>
          <w:b/>
          <w:bCs/>
          <w:sz w:val="24"/>
          <w:szCs w:val="24"/>
          <w:lang w:val="en-IN" w:eastAsia="en-IN" w:bidi="hi-IN"/>
        </w:rPr>
        <w:t>No</w:t>
      </w:r>
      <w:proofErr w:type="gramEnd"/>
      <w:r w:rsidRPr="007B1072">
        <w:rPr>
          <w:b/>
          <w:bCs/>
          <w:sz w:val="24"/>
          <w:szCs w:val="24"/>
          <w:lang w:val="en-IN" w:eastAsia="en-IN" w:bidi="hi-IN"/>
        </w:rPr>
        <w:t xml:space="preserve"> Periods of Contraction</w:t>
      </w:r>
      <w:r w:rsidRPr="007B1072">
        <w:rPr>
          <w:sz w:val="24"/>
          <w:szCs w:val="24"/>
          <w:lang w:val="en-IN" w:eastAsia="en-IN" w:bidi="hi-IN"/>
        </w:rPr>
        <w:t>:</w:t>
      </w:r>
    </w:p>
    <w:p w:rsidR="00771CDC" w:rsidRPr="007B1072" w:rsidRDefault="00771CDC" w:rsidP="003E3FFD">
      <w:pPr>
        <w:widowControl/>
        <w:numPr>
          <w:ilvl w:val="0"/>
          <w:numId w:val="22"/>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There is </w:t>
      </w:r>
      <w:r w:rsidRPr="007B1072">
        <w:rPr>
          <w:b/>
          <w:bCs/>
          <w:sz w:val="24"/>
          <w:szCs w:val="24"/>
          <w:lang w:val="en-IN" w:eastAsia="en-IN" w:bidi="hi-IN"/>
        </w:rPr>
        <w:t>no decline or stagnation</w:t>
      </w:r>
      <w:r w:rsidRPr="007B1072">
        <w:rPr>
          <w:sz w:val="24"/>
          <w:szCs w:val="24"/>
          <w:lang w:val="en-IN" w:eastAsia="en-IN" w:bidi="hi-IN"/>
        </w:rPr>
        <w:t xml:space="preserve"> in the loans &amp; advances trend during the 10-year period, indicating that even during years of high NPA stress (e.g., 2016–2018), </w:t>
      </w:r>
      <w:proofErr w:type="gramStart"/>
      <w:r w:rsidRPr="007B1072">
        <w:rPr>
          <w:sz w:val="24"/>
          <w:szCs w:val="24"/>
          <w:lang w:val="en-IN" w:eastAsia="en-IN" w:bidi="hi-IN"/>
        </w:rPr>
        <w:t>the</w:t>
      </w:r>
      <w:proofErr w:type="gramEnd"/>
      <w:r w:rsidRPr="007B1072">
        <w:rPr>
          <w:sz w:val="24"/>
          <w:szCs w:val="24"/>
          <w:lang w:val="en-IN" w:eastAsia="en-IN" w:bidi="hi-IN"/>
        </w:rPr>
        <w:t xml:space="preserve"> bank continued expanding its loan book.</w:t>
      </w:r>
    </w:p>
    <w:p w:rsidR="00771CDC" w:rsidRPr="007B1072" w:rsidRDefault="00771CDC" w:rsidP="003E3FFD">
      <w:pPr>
        <w:widowControl/>
        <w:numPr>
          <w:ilvl w:val="0"/>
          <w:numId w:val="22"/>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could reflect delayed policy responses or commitments to existing disbursement pipelines, potentially contributing to further stress.</w:t>
      </w:r>
    </w:p>
    <w:p w:rsidR="00771CDC" w:rsidRPr="007B1072" w:rsidRDefault="00771CDC" w:rsidP="003E3FFD">
      <w:pPr>
        <w:spacing w:line="360" w:lineRule="auto"/>
        <w:jc w:val="both"/>
        <w:rPr>
          <w:sz w:val="24"/>
          <w:szCs w:val="24"/>
        </w:rPr>
      </w:pPr>
    </w:p>
    <w:p w:rsidR="004005B1" w:rsidRPr="007B1072" w:rsidRDefault="00771CDC" w:rsidP="003E3FFD">
      <w:pPr>
        <w:tabs>
          <w:tab w:val="left" w:pos="952"/>
        </w:tabs>
        <w:spacing w:line="360" w:lineRule="auto"/>
        <w:jc w:val="both"/>
        <w:rPr>
          <w:sz w:val="24"/>
          <w:szCs w:val="24"/>
        </w:rPr>
      </w:pPr>
      <w:r w:rsidRPr="007B1072">
        <w:rPr>
          <w:sz w:val="24"/>
          <w:szCs w:val="24"/>
        </w:rPr>
        <w:t xml:space="preserve">The graph demonstrates that </w:t>
      </w:r>
      <w:r w:rsidRPr="007B1072">
        <w:rPr>
          <w:rStyle w:val="Strong"/>
          <w:sz w:val="24"/>
          <w:szCs w:val="24"/>
        </w:rPr>
        <w:t>Punjab National Bank expanded its credit operations aggressively and continuously from 2010 to 2019</w:t>
      </w:r>
      <w:r w:rsidRPr="007B1072">
        <w:rPr>
          <w:sz w:val="24"/>
          <w:szCs w:val="24"/>
        </w:rPr>
        <w:t xml:space="preserve">. However, this growth in loans and advances must be critically assessed in light of the parallel rise in NPAs. The trend points to the importance of ensuring that credit expansion is aligned with </w:t>
      </w:r>
      <w:r w:rsidRPr="007B1072">
        <w:rPr>
          <w:rStyle w:val="Strong"/>
          <w:sz w:val="24"/>
          <w:szCs w:val="24"/>
        </w:rPr>
        <w:t>sound appraisal standards, sectoral health analysis, and post-disbursement monitoring</w:t>
      </w:r>
      <w:r w:rsidRPr="007B1072">
        <w:rPr>
          <w:sz w:val="24"/>
          <w:szCs w:val="24"/>
        </w:rPr>
        <w:t>.</w:t>
      </w:r>
    </w:p>
    <w:p w:rsidR="003E3FFD" w:rsidRPr="007B1072" w:rsidRDefault="003E3FFD" w:rsidP="003E3FFD">
      <w:pPr>
        <w:pStyle w:val="Caption"/>
        <w:keepNext/>
        <w:rPr>
          <w:sz w:val="24"/>
          <w:szCs w:val="24"/>
        </w:rPr>
      </w:pPr>
      <w:r w:rsidRPr="007B1072">
        <w:rPr>
          <w:sz w:val="24"/>
          <w:szCs w:val="24"/>
        </w:rPr>
        <w:t xml:space="preserve">Table </w:t>
      </w:r>
      <w:r w:rsidRPr="007B1072">
        <w:rPr>
          <w:sz w:val="24"/>
          <w:szCs w:val="24"/>
        </w:rPr>
        <w:fldChar w:fldCharType="begin"/>
      </w:r>
      <w:r w:rsidRPr="007B1072">
        <w:rPr>
          <w:sz w:val="24"/>
          <w:szCs w:val="24"/>
        </w:rPr>
        <w:instrText xml:space="preserve"> SEQ Table \* ARABIC </w:instrText>
      </w:r>
      <w:r w:rsidRPr="007B1072">
        <w:rPr>
          <w:sz w:val="24"/>
          <w:szCs w:val="24"/>
        </w:rPr>
        <w:fldChar w:fldCharType="separate"/>
      </w:r>
      <w:r w:rsidR="00EC143C">
        <w:rPr>
          <w:noProof/>
          <w:sz w:val="24"/>
          <w:szCs w:val="24"/>
        </w:rPr>
        <w:t>2</w:t>
      </w:r>
      <w:r w:rsidRPr="007B1072">
        <w:rPr>
          <w:sz w:val="24"/>
          <w:szCs w:val="24"/>
        </w:rPr>
        <w:fldChar w:fldCharType="end"/>
      </w:r>
      <w:r w:rsidRPr="007B1072">
        <w:rPr>
          <w:sz w:val="24"/>
          <w:szCs w:val="24"/>
        </w:rPr>
        <w:t>: Gross NPA</w:t>
      </w:r>
    </w:p>
    <w:tbl>
      <w:tblPr>
        <w:tblStyle w:val="LightShading-Accent1"/>
        <w:tblW w:w="0" w:type="auto"/>
        <w:tblLook w:val="04A0" w:firstRow="1" w:lastRow="0" w:firstColumn="1" w:lastColumn="0" w:noHBand="0" w:noVBand="1"/>
      </w:tblPr>
      <w:tblGrid>
        <w:gridCol w:w="4320"/>
        <w:gridCol w:w="4320"/>
      </w:tblGrid>
      <w:tr w:rsidR="003E3FFD" w:rsidRPr="007B1072" w:rsidTr="003E3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Financial Year</w:t>
            </w:r>
          </w:p>
        </w:tc>
        <w:tc>
          <w:tcPr>
            <w:tcW w:w="4320" w:type="dxa"/>
          </w:tcPr>
          <w:p w:rsidR="003E3FFD" w:rsidRPr="007B1072" w:rsidRDefault="003E3FFD" w:rsidP="00B73A71">
            <w:pPr>
              <w:cnfStyle w:val="100000000000" w:firstRow="1" w:lastRow="0" w:firstColumn="0" w:lastColumn="0" w:oddVBand="0" w:evenVBand="0" w:oddHBand="0" w:evenHBand="0" w:firstRowFirstColumn="0" w:firstRowLastColumn="0" w:lastRowFirstColumn="0" w:lastRowLastColumn="0"/>
              <w:rPr>
                <w:sz w:val="24"/>
                <w:szCs w:val="24"/>
              </w:rPr>
            </w:pPr>
            <w:r w:rsidRPr="007B1072">
              <w:rPr>
                <w:sz w:val="24"/>
                <w:szCs w:val="24"/>
              </w:rPr>
              <w:t>Gross NPA (%)</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2010</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1.71</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2011</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2.00</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2012</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2.93</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2013</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3.91</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2014</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4.64</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2015</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5.90</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2016</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9.23</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2017</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8.16</w:t>
            </w:r>
          </w:p>
        </w:tc>
      </w:tr>
      <w:tr w:rsidR="003E3FFD" w:rsidRPr="007B1072" w:rsidTr="003E3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2018</w:t>
            </w:r>
          </w:p>
        </w:tc>
        <w:tc>
          <w:tcPr>
            <w:tcW w:w="4320" w:type="dxa"/>
          </w:tcPr>
          <w:p w:rsidR="003E3FFD" w:rsidRPr="007B1072" w:rsidRDefault="003E3FFD" w:rsidP="00B73A71">
            <w:pPr>
              <w:cnfStyle w:val="000000100000" w:firstRow="0" w:lastRow="0" w:firstColumn="0" w:lastColumn="0" w:oddVBand="0" w:evenVBand="0" w:oddHBand="1" w:evenHBand="0" w:firstRowFirstColumn="0" w:firstRowLastColumn="0" w:lastRowFirstColumn="0" w:lastRowLastColumn="0"/>
              <w:rPr>
                <w:sz w:val="24"/>
                <w:szCs w:val="24"/>
              </w:rPr>
            </w:pPr>
            <w:r w:rsidRPr="007B1072">
              <w:rPr>
                <w:sz w:val="24"/>
                <w:szCs w:val="24"/>
              </w:rPr>
              <w:t>17.54</w:t>
            </w:r>
          </w:p>
        </w:tc>
      </w:tr>
      <w:tr w:rsidR="003E3FFD" w:rsidRPr="007B1072" w:rsidTr="003E3FFD">
        <w:tc>
          <w:tcPr>
            <w:cnfStyle w:val="001000000000" w:firstRow="0" w:lastRow="0" w:firstColumn="1" w:lastColumn="0" w:oddVBand="0" w:evenVBand="0" w:oddHBand="0" w:evenHBand="0" w:firstRowFirstColumn="0" w:firstRowLastColumn="0" w:lastRowFirstColumn="0" w:lastRowLastColumn="0"/>
            <w:tcW w:w="4320" w:type="dxa"/>
          </w:tcPr>
          <w:p w:rsidR="003E3FFD" w:rsidRPr="007B1072" w:rsidRDefault="003E3FFD" w:rsidP="00B73A71">
            <w:pPr>
              <w:rPr>
                <w:sz w:val="24"/>
                <w:szCs w:val="24"/>
              </w:rPr>
            </w:pPr>
            <w:r w:rsidRPr="007B1072">
              <w:rPr>
                <w:sz w:val="24"/>
                <w:szCs w:val="24"/>
              </w:rPr>
              <w:t>2019</w:t>
            </w:r>
          </w:p>
        </w:tc>
        <w:tc>
          <w:tcPr>
            <w:tcW w:w="4320" w:type="dxa"/>
          </w:tcPr>
          <w:p w:rsidR="003E3FFD" w:rsidRPr="007B1072" w:rsidRDefault="003E3FFD" w:rsidP="00B73A71">
            <w:pPr>
              <w:cnfStyle w:val="000000000000" w:firstRow="0" w:lastRow="0" w:firstColumn="0" w:lastColumn="0" w:oddVBand="0" w:evenVBand="0" w:oddHBand="0" w:evenHBand="0" w:firstRowFirstColumn="0" w:firstRowLastColumn="0" w:lastRowFirstColumn="0" w:lastRowLastColumn="0"/>
              <w:rPr>
                <w:sz w:val="24"/>
                <w:szCs w:val="24"/>
              </w:rPr>
            </w:pPr>
            <w:r w:rsidRPr="007B1072">
              <w:rPr>
                <w:sz w:val="24"/>
                <w:szCs w:val="24"/>
              </w:rPr>
              <w:t>15.84</w:t>
            </w:r>
          </w:p>
        </w:tc>
      </w:tr>
    </w:tbl>
    <w:p w:rsidR="00AE471F" w:rsidRPr="007B1072" w:rsidRDefault="00AE471F" w:rsidP="003E3FFD">
      <w:pPr>
        <w:spacing w:line="360" w:lineRule="auto"/>
        <w:jc w:val="both"/>
        <w:rPr>
          <w:sz w:val="24"/>
          <w:szCs w:val="24"/>
        </w:rPr>
      </w:pPr>
    </w:p>
    <w:p w:rsidR="00856960" w:rsidRPr="007B1072" w:rsidRDefault="003E3FFD" w:rsidP="00856960">
      <w:pPr>
        <w:keepNext/>
        <w:spacing w:line="360" w:lineRule="auto"/>
        <w:jc w:val="both"/>
        <w:rPr>
          <w:sz w:val="24"/>
          <w:szCs w:val="24"/>
        </w:rPr>
      </w:pPr>
      <w:r w:rsidRPr="007B1072">
        <w:rPr>
          <w:noProof/>
          <w:sz w:val="24"/>
          <w:szCs w:val="24"/>
        </w:rPr>
        <w:lastRenderedPageBreak/>
        <w:drawing>
          <wp:inline distT="0" distB="0" distL="0" distR="0" wp14:anchorId="1E09FD47" wp14:editId="00463E1A">
            <wp:extent cx="5390985" cy="27670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ss_NPA_Grap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3929" cy="2773697"/>
                    </a:xfrm>
                    <a:prstGeom prst="rect">
                      <a:avLst/>
                    </a:prstGeom>
                  </pic:spPr>
                </pic:pic>
              </a:graphicData>
            </a:graphic>
          </wp:inline>
        </w:drawing>
      </w:r>
    </w:p>
    <w:p w:rsidR="00F3635D" w:rsidRPr="007B1072" w:rsidRDefault="00856960" w:rsidP="00856960">
      <w:pPr>
        <w:pStyle w:val="Caption"/>
        <w:jc w:val="both"/>
        <w:rPr>
          <w:sz w:val="24"/>
          <w:szCs w:val="24"/>
        </w:rPr>
      </w:pPr>
      <w:r w:rsidRPr="007B1072">
        <w:rPr>
          <w:sz w:val="24"/>
          <w:szCs w:val="24"/>
        </w:rPr>
        <w:t xml:space="preserve">Figure </w:t>
      </w:r>
      <w:r w:rsidRPr="007B1072">
        <w:rPr>
          <w:sz w:val="24"/>
          <w:szCs w:val="24"/>
        </w:rPr>
        <w:fldChar w:fldCharType="begin"/>
      </w:r>
      <w:r w:rsidRPr="007B1072">
        <w:rPr>
          <w:sz w:val="24"/>
          <w:szCs w:val="24"/>
        </w:rPr>
        <w:instrText xml:space="preserve"> SEQ Figure \* ARABIC </w:instrText>
      </w:r>
      <w:r w:rsidRPr="007B1072">
        <w:rPr>
          <w:sz w:val="24"/>
          <w:szCs w:val="24"/>
        </w:rPr>
        <w:fldChar w:fldCharType="separate"/>
      </w:r>
      <w:r w:rsidRPr="007B1072">
        <w:rPr>
          <w:noProof/>
          <w:sz w:val="24"/>
          <w:szCs w:val="24"/>
        </w:rPr>
        <w:t>2</w:t>
      </w:r>
      <w:r w:rsidRPr="007B1072">
        <w:rPr>
          <w:sz w:val="24"/>
          <w:szCs w:val="24"/>
        </w:rPr>
        <w:fldChar w:fldCharType="end"/>
      </w:r>
      <w:r w:rsidRPr="007B1072">
        <w:rPr>
          <w:sz w:val="24"/>
          <w:szCs w:val="24"/>
        </w:rPr>
        <w:t>: Gross NPA</w:t>
      </w:r>
    </w:p>
    <w:p w:rsidR="004005B1" w:rsidRPr="007B1072" w:rsidRDefault="004005B1" w:rsidP="003E3FFD">
      <w:pPr>
        <w:spacing w:before="100" w:beforeAutospacing="1" w:after="100" w:afterAutospacing="1" w:line="360" w:lineRule="auto"/>
        <w:jc w:val="both"/>
        <w:rPr>
          <w:sz w:val="24"/>
          <w:szCs w:val="24"/>
          <w:lang w:val="en-IN" w:eastAsia="en-IN" w:bidi="hi-IN"/>
        </w:rPr>
      </w:pPr>
      <w:r w:rsidRPr="007B1072">
        <w:rPr>
          <w:sz w:val="24"/>
          <w:szCs w:val="24"/>
        </w:rPr>
        <w:t xml:space="preserve">The figure no-2 reflects the trend of gross NPA, and shows that the rate of increase in gross NPA had been increasing till 2015. But in 2015-2016 it had been noticed that the increasing rate of gross NPA was higher. </w:t>
      </w:r>
    </w:p>
    <w:p w:rsidR="004005B1" w:rsidRPr="007B1072" w:rsidRDefault="004005B1" w:rsidP="003E3FFD">
      <w:pPr>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Gradual Increase (2010–2014)</w:t>
      </w:r>
      <w:r w:rsidRPr="007B1072">
        <w:rPr>
          <w:sz w:val="24"/>
          <w:szCs w:val="24"/>
          <w:lang w:val="en-IN" w:eastAsia="en-IN" w:bidi="hi-IN"/>
        </w:rPr>
        <w:t>:</w:t>
      </w:r>
    </w:p>
    <w:p w:rsidR="004005B1" w:rsidRPr="007B1072" w:rsidRDefault="004005B1" w:rsidP="003E3FFD">
      <w:pPr>
        <w:widowControl/>
        <w:numPr>
          <w:ilvl w:val="0"/>
          <w:numId w:val="16"/>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The Gross NPA ratio rose moderately from around </w:t>
      </w:r>
      <w:r w:rsidRPr="007B1072">
        <w:rPr>
          <w:b/>
          <w:bCs/>
          <w:sz w:val="24"/>
          <w:szCs w:val="24"/>
          <w:lang w:val="en-IN" w:eastAsia="en-IN" w:bidi="hi-IN"/>
        </w:rPr>
        <w:t>1.71% in 2010</w:t>
      </w:r>
      <w:r w:rsidRPr="007B1072">
        <w:rPr>
          <w:sz w:val="24"/>
          <w:szCs w:val="24"/>
          <w:lang w:val="en-IN" w:eastAsia="en-IN" w:bidi="hi-IN"/>
        </w:rPr>
        <w:t xml:space="preserve"> to approximately </w:t>
      </w:r>
      <w:r w:rsidRPr="007B1072">
        <w:rPr>
          <w:b/>
          <w:bCs/>
          <w:sz w:val="24"/>
          <w:szCs w:val="24"/>
          <w:lang w:val="en-IN" w:eastAsia="en-IN" w:bidi="hi-IN"/>
        </w:rPr>
        <w:t>4.25% in 2014</w:t>
      </w:r>
      <w:r w:rsidRPr="007B1072">
        <w:rPr>
          <w:sz w:val="24"/>
          <w:szCs w:val="24"/>
          <w:lang w:val="en-IN" w:eastAsia="en-IN" w:bidi="hi-IN"/>
        </w:rPr>
        <w:t>.</w:t>
      </w:r>
    </w:p>
    <w:p w:rsidR="004005B1" w:rsidRPr="007B1072" w:rsidRDefault="004005B1" w:rsidP="003E3FFD">
      <w:pPr>
        <w:widowControl/>
        <w:numPr>
          <w:ilvl w:val="0"/>
          <w:numId w:val="16"/>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steady growth suggests emerging stress in the bank’s asset portfolio, possibly due to relaxed lending practices or early signs of default in certain sectors, but not yet fully recognized or provisioned.</w:t>
      </w:r>
    </w:p>
    <w:p w:rsidR="004005B1" w:rsidRPr="007B1072" w:rsidRDefault="004005B1" w:rsidP="003E3FFD">
      <w:pPr>
        <w:widowControl/>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 </w:t>
      </w:r>
      <w:r w:rsidRPr="007B1072">
        <w:rPr>
          <w:b/>
          <w:bCs/>
          <w:sz w:val="24"/>
          <w:szCs w:val="24"/>
          <w:lang w:val="en-IN" w:eastAsia="en-IN" w:bidi="hi-IN"/>
        </w:rPr>
        <w:t>Sharp Acceleration (2015–2016)</w:t>
      </w:r>
      <w:r w:rsidRPr="007B1072">
        <w:rPr>
          <w:sz w:val="24"/>
          <w:szCs w:val="24"/>
          <w:lang w:val="en-IN" w:eastAsia="en-IN" w:bidi="hi-IN"/>
        </w:rPr>
        <w:t>:</w:t>
      </w:r>
    </w:p>
    <w:p w:rsidR="004005B1" w:rsidRPr="007B1072" w:rsidRDefault="004005B1" w:rsidP="003E3FFD">
      <w:pPr>
        <w:widowControl/>
        <w:numPr>
          <w:ilvl w:val="0"/>
          <w:numId w:val="17"/>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From 2014 to 2016, the Gross NPA surged significantly, reaching </w:t>
      </w:r>
      <w:r w:rsidRPr="007B1072">
        <w:rPr>
          <w:b/>
          <w:bCs/>
          <w:sz w:val="24"/>
          <w:szCs w:val="24"/>
          <w:lang w:val="en-IN" w:eastAsia="en-IN" w:bidi="hi-IN"/>
        </w:rPr>
        <w:t>over 12.5%</w:t>
      </w:r>
      <w:r w:rsidRPr="007B1072">
        <w:rPr>
          <w:sz w:val="24"/>
          <w:szCs w:val="24"/>
          <w:lang w:val="en-IN" w:eastAsia="en-IN" w:bidi="hi-IN"/>
        </w:rPr>
        <w:t>.</w:t>
      </w:r>
    </w:p>
    <w:p w:rsidR="004005B1" w:rsidRPr="007B1072" w:rsidRDefault="004005B1" w:rsidP="003E3FFD">
      <w:pPr>
        <w:widowControl/>
        <w:numPr>
          <w:ilvl w:val="0"/>
          <w:numId w:val="17"/>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corresponds to the RBI's Asset Quality Review (AQR) initiated in 2015–16, which forced banks to disclose and recognize hidden NPAs. The sharp rise reflects more transparent classification of bad loans rather than a sudden increase in defaults.</w:t>
      </w:r>
    </w:p>
    <w:p w:rsidR="004005B1" w:rsidRPr="007B1072" w:rsidRDefault="004005B1" w:rsidP="003E3FFD">
      <w:pPr>
        <w:widowControl/>
        <w:autoSpaceDE/>
        <w:autoSpaceDN/>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Minor Dip and Recovery (2017–2018)</w:t>
      </w:r>
      <w:r w:rsidRPr="007B1072">
        <w:rPr>
          <w:sz w:val="24"/>
          <w:szCs w:val="24"/>
          <w:lang w:val="en-IN" w:eastAsia="en-IN" w:bidi="hi-IN"/>
        </w:rPr>
        <w:t>:</w:t>
      </w:r>
    </w:p>
    <w:p w:rsidR="004005B1" w:rsidRPr="007B1072" w:rsidRDefault="004005B1" w:rsidP="003E3FFD">
      <w:pPr>
        <w:widowControl/>
        <w:numPr>
          <w:ilvl w:val="0"/>
          <w:numId w:val="18"/>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In 2017, Gross NPA dropped slightly, likely due to recoveries, write-offs, or restructuring.</w:t>
      </w:r>
    </w:p>
    <w:p w:rsidR="004005B1" w:rsidRPr="007B1072" w:rsidRDefault="004005B1" w:rsidP="003E3FFD">
      <w:pPr>
        <w:widowControl/>
        <w:numPr>
          <w:ilvl w:val="0"/>
          <w:numId w:val="18"/>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However, in </w:t>
      </w:r>
      <w:r w:rsidRPr="007B1072">
        <w:rPr>
          <w:b/>
          <w:bCs/>
          <w:sz w:val="24"/>
          <w:szCs w:val="24"/>
          <w:lang w:val="en-IN" w:eastAsia="en-IN" w:bidi="hi-IN"/>
        </w:rPr>
        <w:t>2018</w:t>
      </w:r>
      <w:r w:rsidRPr="007B1072">
        <w:rPr>
          <w:sz w:val="24"/>
          <w:szCs w:val="24"/>
          <w:lang w:val="en-IN" w:eastAsia="en-IN" w:bidi="hi-IN"/>
        </w:rPr>
        <w:t xml:space="preserve">, it </w:t>
      </w:r>
      <w:r w:rsidRPr="007B1072">
        <w:rPr>
          <w:b/>
          <w:bCs/>
          <w:sz w:val="24"/>
          <w:szCs w:val="24"/>
          <w:lang w:val="en-IN" w:eastAsia="en-IN" w:bidi="hi-IN"/>
        </w:rPr>
        <w:t>peaked at its highest level</w:t>
      </w:r>
      <w:r w:rsidRPr="007B1072">
        <w:rPr>
          <w:sz w:val="24"/>
          <w:szCs w:val="24"/>
          <w:lang w:val="en-IN" w:eastAsia="en-IN" w:bidi="hi-IN"/>
        </w:rPr>
        <w:t xml:space="preserve">, close to </w:t>
      </w:r>
      <w:r w:rsidRPr="007B1072">
        <w:rPr>
          <w:b/>
          <w:bCs/>
          <w:sz w:val="24"/>
          <w:szCs w:val="24"/>
          <w:lang w:val="en-IN" w:eastAsia="en-IN" w:bidi="hi-IN"/>
        </w:rPr>
        <w:t>18.38%</w:t>
      </w:r>
      <w:r w:rsidRPr="007B1072">
        <w:rPr>
          <w:sz w:val="24"/>
          <w:szCs w:val="24"/>
          <w:lang w:val="en-IN" w:eastAsia="en-IN" w:bidi="hi-IN"/>
        </w:rPr>
        <w:t>, indicating continued deterioration in asset quality, possibly from legacy loans and new defaults in high-risk sectors.</w:t>
      </w:r>
    </w:p>
    <w:p w:rsidR="004005B1" w:rsidRPr="007B1072" w:rsidRDefault="004005B1" w:rsidP="003E3FFD">
      <w:pPr>
        <w:widowControl/>
        <w:autoSpaceDE/>
        <w:autoSpaceDN/>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lastRenderedPageBreak/>
        <w:t>Slight Improvement (2019)</w:t>
      </w:r>
      <w:r w:rsidRPr="007B1072">
        <w:rPr>
          <w:sz w:val="24"/>
          <w:szCs w:val="24"/>
          <w:lang w:val="en-IN" w:eastAsia="en-IN" w:bidi="hi-IN"/>
        </w:rPr>
        <w:t>:</w:t>
      </w:r>
    </w:p>
    <w:p w:rsidR="004005B1" w:rsidRPr="007B1072" w:rsidRDefault="004005B1" w:rsidP="003E3FFD">
      <w:pPr>
        <w:widowControl/>
        <w:numPr>
          <w:ilvl w:val="0"/>
          <w:numId w:val="19"/>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By 2019, Gross NPA reduced marginally, indicating initial positive outcomes from the implementation of the </w:t>
      </w:r>
      <w:r w:rsidRPr="007B1072">
        <w:rPr>
          <w:b/>
          <w:bCs/>
          <w:sz w:val="24"/>
          <w:szCs w:val="24"/>
          <w:lang w:val="en-IN" w:eastAsia="en-IN" w:bidi="hi-IN"/>
        </w:rPr>
        <w:t>Insolvency and Bankruptcy Code (IBC)</w:t>
      </w:r>
      <w:r w:rsidRPr="007B1072">
        <w:rPr>
          <w:sz w:val="24"/>
          <w:szCs w:val="24"/>
          <w:lang w:val="en-IN" w:eastAsia="en-IN" w:bidi="hi-IN"/>
        </w:rPr>
        <w:t>, improved recovery mechanisms, and stricter internal controls.</w:t>
      </w:r>
    </w:p>
    <w:p w:rsidR="004005B1" w:rsidRPr="007B1072" w:rsidRDefault="004005B1" w:rsidP="003E3FFD">
      <w:pPr>
        <w:spacing w:line="360" w:lineRule="auto"/>
        <w:jc w:val="both"/>
        <w:rPr>
          <w:sz w:val="24"/>
          <w:szCs w:val="24"/>
        </w:rPr>
      </w:pPr>
      <w:r w:rsidRPr="007B1072">
        <w:rPr>
          <w:sz w:val="24"/>
          <w:szCs w:val="24"/>
        </w:rPr>
        <w:t>The Gross NPA trend reveals that PNB faced a substantial and systemic challenge in managing its asset quality, especially between 2015 and 2018. The data suggests that asset quality issues were building up quietly before being formally recognized post-AQR. Although there was a slight improvement in 2019, the NPA levels remained elevated, emphasizing the need for ongoing reforms and stronger governance.</w:t>
      </w:r>
    </w:p>
    <w:p w:rsidR="00F3635D" w:rsidRPr="007B1072" w:rsidRDefault="00F3635D" w:rsidP="003E3FFD">
      <w:pPr>
        <w:spacing w:line="360" w:lineRule="auto"/>
        <w:jc w:val="both"/>
        <w:rPr>
          <w:sz w:val="24"/>
          <w:szCs w:val="24"/>
        </w:rPr>
      </w:pPr>
    </w:p>
    <w:p w:rsidR="00EC143C" w:rsidRDefault="00EC143C" w:rsidP="00EC143C">
      <w:pPr>
        <w:pStyle w:val="Caption"/>
        <w:keepNext/>
      </w:pPr>
      <w:r>
        <w:t xml:space="preserve">Table </w:t>
      </w:r>
      <w:r w:rsidR="00212217">
        <w:fldChar w:fldCharType="begin"/>
      </w:r>
      <w:r w:rsidR="00212217">
        <w:instrText xml:space="preserve"> SEQ Table \* ARABIC </w:instrText>
      </w:r>
      <w:r w:rsidR="00212217">
        <w:fldChar w:fldCharType="separate"/>
      </w:r>
      <w:r>
        <w:rPr>
          <w:noProof/>
        </w:rPr>
        <w:t>3</w:t>
      </w:r>
      <w:r w:rsidR="00212217">
        <w:rPr>
          <w:noProof/>
        </w:rPr>
        <w:fldChar w:fldCharType="end"/>
      </w:r>
      <w:r>
        <w:t>: Net NPA</w:t>
      </w:r>
    </w:p>
    <w:tbl>
      <w:tblPr>
        <w:tblStyle w:val="LightShading-Accent1"/>
        <w:tblW w:w="0" w:type="auto"/>
        <w:tblLook w:val="04A0" w:firstRow="1" w:lastRow="0" w:firstColumn="1" w:lastColumn="0" w:noHBand="0" w:noVBand="1"/>
      </w:tblPr>
      <w:tblGrid>
        <w:gridCol w:w="4320"/>
        <w:gridCol w:w="4320"/>
      </w:tblGrid>
      <w:tr w:rsidR="00EC143C" w:rsidTr="00EC14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Financial Year</w:t>
            </w:r>
          </w:p>
        </w:tc>
        <w:tc>
          <w:tcPr>
            <w:tcW w:w="4320" w:type="dxa"/>
          </w:tcPr>
          <w:p w:rsidR="00EC143C" w:rsidRDefault="00EC143C" w:rsidP="00B73A71">
            <w:pPr>
              <w:cnfStyle w:val="100000000000" w:firstRow="1" w:lastRow="0" w:firstColumn="0" w:lastColumn="0" w:oddVBand="0" w:evenVBand="0" w:oddHBand="0" w:evenHBand="0" w:firstRowFirstColumn="0" w:firstRowLastColumn="0" w:lastRowFirstColumn="0" w:lastRowLastColumn="0"/>
            </w:pPr>
            <w:r>
              <w:t>Net NPA (%)</w:t>
            </w:r>
          </w:p>
        </w:tc>
      </w:tr>
      <w:tr w:rsidR="00EC143C" w:rsidTr="00EC1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2010</w:t>
            </w:r>
          </w:p>
        </w:tc>
        <w:tc>
          <w:tcPr>
            <w:tcW w:w="4320" w:type="dxa"/>
          </w:tcPr>
          <w:p w:rsidR="00EC143C" w:rsidRDefault="00EC143C" w:rsidP="00B73A71">
            <w:pPr>
              <w:cnfStyle w:val="000000100000" w:firstRow="0" w:lastRow="0" w:firstColumn="0" w:lastColumn="0" w:oddVBand="0" w:evenVBand="0" w:oddHBand="1" w:evenHBand="0" w:firstRowFirstColumn="0" w:firstRowLastColumn="0" w:lastRowFirstColumn="0" w:lastRowLastColumn="0"/>
            </w:pPr>
            <w:r>
              <w:t>0.53</w:t>
            </w:r>
          </w:p>
        </w:tc>
      </w:tr>
      <w:tr w:rsidR="00EC143C" w:rsidTr="00EC143C">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2011</w:t>
            </w:r>
          </w:p>
        </w:tc>
        <w:tc>
          <w:tcPr>
            <w:tcW w:w="4320" w:type="dxa"/>
          </w:tcPr>
          <w:p w:rsidR="00EC143C" w:rsidRDefault="00EC143C" w:rsidP="00B73A71">
            <w:pPr>
              <w:cnfStyle w:val="000000000000" w:firstRow="0" w:lastRow="0" w:firstColumn="0" w:lastColumn="0" w:oddVBand="0" w:evenVBand="0" w:oddHBand="0" w:evenHBand="0" w:firstRowFirstColumn="0" w:firstRowLastColumn="0" w:lastRowFirstColumn="0" w:lastRowLastColumn="0"/>
            </w:pPr>
            <w:r>
              <w:t>0.85</w:t>
            </w:r>
          </w:p>
        </w:tc>
      </w:tr>
      <w:tr w:rsidR="00EC143C" w:rsidTr="00EC1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2012</w:t>
            </w:r>
          </w:p>
        </w:tc>
        <w:tc>
          <w:tcPr>
            <w:tcW w:w="4320" w:type="dxa"/>
          </w:tcPr>
          <w:p w:rsidR="00EC143C" w:rsidRDefault="00EC143C" w:rsidP="00B73A71">
            <w:pPr>
              <w:cnfStyle w:val="000000100000" w:firstRow="0" w:lastRow="0" w:firstColumn="0" w:lastColumn="0" w:oddVBand="0" w:evenVBand="0" w:oddHBand="1" w:evenHBand="0" w:firstRowFirstColumn="0" w:firstRowLastColumn="0" w:lastRowFirstColumn="0" w:lastRowLastColumn="0"/>
            </w:pPr>
            <w:r>
              <w:t>1.62</w:t>
            </w:r>
          </w:p>
        </w:tc>
      </w:tr>
      <w:tr w:rsidR="00EC143C" w:rsidTr="00EC143C">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2013</w:t>
            </w:r>
          </w:p>
        </w:tc>
        <w:tc>
          <w:tcPr>
            <w:tcW w:w="4320" w:type="dxa"/>
          </w:tcPr>
          <w:p w:rsidR="00EC143C" w:rsidRDefault="00EC143C" w:rsidP="00B73A71">
            <w:pPr>
              <w:cnfStyle w:val="000000000000" w:firstRow="0" w:lastRow="0" w:firstColumn="0" w:lastColumn="0" w:oddVBand="0" w:evenVBand="0" w:oddHBand="0" w:evenHBand="0" w:firstRowFirstColumn="0" w:firstRowLastColumn="0" w:lastRowFirstColumn="0" w:lastRowLastColumn="0"/>
            </w:pPr>
            <w:r>
              <w:t>2.38</w:t>
            </w:r>
          </w:p>
        </w:tc>
      </w:tr>
      <w:tr w:rsidR="00EC143C" w:rsidTr="00EC1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2014</w:t>
            </w:r>
          </w:p>
        </w:tc>
        <w:tc>
          <w:tcPr>
            <w:tcW w:w="4320" w:type="dxa"/>
          </w:tcPr>
          <w:p w:rsidR="00EC143C" w:rsidRDefault="00EC143C" w:rsidP="00B73A71">
            <w:pPr>
              <w:cnfStyle w:val="000000100000" w:firstRow="0" w:lastRow="0" w:firstColumn="0" w:lastColumn="0" w:oddVBand="0" w:evenVBand="0" w:oddHBand="1" w:evenHBand="0" w:firstRowFirstColumn="0" w:firstRowLastColumn="0" w:lastRowFirstColumn="0" w:lastRowLastColumn="0"/>
            </w:pPr>
            <w:r>
              <w:t>3.27</w:t>
            </w:r>
          </w:p>
        </w:tc>
      </w:tr>
      <w:tr w:rsidR="00EC143C" w:rsidTr="00EC143C">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2015</w:t>
            </w:r>
          </w:p>
        </w:tc>
        <w:tc>
          <w:tcPr>
            <w:tcW w:w="4320" w:type="dxa"/>
          </w:tcPr>
          <w:p w:rsidR="00EC143C" w:rsidRDefault="00EC143C" w:rsidP="00B73A71">
            <w:pPr>
              <w:cnfStyle w:val="000000000000" w:firstRow="0" w:lastRow="0" w:firstColumn="0" w:lastColumn="0" w:oddVBand="0" w:evenVBand="0" w:oddHBand="0" w:evenHBand="0" w:firstRowFirstColumn="0" w:firstRowLastColumn="0" w:lastRowFirstColumn="0" w:lastRowLastColumn="0"/>
            </w:pPr>
            <w:r>
              <w:t>4.48</w:t>
            </w:r>
          </w:p>
        </w:tc>
      </w:tr>
      <w:tr w:rsidR="00EC143C" w:rsidTr="00EC1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2016</w:t>
            </w:r>
          </w:p>
        </w:tc>
        <w:tc>
          <w:tcPr>
            <w:tcW w:w="4320" w:type="dxa"/>
          </w:tcPr>
          <w:p w:rsidR="00EC143C" w:rsidRDefault="00EC143C" w:rsidP="00B73A71">
            <w:pPr>
              <w:cnfStyle w:val="000000100000" w:firstRow="0" w:lastRow="0" w:firstColumn="0" w:lastColumn="0" w:oddVBand="0" w:evenVBand="0" w:oddHBand="1" w:evenHBand="0" w:firstRowFirstColumn="0" w:firstRowLastColumn="0" w:lastRowFirstColumn="0" w:lastRowLastColumn="0"/>
            </w:pPr>
            <w:r>
              <w:t>8.62</w:t>
            </w:r>
          </w:p>
        </w:tc>
      </w:tr>
      <w:tr w:rsidR="00EC143C" w:rsidTr="00EC143C">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2017</w:t>
            </w:r>
          </w:p>
        </w:tc>
        <w:tc>
          <w:tcPr>
            <w:tcW w:w="4320" w:type="dxa"/>
          </w:tcPr>
          <w:p w:rsidR="00EC143C" w:rsidRDefault="00EC143C" w:rsidP="00B73A71">
            <w:pPr>
              <w:cnfStyle w:val="000000000000" w:firstRow="0" w:lastRow="0" w:firstColumn="0" w:lastColumn="0" w:oddVBand="0" w:evenVBand="0" w:oddHBand="0" w:evenHBand="0" w:firstRowFirstColumn="0" w:firstRowLastColumn="0" w:lastRowFirstColumn="0" w:lastRowLastColumn="0"/>
            </w:pPr>
            <w:r>
              <w:t>7.42</w:t>
            </w:r>
          </w:p>
        </w:tc>
      </w:tr>
      <w:tr w:rsidR="00EC143C" w:rsidTr="00EC1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2018</w:t>
            </w:r>
          </w:p>
        </w:tc>
        <w:tc>
          <w:tcPr>
            <w:tcW w:w="4320" w:type="dxa"/>
          </w:tcPr>
          <w:p w:rsidR="00EC143C" w:rsidRDefault="00EC143C" w:rsidP="00B73A71">
            <w:pPr>
              <w:cnfStyle w:val="000000100000" w:firstRow="0" w:lastRow="0" w:firstColumn="0" w:lastColumn="0" w:oddVBand="0" w:evenVBand="0" w:oddHBand="1" w:evenHBand="0" w:firstRowFirstColumn="0" w:firstRowLastColumn="0" w:lastRowFirstColumn="0" w:lastRowLastColumn="0"/>
            </w:pPr>
            <w:r>
              <w:t>11.24</w:t>
            </w:r>
          </w:p>
        </w:tc>
      </w:tr>
      <w:tr w:rsidR="00EC143C" w:rsidTr="00EC143C">
        <w:tc>
          <w:tcPr>
            <w:cnfStyle w:val="001000000000" w:firstRow="0" w:lastRow="0" w:firstColumn="1" w:lastColumn="0" w:oddVBand="0" w:evenVBand="0" w:oddHBand="0" w:evenHBand="0" w:firstRowFirstColumn="0" w:firstRowLastColumn="0" w:lastRowFirstColumn="0" w:lastRowLastColumn="0"/>
            <w:tcW w:w="4320" w:type="dxa"/>
          </w:tcPr>
          <w:p w:rsidR="00EC143C" w:rsidRDefault="00EC143C" w:rsidP="00B73A71">
            <w:r>
              <w:t>2019</w:t>
            </w:r>
          </w:p>
        </w:tc>
        <w:tc>
          <w:tcPr>
            <w:tcW w:w="4320" w:type="dxa"/>
          </w:tcPr>
          <w:p w:rsidR="00EC143C" w:rsidRDefault="00EC143C" w:rsidP="00B73A71">
            <w:pPr>
              <w:cnfStyle w:val="000000000000" w:firstRow="0" w:lastRow="0" w:firstColumn="0" w:lastColumn="0" w:oddVBand="0" w:evenVBand="0" w:oddHBand="0" w:evenHBand="0" w:firstRowFirstColumn="0" w:firstRowLastColumn="0" w:lastRowFirstColumn="0" w:lastRowLastColumn="0"/>
            </w:pPr>
            <w:r>
              <w:t>6.96</w:t>
            </w:r>
          </w:p>
        </w:tc>
      </w:tr>
    </w:tbl>
    <w:p w:rsidR="00F3635D" w:rsidRPr="007B1072" w:rsidRDefault="00F3635D" w:rsidP="003E3FFD">
      <w:pPr>
        <w:spacing w:line="360" w:lineRule="auto"/>
        <w:jc w:val="both"/>
        <w:rPr>
          <w:sz w:val="24"/>
          <w:szCs w:val="24"/>
        </w:rPr>
      </w:pPr>
    </w:p>
    <w:p w:rsidR="00AE471F" w:rsidRPr="007B1072" w:rsidRDefault="00F3635D" w:rsidP="003E3FFD">
      <w:pPr>
        <w:tabs>
          <w:tab w:val="left" w:pos="6086"/>
        </w:tabs>
        <w:spacing w:line="360" w:lineRule="auto"/>
        <w:jc w:val="both"/>
        <w:rPr>
          <w:sz w:val="24"/>
          <w:szCs w:val="24"/>
        </w:rPr>
      </w:pPr>
      <w:r w:rsidRPr="007B1072">
        <w:rPr>
          <w:sz w:val="24"/>
          <w:szCs w:val="24"/>
        </w:rPr>
        <w:tab/>
      </w:r>
    </w:p>
    <w:p w:rsidR="004005B1" w:rsidRDefault="004005B1" w:rsidP="003E3FFD">
      <w:pPr>
        <w:pStyle w:val="Caption"/>
        <w:keepNext/>
        <w:spacing w:line="360" w:lineRule="auto"/>
        <w:jc w:val="both"/>
        <w:rPr>
          <w:noProof/>
          <w:sz w:val="24"/>
          <w:szCs w:val="24"/>
        </w:rPr>
      </w:pPr>
      <w:r w:rsidRPr="007B1072">
        <w:rPr>
          <w:sz w:val="24"/>
          <w:szCs w:val="24"/>
        </w:rPr>
        <w:t xml:space="preserve">Figure </w:t>
      </w:r>
      <w:r w:rsidR="00067D5E" w:rsidRPr="007B1072">
        <w:rPr>
          <w:sz w:val="24"/>
          <w:szCs w:val="24"/>
        </w:rPr>
        <w:fldChar w:fldCharType="begin"/>
      </w:r>
      <w:r w:rsidR="00067D5E" w:rsidRPr="007B1072">
        <w:rPr>
          <w:sz w:val="24"/>
          <w:szCs w:val="24"/>
        </w:rPr>
        <w:instrText xml:space="preserve"> SEQ Figure \* ARABIC </w:instrText>
      </w:r>
      <w:r w:rsidR="00067D5E" w:rsidRPr="007B1072">
        <w:rPr>
          <w:sz w:val="24"/>
          <w:szCs w:val="24"/>
        </w:rPr>
        <w:fldChar w:fldCharType="separate"/>
      </w:r>
      <w:r w:rsidR="00856960" w:rsidRPr="007B1072">
        <w:rPr>
          <w:noProof/>
          <w:sz w:val="24"/>
          <w:szCs w:val="24"/>
        </w:rPr>
        <w:t>3</w:t>
      </w:r>
      <w:r w:rsidR="00067D5E" w:rsidRPr="007B1072">
        <w:rPr>
          <w:noProof/>
          <w:sz w:val="24"/>
          <w:szCs w:val="24"/>
        </w:rPr>
        <w:fldChar w:fldCharType="end"/>
      </w:r>
    </w:p>
    <w:p w:rsidR="00EC143C" w:rsidRPr="00EC143C" w:rsidRDefault="00EC143C" w:rsidP="00EC143C">
      <w:r>
        <w:rPr>
          <w:noProof/>
        </w:rPr>
        <w:drawing>
          <wp:inline distT="0" distB="0" distL="0" distR="0" wp14:anchorId="118338BC" wp14:editId="722435AD">
            <wp:extent cx="5589767" cy="27829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_NPA_Grap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2923" cy="2784528"/>
                    </a:xfrm>
                    <a:prstGeom prst="rect">
                      <a:avLst/>
                    </a:prstGeom>
                  </pic:spPr>
                </pic:pic>
              </a:graphicData>
            </a:graphic>
          </wp:inline>
        </w:drawing>
      </w:r>
    </w:p>
    <w:p w:rsidR="00AE471F" w:rsidRPr="007B1072" w:rsidRDefault="00AE471F" w:rsidP="003E3FFD">
      <w:pPr>
        <w:spacing w:line="360" w:lineRule="auto"/>
        <w:jc w:val="both"/>
        <w:rPr>
          <w:sz w:val="24"/>
          <w:szCs w:val="24"/>
        </w:rPr>
      </w:pPr>
    </w:p>
    <w:p w:rsidR="004005B1" w:rsidRPr="007B1072" w:rsidRDefault="00EC1F9E" w:rsidP="003E3FFD">
      <w:pPr>
        <w:spacing w:before="100" w:beforeAutospacing="1" w:after="100" w:afterAutospacing="1" w:line="360" w:lineRule="auto"/>
        <w:jc w:val="both"/>
        <w:rPr>
          <w:sz w:val="24"/>
          <w:szCs w:val="24"/>
          <w:lang w:val="en-IN" w:eastAsia="en-IN" w:bidi="hi-IN"/>
        </w:rPr>
      </w:pPr>
      <w:r w:rsidRPr="007B1072">
        <w:rPr>
          <w:sz w:val="24"/>
          <w:szCs w:val="24"/>
        </w:rPr>
        <w:t>The figure no-3 shows</w:t>
      </w:r>
      <w:r w:rsidR="004005B1" w:rsidRPr="007B1072">
        <w:rPr>
          <w:sz w:val="24"/>
          <w:szCs w:val="24"/>
        </w:rPr>
        <w:t xml:space="preserve"> the trend of Net NPA, which is based on Gross NPA and its rate of repayment. </w:t>
      </w:r>
      <w:r w:rsidR="004005B1" w:rsidRPr="007B1072">
        <w:rPr>
          <w:sz w:val="24"/>
          <w:szCs w:val="24"/>
        </w:rPr>
        <w:lastRenderedPageBreak/>
        <w:t>It can be divided into phases as under:</w:t>
      </w:r>
    </w:p>
    <w:p w:rsidR="004005B1" w:rsidRPr="007B1072" w:rsidRDefault="004005B1" w:rsidP="003E3FFD">
      <w:pPr>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Steady Increase (2010–2015)</w:t>
      </w:r>
      <w:r w:rsidRPr="007B1072">
        <w:rPr>
          <w:sz w:val="24"/>
          <w:szCs w:val="24"/>
          <w:lang w:val="en-IN" w:eastAsia="en-IN" w:bidi="hi-IN"/>
        </w:rPr>
        <w:t>:</w:t>
      </w:r>
    </w:p>
    <w:p w:rsidR="004005B1" w:rsidRPr="007B1072" w:rsidRDefault="004005B1" w:rsidP="003E3FFD">
      <w:pPr>
        <w:widowControl/>
        <w:numPr>
          <w:ilvl w:val="0"/>
          <w:numId w:val="12"/>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Net NPA (%) shows a consistent and gradual increase from </w:t>
      </w:r>
      <w:r w:rsidRPr="007B1072">
        <w:rPr>
          <w:b/>
          <w:bCs/>
          <w:sz w:val="24"/>
          <w:szCs w:val="24"/>
          <w:lang w:val="en-IN" w:eastAsia="en-IN" w:bidi="hi-IN"/>
        </w:rPr>
        <w:t>0.53% in 2010</w:t>
      </w:r>
      <w:r w:rsidRPr="007B1072">
        <w:rPr>
          <w:sz w:val="24"/>
          <w:szCs w:val="24"/>
          <w:lang w:val="en-IN" w:eastAsia="en-IN" w:bidi="hi-IN"/>
        </w:rPr>
        <w:t xml:space="preserve"> to </w:t>
      </w:r>
      <w:r w:rsidRPr="007B1072">
        <w:rPr>
          <w:b/>
          <w:bCs/>
          <w:sz w:val="24"/>
          <w:szCs w:val="24"/>
          <w:lang w:val="en-IN" w:eastAsia="en-IN" w:bidi="hi-IN"/>
        </w:rPr>
        <w:t>approximately 4.0% in 2015</w:t>
      </w:r>
      <w:r w:rsidRPr="007B1072">
        <w:rPr>
          <w:sz w:val="24"/>
          <w:szCs w:val="24"/>
          <w:lang w:val="en-IN" w:eastAsia="en-IN" w:bidi="hi-IN"/>
        </w:rPr>
        <w:t>.</w:t>
      </w:r>
    </w:p>
    <w:p w:rsidR="004005B1" w:rsidRPr="007B1072" w:rsidRDefault="004005B1" w:rsidP="003E3FFD">
      <w:pPr>
        <w:widowControl/>
        <w:numPr>
          <w:ilvl w:val="0"/>
          <w:numId w:val="12"/>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period likely reflects accumulating bad loans over time, perhaps due to relaxed lending norms or inadequate risk monitoring, particularly during the post-recession economic expansion.</w:t>
      </w:r>
    </w:p>
    <w:p w:rsidR="004005B1" w:rsidRPr="007B1072" w:rsidRDefault="004005B1" w:rsidP="003E3FFD">
      <w:pPr>
        <w:widowControl/>
        <w:autoSpaceDE/>
        <w:autoSpaceDN/>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Sharp Rise (2015–2016)</w:t>
      </w:r>
      <w:r w:rsidRPr="007B1072">
        <w:rPr>
          <w:sz w:val="24"/>
          <w:szCs w:val="24"/>
          <w:lang w:val="en-IN" w:eastAsia="en-IN" w:bidi="hi-IN"/>
        </w:rPr>
        <w:t>:</w:t>
      </w:r>
    </w:p>
    <w:p w:rsidR="004005B1" w:rsidRPr="007B1072" w:rsidRDefault="004005B1" w:rsidP="003E3FFD">
      <w:pPr>
        <w:widowControl/>
        <w:numPr>
          <w:ilvl w:val="0"/>
          <w:numId w:val="13"/>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Between 2015 and 2016, there is a </w:t>
      </w:r>
      <w:r w:rsidRPr="007B1072">
        <w:rPr>
          <w:b/>
          <w:bCs/>
          <w:sz w:val="24"/>
          <w:szCs w:val="24"/>
          <w:lang w:val="en-IN" w:eastAsia="en-IN" w:bidi="hi-IN"/>
        </w:rPr>
        <w:t>steep spike in Net NPA</w:t>
      </w:r>
      <w:r w:rsidRPr="007B1072">
        <w:rPr>
          <w:sz w:val="24"/>
          <w:szCs w:val="24"/>
          <w:lang w:val="en-IN" w:eastAsia="en-IN" w:bidi="hi-IN"/>
        </w:rPr>
        <w:t xml:space="preserve">, rising to </w:t>
      </w:r>
      <w:r w:rsidRPr="007B1072">
        <w:rPr>
          <w:b/>
          <w:bCs/>
          <w:sz w:val="24"/>
          <w:szCs w:val="24"/>
          <w:lang w:val="en-IN" w:eastAsia="en-IN" w:bidi="hi-IN"/>
        </w:rPr>
        <w:t>around 8.6%</w:t>
      </w:r>
      <w:r w:rsidRPr="007B1072">
        <w:rPr>
          <w:sz w:val="24"/>
          <w:szCs w:val="24"/>
          <w:lang w:val="en-IN" w:eastAsia="en-IN" w:bidi="hi-IN"/>
        </w:rPr>
        <w:t>, indicating a phase of significant deterioration in asset quality.</w:t>
      </w:r>
    </w:p>
    <w:p w:rsidR="004005B1" w:rsidRPr="007B1072" w:rsidRDefault="004005B1" w:rsidP="003E3FFD">
      <w:pPr>
        <w:widowControl/>
        <w:numPr>
          <w:ilvl w:val="0"/>
          <w:numId w:val="13"/>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corresponds to the period when the Reserve Bank of India (RBI) mandated stricter recognition of stressed assets, forcing banks to classify more loans as NPAs under Asset Quality Review (AQR).</w:t>
      </w:r>
    </w:p>
    <w:p w:rsidR="004005B1" w:rsidRPr="007B1072" w:rsidRDefault="004005B1" w:rsidP="003E3FFD">
      <w:pPr>
        <w:widowControl/>
        <w:autoSpaceDE/>
        <w:autoSpaceDN/>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Fluctuations and Peak (2016–2018)</w:t>
      </w:r>
      <w:r w:rsidRPr="007B1072">
        <w:rPr>
          <w:sz w:val="24"/>
          <w:szCs w:val="24"/>
          <w:lang w:val="en-IN" w:eastAsia="en-IN" w:bidi="hi-IN"/>
        </w:rPr>
        <w:t>:</w:t>
      </w:r>
    </w:p>
    <w:p w:rsidR="004005B1" w:rsidRPr="007B1072" w:rsidRDefault="004005B1" w:rsidP="003E3FFD">
      <w:pPr>
        <w:widowControl/>
        <w:numPr>
          <w:ilvl w:val="0"/>
          <w:numId w:val="14"/>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In 2017, there’s a slight decline in Net NPA, but this is short-lived as it again </w:t>
      </w:r>
      <w:r w:rsidRPr="007B1072">
        <w:rPr>
          <w:b/>
          <w:bCs/>
          <w:sz w:val="24"/>
          <w:szCs w:val="24"/>
          <w:lang w:val="en-IN" w:eastAsia="en-IN" w:bidi="hi-IN"/>
        </w:rPr>
        <w:t>peaks in 2018 at around 11.24%</w:t>
      </w:r>
      <w:r w:rsidRPr="007B1072">
        <w:rPr>
          <w:sz w:val="24"/>
          <w:szCs w:val="24"/>
          <w:lang w:val="en-IN" w:eastAsia="en-IN" w:bidi="hi-IN"/>
        </w:rPr>
        <w:t>—the highest in the decade.</w:t>
      </w:r>
    </w:p>
    <w:p w:rsidR="004005B1" w:rsidRPr="007B1072" w:rsidRDefault="004005B1" w:rsidP="003E3FFD">
      <w:pPr>
        <w:widowControl/>
        <w:numPr>
          <w:ilvl w:val="0"/>
          <w:numId w:val="14"/>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peak may reflect delayed recognition of losses, increased provisioning, or major defaults and fraud cases during that time.</w:t>
      </w:r>
    </w:p>
    <w:p w:rsidR="004005B1" w:rsidRPr="007B1072" w:rsidRDefault="004005B1" w:rsidP="003E3FFD">
      <w:pPr>
        <w:widowControl/>
        <w:autoSpaceDE/>
        <w:autoSpaceDN/>
        <w:spacing w:before="100" w:beforeAutospacing="1" w:after="100" w:afterAutospacing="1" w:line="360" w:lineRule="auto"/>
        <w:jc w:val="both"/>
        <w:rPr>
          <w:sz w:val="24"/>
          <w:szCs w:val="24"/>
          <w:lang w:val="en-IN" w:eastAsia="en-IN" w:bidi="hi-IN"/>
        </w:rPr>
      </w:pPr>
      <w:r w:rsidRPr="007B1072">
        <w:rPr>
          <w:b/>
          <w:bCs/>
          <w:sz w:val="24"/>
          <w:szCs w:val="24"/>
          <w:lang w:val="en-IN" w:eastAsia="en-IN" w:bidi="hi-IN"/>
        </w:rPr>
        <w:t>Decline (2018–2019)</w:t>
      </w:r>
      <w:r w:rsidRPr="007B1072">
        <w:rPr>
          <w:sz w:val="24"/>
          <w:szCs w:val="24"/>
          <w:lang w:val="en-IN" w:eastAsia="en-IN" w:bidi="hi-IN"/>
        </w:rPr>
        <w:t>:</w:t>
      </w:r>
    </w:p>
    <w:p w:rsidR="004005B1" w:rsidRPr="007B1072" w:rsidRDefault="004005B1" w:rsidP="003E3FFD">
      <w:pPr>
        <w:widowControl/>
        <w:numPr>
          <w:ilvl w:val="0"/>
          <w:numId w:val="15"/>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 xml:space="preserve">There’s a </w:t>
      </w:r>
      <w:r w:rsidRPr="007B1072">
        <w:rPr>
          <w:b/>
          <w:bCs/>
          <w:sz w:val="24"/>
          <w:szCs w:val="24"/>
          <w:lang w:val="en-IN" w:eastAsia="en-IN" w:bidi="hi-IN"/>
        </w:rPr>
        <w:t>significant drop in Net NPA to around 7% in 2019</w:t>
      </w:r>
      <w:r w:rsidRPr="007B1072">
        <w:rPr>
          <w:sz w:val="24"/>
          <w:szCs w:val="24"/>
          <w:lang w:val="en-IN" w:eastAsia="en-IN" w:bidi="hi-IN"/>
        </w:rPr>
        <w:t>.</w:t>
      </w:r>
    </w:p>
    <w:p w:rsidR="004005B1" w:rsidRPr="007B1072" w:rsidRDefault="004005B1" w:rsidP="003E3FFD">
      <w:pPr>
        <w:widowControl/>
        <w:numPr>
          <w:ilvl w:val="0"/>
          <w:numId w:val="15"/>
        </w:numPr>
        <w:autoSpaceDE/>
        <w:autoSpaceDN/>
        <w:spacing w:before="100" w:beforeAutospacing="1" w:after="100" w:afterAutospacing="1" w:line="360" w:lineRule="auto"/>
        <w:jc w:val="both"/>
        <w:rPr>
          <w:sz w:val="24"/>
          <w:szCs w:val="24"/>
          <w:lang w:val="en-IN" w:eastAsia="en-IN" w:bidi="hi-IN"/>
        </w:rPr>
      </w:pPr>
      <w:r w:rsidRPr="007B1072">
        <w:rPr>
          <w:sz w:val="24"/>
          <w:szCs w:val="24"/>
          <w:lang w:val="en-IN" w:eastAsia="en-IN" w:bidi="hi-IN"/>
        </w:rPr>
        <w:t>This decline suggests the positive impact of resolution mechanisms such as the Insolvency and Bankruptcy Code (IBC), improved recovery efforts, and tighter credit appraisal processes.</w:t>
      </w:r>
    </w:p>
    <w:p w:rsidR="00AE471F" w:rsidRPr="007B1072" w:rsidRDefault="004005B1" w:rsidP="003E3FFD">
      <w:pPr>
        <w:spacing w:line="360" w:lineRule="auto"/>
        <w:jc w:val="both"/>
        <w:rPr>
          <w:sz w:val="24"/>
          <w:szCs w:val="24"/>
        </w:rPr>
      </w:pPr>
      <w:r w:rsidRPr="007B1072">
        <w:rPr>
          <w:sz w:val="24"/>
          <w:szCs w:val="24"/>
        </w:rPr>
        <w:t>The figure indicates that Net NPAs were relatively low in the early part of the decade but escalated sharply post-2015 due to stricter regulations and the uncovering of bad loans. The highest distress was in 2018, after which efforts to clean up the balance sheet began showing results by 2019. This trend is critical for understanding both the magnitude of the NPA problem and the impact of reform measures.</w:t>
      </w:r>
    </w:p>
    <w:p w:rsidR="00AE471F" w:rsidRPr="007B1072" w:rsidRDefault="00AE471F" w:rsidP="003E3FFD">
      <w:pPr>
        <w:spacing w:line="360" w:lineRule="auto"/>
        <w:jc w:val="both"/>
        <w:rPr>
          <w:b/>
          <w:bCs/>
          <w:sz w:val="24"/>
          <w:szCs w:val="24"/>
        </w:rPr>
      </w:pPr>
    </w:p>
    <w:p w:rsidR="00AE471F" w:rsidRPr="007B1072" w:rsidRDefault="00771CDC" w:rsidP="003E3FFD">
      <w:pPr>
        <w:spacing w:line="360" w:lineRule="auto"/>
        <w:jc w:val="both"/>
        <w:rPr>
          <w:b/>
          <w:bCs/>
          <w:sz w:val="24"/>
          <w:szCs w:val="24"/>
        </w:rPr>
      </w:pPr>
      <w:r w:rsidRPr="007B1072">
        <w:rPr>
          <w:b/>
          <w:bCs/>
          <w:sz w:val="24"/>
          <w:szCs w:val="24"/>
        </w:rPr>
        <w:t xml:space="preserve">Table </w:t>
      </w:r>
      <w:r w:rsidRPr="007B1072">
        <w:rPr>
          <w:b/>
          <w:bCs/>
          <w:sz w:val="24"/>
          <w:szCs w:val="24"/>
        </w:rPr>
        <w:fldChar w:fldCharType="begin"/>
      </w:r>
      <w:r w:rsidRPr="007B1072">
        <w:rPr>
          <w:b/>
          <w:bCs/>
          <w:sz w:val="24"/>
          <w:szCs w:val="24"/>
        </w:rPr>
        <w:instrText xml:space="preserve"> SEQ Table \* ARABIC </w:instrText>
      </w:r>
      <w:r w:rsidRPr="007B1072">
        <w:rPr>
          <w:b/>
          <w:bCs/>
          <w:sz w:val="24"/>
          <w:szCs w:val="24"/>
        </w:rPr>
        <w:fldChar w:fldCharType="separate"/>
      </w:r>
      <w:r w:rsidR="00EC143C">
        <w:rPr>
          <w:b/>
          <w:bCs/>
          <w:noProof/>
          <w:sz w:val="24"/>
          <w:szCs w:val="24"/>
        </w:rPr>
        <w:t>4</w:t>
      </w:r>
      <w:r w:rsidRPr="007B1072">
        <w:rPr>
          <w:b/>
          <w:bCs/>
          <w:sz w:val="24"/>
          <w:szCs w:val="24"/>
        </w:rPr>
        <w:fldChar w:fldCharType="end"/>
      </w:r>
      <w:r w:rsidRPr="007B1072">
        <w:rPr>
          <w:b/>
          <w:bCs/>
          <w:sz w:val="24"/>
          <w:szCs w:val="24"/>
        </w:rPr>
        <w:t xml:space="preserve">: Correlation </w:t>
      </w: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85"/>
        <w:gridCol w:w="2604"/>
        <w:gridCol w:w="1901"/>
        <w:gridCol w:w="1783"/>
      </w:tblGrid>
      <w:tr w:rsidR="00AE471F" w:rsidRPr="007B1072">
        <w:trPr>
          <w:trHeight w:val="1414"/>
        </w:trPr>
        <w:tc>
          <w:tcPr>
            <w:tcW w:w="5489" w:type="dxa"/>
            <w:gridSpan w:val="2"/>
          </w:tcPr>
          <w:p w:rsidR="00AE471F" w:rsidRPr="007B1072" w:rsidRDefault="00AE471F" w:rsidP="003E3FFD">
            <w:pPr>
              <w:spacing w:line="360" w:lineRule="auto"/>
              <w:jc w:val="both"/>
              <w:rPr>
                <w:sz w:val="24"/>
                <w:szCs w:val="24"/>
              </w:rPr>
            </w:pPr>
          </w:p>
        </w:tc>
        <w:tc>
          <w:tcPr>
            <w:tcW w:w="1901" w:type="dxa"/>
            <w:tcBorders>
              <w:right w:val="single" w:sz="8" w:space="0" w:color="000000"/>
            </w:tcBorders>
          </w:tcPr>
          <w:p w:rsidR="00AE471F" w:rsidRPr="007B1072" w:rsidRDefault="001D0173" w:rsidP="003E3FFD">
            <w:pPr>
              <w:spacing w:line="360" w:lineRule="auto"/>
              <w:jc w:val="both"/>
              <w:rPr>
                <w:sz w:val="24"/>
                <w:szCs w:val="24"/>
              </w:rPr>
            </w:pPr>
            <w:r w:rsidRPr="007B1072">
              <w:rPr>
                <w:sz w:val="24"/>
                <w:szCs w:val="24"/>
              </w:rPr>
              <w:t>Share</w:t>
            </w:r>
            <w:r w:rsidRPr="007B1072">
              <w:rPr>
                <w:sz w:val="24"/>
                <w:szCs w:val="24"/>
              </w:rPr>
              <w:tab/>
              <w:t>Capital (in Crore)</w:t>
            </w:r>
          </w:p>
        </w:tc>
        <w:tc>
          <w:tcPr>
            <w:tcW w:w="1783" w:type="dxa"/>
            <w:tcBorders>
              <w:left w:val="single" w:sz="8" w:space="0" w:color="000000"/>
            </w:tcBorders>
          </w:tcPr>
          <w:p w:rsidR="00AE471F" w:rsidRPr="007B1072" w:rsidRDefault="001D0173" w:rsidP="003E3FFD">
            <w:pPr>
              <w:spacing w:line="360" w:lineRule="auto"/>
              <w:jc w:val="both"/>
              <w:rPr>
                <w:sz w:val="24"/>
                <w:szCs w:val="24"/>
              </w:rPr>
            </w:pPr>
            <w:r w:rsidRPr="007B1072">
              <w:rPr>
                <w:sz w:val="24"/>
                <w:szCs w:val="24"/>
              </w:rPr>
              <w:t>Gross NPA%</w:t>
            </w:r>
          </w:p>
        </w:tc>
      </w:tr>
      <w:tr w:rsidR="00AE471F" w:rsidRPr="007B1072">
        <w:trPr>
          <w:trHeight w:val="651"/>
        </w:trPr>
        <w:tc>
          <w:tcPr>
            <w:tcW w:w="2885" w:type="dxa"/>
            <w:tcBorders>
              <w:bottom w:val="nil"/>
              <w:right w:val="nil"/>
            </w:tcBorders>
          </w:tcPr>
          <w:p w:rsidR="00AE471F" w:rsidRPr="007B1072" w:rsidRDefault="00AE471F" w:rsidP="003E3FFD">
            <w:pPr>
              <w:spacing w:line="360" w:lineRule="auto"/>
              <w:jc w:val="both"/>
              <w:rPr>
                <w:sz w:val="24"/>
                <w:szCs w:val="24"/>
              </w:rPr>
            </w:pPr>
          </w:p>
        </w:tc>
        <w:tc>
          <w:tcPr>
            <w:tcW w:w="2604" w:type="dxa"/>
            <w:tcBorders>
              <w:left w:val="nil"/>
              <w:bottom w:val="nil"/>
            </w:tcBorders>
          </w:tcPr>
          <w:p w:rsidR="00AE471F" w:rsidRPr="007B1072" w:rsidRDefault="001D0173" w:rsidP="003E3FFD">
            <w:pPr>
              <w:spacing w:line="360" w:lineRule="auto"/>
              <w:jc w:val="both"/>
              <w:rPr>
                <w:sz w:val="24"/>
                <w:szCs w:val="24"/>
              </w:rPr>
            </w:pPr>
            <w:r w:rsidRPr="007B1072">
              <w:rPr>
                <w:sz w:val="24"/>
                <w:szCs w:val="24"/>
              </w:rPr>
              <w:t>Pearson Correlation</w:t>
            </w:r>
          </w:p>
        </w:tc>
        <w:tc>
          <w:tcPr>
            <w:tcW w:w="1901" w:type="dxa"/>
            <w:tcBorders>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w:t>
            </w:r>
          </w:p>
        </w:tc>
        <w:tc>
          <w:tcPr>
            <w:tcW w:w="1783" w:type="dxa"/>
            <w:tcBorders>
              <w:left w:val="single" w:sz="8" w:space="0" w:color="000000"/>
              <w:bottom w:val="nil"/>
            </w:tcBorders>
          </w:tcPr>
          <w:p w:rsidR="00AE471F" w:rsidRPr="007B1072" w:rsidRDefault="001D0173" w:rsidP="003E3FFD">
            <w:pPr>
              <w:spacing w:line="360" w:lineRule="auto"/>
              <w:jc w:val="both"/>
              <w:rPr>
                <w:sz w:val="24"/>
                <w:szCs w:val="24"/>
              </w:rPr>
            </w:pPr>
            <w:r w:rsidRPr="007B1072">
              <w:rPr>
                <w:sz w:val="24"/>
                <w:szCs w:val="24"/>
              </w:rPr>
              <w:t>.712*</w:t>
            </w:r>
          </w:p>
        </w:tc>
      </w:tr>
      <w:tr w:rsidR="00AE471F" w:rsidRPr="007B1072">
        <w:trPr>
          <w:trHeight w:val="753"/>
        </w:trPr>
        <w:tc>
          <w:tcPr>
            <w:tcW w:w="2885" w:type="dxa"/>
            <w:tcBorders>
              <w:top w:val="nil"/>
              <w:bottom w:val="nil"/>
              <w:right w:val="nil"/>
            </w:tcBorders>
          </w:tcPr>
          <w:p w:rsidR="00AE471F" w:rsidRPr="007B1072" w:rsidRDefault="001D0173" w:rsidP="003E3FFD">
            <w:pPr>
              <w:spacing w:line="360" w:lineRule="auto"/>
              <w:jc w:val="both"/>
              <w:rPr>
                <w:sz w:val="24"/>
                <w:szCs w:val="24"/>
              </w:rPr>
            </w:pPr>
            <w:r w:rsidRPr="007B1072">
              <w:rPr>
                <w:sz w:val="24"/>
                <w:szCs w:val="24"/>
              </w:rPr>
              <w:t>Share Capital (in Crore)</w:t>
            </w:r>
          </w:p>
        </w:tc>
        <w:tc>
          <w:tcPr>
            <w:tcW w:w="2604" w:type="dxa"/>
            <w:tcBorders>
              <w:top w:val="nil"/>
              <w:left w:val="nil"/>
              <w:bottom w:val="nil"/>
            </w:tcBorders>
          </w:tcPr>
          <w:p w:rsidR="00AE471F" w:rsidRPr="007B1072" w:rsidRDefault="00AE471F" w:rsidP="003E3FFD">
            <w:pPr>
              <w:spacing w:line="360" w:lineRule="auto"/>
              <w:jc w:val="both"/>
              <w:rPr>
                <w:sz w:val="24"/>
                <w:szCs w:val="24"/>
              </w:rPr>
            </w:pPr>
          </w:p>
          <w:p w:rsidR="00AE471F" w:rsidRPr="007B1072" w:rsidRDefault="001D0173" w:rsidP="003E3FFD">
            <w:pPr>
              <w:spacing w:line="360" w:lineRule="auto"/>
              <w:jc w:val="both"/>
              <w:rPr>
                <w:sz w:val="24"/>
                <w:szCs w:val="24"/>
              </w:rPr>
            </w:pPr>
            <w:r w:rsidRPr="007B1072">
              <w:rPr>
                <w:sz w:val="24"/>
                <w:szCs w:val="24"/>
              </w:rPr>
              <w:t>Sig. (2-tailed)</w:t>
            </w:r>
          </w:p>
        </w:tc>
        <w:tc>
          <w:tcPr>
            <w:tcW w:w="1901" w:type="dxa"/>
            <w:tcBorders>
              <w:top w:val="nil"/>
              <w:bottom w:val="nil"/>
              <w:right w:val="single" w:sz="8" w:space="0" w:color="000000"/>
            </w:tcBorders>
          </w:tcPr>
          <w:p w:rsidR="00AE471F" w:rsidRPr="007B1072" w:rsidRDefault="00AE471F" w:rsidP="003E3FFD">
            <w:pPr>
              <w:spacing w:line="360" w:lineRule="auto"/>
              <w:jc w:val="both"/>
              <w:rPr>
                <w:sz w:val="24"/>
                <w:szCs w:val="24"/>
              </w:rPr>
            </w:pPr>
          </w:p>
        </w:tc>
        <w:tc>
          <w:tcPr>
            <w:tcW w:w="1783" w:type="dxa"/>
            <w:tcBorders>
              <w:top w:val="nil"/>
              <w:left w:val="single" w:sz="8" w:space="0" w:color="000000"/>
              <w:bottom w:val="nil"/>
            </w:tcBorders>
          </w:tcPr>
          <w:p w:rsidR="00AE471F" w:rsidRPr="007B1072" w:rsidRDefault="00AE471F" w:rsidP="003E3FFD">
            <w:pPr>
              <w:spacing w:line="360" w:lineRule="auto"/>
              <w:jc w:val="both"/>
              <w:rPr>
                <w:sz w:val="24"/>
                <w:szCs w:val="24"/>
              </w:rPr>
            </w:pPr>
          </w:p>
          <w:p w:rsidR="00AE471F" w:rsidRPr="007B1072" w:rsidRDefault="001D0173" w:rsidP="003E3FFD">
            <w:pPr>
              <w:spacing w:line="360" w:lineRule="auto"/>
              <w:jc w:val="both"/>
              <w:rPr>
                <w:sz w:val="24"/>
                <w:szCs w:val="24"/>
              </w:rPr>
            </w:pPr>
            <w:r w:rsidRPr="007B1072">
              <w:rPr>
                <w:sz w:val="24"/>
                <w:szCs w:val="24"/>
              </w:rPr>
              <w:t>.021</w:t>
            </w:r>
          </w:p>
        </w:tc>
      </w:tr>
      <w:tr w:rsidR="00AE471F" w:rsidRPr="007B1072">
        <w:trPr>
          <w:trHeight w:val="614"/>
        </w:trPr>
        <w:tc>
          <w:tcPr>
            <w:tcW w:w="2885" w:type="dxa"/>
            <w:tcBorders>
              <w:top w:val="nil"/>
              <w:bottom w:val="nil"/>
              <w:right w:val="nil"/>
            </w:tcBorders>
          </w:tcPr>
          <w:p w:rsidR="00AE471F" w:rsidRPr="007B1072" w:rsidRDefault="00AE471F" w:rsidP="003E3FFD">
            <w:pPr>
              <w:spacing w:line="360" w:lineRule="auto"/>
              <w:jc w:val="both"/>
              <w:rPr>
                <w:sz w:val="24"/>
                <w:szCs w:val="24"/>
              </w:rPr>
            </w:pPr>
          </w:p>
        </w:tc>
        <w:tc>
          <w:tcPr>
            <w:tcW w:w="2604" w:type="dxa"/>
            <w:tcBorders>
              <w:top w:val="nil"/>
              <w:left w:val="nil"/>
              <w:bottom w:val="nil"/>
            </w:tcBorders>
          </w:tcPr>
          <w:p w:rsidR="00AE471F" w:rsidRPr="007B1072" w:rsidRDefault="001D0173" w:rsidP="003E3FFD">
            <w:pPr>
              <w:spacing w:line="360" w:lineRule="auto"/>
              <w:jc w:val="both"/>
              <w:rPr>
                <w:sz w:val="24"/>
                <w:szCs w:val="24"/>
              </w:rPr>
            </w:pPr>
            <w:r w:rsidRPr="007B1072">
              <w:rPr>
                <w:sz w:val="24"/>
                <w:szCs w:val="24"/>
              </w:rPr>
              <w:t>N</w:t>
            </w:r>
          </w:p>
        </w:tc>
        <w:tc>
          <w:tcPr>
            <w:tcW w:w="1901" w:type="dxa"/>
            <w:tcBorders>
              <w:top w:val="nil"/>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c>
          <w:tcPr>
            <w:tcW w:w="1783" w:type="dxa"/>
            <w:tcBorders>
              <w:top w:val="nil"/>
              <w:left w:val="single" w:sz="8" w:space="0" w:color="000000"/>
              <w:bottom w:val="nil"/>
            </w:tcBorders>
          </w:tcPr>
          <w:p w:rsidR="00AE471F" w:rsidRPr="007B1072" w:rsidRDefault="001D0173" w:rsidP="003E3FFD">
            <w:pPr>
              <w:spacing w:line="360" w:lineRule="auto"/>
              <w:jc w:val="both"/>
              <w:rPr>
                <w:sz w:val="24"/>
                <w:szCs w:val="24"/>
              </w:rPr>
            </w:pPr>
            <w:r w:rsidRPr="007B1072">
              <w:rPr>
                <w:sz w:val="24"/>
                <w:szCs w:val="24"/>
              </w:rPr>
              <w:t>10</w:t>
            </w:r>
          </w:p>
        </w:tc>
      </w:tr>
      <w:tr w:rsidR="00AE471F" w:rsidRPr="007B1072">
        <w:trPr>
          <w:trHeight w:val="614"/>
        </w:trPr>
        <w:tc>
          <w:tcPr>
            <w:tcW w:w="2885" w:type="dxa"/>
            <w:tcBorders>
              <w:top w:val="nil"/>
              <w:bottom w:val="nil"/>
              <w:right w:val="nil"/>
            </w:tcBorders>
          </w:tcPr>
          <w:p w:rsidR="00AE471F" w:rsidRPr="007B1072" w:rsidRDefault="00AE471F" w:rsidP="003E3FFD">
            <w:pPr>
              <w:spacing w:line="360" w:lineRule="auto"/>
              <w:jc w:val="both"/>
              <w:rPr>
                <w:sz w:val="24"/>
                <w:szCs w:val="24"/>
              </w:rPr>
            </w:pPr>
          </w:p>
        </w:tc>
        <w:tc>
          <w:tcPr>
            <w:tcW w:w="2604" w:type="dxa"/>
            <w:tcBorders>
              <w:top w:val="nil"/>
              <w:left w:val="nil"/>
              <w:bottom w:val="nil"/>
            </w:tcBorders>
          </w:tcPr>
          <w:p w:rsidR="00AE471F" w:rsidRPr="007B1072" w:rsidRDefault="001D0173" w:rsidP="003E3FFD">
            <w:pPr>
              <w:spacing w:line="360" w:lineRule="auto"/>
              <w:jc w:val="both"/>
              <w:rPr>
                <w:sz w:val="24"/>
                <w:szCs w:val="24"/>
              </w:rPr>
            </w:pPr>
            <w:r w:rsidRPr="007B1072">
              <w:rPr>
                <w:sz w:val="24"/>
                <w:szCs w:val="24"/>
              </w:rPr>
              <w:t>Pearson Correlation</w:t>
            </w:r>
          </w:p>
        </w:tc>
        <w:tc>
          <w:tcPr>
            <w:tcW w:w="1901" w:type="dxa"/>
            <w:tcBorders>
              <w:top w:val="nil"/>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.712*</w:t>
            </w:r>
          </w:p>
        </w:tc>
        <w:tc>
          <w:tcPr>
            <w:tcW w:w="1783" w:type="dxa"/>
            <w:tcBorders>
              <w:top w:val="nil"/>
              <w:left w:val="single" w:sz="8" w:space="0" w:color="000000"/>
              <w:bottom w:val="nil"/>
            </w:tcBorders>
          </w:tcPr>
          <w:p w:rsidR="00AE471F" w:rsidRPr="007B1072" w:rsidRDefault="001D0173" w:rsidP="003E3FFD">
            <w:pPr>
              <w:spacing w:line="360" w:lineRule="auto"/>
              <w:jc w:val="both"/>
              <w:rPr>
                <w:sz w:val="24"/>
                <w:szCs w:val="24"/>
              </w:rPr>
            </w:pPr>
            <w:r w:rsidRPr="007B1072">
              <w:rPr>
                <w:sz w:val="24"/>
                <w:szCs w:val="24"/>
              </w:rPr>
              <w:t>1</w:t>
            </w:r>
          </w:p>
        </w:tc>
      </w:tr>
      <w:tr w:rsidR="00AE471F" w:rsidRPr="007B1072">
        <w:trPr>
          <w:trHeight w:val="746"/>
        </w:trPr>
        <w:tc>
          <w:tcPr>
            <w:tcW w:w="2885" w:type="dxa"/>
            <w:tcBorders>
              <w:top w:val="nil"/>
              <w:bottom w:val="nil"/>
              <w:right w:val="nil"/>
            </w:tcBorders>
          </w:tcPr>
          <w:p w:rsidR="00AE471F" w:rsidRPr="007B1072" w:rsidRDefault="001D0173" w:rsidP="003E3FFD">
            <w:pPr>
              <w:spacing w:line="360" w:lineRule="auto"/>
              <w:jc w:val="both"/>
              <w:rPr>
                <w:sz w:val="24"/>
                <w:szCs w:val="24"/>
              </w:rPr>
            </w:pPr>
            <w:r w:rsidRPr="007B1072">
              <w:rPr>
                <w:sz w:val="24"/>
                <w:szCs w:val="24"/>
              </w:rPr>
              <w:t>Gross NPA%</w:t>
            </w:r>
          </w:p>
        </w:tc>
        <w:tc>
          <w:tcPr>
            <w:tcW w:w="2604" w:type="dxa"/>
            <w:tcBorders>
              <w:top w:val="nil"/>
              <w:left w:val="nil"/>
              <w:bottom w:val="nil"/>
            </w:tcBorders>
          </w:tcPr>
          <w:p w:rsidR="00AE471F" w:rsidRPr="007B1072" w:rsidRDefault="001D0173" w:rsidP="003E3FFD">
            <w:pPr>
              <w:spacing w:line="360" w:lineRule="auto"/>
              <w:jc w:val="both"/>
              <w:rPr>
                <w:sz w:val="24"/>
                <w:szCs w:val="24"/>
              </w:rPr>
            </w:pPr>
            <w:r w:rsidRPr="007B1072">
              <w:rPr>
                <w:sz w:val="24"/>
                <w:szCs w:val="24"/>
              </w:rPr>
              <w:t>Sig. (2-tailed)</w:t>
            </w:r>
          </w:p>
        </w:tc>
        <w:tc>
          <w:tcPr>
            <w:tcW w:w="1901" w:type="dxa"/>
            <w:tcBorders>
              <w:top w:val="nil"/>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.021</w:t>
            </w:r>
          </w:p>
        </w:tc>
        <w:tc>
          <w:tcPr>
            <w:tcW w:w="1783" w:type="dxa"/>
            <w:tcBorders>
              <w:top w:val="nil"/>
              <w:left w:val="single" w:sz="8" w:space="0" w:color="000000"/>
              <w:bottom w:val="nil"/>
            </w:tcBorders>
          </w:tcPr>
          <w:p w:rsidR="00AE471F" w:rsidRPr="007B1072" w:rsidRDefault="00AE471F" w:rsidP="003E3FFD">
            <w:pPr>
              <w:spacing w:line="360" w:lineRule="auto"/>
              <w:jc w:val="both"/>
              <w:rPr>
                <w:sz w:val="24"/>
                <w:szCs w:val="24"/>
              </w:rPr>
            </w:pPr>
          </w:p>
        </w:tc>
      </w:tr>
      <w:tr w:rsidR="00AE471F" w:rsidRPr="007B1072">
        <w:trPr>
          <w:trHeight w:val="581"/>
        </w:trPr>
        <w:tc>
          <w:tcPr>
            <w:tcW w:w="2885" w:type="dxa"/>
            <w:tcBorders>
              <w:top w:val="nil"/>
              <w:right w:val="nil"/>
            </w:tcBorders>
          </w:tcPr>
          <w:p w:rsidR="00AE471F" w:rsidRPr="007B1072" w:rsidRDefault="00AE471F" w:rsidP="003E3FFD">
            <w:pPr>
              <w:spacing w:line="360" w:lineRule="auto"/>
              <w:jc w:val="both"/>
              <w:rPr>
                <w:sz w:val="24"/>
                <w:szCs w:val="24"/>
              </w:rPr>
            </w:pPr>
          </w:p>
        </w:tc>
        <w:tc>
          <w:tcPr>
            <w:tcW w:w="2604" w:type="dxa"/>
            <w:tcBorders>
              <w:top w:val="nil"/>
              <w:left w:val="nil"/>
            </w:tcBorders>
          </w:tcPr>
          <w:p w:rsidR="00AE471F" w:rsidRPr="007B1072" w:rsidRDefault="001D0173" w:rsidP="003E3FFD">
            <w:pPr>
              <w:spacing w:line="360" w:lineRule="auto"/>
              <w:jc w:val="both"/>
              <w:rPr>
                <w:sz w:val="24"/>
                <w:szCs w:val="24"/>
              </w:rPr>
            </w:pPr>
            <w:r w:rsidRPr="007B1072">
              <w:rPr>
                <w:sz w:val="24"/>
                <w:szCs w:val="24"/>
              </w:rPr>
              <w:t>N</w:t>
            </w:r>
          </w:p>
        </w:tc>
        <w:tc>
          <w:tcPr>
            <w:tcW w:w="1901" w:type="dxa"/>
            <w:tcBorders>
              <w:top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c>
          <w:tcPr>
            <w:tcW w:w="1783" w:type="dxa"/>
            <w:tcBorders>
              <w:top w:val="nil"/>
              <w:lef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r>
    </w:tbl>
    <w:p w:rsidR="00AE471F" w:rsidRPr="007B1072" w:rsidRDefault="001D0173" w:rsidP="003E3FFD">
      <w:pPr>
        <w:spacing w:line="360" w:lineRule="auto"/>
        <w:jc w:val="both"/>
        <w:rPr>
          <w:sz w:val="24"/>
          <w:szCs w:val="24"/>
        </w:rPr>
      </w:pPr>
      <w:r w:rsidRPr="007B1072">
        <w:rPr>
          <w:sz w:val="24"/>
          <w:szCs w:val="24"/>
        </w:rPr>
        <w:t>*. Correlation is significant at the 0.05 level (2-tailed).</w:t>
      </w:r>
    </w:p>
    <w:p w:rsidR="00AE471F" w:rsidRPr="007B1072" w:rsidRDefault="00AE471F" w:rsidP="003E3FFD">
      <w:pPr>
        <w:spacing w:line="360" w:lineRule="auto"/>
        <w:jc w:val="both"/>
        <w:rPr>
          <w:sz w:val="24"/>
          <w:szCs w:val="24"/>
        </w:rPr>
      </w:pPr>
    </w:p>
    <w:p w:rsidR="00771CDC" w:rsidRPr="007B1072" w:rsidRDefault="00771CDC" w:rsidP="003E3FFD">
      <w:pPr>
        <w:spacing w:line="360" w:lineRule="auto"/>
        <w:jc w:val="both"/>
        <w:rPr>
          <w:sz w:val="24"/>
          <w:szCs w:val="24"/>
        </w:rPr>
      </w:pPr>
      <w:r w:rsidRPr="007B1072">
        <w:rPr>
          <w:sz w:val="24"/>
          <w:szCs w:val="24"/>
        </w:rPr>
        <w:t xml:space="preserve">The Study found the significant relationship of Gross NPA and Net NPA with share capital and advances of Punjab National Bank, since 2010. </w:t>
      </w:r>
    </w:p>
    <w:p w:rsidR="00771CDC" w:rsidRPr="007B1072" w:rsidRDefault="00771CDC" w:rsidP="003E3FFD">
      <w:pPr>
        <w:spacing w:line="360" w:lineRule="auto"/>
        <w:jc w:val="both"/>
        <w:rPr>
          <w:sz w:val="24"/>
          <w:szCs w:val="24"/>
        </w:rPr>
      </w:pPr>
      <w:r w:rsidRPr="007B1072">
        <w:rPr>
          <w:b/>
          <w:bCs/>
          <w:sz w:val="24"/>
          <w:szCs w:val="24"/>
        </w:rPr>
        <w:t>Table no-1</w:t>
      </w:r>
      <w:r w:rsidRPr="007B1072">
        <w:rPr>
          <w:sz w:val="24"/>
          <w:szCs w:val="24"/>
        </w:rPr>
        <w:t xml:space="preserve"> shows that the rate of gross NPA and share capital are having the significant relation i.e. 0.712. The P-value in the above table, has been found, less than 5%, therefore the </w:t>
      </w:r>
      <w:proofErr w:type="spellStart"/>
      <w:r w:rsidRPr="007B1072">
        <w:rPr>
          <w:sz w:val="24"/>
          <w:szCs w:val="24"/>
        </w:rPr>
        <w:t>Ist</w:t>
      </w:r>
      <w:proofErr w:type="spellEnd"/>
      <w:r w:rsidRPr="007B1072">
        <w:rPr>
          <w:sz w:val="24"/>
          <w:szCs w:val="24"/>
        </w:rPr>
        <w:t xml:space="preserve"> null hypothesis found disprove and it can be concluded that there is the significant relationship between share capital and Gross NPA in PNB Bank.</w:t>
      </w:r>
    </w:p>
    <w:p w:rsidR="00771CDC" w:rsidRPr="007B1072" w:rsidRDefault="00771CDC" w:rsidP="003E3FFD">
      <w:pPr>
        <w:spacing w:line="360" w:lineRule="auto"/>
        <w:jc w:val="both"/>
        <w:rPr>
          <w:sz w:val="24"/>
          <w:szCs w:val="24"/>
        </w:rPr>
      </w:pPr>
    </w:p>
    <w:p w:rsidR="00771CDC" w:rsidRPr="007B1072" w:rsidRDefault="00771CDC" w:rsidP="003E3FFD">
      <w:pPr>
        <w:pStyle w:val="Caption"/>
        <w:keepNext/>
        <w:spacing w:line="360" w:lineRule="auto"/>
        <w:jc w:val="both"/>
        <w:rPr>
          <w:color w:val="auto"/>
          <w:sz w:val="24"/>
          <w:szCs w:val="24"/>
        </w:rPr>
      </w:pPr>
      <w:r w:rsidRPr="007B1072">
        <w:rPr>
          <w:color w:val="auto"/>
          <w:sz w:val="24"/>
          <w:szCs w:val="24"/>
        </w:rPr>
        <w:t xml:space="preserve">Table </w:t>
      </w:r>
      <w:r w:rsidRPr="007B1072">
        <w:rPr>
          <w:color w:val="auto"/>
          <w:sz w:val="24"/>
          <w:szCs w:val="24"/>
        </w:rPr>
        <w:fldChar w:fldCharType="begin"/>
      </w:r>
      <w:r w:rsidRPr="007B1072">
        <w:rPr>
          <w:color w:val="auto"/>
          <w:sz w:val="24"/>
          <w:szCs w:val="24"/>
        </w:rPr>
        <w:instrText xml:space="preserve"> SEQ Table \* ARABIC </w:instrText>
      </w:r>
      <w:r w:rsidRPr="007B1072">
        <w:rPr>
          <w:color w:val="auto"/>
          <w:sz w:val="24"/>
          <w:szCs w:val="24"/>
        </w:rPr>
        <w:fldChar w:fldCharType="separate"/>
      </w:r>
      <w:r w:rsidR="00EC143C">
        <w:rPr>
          <w:noProof/>
          <w:color w:val="auto"/>
          <w:sz w:val="24"/>
          <w:szCs w:val="24"/>
        </w:rPr>
        <w:t>5</w:t>
      </w:r>
      <w:r w:rsidRPr="007B1072">
        <w:rPr>
          <w:color w:val="auto"/>
          <w:sz w:val="24"/>
          <w:szCs w:val="24"/>
        </w:rPr>
        <w:fldChar w:fldCharType="end"/>
      </w:r>
      <w:r w:rsidRPr="007B1072">
        <w:rPr>
          <w:color w:val="auto"/>
          <w:sz w:val="24"/>
          <w:szCs w:val="24"/>
        </w:rPr>
        <w:t>: Correlation</w:t>
      </w: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00"/>
        <w:gridCol w:w="2420"/>
        <w:gridCol w:w="1800"/>
        <w:gridCol w:w="1685"/>
      </w:tblGrid>
      <w:tr w:rsidR="00AE471F" w:rsidRPr="007B1072">
        <w:trPr>
          <w:trHeight w:val="1445"/>
        </w:trPr>
        <w:tc>
          <w:tcPr>
            <w:tcW w:w="5420" w:type="dxa"/>
            <w:gridSpan w:val="2"/>
          </w:tcPr>
          <w:p w:rsidR="00AE471F" w:rsidRPr="007B1072" w:rsidRDefault="00AE471F" w:rsidP="003E3FFD">
            <w:pPr>
              <w:spacing w:line="360" w:lineRule="auto"/>
              <w:jc w:val="both"/>
              <w:rPr>
                <w:sz w:val="24"/>
                <w:szCs w:val="24"/>
              </w:rPr>
            </w:pPr>
          </w:p>
        </w:tc>
        <w:tc>
          <w:tcPr>
            <w:tcW w:w="1800" w:type="dxa"/>
            <w:tcBorders>
              <w:right w:val="single" w:sz="8" w:space="0" w:color="000000"/>
            </w:tcBorders>
          </w:tcPr>
          <w:p w:rsidR="00AE471F" w:rsidRPr="007B1072" w:rsidRDefault="001D0173" w:rsidP="003E3FFD">
            <w:pPr>
              <w:spacing w:line="360" w:lineRule="auto"/>
              <w:jc w:val="both"/>
              <w:rPr>
                <w:sz w:val="24"/>
                <w:szCs w:val="24"/>
              </w:rPr>
            </w:pPr>
            <w:r w:rsidRPr="007B1072">
              <w:rPr>
                <w:sz w:val="24"/>
                <w:szCs w:val="24"/>
              </w:rPr>
              <w:t>Loans</w:t>
            </w:r>
            <w:r w:rsidRPr="007B1072">
              <w:rPr>
                <w:sz w:val="24"/>
                <w:szCs w:val="24"/>
              </w:rPr>
              <w:tab/>
            </w:r>
            <w:r w:rsidRPr="007B1072">
              <w:rPr>
                <w:sz w:val="24"/>
                <w:szCs w:val="24"/>
              </w:rPr>
              <w:tab/>
              <w:t>&amp; Advances</w:t>
            </w:r>
            <w:r w:rsidRPr="007B1072">
              <w:rPr>
                <w:sz w:val="24"/>
                <w:szCs w:val="24"/>
              </w:rPr>
              <w:tab/>
              <w:t>(in</w:t>
            </w:r>
          </w:p>
          <w:p w:rsidR="00AE471F" w:rsidRPr="007B1072" w:rsidRDefault="001D0173" w:rsidP="003E3FFD">
            <w:pPr>
              <w:spacing w:line="360" w:lineRule="auto"/>
              <w:jc w:val="both"/>
              <w:rPr>
                <w:sz w:val="24"/>
                <w:szCs w:val="24"/>
              </w:rPr>
            </w:pPr>
            <w:r w:rsidRPr="007B1072">
              <w:rPr>
                <w:sz w:val="24"/>
                <w:szCs w:val="24"/>
              </w:rPr>
              <w:t>crore)</w:t>
            </w:r>
          </w:p>
        </w:tc>
        <w:tc>
          <w:tcPr>
            <w:tcW w:w="1685" w:type="dxa"/>
            <w:tcBorders>
              <w:left w:val="single" w:sz="8" w:space="0" w:color="000000"/>
            </w:tcBorders>
          </w:tcPr>
          <w:p w:rsidR="00AE471F" w:rsidRPr="007B1072" w:rsidRDefault="001D0173" w:rsidP="003E3FFD">
            <w:pPr>
              <w:spacing w:line="360" w:lineRule="auto"/>
              <w:jc w:val="both"/>
              <w:rPr>
                <w:sz w:val="24"/>
                <w:szCs w:val="24"/>
              </w:rPr>
            </w:pPr>
            <w:r w:rsidRPr="007B1072">
              <w:rPr>
                <w:sz w:val="24"/>
                <w:szCs w:val="24"/>
              </w:rPr>
              <w:t>Gross NPA%</w:t>
            </w:r>
          </w:p>
        </w:tc>
      </w:tr>
      <w:tr w:rsidR="00AE471F" w:rsidRPr="007B1072">
        <w:trPr>
          <w:trHeight w:val="873"/>
        </w:trPr>
        <w:tc>
          <w:tcPr>
            <w:tcW w:w="3000" w:type="dxa"/>
            <w:tcBorders>
              <w:bottom w:val="nil"/>
              <w:right w:val="nil"/>
            </w:tcBorders>
          </w:tcPr>
          <w:p w:rsidR="00AE471F" w:rsidRPr="007B1072" w:rsidRDefault="00AE471F" w:rsidP="003E3FFD">
            <w:pPr>
              <w:spacing w:line="360" w:lineRule="auto"/>
              <w:jc w:val="both"/>
              <w:rPr>
                <w:sz w:val="24"/>
                <w:szCs w:val="24"/>
              </w:rPr>
            </w:pPr>
          </w:p>
          <w:p w:rsidR="00AE471F" w:rsidRPr="007B1072" w:rsidRDefault="001D0173" w:rsidP="003E3FFD">
            <w:pPr>
              <w:spacing w:line="360" w:lineRule="auto"/>
              <w:jc w:val="both"/>
              <w:rPr>
                <w:sz w:val="24"/>
                <w:szCs w:val="24"/>
              </w:rPr>
            </w:pPr>
            <w:r w:rsidRPr="007B1072">
              <w:rPr>
                <w:sz w:val="24"/>
                <w:szCs w:val="24"/>
              </w:rPr>
              <w:t>Loans &amp; Advances (in</w:t>
            </w:r>
          </w:p>
        </w:tc>
        <w:tc>
          <w:tcPr>
            <w:tcW w:w="2420" w:type="dxa"/>
            <w:tcBorders>
              <w:left w:val="nil"/>
              <w:bottom w:val="nil"/>
            </w:tcBorders>
          </w:tcPr>
          <w:p w:rsidR="00AE471F" w:rsidRPr="007B1072" w:rsidRDefault="001D0173" w:rsidP="003E3FFD">
            <w:pPr>
              <w:spacing w:line="360" w:lineRule="auto"/>
              <w:jc w:val="both"/>
              <w:rPr>
                <w:sz w:val="24"/>
                <w:szCs w:val="24"/>
              </w:rPr>
            </w:pPr>
            <w:r w:rsidRPr="007B1072">
              <w:rPr>
                <w:sz w:val="24"/>
                <w:szCs w:val="24"/>
              </w:rPr>
              <w:t>Pearson Correlation</w:t>
            </w:r>
          </w:p>
        </w:tc>
        <w:tc>
          <w:tcPr>
            <w:tcW w:w="1800" w:type="dxa"/>
            <w:tcBorders>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w:t>
            </w:r>
          </w:p>
        </w:tc>
        <w:tc>
          <w:tcPr>
            <w:tcW w:w="1685" w:type="dxa"/>
            <w:tcBorders>
              <w:left w:val="single" w:sz="8" w:space="0" w:color="000000"/>
              <w:bottom w:val="nil"/>
            </w:tcBorders>
          </w:tcPr>
          <w:p w:rsidR="00AE471F" w:rsidRPr="007B1072" w:rsidRDefault="001D0173" w:rsidP="003E3FFD">
            <w:pPr>
              <w:spacing w:line="360" w:lineRule="auto"/>
              <w:jc w:val="both"/>
              <w:rPr>
                <w:sz w:val="24"/>
                <w:szCs w:val="24"/>
              </w:rPr>
            </w:pPr>
            <w:r w:rsidRPr="007B1072">
              <w:rPr>
                <w:sz w:val="24"/>
                <w:szCs w:val="24"/>
              </w:rPr>
              <w:t>.898**</w:t>
            </w:r>
          </w:p>
        </w:tc>
      </w:tr>
      <w:tr w:rsidR="00AE471F" w:rsidRPr="007B1072">
        <w:trPr>
          <w:trHeight w:val="503"/>
        </w:trPr>
        <w:tc>
          <w:tcPr>
            <w:tcW w:w="3000" w:type="dxa"/>
            <w:tcBorders>
              <w:top w:val="nil"/>
              <w:bottom w:val="nil"/>
              <w:right w:val="nil"/>
            </w:tcBorders>
          </w:tcPr>
          <w:p w:rsidR="00AE471F" w:rsidRPr="007B1072" w:rsidRDefault="001D0173" w:rsidP="003E3FFD">
            <w:pPr>
              <w:spacing w:line="360" w:lineRule="auto"/>
              <w:jc w:val="both"/>
              <w:rPr>
                <w:sz w:val="24"/>
                <w:szCs w:val="24"/>
              </w:rPr>
            </w:pPr>
            <w:r w:rsidRPr="007B1072">
              <w:rPr>
                <w:sz w:val="24"/>
                <w:szCs w:val="24"/>
              </w:rPr>
              <w:t>crore)</w:t>
            </w:r>
          </w:p>
        </w:tc>
        <w:tc>
          <w:tcPr>
            <w:tcW w:w="2420" w:type="dxa"/>
            <w:tcBorders>
              <w:top w:val="nil"/>
              <w:left w:val="nil"/>
              <w:bottom w:val="nil"/>
            </w:tcBorders>
          </w:tcPr>
          <w:p w:rsidR="00AE471F" w:rsidRPr="007B1072" w:rsidRDefault="001D0173" w:rsidP="003E3FFD">
            <w:pPr>
              <w:spacing w:line="360" w:lineRule="auto"/>
              <w:jc w:val="both"/>
              <w:rPr>
                <w:sz w:val="24"/>
                <w:szCs w:val="24"/>
              </w:rPr>
            </w:pPr>
            <w:r w:rsidRPr="007B1072">
              <w:rPr>
                <w:sz w:val="24"/>
                <w:szCs w:val="24"/>
              </w:rPr>
              <w:t>Sig. (2-tailed)</w:t>
            </w:r>
          </w:p>
        </w:tc>
        <w:tc>
          <w:tcPr>
            <w:tcW w:w="1800" w:type="dxa"/>
            <w:tcBorders>
              <w:top w:val="nil"/>
              <w:bottom w:val="nil"/>
              <w:right w:val="single" w:sz="8" w:space="0" w:color="000000"/>
            </w:tcBorders>
          </w:tcPr>
          <w:p w:rsidR="00AE471F" w:rsidRPr="007B1072" w:rsidRDefault="00AE471F" w:rsidP="003E3FFD">
            <w:pPr>
              <w:spacing w:line="360" w:lineRule="auto"/>
              <w:jc w:val="both"/>
              <w:rPr>
                <w:sz w:val="24"/>
                <w:szCs w:val="24"/>
              </w:rPr>
            </w:pPr>
          </w:p>
        </w:tc>
        <w:tc>
          <w:tcPr>
            <w:tcW w:w="1685" w:type="dxa"/>
            <w:tcBorders>
              <w:top w:val="nil"/>
              <w:left w:val="single" w:sz="8" w:space="0" w:color="000000"/>
              <w:bottom w:val="nil"/>
            </w:tcBorders>
          </w:tcPr>
          <w:p w:rsidR="00AE471F" w:rsidRPr="007B1072" w:rsidRDefault="001D0173" w:rsidP="003E3FFD">
            <w:pPr>
              <w:spacing w:line="360" w:lineRule="auto"/>
              <w:jc w:val="both"/>
              <w:rPr>
                <w:sz w:val="24"/>
                <w:szCs w:val="24"/>
              </w:rPr>
            </w:pPr>
            <w:r w:rsidRPr="007B1072">
              <w:rPr>
                <w:sz w:val="24"/>
                <w:szCs w:val="24"/>
              </w:rPr>
              <w:t>.000</w:t>
            </w:r>
          </w:p>
        </w:tc>
      </w:tr>
      <w:tr w:rsidR="00AE471F" w:rsidRPr="007B1072">
        <w:trPr>
          <w:trHeight w:val="586"/>
        </w:trPr>
        <w:tc>
          <w:tcPr>
            <w:tcW w:w="3000" w:type="dxa"/>
            <w:tcBorders>
              <w:top w:val="nil"/>
              <w:bottom w:val="nil"/>
              <w:right w:val="nil"/>
            </w:tcBorders>
          </w:tcPr>
          <w:p w:rsidR="00AE471F" w:rsidRPr="007B1072" w:rsidRDefault="00AE471F" w:rsidP="003E3FFD">
            <w:pPr>
              <w:spacing w:line="360" w:lineRule="auto"/>
              <w:jc w:val="both"/>
              <w:rPr>
                <w:sz w:val="24"/>
                <w:szCs w:val="24"/>
              </w:rPr>
            </w:pPr>
          </w:p>
        </w:tc>
        <w:tc>
          <w:tcPr>
            <w:tcW w:w="2420" w:type="dxa"/>
            <w:tcBorders>
              <w:top w:val="nil"/>
              <w:left w:val="nil"/>
              <w:bottom w:val="nil"/>
            </w:tcBorders>
          </w:tcPr>
          <w:p w:rsidR="00AE471F" w:rsidRPr="007B1072" w:rsidRDefault="001D0173" w:rsidP="003E3FFD">
            <w:pPr>
              <w:spacing w:line="360" w:lineRule="auto"/>
              <w:jc w:val="both"/>
              <w:rPr>
                <w:sz w:val="24"/>
                <w:szCs w:val="24"/>
              </w:rPr>
            </w:pPr>
            <w:r w:rsidRPr="007B1072">
              <w:rPr>
                <w:sz w:val="24"/>
                <w:szCs w:val="24"/>
              </w:rPr>
              <w:t>N</w:t>
            </w:r>
          </w:p>
        </w:tc>
        <w:tc>
          <w:tcPr>
            <w:tcW w:w="1800" w:type="dxa"/>
            <w:tcBorders>
              <w:top w:val="nil"/>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c>
          <w:tcPr>
            <w:tcW w:w="1685" w:type="dxa"/>
            <w:tcBorders>
              <w:top w:val="nil"/>
              <w:left w:val="single" w:sz="8" w:space="0" w:color="000000"/>
              <w:bottom w:val="nil"/>
            </w:tcBorders>
          </w:tcPr>
          <w:p w:rsidR="00AE471F" w:rsidRPr="007B1072" w:rsidRDefault="001D0173" w:rsidP="003E3FFD">
            <w:pPr>
              <w:spacing w:line="360" w:lineRule="auto"/>
              <w:jc w:val="both"/>
              <w:rPr>
                <w:sz w:val="24"/>
                <w:szCs w:val="24"/>
              </w:rPr>
            </w:pPr>
            <w:r w:rsidRPr="007B1072">
              <w:rPr>
                <w:sz w:val="24"/>
                <w:szCs w:val="24"/>
              </w:rPr>
              <w:t>10</w:t>
            </w:r>
          </w:p>
        </w:tc>
      </w:tr>
      <w:tr w:rsidR="00AE471F" w:rsidRPr="007B1072">
        <w:trPr>
          <w:trHeight w:val="687"/>
        </w:trPr>
        <w:tc>
          <w:tcPr>
            <w:tcW w:w="3000" w:type="dxa"/>
            <w:tcBorders>
              <w:top w:val="nil"/>
              <w:bottom w:val="nil"/>
              <w:right w:val="nil"/>
            </w:tcBorders>
          </w:tcPr>
          <w:p w:rsidR="00AE471F" w:rsidRPr="007B1072" w:rsidRDefault="00AE471F" w:rsidP="003E3FFD">
            <w:pPr>
              <w:spacing w:line="360" w:lineRule="auto"/>
              <w:jc w:val="both"/>
              <w:rPr>
                <w:sz w:val="24"/>
                <w:szCs w:val="24"/>
              </w:rPr>
            </w:pPr>
          </w:p>
        </w:tc>
        <w:tc>
          <w:tcPr>
            <w:tcW w:w="2420" w:type="dxa"/>
            <w:tcBorders>
              <w:top w:val="nil"/>
              <w:left w:val="nil"/>
              <w:bottom w:val="nil"/>
            </w:tcBorders>
          </w:tcPr>
          <w:p w:rsidR="00AE471F" w:rsidRPr="007B1072" w:rsidRDefault="001D0173" w:rsidP="003E3FFD">
            <w:pPr>
              <w:spacing w:line="360" w:lineRule="auto"/>
              <w:jc w:val="both"/>
              <w:rPr>
                <w:sz w:val="24"/>
                <w:szCs w:val="24"/>
              </w:rPr>
            </w:pPr>
            <w:r w:rsidRPr="007B1072">
              <w:rPr>
                <w:sz w:val="24"/>
                <w:szCs w:val="24"/>
              </w:rPr>
              <w:t>Pearson Correlation</w:t>
            </w:r>
          </w:p>
        </w:tc>
        <w:tc>
          <w:tcPr>
            <w:tcW w:w="1800" w:type="dxa"/>
            <w:tcBorders>
              <w:top w:val="nil"/>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.898**</w:t>
            </w:r>
          </w:p>
        </w:tc>
        <w:tc>
          <w:tcPr>
            <w:tcW w:w="1685" w:type="dxa"/>
            <w:tcBorders>
              <w:top w:val="nil"/>
              <w:left w:val="single" w:sz="8" w:space="0" w:color="000000"/>
              <w:bottom w:val="nil"/>
            </w:tcBorders>
          </w:tcPr>
          <w:p w:rsidR="00AE471F" w:rsidRPr="007B1072" w:rsidRDefault="001D0173" w:rsidP="003E3FFD">
            <w:pPr>
              <w:spacing w:line="360" w:lineRule="auto"/>
              <w:jc w:val="both"/>
              <w:rPr>
                <w:sz w:val="24"/>
                <w:szCs w:val="24"/>
              </w:rPr>
            </w:pPr>
            <w:r w:rsidRPr="007B1072">
              <w:rPr>
                <w:sz w:val="24"/>
                <w:szCs w:val="24"/>
              </w:rPr>
              <w:t>1</w:t>
            </w:r>
          </w:p>
        </w:tc>
      </w:tr>
      <w:tr w:rsidR="00AE471F" w:rsidRPr="007B1072">
        <w:trPr>
          <w:trHeight w:val="638"/>
        </w:trPr>
        <w:tc>
          <w:tcPr>
            <w:tcW w:w="3000" w:type="dxa"/>
            <w:tcBorders>
              <w:top w:val="nil"/>
              <w:bottom w:val="nil"/>
              <w:right w:val="nil"/>
            </w:tcBorders>
          </w:tcPr>
          <w:p w:rsidR="00AE471F" w:rsidRPr="007B1072" w:rsidRDefault="001D0173" w:rsidP="003E3FFD">
            <w:pPr>
              <w:spacing w:line="360" w:lineRule="auto"/>
              <w:jc w:val="both"/>
              <w:rPr>
                <w:sz w:val="24"/>
                <w:szCs w:val="24"/>
              </w:rPr>
            </w:pPr>
            <w:r w:rsidRPr="007B1072">
              <w:rPr>
                <w:sz w:val="24"/>
                <w:szCs w:val="24"/>
              </w:rPr>
              <w:t>Gross NPA%</w:t>
            </w:r>
          </w:p>
        </w:tc>
        <w:tc>
          <w:tcPr>
            <w:tcW w:w="2420" w:type="dxa"/>
            <w:tcBorders>
              <w:top w:val="nil"/>
              <w:left w:val="nil"/>
              <w:bottom w:val="nil"/>
            </w:tcBorders>
          </w:tcPr>
          <w:p w:rsidR="00AE471F" w:rsidRPr="007B1072" w:rsidRDefault="001D0173" w:rsidP="003E3FFD">
            <w:pPr>
              <w:spacing w:line="360" w:lineRule="auto"/>
              <w:jc w:val="both"/>
              <w:rPr>
                <w:sz w:val="24"/>
                <w:szCs w:val="24"/>
              </w:rPr>
            </w:pPr>
            <w:r w:rsidRPr="007B1072">
              <w:rPr>
                <w:sz w:val="24"/>
                <w:szCs w:val="24"/>
              </w:rPr>
              <w:t>Sig. (2-tailed)</w:t>
            </w:r>
          </w:p>
        </w:tc>
        <w:tc>
          <w:tcPr>
            <w:tcW w:w="1800" w:type="dxa"/>
            <w:tcBorders>
              <w:top w:val="nil"/>
              <w:bottom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.000</w:t>
            </w:r>
          </w:p>
        </w:tc>
        <w:tc>
          <w:tcPr>
            <w:tcW w:w="1685" w:type="dxa"/>
            <w:tcBorders>
              <w:top w:val="nil"/>
              <w:left w:val="single" w:sz="8" w:space="0" w:color="000000"/>
              <w:bottom w:val="nil"/>
            </w:tcBorders>
          </w:tcPr>
          <w:p w:rsidR="00AE471F" w:rsidRPr="007B1072" w:rsidRDefault="00AE471F" w:rsidP="003E3FFD">
            <w:pPr>
              <w:spacing w:line="360" w:lineRule="auto"/>
              <w:jc w:val="both"/>
              <w:rPr>
                <w:sz w:val="24"/>
                <w:szCs w:val="24"/>
              </w:rPr>
            </w:pPr>
          </w:p>
        </w:tc>
      </w:tr>
      <w:tr w:rsidR="00AE471F" w:rsidRPr="007B1072">
        <w:trPr>
          <w:trHeight w:val="581"/>
        </w:trPr>
        <w:tc>
          <w:tcPr>
            <w:tcW w:w="3000" w:type="dxa"/>
            <w:tcBorders>
              <w:top w:val="nil"/>
              <w:right w:val="nil"/>
            </w:tcBorders>
          </w:tcPr>
          <w:p w:rsidR="00AE471F" w:rsidRPr="007B1072" w:rsidRDefault="00AE471F" w:rsidP="003E3FFD">
            <w:pPr>
              <w:spacing w:line="360" w:lineRule="auto"/>
              <w:jc w:val="both"/>
              <w:rPr>
                <w:sz w:val="24"/>
                <w:szCs w:val="24"/>
              </w:rPr>
            </w:pPr>
          </w:p>
        </w:tc>
        <w:tc>
          <w:tcPr>
            <w:tcW w:w="2420" w:type="dxa"/>
            <w:tcBorders>
              <w:top w:val="nil"/>
              <w:left w:val="nil"/>
            </w:tcBorders>
          </w:tcPr>
          <w:p w:rsidR="00AE471F" w:rsidRPr="007B1072" w:rsidRDefault="001D0173" w:rsidP="003E3FFD">
            <w:pPr>
              <w:spacing w:line="360" w:lineRule="auto"/>
              <w:jc w:val="both"/>
              <w:rPr>
                <w:sz w:val="24"/>
                <w:szCs w:val="24"/>
              </w:rPr>
            </w:pPr>
            <w:r w:rsidRPr="007B1072">
              <w:rPr>
                <w:sz w:val="24"/>
                <w:szCs w:val="24"/>
              </w:rPr>
              <w:t>N</w:t>
            </w:r>
          </w:p>
        </w:tc>
        <w:tc>
          <w:tcPr>
            <w:tcW w:w="1800" w:type="dxa"/>
            <w:tcBorders>
              <w:top w:val="nil"/>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c>
          <w:tcPr>
            <w:tcW w:w="1685" w:type="dxa"/>
            <w:tcBorders>
              <w:top w:val="nil"/>
              <w:lef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r>
    </w:tbl>
    <w:p w:rsidR="00AE471F" w:rsidRPr="007B1072" w:rsidRDefault="001D0173" w:rsidP="003E3FFD">
      <w:pPr>
        <w:spacing w:line="360" w:lineRule="auto"/>
        <w:jc w:val="both"/>
        <w:rPr>
          <w:sz w:val="24"/>
          <w:szCs w:val="24"/>
        </w:rPr>
      </w:pPr>
      <w:r w:rsidRPr="007B1072">
        <w:rPr>
          <w:sz w:val="24"/>
          <w:szCs w:val="24"/>
        </w:rPr>
        <w:t>**. Correlation is significant at the 0.01 level (2-tailed).</w:t>
      </w:r>
    </w:p>
    <w:p w:rsidR="00771CDC" w:rsidRPr="007B1072" w:rsidRDefault="00771CDC" w:rsidP="003E3FFD">
      <w:pPr>
        <w:spacing w:line="360" w:lineRule="auto"/>
        <w:jc w:val="both"/>
        <w:rPr>
          <w:sz w:val="24"/>
          <w:szCs w:val="24"/>
        </w:rPr>
      </w:pPr>
      <w:r w:rsidRPr="007B1072">
        <w:rPr>
          <w:sz w:val="24"/>
          <w:szCs w:val="24"/>
        </w:rPr>
        <w:t xml:space="preserve">The </w:t>
      </w:r>
      <w:r w:rsidRPr="007B1072">
        <w:rPr>
          <w:b/>
          <w:bCs/>
          <w:sz w:val="24"/>
          <w:szCs w:val="24"/>
        </w:rPr>
        <w:t>correlation table no-2</w:t>
      </w:r>
      <w:r w:rsidRPr="007B1072">
        <w:rPr>
          <w:sz w:val="24"/>
          <w:szCs w:val="24"/>
        </w:rPr>
        <w:t xml:space="preserve"> shows that the rate of gross NPA and Loans and advances are having the significant relation i.e. 0.898. The P-value in the above table, has been found, less than 5%, therefore the 2nd null hypothesis found disprove and it can be concluded that there is the significant relationship between advances and Gross NPA in PNB Bank.</w:t>
      </w:r>
    </w:p>
    <w:p w:rsidR="00AE471F" w:rsidRPr="007B1072" w:rsidRDefault="00771CDC" w:rsidP="003E3FFD">
      <w:pPr>
        <w:spacing w:line="360" w:lineRule="auto"/>
        <w:jc w:val="both"/>
        <w:rPr>
          <w:sz w:val="24"/>
          <w:szCs w:val="24"/>
        </w:rPr>
      </w:pPr>
      <w:r w:rsidRPr="007B1072">
        <w:rPr>
          <w:b/>
          <w:bCs/>
          <w:sz w:val="24"/>
          <w:szCs w:val="24"/>
        </w:rPr>
        <w:t>Correlation table no-3</w:t>
      </w:r>
    </w:p>
    <w:p w:rsidR="00771CDC" w:rsidRPr="007B1072" w:rsidRDefault="00771CDC" w:rsidP="003E3FFD">
      <w:pPr>
        <w:pStyle w:val="Caption"/>
        <w:keepNext/>
        <w:spacing w:line="360" w:lineRule="auto"/>
        <w:jc w:val="both"/>
        <w:rPr>
          <w:color w:val="auto"/>
          <w:sz w:val="24"/>
          <w:szCs w:val="24"/>
        </w:rPr>
      </w:pPr>
      <w:r w:rsidRPr="007B1072">
        <w:rPr>
          <w:color w:val="auto"/>
          <w:sz w:val="24"/>
          <w:szCs w:val="24"/>
        </w:rPr>
        <w:t xml:space="preserve">Table </w:t>
      </w:r>
      <w:r w:rsidRPr="007B1072">
        <w:rPr>
          <w:color w:val="auto"/>
          <w:sz w:val="24"/>
          <w:szCs w:val="24"/>
        </w:rPr>
        <w:fldChar w:fldCharType="begin"/>
      </w:r>
      <w:r w:rsidRPr="007B1072">
        <w:rPr>
          <w:color w:val="auto"/>
          <w:sz w:val="24"/>
          <w:szCs w:val="24"/>
        </w:rPr>
        <w:instrText xml:space="preserve"> SEQ Table \* ARABIC </w:instrText>
      </w:r>
      <w:r w:rsidRPr="007B1072">
        <w:rPr>
          <w:color w:val="auto"/>
          <w:sz w:val="24"/>
          <w:szCs w:val="24"/>
        </w:rPr>
        <w:fldChar w:fldCharType="separate"/>
      </w:r>
      <w:r w:rsidR="00EC143C">
        <w:rPr>
          <w:noProof/>
          <w:color w:val="auto"/>
          <w:sz w:val="24"/>
          <w:szCs w:val="24"/>
        </w:rPr>
        <w:t>6</w:t>
      </w:r>
      <w:r w:rsidRPr="007B1072">
        <w:rPr>
          <w:color w:val="auto"/>
          <w:sz w:val="24"/>
          <w:szCs w:val="24"/>
        </w:rPr>
        <w:fldChar w:fldCharType="end"/>
      </w:r>
      <w:r w:rsidRPr="007B1072">
        <w:rPr>
          <w:color w:val="auto"/>
          <w:sz w:val="24"/>
          <w:szCs w:val="24"/>
        </w:rPr>
        <w:t>: Correlation</w:t>
      </w:r>
    </w:p>
    <w:tbl>
      <w:tblPr>
        <w:tblW w:w="0" w:type="auto"/>
        <w:tblInd w:w="49" w:type="dxa"/>
        <w:tblLayout w:type="fixed"/>
        <w:tblCellMar>
          <w:left w:w="0" w:type="dxa"/>
          <w:right w:w="0" w:type="dxa"/>
        </w:tblCellMar>
        <w:tblLook w:val="01E0" w:firstRow="1" w:lastRow="1" w:firstColumn="1" w:lastColumn="1" w:noHBand="0" w:noVBand="0"/>
      </w:tblPr>
      <w:tblGrid>
        <w:gridCol w:w="1457"/>
        <w:gridCol w:w="1359"/>
        <w:gridCol w:w="518"/>
        <w:gridCol w:w="2691"/>
        <w:gridCol w:w="2001"/>
        <w:gridCol w:w="1564"/>
      </w:tblGrid>
      <w:tr w:rsidR="00AE471F" w:rsidRPr="007B1072">
        <w:trPr>
          <w:trHeight w:hRule="exact" w:val="1488"/>
        </w:trPr>
        <w:tc>
          <w:tcPr>
            <w:tcW w:w="6025" w:type="dxa"/>
            <w:gridSpan w:val="4"/>
            <w:tcBorders>
              <w:top w:val="single" w:sz="18" w:space="0" w:color="000000"/>
              <w:left w:val="single" w:sz="18" w:space="0" w:color="000000"/>
              <w:bottom w:val="single" w:sz="18" w:space="0" w:color="000000"/>
              <w:right w:val="single" w:sz="18" w:space="0" w:color="000000"/>
            </w:tcBorders>
          </w:tcPr>
          <w:p w:rsidR="00AE471F" w:rsidRPr="007B1072" w:rsidRDefault="00AE471F" w:rsidP="003E3FFD">
            <w:pPr>
              <w:spacing w:line="360" w:lineRule="auto"/>
              <w:jc w:val="both"/>
              <w:rPr>
                <w:sz w:val="24"/>
                <w:szCs w:val="24"/>
              </w:rPr>
            </w:pPr>
          </w:p>
        </w:tc>
        <w:tc>
          <w:tcPr>
            <w:tcW w:w="2001" w:type="dxa"/>
            <w:tcBorders>
              <w:top w:val="single" w:sz="18" w:space="0" w:color="000000"/>
              <w:left w:val="single" w:sz="18" w:space="0" w:color="000000"/>
              <w:bottom w:val="single" w:sz="18" w:space="0" w:color="000000"/>
              <w:right w:val="single" w:sz="8" w:space="0" w:color="000000"/>
            </w:tcBorders>
          </w:tcPr>
          <w:p w:rsidR="00AE471F" w:rsidRPr="007B1072" w:rsidRDefault="001D0173" w:rsidP="003E3FFD">
            <w:pPr>
              <w:spacing w:line="360" w:lineRule="auto"/>
              <w:jc w:val="both"/>
              <w:rPr>
                <w:sz w:val="24"/>
                <w:szCs w:val="24"/>
              </w:rPr>
            </w:pPr>
            <w:r w:rsidRPr="007B1072">
              <w:rPr>
                <w:sz w:val="24"/>
                <w:szCs w:val="24"/>
              </w:rPr>
              <w:t>Loans</w:t>
            </w:r>
            <w:r w:rsidRPr="007B1072">
              <w:rPr>
                <w:sz w:val="24"/>
                <w:szCs w:val="24"/>
              </w:rPr>
              <w:tab/>
              <w:t>&amp;</w:t>
            </w:r>
          </w:p>
          <w:p w:rsidR="00AE471F" w:rsidRPr="007B1072" w:rsidRDefault="001D0173" w:rsidP="003E3FFD">
            <w:pPr>
              <w:spacing w:line="360" w:lineRule="auto"/>
              <w:jc w:val="both"/>
              <w:rPr>
                <w:sz w:val="24"/>
                <w:szCs w:val="24"/>
              </w:rPr>
            </w:pPr>
            <w:r w:rsidRPr="007B1072">
              <w:rPr>
                <w:sz w:val="24"/>
                <w:szCs w:val="24"/>
              </w:rPr>
              <w:t>Advances</w:t>
            </w:r>
            <w:r w:rsidRPr="007B1072">
              <w:rPr>
                <w:sz w:val="24"/>
                <w:szCs w:val="24"/>
              </w:rPr>
              <w:tab/>
              <w:t>(in crore)</w:t>
            </w:r>
          </w:p>
        </w:tc>
        <w:tc>
          <w:tcPr>
            <w:tcW w:w="1564" w:type="dxa"/>
            <w:tcBorders>
              <w:top w:val="single" w:sz="18" w:space="0" w:color="000000"/>
              <w:left w:val="single" w:sz="8" w:space="0" w:color="000000"/>
              <w:bottom w:val="single" w:sz="1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Net NPA%</w:t>
            </w:r>
          </w:p>
        </w:tc>
      </w:tr>
      <w:tr w:rsidR="00AE471F" w:rsidRPr="007B1072">
        <w:trPr>
          <w:trHeight w:hRule="exact" w:val="408"/>
        </w:trPr>
        <w:tc>
          <w:tcPr>
            <w:tcW w:w="1457" w:type="dxa"/>
            <w:tcBorders>
              <w:top w:val="single" w:sz="18" w:space="0" w:color="000000"/>
              <w:left w:val="single" w:sz="18" w:space="0" w:color="000000"/>
            </w:tcBorders>
          </w:tcPr>
          <w:p w:rsidR="00AE471F" w:rsidRPr="007B1072" w:rsidRDefault="00AE471F" w:rsidP="003E3FFD">
            <w:pPr>
              <w:spacing w:line="360" w:lineRule="auto"/>
              <w:jc w:val="both"/>
              <w:rPr>
                <w:sz w:val="24"/>
                <w:szCs w:val="24"/>
              </w:rPr>
            </w:pPr>
          </w:p>
        </w:tc>
        <w:tc>
          <w:tcPr>
            <w:tcW w:w="1359" w:type="dxa"/>
            <w:tcBorders>
              <w:top w:val="single" w:sz="18" w:space="0" w:color="000000"/>
            </w:tcBorders>
          </w:tcPr>
          <w:p w:rsidR="00AE471F" w:rsidRPr="007B1072" w:rsidRDefault="00AE471F" w:rsidP="003E3FFD">
            <w:pPr>
              <w:spacing w:line="360" w:lineRule="auto"/>
              <w:jc w:val="both"/>
              <w:rPr>
                <w:sz w:val="24"/>
                <w:szCs w:val="24"/>
              </w:rPr>
            </w:pPr>
          </w:p>
        </w:tc>
        <w:tc>
          <w:tcPr>
            <w:tcW w:w="518" w:type="dxa"/>
            <w:tcBorders>
              <w:top w:val="single" w:sz="18" w:space="0" w:color="000000"/>
            </w:tcBorders>
          </w:tcPr>
          <w:p w:rsidR="00AE471F" w:rsidRPr="007B1072" w:rsidRDefault="00AE471F" w:rsidP="003E3FFD">
            <w:pPr>
              <w:spacing w:line="360" w:lineRule="auto"/>
              <w:jc w:val="both"/>
              <w:rPr>
                <w:sz w:val="24"/>
                <w:szCs w:val="24"/>
              </w:rPr>
            </w:pPr>
          </w:p>
        </w:tc>
        <w:tc>
          <w:tcPr>
            <w:tcW w:w="2691" w:type="dxa"/>
            <w:tcBorders>
              <w:top w:val="single" w:sz="1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Pearson Correlation</w:t>
            </w:r>
          </w:p>
        </w:tc>
        <w:tc>
          <w:tcPr>
            <w:tcW w:w="2001" w:type="dxa"/>
            <w:tcBorders>
              <w:top w:val="single" w:sz="18" w:space="0" w:color="000000"/>
              <w:left w:val="single" w:sz="18" w:space="0" w:color="000000"/>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w:t>
            </w:r>
          </w:p>
        </w:tc>
        <w:tc>
          <w:tcPr>
            <w:tcW w:w="1564" w:type="dxa"/>
            <w:vMerge w:val="restart"/>
            <w:tcBorders>
              <w:top w:val="single" w:sz="18" w:space="0" w:color="000000"/>
              <w:left w:val="single" w:sz="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.864**</w:t>
            </w:r>
          </w:p>
        </w:tc>
      </w:tr>
      <w:tr w:rsidR="00AE471F" w:rsidRPr="007B1072">
        <w:trPr>
          <w:trHeight w:hRule="exact" w:val="5"/>
        </w:trPr>
        <w:tc>
          <w:tcPr>
            <w:tcW w:w="1457" w:type="dxa"/>
            <w:vMerge w:val="restart"/>
            <w:tcBorders>
              <w:left w:val="single" w:sz="18" w:space="0" w:color="000000"/>
            </w:tcBorders>
          </w:tcPr>
          <w:p w:rsidR="00AE471F" w:rsidRPr="007B1072" w:rsidRDefault="001D0173" w:rsidP="003E3FFD">
            <w:pPr>
              <w:spacing w:line="360" w:lineRule="auto"/>
              <w:jc w:val="both"/>
              <w:rPr>
                <w:sz w:val="24"/>
                <w:szCs w:val="24"/>
              </w:rPr>
            </w:pPr>
            <w:r w:rsidRPr="007B1072">
              <w:rPr>
                <w:sz w:val="24"/>
                <w:szCs w:val="24"/>
              </w:rPr>
              <w:t>Loans</w:t>
            </w:r>
            <w:r w:rsidRPr="007B1072">
              <w:rPr>
                <w:sz w:val="24"/>
                <w:szCs w:val="24"/>
              </w:rPr>
              <w:tab/>
              <w:t>&amp;</w:t>
            </w:r>
          </w:p>
        </w:tc>
        <w:tc>
          <w:tcPr>
            <w:tcW w:w="1359" w:type="dxa"/>
            <w:vMerge w:val="restart"/>
          </w:tcPr>
          <w:p w:rsidR="00AE471F" w:rsidRPr="007B1072" w:rsidRDefault="001D0173" w:rsidP="003E3FFD">
            <w:pPr>
              <w:spacing w:line="360" w:lineRule="auto"/>
              <w:jc w:val="both"/>
              <w:rPr>
                <w:sz w:val="24"/>
                <w:szCs w:val="24"/>
              </w:rPr>
            </w:pPr>
            <w:r w:rsidRPr="007B1072">
              <w:rPr>
                <w:sz w:val="24"/>
                <w:szCs w:val="24"/>
              </w:rPr>
              <w:t>Advances</w:t>
            </w:r>
          </w:p>
        </w:tc>
        <w:tc>
          <w:tcPr>
            <w:tcW w:w="518" w:type="dxa"/>
            <w:vMerge w:val="restart"/>
          </w:tcPr>
          <w:p w:rsidR="00AE471F" w:rsidRPr="007B1072" w:rsidRDefault="001D0173" w:rsidP="003E3FFD">
            <w:pPr>
              <w:spacing w:line="360" w:lineRule="auto"/>
              <w:jc w:val="both"/>
              <w:rPr>
                <w:sz w:val="24"/>
                <w:szCs w:val="24"/>
              </w:rPr>
            </w:pPr>
            <w:r w:rsidRPr="007B1072">
              <w:rPr>
                <w:sz w:val="24"/>
                <w:szCs w:val="24"/>
              </w:rPr>
              <w:t>(in</w:t>
            </w:r>
          </w:p>
        </w:tc>
        <w:tc>
          <w:tcPr>
            <w:tcW w:w="2691" w:type="dxa"/>
            <w:vMerge w:val="restart"/>
            <w:tcBorders>
              <w:right w:val="single" w:sz="18" w:space="0" w:color="000000"/>
            </w:tcBorders>
          </w:tcPr>
          <w:p w:rsidR="00AE471F" w:rsidRPr="007B1072" w:rsidRDefault="00AE471F" w:rsidP="003E3FFD">
            <w:pPr>
              <w:spacing w:line="360" w:lineRule="auto"/>
              <w:jc w:val="both"/>
              <w:rPr>
                <w:sz w:val="24"/>
                <w:szCs w:val="24"/>
              </w:rPr>
            </w:pPr>
          </w:p>
        </w:tc>
        <w:tc>
          <w:tcPr>
            <w:tcW w:w="2001" w:type="dxa"/>
            <w:vMerge w:val="restart"/>
            <w:tcBorders>
              <w:left w:val="single" w:sz="18" w:space="0" w:color="000000"/>
              <w:right w:val="single" w:sz="8" w:space="0" w:color="000000"/>
            </w:tcBorders>
          </w:tcPr>
          <w:p w:rsidR="00AE471F" w:rsidRPr="007B1072" w:rsidRDefault="00AE471F" w:rsidP="003E3FFD">
            <w:pPr>
              <w:spacing w:line="360" w:lineRule="auto"/>
              <w:jc w:val="both"/>
              <w:rPr>
                <w:sz w:val="24"/>
                <w:szCs w:val="24"/>
              </w:rPr>
            </w:pPr>
          </w:p>
        </w:tc>
        <w:tc>
          <w:tcPr>
            <w:tcW w:w="1564" w:type="dxa"/>
            <w:vMerge/>
            <w:tcBorders>
              <w:top w:val="nil"/>
              <w:left w:val="single" w:sz="8" w:space="0" w:color="000000"/>
              <w:right w:val="single" w:sz="18" w:space="0" w:color="000000"/>
            </w:tcBorders>
          </w:tcPr>
          <w:p w:rsidR="00AE471F" w:rsidRPr="007B1072" w:rsidRDefault="00AE471F" w:rsidP="003E3FFD">
            <w:pPr>
              <w:spacing w:line="360" w:lineRule="auto"/>
              <w:jc w:val="both"/>
              <w:rPr>
                <w:sz w:val="24"/>
                <w:szCs w:val="24"/>
              </w:rPr>
            </w:pPr>
          </w:p>
        </w:tc>
      </w:tr>
      <w:tr w:rsidR="00AE471F" w:rsidRPr="007B1072">
        <w:trPr>
          <w:trHeight w:hRule="exact" w:val="274"/>
        </w:trPr>
        <w:tc>
          <w:tcPr>
            <w:tcW w:w="1457" w:type="dxa"/>
            <w:vMerge/>
            <w:tcBorders>
              <w:top w:val="nil"/>
              <w:left w:val="single" w:sz="18" w:space="0" w:color="000000"/>
            </w:tcBorders>
          </w:tcPr>
          <w:p w:rsidR="00AE471F" w:rsidRPr="007B1072" w:rsidRDefault="00AE471F" w:rsidP="003E3FFD">
            <w:pPr>
              <w:spacing w:line="360" w:lineRule="auto"/>
              <w:jc w:val="both"/>
              <w:rPr>
                <w:sz w:val="24"/>
                <w:szCs w:val="24"/>
              </w:rPr>
            </w:pPr>
          </w:p>
        </w:tc>
        <w:tc>
          <w:tcPr>
            <w:tcW w:w="1359" w:type="dxa"/>
            <w:vMerge/>
            <w:tcBorders>
              <w:top w:val="nil"/>
            </w:tcBorders>
          </w:tcPr>
          <w:p w:rsidR="00AE471F" w:rsidRPr="007B1072" w:rsidRDefault="00AE471F" w:rsidP="003E3FFD">
            <w:pPr>
              <w:spacing w:line="360" w:lineRule="auto"/>
              <w:jc w:val="both"/>
              <w:rPr>
                <w:sz w:val="24"/>
                <w:szCs w:val="24"/>
              </w:rPr>
            </w:pPr>
          </w:p>
        </w:tc>
        <w:tc>
          <w:tcPr>
            <w:tcW w:w="518" w:type="dxa"/>
            <w:vMerge/>
            <w:tcBorders>
              <w:top w:val="nil"/>
            </w:tcBorders>
          </w:tcPr>
          <w:p w:rsidR="00AE471F" w:rsidRPr="007B1072" w:rsidRDefault="00AE471F" w:rsidP="003E3FFD">
            <w:pPr>
              <w:spacing w:line="360" w:lineRule="auto"/>
              <w:jc w:val="both"/>
              <w:rPr>
                <w:sz w:val="24"/>
                <w:szCs w:val="24"/>
              </w:rPr>
            </w:pPr>
          </w:p>
        </w:tc>
        <w:tc>
          <w:tcPr>
            <w:tcW w:w="2691" w:type="dxa"/>
            <w:vMerge/>
            <w:tcBorders>
              <w:top w:val="nil"/>
              <w:right w:val="single" w:sz="18" w:space="0" w:color="000000"/>
            </w:tcBorders>
          </w:tcPr>
          <w:p w:rsidR="00AE471F" w:rsidRPr="007B1072" w:rsidRDefault="00AE471F" w:rsidP="003E3FFD">
            <w:pPr>
              <w:spacing w:line="360" w:lineRule="auto"/>
              <w:jc w:val="both"/>
              <w:rPr>
                <w:sz w:val="24"/>
                <w:szCs w:val="24"/>
              </w:rPr>
            </w:pPr>
          </w:p>
        </w:tc>
        <w:tc>
          <w:tcPr>
            <w:tcW w:w="2001" w:type="dxa"/>
            <w:vMerge/>
            <w:tcBorders>
              <w:top w:val="nil"/>
              <w:left w:val="single" w:sz="18" w:space="0" w:color="000000"/>
              <w:right w:val="single" w:sz="8" w:space="0" w:color="000000"/>
            </w:tcBorders>
          </w:tcPr>
          <w:p w:rsidR="00AE471F" w:rsidRPr="007B1072" w:rsidRDefault="00AE471F" w:rsidP="003E3FFD">
            <w:pPr>
              <w:spacing w:line="360" w:lineRule="auto"/>
              <w:jc w:val="both"/>
              <w:rPr>
                <w:sz w:val="24"/>
                <w:szCs w:val="24"/>
              </w:rPr>
            </w:pPr>
          </w:p>
        </w:tc>
        <w:tc>
          <w:tcPr>
            <w:tcW w:w="1564" w:type="dxa"/>
            <w:tcBorders>
              <w:left w:val="single" w:sz="8" w:space="0" w:color="000000"/>
              <w:right w:val="single" w:sz="18" w:space="0" w:color="000000"/>
            </w:tcBorders>
          </w:tcPr>
          <w:p w:rsidR="00AE471F" w:rsidRPr="007B1072" w:rsidRDefault="00AE471F" w:rsidP="003E3FFD">
            <w:pPr>
              <w:spacing w:line="360" w:lineRule="auto"/>
              <w:jc w:val="both"/>
              <w:rPr>
                <w:sz w:val="24"/>
                <w:szCs w:val="24"/>
              </w:rPr>
            </w:pPr>
          </w:p>
        </w:tc>
      </w:tr>
      <w:tr w:rsidR="00AE471F" w:rsidRPr="007B1072">
        <w:trPr>
          <w:trHeight w:hRule="exact" w:val="437"/>
        </w:trPr>
        <w:tc>
          <w:tcPr>
            <w:tcW w:w="1457" w:type="dxa"/>
            <w:tcBorders>
              <w:left w:val="single" w:sz="18" w:space="0" w:color="000000"/>
            </w:tcBorders>
          </w:tcPr>
          <w:p w:rsidR="00AE471F" w:rsidRPr="007B1072" w:rsidRDefault="001D0173" w:rsidP="003E3FFD">
            <w:pPr>
              <w:spacing w:line="360" w:lineRule="auto"/>
              <w:jc w:val="both"/>
              <w:rPr>
                <w:sz w:val="24"/>
                <w:szCs w:val="24"/>
              </w:rPr>
            </w:pPr>
            <w:r w:rsidRPr="007B1072">
              <w:rPr>
                <w:sz w:val="24"/>
                <w:szCs w:val="24"/>
              </w:rPr>
              <w:t>crore)</w:t>
            </w:r>
          </w:p>
        </w:tc>
        <w:tc>
          <w:tcPr>
            <w:tcW w:w="1359" w:type="dxa"/>
          </w:tcPr>
          <w:p w:rsidR="00AE471F" w:rsidRPr="007B1072" w:rsidRDefault="00AE471F" w:rsidP="003E3FFD">
            <w:pPr>
              <w:spacing w:line="360" w:lineRule="auto"/>
              <w:jc w:val="both"/>
              <w:rPr>
                <w:sz w:val="24"/>
                <w:szCs w:val="24"/>
              </w:rPr>
            </w:pPr>
          </w:p>
        </w:tc>
        <w:tc>
          <w:tcPr>
            <w:tcW w:w="518" w:type="dxa"/>
          </w:tcPr>
          <w:p w:rsidR="00AE471F" w:rsidRPr="007B1072" w:rsidRDefault="00AE471F" w:rsidP="003E3FFD">
            <w:pPr>
              <w:spacing w:line="360" w:lineRule="auto"/>
              <w:jc w:val="both"/>
              <w:rPr>
                <w:sz w:val="24"/>
                <w:szCs w:val="24"/>
              </w:rPr>
            </w:pPr>
          </w:p>
        </w:tc>
        <w:tc>
          <w:tcPr>
            <w:tcW w:w="2691" w:type="dxa"/>
            <w:tcBorders>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Sig. (2-tailed)</w:t>
            </w:r>
          </w:p>
        </w:tc>
        <w:tc>
          <w:tcPr>
            <w:tcW w:w="2001" w:type="dxa"/>
            <w:tcBorders>
              <w:left w:val="single" w:sz="18" w:space="0" w:color="000000"/>
              <w:right w:val="single" w:sz="8" w:space="0" w:color="000000"/>
            </w:tcBorders>
          </w:tcPr>
          <w:p w:rsidR="00AE471F" w:rsidRPr="007B1072" w:rsidRDefault="00AE471F" w:rsidP="003E3FFD">
            <w:pPr>
              <w:spacing w:line="360" w:lineRule="auto"/>
              <w:jc w:val="both"/>
              <w:rPr>
                <w:sz w:val="24"/>
                <w:szCs w:val="24"/>
              </w:rPr>
            </w:pPr>
          </w:p>
        </w:tc>
        <w:tc>
          <w:tcPr>
            <w:tcW w:w="1564" w:type="dxa"/>
            <w:tcBorders>
              <w:left w:val="single" w:sz="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.001</w:t>
            </w:r>
          </w:p>
        </w:tc>
      </w:tr>
      <w:tr w:rsidR="00AE471F" w:rsidRPr="007B1072">
        <w:trPr>
          <w:trHeight w:hRule="exact" w:val="544"/>
        </w:trPr>
        <w:tc>
          <w:tcPr>
            <w:tcW w:w="1457" w:type="dxa"/>
            <w:tcBorders>
              <w:left w:val="single" w:sz="18" w:space="0" w:color="000000"/>
            </w:tcBorders>
          </w:tcPr>
          <w:p w:rsidR="00AE471F" w:rsidRPr="007B1072" w:rsidRDefault="00AE471F" w:rsidP="003E3FFD">
            <w:pPr>
              <w:spacing w:line="360" w:lineRule="auto"/>
              <w:jc w:val="both"/>
              <w:rPr>
                <w:sz w:val="24"/>
                <w:szCs w:val="24"/>
              </w:rPr>
            </w:pPr>
          </w:p>
        </w:tc>
        <w:tc>
          <w:tcPr>
            <w:tcW w:w="1359" w:type="dxa"/>
          </w:tcPr>
          <w:p w:rsidR="00AE471F" w:rsidRPr="007B1072" w:rsidRDefault="00AE471F" w:rsidP="003E3FFD">
            <w:pPr>
              <w:spacing w:line="360" w:lineRule="auto"/>
              <w:jc w:val="both"/>
              <w:rPr>
                <w:sz w:val="24"/>
                <w:szCs w:val="24"/>
              </w:rPr>
            </w:pPr>
          </w:p>
        </w:tc>
        <w:tc>
          <w:tcPr>
            <w:tcW w:w="518" w:type="dxa"/>
          </w:tcPr>
          <w:p w:rsidR="00AE471F" w:rsidRPr="007B1072" w:rsidRDefault="00AE471F" w:rsidP="003E3FFD">
            <w:pPr>
              <w:spacing w:line="360" w:lineRule="auto"/>
              <w:jc w:val="both"/>
              <w:rPr>
                <w:sz w:val="24"/>
                <w:szCs w:val="24"/>
              </w:rPr>
            </w:pPr>
          </w:p>
        </w:tc>
        <w:tc>
          <w:tcPr>
            <w:tcW w:w="2691" w:type="dxa"/>
            <w:tcBorders>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N</w:t>
            </w:r>
          </w:p>
        </w:tc>
        <w:tc>
          <w:tcPr>
            <w:tcW w:w="2001" w:type="dxa"/>
            <w:tcBorders>
              <w:left w:val="single" w:sz="18" w:space="0" w:color="000000"/>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c>
          <w:tcPr>
            <w:tcW w:w="1564" w:type="dxa"/>
            <w:tcBorders>
              <w:left w:val="single" w:sz="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10</w:t>
            </w:r>
          </w:p>
        </w:tc>
      </w:tr>
      <w:tr w:rsidR="00AE471F" w:rsidRPr="007B1072">
        <w:trPr>
          <w:trHeight w:hRule="exact" w:val="543"/>
        </w:trPr>
        <w:tc>
          <w:tcPr>
            <w:tcW w:w="1457" w:type="dxa"/>
            <w:tcBorders>
              <w:left w:val="single" w:sz="18" w:space="0" w:color="000000"/>
            </w:tcBorders>
          </w:tcPr>
          <w:p w:rsidR="00AE471F" w:rsidRPr="007B1072" w:rsidRDefault="00AE471F" w:rsidP="003E3FFD">
            <w:pPr>
              <w:spacing w:line="360" w:lineRule="auto"/>
              <w:jc w:val="both"/>
              <w:rPr>
                <w:sz w:val="24"/>
                <w:szCs w:val="24"/>
              </w:rPr>
            </w:pPr>
          </w:p>
        </w:tc>
        <w:tc>
          <w:tcPr>
            <w:tcW w:w="1359" w:type="dxa"/>
          </w:tcPr>
          <w:p w:rsidR="00AE471F" w:rsidRPr="007B1072" w:rsidRDefault="00AE471F" w:rsidP="003E3FFD">
            <w:pPr>
              <w:spacing w:line="360" w:lineRule="auto"/>
              <w:jc w:val="both"/>
              <w:rPr>
                <w:sz w:val="24"/>
                <w:szCs w:val="24"/>
              </w:rPr>
            </w:pPr>
          </w:p>
        </w:tc>
        <w:tc>
          <w:tcPr>
            <w:tcW w:w="518" w:type="dxa"/>
          </w:tcPr>
          <w:p w:rsidR="00AE471F" w:rsidRPr="007B1072" w:rsidRDefault="00AE471F" w:rsidP="003E3FFD">
            <w:pPr>
              <w:spacing w:line="360" w:lineRule="auto"/>
              <w:jc w:val="both"/>
              <w:rPr>
                <w:sz w:val="24"/>
                <w:szCs w:val="24"/>
              </w:rPr>
            </w:pPr>
          </w:p>
        </w:tc>
        <w:tc>
          <w:tcPr>
            <w:tcW w:w="2691" w:type="dxa"/>
            <w:tcBorders>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Pearson Correlation</w:t>
            </w:r>
          </w:p>
        </w:tc>
        <w:tc>
          <w:tcPr>
            <w:tcW w:w="2001" w:type="dxa"/>
            <w:tcBorders>
              <w:left w:val="single" w:sz="18" w:space="0" w:color="000000"/>
              <w:right w:val="single" w:sz="8" w:space="0" w:color="000000"/>
            </w:tcBorders>
          </w:tcPr>
          <w:p w:rsidR="00AE471F" w:rsidRPr="007B1072" w:rsidRDefault="001D0173" w:rsidP="003E3FFD">
            <w:pPr>
              <w:spacing w:line="360" w:lineRule="auto"/>
              <w:jc w:val="both"/>
              <w:rPr>
                <w:sz w:val="24"/>
                <w:szCs w:val="24"/>
              </w:rPr>
            </w:pPr>
            <w:r w:rsidRPr="007B1072">
              <w:rPr>
                <w:sz w:val="24"/>
                <w:szCs w:val="24"/>
              </w:rPr>
              <w:t>.864**</w:t>
            </w:r>
          </w:p>
        </w:tc>
        <w:tc>
          <w:tcPr>
            <w:tcW w:w="1564" w:type="dxa"/>
            <w:tcBorders>
              <w:left w:val="single" w:sz="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1</w:t>
            </w:r>
          </w:p>
        </w:tc>
      </w:tr>
      <w:tr w:rsidR="00AE471F" w:rsidRPr="007B1072">
        <w:trPr>
          <w:trHeight w:hRule="exact" w:val="603"/>
        </w:trPr>
        <w:tc>
          <w:tcPr>
            <w:tcW w:w="1457" w:type="dxa"/>
            <w:tcBorders>
              <w:left w:val="single" w:sz="18" w:space="0" w:color="000000"/>
            </w:tcBorders>
          </w:tcPr>
          <w:p w:rsidR="00AE471F" w:rsidRPr="007B1072" w:rsidRDefault="001D0173" w:rsidP="003E3FFD">
            <w:pPr>
              <w:spacing w:line="360" w:lineRule="auto"/>
              <w:jc w:val="both"/>
              <w:rPr>
                <w:sz w:val="24"/>
                <w:szCs w:val="24"/>
              </w:rPr>
            </w:pPr>
            <w:r w:rsidRPr="007B1072">
              <w:rPr>
                <w:sz w:val="24"/>
                <w:szCs w:val="24"/>
              </w:rPr>
              <w:t>Net NPA%</w:t>
            </w:r>
          </w:p>
        </w:tc>
        <w:tc>
          <w:tcPr>
            <w:tcW w:w="1359" w:type="dxa"/>
          </w:tcPr>
          <w:p w:rsidR="00AE471F" w:rsidRPr="007B1072" w:rsidRDefault="00AE471F" w:rsidP="003E3FFD">
            <w:pPr>
              <w:spacing w:line="360" w:lineRule="auto"/>
              <w:jc w:val="both"/>
              <w:rPr>
                <w:sz w:val="24"/>
                <w:szCs w:val="24"/>
              </w:rPr>
            </w:pPr>
          </w:p>
        </w:tc>
        <w:tc>
          <w:tcPr>
            <w:tcW w:w="518" w:type="dxa"/>
          </w:tcPr>
          <w:p w:rsidR="00AE471F" w:rsidRPr="007B1072" w:rsidRDefault="00AE471F" w:rsidP="003E3FFD">
            <w:pPr>
              <w:spacing w:line="360" w:lineRule="auto"/>
              <w:jc w:val="both"/>
              <w:rPr>
                <w:sz w:val="24"/>
                <w:szCs w:val="24"/>
              </w:rPr>
            </w:pPr>
          </w:p>
        </w:tc>
        <w:tc>
          <w:tcPr>
            <w:tcW w:w="2691" w:type="dxa"/>
            <w:tcBorders>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Sig. (2-tailed)</w:t>
            </w:r>
          </w:p>
        </w:tc>
        <w:tc>
          <w:tcPr>
            <w:tcW w:w="2001" w:type="dxa"/>
            <w:tcBorders>
              <w:left w:val="single" w:sz="18" w:space="0" w:color="000000"/>
              <w:right w:val="single" w:sz="8" w:space="0" w:color="000000"/>
            </w:tcBorders>
          </w:tcPr>
          <w:p w:rsidR="00AE471F" w:rsidRPr="007B1072" w:rsidRDefault="001D0173" w:rsidP="003E3FFD">
            <w:pPr>
              <w:spacing w:line="360" w:lineRule="auto"/>
              <w:jc w:val="both"/>
              <w:rPr>
                <w:sz w:val="24"/>
                <w:szCs w:val="24"/>
              </w:rPr>
            </w:pPr>
            <w:r w:rsidRPr="007B1072">
              <w:rPr>
                <w:sz w:val="24"/>
                <w:szCs w:val="24"/>
              </w:rPr>
              <w:t>.001</w:t>
            </w:r>
          </w:p>
        </w:tc>
        <w:tc>
          <w:tcPr>
            <w:tcW w:w="1564" w:type="dxa"/>
            <w:tcBorders>
              <w:left w:val="single" w:sz="8" w:space="0" w:color="000000"/>
              <w:right w:val="single" w:sz="18" w:space="0" w:color="000000"/>
            </w:tcBorders>
          </w:tcPr>
          <w:p w:rsidR="00AE471F" w:rsidRPr="007B1072" w:rsidRDefault="00AE471F" w:rsidP="003E3FFD">
            <w:pPr>
              <w:spacing w:line="360" w:lineRule="auto"/>
              <w:jc w:val="both"/>
              <w:rPr>
                <w:sz w:val="24"/>
                <w:szCs w:val="24"/>
              </w:rPr>
            </w:pPr>
          </w:p>
        </w:tc>
      </w:tr>
      <w:tr w:rsidR="00AE471F" w:rsidRPr="007B1072">
        <w:trPr>
          <w:trHeight w:hRule="exact" w:val="606"/>
        </w:trPr>
        <w:tc>
          <w:tcPr>
            <w:tcW w:w="1457" w:type="dxa"/>
            <w:tcBorders>
              <w:left w:val="single" w:sz="18" w:space="0" w:color="000000"/>
              <w:bottom w:val="single" w:sz="18" w:space="0" w:color="000000"/>
            </w:tcBorders>
          </w:tcPr>
          <w:p w:rsidR="00AE471F" w:rsidRPr="007B1072" w:rsidRDefault="00AE471F" w:rsidP="003E3FFD">
            <w:pPr>
              <w:spacing w:line="360" w:lineRule="auto"/>
              <w:jc w:val="both"/>
              <w:rPr>
                <w:sz w:val="24"/>
                <w:szCs w:val="24"/>
              </w:rPr>
            </w:pPr>
          </w:p>
        </w:tc>
        <w:tc>
          <w:tcPr>
            <w:tcW w:w="1359" w:type="dxa"/>
            <w:tcBorders>
              <w:bottom w:val="single" w:sz="18" w:space="0" w:color="000000"/>
            </w:tcBorders>
          </w:tcPr>
          <w:p w:rsidR="00AE471F" w:rsidRPr="007B1072" w:rsidRDefault="00AE471F" w:rsidP="003E3FFD">
            <w:pPr>
              <w:spacing w:line="360" w:lineRule="auto"/>
              <w:jc w:val="both"/>
              <w:rPr>
                <w:sz w:val="24"/>
                <w:szCs w:val="24"/>
              </w:rPr>
            </w:pPr>
          </w:p>
        </w:tc>
        <w:tc>
          <w:tcPr>
            <w:tcW w:w="518" w:type="dxa"/>
            <w:tcBorders>
              <w:bottom w:val="single" w:sz="18" w:space="0" w:color="000000"/>
            </w:tcBorders>
          </w:tcPr>
          <w:p w:rsidR="00AE471F" w:rsidRPr="007B1072" w:rsidRDefault="00AE471F" w:rsidP="003E3FFD">
            <w:pPr>
              <w:spacing w:line="360" w:lineRule="auto"/>
              <w:jc w:val="both"/>
              <w:rPr>
                <w:sz w:val="24"/>
                <w:szCs w:val="24"/>
              </w:rPr>
            </w:pPr>
          </w:p>
        </w:tc>
        <w:tc>
          <w:tcPr>
            <w:tcW w:w="2691" w:type="dxa"/>
            <w:tcBorders>
              <w:bottom w:val="single" w:sz="1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N</w:t>
            </w:r>
          </w:p>
        </w:tc>
        <w:tc>
          <w:tcPr>
            <w:tcW w:w="2001" w:type="dxa"/>
            <w:tcBorders>
              <w:left w:val="single" w:sz="18" w:space="0" w:color="000000"/>
              <w:bottom w:val="single" w:sz="18" w:space="0" w:color="000000"/>
              <w:right w:val="single" w:sz="8" w:space="0" w:color="000000"/>
            </w:tcBorders>
          </w:tcPr>
          <w:p w:rsidR="00AE471F" w:rsidRPr="007B1072" w:rsidRDefault="001D0173" w:rsidP="003E3FFD">
            <w:pPr>
              <w:spacing w:line="360" w:lineRule="auto"/>
              <w:jc w:val="both"/>
              <w:rPr>
                <w:sz w:val="24"/>
                <w:szCs w:val="24"/>
              </w:rPr>
            </w:pPr>
            <w:r w:rsidRPr="007B1072">
              <w:rPr>
                <w:sz w:val="24"/>
                <w:szCs w:val="24"/>
              </w:rPr>
              <w:t>10</w:t>
            </w:r>
          </w:p>
        </w:tc>
        <w:tc>
          <w:tcPr>
            <w:tcW w:w="1564" w:type="dxa"/>
            <w:tcBorders>
              <w:left w:val="single" w:sz="8" w:space="0" w:color="000000"/>
              <w:bottom w:val="single" w:sz="18" w:space="0" w:color="000000"/>
              <w:right w:val="single" w:sz="18" w:space="0" w:color="000000"/>
            </w:tcBorders>
          </w:tcPr>
          <w:p w:rsidR="00AE471F" w:rsidRPr="007B1072" w:rsidRDefault="001D0173" w:rsidP="003E3FFD">
            <w:pPr>
              <w:spacing w:line="360" w:lineRule="auto"/>
              <w:jc w:val="both"/>
              <w:rPr>
                <w:sz w:val="24"/>
                <w:szCs w:val="24"/>
              </w:rPr>
            </w:pPr>
            <w:r w:rsidRPr="007B1072">
              <w:rPr>
                <w:sz w:val="24"/>
                <w:szCs w:val="24"/>
              </w:rPr>
              <w:t>10</w:t>
            </w:r>
          </w:p>
        </w:tc>
      </w:tr>
    </w:tbl>
    <w:p w:rsidR="00AE471F" w:rsidRPr="007B1072" w:rsidRDefault="001D0173" w:rsidP="003E3FFD">
      <w:pPr>
        <w:spacing w:line="360" w:lineRule="auto"/>
        <w:jc w:val="both"/>
        <w:rPr>
          <w:sz w:val="24"/>
          <w:szCs w:val="24"/>
        </w:rPr>
      </w:pPr>
      <w:r w:rsidRPr="007B1072">
        <w:rPr>
          <w:sz w:val="24"/>
          <w:szCs w:val="24"/>
        </w:rPr>
        <w:t>**. Correlation is significant at the 0.01 level (2-tailed).</w:t>
      </w:r>
    </w:p>
    <w:p w:rsidR="00F3635D" w:rsidRPr="007B1072" w:rsidRDefault="00F3635D" w:rsidP="003E3FFD">
      <w:pPr>
        <w:spacing w:line="360" w:lineRule="auto"/>
        <w:jc w:val="both"/>
        <w:rPr>
          <w:sz w:val="24"/>
          <w:szCs w:val="24"/>
        </w:rPr>
      </w:pPr>
    </w:p>
    <w:p w:rsidR="00771CDC" w:rsidRPr="007B1072" w:rsidRDefault="00771CDC" w:rsidP="003E3FFD">
      <w:pPr>
        <w:spacing w:line="360" w:lineRule="auto"/>
        <w:jc w:val="both"/>
        <w:rPr>
          <w:sz w:val="24"/>
          <w:szCs w:val="24"/>
        </w:rPr>
      </w:pPr>
      <w:r w:rsidRPr="007B1072">
        <w:rPr>
          <w:sz w:val="24"/>
          <w:szCs w:val="24"/>
        </w:rPr>
        <w:t xml:space="preserve">The </w:t>
      </w:r>
      <w:r w:rsidRPr="007B1072">
        <w:rPr>
          <w:b/>
          <w:bCs/>
          <w:sz w:val="24"/>
          <w:szCs w:val="24"/>
        </w:rPr>
        <w:t>correlation table no-3</w:t>
      </w:r>
      <w:r w:rsidRPr="007B1072">
        <w:rPr>
          <w:sz w:val="24"/>
          <w:szCs w:val="24"/>
        </w:rPr>
        <w:t xml:space="preserve"> shows that the rate of Net NPA and Advances are having the significant relation i.e. 0.864. The P-value in the above table, has been found, less than 5%, therefore the 2nd null hypothesis found disprove and it can be concluded that there is the significant relationship between share capital and Gross NPA in PNB Bank.</w:t>
      </w:r>
    </w:p>
    <w:p w:rsidR="00771CDC" w:rsidRPr="007B1072" w:rsidRDefault="00771CDC" w:rsidP="003E3FFD">
      <w:pPr>
        <w:spacing w:line="360" w:lineRule="auto"/>
        <w:jc w:val="both"/>
        <w:rPr>
          <w:sz w:val="24"/>
          <w:szCs w:val="24"/>
        </w:rPr>
      </w:pPr>
    </w:p>
    <w:p w:rsidR="00980C2E" w:rsidRPr="007B1072" w:rsidRDefault="00980C2E" w:rsidP="003E3FFD">
      <w:pPr>
        <w:pStyle w:val="ListParagraph"/>
        <w:numPr>
          <w:ilvl w:val="0"/>
          <w:numId w:val="9"/>
        </w:numPr>
        <w:rPr>
          <w:bCs/>
        </w:rPr>
      </w:pPr>
      <w:r w:rsidRPr="007B1072">
        <w:rPr>
          <w:bCs/>
        </w:rPr>
        <w:t>Result Interpretation and Discussion</w:t>
      </w:r>
    </w:p>
    <w:p w:rsidR="00F3635D" w:rsidRPr="007B1072" w:rsidRDefault="00F3635D" w:rsidP="003E3FFD">
      <w:pPr>
        <w:pStyle w:val="ListParagraph"/>
        <w:numPr>
          <w:ilvl w:val="0"/>
          <w:numId w:val="0"/>
        </w:numPr>
        <w:ind w:left="720"/>
        <w:rPr>
          <w:bCs/>
        </w:rPr>
      </w:pPr>
    </w:p>
    <w:p w:rsidR="00980C2E" w:rsidRPr="007B1072" w:rsidRDefault="00980C2E" w:rsidP="003E3FFD">
      <w:pPr>
        <w:spacing w:line="360" w:lineRule="auto"/>
        <w:jc w:val="both"/>
        <w:rPr>
          <w:sz w:val="24"/>
          <w:szCs w:val="24"/>
        </w:rPr>
      </w:pPr>
      <w:r w:rsidRPr="007B1072">
        <w:rPr>
          <w:sz w:val="24"/>
          <w:szCs w:val="24"/>
        </w:rPr>
        <w:t>The present study sought to explore the relationship between Non-Performing Assets (NPAs) and key financial indicators—namely, share capital and loans &amp; advances—within Punjab National Bank (PNB) from 2010 onward. The findings have shown statistically significant correlations across all tested variables, and these relationships carry implications both for bank management and policymakers.</w:t>
      </w:r>
    </w:p>
    <w:p w:rsidR="00980C2E" w:rsidRPr="007B1072" w:rsidRDefault="00980C2E" w:rsidP="003E3FFD">
      <w:pPr>
        <w:pStyle w:val="ListParagraph"/>
        <w:numPr>
          <w:ilvl w:val="0"/>
          <w:numId w:val="9"/>
        </w:numPr>
        <w:rPr>
          <w:bCs/>
        </w:rPr>
      </w:pPr>
      <w:r w:rsidRPr="007B1072">
        <w:rPr>
          <w:bCs/>
        </w:rPr>
        <w:lastRenderedPageBreak/>
        <w:t>Interpretation of Correlation Results</w:t>
      </w:r>
    </w:p>
    <w:p w:rsidR="00F3635D" w:rsidRPr="007B1072" w:rsidRDefault="00F3635D" w:rsidP="003E3FFD">
      <w:pPr>
        <w:spacing w:line="360" w:lineRule="auto"/>
        <w:jc w:val="both"/>
        <w:rPr>
          <w:bCs/>
          <w:sz w:val="24"/>
          <w:szCs w:val="24"/>
          <w:u w:val="single"/>
        </w:rPr>
      </w:pPr>
    </w:p>
    <w:p w:rsidR="00980C2E" w:rsidRPr="007B1072" w:rsidRDefault="00980C2E" w:rsidP="003E3FFD">
      <w:pPr>
        <w:spacing w:line="360" w:lineRule="auto"/>
        <w:jc w:val="both"/>
        <w:rPr>
          <w:sz w:val="24"/>
          <w:szCs w:val="24"/>
        </w:rPr>
      </w:pPr>
      <w:r w:rsidRPr="007B1072">
        <w:rPr>
          <w:sz w:val="24"/>
          <w:szCs w:val="24"/>
        </w:rPr>
        <w:t>The correlation analysis reveals:</w:t>
      </w:r>
    </w:p>
    <w:p w:rsidR="00F3635D" w:rsidRPr="007B1072" w:rsidRDefault="00EE373B" w:rsidP="003E3FFD">
      <w:pPr>
        <w:pStyle w:val="ListParagraph"/>
        <w:numPr>
          <w:ilvl w:val="0"/>
          <w:numId w:val="10"/>
        </w:numPr>
        <w:rPr>
          <w:b w:val="0"/>
          <w:bCs/>
          <w:u w:val="none"/>
        </w:rPr>
      </w:pPr>
      <w:r w:rsidRPr="007B1072">
        <w:rPr>
          <w:b w:val="0"/>
          <w:bCs/>
          <w:u w:val="none"/>
        </w:rPr>
        <w:t xml:space="preserve">          </w:t>
      </w:r>
      <w:r w:rsidR="00980C2E" w:rsidRPr="007B1072">
        <w:rPr>
          <w:b w:val="0"/>
          <w:bCs/>
          <w:u w:val="none"/>
        </w:rPr>
        <w:t>A strong positive correlation (r = 0.712) between Share Capital and Gross NPA, indicating that as PNB increased its share capital over the years, gross NPAs also increased. This suggests that capital infusion alone may not be effective in reducing bad loans unless accompanied by robust risk assessment and monitoring mechanisms.</w:t>
      </w:r>
    </w:p>
    <w:p w:rsidR="00F3635D" w:rsidRPr="007B1072" w:rsidRDefault="00EE373B" w:rsidP="003E3FFD">
      <w:pPr>
        <w:pStyle w:val="ListParagraph"/>
        <w:numPr>
          <w:ilvl w:val="0"/>
          <w:numId w:val="10"/>
        </w:numPr>
        <w:rPr>
          <w:b w:val="0"/>
          <w:bCs/>
          <w:u w:val="none"/>
        </w:rPr>
      </w:pPr>
      <w:r w:rsidRPr="007B1072">
        <w:rPr>
          <w:b w:val="0"/>
          <w:bCs/>
          <w:u w:val="none"/>
        </w:rPr>
        <w:t xml:space="preserve">          </w:t>
      </w:r>
      <w:r w:rsidR="00980C2E" w:rsidRPr="007B1072">
        <w:rPr>
          <w:b w:val="0"/>
          <w:bCs/>
          <w:u w:val="none"/>
        </w:rPr>
        <w:t>A very strong positive correlation (r = 0.898) between Loans &amp; Advances and Gross NPA, implying that a higher volume of lending is closely associated with a higher volume of NPAs. This aligns with historical trends, where aggressive lending, particularly in the post-2008 economic boom, resulted in a ballooning of NPAs due to deteriorating credit quality.</w:t>
      </w:r>
    </w:p>
    <w:p w:rsidR="00980C2E" w:rsidRPr="007B1072" w:rsidRDefault="00980C2E" w:rsidP="003E3FFD">
      <w:pPr>
        <w:pStyle w:val="ListParagraph"/>
        <w:numPr>
          <w:ilvl w:val="0"/>
          <w:numId w:val="10"/>
        </w:numPr>
        <w:rPr>
          <w:b w:val="0"/>
          <w:bCs/>
          <w:u w:val="none"/>
        </w:rPr>
      </w:pPr>
      <w:r w:rsidRPr="007B1072">
        <w:rPr>
          <w:b w:val="0"/>
          <w:bCs/>
          <w:u w:val="none"/>
        </w:rPr>
        <w:t>Similarly, a very strong positive correlation (r = 0.864) between Loans &amp; Advances and Net NPA further underscores that not only are gross NPAs rising with increased advances, but net NPAs—those not yet provisioned for—are also increasing. This highlights inefficiencies in loan recovery mechanisms and suggests possible lapses in follow-up and restructuring processes.</w:t>
      </w:r>
    </w:p>
    <w:p w:rsidR="00F3635D" w:rsidRPr="007B1072" w:rsidRDefault="00F3635D" w:rsidP="003E3FFD">
      <w:pPr>
        <w:spacing w:line="360" w:lineRule="auto"/>
        <w:jc w:val="both"/>
        <w:rPr>
          <w:bCs/>
          <w:sz w:val="24"/>
          <w:szCs w:val="24"/>
        </w:rPr>
      </w:pPr>
    </w:p>
    <w:p w:rsidR="00980C2E" w:rsidRPr="007B1072" w:rsidRDefault="00980C2E" w:rsidP="003E3FFD">
      <w:pPr>
        <w:pStyle w:val="ListParagraph"/>
        <w:numPr>
          <w:ilvl w:val="0"/>
          <w:numId w:val="9"/>
        </w:numPr>
        <w:rPr>
          <w:bCs/>
        </w:rPr>
      </w:pPr>
      <w:r w:rsidRPr="007B1072">
        <w:rPr>
          <w:bCs/>
        </w:rPr>
        <w:t>Broader Implications</w:t>
      </w:r>
    </w:p>
    <w:p w:rsidR="00F3635D" w:rsidRPr="007B1072" w:rsidRDefault="00F3635D" w:rsidP="003E3FFD">
      <w:pPr>
        <w:pStyle w:val="ListParagraph"/>
        <w:numPr>
          <w:ilvl w:val="0"/>
          <w:numId w:val="0"/>
        </w:numPr>
        <w:ind w:left="720"/>
        <w:rPr>
          <w:bCs/>
        </w:rPr>
      </w:pPr>
    </w:p>
    <w:p w:rsidR="00980C2E" w:rsidRPr="007B1072" w:rsidRDefault="00980C2E" w:rsidP="003E3FFD">
      <w:pPr>
        <w:spacing w:line="360" w:lineRule="auto"/>
        <w:jc w:val="both"/>
        <w:rPr>
          <w:sz w:val="24"/>
          <w:szCs w:val="24"/>
        </w:rPr>
      </w:pPr>
      <w:r w:rsidRPr="007B1072">
        <w:rPr>
          <w:sz w:val="24"/>
          <w:szCs w:val="24"/>
        </w:rPr>
        <w:t>The results of this study reinforce broader concerns about the structural challenges in credit appraisal and risk management within Indian public sector banks. The increase in NPAs despite higher capital and lending growth points to systemic issues in governance, project viability assessment, and sectoral exposure, particularly in infrastructure and large corporates.</w:t>
      </w:r>
    </w:p>
    <w:p w:rsidR="00F3635D" w:rsidRPr="007B1072" w:rsidRDefault="00F3635D" w:rsidP="003E3FFD">
      <w:pPr>
        <w:spacing w:line="360" w:lineRule="auto"/>
        <w:jc w:val="both"/>
        <w:rPr>
          <w:sz w:val="24"/>
          <w:szCs w:val="24"/>
        </w:rPr>
      </w:pPr>
    </w:p>
    <w:p w:rsidR="00980C2E" w:rsidRPr="007B1072" w:rsidRDefault="00980C2E" w:rsidP="003E3FFD">
      <w:pPr>
        <w:spacing w:line="360" w:lineRule="auto"/>
        <w:jc w:val="both"/>
        <w:rPr>
          <w:sz w:val="24"/>
          <w:szCs w:val="24"/>
        </w:rPr>
      </w:pPr>
      <w:r w:rsidRPr="007B1072">
        <w:rPr>
          <w:sz w:val="24"/>
          <w:szCs w:val="24"/>
        </w:rPr>
        <w:t>Moreover, the findings validate concerns raised by the Standing Committee on Finance and the RBI's ongoing efforts toward reforming stressed asset recognition and resolution frameworks. The significance of these correlations underlines the importance of not only quantitative expansion of banking services but also qualitative improvements in credit risk management.</w:t>
      </w:r>
    </w:p>
    <w:p w:rsidR="00F3635D" w:rsidRPr="007B1072" w:rsidRDefault="00F3635D" w:rsidP="003E3FFD">
      <w:pPr>
        <w:spacing w:line="360" w:lineRule="auto"/>
        <w:jc w:val="both"/>
        <w:rPr>
          <w:sz w:val="24"/>
          <w:szCs w:val="24"/>
        </w:rPr>
      </w:pPr>
    </w:p>
    <w:p w:rsidR="00980C2E" w:rsidRPr="007B1072" w:rsidRDefault="00980C2E" w:rsidP="003E3FFD">
      <w:pPr>
        <w:pStyle w:val="ListParagraph"/>
        <w:numPr>
          <w:ilvl w:val="0"/>
          <w:numId w:val="9"/>
        </w:numPr>
        <w:rPr>
          <w:bCs/>
        </w:rPr>
      </w:pPr>
      <w:r w:rsidRPr="007B1072">
        <w:rPr>
          <w:bCs/>
        </w:rPr>
        <w:t>Policy and Strategic Recommendations</w:t>
      </w:r>
    </w:p>
    <w:p w:rsidR="00F3635D" w:rsidRPr="007B1072" w:rsidRDefault="00F3635D" w:rsidP="003E3FFD">
      <w:pPr>
        <w:spacing w:line="360" w:lineRule="auto"/>
        <w:jc w:val="both"/>
        <w:rPr>
          <w:sz w:val="24"/>
          <w:szCs w:val="24"/>
        </w:rPr>
      </w:pPr>
    </w:p>
    <w:p w:rsidR="00F3635D" w:rsidRPr="007B1072" w:rsidRDefault="00EE373B" w:rsidP="003E3FFD">
      <w:pPr>
        <w:pStyle w:val="ListParagraph"/>
        <w:numPr>
          <w:ilvl w:val="0"/>
          <w:numId w:val="11"/>
        </w:numPr>
        <w:rPr>
          <w:b w:val="0"/>
          <w:u w:val="none"/>
        </w:rPr>
      </w:pPr>
      <w:r w:rsidRPr="007B1072">
        <w:rPr>
          <w:b w:val="0"/>
          <w:u w:val="none"/>
        </w:rPr>
        <w:t xml:space="preserve">        </w:t>
      </w:r>
      <w:r w:rsidR="008D3C80" w:rsidRPr="007B1072">
        <w:rPr>
          <w:bCs/>
          <w:u w:val="none"/>
        </w:rPr>
        <w:t xml:space="preserve">    </w:t>
      </w:r>
      <w:r w:rsidRPr="007B1072">
        <w:rPr>
          <w:bCs/>
          <w:u w:val="none"/>
        </w:rPr>
        <w:t xml:space="preserve"> </w:t>
      </w:r>
      <w:r w:rsidR="00980C2E" w:rsidRPr="007B1072">
        <w:rPr>
          <w:bCs/>
          <w:u w:val="none"/>
        </w:rPr>
        <w:t>Enhanced Credit Appraisal:</w:t>
      </w:r>
      <w:r w:rsidR="00980C2E" w:rsidRPr="007B1072">
        <w:rPr>
          <w:b w:val="0"/>
          <w:u w:val="none"/>
        </w:rPr>
        <w:t xml:space="preserve"> PNB and other banks must strengthen due diligence processes and adopt more sophisticated credit-scoring models to better evaluate borrower risk.</w:t>
      </w:r>
    </w:p>
    <w:p w:rsidR="00F3635D" w:rsidRPr="007B1072" w:rsidRDefault="00F3635D" w:rsidP="003E3FFD">
      <w:pPr>
        <w:pStyle w:val="ListParagraph"/>
        <w:numPr>
          <w:ilvl w:val="0"/>
          <w:numId w:val="11"/>
        </w:numPr>
        <w:rPr>
          <w:b w:val="0"/>
          <w:u w:val="none"/>
        </w:rPr>
      </w:pPr>
      <w:r w:rsidRPr="007B1072">
        <w:rPr>
          <w:b w:val="0"/>
          <w:u w:val="none"/>
        </w:rPr>
        <w:t xml:space="preserve">            </w:t>
      </w:r>
      <w:r w:rsidR="00980C2E" w:rsidRPr="007B1072">
        <w:rPr>
          <w:bCs/>
          <w:u w:val="none"/>
        </w:rPr>
        <w:t>Targeted Sectoral Policies:</w:t>
      </w:r>
      <w:r w:rsidR="00980C2E" w:rsidRPr="007B1072">
        <w:rPr>
          <w:b w:val="0"/>
          <w:u w:val="none"/>
        </w:rPr>
        <w:t xml:space="preserve"> Lending should be aligned with sectoral health and economic trends to avoid overexposure to stressed industries such as power, steel, and </w:t>
      </w:r>
      <w:r w:rsidR="00980C2E" w:rsidRPr="007B1072">
        <w:rPr>
          <w:b w:val="0"/>
          <w:u w:val="none"/>
        </w:rPr>
        <w:lastRenderedPageBreak/>
        <w:t>infrastructure.</w:t>
      </w:r>
    </w:p>
    <w:p w:rsidR="00F3635D" w:rsidRPr="007B1072" w:rsidRDefault="00980C2E" w:rsidP="003E3FFD">
      <w:pPr>
        <w:pStyle w:val="ListParagraph"/>
        <w:numPr>
          <w:ilvl w:val="0"/>
          <w:numId w:val="11"/>
        </w:numPr>
        <w:rPr>
          <w:b w:val="0"/>
          <w:bCs/>
        </w:rPr>
      </w:pPr>
      <w:r w:rsidRPr="007B1072">
        <w:rPr>
          <w:u w:val="none"/>
        </w:rPr>
        <w:t>Timely Resolution Frameworks:</w:t>
      </w:r>
      <w:r w:rsidRPr="007B1072">
        <w:rPr>
          <w:b w:val="0"/>
          <w:bCs/>
          <w:u w:val="none"/>
        </w:rPr>
        <w:t xml:space="preserve"> Banks must actively engage with insolvency processes and ensure swift action under the Insolvency and Bankruptcy Code (IBC) to prevent further asset erosion</w:t>
      </w:r>
      <w:r w:rsidRPr="007B1072">
        <w:rPr>
          <w:b w:val="0"/>
          <w:bCs/>
        </w:rPr>
        <w:t>.</w:t>
      </w:r>
    </w:p>
    <w:p w:rsidR="00F3635D" w:rsidRPr="007B1072" w:rsidRDefault="00980C2E" w:rsidP="003E3FFD">
      <w:pPr>
        <w:pStyle w:val="ListParagraph"/>
        <w:numPr>
          <w:ilvl w:val="0"/>
          <w:numId w:val="11"/>
        </w:numPr>
        <w:rPr>
          <w:b w:val="0"/>
          <w:bCs/>
          <w:u w:val="none"/>
        </w:rPr>
      </w:pPr>
      <w:r w:rsidRPr="007B1072">
        <w:rPr>
          <w:u w:val="none"/>
        </w:rPr>
        <w:t>Performance-Linked Capital Infusion:</w:t>
      </w:r>
      <w:r w:rsidRPr="007B1072">
        <w:rPr>
          <w:b w:val="0"/>
          <w:bCs/>
          <w:u w:val="none"/>
        </w:rPr>
        <w:t xml:space="preserve"> Government support in the form of capital should be linked to performance indicators, such as reductions in NPA ratios and improvements in recovery rates.</w:t>
      </w:r>
    </w:p>
    <w:p w:rsidR="00980C2E" w:rsidRPr="007B1072" w:rsidRDefault="00F3635D" w:rsidP="003E3FFD">
      <w:pPr>
        <w:pStyle w:val="ListParagraph"/>
        <w:numPr>
          <w:ilvl w:val="0"/>
          <w:numId w:val="11"/>
        </w:numPr>
        <w:rPr>
          <w:b w:val="0"/>
          <w:bCs/>
          <w:u w:val="none"/>
        </w:rPr>
      </w:pPr>
      <w:r w:rsidRPr="007B1072">
        <w:rPr>
          <w:b w:val="0"/>
          <w:bCs/>
          <w:u w:val="none"/>
        </w:rPr>
        <w:t xml:space="preserve">             </w:t>
      </w:r>
      <w:r w:rsidR="00980C2E" w:rsidRPr="007B1072">
        <w:rPr>
          <w:u w:val="none"/>
        </w:rPr>
        <w:t>Use of Technology:</w:t>
      </w:r>
      <w:r w:rsidR="00980C2E" w:rsidRPr="007B1072">
        <w:rPr>
          <w:b w:val="0"/>
          <w:bCs/>
          <w:u w:val="none"/>
        </w:rPr>
        <w:t xml:space="preserve"> Data analytics and AI-based monitoring tools can help flag early signs of loan distress, allowing banks to take proactive steps before loans become non-performing.</w:t>
      </w:r>
    </w:p>
    <w:p w:rsidR="00F3635D" w:rsidRPr="007B1072" w:rsidRDefault="00F3635D" w:rsidP="003E3FFD">
      <w:pPr>
        <w:pStyle w:val="ListParagraph"/>
        <w:numPr>
          <w:ilvl w:val="0"/>
          <w:numId w:val="0"/>
        </w:numPr>
        <w:ind w:left="720"/>
      </w:pPr>
    </w:p>
    <w:p w:rsidR="00980C2E" w:rsidRPr="007B1072" w:rsidRDefault="00980C2E" w:rsidP="003E3FFD">
      <w:pPr>
        <w:pStyle w:val="ListParagraph"/>
        <w:numPr>
          <w:ilvl w:val="0"/>
          <w:numId w:val="9"/>
        </w:numPr>
      </w:pPr>
      <w:r w:rsidRPr="007B1072">
        <w:t>Limitations and Scope for Further Study</w:t>
      </w:r>
    </w:p>
    <w:p w:rsidR="00980C2E" w:rsidRPr="007B1072" w:rsidRDefault="00980C2E" w:rsidP="003E3FFD">
      <w:pPr>
        <w:spacing w:line="360" w:lineRule="auto"/>
        <w:jc w:val="both"/>
        <w:rPr>
          <w:sz w:val="24"/>
          <w:szCs w:val="24"/>
        </w:rPr>
      </w:pPr>
      <w:r w:rsidRPr="007B1072">
        <w:rPr>
          <w:sz w:val="24"/>
          <w:szCs w:val="24"/>
        </w:rPr>
        <w:t>This study focuses exclusively on Punjab National Bank and uses secondary data for analysis. Future studies can expand the scope to include comparative analysis across multiple public and private sector banks, incorporating additional variables such as sectoral loan distribution, provisioning coverage ratio, and return on assets to derive more comprehensive insights.</w:t>
      </w:r>
    </w:p>
    <w:p w:rsidR="00980C2E" w:rsidRPr="007B1072" w:rsidRDefault="00980C2E" w:rsidP="003E3FFD">
      <w:pPr>
        <w:spacing w:line="360" w:lineRule="auto"/>
        <w:jc w:val="both"/>
        <w:rPr>
          <w:sz w:val="24"/>
          <w:szCs w:val="24"/>
        </w:rPr>
      </w:pPr>
    </w:p>
    <w:p w:rsidR="00AE471F" w:rsidRPr="007B1072" w:rsidRDefault="001D0173" w:rsidP="00177028">
      <w:pPr>
        <w:pStyle w:val="ListParagraph"/>
      </w:pPr>
      <w:r w:rsidRPr="00177028">
        <w:t>Conclusion</w:t>
      </w:r>
      <w:r w:rsidRPr="007B1072">
        <w:t>:</w:t>
      </w:r>
    </w:p>
    <w:p w:rsidR="00AE471F" w:rsidRPr="007B1072" w:rsidRDefault="00AE471F" w:rsidP="003E3FFD">
      <w:pPr>
        <w:spacing w:line="360" w:lineRule="auto"/>
        <w:jc w:val="both"/>
        <w:rPr>
          <w:sz w:val="24"/>
          <w:szCs w:val="24"/>
        </w:rPr>
      </w:pPr>
    </w:p>
    <w:p w:rsidR="00F3635D" w:rsidRPr="007B1072" w:rsidRDefault="00F3635D" w:rsidP="003E3FFD">
      <w:pPr>
        <w:widowControl/>
        <w:autoSpaceDE/>
        <w:autoSpaceDN/>
        <w:spacing w:before="100" w:beforeAutospacing="1" w:after="100" w:afterAutospacing="1" w:line="360" w:lineRule="auto"/>
        <w:ind w:firstLine="525"/>
        <w:jc w:val="both"/>
        <w:rPr>
          <w:sz w:val="24"/>
          <w:szCs w:val="24"/>
          <w:lang w:val="en-IN" w:eastAsia="en-IN" w:bidi="hi-IN"/>
        </w:rPr>
      </w:pPr>
      <w:r w:rsidRPr="007B1072">
        <w:rPr>
          <w:sz w:val="24"/>
          <w:szCs w:val="24"/>
          <w:lang w:val="en-IN" w:eastAsia="en-IN" w:bidi="hi-IN"/>
        </w:rPr>
        <w:t xml:space="preserve">This study has highlighted the critical and persistent issue of Non-Performing Assets (NPAs) in Punjab National Bank (PNB) since 2010, using statistical correlation analysis to examine the relationship between NPAs and key financial variables such as share capital and loans &amp; advances. The findings reveal a strong and statistically significant positive correlation between Gross/Net NPAs and both share capital and advances. This underscores that while the bank has expanded its lending operations and received increased capital infusion, these measures alone have not effectively contained the rise in </w:t>
      </w:r>
      <w:proofErr w:type="spellStart"/>
      <w:r w:rsidRPr="007B1072">
        <w:rPr>
          <w:sz w:val="24"/>
          <w:szCs w:val="24"/>
          <w:lang w:val="en-IN" w:eastAsia="en-IN" w:bidi="hi-IN"/>
        </w:rPr>
        <w:t>NPAs.The</w:t>
      </w:r>
      <w:proofErr w:type="spellEnd"/>
      <w:r w:rsidRPr="007B1072">
        <w:rPr>
          <w:sz w:val="24"/>
          <w:szCs w:val="24"/>
          <w:lang w:val="en-IN" w:eastAsia="en-IN" w:bidi="hi-IN"/>
        </w:rPr>
        <w:t xml:space="preserve"> results suggest that the growing volume of NPAs is deeply embedded in structural inefficiencies related to credit appraisal, loan monitoring, and recovery systems. The study’s evidence supports the call for a more strategic and disciplined lending framework, where growth in advances is matched by robust credit risk management practices and sectoral prudence.</w:t>
      </w:r>
    </w:p>
    <w:p w:rsidR="00F3635D" w:rsidRPr="007B1072" w:rsidRDefault="00F3635D" w:rsidP="003E3FFD">
      <w:pPr>
        <w:widowControl/>
        <w:autoSpaceDE/>
        <w:autoSpaceDN/>
        <w:spacing w:before="100" w:beforeAutospacing="1" w:after="100" w:afterAutospacing="1" w:line="360" w:lineRule="auto"/>
        <w:ind w:firstLine="525"/>
        <w:jc w:val="both"/>
        <w:rPr>
          <w:sz w:val="24"/>
          <w:szCs w:val="24"/>
          <w:lang w:val="en-IN" w:eastAsia="en-IN" w:bidi="hi-IN"/>
        </w:rPr>
      </w:pPr>
      <w:r w:rsidRPr="007B1072">
        <w:rPr>
          <w:sz w:val="24"/>
          <w:szCs w:val="24"/>
          <w:lang w:val="en-IN" w:eastAsia="en-IN" w:bidi="hi-IN"/>
        </w:rPr>
        <w:t>Furthermore, the correlation between increased capital and rising NPAs suggests that recapitalization of banks without parallel governance reforms is unlikely to yield lasting improvement. Therefore, tackling the NPA crisis requires not only regulatory oversight and policy reform, but also internal institutional restructuring to improve operational efficiency and accountability.</w:t>
      </w:r>
    </w:p>
    <w:p w:rsidR="00F3635D" w:rsidRPr="007B1072" w:rsidRDefault="00F3635D" w:rsidP="003E3FFD">
      <w:pPr>
        <w:widowControl/>
        <w:autoSpaceDE/>
        <w:autoSpaceDN/>
        <w:spacing w:before="100" w:beforeAutospacing="1" w:after="100" w:afterAutospacing="1" w:line="360" w:lineRule="auto"/>
        <w:ind w:firstLine="525"/>
        <w:jc w:val="both"/>
        <w:rPr>
          <w:sz w:val="24"/>
          <w:szCs w:val="24"/>
          <w:lang w:val="en-IN" w:eastAsia="en-IN" w:bidi="hi-IN"/>
        </w:rPr>
      </w:pPr>
      <w:r w:rsidRPr="007B1072">
        <w:rPr>
          <w:sz w:val="24"/>
          <w:szCs w:val="24"/>
          <w:lang w:val="en-IN" w:eastAsia="en-IN" w:bidi="hi-IN"/>
        </w:rPr>
        <w:lastRenderedPageBreak/>
        <w:t>In conclusion, while the study has provided valuable insights into the NPA trends in PNB, its implications are broadly applicable across the Indian banking sector. With coordinated policy intervention, improved financial discipline, and modern risk assessment tools, banks can move toward sustainable growth while mitigating the risk of future asset deterioration.</w:t>
      </w:r>
    </w:p>
    <w:p w:rsidR="00AE471F" w:rsidRPr="007B1072" w:rsidRDefault="00AE471F" w:rsidP="003E3FFD">
      <w:pPr>
        <w:spacing w:line="360" w:lineRule="auto"/>
        <w:jc w:val="both"/>
        <w:rPr>
          <w:sz w:val="24"/>
          <w:szCs w:val="24"/>
        </w:rPr>
        <w:sectPr w:rsidR="00AE471F" w:rsidRPr="007B1072">
          <w:headerReference w:type="even" r:id="rId12"/>
          <w:headerReference w:type="default" r:id="rId13"/>
          <w:footerReference w:type="even" r:id="rId14"/>
          <w:footerReference w:type="default" r:id="rId15"/>
          <w:headerReference w:type="first" r:id="rId16"/>
          <w:footerReference w:type="first" r:id="rId17"/>
          <w:pgSz w:w="11910" w:h="16840"/>
          <w:pgMar w:top="1340" w:right="708" w:bottom="740" w:left="1417" w:header="362" w:footer="559" w:gutter="0"/>
          <w:cols w:space="720"/>
        </w:sectPr>
      </w:pPr>
    </w:p>
    <w:p w:rsidR="00AE471F" w:rsidRPr="007B1072" w:rsidRDefault="001D0173" w:rsidP="003E3FFD">
      <w:pPr>
        <w:pStyle w:val="ListParagraph"/>
      </w:pPr>
      <w:r w:rsidRPr="007B1072">
        <w:lastRenderedPageBreak/>
        <w:t>References</w:t>
      </w:r>
    </w:p>
    <w:p w:rsidR="00AE471F" w:rsidRPr="007B1072" w:rsidRDefault="00AE471F" w:rsidP="003E3FFD">
      <w:pPr>
        <w:spacing w:line="360" w:lineRule="auto"/>
        <w:jc w:val="both"/>
        <w:rPr>
          <w:sz w:val="24"/>
          <w:szCs w:val="24"/>
        </w:rPr>
      </w:pP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xml:space="preserve">  </w:t>
      </w:r>
      <w:proofErr w:type="spellStart"/>
      <w:r w:rsidRPr="007B1072">
        <w:rPr>
          <w:sz w:val="24"/>
          <w:szCs w:val="24"/>
        </w:rPr>
        <w:t>Chakrabarty</w:t>
      </w:r>
      <w:proofErr w:type="spellEnd"/>
      <w:proofErr w:type="gramEnd"/>
      <w:r w:rsidRPr="007B1072">
        <w:rPr>
          <w:sz w:val="24"/>
          <w:szCs w:val="24"/>
        </w:rPr>
        <w:t xml:space="preserve">, K. C. (2020). Strengthening credit discipline in banks. </w:t>
      </w:r>
      <w:r w:rsidRPr="007B1072">
        <w:rPr>
          <w:rStyle w:val="Emphasis"/>
          <w:sz w:val="24"/>
          <w:szCs w:val="24"/>
        </w:rPr>
        <w:t>RBI Occasional Papers, 41</w:t>
      </w:r>
      <w:r w:rsidRPr="007B1072">
        <w:rPr>
          <w:sz w:val="24"/>
          <w:szCs w:val="24"/>
        </w:rPr>
        <w:t>(2), 89–106.</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CRISIL</w:t>
      </w:r>
      <w:proofErr w:type="gramEnd"/>
      <w:r w:rsidRPr="007B1072">
        <w:rPr>
          <w:sz w:val="24"/>
          <w:szCs w:val="24"/>
        </w:rPr>
        <w:t xml:space="preserve">. (2023). </w:t>
      </w:r>
      <w:r w:rsidRPr="007B1072">
        <w:rPr>
          <w:rStyle w:val="Emphasis"/>
          <w:sz w:val="24"/>
          <w:szCs w:val="24"/>
        </w:rPr>
        <w:t>Indian banking sector outlook – Moderate asset quality risks in FY24</w:t>
      </w:r>
      <w:r w:rsidRPr="007B1072">
        <w:rPr>
          <w:sz w:val="24"/>
          <w:szCs w:val="24"/>
        </w:rPr>
        <w:t xml:space="preserve">. Retrieved from </w:t>
      </w:r>
      <w:hyperlink r:id="rId18" w:tgtFrame="_new" w:history="1">
        <w:r w:rsidRPr="007B1072">
          <w:rPr>
            <w:rStyle w:val="Hyperlink"/>
            <w:sz w:val="24"/>
            <w:szCs w:val="24"/>
          </w:rPr>
          <w:t>https://www.crisil.com</w:t>
        </w:r>
      </w:hyperlink>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Deloitte</w:t>
      </w:r>
      <w:proofErr w:type="gramEnd"/>
      <w:r w:rsidRPr="007B1072">
        <w:rPr>
          <w:sz w:val="24"/>
          <w:szCs w:val="24"/>
        </w:rPr>
        <w:t xml:space="preserve"> India. (2021). </w:t>
      </w:r>
      <w:r w:rsidRPr="007B1072">
        <w:rPr>
          <w:rStyle w:val="Emphasis"/>
          <w:sz w:val="24"/>
          <w:szCs w:val="24"/>
        </w:rPr>
        <w:t>Unlocking value through NPA resolution: The post-IBC landscape</w:t>
      </w:r>
      <w:r w:rsidRPr="007B1072">
        <w:rPr>
          <w:sz w:val="24"/>
          <w:szCs w:val="24"/>
        </w:rPr>
        <w:t>. Retrieved from https://www2.deloitte.com/in</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Gupta</w:t>
      </w:r>
      <w:proofErr w:type="gramEnd"/>
      <w:r w:rsidRPr="007B1072">
        <w:rPr>
          <w:sz w:val="24"/>
          <w:szCs w:val="24"/>
        </w:rPr>
        <w:t xml:space="preserve">, A. (2010). </w:t>
      </w:r>
      <w:r w:rsidRPr="007B1072">
        <w:rPr>
          <w:rStyle w:val="Emphasis"/>
          <w:sz w:val="24"/>
          <w:szCs w:val="24"/>
        </w:rPr>
        <w:t>Non-performing assets in Indian banks: Issues, perspectives and future directions</w:t>
      </w:r>
      <w:r w:rsidRPr="007B1072">
        <w:rPr>
          <w:sz w:val="24"/>
          <w:szCs w:val="24"/>
        </w:rPr>
        <w:t>. LAP Lambert Academic Publishing.</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Gupta</w:t>
      </w:r>
      <w:proofErr w:type="gramEnd"/>
      <w:r w:rsidRPr="007B1072">
        <w:rPr>
          <w:sz w:val="24"/>
          <w:szCs w:val="24"/>
        </w:rPr>
        <w:t xml:space="preserve">, P., &amp; Kapoor, R. (2021). Non-performing assets in India: Trends, causes, and resolution mechanisms. </w:t>
      </w:r>
      <w:r w:rsidRPr="007B1072">
        <w:rPr>
          <w:rStyle w:val="Emphasis"/>
          <w:sz w:val="24"/>
          <w:szCs w:val="24"/>
        </w:rPr>
        <w:t>Journal of Banking and Finance, 45</w:t>
      </w:r>
      <w:r w:rsidRPr="007B1072">
        <w:rPr>
          <w:sz w:val="24"/>
          <w:szCs w:val="24"/>
        </w:rPr>
        <w:t>(3), 233–247.</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Indian</w:t>
      </w:r>
      <w:proofErr w:type="gramEnd"/>
      <w:r w:rsidRPr="007B1072">
        <w:rPr>
          <w:sz w:val="24"/>
          <w:szCs w:val="24"/>
        </w:rPr>
        <w:t xml:space="preserve"> Banks’ Association. (2020). </w:t>
      </w:r>
      <w:r w:rsidRPr="007B1072">
        <w:rPr>
          <w:rStyle w:val="Emphasis"/>
          <w:sz w:val="24"/>
          <w:szCs w:val="24"/>
        </w:rPr>
        <w:t>Impact of IBC on NPAs and debt recovery</w:t>
      </w:r>
      <w:r w:rsidRPr="007B1072">
        <w:rPr>
          <w:sz w:val="24"/>
          <w:szCs w:val="24"/>
        </w:rPr>
        <w:t>. Mumbai: IBA Publications.</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xml:space="preserve">  </w:t>
      </w:r>
      <w:proofErr w:type="spellStart"/>
      <w:r w:rsidRPr="007B1072">
        <w:rPr>
          <w:sz w:val="24"/>
          <w:szCs w:val="24"/>
        </w:rPr>
        <w:t>Kavitha</w:t>
      </w:r>
      <w:proofErr w:type="spellEnd"/>
      <w:proofErr w:type="gramEnd"/>
      <w:r w:rsidRPr="007B1072">
        <w:rPr>
          <w:sz w:val="24"/>
          <w:szCs w:val="24"/>
        </w:rPr>
        <w:t xml:space="preserve">, N. (2012, January). The impact of assets on the profitability of Indian scheduled commercial banks: An empirical evidence. </w:t>
      </w:r>
      <w:r w:rsidRPr="007B1072">
        <w:rPr>
          <w:rStyle w:val="Emphasis"/>
          <w:sz w:val="24"/>
          <w:szCs w:val="24"/>
        </w:rPr>
        <w:t>International Journal of Research in Commerce and Management, 3</w:t>
      </w:r>
      <w:r w:rsidRPr="007B1072">
        <w:rPr>
          <w:sz w:val="24"/>
          <w:szCs w:val="24"/>
        </w:rPr>
        <w:t>(1), 97–103. https://doi.org/10.2139/ssrn.2348847 (if available)</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Kothari</w:t>
      </w:r>
      <w:proofErr w:type="gramEnd"/>
      <w:r w:rsidRPr="007B1072">
        <w:rPr>
          <w:sz w:val="24"/>
          <w:szCs w:val="24"/>
        </w:rPr>
        <w:t xml:space="preserve">, C. R. (2009). </w:t>
      </w:r>
      <w:r w:rsidRPr="007B1072">
        <w:rPr>
          <w:rStyle w:val="Emphasis"/>
          <w:sz w:val="24"/>
          <w:szCs w:val="24"/>
        </w:rPr>
        <w:t>Research methodology: Methods and techniques</w:t>
      </w:r>
      <w:r w:rsidRPr="007B1072">
        <w:rPr>
          <w:sz w:val="24"/>
          <w:szCs w:val="24"/>
        </w:rPr>
        <w:t xml:space="preserve"> (2nd </w:t>
      </w:r>
      <w:proofErr w:type="gramStart"/>
      <w:r w:rsidRPr="007B1072">
        <w:rPr>
          <w:sz w:val="24"/>
          <w:szCs w:val="24"/>
        </w:rPr>
        <w:t>ed</w:t>
      </w:r>
      <w:proofErr w:type="gramEnd"/>
      <w:r w:rsidRPr="007B1072">
        <w:rPr>
          <w:sz w:val="24"/>
          <w:szCs w:val="24"/>
        </w:rPr>
        <w:t>.). New Age International Publishers.</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Kumar</w:t>
      </w:r>
      <w:proofErr w:type="gramEnd"/>
      <w:r w:rsidRPr="007B1072">
        <w:rPr>
          <w:sz w:val="24"/>
          <w:szCs w:val="24"/>
        </w:rPr>
        <w:t xml:space="preserve">, R. (2023). A comparative study of NPA management between public and private sector banks in India. </w:t>
      </w:r>
      <w:r w:rsidRPr="007B1072">
        <w:rPr>
          <w:rStyle w:val="Emphasis"/>
          <w:sz w:val="24"/>
          <w:szCs w:val="24"/>
        </w:rPr>
        <w:t>International Journal of Research in Commerce, Economics &amp; Management, 13</w:t>
      </w:r>
      <w:r w:rsidRPr="007B1072">
        <w:rPr>
          <w:sz w:val="24"/>
          <w:szCs w:val="24"/>
        </w:rPr>
        <w:t>(1), 49–57.</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Ministry</w:t>
      </w:r>
      <w:proofErr w:type="gramEnd"/>
      <w:r w:rsidRPr="007B1072">
        <w:rPr>
          <w:sz w:val="24"/>
          <w:szCs w:val="24"/>
        </w:rPr>
        <w:t xml:space="preserve"> of Finance. (2022). </w:t>
      </w:r>
      <w:r w:rsidRPr="007B1072">
        <w:rPr>
          <w:rStyle w:val="Emphasis"/>
          <w:sz w:val="24"/>
          <w:szCs w:val="24"/>
        </w:rPr>
        <w:t>Report on trends and progress of banking in India 2021–22</w:t>
      </w:r>
      <w:r w:rsidRPr="007B1072">
        <w:rPr>
          <w:sz w:val="24"/>
          <w:szCs w:val="24"/>
        </w:rPr>
        <w:t>. Government of India.</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Mishra</w:t>
      </w:r>
      <w:proofErr w:type="gramEnd"/>
      <w:r w:rsidRPr="007B1072">
        <w:rPr>
          <w:sz w:val="24"/>
          <w:szCs w:val="24"/>
        </w:rPr>
        <w:t xml:space="preserve">, S., &amp; </w:t>
      </w:r>
      <w:proofErr w:type="spellStart"/>
      <w:r w:rsidRPr="007B1072">
        <w:rPr>
          <w:sz w:val="24"/>
          <w:szCs w:val="24"/>
        </w:rPr>
        <w:t>Taneja</w:t>
      </w:r>
      <w:proofErr w:type="spellEnd"/>
      <w:r w:rsidRPr="007B1072">
        <w:rPr>
          <w:sz w:val="24"/>
          <w:szCs w:val="24"/>
        </w:rPr>
        <w:t xml:space="preserve">, P. (2021). Role of corporate governance in mitigating NPAs in Indian public sector banks. </w:t>
      </w:r>
      <w:r w:rsidRPr="007B1072">
        <w:rPr>
          <w:rStyle w:val="Emphasis"/>
          <w:sz w:val="24"/>
          <w:szCs w:val="24"/>
        </w:rPr>
        <w:t>Asian Journal of Management Research, 12</w:t>
      </w:r>
      <w:r w:rsidRPr="007B1072">
        <w:rPr>
          <w:sz w:val="24"/>
          <w:szCs w:val="24"/>
        </w:rPr>
        <w:t>(2), 65–77.</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xml:space="preserve">  </w:t>
      </w:r>
      <w:proofErr w:type="spellStart"/>
      <w:r w:rsidRPr="007B1072">
        <w:rPr>
          <w:sz w:val="24"/>
          <w:szCs w:val="24"/>
        </w:rPr>
        <w:t>Narula</w:t>
      </w:r>
      <w:proofErr w:type="spellEnd"/>
      <w:proofErr w:type="gramEnd"/>
      <w:r w:rsidRPr="007B1072">
        <w:rPr>
          <w:sz w:val="24"/>
          <w:szCs w:val="24"/>
        </w:rPr>
        <w:t xml:space="preserve">, S., &amp; Rana, A. (2020). The effectiveness of the Insolvency and Bankruptcy Code in </w:t>
      </w:r>
      <w:r w:rsidRPr="007B1072">
        <w:rPr>
          <w:sz w:val="24"/>
          <w:szCs w:val="24"/>
        </w:rPr>
        <w:lastRenderedPageBreak/>
        <w:t xml:space="preserve">reducing NPAs. </w:t>
      </w:r>
      <w:r w:rsidRPr="007B1072">
        <w:rPr>
          <w:rStyle w:val="Emphasis"/>
          <w:sz w:val="24"/>
          <w:szCs w:val="24"/>
        </w:rPr>
        <w:t>Journal of Applied Economic Sciences, 15</w:t>
      </w:r>
      <w:r w:rsidRPr="007B1072">
        <w:rPr>
          <w:sz w:val="24"/>
          <w:szCs w:val="24"/>
        </w:rPr>
        <w:t>(5), 1321–1331.</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PwC</w:t>
      </w:r>
      <w:proofErr w:type="gramEnd"/>
      <w:r w:rsidRPr="007B1072">
        <w:rPr>
          <w:sz w:val="24"/>
          <w:szCs w:val="24"/>
        </w:rPr>
        <w:t xml:space="preserve"> India. (2022). </w:t>
      </w:r>
      <w:proofErr w:type="gramStart"/>
      <w:r w:rsidRPr="007B1072">
        <w:rPr>
          <w:rStyle w:val="Emphasis"/>
          <w:sz w:val="24"/>
          <w:szCs w:val="24"/>
        </w:rPr>
        <w:t>Banking</w:t>
      </w:r>
      <w:proofErr w:type="gramEnd"/>
      <w:r w:rsidRPr="007B1072">
        <w:rPr>
          <w:rStyle w:val="Emphasis"/>
          <w:sz w:val="24"/>
          <w:szCs w:val="24"/>
        </w:rPr>
        <w:t xml:space="preserve"> insights: Tackling stressed assets</w:t>
      </w:r>
      <w:r w:rsidRPr="007B1072">
        <w:rPr>
          <w:sz w:val="24"/>
          <w:szCs w:val="24"/>
        </w:rPr>
        <w:t xml:space="preserve">. PricewaterhouseCoopers. Retrieved from </w:t>
      </w:r>
      <w:hyperlink r:id="rId19" w:tgtFrame="_new" w:history="1">
        <w:r w:rsidRPr="007B1072">
          <w:rPr>
            <w:rStyle w:val="Hyperlink"/>
            <w:sz w:val="24"/>
            <w:szCs w:val="24"/>
          </w:rPr>
          <w:t>https://www.pwc.in</w:t>
        </w:r>
      </w:hyperlink>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Ray</w:t>
      </w:r>
      <w:proofErr w:type="gramEnd"/>
      <w:r w:rsidRPr="007B1072">
        <w:rPr>
          <w:sz w:val="24"/>
          <w:szCs w:val="24"/>
        </w:rPr>
        <w:t xml:space="preserve">, R. (2013). Management of NPA in banks: A comparative study of commercial and cooperative banks with reference to selected banks in Pune. </w:t>
      </w:r>
      <w:r w:rsidRPr="007B1072">
        <w:rPr>
          <w:rStyle w:val="Emphasis"/>
          <w:sz w:val="24"/>
          <w:szCs w:val="24"/>
        </w:rPr>
        <w:t>ASM’s International E-Journal of Ongoing Research in Management and IT, INCON13FIN047</w:t>
      </w:r>
      <w:r w:rsidRPr="007B1072">
        <w:rPr>
          <w:sz w:val="24"/>
          <w:szCs w:val="24"/>
        </w:rPr>
        <w:t>.</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Reserve</w:t>
      </w:r>
      <w:proofErr w:type="gramEnd"/>
      <w:r w:rsidRPr="007B1072">
        <w:rPr>
          <w:sz w:val="24"/>
          <w:szCs w:val="24"/>
        </w:rPr>
        <w:t xml:space="preserve"> Bank of India. (2013). </w:t>
      </w:r>
      <w:r w:rsidRPr="007B1072">
        <w:rPr>
          <w:rStyle w:val="Emphasis"/>
          <w:sz w:val="24"/>
          <w:szCs w:val="24"/>
        </w:rPr>
        <w:t>Master circular – Prudential norms on income recognition, asset classification and provisioning pertaining to advances</w:t>
      </w:r>
      <w:r w:rsidRPr="007B1072">
        <w:rPr>
          <w:sz w:val="24"/>
          <w:szCs w:val="24"/>
        </w:rPr>
        <w:t xml:space="preserve"> (DBOD No. BP.BC.21/21.04.048/2013-14). Retrieved from </w:t>
      </w:r>
      <w:hyperlink r:id="rId20" w:tgtFrame="_new" w:history="1">
        <w:r w:rsidRPr="007B1072">
          <w:rPr>
            <w:rStyle w:val="Hyperlink"/>
            <w:sz w:val="24"/>
            <w:szCs w:val="24"/>
          </w:rPr>
          <w:t>https://www.rbi.org.in</w:t>
        </w:r>
      </w:hyperlink>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Reserve</w:t>
      </w:r>
      <w:proofErr w:type="gramEnd"/>
      <w:r w:rsidRPr="007B1072">
        <w:rPr>
          <w:sz w:val="24"/>
          <w:szCs w:val="24"/>
        </w:rPr>
        <w:t xml:space="preserve"> Bank of India. (2023). </w:t>
      </w:r>
      <w:r w:rsidRPr="007B1072">
        <w:rPr>
          <w:rStyle w:val="Emphasis"/>
          <w:sz w:val="24"/>
          <w:szCs w:val="24"/>
        </w:rPr>
        <w:t>Financial Stability Report – June 2023</w:t>
      </w:r>
      <w:r w:rsidRPr="007B1072">
        <w:rPr>
          <w:sz w:val="24"/>
          <w:szCs w:val="24"/>
        </w:rPr>
        <w:t xml:space="preserve">. Retrieved from </w:t>
      </w:r>
      <w:hyperlink r:id="rId21" w:tgtFrame="_new" w:history="1">
        <w:r w:rsidRPr="007B1072">
          <w:rPr>
            <w:rStyle w:val="Hyperlink"/>
            <w:sz w:val="24"/>
            <w:szCs w:val="24"/>
          </w:rPr>
          <w:t>https://www.rbi.org.in</w:t>
        </w:r>
      </w:hyperlink>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Singh</w:t>
      </w:r>
      <w:proofErr w:type="gramEnd"/>
      <w:r w:rsidRPr="007B1072">
        <w:rPr>
          <w:sz w:val="24"/>
          <w:szCs w:val="24"/>
        </w:rPr>
        <w:t xml:space="preserve">, A., &amp; Jain, M. (2022). Risk management in Indian banks: The NPA challenge. </w:t>
      </w:r>
      <w:r w:rsidRPr="007B1072">
        <w:rPr>
          <w:rStyle w:val="Emphasis"/>
          <w:sz w:val="24"/>
          <w:szCs w:val="24"/>
        </w:rPr>
        <w:t>Indian Journal of Finance, 16</w:t>
      </w:r>
      <w:r w:rsidRPr="007B1072">
        <w:rPr>
          <w:sz w:val="24"/>
          <w:szCs w:val="24"/>
        </w:rPr>
        <w:t>(1), 34–44.</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Tiwari</w:t>
      </w:r>
      <w:proofErr w:type="gramEnd"/>
      <w:r w:rsidRPr="007B1072">
        <w:rPr>
          <w:sz w:val="24"/>
          <w:szCs w:val="24"/>
        </w:rPr>
        <w:t xml:space="preserve">, C. (2015). A study on the causes of non-performing assets in selected co-operative banks in Pune. </w:t>
      </w:r>
      <w:r w:rsidRPr="007B1072">
        <w:rPr>
          <w:rStyle w:val="Emphasis"/>
          <w:sz w:val="24"/>
          <w:szCs w:val="24"/>
        </w:rPr>
        <w:t>International Journal of Advance Research, 3</w:t>
      </w:r>
      <w:r w:rsidRPr="007B1072">
        <w:rPr>
          <w:sz w:val="24"/>
          <w:szCs w:val="24"/>
        </w:rPr>
        <w:t>(6), 147–155. https://doi.org/10.21474/IJAR01/560</w:t>
      </w:r>
    </w:p>
    <w:p w:rsidR="008D3C80" w:rsidRPr="007B1072" w:rsidRDefault="008D3C80" w:rsidP="003E3FFD">
      <w:pPr>
        <w:spacing w:before="100" w:beforeAutospacing="1" w:after="100" w:afterAutospacing="1" w:line="360" w:lineRule="auto"/>
        <w:jc w:val="both"/>
        <w:rPr>
          <w:sz w:val="24"/>
          <w:szCs w:val="24"/>
        </w:rPr>
      </w:pPr>
      <w:proofErr w:type="gramStart"/>
      <w:r w:rsidRPr="007B1072">
        <w:rPr>
          <w:sz w:val="24"/>
          <w:szCs w:val="24"/>
        </w:rPr>
        <w:t>  Annual</w:t>
      </w:r>
      <w:proofErr w:type="gramEnd"/>
      <w:r w:rsidRPr="007B1072">
        <w:rPr>
          <w:sz w:val="24"/>
          <w:szCs w:val="24"/>
        </w:rPr>
        <w:t xml:space="preserve"> Report of Punjab National Bank. (2011–2016). </w:t>
      </w:r>
      <w:r w:rsidRPr="007B1072">
        <w:rPr>
          <w:rStyle w:val="Emphasis"/>
          <w:sz w:val="24"/>
          <w:szCs w:val="24"/>
        </w:rPr>
        <w:t>Annual Reports (2011–12 to 2015–16)</w:t>
      </w:r>
      <w:r w:rsidRPr="007B1072">
        <w:rPr>
          <w:sz w:val="24"/>
          <w:szCs w:val="24"/>
        </w:rPr>
        <w:t xml:space="preserve">. Punjab National Bank. Retrieved from </w:t>
      </w:r>
      <w:hyperlink r:id="rId22" w:tgtFrame="_new" w:history="1">
        <w:r w:rsidRPr="007B1072">
          <w:rPr>
            <w:rStyle w:val="Hyperlink"/>
            <w:sz w:val="24"/>
            <w:szCs w:val="24"/>
          </w:rPr>
          <w:t>https://www.pnbindia.in</w:t>
        </w:r>
      </w:hyperlink>
    </w:p>
    <w:p w:rsidR="00AE471F" w:rsidRPr="007B1072" w:rsidRDefault="00AE471F" w:rsidP="003E3FFD">
      <w:pPr>
        <w:spacing w:before="100" w:beforeAutospacing="1" w:after="100" w:afterAutospacing="1" w:line="360" w:lineRule="auto"/>
        <w:jc w:val="both"/>
        <w:rPr>
          <w:sz w:val="24"/>
          <w:szCs w:val="24"/>
        </w:rPr>
      </w:pPr>
    </w:p>
    <w:sectPr w:rsidR="00AE471F" w:rsidRPr="007B1072">
      <w:pgSz w:w="11910" w:h="16840"/>
      <w:pgMar w:top="1340" w:right="708" w:bottom="740" w:left="1417" w:header="362"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17" w:rsidRDefault="00212217">
      <w:r>
        <w:separator/>
      </w:r>
    </w:p>
  </w:endnote>
  <w:endnote w:type="continuationSeparator" w:id="0">
    <w:p w:rsidR="00212217" w:rsidRDefault="0021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A" w:rsidRDefault="00E83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1F" w:rsidRDefault="00AE471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A" w:rsidRDefault="00E8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17" w:rsidRDefault="00212217">
      <w:r>
        <w:separator/>
      </w:r>
    </w:p>
  </w:footnote>
  <w:footnote w:type="continuationSeparator" w:id="0">
    <w:p w:rsidR="00212217" w:rsidRDefault="0021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A" w:rsidRDefault="00E83A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503516" o:spid="_x0000_s2050" type="#_x0000_t136" style="position:absolute;margin-left:0;margin-top:0;width:620.7pt;height:6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71F" w:rsidRDefault="00E83A1A">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503517" o:spid="_x0000_s2051" type="#_x0000_t136" style="position:absolute;margin-left:0;margin-top:0;width:620.7pt;height:6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A" w:rsidRDefault="00E83A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503515" o:spid="_x0000_s2049" type="#_x0000_t136" style="position:absolute;margin-left:0;margin-top:0;width:620.7pt;height:6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4FF4"/>
    <w:multiLevelType w:val="hybridMultilevel"/>
    <w:tmpl w:val="368872B0"/>
    <w:lvl w:ilvl="0" w:tplc="02CE1C54">
      <w:start w:val="1"/>
      <w:numFmt w:val="lowerRoman"/>
      <w:pStyle w:val="NoSpacing"/>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0F0592"/>
    <w:multiLevelType w:val="multilevel"/>
    <w:tmpl w:val="E862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51DD9"/>
    <w:multiLevelType w:val="multilevel"/>
    <w:tmpl w:val="7494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C4937"/>
    <w:multiLevelType w:val="multilevel"/>
    <w:tmpl w:val="ED10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10CF4"/>
    <w:multiLevelType w:val="multilevel"/>
    <w:tmpl w:val="2C6A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82F25"/>
    <w:multiLevelType w:val="multilevel"/>
    <w:tmpl w:val="C89C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A3B20"/>
    <w:multiLevelType w:val="hybridMultilevel"/>
    <w:tmpl w:val="DED2C6B4"/>
    <w:lvl w:ilvl="0" w:tplc="5B9035BA">
      <w:start w:val="1"/>
      <w:numFmt w:val="lowerRoman"/>
      <w:lvlText w:val="(%1)"/>
      <w:lvlJc w:val="left"/>
      <w:pPr>
        <w:ind w:left="1103"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9078C122">
      <w:numFmt w:val="bullet"/>
      <w:lvlText w:val="•"/>
      <w:lvlJc w:val="left"/>
      <w:pPr>
        <w:ind w:left="1968" w:hanging="720"/>
      </w:pPr>
      <w:rPr>
        <w:rFonts w:hint="default"/>
        <w:lang w:val="en-US" w:eastAsia="en-US" w:bidi="ar-SA"/>
      </w:rPr>
    </w:lvl>
    <w:lvl w:ilvl="2" w:tplc="CD105E90">
      <w:numFmt w:val="bullet"/>
      <w:lvlText w:val="•"/>
      <w:lvlJc w:val="left"/>
      <w:pPr>
        <w:ind w:left="2836" w:hanging="720"/>
      </w:pPr>
      <w:rPr>
        <w:rFonts w:hint="default"/>
        <w:lang w:val="en-US" w:eastAsia="en-US" w:bidi="ar-SA"/>
      </w:rPr>
    </w:lvl>
    <w:lvl w:ilvl="3" w:tplc="46605B12">
      <w:numFmt w:val="bullet"/>
      <w:lvlText w:val="•"/>
      <w:lvlJc w:val="left"/>
      <w:pPr>
        <w:ind w:left="3704" w:hanging="720"/>
      </w:pPr>
      <w:rPr>
        <w:rFonts w:hint="default"/>
        <w:lang w:val="en-US" w:eastAsia="en-US" w:bidi="ar-SA"/>
      </w:rPr>
    </w:lvl>
    <w:lvl w:ilvl="4" w:tplc="4B9C348A">
      <w:numFmt w:val="bullet"/>
      <w:lvlText w:val="•"/>
      <w:lvlJc w:val="left"/>
      <w:pPr>
        <w:ind w:left="4572" w:hanging="720"/>
      </w:pPr>
      <w:rPr>
        <w:rFonts w:hint="default"/>
        <w:lang w:val="en-US" w:eastAsia="en-US" w:bidi="ar-SA"/>
      </w:rPr>
    </w:lvl>
    <w:lvl w:ilvl="5" w:tplc="007E5CD8">
      <w:numFmt w:val="bullet"/>
      <w:lvlText w:val="•"/>
      <w:lvlJc w:val="left"/>
      <w:pPr>
        <w:ind w:left="5440" w:hanging="720"/>
      </w:pPr>
      <w:rPr>
        <w:rFonts w:hint="default"/>
        <w:lang w:val="en-US" w:eastAsia="en-US" w:bidi="ar-SA"/>
      </w:rPr>
    </w:lvl>
    <w:lvl w:ilvl="6" w:tplc="5A40D652">
      <w:numFmt w:val="bullet"/>
      <w:lvlText w:val="•"/>
      <w:lvlJc w:val="left"/>
      <w:pPr>
        <w:ind w:left="6308" w:hanging="720"/>
      </w:pPr>
      <w:rPr>
        <w:rFonts w:hint="default"/>
        <w:lang w:val="en-US" w:eastAsia="en-US" w:bidi="ar-SA"/>
      </w:rPr>
    </w:lvl>
    <w:lvl w:ilvl="7" w:tplc="C5166C98">
      <w:numFmt w:val="bullet"/>
      <w:lvlText w:val="•"/>
      <w:lvlJc w:val="left"/>
      <w:pPr>
        <w:ind w:left="7176" w:hanging="720"/>
      </w:pPr>
      <w:rPr>
        <w:rFonts w:hint="default"/>
        <w:lang w:val="en-US" w:eastAsia="en-US" w:bidi="ar-SA"/>
      </w:rPr>
    </w:lvl>
    <w:lvl w:ilvl="8" w:tplc="72EA15FA">
      <w:numFmt w:val="bullet"/>
      <w:lvlText w:val="•"/>
      <w:lvlJc w:val="left"/>
      <w:pPr>
        <w:ind w:left="8045" w:hanging="720"/>
      </w:pPr>
      <w:rPr>
        <w:rFonts w:hint="default"/>
        <w:lang w:val="en-US" w:eastAsia="en-US" w:bidi="ar-SA"/>
      </w:rPr>
    </w:lvl>
  </w:abstractNum>
  <w:abstractNum w:abstractNumId="7" w15:restartNumberingAfterBreak="0">
    <w:nsid w:val="2B452AD5"/>
    <w:multiLevelType w:val="hybridMultilevel"/>
    <w:tmpl w:val="8ADED66C"/>
    <w:lvl w:ilvl="0" w:tplc="7C4261E8">
      <w:start w:val="1"/>
      <w:numFmt w:val="upperRoman"/>
      <w:pStyle w:val="ListParagraph"/>
      <w:lvlText w:val="%1."/>
      <w:lvlJc w:val="righ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8" w15:restartNumberingAfterBreak="0">
    <w:nsid w:val="2D4035BC"/>
    <w:multiLevelType w:val="multilevel"/>
    <w:tmpl w:val="3E8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77122"/>
    <w:multiLevelType w:val="multilevel"/>
    <w:tmpl w:val="CBD8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02900"/>
    <w:multiLevelType w:val="multilevel"/>
    <w:tmpl w:val="44D2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C7720"/>
    <w:multiLevelType w:val="hybridMultilevel"/>
    <w:tmpl w:val="CC321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EF4CEE"/>
    <w:multiLevelType w:val="multilevel"/>
    <w:tmpl w:val="2268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17DF5"/>
    <w:multiLevelType w:val="multilevel"/>
    <w:tmpl w:val="FF96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BB5172"/>
    <w:multiLevelType w:val="multilevel"/>
    <w:tmpl w:val="9DB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A7DBF"/>
    <w:multiLevelType w:val="hybridMultilevel"/>
    <w:tmpl w:val="B560B76C"/>
    <w:lvl w:ilvl="0" w:tplc="5B9035BA">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425D1F"/>
    <w:multiLevelType w:val="multilevel"/>
    <w:tmpl w:val="4DA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D4460"/>
    <w:multiLevelType w:val="hybridMultilevel"/>
    <w:tmpl w:val="B13CF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24A00C2"/>
    <w:multiLevelType w:val="multilevel"/>
    <w:tmpl w:val="71C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60C4C"/>
    <w:multiLevelType w:val="hybridMultilevel"/>
    <w:tmpl w:val="02E8C586"/>
    <w:lvl w:ilvl="0" w:tplc="27F096E2">
      <w:numFmt w:val="bullet"/>
      <w:lvlText w:val=""/>
      <w:lvlJc w:val="left"/>
      <w:pPr>
        <w:ind w:left="525" w:hanging="360"/>
      </w:pPr>
      <w:rPr>
        <w:rFonts w:ascii="Wingdings" w:eastAsia="Wingdings" w:hAnsi="Wingdings" w:cs="Wingdings" w:hint="default"/>
        <w:b w:val="0"/>
        <w:bCs w:val="0"/>
        <w:i w:val="0"/>
        <w:iCs w:val="0"/>
        <w:spacing w:val="0"/>
        <w:w w:val="100"/>
        <w:sz w:val="28"/>
        <w:szCs w:val="28"/>
        <w:lang w:val="en-US" w:eastAsia="en-US" w:bidi="ar-SA"/>
      </w:rPr>
    </w:lvl>
    <w:lvl w:ilvl="1" w:tplc="C1EE5CAA">
      <w:numFmt w:val="bullet"/>
      <w:lvlText w:val=""/>
      <w:lvlJc w:val="left"/>
      <w:pPr>
        <w:ind w:left="724" w:hanging="200"/>
      </w:pPr>
      <w:rPr>
        <w:rFonts w:ascii="Symbol" w:eastAsia="Symbol" w:hAnsi="Symbol" w:cs="Symbol" w:hint="default"/>
        <w:b w:val="0"/>
        <w:bCs w:val="0"/>
        <w:i w:val="0"/>
        <w:iCs w:val="0"/>
        <w:spacing w:val="0"/>
        <w:w w:val="100"/>
        <w:sz w:val="28"/>
        <w:szCs w:val="28"/>
        <w:lang w:val="en-US" w:eastAsia="en-US" w:bidi="ar-SA"/>
      </w:rPr>
    </w:lvl>
    <w:lvl w:ilvl="2" w:tplc="5E74F3D8">
      <w:numFmt w:val="bullet"/>
      <w:lvlText w:val="•"/>
      <w:lvlJc w:val="left"/>
      <w:pPr>
        <w:ind w:left="1726" w:hanging="200"/>
      </w:pPr>
      <w:rPr>
        <w:rFonts w:hint="default"/>
        <w:lang w:val="en-US" w:eastAsia="en-US" w:bidi="ar-SA"/>
      </w:rPr>
    </w:lvl>
    <w:lvl w:ilvl="3" w:tplc="3D38225E">
      <w:numFmt w:val="bullet"/>
      <w:lvlText w:val="•"/>
      <w:lvlJc w:val="left"/>
      <w:pPr>
        <w:ind w:left="2733" w:hanging="200"/>
      </w:pPr>
      <w:rPr>
        <w:rFonts w:hint="default"/>
        <w:lang w:val="en-US" w:eastAsia="en-US" w:bidi="ar-SA"/>
      </w:rPr>
    </w:lvl>
    <w:lvl w:ilvl="4" w:tplc="BA6069A6">
      <w:numFmt w:val="bullet"/>
      <w:lvlText w:val="•"/>
      <w:lvlJc w:val="left"/>
      <w:pPr>
        <w:ind w:left="3740" w:hanging="200"/>
      </w:pPr>
      <w:rPr>
        <w:rFonts w:hint="default"/>
        <w:lang w:val="en-US" w:eastAsia="en-US" w:bidi="ar-SA"/>
      </w:rPr>
    </w:lvl>
    <w:lvl w:ilvl="5" w:tplc="94B43A0A">
      <w:numFmt w:val="bullet"/>
      <w:lvlText w:val="•"/>
      <w:lvlJc w:val="left"/>
      <w:pPr>
        <w:ind w:left="4747" w:hanging="200"/>
      </w:pPr>
      <w:rPr>
        <w:rFonts w:hint="default"/>
        <w:lang w:val="en-US" w:eastAsia="en-US" w:bidi="ar-SA"/>
      </w:rPr>
    </w:lvl>
    <w:lvl w:ilvl="6" w:tplc="0324DB80">
      <w:numFmt w:val="bullet"/>
      <w:lvlText w:val="•"/>
      <w:lvlJc w:val="left"/>
      <w:pPr>
        <w:ind w:left="5754" w:hanging="200"/>
      </w:pPr>
      <w:rPr>
        <w:rFonts w:hint="default"/>
        <w:lang w:val="en-US" w:eastAsia="en-US" w:bidi="ar-SA"/>
      </w:rPr>
    </w:lvl>
    <w:lvl w:ilvl="7" w:tplc="80BE9A6A">
      <w:numFmt w:val="bullet"/>
      <w:lvlText w:val="•"/>
      <w:lvlJc w:val="left"/>
      <w:pPr>
        <w:ind w:left="6760" w:hanging="200"/>
      </w:pPr>
      <w:rPr>
        <w:rFonts w:hint="default"/>
        <w:lang w:val="en-US" w:eastAsia="en-US" w:bidi="ar-SA"/>
      </w:rPr>
    </w:lvl>
    <w:lvl w:ilvl="8" w:tplc="4710864E">
      <w:numFmt w:val="bullet"/>
      <w:lvlText w:val="•"/>
      <w:lvlJc w:val="left"/>
      <w:pPr>
        <w:ind w:left="7767" w:hanging="200"/>
      </w:pPr>
      <w:rPr>
        <w:rFonts w:hint="default"/>
        <w:lang w:val="en-US" w:eastAsia="en-US" w:bidi="ar-SA"/>
      </w:rPr>
    </w:lvl>
  </w:abstractNum>
  <w:abstractNum w:abstractNumId="20" w15:restartNumberingAfterBreak="0">
    <w:nsid w:val="71B87F6A"/>
    <w:multiLevelType w:val="hybridMultilevel"/>
    <w:tmpl w:val="D222052A"/>
    <w:lvl w:ilvl="0" w:tplc="782495FE">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A8B49E9E">
      <w:numFmt w:val="bullet"/>
      <w:lvlText w:val="•"/>
      <w:lvlJc w:val="left"/>
      <w:pPr>
        <w:ind w:left="1644" w:hanging="360"/>
      </w:pPr>
      <w:rPr>
        <w:rFonts w:hint="default"/>
        <w:lang w:val="en-US" w:eastAsia="en-US" w:bidi="ar-SA"/>
      </w:rPr>
    </w:lvl>
    <w:lvl w:ilvl="2" w:tplc="AAEE21C0">
      <w:numFmt w:val="bullet"/>
      <w:lvlText w:val="•"/>
      <w:lvlJc w:val="left"/>
      <w:pPr>
        <w:ind w:left="2548" w:hanging="360"/>
      </w:pPr>
      <w:rPr>
        <w:rFonts w:hint="default"/>
        <w:lang w:val="en-US" w:eastAsia="en-US" w:bidi="ar-SA"/>
      </w:rPr>
    </w:lvl>
    <w:lvl w:ilvl="3" w:tplc="14C8B83E">
      <w:numFmt w:val="bullet"/>
      <w:lvlText w:val="•"/>
      <w:lvlJc w:val="left"/>
      <w:pPr>
        <w:ind w:left="3452" w:hanging="360"/>
      </w:pPr>
      <w:rPr>
        <w:rFonts w:hint="default"/>
        <w:lang w:val="en-US" w:eastAsia="en-US" w:bidi="ar-SA"/>
      </w:rPr>
    </w:lvl>
    <w:lvl w:ilvl="4" w:tplc="9B1869C8">
      <w:numFmt w:val="bullet"/>
      <w:lvlText w:val="•"/>
      <w:lvlJc w:val="left"/>
      <w:pPr>
        <w:ind w:left="4356" w:hanging="360"/>
      </w:pPr>
      <w:rPr>
        <w:rFonts w:hint="default"/>
        <w:lang w:val="en-US" w:eastAsia="en-US" w:bidi="ar-SA"/>
      </w:rPr>
    </w:lvl>
    <w:lvl w:ilvl="5" w:tplc="AAE49044">
      <w:numFmt w:val="bullet"/>
      <w:lvlText w:val="•"/>
      <w:lvlJc w:val="left"/>
      <w:pPr>
        <w:ind w:left="5260" w:hanging="360"/>
      </w:pPr>
      <w:rPr>
        <w:rFonts w:hint="default"/>
        <w:lang w:val="en-US" w:eastAsia="en-US" w:bidi="ar-SA"/>
      </w:rPr>
    </w:lvl>
    <w:lvl w:ilvl="6" w:tplc="FA1EE0B0">
      <w:numFmt w:val="bullet"/>
      <w:lvlText w:val="•"/>
      <w:lvlJc w:val="left"/>
      <w:pPr>
        <w:ind w:left="6164" w:hanging="360"/>
      </w:pPr>
      <w:rPr>
        <w:rFonts w:hint="default"/>
        <w:lang w:val="en-US" w:eastAsia="en-US" w:bidi="ar-SA"/>
      </w:rPr>
    </w:lvl>
    <w:lvl w:ilvl="7" w:tplc="3C96B438">
      <w:numFmt w:val="bullet"/>
      <w:lvlText w:val="•"/>
      <w:lvlJc w:val="left"/>
      <w:pPr>
        <w:ind w:left="7068" w:hanging="360"/>
      </w:pPr>
      <w:rPr>
        <w:rFonts w:hint="default"/>
        <w:lang w:val="en-US" w:eastAsia="en-US" w:bidi="ar-SA"/>
      </w:rPr>
    </w:lvl>
    <w:lvl w:ilvl="8" w:tplc="7B0875DE">
      <w:numFmt w:val="bullet"/>
      <w:lvlText w:val="•"/>
      <w:lvlJc w:val="left"/>
      <w:pPr>
        <w:ind w:left="7973" w:hanging="360"/>
      </w:pPr>
      <w:rPr>
        <w:rFonts w:hint="default"/>
        <w:lang w:val="en-US" w:eastAsia="en-US" w:bidi="ar-SA"/>
      </w:rPr>
    </w:lvl>
  </w:abstractNum>
  <w:abstractNum w:abstractNumId="21" w15:restartNumberingAfterBreak="0">
    <w:nsid w:val="7DEE5F95"/>
    <w:multiLevelType w:val="multilevel"/>
    <w:tmpl w:val="3E0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31614F"/>
    <w:multiLevelType w:val="hybridMultilevel"/>
    <w:tmpl w:val="BA249E88"/>
    <w:lvl w:ilvl="0" w:tplc="5B9035BA">
      <w:start w:val="1"/>
      <w:numFmt w:val="lowerRoman"/>
      <w:lvlText w:val="(%1)"/>
      <w:lvlJc w:val="left"/>
      <w:pPr>
        <w:ind w:left="7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21"/>
  </w:num>
  <w:num w:numId="5">
    <w:abstractNumId w:val="13"/>
  </w:num>
  <w:num w:numId="6">
    <w:abstractNumId w:val="7"/>
  </w:num>
  <w:num w:numId="7">
    <w:abstractNumId w:val="0"/>
  </w:num>
  <w:num w:numId="8">
    <w:abstractNumId w:val="17"/>
  </w:num>
  <w:num w:numId="9">
    <w:abstractNumId w:val="11"/>
  </w:num>
  <w:num w:numId="10">
    <w:abstractNumId w:val="22"/>
  </w:num>
  <w:num w:numId="11">
    <w:abstractNumId w:val="15"/>
  </w:num>
  <w:num w:numId="12">
    <w:abstractNumId w:val="16"/>
  </w:num>
  <w:num w:numId="13">
    <w:abstractNumId w:val="4"/>
  </w:num>
  <w:num w:numId="14">
    <w:abstractNumId w:val="18"/>
  </w:num>
  <w:num w:numId="15">
    <w:abstractNumId w:val="1"/>
  </w:num>
  <w:num w:numId="16">
    <w:abstractNumId w:val="14"/>
  </w:num>
  <w:num w:numId="17">
    <w:abstractNumId w:val="12"/>
  </w:num>
  <w:num w:numId="18">
    <w:abstractNumId w:val="10"/>
  </w:num>
  <w:num w:numId="19">
    <w:abstractNumId w:val="8"/>
  </w:num>
  <w:num w:numId="20">
    <w:abstractNumId w:val="9"/>
  </w:num>
  <w:num w:numId="21">
    <w:abstractNumId w:val="2"/>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E471F"/>
    <w:rsid w:val="00067D5E"/>
    <w:rsid w:val="000B1272"/>
    <w:rsid w:val="000C1B24"/>
    <w:rsid w:val="000D5493"/>
    <w:rsid w:val="00177028"/>
    <w:rsid w:val="001D0173"/>
    <w:rsid w:val="00212217"/>
    <w:rsid w:val="003E3FFD"/>
    <w:rsid w:val="004005B1"/>
    <w:rsid w:val="004E0F42"/>
    <w:rsid w:val="00547A58"/>
    <w:rsid w:val="006616C2"/>
    <w:rsid w:val="00771CDC"/>
    <w:rsid w:val="007B1072"/>
    <w:rsid w:val="00856960"/>
    <w:rsid w:val="008D3C80"/>
    <w:rsid w:val="00980C2E"/>
    <w:rsid w:val="009E420E"/>
    <w:rsid w:val="00AA0F35"/>
    <w:rsid w:val="00AE471F"/>
    <w:rsid w:val="00B266D4"/>
    <w:rsid w:val="00DD259C"/>
    <w:rsid w:val="00E35E11"/>
    <w:rsid w:val="00E83A1A"/>
    <w:rsid w:val="00EC143C"/>
    <w:rsid w:val="00EC1F9E"/>
    <w:rsid w:val="00EE373B"/>
    <w:rsid w:val="00F363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4E50E02-4B12-43AF-8265-E99063DA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autoRedefine/>
    <w:uiPriority w:val="1"/>
    <w:qFormat/>
    <w:rsid w:val="000B1272"/>
    <w:pPr>
      <w:spacing w:before="282" w:line="360" w:lineRule="auto"/>
      <w:ind w:left="23"/>
      <w:jc w:val="both"/>
      <w:outlineLvl w:val="0"/>
    </w:pPr>
    <w:rPr>
      <w:b/>
      <w:bCs/>
      <w:spacing w:val="-2"/>
      <w:sz w:val="28"/>
      <w:szCs w:val="28"/>
      <w:u w:val="single"/>
      <w:lang w:val="en-IN"/>
    </w:rPr>
  </w:style>
  <w:style w:type="paragraph" w:styleId="Heading3">
    <w:name w:val="heading 3"/>
    <w:basedOn w:val="Normal"/>
    <w:next w:val="Normal"/>
    <w:link w:val="Heading3Char"/>
    <w:uiPriority w:val="9"/>
    <w:semiHidden/>
    <w:unhideWhenUsed/>
    <w:qFormat/>
    <w:rsid w:val="00980C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0C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rsid w:val="00177028"/>
    <w:pPr>
      <w:numPr>
        <w:numId w:val="6"/>
      </w:numPr>
      <w:spacing w:line="360" w:lineRule="auto"/>
      <w:jc w:val="both"/>
    </w:pPr>
    <w:rPr>
      <w:b/>
      <w:sz w:val="24"/>
      <w:szCs w:val="24"/>
      <w:u w:val="single"/>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5E11"/>
    <w:pPr>
      <w:tabs>
        <w:tab w:val="center" w:pos="4513"/>
        <w:tab w:val="right" w:pos="9026"/>
      </w:tabs>
    </w:pPr>
  </w:style>
  <w:style w:type="character" w:customStyle="1" w:styleId="HeaderChar">
    <w:name w:val="Header Char"/>
    <w:basedOn w:val="DefaultParagraphFont"/>
    <w:link w:val="Header"/>
    <w:uiPriority w:val="99"/>
    <w:rsid w:val="00E35E11"/>
    <w:rPr>
      <w:rFonts w:ascii="Times New Roman" w:eastAsia="Times New Roman" w:hAnsi="Times New Roman" w:cs="Times New Roman"/>
    </w:rPr>
  </w:style>
  <w:style w:type="paragraph" w:styleId="Footer">
    <w:name w:val="footer"/>
    <w:basedOn w:val="Normal"/>
    <w:link w:val="FooterChar"/>
    <w:uiPriority w:val="99"/>
    <w:unhideWhenUsed/>
    <w:rsid w:val="00E35E11"/>
    <w:pPr>
      <w:tabs>
        <w:tab w:val="center" w:pos="4513"/>
        <w:tab w:val="right" w:pos="9026"/>
      </w:tabs>
    </w:pPr>
  </w:style>
  <w:style w:type="character" w:customStyle="1" w:styleId="FooterChar">
    <w:name w:val="Footer Char"/>
    <w:basedOn w:val="DefaultParagraphFont"/>
    <w:link w:val="Footer"/>
    <w:uiPriority w:val="99"/>
    <w:rsid w:val="00E35E1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35E11"/>
    <w:rPr>
      <w:rFonts w:ascii="Tahoma" w:hAnsi="Tahoma" w:cs="Tahoma"/>
      <w:sz w:val="16"/>
      <w:szCs w:val="16"/>
    </w:rPr>
  </w:style>
  <w:style w:type="character" w:customStyle="1" w:styleId="BalloonTextChar">
    <w:name w:val="Balloon Text Char"/>
    <w:basedOn w:val="DefaultParagraphFont"/>
    <w:link w:val="BalloonText"/>
    <w:uiPriority w:val="99"/>
    <w:semiHidden/>
    <w:rsid w:val="00E35E1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E35E11"/>
    <w:rPr>
      <w:sz w:val="20"/>
      <w:szCs w:val="20"/>
    </w:rPr>
  </w:style>
  <w:style w:type="character" w:customStyle="1" w:styleId="FootnoteTextChar">
    <w:name w:val="Footnote Text Char"/>
    <w:basedOn w:val="DefaultParagraphFont"/>
    <w:link w:val="FootnoteText"/>
    <w:uiPriority w:val="99"/>
    <w:semiHidden/>
    <w:rsid w:val="00E35E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5E11"/>
    <w:rPr>
      <w:vertAlign w:val="superscript"/>
    </w:rPr>
  </w:style>
  <w:style w:type="character" w:customStyle="1" w:styleId="Heading3Char">
    <w:name w:val="Heading 3 Char"/>
    <w:basedOn w:val="DefaultParagraphFont"/>
    <w:link w:val="Heading3"/>
    <w:uiPriority w:val="9"/>
    <w:semiHidden/>
    <w:rsid w:val="00980C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80C2E"/>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80C2E"/>
    <w:rPr>
      <w:color w:val="0000FF" w:themeColor="hyperlink"/>
      <w:u w:val="single"/>
    </w:rPr>
  </w:style>
  <w:style w:type="paragraph" w:styleId="NoSpacing">
    <w:name w:val="No Spacing"/>
    <w:uiPriority w:val="1"/>
    <w:qFormat/>
    <w:rsid w:val="00980C2E"/>
    <w:pPr>
      <w:numPr>
        <w:numId w:val="7"/>
      </w:numPr>
    </w:pPr>
    <w:rPr>
      <w:rFonts w:ascii="Times New Roman" w:eastAsia="Times New Roman" w:hAnsi="Times New Roman" w:cs="Times New Roman"/>
      <w:b/>
      <w:sz w:val="24"/>
    </w:rPr>
  </w:style>
  <w:style w:type="paragraph" w:styleId="Caption">
    <w:name w:val="caption"/>
    <w:basedOn w:val="Normal"/>
    <w:next w:val="Normal"/>
    <w:uiPriority w:val="35"/>
    <w:unhideWhenUsed/>
    <w:qFormat/>
    <w:rsid w:val="004005B1"/>
    <w:pPr>
      <w:spacing w:after="200"/>
    </w:pPr>
    <w:rPr>
      <w:b/>
      <w:bCs/>
      <w:color w:val="4F81BD" w:themeColor="accent1"/>
      <w:sz w:val="18"/>
      <w:szCs w:val="18"/>
    </w:rPr>
  </w:style>
  <w:style w:type="character" w:styleId="Strong">
    <w:name w:val="Strong"/>
    <w:basedOn w:val="DefaultParagraphFont"/>
    <w:uiPriority w:val="22"/>
    <w:qFormat/>
    <w:rsid w:val="004005B1"/>
    <w:rPr>
      <w:b/>
      <w:bCs/>
    </w:rPr>
  </w:style>
  <w:style w:type="character" w:styleId="Emphasis">
    <w:name w:val="Emphasis"/>
    <w:basedOn w:val="DefaultParagraphFont"/>
    <w:uiPriority w:val="20"/>
    <w:qFormat/>
    <w:rsid w:val="008D3C80"/>
    <w:rPr>
      <w:i/>
      <w:iCs/>
    </w:rPr>
  </w:style>
  <w:style w:type="paragraph" w:styleId="NormalWeb">
    <w:name w:val="Normal (Web)"/>
    <w:basedOn w:val="Normal"/>
    <w:uiPriority w:val="99"/>
    <w:unhideWhenUsed/>
    <w:rsid w:val="008D3C80"/>
    <w:pPr>
      <w:widowControl/>
      <w:autoSpaceDE/>
      <w:autoSpaceDN/>
      <w:spacing w:before="100" w:beforeAutospacing="1" w:after="100" w:afterAutospacing="1"/>
    </w:pPr>
    <w:rPr>
      <w:sz w:val="24"/>
      <w:szCs w:val="24"/>
      <w:lang w:val="en-IN" w:eastAsia="en-IN" w:bidi="hi-IN"/>
    </w:rPr>
  </w:style>
  <w:style w:type="character" w:customStyle="1" w:styleId="fadein4f9by7">
    <w:name w:val="_fadein_4f9by_7"/>
    <w:basedOn w:val="DefaultParagraphFont"/>
    <w:rsid w:val="008D3C80"/>
  </w:style>
  <w:style w:type="table" w:styleId="TableGrid">
    <w:name w:val="Table Grid"/>
    <w:basedOn w:val="TableNormal"/>
    <w:uiPriority w:val="59"/>
    <w:rsid w:val="003E3FFD"/>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E3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9188">
      <w:bodyDiv w:val="1"/>
      <w:marLeft w:val="0"/>
      <w:marRight w:val="0"/>
      <w:marTop w:val="0"/>
      <w:marBottom w:val="0"/>
      <w:divBdr>
        <w:top w:val="none" w:sz="0" w:space="0" w:color="auto"/>
        <w:left w:val="none" w:sz="0" w:space="0" w:color="auto"/>
        <w:bottom w:val="none" w:sz="0" w:space="0" w:color="auto"/>
        <w:right w:val="none" w:sz="0" w:space="0" w:color="auto"/>
      </w:divBdr>
    </w:div>
    <w:div w:id="262230387">
      <w:bodyDiv w:val="1"/>
      <w:marLeft w:val="0"/>
      <w:marRight w:val="0"/>
      <w:marTop w:val="0"/>
      <w:marBottom w:val="0"/>
      <w:divBdr>
        <w:top w:val="none" w:sz="0" w:space="0" w:color="auto"/>
        <w:left w:val="none" w:sz="0" w:space="0" w:color="auto"/>
        <w:bottom w:val="none" w:sz="0" w:space="0" w:color="auto"/>
        <w:right w:val="none" w:sz="0" w:space="0" w:color="auto"/>
      </w:divBdr>
    </w:div>
    <w:div w:id="693843916">
      <w:bodyDiv w:val="1"/>
      <w:marLeft w:val="0"/>
      <w:marRight w:val="0"/>
      <w:marTop w:val="0"/>
      <w:marBottom w:val="0"/>
      <w:divBdr>
        <w:top w:val="none" w:sz="0" w:space="0" w:color="auto"/>
        <w:left w:val="none" w:sz="0" w:space="0" w:color="auto"/>
        <w:bottom w:val="none" w:sz="0" w:space="0" w:color="auto"/>
        <w:right w:val="none" w:sz="0" w:space="0" w:color="auto"/>
      </w:divBdr>
    </w:div>
    <w:div w:id="740908705">
      <w:bodyDiv w:val="1"/>
      <w:marLeft w:val="0"/>
      <w:marRight w:val="0"/>
      <w:marTop w:val="0"/>
      <w:marBottom w:val="0"/>
      <w:divBdr>
        <w:top w:val="none" w:sz="0" w:space="0" w:color="auto"/>
        <w:left w:val="none" w:sz="0" w:space="0" w:color="auto"/>
        <w:bottom w:val="none" w:sz="0" w:space="0" w:color="auto"/>
        <w:right w:val="none" w:sz="0" w:space="0" w:color="auto"/>
      </w:divBdr>
    </w:div>
    <w:div w:id="825248722">
      <w:bodyDiv w:val="1"/>
      <w:marLeft w:val="0"/>
      <w:marRight w:val="0"/>
      <w:marTop w:val="0"/>
      <w:marBottom w:val="0"/>
      <w:divBdr>
        <w:top w:val="none" w:sz="0" w:space="0" w:color="auto"/>
        <w:left w:val="none" w:sz="0" w:space="0" w:color="auto"/>
        <w:bottom w:val="none" w:sz="0" w:space="0" w:color="auto"/>
        <w:right w:val="none" w:sz="0" w:space="0" w:color="auto"/>
      </w:divBdr>
    </w:div>
    <w:div w:id="847018578">
      <w:bodyDiv w:val="1"/>
      <w:marLeft w:val="0"/>
      <w:marRight w:val="0"/>
      <w:marTop w:val="0"/>
      <w:marBottom w:val="0"/>
      <w:divBdr>
        <w:top w:val="none" w:sz="0" w:space="0" w:color="auto"/>
        <w:left w:val="none" w:sz="0" w:space="0" w:color="auto"/>
        <w:bottom w:val="none" w:sz="0" w:space="0" w:color="auto"/>
        <w:right w:val="none" w:sz="0" w:space="0" w:color="auto"/>
      </w:divBdr>
    </w:div>
    <w:div w:id="956136726">
      <w:bodyDiv w:val="1"/>
      <w:marLeft w:val="0"/>
      <w:marRight w:val="0"/>
      <w:marTop w:val="0"/>
      <w:marBottom w:val="0"/>
      <w:divBdr>
        <w:top w:val="none" w:sz="0" w:space="0" w:color="auto"/>
        <w:left w:val="none" w:sz="0" w:space="0" w:color="auto"/>
        <w:bottom w:val="none" w:sz="0" w:space="0" w:color="auto"/>
        <w:right w:val="none" w:sz="0" w:space="0" w:color="auto"/>
      </w:divBdr>
    </w:div>
    <w:div w:id="1030493167">
      <w:bodyDiv w:val="1"/>
      <w:marLeft w:val="0"/>
      <w:marRight w:val="0"/>
      <w:marTop w:val="0"/>
      <w:marBottom w:val="0"/>
      <w:divBdr>
        <w:top w:val="none" w:sz="0" w:space="0" w:color="auto"/>
        <w:left w:val="none" w:sz="0" w:space="0" w:color="auto"/>
        <w:bottom w:val="none" w:sz="0" w:space="0" w:color="auto"/>
        <w:right w:val="none" w:sz="0" w:space="0" w:color="auto"/>
      </w:divBdr>
    </w:div>
    <w:div w:id="1222642420">
      <w:bodyDiv w:val="1"/>
      <w:marLeft w:val="0"/>
      <w:marRight w:val="0"/>
      <w:marTop w:val="0"/>
      <w:marBottom w:val="0"/>
      <w:divBdr>
        <w:top w:val="none" w:sz="0" w:space="0" w:color="auto"/>
        <w:left w:val="none" w:sz="0" w:space="0" w:color="auto"/>
        <w:bottom w:val="none" w:sz="0" w:space="0" w:color="auto"/>
        <w:right w:val="none" w:sz="0" w:space="0" w:color="auto"/>
      </w:divBdr>
    </w:div>
    <w:div w:id="1241065119">
      <w:bodyDiv w:val="1"/>
      <w:marLeft w:val="0"/>
      <w:marRight w:val="0"/>
      <w:marTop w:val="0"/>
      <w:marBottom w:val="0"/>
      <w:divBdr>
        <w:top w:val="none" w:sz="0" w:space="0" w:color="auto"/>
        <w:left w:val="none" w:sz="0" w:space="0" w:color="auto"/>
        <w:bottom w:val="none" w:sz="0" w:space="0" w:color="auto"/>
        <w:right w:val="none" w:sz="0" w:space="0" w:color="auto"/>
      </w:divBdr>
    </w:div>
    <w:div w:id="1298951659">
      <w:bodyDiv w:val="1"/>
      <w:marLeft w:val="0"/>
      <w:marRight w:val="0"/>
      <w:marTop w:val="0"/>
      <w:marBottom w:val="0"/>
      <w:divBdr>
        <w:top w:val="none" w:sz="0" w:space="0" w:color="auto"/>
        <w:left w:val="none" w:sz="0" w:space="0" w:color="auto"/>
        <w:bottom w:val="none" w:sz="0" w:space="0" w:color="auto"/>
        <w:right w:val="none" w:sz="0" w:space="0" w:color="auto"/>
      </w:divBdr>
    </w:div>
    <w:div w:id="1344162890">
      <w:bodyDiv w:val="1"/>
      <w:marLeft w:val="0"/>
      <w:marRight w:val="0"/>
      <w:marTop w:val="0"/>
      <w:marBottom w:val="0"/>
      <w:divBdr>
        <w:top w:val="none" w:sz="0" w:space="0" w:color="auto"/>
        <w:left w:val="none" w:sz="0" w:space="0" w:color="auto"/>
        <w:bottom w:val="none" w:sz="0" w:space="0" w:color="auto"/>
        <w:right w:val="none" w:sz="0" w:space="0" w:color="auto"/>
      </w:divBdr>
    </w:div>
    <w:div w:id="1508447013">
      <w:bodyDiv w:val="1"/>
      <w:marLeft w:val="0"/>
      <w:marRight w:val="0"/>
      <w:marTop w:val="0"/>
      <w:marBottom w:val="0"/>
      <w:divBdr>
        <w:top w:val="none" w:sz="0" w:space="0" w:color="auto"/>
        <w:left w:val="none" w:sz="0" w:space="0" w:color="auto"/>
        <w:bottom w:val="none" w:sz="0" w:space="0" w:color="auto"/>
        <w:right w:val="none" w:sz="0" w:space="0" w:color="auto"/>
      </w:divBdr>
    </w:div>
    <w:div w:id="1665007978">
      <w:bodyDiv w:val="1"/>
      <w:marLeft w:val="0"/>
      <w:marRight w:val="0"/>
      <w:marTop w:val="0"/>
      <w:marBottom w:val="0"/>
      <w:divBdr>
        <w:top w:val="none" w:sz="0" w:space="0" w:color="auto"/>
        <w:left w:val="none" w:sz="0" w:space="0" w:color="auto"/>
        <w:bottom w:val="none" w:sz="0" w:space="0" w:color="auto"/>
        <w:right w:val="none" w:sz="0" w:space="0" w:color="auto"/>
      </w:divBdr>
    </w:div>
    <w:div w:id="178962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crisil.com" TargetMode="External"/><Relationship Id="rId3" Type="http://schemas.openxmlformats.org/officeDocument/2006/relationships/styles" Target="styles.xml"/><Relationship Id="rId21" Type="http://schemas.openxmlformats.org/officeDocument/2006/relationships/hyperlink" Target="https://www.rbi.org.i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rb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pwc.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pnb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EA9A-0B1E-4D5F-B76D-8DBB423A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18</cp:revision>
  <dcterms:created xsi:type="dcterms:W3CDTF">2025-05-01T15:22:00Z</dcterms:created>
  <dcterms:modified xsi:type="dcterms:W3CDTF">2025-05-19T04:43:00Z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LastSaved">
    <vt:filetime>2025-05-01T00:00:00Z</vt:filetime>
  </property>
  <property fmtid="{D5CDD505-2E9C-101B-9397-08002B2CF9AE}" pid="4" name="Producer">
    <vt:lpwstr>PDFill PDF Editor 14.0</vt:lpwstr>
  </property>
</Properties>
</file>