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DE50C2" w14:textId="77777777" w:rsidR="00C82D0A" w:rsidRDefault="00C82D0A" w:rsidP="009C0002">
      <w:pPr>
        <w:spacing w:line="360" w:lineRule="auto"/>
        <w:jc w:val="both"/>
        <w:rPr>
          <w:rFonts w:ascii="Times New Roman" w:hAnsi="Times New Roman" w:cs="Times New Roman"/>
          <w:b/>
          <w:bCs/>
          <w:sz w:val="24"/>
          <w:szCs w:val="24"/>
        </w:rPr>
      </w:pPr>
      <w:bookmarkStart w:id="0" w:name="_Hlk199966675"/>
    </w:p>
    <w:p w14:paraId="2FC5C816" w14:textId="77777777" w:rsidR="00C82D0A" w:rsidRPr="00BF4C55" w:rsidRDefault="00C82D0A" w:rsidP="009C0002">
      <w:pPr>
        <w:spacing w:line="360" w:lineRule="auto"/>
        <w:jc w:val="both"/>
        <w:rPr>
          <w:rFonts w:ascii="Times New Roman" w:hAnsi="Times New Roman" w:cs="Times New Roman"/>
          <w:b/>
          <w:bCs/>
          <w:sz w:val="24"/>
          <w:szCs w:val="24"/>
          <w:u w:val="single"/>
        </w:rPr>
      </w:pPr>
      <w:r w:rsidRPr="00BF4C55">
        <w:rPr>
          <w:rFonts w:ascii="Times New Roman" w:hAnsi="Times New Roman" w:cs="Times New Roman"/>
          <w:b/>
          <w:bCs/>
          <w:sz w:val="24"/>
          <w:szCs w:val="24"/>
          <w:u w:val="single"/>
        </w:rPr>
        <w:t>Review Article</w:t>
      </w:r>
    </w:p>
    <w:p w14:paraId="4CC1E311" w14:textId="21BB76B5" w:rsidR="00CF5882" w:rsidRPr="009C0002" w:rsidRDefault="00F2597A" w:rsidP="009C0002">
      <w:pPr>
        <w:spacing w:line="360" w:lineRule="auto"/>
        <w:jc w:val="both"/>
        <w:rPr>
          <w:rFonts w:ascii="Times New Roman" w:hAnsi="Times New Roman" w:cs="Times New Roman"/>
          <w:b/>
          <w:bCs/>
          <w:sz w:val="24"/>
          <w:szCs w:val="24"/>
        </w:rPr>
      </w:pPr>
      <w:r w:rsidRPr="009C0002">
        <w:rPr>
          <w:rFonts w:ascii="Times New Roman" w:hAnsi="Times New Roman" w:cs="Times New Roman"/>
          <w:b/>
          <w:bCs/>
          <w:sz w:val="24"/>
          <w:szCs w:val="24"/>
        </w:rPr>
        <w:t xml:space="preserve">Precision </w:t>
      </w:r>
      <w:r>
        <w:rPr>
          <w:rFonts w:ascii="Times New Roman" w:hAnsi="Times New Roman" w:cs="Times New Roman"/>
          <w:b/>
          <w:bCs/>
          <w:sz w:val="24"/>
          <w:szCs w:val="24"/>
        </w:rPr>
        <w:t>G</w:t>
      </w:r>
      <w:r w:rsidRPr="009C0002">
        <w:rPr>
          <w:rFonts w:ascii="Times New Roman" w:hAnsi="Times New Roman" w:cs="Times New Roman"/>
          <w:b/>
          <w:bCs/>
          <w:sz w:val="24"/>
          <w:szCs w:val="24"/>
        </w:rPr>
        <w:t xml:space="preserve">ene </w:t>
      </w:r>
      <w:r>
        <w:rPr>
          <w:rFonts w:ascii="Times New Roman" w:hAnsi="Times New Roman" w:cs="Times New Roman"/>
          <w:b/>
          <w:bCs/>
          <w:sz w:val="24"/>
          <w:szCs w:val="24"/>
        </w:rPr>
        <w:t>T</w:t>
      </w:r>
      <w:r w:rsidRPr="009C0002">
        <w:rPr>
          <w:rFonts w:ascii="Times New Roman" w:hAnsi="Times New Roman" w:cs="Times New Roman"/>
          <w:b/>
          <w:bCs/>
          <w:sz w:val="24"/>
          <w:szCs w:val="24"/>
        </w:rPr>
        <w:t>herapy</w:t>
      </w:r>
      <w:r w:rsidR="00CF5882" w:rsidRPr="009C0002">
        <w:rPr>
          <w:rFonts w:ascii="Times New Roman" w:hAnsi="Times New Roman" w:cs="Times New Roman"/>
          <w:b/>
          <w:bCs/>
          <w:sz w:val="24"/>
          <w:szCs w:val="24"/>
        </w:rPr>
        <w:t>: A Transformative Approach to Treat Age-Related Macular Degeneration (ARMD)</w:t>
      </w:r>
    </w:p>
    <w:bookmarkEnd w:id="0"/>
    <w:p w14:paraId="3C613CAA" w14:textId="5DFBB2FF" w:rsidR="00C30F5C" w:rsidRPr="009C0002" w:rsidRDefault="00C30F5C" w:rsidP="009C0002">
      <w:pPr>
        <w:spacing w:line="360" w:lineRule="auto"/>
        <w:jc w:val="both"/>
        <w:rPr>
          <w:rFonts w:ascii="Times New Roman" w:hAnsi="Times New Roman" w:cs="Times New Roman"/>
          <w:sz w:val="24"/>
          <w:szCs w:val="24"/>
        </w:rPr>
      </w:pPr>
    </w:p>
    <w:p w14:paraId="796113E8" w14:textId="77777777" w:rsidR="00CF5882" w:rsidRPr="009C0002" w:rsidRDefault="00CF5882" w:rsidP="009C0002">
      <w:pPr>
        <w:spacing w:line="360" w:lineRule="auto"/>
        <w:jc w:val="both"/>
        <w:rPr>
          <w:rFonts w:ascii="Times New Roman" w:hAnsi="Times New Roman" w:cs="Times New Roman"/>
          <w:b/>
          <w:bCs/>
          <w:sz w:val="24"/>
          <w:szCs w:val="24"/>
        </w:rPr>
      </w:pPr>
      <w:r w:rsidRPr="009C0002">
        <w:rPr>
          <w:rFonts w:ascii="Times New Roman" w:hAnsi="Times New Roman" w:cs="Times New Roman"/>
          <w:b/>
          <w:bCs/>
          <w:sz w:val="24"/>
          <w:szCs w:val="24"/>
        </w:rPr>
        <w:t xml:space="preserve">Abstract </w:t>
      </w:r>
    </w:p>
    <w:p w14:paraId="1C45966E" w14:textId="77777777" w:rsidR="00DC2CCF" w:rsidRPr="00F10C78" w:rsidRDefault="00710FB1" w:rsidP="00F10C78">
      <w:pPr>
        <w:shd w:val="clear" w:color="auto" w:fill="FFFFFF"/>
        <w:spacing w:line="360" w:lineRule="auto"/>
        <w:jc w:val="both"/>
        <w:rPr>
          <w:rFonts w:ascii="Times New Roman" w:eastAsia="Times New Roman" w:hAnsi="Times New Roman" w:cs="Times New Roman"/>
          <w:color w:val="222222"/>
          <w:kern w:val="0"/>
          <w:sz w:val="24"/>
          <w:szCs w:val="24"/>
          <w:lang w:val="en-US"/>
        </w:rPr>
      </w:pPr>
      <w:r w:rsidRPr="00710FB1">
        <w:rPr>
          <w:rFonts w:ascii="Times New Roman" w:eastAsia="Times New Roman" w:hAnsi="Times New Roman" w:cs="Times New Roman"/>
          <w:color w:val="222222"/>
          <w:kern w:val="0"/>
          <w:sz w:val="24"/>
          <w:szCs w:val="24"/>
        </w:rPr>
        <w:t>A new age of Precision gene therapy is the most futuristic, transformative, and alternative approach developed for treating Age-Related Macular Degeneration (ARMD). Globally, ARMD is a major contributor to severe, irreversible vision loss. It is a degenerative disease that results in central vision loss by affecting the choriocapillaris, photoreceptors, retinal pigment epithelium, and macula, thereby limiting the frequency of anti-VEGF (anti-vascular endothelial growth factor) injections as a standard treatment. Additional</w:t>
      </w:r>
      <w:bookmarkStart w:id="1" w:name="_GoBack"/>
      <w:bookmarkEnd w:id="1"/>
      <w:r w:rsidRPr="00710FB1">
        <w:rPr>
          <w:rFonts w:ascii="Times New Roman" w:eastAsia="Times New Roman" w:hAnsi="Times New Roman" w:cs="Times New Roman"/>
          <w:color w:val="222222"/>
          <w:kern w:val="0"/>
          <w:sz w:val="24"/>
          <w:szCs w:val="24"/>
        </w:rPr>
        <w:t xml:space="preserve">ly, it involves creating techniques to ensure sustained delivery of a range of antiangiogenic proteins. These are repetitive intravitreal injections, which put the patient at high risk of infection, costly drugs, low compliance, disparities in access, healthcare burden, increase the doctor-patient conflict, </w:t>
      </w:r>
      <w:r w:rsidR="002F6077">
        <w:rPr>
          <w:rFonts w:ascii="Times New Roman" w:eastAsia="Times New Roman" w:hAnsi="Times New Roman" w:cs="Times New Roman"/>
          <w:color w:val="222222"/>
          <w:kern w:val="0"/>
          <w:sz w:val="24"/>
          <w:szCs w:val="24"/>
        </w:rPr>
        <w:t xml:space="preserve">and are </w:t>
      </w:r>
      <w:r w:rsidRPr="00710FB1">
        <w:rPr>
          <w:rFonts w:ascii="Times New Roman" w:eastAsia="Times New Roman" w:hAnsi="Times New Roman" w:cs="Times New Roman"/>
          <w:color w:val="222222"/>
          <w:kern w:val="0"/>
          <w:sz w:val="24"/>
          <w:szCs w:val="24"/>
        </w:rPr>
        <w:t>hectic for the elderly population. Gene therapy has emerged as a promising substitute, an Innovative approach to treating ARMD by replacing faulty genes with healthy ones. Viral non-integrating Vectors, such as AAV, act as envelopes that carry encoded genetic messages without impacting native cellular DNA. It enhances patients' hope and quality of life. This Review aims to promote gene therapy for ARMD, providing the current status of ongoing research, awareness, and future innovative progression. With its vast and unlimited potential, gene therapy is poised to reshape the future of healthcare, offering new hope for patients with ARMD.</w:t>
      </w:r>
    </w:p>
    <w:p w14:paraId="34A8CA36" w14:textId="77777777" w:rsidR="00A37D7A" w:rsidRPr="009C0002" w:rsidRDefault="00CF5882" w:rsidP="009C0002">
      <w:pPr>
        <w:spacing w:line="360" w:lineRule="auto"/>
        <w:jc w:val="both"/>
        <w:rPr>
          <w:rFonts w:ascii="Times New Roman" w:hAnsi="Times New Roman" w:cs="Times New Roman"/>
          <w:sz w:val="24"/>
          <w:szCs w:val="24"/>
        </w:rPr>
      </w:pPr>
      <w:r w:rsidRPr="009C0002">
        <w:rPr>
          <w:rFonts w:ascii="Times New Roman" w:hAnsi="Times New Roman" w:cs="Times New Roman"/>
          <w:b/>
          <w:bCs/>
          <w:sz w:val="24"/>
          <w:szCs w:val="24"/>
        </w:rPr>
        <w:t>Keywords</w:t>
      </w:r>
      <w:r w:rsidR="009C0002" w:rsidRPr="009C0002">
        <w:rPr>
          <w:rFonts w:ascii="Times New Roman" w:hAnsi="Times New Roman" w:cs="Times New Roman"/>
          <w:b/>
          <w:bCs/>
          <w:sz w:val="24"/>
          <w:szCs w:val="24"/>
        </w:rPr>
        <w:t>:</w:t>
      </w:r>
      <w:r w:rsidR="009C0002" w:rsidRPr="009C0002">
        <w:rPr>
          <w:rFonts w:ascii="Times New Roman" w:hAnsi="Times New Roman" w:cs="Times New Roman"/>
          <w:sz w:val="24"/>
          <w:szCs w:val="24"/>
        </w:rPr>
        <w:t xml:space="preserve"> Adeno</w:t>
      </w:r>
      <w:r w:rsidR="00B52557" w:rsidRPr="009C0002">
        <w:rPr>
          <w:rFonts w:ascii="Times New Roman" w:hAnsi="Times New Roman" w:cs="Times New Roman"/>
          <w:sz w:val="24"/>
          <w:szCs w:val="24"/>
        </w:rPr>
        <w:t xml:space="preserve">-Associated Viral Vector, </w:t>
      </w:r>
      <w:r w:rsidRPr="009C0002">
        <w:rPr>
          <w:rFonts w:ascii="Times New Roman" w:hAnsi="Times New Roman" w:cs="Times New Roman"/>
          <w:sz w:val="24"/>
          <w:szCs w:val="24"/>
        </w:rPr>
        <w:t>Age-Related Macular Degeneration, Gene Therapy, Precision Medicine, Vision Loss</w:t>
      </w:r>
      <w:r w:rsidR="00B52557" w:rsidRPr="009C0002">
        <w:rPr>
          <w:rFonts w:ascii="Times New Roman" w:hAnsi="Times New Roman" w:cs="Times New Roman"/>
          <w:sz w:val="24"/>
          <w:szCs w:val="24"/>
        </w:rPr>
        <w:t>.</w:t>
      </w:r>
    </w:p>
    <w:p w14:paraId="4A6241B3" w14:textId="77777777" w:rsidR="00B10DE5" w:rsidRPr="009C0002" w:rsidRDefault="00B10DE5" w:rsidP="009C0002">
      <w:pPr>
        <w:spacing w:line="360" w:lineRule="auto"/>
        <w:jc w:val="both"/>
        <w:rPr>
          <w:rFonts w:ascii="Times New Roman" w:hAnsi="Times New Roman" w:cs="Times New Roman"/>
          <w:sz w:val="24"/>
          <w:szCs w:val="24"/>
        </w:rPr>
      </w:pPr>
    </w:p>
    <w:p w14:paraId="367F3FD4" w14:textId="77777777" w:rsidR="00C30F5C" w:rsidRPr="009C0002" w:rsidRDefault="00C30F5C" w:rsidP="009C0002">
      <w:pPr>
        <w:spacing w:line="360" w:lineRule="auto"/>
        <w:jc w:val="both"/>
        <w:rPr>
          <w:rFonts w:ascii="Times New Roman" w:hAnsi="Times New Roman" w:cs="Times New Roman"/>
          <w:sz w:val="24"/>
          <w:szCs w:val="24"/>
        </w:rPr>
      </w:pPr>
    </w:p>
    <w:p w14:paraId="4AC06CA6" w14:textId="77777777" w:rsidR="00C30F5C" w:rsidRPr="009C0002" w:rsidRDefault="00C30F5C" w:rsidP="009C0002">
      <w:pPr>
        <w:spacing w:line="360" w:lineRule="auto"/>
        <w:jc w:val="both"/>
        <w:rPr>
          <w:rFonts w:ascii="Times New Roman" w:hAnsi="Times New Roman" w:cs="Times New Roman"/>
          <w:sz w:val="24"/>
          <w:szCs w:val="24"/>
        </w:rPr>
      </w:pPr>
    </w:p>
    <w:p w14:paraId="531504D4" w14:textId="77777777" w:rsidR="00C30F5C" w:rsidRPr="009C0002" w:rsidRDefault="00C30F5C" w:rsidP="009C0002">
      <w:pPr>
        <w:spacing w:line="360" w:lineRule="auto"/>
        <w:jc w:val="both"/>
        <w:rPr>
          <w:rFonts w:ascii="Times New Roman" w:hAnsi="Times New Roman" w:cs="Times New Roman"/>
          <w:sz w:val="24"/>
          <w:szCs w:val="24"/>
        </w:rPr>
      </w:pPr>
    </w:p>
    <w:p w14:paraId="686721C3" w14:textId="77777777" w:rsidR="00C30F5C" w:rsidRPr="009C0002" w:rsidRDefault="00C30F5C" w:rsidP="009C0002">
      <w:pPr>
        <w:spacing w:line="360" w:lineRule="auto"/>
        <w:jc w:val="both"/>
        <w:rPr>
          <w:rFonts w:ascii="Times New Roman" w:hAnsi="Times New Roman" w:cs="Times New Roman"/>
          <w:sz w:val="24"/>
          <w:szCs w:val="24"/>
        </w:rPr>
      </w:pPr>
    </w:p>
    <w:p w14:paraId="5787337E" w14:textId="77777777" w:rsidR="00C30F5C" w:rsidRPr="009C0002" w:rsidRDefault="00C30F5C" w:rsidP="009C0002">
      <w:pPr>
        <w:spacing w:line="360" w:lineRule="auto"/>
        <w:jc w:val="both"/>
        <w:rPr>
          <w:rFonts w:ascii="Times New Roman" w:hAnsi="Times New Roman" w:cs="Times New Roman"/>
          <w:sz w:val="24"/>
          <w:szCs w:val="24"/>
        </w:rPr>
      </w:pPr>
    </w:p>
    <w:p w14:paraId="78CF5A10" w14:textId="77777777" w:rsidR="00DC2CCF" w:rsidRPr="009C0002" w:rsidRDefault="00DC2CCF" w:rsidP="009C0002">
      <w:pPr>
        <w:spacing w:line="360" w:lineRule="auto"/>
        <w:jc w:val="both"/>
        <w:rPr>
          <w:rFonts w:ascii="Times New Roman" w:hAnsi="Times New Roman" w:cs="Times New Roman"/>
          <w:sz w:val="24"/>
          <w:szCs w:val="24"/>
        </w:rPr>
      </w:pPr>
    </w:p>
    <w:p w14:paraId="45BF0A3A" w14:textId="77777777" w:rsidR="00DC2CCF" w:rsidRDefault="00DC2CCF" w:rsidP="009C0002">
      <w:pPr>
        <w:spacing w:line="360" w:lineRule="auto"/>
        <w:jc w:val="both"/>
        <w:rPr>
          <w:rFonts w:ascii="Times New Roman" w:hAnsi="Times New Roman" w:cs="Times New Roman"/>
          <w:sz w:val="24"/>
          <w:szCs w:val="24"/>
        </w:rPr>
      </w:pPr>
    </w:p>
    <w:p w14:paraId="4CF83AFF" w14:textId="77777777" w:rsidR="00F10C78" w:rsidRPr="009C0002" w:rsidRDefault="00F10C78" w:rsidP="009C0002">
      <w:pPr>
        <w:spacing w:line="360" w:lineRule="auto"/>
        <w:jc w:val="both"/>
        <w:rPr>
          <w:rFonts w:ascii="Times New Roman" w:hAnsi="Times New Roman" w:cs="Times New Roman"/>
          <w:sz w:val="24"/>
          <w:szCs w:val="24"/>
        </w:rPr>
      </w:pPr>
    </w:p>
    <w:p w14:paraId="69FC2000" w14:textId="77777777" w:rsidR="00CF5882" w:rsidRPr="009C0002" w:rsidRDefault="00AF1310" w:rsidP="009C0002">
      <w:pPr>
        <w:spacing w:line="360" w:lineRule="auto"/>
        <w:jc w:val="both"/>
        <w:rPr>
          <w:rFonts w:ascii="Times New Roman" w:hAnsi="Times New Roman" w:cs="Times New Roman"/>
          <w:b/>
          <w:bCs/>
          <w:sz w:val="24"/>
          <w:szCs w:val="24"/>
        </w:rPr>
      </w:pPr>
      <w:r w:rsidRPr="009C0002">
        <w:rPr>
          <w:rFonts w:ascii="Times New Roman" w:hAnsi="Times New Roman" w:cs="Times New Roman"/>
          <w:b/>
          <w:bCs/>
          <w:sz w:val="24"/>
          <w:szCs w:val="24"/>
        </w:rPr>
        <w:t xml:space="preserve">1. </w:t>
      </w:r>
      <w:r w:rsidR="00CF5882" w:rsidRPr="009C0002">
        <w:rPr>
          <w:rFonts w:ascii="Times New Roman" w:hAnsi="Times New Roman" w:cs="Times New Roman"/>
          <w:b/>
          <w:bCs/>
          <w:sz w:val="24"/>
          <w:szCs w:val="24"/>
        </w:rPr>
        <w:t>Introduction</w:t>
      </w:r>
    </w:p>
    <w:p w14:paraId="08649843" w14:textId="77777777" w:rsidR="00CF5882" w:rsidRPr="009C0002" w:rsidRDefault="00710FB1" w:rsidP="009C0002">
      <w:pPr>
        <w:shd w:val="clear" w:color="auto" w:fill="FFFFFF"/>
        <w:spacing w:line="360" w:lineRule="auto"/>
        <w:jc w:val="both"/>
        <w:rPr>
          <w:rFonts w:ascii="Times New Roman" w:eastAsia="Times New Roman" w:hAnsi="Times New Roman" w:cs="Times New Roman"/>
          <w:color w:val="222222"/>
          <w:kern w:val="0"/>
          <w:sz w:val="24"/>
          <w:szCs w:val="24"/>
          <w:lang w:val="en-US"/>
        </w:rPr>
      </w:pPr>
      <w:r w:rsidRPr="009C0002">
        <w:rPr>
          <w:rFonts w:ascii="Times New Roman" w:hAnsi="Times New Roman" w:cs="Times New Roman"/>
          <w:color w:val="222222"/>
          <w:sz w:val="24"/>
          <w:szCs w:val="24"/>
          <w:shd w:val="clear" w:color="auto" w:fill="FFFFFF"/>
        </w:rPr>
        <w:t>Age-related macular degeneration ARMD), also known as senile macular degeneration, is a complex bilateral disorder characterised by the development of distinct, slightly raised, yellowish-white spots called Drusen</w:t>
      </w:r>
      <w:r w:rsidR="002F6077">
        <w:rPr>
          <w:rFonts w:ascii="Times New Roman" w:hAnsi="Times New Roman" w:cs="Times New Roman"/>
          <w:color w:val="222222"/>
          <w:sz w:val="24"/>
          <w:szCs w:val="24"/>
          <w:shd w:val="clear" w:color="auto" w:fill="FFFFFF"/>
        </w:rPr>
        <w:t xml:space="preserve"> </w:t>
      </w:r>
      <w:r w:rsidR="003A0F1D" w:rsidRPr="009C0002">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{"citationID":"yUAWgwFS","properties":{"formattedCitation":"(Voelker, 2024)","plainCitation":"(Voelker, 2024)","noteIndex":0},"citationItems":[{"id":1,"uris":["http://zotero.org/users/17126151/items/8LU5X9BJ"],"itemData":{"id":1,"type":"article-journal","abstract":"Age-related macular degeneration (AMD) causes severe vision impairment in older adults.Age-related macular degeneration affects approximately 20 million individuals in the US and 196 million people worldwide. Although AMD does not typically cause complete vision loss, it accounts for 6% to 9% of legal blindness globally. Patients with late-stage AMD may lose their ability to drive, read, and recognize faces.","container-title":"JAMA","DOI":"10.1001/jama.2024.4281","ISSN":"0098-7484","issue":"24","journalAbbreviation":"JAMA","page":"2142","source":"Silverchair","title":"What Is Age-Related Macular Degeneration?","volume":"331","author":[{"family":"Voelker","given":"Rebecca"}],"issued":{"date-parts":[["2024",6,25]]}}}],"schema":"https://github.com/citation-style-language/schema/raw/master/csl-citation.json"} </w:instrText>
      </w:r>
      <w:r w:rsidR="003A0F1D" w:rsidRPr="009C0002">
        <w:rPr>
          <w:rFonts w:ascii="Times New Roman" w:hAnsi="Times New Roman" w:cs="Times New Roman"/>
          <w:sz w:val="24"/>
          <w:szCs w:val="24"/>
        </w:rPr>
        <w:fldChar w:fldCharType="separate"/>
      </w:r>
      <w:r w:rsidR="00B3699E" w:rsidRPr="00B3699E">
        <w:rPr>
          <w:rFonts w:ascii="Times New Roman" w:hAnsi="Times New Roman" w:cs="Times New Roman"/>
          <w:sz w:val="24"/>
        </w:rPr>
        <w:t>(Voelker, 2024)</w:t>
      </w:r>
      <w:r w:rsidR="003A0F1D" w:rsidRPr="009C0002">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9C0002">
        <w:rPr>
          <w:rFonts w:ascii="Times New Roman" w:hAnsi="Times New Roman" w:cs="Times New Roman"/>
          <w:sz w:val="24"/>
          <w:szCs w:val="24"/>
        </w:rPr>
        <w:t xml:space="preserve"> These extracellular deposits form between the retinal pigment epithelium and Bruch's membrane. The risk is 1.3 times greater for women than for men. 10–20% of adults over 65 are suffering from Age-Related Macular Degeneration (ARMD), a major cause of severe, permanent loss of vision that will affect 2</w:t>
      </w:r>
      <w:r w:rsidR="00513BFC" w:rsidRPr="009C0002">
        <w:rPr>
          <w:rFonts w:ascii="Times New Roman" w:hAnsi="Times New Roman" w:cs="Times New Roman"/>
          <w:sz w:val="24"/>
          <w:szCs w:val="24"/>
        </w:rPr>
        <w:t xml:space="preserve">00 </w:t>
      </w:r>
      <w:r w:rsidR="00CF5882" w:rsidRPr="009C0002">
        <w:rPr>
          <w:rFonts w:ascii="Times New Roman" w:hAnsi="Times New Roman" w:cs="Times New Roman"/>
          <w:sz w:val="24"/>
          <w:szCs w:val="24"/>
        </w:rPr>
        <w:t>million people by 2040</w:t>
      </w:r>
      <w:r w:rsidR="002D39FE">
        <w:rPr>
          <w:rFonts w:ascii="Times New Roman" w:hAnsi="Times New Roman" w:cs="Times New Roman"/>
          <w:sz w:val="24"/>
          <w:szCs w:val="24"/>
        </w:rPr>
        <w:t xml:space="preserve"> </w:t>
      </w:r>
      <w:r w:rsidR="003A0F1D" w:rsidRPr="009C0002">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{"citationID":"Wp4OpO69","properties":{"formattedCitation":"(Vyawahare &amp; Shinde, n.d.)","plainCitation":"(Vyawahare &amp; Shinde, n.d.)","noteIndex":0},"citationItems":[{"id":3,"uris":["http://zotero.org/users/17126151/items/979A9ZI4"],"itemData":{"id":3,"type":"article-journal","abstract":"The greatest global root of irremediable amaurosis in the venerable is age-related macular degeneration (AMD), a complex eye condition. Clinically, AMD is characterized as being in an early stage to late stage and initially affects the macula, which is the center of the retina (advanced AMD). Age-related cellular and metabolic imbalance are made worse by the creation of excessive amounts of free radical species, which causes mitochondrial malfunction. As a result, in AMD-affected eyes, the deprivation of melanocytes, confection, and eventually atrophy within the retinal tissue are caused by the continued proliferation of oxidative stress caused by systemic antioxidant capacity depletion., In the urbanized, industrialized world, age-related macular degeneration (AMD) is one of the major causes of central vision loss in the older age group. Although several causes and mechanisms for the dysfunction and degeneration of the retinal pigment epithelium (RPE) have previously been identified, the condition’s symptoms are still not fully understood. Etiopathogenesis is still not entirely understood. As a result, the RPE fails, allowing an accumulation of aberrant misfolded proteins, due to the loss of anatomical control over oppression, altered homeostasis, dysfunctional lipid homeostasis, and failure of mitochondria., Due to the multitude of interconnected processes, numerous complicated therapy combinations will probably be the best option to deliver the best visual outcomes; these combinations will vary depending on the kind and degree of the condition being treated. Undoubtedly, this will lead to the development of customized preventative medications and, hopefully, the revelation of a potential cure. All the mechanisms involved in the etiology of AMD should be continuously probed to create covariates for other contemporaneous or future problems.","container-title":"Cureus","DOI":"10.7759/cureus.29583","ISSN":"2168-8184","issue":"9","journalAbbreviation":"Cureus","note":"PMID: 36312607\nPMCID: PMC9595233","page":"e29583","source":"PubMed Central","title":"Age-Related Macular Degeneration: Epidemiology, Pathophysiology, Diagnosis, and Treatment","title-short":"Age-Related Macular Degeneration","volume":"14","author":[{"family":"Vyawahare","given":"Hrishikesh"},{"family":"Shinde","given":"Pranaykumar"}]}}],"schema":"https://github.com/citation-style-language/schema/raw/master/csl-citation.json"} </w:instrText>
      </w:r>
      <w:r w:rsidR="003A0F1D" w:rsidRPr="009C0002">
        <w:rPr>
          <w:rFonts w:ascii="Times New Roman" w:hAnsi="Times New Roman" w:cs="Times New Roman"/>
          <w:sz w:val="24"/>
          <w:szCs w:val="24"/>
        </w:rPr>
        <w:fldChar w:fldCharType="separate"/>
      </w:r>
      <w:r w:rsidR="00B3699E" w:rsidRPr="00B3699E">
        <w:rPr>
          <w:rFonts w:ascii="Times New Roman" w:hAnsi="Times New Roman" w:cs="Times New Roman"/>
          <w:sz w:val="24"/>
        </w:rPr>
        <w:t>(Vyawahare &amp; Shinde, n.d.)</w:t>
      </w:r>
      <w:r w:rsidR="003A0F1D" w:rsidRPr="009C0002">
        <w:rPr>
          <w:rFonts w:ascii="Times New Roman" w:hAnsi="Times New Roman" w:cs="Times New Roman"/>
          <w:sz w:val="24"/>
          <w:szCs w:val="24"/>
        </w:rPr>
        <w:fldChar w:fldCharType="end"/>
      </w:r>
      <w:r w:rsidR="002D39FE">
        <w:rPr>
          <w:rFonts w:ascii="Times New Roman" w:hAnsi="Times New Roman" w:cs="Times New Roman"/>
          <w:sz w:val="24"/>
          <w:szCs w:val="24"/>
        </w:rPr>
        <w:t xml:space="preserve">. </w:t>
      </w:r>
      <w:r w:rsidR="00CF5882" w:rsidRPr="009C0002">
        <w:rPr>
          <w:rFonts w:ascii="Times New Roman" w:hAnsi="Times New Roman" w:cs="Times New Roman"/>
          <w:sz w:val="24"/>
          <w:szCs w:val="24"/>
        </w:rPr>
        <w:t>Current treatments, such as anti-VEGF injections, have limitations, including a high risk of infection, costly drugs, low compliance, substantial financial burden on the healthcare system, and poor patient adherence</w:t>
      </w:r>
      <w:r w:rsidR="002F6077">
        <w:rPr>
          <w:rFonts w:ascii="Times New Roman" w:hAnsi="Times New Roman" w:cs="Times New Roman"/>
          <w:sz w:val="24"/>
          <w:szCs w:val="24"/>
        </w:rPr>
        <w:t xml:space="preserve"> </w:t>
      </w:r>
      <w:r w:rsidR="003A0F1D" w:rsidRPr="009C0002">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{"citationID":"vqhVwOVl","properties":{"formattedCitation":"(Xu et al., 2022)","plainCitation":"(Xu et al., 2022)","noteIndex":0},"citationItems":[{"id":6,"uris":["http://zotero.org/users/17126151/items/8QPVNPRE"],"itemData":{"id":6,"type":"article-journal","abstract":"Currently, the treatment for ocular neovascular diseases, including diabetic macular edema (DME) and age-related macular degeneration (AMD), mainly involves repeated intravitreal injection of anti-vascular endothelial growth factor (VEGF) drugs. Although it can preserve vision, repeated injections are an invasive treatment modality, leading to serious complications and reducing patient adherence to treatment. To reduce the frequency of administration, prolong the time of drug action, and avoid repeated intravitreal injections, the combination of sustained-release materials with anti-VEGF drug therapy has become an emphasis in ophthalmology. In this review, we highlight the current state of anti-VEGF technology, its challenges, and the sustained-release strategies under investigation or being used in clinical practice. Both continuous release and considerable therapeutic effects can be achieved by encapsulating anti-VEGF drugs in sustained-release materials to minimize the number of intravitreal injections. At present, two sustained-release materials are being tested in clinical research, and although basic research shows the strong therapeutic application prospects of extended-release drugs, its challenges mainly involve the discrepancy between the release rates in vitro and the efficiency of the drugs in vivo. Briefly, sustained release of anti-VEGF agents is an advantageous strategy for treating retinal angiogenesis.","container-title":"Drug Design, Development and Therapy","DOI":"10.2147/DDDT.S383101","ISSN":"1177-8881","journalAbbreviation":"Drug Des Devel Ther","note":"PMID: 36172053\nPMCID: PMC9512290","page":"3241-3262","source":"PubMed Central","title":"Progress and Challenges of Anti-VEGF Agents and Their Sustained-Release Strategies for Retinal Angiogenesis","volume":"16","author":[{"family":"Xu","given":"Manhong"},{"family":"Fan","given":"Ruiyan"},{"family":"Fan","given":"Xiaoe"},{"family":"Shao","given":"Yan"},{"family":"Li","given":"Xiaorong"}],"issued":{"date-parts":[["2022",9,22]]}}}],"schema":"https://github.com/citation-style-language/schema/raw/master/csl-citation.json"} </w:instrText>
      </w:r>
      <w:r w:rsidR="003A0F1D" w:rsidRPr="009C0002">
        <w:rPr>
          <w:rFonts w:ascii="Times New Roman" w:hAnsi="Times New Roman" w:cs="Times New Roman"/>
          <w:sz w:val="24"/>
          <w:szCs w:val="24"/>
        </w:rPr>
        <w:fldChar w:fldCharType="separate"/>
      </w:r>
      <w:r w:rsidR="00B3699E" w:rsidRPr="00B3699E">
        <w:rPr>
          <w:rFonts w:ascii="Times New Roman" w:hAnsi="Times New Roman" w:cs="Times New Roman"/>
          <w:sz w:val="24"/>
        </w:rPr>
        <w:t>(Xu et al., 2022)</w:t>
      </w:r>
      <w:r w:rsidR="003A0F1D" w:rsidRPr="009C0002">
        <w:rPr>
          <w:rFonts w:ascii="Times New Roman" w:hAnsi="Times New Roman" w:cs="Times New Roman"/>
          <w:sz w:val="24"/>
          <w:szCs w:val="24"/>
        </w:rPr>
        <w:fldChar w:fldCharType="end"/>
      </w:r>
      <w:r w:rsidR="00CF5882" w:rsidRPr="009C0002">
        <w:rPr>
          <w:rFonts w:ascii="Times New Roman" w:hAnsi="Times New Roman" w:cs="Times New Roman"/>
          <w:sz w:val="24"/>
          <w:szCs w:val="24"/>
        </w:rPr>
        <w:t xml:space="preserve"> ARMD is a multifactorial global disease that significantly impacts society. In ARMD, the Macula is affected, </w:t>
      </w:r>
      <w:r w:rsidR="00C85373" w:rsidRPr="009C0002">
        <w:rPr>
          <w:rFonts w:ascii="Times New Roman" w:hAnsi="Times New Roman" w:cs="Times New Roman"/>
          <w:sz w:val="24"/>
          <w:szCs w:val="24"/>
        </w:rPr>
        <w:t>compromising the central vision, impairing</w:t>
      </w:r>
      <w:r w:rsidR="00CF5882" w:rsidRPr="009C0002">
        <w:rPr>
          <w:rFonts w:ascii="Times New Roman" w:hAnsi="Times New Roman" w:cs="Times New Roman"/>
          <w:sz w:val="24"/>
          <w:szCs w:val="24"/>
        </w:rPr>
        <w:t xml:space="preserve"> a person's ability to see colours, and </w:t>
      </w:r>
      <w:r w:rsidR="00C85373" w:rsidRPr="009C0002">
        <w:rPr>
          <w:rFonts w:ascii="Times New Roman" w:hAnsi="Times New Roman" w:cs="Times New Roman"/>
          <w:sz w:val="24"/>
          <w:szCs w:val="24"/>
        </w:rPr>
        <w:t>causing</w:t>
      </w:r>
      <w:r w:rsidR="00CF5882" w:rsidRPr="009C0002">
        <w:rPr>
          <w:rFonts w:ascii="Times New Roman" w:hAnsi="Times New Roman" w:cs="Times New Roman"/>
          <w:sz w:val="24"/>
          <w:szCs w:val="24"/>
        </w:rPr>
        <w:t xml:space="preserve"> distorted and blurred vision. An individual will suffer from metamorphopsia with central scotoma, which might cause hallucinations and make facial recognition difficult</w:t>
      </w:r>
      <w:r w:rsidR="002D39FE">
        <w:rPr>
          <w:rFonts w:ascii="Times New Roman" w:hAnsi="Times New Roman" w:cs="Times New Roman"/>
          <w:sz w:val="24"/>
          <w:szCs w:val="24"/>
        </w:rPr>
        <w:t xml:space="preserve"> </w:t>
      </w:r>
      <w:r w:rsidR="003A0F1D" w:rsidRPr="009C0002">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{"citationID":"IpKqTEVO","properties":{"formattedCitation":"(Chaudhuri et al., n.d.)","plainCitation":"(Chaudhuri et al., n.d.)","noteIndex":0},"citationItems":[{"id":9,"uris":["http://zotero.org/users/17126151/items/TICWYPHA"],"itemData":{"id":9,"type":"article-journal","abstract":"Age-related macular degeneration (AMD) is a significant cause of blindness globally. With the exponential rise in the aging population, AMD is the third leading cause of visual impairment worldwide. Neovascular AMD (nAMD; Wet AMD) and geographical atrophy (GA, late-stage dry AMD) are the advanced AMD accountable for substantial cases of visual deterioration among the elderly. Our review of the literature depicted that notable risk factors include cigarette smoking, nutritional elements, cardiovascular disorders, and genetic markers, including genes regulating complement, lipid, and angiogenic pathways. Some studies have suggested a relative decline in the proportion of AMD cases in the last two decades attributable to novel diagnostic and therapeutic modalities. Accurate diagnosis is the result of a combination of clinical examination and imaging techniques, including retinal photography, angiography, and optical coherence tomography. The incorporation of dietary antioxidant supplements, explicitly lutein, slows the progression of the disease in advanced stages. The induction of vascular endothelial growth factor (VEGF) inhibitors in the treatment of neovascular AMD, often combined with other modalities, has shown an immensely favorable prognosis. Research to integrate gene therapy and regenerative techniques using stem cells is underway to further mitigate AMD-associated morbidity. It is imperative to establish screening and therapeutic guidelines for AMD to curtail the future social and financial burden and improve the diminishing quality of life among the elderly.","container-title":"Cureus","DOI":"10.7759/cureus.39624","ISSN":"2168-8184","issue":"5","journalAbbreviation":"Cureus","note":"PMID: 37388610\nPMCID: PMC10300666","page":"e39624","source":"PubMed Central","title":"Age-Related Macular Degeneration: An Exponentially Emerging Imminent Threat of Visual Impairment and Irreversible Blindness","title-short":"Age-Related Macular Degeneration","volume":"15","author":[{"family":"Chaudhuri","given":"Madhurima"},{"family":"Hassan","given":"Yusra"},{"family":"Bakka Vemana","given":"Pansy Prardhana Sinha"},{"family":"Bellary Pattanashetty","given":"Muktha S"},{"family":"Abdin","given":"Zain U"},{"family":"Siddiqui","given":"Humza F"}]}}],"schema":"https://github.com/citation-style-language/schema/raw/master/csl-citation.json"} </w:instrText>
      </w:r>
      <w:r w:rsidR="003A0F1D" w:rsidRPr="009C0002">
        <w:rPr>
          <w:rFonts w:ascii="Times New Roman" w:hAnsi="Times New Roman" w:cs="Times New Roman"/>
          <w:sz w:val="24"/>
          <w:szCs w:val="24"/>
        </w:rPr>
        <w:fldChar w:fldCharType="separate"/>
      </w:r>
      <w:r w:rsidR="00B3699E" w:rsidRPr="00B3699E">
        <w:rPr>
          <w:rFonts w:ascii="Times New Roman" w:hAnsi="Times New Roman" w:cs="Times New Roman"/>
          <w:sz w:val="24"/>
        </w:rPr>
        <w:t>(Chaudhuri et al., n.d.)</w:t>
      </w:r>
      <w:r w:rsidR="003A0F1D" w:rsidRPr="009C0002">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9C0002">
        <w:rPr>
          <w:rFonts w:ascii="Times New Roman" w:hAnsi="Times New Roman" w:cs="Times New Roman"/>
          <w:sz w:val="24"/>
          <w:szCs w:val="24"/>
        </w:rPr>
        <w:t xml:space="preserve"> </w:t>
      </w:r>
      <w:r w:rsidR="009C0002" w:rsidRPr="009C0002">
        <w:rPr>
          <w:rFonts w:ascii="Times New Roman" w:eastAsia="Times New Roman" w:hAnsi="Times New Roman" w:cs="Times New Roman"/>
          <w:color w:val="222222"/>
          <w:kern w:val="0"/>
          <w:sz w:val="24"/>
          <w:szCs w:val="24"/>
        </w:rPr>
        <w:t xml:space="preserve">ARMD exists in two main </w:t>
      </w:r>
      <w:r w:rsidR="002F6077">
        <w:rPr>
          <w:rFonts w:ascii="Times New Roman" w:eastAsia="Times New Roman" w:hAnsi="Times New Roman" w:cs="Times New Roman"/>
          <w:color w:val="222222"/>
          <w:kern w:val="0"/>
          <w:sz w:val="24"/>
          <w:szCs w:val="24"/>
        </w:rPr>
        <w:t>forms: Dry and wet.</w:t>
      </w:r>
      <w:r w:rsidR="009C0002" w:rsidRPr="009C0002">
        <w:rPr>
          <w:rFonts w:ascii="Times New Roman" w:eastAsia="Times New Roman" w:hAnsi="Times New Roman" w:cs="Times New Roman"/>
          <w:b/>
          <w:bCs/>
          <w:color w:val="222222"/>
          <w:kern w:val="0"/>
          <w:sz w:val="24"/>
          <w:szCs w:val="24"/>
        </w:rPr>
        <w:t xml:space="preserve"> Fig</w:t>
      </w:r>
      <w:r w:rsidR="00F10C78">
        <w:rPr>
          <w:rFonts w:ascii="Times New Roman" w:eastAsia="Times New Roman" w:hAnsi="Times New Roman" w:cs="Times New Roman"/>
          <w:b/>
          <w:bCs/>
          <w:color w:val="222222"/>
          <w:kern w:val="0"/>
          <w:sz w:val="24"/>
          <w:szCs w:val="24"/>
        </w:rPr>
        <w:t>. 1</w:t>
      </w:r>
      <w:r w:rsidR="009C0002" w:rsidRPr="009C0002">
        <w:rPr>
          <w:rFonts w:ascii="Times New Roman" w:eastAsia="Times New Roman" w:hAnsi="Times New Roman" w:cs="Times New Roman"/>
          <w:color w:val="222222"/>
          <w:kern w:val="0"/>
          <w:sz w:val="24"/>
          <w:szCs w:val="24"/>
        </w:rPr>
        <w:t>. Dry ARMD (Non-Exudative/Atrophic) is a slower-progressing form of ARMD characterised by the accumulation of waste material in the retina. New vessels are fragile and prone to breaking</w:t>
      </w:r>
      <w:r w:rsidR="002D39FE">
        <w:rPr>
          <w:rFonts w:ascii="Times New Roman" w:hAnsi="Times New Roman" w:cs="Times New Roman"/>
          <w:sz w:val="24"/>
          <w:szCs w:val="24"/>
        </w:rPr>
        <w:t xml:space="preserve"> </w:t>
      </w:r>
      <w:r w:rsidR="003A0F1D" w:rsidRPr="009C0002">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{"citationID":"h45La41E","properties":{"formattedCitation":"(Fernandes et al., 2022)","plainCitation":"(Fernandes et al., 2022)","noteIndex":0},"citationItems":[{"id":12,"uris":["http://zotero.org/users/17126151/items/8NVPRXLA"],"itemData":{"id":12,"type":"article-journal","abstract":"Age-related macular degeneration (AMD) is an eye disease typically associated with the aging and can be classified into two types—namely, the exudative and the nonexudative AMD. Currently available treatments for exudative AMD use intravitreal injections, which are associated with high risk of infection that can lead to endophthalmitis, while no successful treatments yet exist for the nonexudative form of AMD. In addition to the pharmacologic therapies administered by intravitreal injection already approved by the Food and Drug Administration (FDA) in exudative AMD, there are some laser treatments approved that can be used in combination with the pharmacological therapies. In this review, we discuss the latest developments of treatment options for AMD. Relevant literature available from 1993 was used, which included original articles and reviews available in PubMed database and also information collected from Clinical Trials Gov website using “age-related macular degeneration” and “antiangiogenic therapies” as keywords. The clinical trials search was limited to ongoing trials from 2015 to date.","container-title":"International Journal of Molecular Sciences","DOI":"10.3390/ijms23052592","ISSN":"1422-0067","issue":"5","journalAbbreviation":"Int J Mol Sci","note":"PMID: 35269743\nPMCID: PMC8910030","page":"2592","source":"PubMed Central","title":"Exudative versus Nonexudative Age-Related Macular Degeneration: Physiopathology and Treatment Options","title-short":"Exudative versus Nonexudative Age-Related Macular Degeneration","volume":"23","author":[{"family":"Fernandes","given":"Ana Rita"},{"family":"Zielińska","given":"Aleksandra"},{"family":"Sanchez-Lopez","given":"Elena"},{"family":"Santos","given":"Tiago","non-dropping-particle":"dos"},{"family":"Garcia","given":"Maria Luisa"},{"family":"Silva","given":"Amelia M."},{"family":"Karczewski","given":"Jacek"},{"family":"Souto","given":"Eliana B."}],"issued":{"date-parts":[["2022",2,26]]}}}],"schema":"https://github.com/citation-style-language/schema/raw/master/csl-citation.json"} </w:instrText>
      </w:r>
      <w:r w:rsidR="003A0F1D" w:rsidRPr="009C0002">
        <w:rPr>
          <w:rFonts w:ascii="Times New Roman" w:hAnsi="Times New Roman" w:cs="Times New Roman"/>
          <w:sz w:val="24"/>
          <w:szCs w:val="24"/>
        </w:rPr>
        <w:fldChar w:fldCharType="separate"/>
      </w:r>
      <w:r w:rsidR="00B3699E" w:rsidRPr="00B3699E">
        <w:rPr>
          <w:rFonts w:ascii="Times New Roman" w:hAnsi="Times New Roman" w:cs="Times New Roman"/>
          <w:sz w:val="24"/>
        </w:rPr>
        <w:t>(Fernandes et al., 2022)</w:t>
      </w:r>
      <w:r w:rsidR="003A0F1D" w:rsidRPr="009C0002">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9C0002">
        <w:rPr>
          <w:rFonts w:ascii="Times New Roman" w:hAnsi="Times New Roman" w:cs="Times New Roman"/>
          <w:sz w:val="24"/>
          <w:szCs w:val="24"/>
        </w:rPr>
        <w:t xml:space="preserve"> </w:t>
      </w:r>
      <w:r w:rsidR="009C0002" w:rsidRPr="009C0002">
        <w:rPr>
          <w:rFonts w:ascii="Times New Roman" w:eastAsia="Times New Roman" w:hAnsi="Times New Roman" w:cs="Times New Roman"/>
          <w:kern w:val="0"/>
          <w:sz w:val="24"/>
          <w:szCs w:val="24"/>
        </w:rPr>
        <w:t>Neovascularisation occurred in choroidal in choroidal membrane of the retina with enhanced oxygen flow to retinal tissue. Geographic atrophy, a progressive loss of the RPE and photoreceptors, is a sign of dry AMD</w:t>
      </w:r>
      <w:r w:rsidR="002D39FE">
        <w:rPr>
          <w:rFonts w:ascii="Times New Roman" w:hAnsi="Times New Roman" w:cs="Times New Roman"/>
          <w:sz w:val="24"/>
          <w:szCs w:val="24"/>
        </w:rPr>
        <w:t xml:space="preserve"> </w:t>
      </w:r>
      <w:r w:rsidR="003A0F1D" w:rsidRPr="009C0002">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{"citationID":"KRjEojDE","properties":{"formattedCitation":"(Di Staso et al., 2023)","plainCitation":"(Di Staso et al., 2023)","noteIndex":0},"citationItems":[{"id":15,"uris":["http://zotero.org/users/17126151/items/7H9SET7I"],"itemData":{"id":15,"type":"article-journal","abstract":"Choroidal neovascularizations are historically associated with exudative macular degeneration, nonetheless, they have been observed in nevus, melanoma, osteoma, and hemangioma involving the choroid and retina. This review aimed to elucidate the possible origins of neovascular membranes by examining in vivo and in vitro models compared to real clinical cases. Among the several potential mechanisms examined, particular attention was paid to histologic alterations and molecular cascades. Physical or biochemical resistance to vascular invasion from the choroid offered by Bruch’s membrane, the role of fibroblast growth factor 2 and vascular endothelial growth factor, resident or recruited stem-like/progenitor cells, and other angiogenic promoters were taken into account. Even if the exact mechanisms are still partially obscure, experimental models are progressively enhancing our understanding of neovascularization etiology. Choroidal neovascularization (CNV) over melanoma, osteoma, and other tumors is not rare and is not contraindicative of malignancy as previously believed. In addition, CNV may represent a late complication of either benign or malignant choroidal tumors, stressing the importance of a long follow-up.","container-title":"International Journal of Molecular Sciences","DOI":"10.3390/ijms24021064","ISSN":"1422-0067","issue":"2","journalAbbreviation":"Int J Mol Sci","note":"PMID: 36674579\nPMCID: PMC9865148","page":"1064","source":"PubMed Central","title":"Choroidal Neovascular Membranes in Retinal and Choroidal Tumors: Origins, Mechanisms, and Effects","title-short":"Choroidal Neovascular Membranes in Retinal and Choroidal Tumors","volume":"24","author":[{"family":"Di Staso","given":"Federico"},{"family":"Di Pippo","given":"Mariachiara"},{"family":"Abdolrahimzadeh","given":"Solmaz"}],"issued":{"date-parts":[["2023",1,5]]}}}],"schema":"https://github.com/citation-style-language/schema/raw/master/csl-citation.json"} </w:instrText>
      </w:r>
      <w:r w:rsidR="003A0F1D" w:rsidRPr="009C0002">
        <w:rPr>
          <w:rFonts w:ascii="Times New Roman" w:hAnsi="Times New Roman" w:cs="Times New Roman"/>
          <w:sz w:val="24"/>
          <w:szCs w:val="24"/>
        </w:rPr>
        <w:fldChar w:fldCharType="separate"/>
      </w:r>
      <w:r w:rsidR="00B3699E" w:rsidRPr="00B3699E">
        <w:rPr>
          <w:rFonts w:ascii="Times New Roman" w:hAnsi="Times New Roman" w:cs="Times New Roman"/>
          <w:sz w:val="24"/>
        </w:rPr>
        <w:t>(Di Staso et al., 2023)</w:t>
      </w:r>
      <w:r w:rsidR="003A0F1D" w:rsidRPr="009C0002">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9C0002">
        <w:rPr>
          <w:rFonts w:ascii="Times New Roman" w:hAnsi="Times New Roman" w:cs="Times New Roman"/>
          <w:sz w:val="24"/>
          <w:szCs w:val="24"/>
        </w:rPr>
        <w:t xml:space="preserve"> </w:t>
      </w:r>
      <w:r w:rsidR="009C0002" w:rsidRPr="009C0002">
        <w:rPr>
          <w:rFonts w:ascii="Times New Roman" w:eastAsia="Times New Roman" w:hAnsi="Times New Roman" w:cs="Times New Roman"/>
          <w:color w:val="222222"/>
          <w:kern w:val="0"/>
          <w:sz w:val="24"/>
          <w:szCs w:val="24"/>
        </w:rPr>
        <w:t>Exudative/neovascular wet ARMD is more severe, which involves the formation of new, fragile blood vessels beneath the retina. Deposition and pigmentation in the macula are marked by a decrease in macular thickness. Degeneration of photoreceptor, retinal pigment epithelium, and choriocapillaris of retina</w:t>
      </w:r>
      <w:r w:rsidR="002D39FE">
        <w:rPr>
          <w:rFonts w:ascii="Times New Roman" w:hAnsi="Times New Roman" w:cs="Times New Roman"/>
          <w:sz w:val="24"/>
          <w:szCs w:val="24"/>
        </w:rPr>
        <w:t xml:space="preserve"> </w:t>
      </w:r>
      <w:r w:rsidR="003A0F1D" w:rsidRPr="009C0002">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{"citationID":"8FhSLYat","properties":{"formattedCitation":"(Somasundaran et al., 2020)","plainCitation":"(Somasundaran et al., 2020)","noteIndex":0},"citationItems":[{"id":"1bYYoRFa/zBCbL7Jq","uris":["http://zotero.org/users/15401920/items/37ZXIEBR"],"itemData":{"id":1219,"type":"article-journal","abstract":"Age‐related macular degeneration (AMD) is a progressive degenerative disease that is the leading cause of vision loss in the elderly population. Degeneration/dysregulation of the retinal pigment epithelium (RPE), a supportive monolayer of cells underlying the photoreceptors, is commonly seen in patients with AMD. While treatment exists for the neovascular/wet form of AMD, there is currently no cure for the non‐exudative/dry form of AMD, making it imperative to understand the pathogenesis of this disease. Although our understanding of the aetiology of AMD has increased over the years, the underlying disease mechanism has not yet been identified, mainly due to the multifactorial nature of this disease. Herein, we review some of the commonly proposed degeneration pathways of RPE cells and their role in the pathogenesis of AMD; including activation of the complement cascade, oxidative stress‐induced cell death mechanisms, dysfunctional mitochondria and the role of crystallins in AMD disease progression.","container-title":"Clinical &amp; Experimental Ophthalmology","DOI":"10.1111/ceo.13834","ISSN":"1442-6404","issue":"8","journalAbbreviation":"Clin Exp Ophthalmol","note":"PMID: 32710488\nPMCID: PMC7754492","page":"1043-1056","source":"PubMed Central","title":"Retinal pigment epithelium and age‐related macular degeneration: A review of major disease mechanisms","title-short":"Retinal pigment epithelium and age‐related macular degeneration","volume":"48","author":[{"family":"Somasundaran","given":"Shreya"},{"family":"Constable","given":"Ian J."},{"family":"Mellough","given":"Carla B."},{"family":"Carvalho","given":"Livia S."}],"issued":{"date-parts":[["2020",11]]}}}],"schema":"https://github.com/citation-style-language/schema/raw/master/csl-citation.json"} </w:instrText>
      </w:r>
      <w:r w:rsidR="003A0F1D" w:rsidRPr="009C0002">
        <w:rPr>
          <w:rFonts w:ascii="Times New Roman" w:hAnsi="Times New Roman" w:cs="Times New Roman"/>
          <w:sz w:val="24"/>
          <w:szCs w:val="24"/>
        </w:rPr>
        <w:fldChar w:fldCharType="separate"/>
      </w:r>
      <w:r w:rsidR="00B3699E" w:rsidRPr="00B3699E">
        <w:rPr>
          <w:rFonts w:ascii="Times New Roman" w:hAnsi="Times New Roman" w:cs="Times New Roman"/>
          <w:sz w:val="24"/>
        </w:rPr>
        <w:t>(Somasundaran et al., 2020)</w:t>
      </w:r>
      <w:r w:rsidR="003A0F1D" w:rsidRPr="009C0002">
        <w:rPr>
          <w:rFonts w:ascii="Times New Roman" w:hAnsi="Times New Roman" w:cs="Times New Roman"/>
          <w:sz w:val="24"/>
          <w:szCs w:val="24"/>
        </w:rPr>
        <w:fldChar w:fldCharType="end"/>
      </w:r>
      <w:r w:rsidR="002D39FE">
        <w:rPr>
          <w:rFonts w:ascii="Times New Roman" w:hAnsi="Times New Roman" w:cs="Times New Roman"/>
          <w:sz w:val="24"/>
          <w:szCs w:val="24"/>
        </w:rPr>
        <w:t>.</w:t>
      </w:r>
    </w:p>
    <w:p w14:paraId="16320A46" w14:textId="77777777" w:rsidR="009C0002" w:rsidRPr="009C0002" w:rsidRDefault="009C0002" w:rsidP="00F042AE">
      <w:pPr>
        <w:spacing w:line="360" w:lineRule="auto"/>
        <w:jc w:val="both"/>
        <w:rPr>
          <w:rFonts w:ascii="Times New Roman" w:hAnsi="Times New Roman" w:cs="Times New Roman"/>
          <w:color w:val="222222"/>
          <w:sz w:val="24"/>
          <w:szCs w:val="24"/>
          <w:shd w:val="clear" w:color="auto" w:fill="FFFFFF"/>
        </w:rPr>
      </w:pPr>
      <w:r w:rsidRPr="009C0002">
        <w:rPr>
          <w:rFonts w:ascii="Times New Roman" w:hAnsi="Times New Roman" w:cs="Times New Roman"/>
          <w:color w:val="222222"/>
          <w:sz w:val="24"/>
          <w:szCs w:val="24"/>
          <w:shd w:val="clear" w:color="auto" w:fill="FFFFFF"/>
        </w:rPr>
        <w:t xml:space="preserve">This study introduces a visionary perspective on the application of precision gene therapy in the treatment of Age-related Macular Degeneration (ARMD), a major cause of visual </w:t>
      </w:r>
      <w:r w:rsidRPr="009C0002">
        <w:rPr>
          <w:rFonts w:ascii="Times New Roman" w:hAnsi="Times New Roman" w:cs="Times New Roman"/>
          <w:color w:val="222222"/>
          <w:sz w:val="24"/>
          <w:szCs w:val="24"/>
          <w:shd w:val="clear" w:color="auto" w:fill="FFFFFF"/>
        </w:rPr>
        <w:lastRenderedPageBreak/>
        <w:t>impairment in ageing populations worldwide. Traditional therapies, namely anti-VEGF injections, offer temporary relief for neovascular ARMD; however, they are limited by high costs, the need for regular administration, a high risk of complications, and a limited impact on vision restoration. This approach advances beyond existing symptom-targeting methods by focusing on addressing the underlying genetic mechanisms that initiate ARMD development. This study differentiates itself through its focus on the evolving landscape of gene therapy technologies by using recombinant Adeno-Associated Viral (AAV) vectors and genome-editing tools like CRISPR-Cas9 to deliver therapeutic genes directly to the retinal tissues of individuals, which can provide permanent relief and eliminate the need for frequent anti-VEGF injections for at least five years due to the continuous expression of anti-angiogenic proteins in retinal cells. Furthermore, the study uniquely examines how gene therapy can target specific genetic risk factors such as variations in CFH, ARMS2, HTRA1, and other genes that contribute to oxidative stress, inflammation, and abnormal blood vessel formation in the retina.</w:t>
      </w:r>
    </w:p>
    <w:p w14:paraId="18C0E14B" w14:textId="77777777" w:rsidR="00F042AE" w:rsidRPr="00D017CD" w:rsidRDefault="00F042AE" w:rsidP="00C30F5C">
      <w:pPr>
        <w:spacing w:line="360" w:lineRule="auto"/>
        <w:jc w:val="both"/>
        <w:rPr>
          <w:rFonts w:ascii="Times New Roman" w:hAnsi="Times New Roman" w:cs="Times New Roman"/>
          <w:sz w:val="24"/>
          <w:szCs w:val="24"/>
        </w:rPr>
      </w:pPr>
      <w:r w:rsidRPr="00D017CD">
        <w:rPr>
          <w:rFonts w:ascii="Times New Roman" w:hAnsi="Times New Roman" w:cs="Times New Roman"/>
          <w:sz w:val="24"/>
          <w:szCs w:val="24"/>
        </w:rPr>
        <w:t>Precision gene therapy plans are designed to work according with the eye’s immune system, reducing systemic side effects and improving treatment and patient adherence, and comfort.  Recent advancements in the studies suggested that gene-editing technology could develop the scope of future therapeutic possibilities, along with the correction of hereditary mutations. Novelty lies in the condensed integration of genetic insights, clinical advancements to propose a long-lasting and patient-friendly alternative and a promising advancement to current ARMD treatments.  This study not only boosts the current body of knowledge but also charts a new direction for precision medicine in ophthalmology for the treatment of ARMD.</w:t>
      </w:r>
    </w:p>
    <w:p w14:paraId="3A8FC720" w14:textId="77777777" w:rsidR="00CF5882" w:rsidRPr="009C0002" w:rsidRDefault="000C2E6C" w:rsidP="009C0002">
      <w:pPr>
        <w:spacing w:line="360" w:lineRule="auto"/>
        <w:jc w:val="both"/>
        <w:rPr>
          <w:rFonts w:ascii="Times New Roman" w:hAnsi="Times New Roman" w:cs="Times New Roman"/>
          <w:sz w:val="24"/>
          <w:szCs w:val="24"/>
        </w:rPr>
      </w:pPr>
      <w:r w:rsidRPr="009C0002">
        <w:rPr>
          <w:rFonts w:ascii="Times New Roman" w:hAnsi="Times New Roman" w:cs="Times New Roman"/>
          <w:noProof/>
          <w:sz w:val="24"/>
          <w:szCs w:val="24"/>
          <w:lang w:val="en-US"/>
        </w:rPr>
        <w:lastRenderedPageBreak/>
        <w:drawing>
          <wp:inline distT="0" distB="0" distL="0" distR="0" wp14:anchorId="32D5760E" wp14:editId="421EC95B">
            <wp:extent cx="5651500" cy="4371544"/>
            <wp:effectExtent l="0" t="0" r="6350" b="0"/>
            <wp:docPr id="858700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4056" cy="4373521"/>
                    </a:xfrm>
                    <a:prstGeom prst="rect">
                      <a:avLst/>
                    </a:prstGeom>
                    <a:noFill/>
                  </pic:spPr>
                </pic:pic>
              </a:graphicData>
            </a:graphic>
          </wp:inline>
        </w:drawing>
      </w:r>
    </w:p>
    <w:p w14:paraId="38D6D80A" w14:textId="77777777" w:rsidR="009C0002" w:rsidRPr="009C0002" w:rsidRDefault="009C0002" w:rsidP="009C0002">
      <w:pPr>
        <w:spacing w:line="360" w:lineRule="auto"/>
        <w:jc w:val="both"/>
        <w:rPr>
          <w:rFonts w:ascii="Times New Roman" w:hAnsi="Times New Roman" w:cs="Times New Roman"/>
          <w:color w:val="222222"/>
          <w:sz w:val="24"/>
          <w:szCs w:val="24"/>
          <w:shd w:val="clear" w:color="auto" w:fill="FFFFFF"/>
        </w:rPr>
      </w:pPr>
      <w:r w:rsidRPr="009C0002">
        <w:rPr>
          <w:rFonts w:ascii="Times New Roman" w:hAnsi="Times New Roman" w:cs="Times New Roman"/>
          <w:b/>
          <w:bCs/>
          <w:color w:val="222222"/>
          <w:sz w:val="24"/>
          <w:szCs w:val="24"/>
          <w:shd w:val="clear" w:color="auto" w:fill="FFFFFF"/>
        </w:rPr>
        <w:t>Fig</w:t>
      </w:r>
      <w:r w:rsidR="00F10C78">
        <w:rPr>
          <w:rFonts w:ascii="Times New Roman" w:hAnsi="Times New Roman" w:cs="Times New Roman"/>
          <w:b/>
          <w:bCs/>
          <w:color w:val="222222"/>
          <w:sz w:val="24"/>
          <w:szCs w:val="24"/>
          <w:shd w:val="clear" w:color="auto" w:fill="FFFFFF"/>
        </w:rPr>
        <w:t>. 1.</w:t>
      </w:r>
      <w:r w:rsidRPr="009C0002">
        <w:rPr>
          <w:rFonts w:ascii="Times New Roman" w:hAnsi="Times New Roman" w:cs="Times New Roman"/>
          <w:color w:val="222222"/>
          <w:sz w:val="24"/>
          <w:szCs w:val="24"/>
          <w:shd w:val="clear" w:color="auto" w:fill="FFFFFF"/>
        </w:rPr>
        <w:t xml:space="preserve"> Shows the Fundus Images Depicting Normal and Pathological Findings:</w:t>
      </w:r>
      <w:r w:rsidR="00D27307">
        <w:rPr>
          <w:rFonts w:ascii="Times New Roman" w:hAnsi="Times New Roman" w:cs="Times New Roman"/>
          <w:color w:val="222222"/>
          <w:sz w:val="24"/>
          <w:szCs w:val="24"/>
          <w:shd w:val="clear" w:color="auto" w:fill="FFFFFF"/>
        </w:rPr>
        <w:t xml:space="preserve"> </w:t>
      </w:r>
      <w:r w:rsidRPr="009C0002">
        <w:rPr>
          <w:rFonts w:ascii="Times New Roman" w:hAnsi="Times New Roman" w:cs="Times New Roman"/>
          <w:color w:val="222222"/>
          <w:sz w:val="24"/>
          <w:szCs w:val="24"/>
          <w:shd w:val="clear" w:color="auto" w:fill="FFFFFF"/>
        </w:rPr>
        <w:t>(a) Normal fundus showing clearly defined optic disc, macula, fovea, and normal retinal vasculature. (b) Exudative Age-Related Macular Degeneration (ARMD): Fundus image showing lipid-rich deposits (exudates) localised in the macular region. (c) Fundus image illustrating cotton wool spots, indicative of localised retinal nerve fibre layer infarcts. (d)</w:t>
      </w:r>
      <w:r w:rsidR="00D27307">
        <w:rPr>
          <w:rFonts w:ascii="Times New Roman" w:hAnsi="Times New Roman" w:cs="Times New Roman"/>
          <w:color w:val="222222"/>
          <w:sz w:val="24"/>
          <w:szCs w:val="24"/>
          <w:shd w:val="clear" w:color="auto" w:fill="FFFFFF"/>
        </w:rPr>
        <w:t xml:space="preserve"> </w:t>
      </w:r>
      <w:r w:rsidRPr="009C0002">
        <w:rPr>
          <w:rFonts w:ascii="Times New Roman" w:hAnsi="Times New Roman" w:cs="Times New Roman"/>
          <w:color w:val="222222"/>
          <w:sz w:val="24"/>
          <w:szCs w:val="24"/>
          <w:shd w:val="clear" w:color="auto" w:fill="FFFFFF"/>
        </w:rPr>
        <w:t xml:space="preserve">Non-Exudative ARMD: Fundus image showing </w:t>
      </w:r>
      <w:r w:rsidR="002F6077">
        <w:rPr>
          <w:rFonts w:ascii="Times New Roman" w:hAnsi="Times New Roman" w:cs="Times New Roman"/>
          <w:color w:val="222222"/>
          <w:sz w:val="24"/>
          <w:szCs w:val="24"/>
          <w:shd w:val="clear" w:color="auto" w:fill="FFFFFF"/>
        </w:rPr>
        <w:t>subretinal</w:t>
      </w:r>
      <w:r w:rsidRPr="009C0002">
        <w:rPr>
          <w:rFonts w:ascii="Times New Roman" w:hAnsi="Times New Roman" w:cs="Times New Roman"/>
          <w:color w:val="222222"/>
          <w:sz w:val="24"/>
          <w:szCs w:val="24"/>
          <w:shd w:val="clear" w:color="auto" w:fill="FFFFFF"/>
        </w:rPr>
        <w:t xml:space="preserve"> haemorrhage without </w:t>
      </w:r>
      <w:r w:rsidR="002F6077">
        <w:rPr>
          <w:rFonts w:ascii="Times New Roman" w:hAnsi="Times New Roman" w:cs="Times New Roman"/>
          <w:color w:val="222222"/>
          <w:sz w:val="24"/>
          <w:szCs w:val="24"/>
          <w:shd w:val="clear" w:color="auto" w:fill="FFFFFF"/>
        </w:rPr>
        <w:t>exudate</w:t>
      </w:r>
      <w:r w:rsidRPr="009C0002">
        <w:rPr>
          <w:rFonts w:ascii="Times New Roman" w:hAnsi="Times New Roman" w:cs="Times New Roman"/>
          <w:color w:val="222222"/>
          <w:sz w:val="24"/>
          <w:szCs w:val="24"/>
          <w:shd w:val="clear" w:color="auto" w:fill="FFFFFF"/>
        </w:rPr>
        <w:t xml:space="preserve"> accumulation.</w:t>
      </w:r>
    </w:p>
    <w:p w14:paraId="252AC111" w14:textId="77777777" w:rsidR="00F042AE" w:rsidRPr="009C0002" w:rsidRDefault="00F042AE" w:rsidP="009C0002">
      <w:pPr>
        <w:spacing w:line="360" w:lineRule="auto"/>
        <w:jc w:val="both"/>
        <w:rPr>
          <w:rFonts w:ascii="Times New Roman" w:hAnsi="Times New Roman" w:cs="Times New Roman"/>
          <w:b/>
          <w:bCs/>
          <w:sz w:val="24"/>
          <w:szCs w:val="24"/>
        </w:rPr>
      </w:pPr>
      <w:r w:rsidRPr="009C0002">
        <w:rPr>
          <w:rFonts w:ascii="Times New Roman" w:hAnsi="Times New Roman" w:cs="Times New Roman"/>
          <w:b/>
          <w:bCs/>
          <w:sz w:val="24"/>
          <w:szCs w:val="24"/>
        </w:rPr>
        <w:t>2. Age-Related Macular Degeneration Pathophysiology</w:t>
      </w:r>
    </w:p>
    <w:p w14:paraId="743D5CF3" w14:textId="77777777" w:rsidR="00F042AE" w:rsidRPr="00DE3B3E" w:rsidRDefault="009C0002" w:rsidP="00DE3B3E">
      <w:pPr>
        <w:shd w:val="clear" w:color="auto" w:fill="FFFFFF"/>
        <w:spacing w:line="360" w:lineRule="auto"/>
        <w:jc w:val="both"/>
        <w:rPr>
          <w:rFonts w:ascii="Times New Roman" w:eastAsia="Times New Roman" w:hAnsi="Times New Roman" w:cs="Times New Roman"/>
          <w:color w:val="222222"/>
          <w:kern w:val="0"/>
          <w:sz w:val="24"/>
          <w:szCs w:val="24"/>
          <w:lang w:val="en-US"/>
        </w:rPr>
      </w:pPr>
      <w:r w:rsidRPr="009C0002">
        <w:rPr>
          <w:rFonts w:ascii="Times New Roman" w:eastAsia="Times New Roman" w:hAnsi="Times New Roman" w:cs="Times New Roman"/>
          <w:color w:val="222222"/>
          <w:kern w:val="0"/>
          <w:sz w:val="24"/>
          <w:szCs w:val="24"/>
        </w:rPr>
        <w:t>The pathophysiology of Age-related Macular Degeneration (ARMD) is a complex process involving multiple factors. </w:t>
      </w:r>
      <w:bookmarkStart w:id="2" w:name="_Hlk199080238"/>
      <w:r w:rsidRPr="009C0002">
        <w:rPr>
          <w:rFonts w:ascii="Times New Roman" w:eastAsia="Times New Roman" w:hAnsi="Times New Roman" w:cs="Times New Roman"/>
          <w:color w:val="222222"/>
          <w:kern w:val="0"/>
          <w:sz w:val="24"/>
          <w:szCs w:val="24"/>
        </w:rPr>
        <w:t>It includes oxidative stress, ageing, environmental factors (smoking, UV exposure), poor diet, sedentary lifestyle, and genetic predisposition as key indicators. Lead to aggregation of reactive oxygen species (ROS), cellular damage and decline, and enablement of the immune response of the individual</w:t>
      </w:r>
      <w:bookmarkEnd w:id="2"/>
      <w:r w:rsidRPr="009C0002">
        <w:rPr>
          <w:rFonts w:ascii="Times New Roman" w:eastAsia="Times New Roman" w:hAnsi="Times New Roman" w:cs="Times New Roman"/>
          <w:color w:val="222222"/>
          <w:kern w:val="0"/>
          <w:sz w:val="24"/>
          <w:szCs w:val="24"/>
        </w:rPr>
        <w:t>. Together, these processes contribute to the development of ARMD</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{"citationID":"h6gDdND4","properties":{"formattedCitation":"(Heesterbeek et al., 2020)","plainCitation":"(Heesterbeek et al., 2020)","noteIndex":0},"citationItems":[{"id":38,"uris":["http://zotero.org/users/17126151/items/38VVANM4"],"itemData":{"id":38,"type":"article-journal","abstract":"Purpose\nAge‐related macular degeneration (AMD) is a degenerative disease of the macula, often leading to progressive vision loss. The rate of disease progression can vary among individuals and has been associated with multiple risk factors. In this review, we provide an overview of the current literature investigating phenotypic, demographic, environmental, genetic, and molecular risk factors, and propose the most consistently identified risk factors for disease progression in AMD based on these studies. Finally, we describe the potential use of these risk factors for personalised healthcare.\n\nRecent findings\nWhile phenotypic risk factors such as drusen and pigment abnormalities become more important to predict disease progression during the course of the disease, demographic, environmental, genetic and molecular risk factors are more valuable at earlier disease stages. Demographic and environmental risk factors such as age and smoking are consistently reported to be related to disease progression, while other factors such as sex, body mass index (BMI) and education are less often associated. Of all known AMD variants, variants that are most consistently reported with disease progression are rs10922109 and rs570618 in CFH, rs116503776 in C2/CFB/SKIV2L, rs3750846 in ARMS2/HTRA1 and rs2230199 in C3. However, it seems likely that other AMD variants also contribute to disease progression but to a lesser extent. Rare variants have probably a large effect on disease progression in highly affected families. Furthermore, current prediction models do not include molecular risk factors, while these factors can be measured accurately in the blood. Possible promising molecular risk factors are High‐Density Lipoprotein Cholesterol (HDL‐C), Docosahexaenoic acid (DHA), eicosapentaenoic acid (EPA), zeaxanthin and lutein.\n\nSummary\nPhenotypic, demographic, environmental, genetic and molecular risk factors can be combined in prediction models to predict disease progression, but the selection of the proper risk factors for personalised risk prediction will differ among individuals and is dependent on their current disease stage. Future prediction models should include a wider set of genetic variants to determine the genetic risk more accurately, and rare variants should be taken into account in highly affected families. In addition, adding molecular factors in prediction models may lead to preventive strategies and personalised advice.","container-title":"Ophthalmic &amp; Physiological Optics","DOI":"10.1111/opo.12675","ISSN":"0275-5408","issue":"2","journalAbbreviation":"Ophthalmic Physiol Opt","note":"PMID: 32100327\nPMCID: PMC7155063","page":"140-170","source":"PubMed Central","title":"Risk factors for progression of age‐related macular degeneration","volume":"40","author":[{"family":"Heesterbeek","given":"Thomas J"},{"family":"Lorés‐Motta","given":"Laura"},{"family":"Hoyng","given":"Carel B"},{"family":"Lechanteur","given":"Yara T E"},{"family":"Hollander","given":"Anneke I","non-dropping-particle":"den"}],"issued":{"date-parts":[["2020",3]]}}}],"schema":"https://github.com/citation-style-language/schema/raw/master/csl-citation.json"}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(Heesterbeek et al., 2020)</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00F042AE" w:rsidRPr="00D017CD">
        <w:rPr>
          <w:rFonts w:ascii="Times New Roman" w:hAnsi="Times New Roman" w:cs="Times New Roman"/>
          <w:sz w:val="24"/>
          <w:szCs w:val="24"/>
        </w:rPr>
        <w:t xml:space="preserve">  As ARMD develops fully, a process called </w:t>
      </w:r>
      <w:proofErr w:type="spellStart"/>
      <w:r w:rsidR="00F042AE" w:rsidRPr="00D017CD">
        <w:rPr>
          <w:rFonts w:ascii="Times New Roman" w:hAnsi="Times New Roman" w:cs="Times New Roman"/>
          <w:sz w:val="24"/>
          <w:szCs w:val="24"/>
        </w:rPr>
        <w:t>lipofuscinogenesis</w:t>
      </w:r>
      <w:proofErr w:type="spellEnd"/>
      <w:r w:rsidR="00F042AE" w:rsidRPr="00D017CD">
        <w:rPr>
          <w:rFonts w:ascii="Times New Roman" w:hAnsi="Times New Roman" w:cs="Times New Roman"/>
          <w:sz w:val="24"/>
          <w:szCs w:val="24"/>
        </w:rPr>
        <w:t xml:space="preserve"> occurs, leading to the collection of waste products, such as lipofuscin, within retinal pigment epithelial (RPE) cells in the retina. Development </w:t>
      </w:r>
      <w:r w:rsidR="00F042AE" w:rsidRPr="00D017CD">
        <w:rPr>
          <w:rFonts w:ascii="Times New Roman" w:hAnsi="Times New Roman" w:cs="Times New Roman"/>
          <w:sz w:val="24"/>
          <w:szCs w:val="24"/>
        </w:rPr>
        <w:lastRenderedPageBreak/>
        <w:t>leads to impaired RP</w:t>
      </w:r>
      <w:r w:rsidR="00F042AE" w:rsidRPr="00DE3B3E">
        <w:rPr>
          <w:rFonts w:ascii="Times New Roman" w:hAnsi="Times New Roman" w:cs="Times New Roman"/>
          <w:sz w:val="24"/>
          <w:szCs w:val="24"/>
        </w:rPr>
        <w:t>E function, reduces nutrient supply to photoreceptors, and activates the release of pro-inflammatory cytokines</w:t>
      </w:r>
      <w:r w:rsidR="002D39FE">
        <w:rPr>
          <w:rFonts w:ascii="Times New Roman" w:hAnsi="Times New Roman" w:cs="Times New Roman"/>
          <w:sz w:val="24"/>
          <w:szCs w:val="24"/>
        </w:rPr>
        <w:t xml:space="preserve"> </w:t>
      </w:r>
      <w:r w:rsidR="003A0F1D" w:rsidRPr="00DE3B3E">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{"citationID":"aSDhRMTd","properties":{"formattedCitation":"(Mazzitello et al., 2009)","plainCitation":"(Mazzitello et al., 2009)","noteIndex":0},"citationItems":[{"id":41,"uris":["http://zotero.org/users/17126151/items/8E4CXDDB"],"itemData":{"id":41,"type":"article-journal","abstract":"The kinetics of lipofuscin growth in diseased retinal pigment epithelium cells is investigated using Monte Carlo simulations and scaling theory on a cluster aggregation model. The model captures the essential physics of lipofuscin growth in the cells. A remarkable feature is that small particles may be removed from the cells while the larger ones become fixed and grow by aggregation. Model simulations are compared to the number of lipofuscin granules in eyes with early age-related degeneration.","container-title":"Physical review. E, Statistical, nonlinear, and soft matter physics","DOI":"10.1103/PhysRevE.80.051908","ISSN":"1539-3755","issue":"5 Pt 1","journalAbbreviation":"Phys Rev E Stat Nonlin Soft Matter Phys","note":"PMID: 20365007\nPMCID: PMC2993693","page":"051908","source":"PubMed Central","title":"Formation and growth of lipofuscin in the retinal pigment epithelium cells","volume":"80","author":[{"family":"Mazzitello","given":"K. I."},{"family":"Arizmendi","given":"C. M."},{"family":"Family","given":"F."},{"family":"Grossniklaus","given":"H. E."}],"issued":{"date-parts":[["2009",11]]}}}],"schema":"https://github.com/citation-style-language/schema/raw/master/csl-citation.json"} </w:instrText>
      </w:r>
      <w:r w:rsidR="003A0F1D" w:rsidRPr="00DE3B3E">
        <w:rPr>
          <w:rFonts w:ascii="Times New Roman" w:hAnsi="Times New Roman" w:cs="Times New Roman"/>
          <w:sz w:val="24"/>
          <w:szCs w:val="24"/>
        </w:rPr>
        <w:fldChar w:fldCharType="separate"/>
      </w:r>
      <w:r w:rsidR="00B3699E" w:rsidRPr="00B3699E">
        <w:rPr>
          <w:rFonts w:ascii="Times New Roman" w:hAnsi="Times New Roman" w:cs="Times New Roman"/>
          <w:sz w:val="24"/>
        </w:rPr>
        <w:t>(Mazzitello et al., 2009)</w:t>
      </w:r>
      <w:r w:rsidR="003A0F1D" w:rsidRPr="00DE3B3E">
        <w:rPr>
          <w:rFonts w:ascii="Times New Roman" w:hAnsi="Times New Roman" w:cs="Times New Roman"/>
          <w:sz w:val="24"/>
          <w:szCs w:val="24"/>
        </w:rPr>
        <w:fldChar w:fldCharType="end"/>
      </w:r>
      <w:r w:rsidR="002D39FE">
        <w:rPr>
          <w:rFonts w:ascii="Times New Roman" w:hAnsi="Times New Roman" w:cs="Times New Roman"/>
          <w:sz w:val="24"/>
          <w:szCs w:val="24"/>
        </w:rPr>
        <w:t>.</w:t>
      </w:r>
    </w:p>
    <w:p w14:paraId="7123C3D2" w14:textId="77777777" w:rsidR="00CF5882" w:rsidRPr="00D017CD" w:rsidRDefault="00DE3B3E" w:rsidP="00DE3B3E">
      <w:pPr>
        <w:spacing w:line="360" w:lineRule="auto"/>
        <w:jc w:val="both"/>
        <w:rPr>
          <w:rFonts w:ascii="Times New Roman" w:hAnsi="Times New Roman" w:cs="Times New Roman"/>
          <w:sz w:val="24"/>
          <w:szCs w:val="24"/>
        </w:rPr>
      </w:pPr>
      <w:r w:rsidRPr="00DE3B3E">
        <w:rPr>
          <w:rFonts w:ascii="Times New Roman" w:hAnsi="Times New Roman" w:cs="Times New Roman"/>
          <w:color w:val="222222"/>
          <w:sz w:val="24"/>
          <w:szCs w:val="24"/>
          <w:shd w:val="clear" w:color="auto" w:fill="FFFFFF"/>
        </w:rPr>
        <w:t xml:space="preserve">Chronic inflammation develops, further worsening the condition. In Wet AMD, the RPE detaches from Bruch's membrane, activates abnormal blood vessel growth from the choroid into the </w:t>
      </w:r>
      <w:r w:rsidR="002F6077">
        <w:rPr>
          <w:rFonts w:ascii="Times New Roman" w:hAnsi="Times New Roman" w:cs="Times New Roman"/>
          <w:color w:val="222222"/>
          <w:sz w:val="24"/>
          <w:szCs w:val="24"/>
          <w:shd w:val="clear" w:color="auto" w:fill="FFFFFF"/>
        </w:rPr>
        <w:t>subretinal</w:t>
      </w:r>
      <w:r w:rsidRPr="00DE3B3E">
        <w:rPr>
          <w:rFonts w:ascii="Times New Roman" w:hAnsi="Times New Roman" w:cs="Times New Roman"/>
          <w:color w:val="222222"/>
          <w:sz w:val="24"/>
          <w:szCs w:val="24"/>
          <w:shd w:val="clear" w:color="auto" w:fill="FFFFFF"/>
        </w:rPr>
        <w:t xml:space="preserve"> space (choroidal vascularisation), and leakage from new, fragile vessels of the retina. This process leads to the formation of a disciform scar, causing permanent, irreversible, and central vision loss</w:t>
      </w:r>
      <w:r w:rsidR="002D39FE">
        <w:rPr>
          <w:rFonts w:ascii="Times New Roman" w:hAnsi="Times New Roman" w:cs="Times New Roman"/>
          <w:sz w:val="24"/>
          <w:szCs w:val="24"/>
        </w:rPr>
        <w:t xml:space="preserve"> </w:t>
      </w:r>
      <w:r w:rsidR="003A0F1D" w:rsidRPr="00DE3B3E">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{"citationID":"Qvjx0p51","properties":{"formattedCitation":"(Bhutto &amp; Lutty, 2012)","plainCitation":"(Bhutto &amp; Lutty, 2012)","noteIndex":0},"citationItems":[{"id":202,"uris":["http://zotero.org/users/17126151/items/BTPK7Q8I"],"itemData":{"id":202,"type":"article-journal","abstract":"There is a mutualistic symbiotic relationship between the components of the photoreceptor/retinal pigment epithelium (RPE)/Bruch's membrane (BrMb)/choriocapillaris (CC) complex that is lost in AMD. Which component in the photoreceptor/RPE/BrMb/CC complex is affected first appears to depend on the type of AMD. In atrophic AMD (~85-90% of cases), it appears that large confluent drusen formation and hyperpigmentation (presumably dysfunction in RPE) are the initial insult and the resorption of these drusen and loss of RPE (hypopigmentation) can be predictive for progression of geographic atrophy (GA). The death and dysfunction of photoreceptors and CC appear to be secondary events to loss in RPE. In neovascular AMD (~10-15% of cases), the loss of choroidal vasculature may be the initial insult to the complex. Loss of CC with an intact RPE monolayer in wet AMD has been observed. This may be due to reduction in blood supply because of large vessel stenosis. Furthermore, the environment of the CC, basement membrane and intercapillary septa, is a proinflammatory milieu with accumulation of complement components as well as proinflammatory molecules like CRP during AMD. In this toxic milieu, CC die or become dysfunction making adjacent RPE hypoxic. These hypoxic cells then produce angiogenic substances like VEGF that stimulate growth of new vessels from CC, resulting in choroidal neovascularization (CNV). The loss of CC might also be a stimulus for drusen formation since the disposal system for retinal debris and exocytosed material from RPE would be limited. Ultimately, the photoreceptors die of lack of nutrients, leakage of serum components from the neovascularization, and scar formation. Therefore, the mutualistic symbiotic relationship within the photoreceptor/RPE/BrMb/CC complex is lost in both forms of AMD. Loss of this functionally integrated relationship results in death and dysfunction of all of the components in the complex.","container-title":"Molecular Aspects of Medicine","DOI":"10.1016/j.mam.2012.04.005","ISSN":"1872-9452","issue":"4","journalAbbreviation":"Mol Aspects Med","language":"eng","note":"PMID: 22542780\nPMCID: PMC3392421","page":"295-317","source":"PubMed","title":"Understanding age-related macular degeneration (AMD): relationships between the photoreceptor/retinal pigment epithelium/Bruch's membrane/choriocapillaris complex","title-short":"Understanding age-related macular degeneration (AMD)","volume":"33","author":[{"family":"Bhutto","given":"Imran"},{"family":"Lutty","given":"Gerard"}],"issued":{"date-parts":[["2012",8]]}}}],"schema":"https://github.com/citation-style-language/schema/raw/master/csl-citation.json"} </w:instrText>
      </w:r>
      <w:r w:rsidR="003A0F1D" w:rsidRPr="00DE3B3E">
        <w:rPr>
          <w:rFonts w:ascii="Times New Roman" w:hAnsi="Times New Roman" w:cs="Times New Roman"/>
          <w:sz w:val="24"/>
          <w:szCs w:val="24"/>
        </w:rPr>
        <w:fldChar w:fldCharType="separate"/>
      </w:r>
      <w:r w:rsidR="00B3699E" w:rsidRPr="00B3699E">
        <w:rPr>
          <w:rFonts w:ascii="Times New Roman" w:hAnsi="Times New Roman" w:cs="Times New Roman"/>
          <w:sz w:val="24"/>
        </w:rPr>
        <w:t>(Bhutto &amp; Lutty, 2012)</w:t>
      </w:r>
      <w:r w:rsidR="003A0F1D" w:rsidRPr="00DE3B3E">
        <w:rPr>
          <w:rFonts w:ascii="Times New Roman" w:hAnsi="Times New Roman" w:cs="Times New Roman"/>
          <w:sz w:val="24"/>
          <w:szCs w:val="24"/>
        </w:rPr>
        <w:fldChar w:fldCharType="end"/>
      </w:r>
      <w:r w:rsidR="002D39FE">
        <w:rPr>
          <w:rFonts w:ascii="Times New Roman" w:hAnsi="Times New Roman" w:cs="Times New Roman"/>
          <w:sz w:val="24"/>
          <w:szCs w:val="24"/>
        </w:rPr>
        <w:t>.</w:t>
      </w:r>
      <w:r w:rsidR="008B1F1F" w:rsidRPr="00DE3B3E">
        <w:rPr>
          <w:rFonts w:ascii="Times New Roman" w:hAnsi="Times New Roman" w:cs="Times New Roman"/>
          <w:sz w:val="24"/>
          <w:szCs w:val="24"/>
        </w:rPr>
        <w:t xml:space="preserve"> </w:t>
      </w:r>
      <w:r w:rsidRPr="00DE3B3E">
        <w:rPr>
          <w:rFonts w:ascii="Times New Roman" w:hAnsi="Times New Roman" w:cs="Times New Roman"/>
          <w:color w:val="222222"/>
          <w:sz w:val="24"/>
          <w:szCs w:val="24"/>
          <w:shd w:val="clear" w:color="auto" w:fill="FFFFFF"/>
        </w:rPr>
        <w:t>The pathophysiology of age-related macular degeneration is shown in </w:t>
      </w:r>
      <w:r w:rsidRPr="00DE3B3E">
        <w:rPr>
          <w:rFonts w:ascii="Times New Roman" w:hAnsi="Times New Roman" w:cs="Times New Roman"/>
          <w:b/>
          <w:bCs/>
          <w:color w:val="222222"/>
          <w:sz w:val="24"/>
          <w:szCs w:val="24"/>
          <w:shd w:val="clear" w:color="auto" w:fill="FFFFFF"/>
        </w:rPr>
        <w:t>Fig</w:t>
      </w:r>
      <w:r w:rsidR="00F10C78">
        <w:rPr>
          <w:rFonts w:ascii="Times New Roman" w:hAnsi="Times New Roman" w:cs="Times New Roman"/>
          <w:b/>
          <w:bCs/>
          <w:color w:val="222222"/>
          <w:sz w:val="24"/>
          <w:szCs w:val="24"/>
          <w:shd w:val="clear" w:color="auto" w:fill="FFFFFF"/>
        </w:rPr>
        <w:t>. 2</w:t>
      </w:r>
      <w:r w:rsidRPr="00DE3B3E">
        <w:rPr>
          <w:rFonts w:ascii="Times New Roman" w:hAnsi="Times New Roman" w:cs="Times New Roman"/>
          <w:color w:val="222222"/>
          <w:sz w:val="24"/>
          <w:szCs w:val="24"/>
          <w:shd w:val="clear" w:color="auto" w:fill="FFFFFF"/>
        </w:rPr>
        <w:t>.  Several risk factors influence the progression of ARMD. It is primarily a disease of ageing, mostly affecting the older population. With the age above 50 years, the risk of ARMD increases significantly</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{"citationID":"EiGfQzAY","properties":{"formattedCitation":"(Kulkarni et al., 2013)","plainCitation":"(Kulkarni et al., 2013)","noteIndex":0},"citationItems":[{"id":49,"uris":["http://zotero.org/users/17126151/items/MMLLSQDK"],"itemData":{"id":49,"type":"article-journal","abstract":"Background:\nWe present the magnitude and determinants of age-related macular degeneration (ARMD) among the 50 year and older population that visited our hospital.\n\nMaterials and Methods:\nThis was a cohort of eye patients with ARMD, seen from 2006 to 2009. Optometrist noted the best-corrected vision. Ophthalmologists examined eyes using a slit-lamp bio-microscope. The ARMD was confirmed by fluoresceine angiography and optical coherent tomography. The age, sex, history of smoking, sun exposure, family history of ARMD, diet, body mass index (BMI), hypertension, and diabetes were associated with ARMD.\n\nResult:\nOf the 19,140 persons of ≥ 50 years of age-attending eye clinic in our hospital, 302 persons had ARMD in at least one eye. The proportion of overall ARMD was 1.38% (95% CI 1.21--1.55). The proportion of age-related maculopathy (ARM) and late ARMD was 1.14% (95% CI 0.99--1.29) and 0.24% (95% CI 0.21–0.24) respectively. ARM was unilateral and bilateral in 64 (29.2%) and 155 (70.8%) persons respectively. Dry ARMD was found in 47.8%. On regression analysis, old age (OR = 1.05), male (OR = 0.54), and history of smoking (OR = 2.32) were significant risk factors of ARMD. A total of 4.2% of persons with ARMD were blind (vision &lt;3/60). Only 43% of persons with ARMD had J6 grade of the best-corrected near vision.\n\nConclusion:\nARMD does not seem to be of public health magnitude in the study area. Early stages of ARMD were common among patients. ge, being male, and history of smoking were significant risk factors for ARMD.","container-title":"Indian Journal of Ophthalmology","DOI":"10.4103/0301-4738.99870","ISSN":"0301-4738","issue":"5","journalAbbreviation":"Indian J Ophthalmol","note":"PMID: 23571245\nPMCID: PMC3730501","page":"196-201","source":"PubMed Central","title":"Prevalence and determinants of age-related macular degeneration in the 50 years and older population: A hospital based study in Maharashtra, India","title-short":"Prevalence and determinants of age-related macular degeneration in the 50 years and older population","volume":"61","author":[{"family":"Kulkarni","given":"Sucheta R"},{"family":"Aghashe","given":"Supriya R"},{"family":"Khandekar","given":"Rajiv B"},{"family":"Deshpande","given":"Madan D"}],"issued":{"date-parts":[["2013",5]]}}}],"schema":"https://github.com/citation-style-language/schema/raw/master/csl-citation.json"}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(Kulkarni et al., 2013)</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D017CD">
        <w:rPr>
          <w:rFonts w:ascii="Times New Roman" w:hAnsi="Times New Roman" w:cs="Times New Roman"/>
          <w:sz w:val="24"/>
          <w:szCs w:val="24"/>
        </w:rPr>
        <w:t xml:space="preserve"> Environmental and genetic variables are important in determining an individual's risk of ARMD. Those with a family history of ARMD are at a higher risk</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{"citationID":"cguX3Y5w","properties":{"formattedCitation":"(Mousavi &amp; Armstrong, 2013)","plainCitation":"(Mousavi &amp; Armstrong, 2013)","noteIndex":0},"citationItems":[{"id":52,"uris":["http://zotero.org/users/17126151/items/PXNBN9MJ"],"itemData":{"id":52,"type":"article-journal","abstract":"Age related macular degeneration (AMD) is the leading cause of blindness in individuals older than 65 years of age. It is a multifactorial disorder and identification of risk factors enables individuals to make lifestyle choices that may reduce the risk of disease. Collaboration between geneticists, ophthalmologists, and optometrists suggests that genetic risk factors play a more significant role in AMD than previously thought. The most important genes are associated with immune system modulation and the complement system, e.g., complement factor H (CFH), factor B (CFB), factor C3, and serpin peptidase inhibitor (SERPING1). Genes associated with membrane transport, e.g., ATP-binding cassette protein (ABCR) and voltage-dependent calcium channel gamma 3 (CACNG3), the vascular system, e.g., fibroblast growth factor 2 (FGF2), fibulin-5, lysyl oxidase-like gene (LOXL1) and selectin-P (SELP), and with lipid metabolism, e.g., apolipoprotein E (APOE) and hepatic lipase (LIPC) have also been implicated. In addition, several other genes exhibit some statistical association with AMD, e.g., age-related maculopathy susceptibility protein 2 (ARMS2) and DNA excision repair protein gene (ERCC6) but more research is needed to establish their significance. Modifiable risk factors for AMD should be discussed with patients whose lifestyle and/or family history place them in an increased risk category. Furthermore, calculation of AMD risk using current models should be recommended as a tool for patient education. It is likely that AMD management in future will be increasingly influenced by assessment of genetic risk as such screening methods become more widely available.","container-title":"Journal of Optometry","DOI":"10.1016/j.optom.2013.07.002","ISSN":"1888-4296","issue":"4","journalAbbreviation":"J Optom","note":"PMID: null\nPMCID: PMC3880448","page":"176-184","source":"PubMed Central","title":"Genetic risk factors and age-related macular degeneration (AMD)","volume":"6","author":[{"family":"Mousavi","given":"Maryam"},{"family":"Armstrong","given":"Richard A."}],"issued":{"date-parts":[["2013",10]]}}}],"schema":"https://github.com/citation-style-language/schema/raw/master/csl-citation.json"}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(Mousavi &amp; Armstrong, 2013)</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D017CD">
        <w:rPr>
          <w:rFonts w:ascii="Times New Roman" w:hAnsi="Times New Roman" w:cs="Times New Roman"/>
          <w:sz w:val="24"/>
          <w:szCs w:val="24"/>
        </w:rPr>
        <w:t xml:space="preserve"> Certain systemic diseases, such as hypertension and cardiovascular diseases, can also influence the risk of ARMD. Sedentary lifestyle, smoking, and obesity might play an important part in increasing the risk of ARMD</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{"citationID":"GiVu6sdp","properties":{"formattedCitation":"(Saigal et al., 2025)","plainCitation":"(Saigal et al., 2025)","noteIndex":0},"citationItems":[{"id":"1bYYoRFa/gi5DzFH7","uris":["http://zotero.org/users/15401920/items/NE89ABFJ"],"itemData":{"id":1207,"type":"article-journal","abstract":"Age-related macular degeneration (AMD) is a multifactorial disorder influenced by genetic, lifestyle, nutritional, and systemic health factors that contribute to increased oxidative stress and chronic inflammation in the retina. This article reviews the recent literature on modifiable lifestyle risk factors for the development and progression of AMD. Smoking (current and former), physical inactivity, prolonged sunlight exposure, as well as conditions such as diabetes, hypertension, cardiovascular disease, and obesity have all been associated with an increased risk of early AMD and its progression. The Age-Related Eye Disease Studies (AREDS and AREDS2) have shown that a specific combination of vitamins E and C, zinc, copper, lutein, and zeaxanthin can significantly reduce the risk of AMD progressing from dry to wet form. Additionally, adherence to a Mediterranean diet, rich in vegetables, fruits, legumes, whole grains, and nuts, has been linked to a lower risk of both early and late AMD. Emerging evidence suggests that these benefits may be influenced by the gut microbiota, as well as genetic and epigenetic factors. Further research into the interactions between these risk factors could pave the way for targeted therapies aimed at preventing or slowing AMD progression.","container-title":"Vision","DOI":"10.3390/vision9010016","ISSN":"2411-5150","issue":"1","journalAbbreviation":"Vision (Basel)","note":"PMID: 40137928\nPMCID: PMC11946629","page":"16","source":"PubMed Central","title":"Modifiable Lifestyle Risk Factors and Strategies for Slowing the Progression of Age-Related Macular Degeneration","volume":"9","author":[{"family":"Saigal","given":"Khushi"},{"family":"Salama","given":"Joshua E."},{"family":"Pardo","given":"Alfredo A."},{"family":"Lopez","given":"Sebastian E."},{"family":"Gregori","given":"Ninel Z."}],"issued":{"date-parts":[["2025",2,23]]}}}],"schema":"https://github.com/citation-style-language/schema/raw/master/csl-citation.json"}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(Saigal et al., 2025)</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p>
    <w:p w14:paraId="041C3EB6" w14:textId="77777777" w:rsidR="00CF5882" w:rsidRPr="005770EC" w:rsidRDefault="00F042AE" w:rsidP="005770EC">
      <w:pPr>
        <w:spacing w:line="360" w:lineRule="auto"/>
        <w:jc w:val="both"/>
        <w:rPr>
          <w:rFonts w:ascii="Times New Roman" w:hAnsi="Times New Roman" w:cs="Times New Roman"/>
          <w:b/>
          <w:bCs/>
          <w:sz w:val="24"/>
          <w:szCs w:val="24"/>
        </w:rPr>
      </w:pPr>
      <w:r w:rsidRPr="00D017CD">
        <w:rPr>
          <w:rFonts w:ascii="Times New Roman" w:hAnsi="Times New Roman" w:cs="Times New Roman"/>
          <w:b/>
          <w:bCs/>
          <w:sz w:val="24"/>
          <w:szCs w:val="24"/>
        </w:rPr>
        <w:t>3.</w:t>
      </w:r>
      <w:r w:rsidR="008B35EA">
        <w:rPr>
          <w:rFonts w:ascii="Times New Roman" w:hAnsi="Times New Roman" w:cs="Times New Roman"/>
          <w:b/>
          <w:bCs/>
          <w:sz w:val="24"/>
          <w:szCs w:val="24"/>
        </w:rPr>
        <w:t xml:space="preserve"> </w:t>
      </w:r>
      <w:r w:rsidR="00CF5882" w:rsidRPr="00D017CD">
        <w:rPr>
          <w:rFonts w:ascii="Times New Roman" w:hAnsi="Times New Roman" w:cs="Times New Roman"/>
          <w:b/>
          <w:bCs/>
          <w:sz w:val="24"/>
          <w:szCs w:val="24"/>
        </w:rPr>
        <w:t>Gene Therapy Techniques</w:t>
      </w:r>
    </w:p>
    <w:p w14:paraId="4A9E837D" w14:textId="77777777" w:rsidR="004A455E" w:rsidRPr="005770EC" w:rsidRDefault="005770EC" w:rsidP="005770EC">
      <w:pPr>
        <w:spacing w:after="0" w:line="360" w:lineRule="auto"/>
        <w:jc w:val="both"/>
        <w:rPr>
          <w:rFonts w:ascii="Arial" w:eastAsia="Times New Roman" w:hAnsi="Arial" w:cs="Arial"/>
          <w:color w:val="222222"/>
          <w:kern w:val="0"/>
          <w:sz w:val="24"/>
          <w:szCs w:val="24"/>
          <w:lang w:val="en-US"/>
        </w:rPr>
      </w:pPr>
      <w:r w:rsidRPr="005770EC">
        <w:rPr>
          <w:rFonts w:ascii="Times New Roman" w:eastAsia="Times New Roman" w:hAnsi="Times New Roman" w:cs="Times New Roman"/>
          <w:color w:val="222222"/>
          <w:kern w:val="0"/>
          <w:sz w:val="24"/>
          <w:szCs w:val="24"/>
        </w:rPr>
        <w:t>The traditional method of therapy includes an anti-VEGF drug, which is injected into the affected eye. Patients need shots every four to six weeks to maintain the effect of the medicine. Vascular Endothelial Growth Factor (VEGF) is essential for vascular endothelial growth</w:t>
      </w:r>
      <w:r w:rsidR="004A455E" w:rsidRPr="005770EC">
        <w:rPr>
          <w:rFonts w:ascii="Times New Roman" w:hAnsi="Times New Roman" w:cs="Times New Roman"/>
          <w:sz w:val="24"/>
          <w:szCs w:val="24"/>
        </w:rPr>
        <w:t>.</w:t>
      </w:r>
      <w:r w:rsidR="003A0F1D" w:rsidRPr="005770EC">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{"citationID":"TY9vbqea","properties":{"formattedCitation":"(P\\uc0\\u233{}rez-Guti\\uc0\\u233{}rrez &amp; Ferrara, 2023)","plainCitation":"(Pérez-Gutiérrez &amp; Ferrara, 2023)","noteIndex":0},"citationItems":[{"id":"1bYYoRFa/llZb6KLQ","uris":["http://zotero.org/users/15401920/items/TESVSK3R"],"itemData":{"id":1223,"type":"article-journal","abstract":"The formation of new blood vessels, called angiogenesis, is an essential pathophysiological process in which several families of regulators have been implicated. Among these, vascular endothelial growth factor A (VEGFA; also known as VEGF) and its two tyrosine kinase receptors, VEGFR1 and VEGFR2, represent a key signalling pathway mediating physiological angiogenesis and are also major therapeutic targets. VEGFA is a member of the gene family that includes VEGFB, VEGFC, VEGFD and placental growth factor (PLGF). Three decades after its initial isolation and cloning, VEGFA is arguably the most extensively investigated signalling system in angiogenesis. Although many mediators of angiogenesis have been identified, including members of the FGF family, angiopoietins, TGFβ and sphingosine 1-phosphate, all current FDA-approved anti-angiogenic drugs target the VEGF pathway. Anti-VEGF agents are widely used in oncology and, in combination with chemotherapy or immunotherapy, are now the standard of care in multiple malignancies. Anti-VEGF drugs have also revolutionized the treatment of neovascular eye disorders such as age-related macular degeneration and ischaemic retinal disorders. In this Review, we emphasize the molecular, structural and cellular basis of VEGFA action as well as recent findings illustrating unexpected interactions with other pathways and provocative reports on the role of VEGFA in regenerative medicine. We also discuss clinical and translational aspects of VEGFA. Given the crucial role that VEGFA plays in regulating angiogenesis in health and disease, this molecule is largely the focus of this Review.","container-title":"Nature Reviews Molecular Cell Biology","DOI":"10.1038/s41580-023-00631-w","ISSN":"1471-0080","issue":"11","journalAbbreviation":"Nat Rev Mol Cell Biol","language":"en","license":"2023 Springer Nature Limited","note":"publisher: Nature Publishing Group","page":"816-834","source":"www.nature.com","title":"Biology and therapeutic targeting of vascular endothelial growth factor A","volume":"24","author":[{"family":"Pérez-Gutiérrez","given":"Lorena"},{"family":"Ferrara","given":"Napoleone"}],"issued":{"date-parts":[["2023",11]]}}}],"schema":"https://github.com/citation-style-language/schema/raw/master/csl-citation.json"} </w:instrText>
      </w:r>
      <w:r w:rsidR="003A0F1D" w:rsidRPr="005770EC">
        <w:rPr>
          <w:rFonts w:ascii="Times New Roman" w:hAnsi="Times New Roman" w:cs="Times New Roman"/>
          <w:sz w:val="24"/>
          <w:szCs w:val="24"/>
        </w:rPr>
        <w:fldChar w:fldCharType="separate"/>
      </w:r>
      <w:r w:rsidR="00B3699E" w:rsidRPr="00B3699E">
        <w:rPr>
          <w:rFonts w:ascii="Times New Roman" w:hAnsi="Times New Roman" w:cs="Times New Roman"/>
          <w:kern w:val="0"/>
          <w:sz w:val="24"/>
        </w:rPr>
        <w:t>(Pérez-Gutiérrez &amp; Ferrara, 2023)</w:t>
      </w:r>
      <w:r w:rsidR="003A0F1D" w:rsidRPr="005770EC">
        <w:rPr>
          <w:rFonts w:ascii="Times New Roman" w:hAnsi="Times New Roman" w:cs="Times New Roman"/>
          <w:sz w:val="24"/>
          <w:szCs w:val="24"/>
        </w:rPr>
        <w:fldChar w:fldCharType="end"/>
      </w:r>
      <w:r w:rsidR="008B35EA">
        <w:rPr>
          <w:rFonts w:ascii="Times New Roman" w:hAnsi="Times New Roman" w:cs="Times New Roman"/>
          <w:sz w:val="24"/>
          <w:szCs w:val="24"/>
        </w:rPr>
        <w:t xml:space="preserve"> </w:t>
      </w:r>
      <w:r w:rsidRPr="005770EC">
        <w:rPr>
          <w:rFonts w:ascii="Times New Roman" w:hAnsi="Times New Roman" w:cs="Times New Roman"/>
          <w:color w:val="222222"/>
          <w:sz w:val="24"/>
          <w:szCs w:val="24"/>
          <w:shd w:val="clear" w:color="auto" w:fill="FFFFFF"/>
        </w:rPr>
        <w:t>Anti-Vascular Endothelial Growth Factor (Anti-VEGF) therapy is given to block vascular endothelial growth factors, which include antibodies such as bevacizumab, and also reduces the growth of abnormal blood vessels and reduces swelling. There is a necessity for the development of several innovative technologies and long-lasting therapies for treating Wet ARMD</w:t>
      </w:r>
      <w:r w:rsidR="002D39FE">
        <w:rPr>
          <w:rFonts w:ascii="Times New Roman" w:hAnsi="Times New Roman" w:cs="Times New Roman"/>
          <w:sz w:val="24"/>
          <w:szCs w:val="24"/>
        </w:rPr>
        <w:t xml:space="preserve"> </w:t>
      </w:r>
      <w:r w:rsidR="003A0F1D" w:rsidRPr="005770EC">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{"citationID":"VtafT2dK","properties":{"formattedCitation":"(Amarakoon et al., 2019)","plainCitation":"(Amarakoon et al., 2019)","noteIndex":0},"citationItems":[{"id":58,"uris":["http://zotero.org/users/17126151/items/J38SHUHA"],"itemData":{"id":58,"type":"article-journal","abstract":"PURPOSE: Intravitreal anti-vascular endothelial growth factor (VEGF) injections are an effective treatment for neovascular age-related macular degeneration (nARMD). Bevacizumab appears to be a cost-effective off-label anti-VEGF alternative to ranibizumab, but an optimal injection schedule has not yet been determined. In this study, we investigate whether on-demand bevacizumab treatment every 8 weeks is non-inferior to on-demand bevacizumab every 4 weeks in treating nARMD.\nMETHODS: A total of 120 nARMD patients were randomly assigned to an on-demand regimen of intravitreal bevacizumab (IVB) every 4 (n = 60) or 8 weeks (n = 60). The primary outcome was visual acuity (VA) change after 1 year of treatment.\nRESULTS: Visual acuity (VA) improved between baseline and 1 year in both treatment groups. The mean change in the VA score at 1 year was not significantly different between bevacizumab administration on-demand every 4 weeks [5.6 ± 10.2 Early Treatment Diabetic Retinopathy Study (ETDRS) letter] or 8 weeks (4.6 ± 12.0 ETDRS letters). A reduction in the central retinal thickness was observed in both groups. At 1 year, the mean decrease in central foveal thickness ranged from 61 ± 90 μm in the 4-week group to 91 ± 83 μm in the 8-week group (p = 0.07). The mean number of IVB treatments during the study period was 8.7 ± 2.3 in the 4-week group and 5.9 ± 1.0 in the 8-week group.\nCONCLUSION: At 1 year, bevacizumab administration on-demand every 8 weeks was non-inferior to administration every 4 weeks. The results strongly suggest that bevacizumab acts longer than 4 weeks in ARMD, reducing the burden of injections for patients.","container-title":"Acta Ophthalmologica","DOI":"10.1111/aos.13774","ISSN":"1755-3768","issue":"1","journalAbbreviation":"Acta Ophthalmol","language":"eng","note":"PMID: 30369062","page":"107-112","source":"PubMed","title":"Bevacizumab in age-related macular degeneration: a randomized controlled trial on the effect of on-demand therapy every 4 or 8 weeks","title-short":"Bevacizumab in age-related macular degeneration","volume":"97","author":[{"family":"Amarakoon","given":"Sankha"},{"family":"Martinez-Ciriano","given":"José P."},{"family":"Born","given":"L. Ingeborgh","non-dropping-particle":"van den"},{"family":"Baarsma","given":"Seerp"},{"family":"Missotten","given":"Tom"}],"issued":{"date-parts":[["2019",2]]}}}],"schema":"https://github.com/citation-style-language/schema/raw/master/csl-citation.json"} </w:instrText>
      </w:r>
      <w:r w:rsidR="003A0F1D" w:rsidRPr="005770EC">
        <w:rPr>
          <w:rFonts w:ascii="Times New Roman" w:hAnsi="Times New Roman" w:cs="Times New Roman"/>
          <w:sz w:val="24"/>
          <w:szCs w:val="24"/>
        </w:rPr>
        <w:fldChar w:fldCharType="separate"/>
      </w:r>
      <w:r w:rsidR="00B3699E" w:rsidRPr="00B3699E">
        <w:rPr>
          <w:rFonts w:ascii="Times New Roman" w:hAnsi="Times New Roman" w:cs="Times New Roman"/>
          <w:sz w:val="24"/>
        </w:rPr>
        <w:t>(Amarakoon et al., 2019)</w:t>
      </w:r>
      <w:r w:rsidR="003A0F1D" w:rsidRPr="005770EC">
        <w:rPr>
          <w:rFonts w:ascii="Times New Roman" w:hAnsi="Times New Roman" w:cs="Times New Roman"/>
          <w:sz w:val="24"/>
          <w:szCs w:val="24"/>
        </w:rPr>
        <w:fldChar w:fldCharType="end"/>
      </w:r>
      <w:r w:rsidR="002D39FE">
        <w:rPr>
          <w:rFonts w:ascii="Times New Roman" w:hAnsi="Times New Roman" w:cs="Times New Roman"/>
          <w:sz w:val="24"/>
          <w:szCs w:val="24"/>
        </w:rPr>
        <w:t>.</w:t>
      </w:r>
    </w:p>
    <w:p w14:paraId="3E27352B" w14:textId="77777777" w:rsidR="00CF5882" w:rsidRPr="005770EC" w:rsidRDefault="00026E1A" w:rsidP="005770EC">
      <w:pPr>
        <w:spacing w:line="360" w:lineRule="auto"/>
        <w:jc w:val="both"/>
        <w:rPr>
          <w:rFonts w:ascii="Times New Roman" w:hAnsi="Times New Roman" w:cs="Times New Roman"/>
          <w:sz w:val="24"/>
          <w:szCs w:val="24"/>
        </w:rPr>
      </w:pPr>
      <w:r w:rsidRPr="005770EC">
        <w:rPr>
          <w:rFonts w:ascii="Times New Roman" w:hAnsi="Times New Roman" w:cs="Times New Roman"/>
          <w:noProof/>
          <w:sz w:val="24"/>
          <w:szCs w:val="24"/>
          <w:lang w:val="en-US"/>
        </w:rPr>
        <w:lastRenderedPageBreak/>
        <w:drawing>
          <wp:inline distT="0" distB="0" distL="0" distR="0" wp14:anchorId="321F92D5" wp14:editId="0050C901">
            <wp:extent cx="5675630" cy="4993005"/>
            <wp:effectExtent l="0" t="0" r="1270" b="0"/>
            <wp:docPr id="1720350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5630" cy="4993005"/>
                    </a:xfrm>
                    <a:prstGeom prst="rect">
                      <a:avLst/>
                    </a:prstGeom>
                    <a:noFill/>
                  </pic:spPr>
                </pic:pic>
              </a:graphicData>
            </a:graphic>
          </wp:inline>
        </w:drawing>
      </w:r>
    </w:p>
    <w:p w14:paraId="012F7589" w14:textId="77777777" w:rsidR="005770EC" w:rsidRPr="005770EC" w:rsidRDefault="005770EC" w:rsidP="005770EC">
      <w:pPr>
        <w:spacing w:line="360" w:lineRule="auto"/>
        <w:jc w:val="both"/>
        <w:rPr>
          <w:rFonts w:ascii="Times New Roman" w:eastAsia="Times New Roman" w:hAnsi="Times New Roman" w:cs="Times New Roman"/>
          <w:kern w:val="0"/>
          <w:sz w:val="24"/>
          <w:szCs w:val="24"/>
          <w:lang w:val="en-US"/>
        </w:rPr>
      </w:pPr>
      <w:r w:rsidRPr="005770EC">
        <w:rPr>
          <w:rFonts w:ascii="Times New Roman" w:eastAsia="Times New Roman" w:hAnsi="Times New Roman" w:cs="Times New Roman"/>
          <w:b/>
          <w:bCs/>
          <w:kern w:val="0"/>
          <w:sz w:val="24"/>
          <w:szCs w:val="24"/>
        </w:rPr>
        <w:t>Fig</w:t>
      </w:r>
      <w:r w:rsidR="00F10C78">
        <w:rPr>
          <w:rFonts w:ascii="Times New Roman" w:eastAsia="Times New Roman" w:hAnsi="Times New Roman" w:cs="Times New Roman"/>
          <w:b/>
          <w:bCs/>
          <w:kern w:val="0"/>
          <w:sz w:val="24"/>
          <w:szCs w:val="24"/>
        </w:rPr>
        <w:t>. 2.</w:t>
      </w:r>
      <w:r w:rsidRPr="005770EC">
        <w:rPr>
          <w:rFonts w:ascii="Times New Roman" w:eastAsia="Times New Roman" w:hAnsi="Times New Roman" w:cs="Times New Roman"/>
          <w:kern w:val="0"/>
          <w:sz w:val="24"/>
          <w:szCs w:val="24"/>
        </w:rPr>
        <w:t xml:space="preserve"> The pathophysiology of age-related macular degeneration involves degeneration of the RPE and drusen accumulation, leading to geographic atrophy and choroidal neovascularisation and causing central vision loss.</w:t>
      </w:r>
    </w:p>
    <w:p w14:paraId="14BCC41E" w14:textId="77777777" w:rsidR="00CF5882" w:rsidRPr="005770EC" w:rsidRDefault="00CF5882" w:rsidP="005770EC">
      <w:pPr>
        <w:shd w:val="clear" w:color="auto" w:fill="FFFFFF"/>
        <w:spacing w:line="360" w:lineRule="auto"/>
        <w:jc w:val="both"/>
        <w:rPr>
          <w:rFonts w:ascii="Times New Roman" w:eastAsia="Times New Roman" w:hAnsi="Times New Roman" w:cs="Times New Roman"/>
          <w:color w:val="222222"/>
          <w:kern w:val="0"/>
          <w:sz w:val="24"/>
          <w:szCs w:val="24"/>
          <w:lang w:val="en-US"/>
        </w:rPr>
      </w:pPr>
      <w:r w:rsidRPr="005770EC">
        <w:rPr>
          <w:rFonts w:ascii="Times New Roman" w:hAnsi="Times New Roman" w:cs="Times New Roman"/>
          <w:sz w:val="24"/>
          <w:szCs w:val="24"/>
        </w:rPr>
        <w:t xml:space="preserve">Gene therapy itself is capable of continuously producing anti-VEGF proteins, without frequent invasive intravitreal injections. Gene Therapy is leading the way to a drastic change in the treatment of ARMD. The basic concept of gene therapy is </w:t>
      </w:r>
      <w:r w:rsidR="002F6077">
        <w:rPr>
          <w:rFonts w:ascii="Times New Roman" w:hAnsi="Times New Roman" w:cs="Times New Roman"/>
          <w:sz w:val="24"/>
          <w:szCs w:val="24"/>
        </w:rPr>
        <w:t xml:space="preserve">the </w:t>
      </w:r>
      <w:r w:rsidRPr="005770EC">
        <w:rPr>
          <w:rFonts w:ascii="Times New Roman" w:hAnsi="Times New Roman" w:cs="Times New Roman"/>
          <w:sz w:val="24"/>
          <w:szCs w:val="24"/>
        </w:rPr>
        <w:t xml:space="preserve">Genetic mutation of Cells having </w:t>
      </w:r>
      <w:r w:rsidR="009A74CB" w:rsidRPr="005770EC">
        <w:rPr>
          <w:rFonts w:ascii="Times New Roman" w:hAnsi="Times New Roman" w:cs="Times New Roman"/>
          <w:sz w:val="24"/>
          <w:szCs w:val="24"/>
        </w:rPr>
        <w:t>f</w:t>
      </w:r>
      <w:r w:rsidRPr="005770EC">
        <w:rPr>
          <w:rFonts w:ascii="Times New Roman" w:hAnsi="Times New Roman" w:cs="Times New Roman"/>
          <w:sz w:val="24"/>
          <w:szCs w:val="24"/>
        </w:rPr>
        <w:t>aulty genes through introducing healthy genes</w:t>
      </w:r>
      <w:r w:rsidR="002D39FE">
        <w:rPr>
          <w:rFonts w:ascii="Times New Roman" w:hAnsi="Times New Roman" w:cs="Times New Roman"/>
          <w:sz w:val="24"/>
          <w:szCs w:val="24"/>
        </w:rPr>
        <w:t xml:space="preserve"> </w:t>
      </w:r>
      <w:r w:rsidR="003A0F1D" w:rsidRPr="005770EC">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{"citationID":"880gukz8","properties":{"formattedCitation":"(Chung et al., 2021)","plainCitation":"(Chung et al., 2021)","noteIndex":0},"citationItems":[{"id":60,"uris":["http://zotero.org/users/17126151/items/B3MF49MT"],"itemData":{"id":60,"type":"article-journal","abstract":"Pharmacotherapies targeting vascular endothelial growth factor (VEGF) have revolutionized the management for neovascular retinal disorders including diabetic retinopathy and neovascular age-related macular degeneration. However, the burden of frequent injections, high cost, and treatment resistance in some patients remain unresolved. To overcome these challenges, newer generations of anti-angiogenic biological therapies, engineered proteins, implantable delivery systems, and biopolymers are currently being developed to enable more sustained, longer-lasting treatments. The use of gene therapies for pathologic angiogenesis has garnered renewed interests since the first FDA-approval of a gene therapy to treat inherited retinal diseases associated with biallelic RPE65 mutations. Newer generations of viral vectors and novel methods of intraocular injections helped overcome ocular barriers, improving the efficiency of transduction as well as safety profile. In addition, unlike current anti-VEGF gene therapy strategies which employ a biofactory approach to mimic existing pharmacotherapies, novel genome editing strategies that target pro-angiogenic factors at the DNA level offer a unique and distinct mechanistic approach that can potentially be more precise and lead to a permanent cure. Here, we review current anti-VEGF therapies and newer pharmacologic agents under development, examine technologies and progress in adapting anti-VEGF gene therapies, and explore the future application of CRISPR-Cas9 technology to suppress ocular angiogenesis.","container-title":"Annals of Translational Medicine","DOI":"10.21037/atm-20-4417","ISSN":"2305-5839","issue":"15","journalAbbreviation":"Ann Transl Med","language":"eng","note":"PMID: 34532414\nPMCID: PMC8421957","page":"1277","source":"PubMed","title":"Targeting vascular endothelial growth factor using retinal gene therapy","volume":"9","author":[{"family":"Chung","given":"Sook H."},{"family":"Frick","given":"Sonia L."},{"family":"Yiu","given":"Glenn"}],"issued":{"date-parts":[["2021",8]]}}}],"schema":"https://github.com/citation-style-language/schema/raw/master/csl-citation.json"} </w:instrText>
      </w:r>
      <w:r w:rsidR="003A0F1D" w:rsidRPr="005770EC">
        <w:rPr>
          <w:rFonts w:ascii="Times New Roman" w:hAnsi="Times New Roman" w:cs="Times New Roman"/>
          <w:sz w:val="24"/>
          <w:szCs w:val="24"/>
        </w:rPr>
        <w:fldChar w:fldCharType="separate"/>
      </w:r>
      <w:r w:rsidR="00B3699E" w:rsidRPr="00B3699E">
        <w:rPr>
          <w:rFonts w:ascii="Times New Roman" w:hAnsi="Times New Roman" w:cs="Times New Roman"/>
          <w:sz w:val="24"/>
        </w:rPr>
        <w:t>(Chung et al., 2021)</w:t>
      </w:r>
      <w:r w:rsidR="003A0F1D" w:rsidRPr="005770EC">
        <w:rPr>
          <w:rFonts w:ascii="Times New Roman" w:hAnsi="Times New Roman" w:cs="Times New Roman"/>
          <w:sz w:val="24"/>
          <w:szCs w:val="24"/>
        </w:rPr>
        <w:fldChar w:fldCharType="end"/>
      </w:r>
      <w:r w:rsidR="002D39FE">
        <w:rPr>
          <w:rFonts w:ascii="Times New Roman" w:hAnsi="Times New Roman" w:cs="Times New Roman"/>
          <w:sz w:val="24"/>
          <w:szCs w:val="24"/>
        </w:rPr>
        <w:t>.</w:t>
      </w:r>
      <w:r w:rsidRPr="005770EC">
        <w:rPr>
          <w:rFonts w:ascii="Times New Roman" w:hAnsi="Times New Roman" w:cs="Times New Roman"/>
          <w:sz w:val="24"/>
          <w:szCs w:val="24"/>
        </w:rPr>
        <w:t xml:space="preserve"> </w:t>
      </w:r>
      <w:r w:rsidR="005770EC" w:rsidRPr="005770EC">
        <w:rPr>
          <w:rFonts w:ascii="Times New Roman" w:eastAsia="Times New Roman" w:hAnsi="Times New Roman" w:cs="Times New Roman"/>
          <w:color w:val="222222"/>
          <w:kern w:val="0"/>
          <w:sz w:val="24"/>
          <w:szCs w:val="24"/>
        </w:rPr>
        <w:t>The normal genes either replace the diseased cells/tissue physically or function severally at another point in the host genome, performing the normal gene-related activity of the cell. An altered DNA termed Recombinant DNA is formed by the process of Genetic Engineering; this process involves substituting a segment of the DNA of the virus with a therapeutic gene, integrated into the DNA strand of the virus, which is associated with proliferation/replication in the host cell</w:t>
      </w:r>
      <w:r w:rsidR="002D39FE">
        <w:rPr>
          <w:rFonts w:ascii="Times New Roman" w:hAnsi="Times New Roman" w:cs="Times New Roman"/>
          <w:sz w:val="24"/>
          <w:szCs w:val="24"/>
        </w:rPr>
        <w:t xml:space="preserve"> </w:t>
      </w:r>
      <w:r w:rsidR="003A0F1D" w:rsidRPr="005770EC">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{"citationID":"yj7SSq2I","properties":{"formattedCitation":"(Rampersad &amp; Tennant, 2018)","plainCitation":"(Rampersad &amp; Tennant, 2018)","noteIndex":0},"citationItems":[{"id":"1bYYoRFa/FV1ozaWt","uris":["http://zotero.org/users/15401920/items/HNEFMFDC"],"itemData":{"id":1182,"type":"article-journal","abstract":"Regardless of their genetic constitution, viral genomes are replicated, expressed, and assembled in association with living host cells. These entities do not undergo division, but rather generate new particles through the assembly of preformed components. Some viruses go further by modifying cellular metabolism to create a more favorable environment for viral gene expression. In a few instances, these clever strategies also facilitate escape from the host’s defense responses. The process of replication is typically divided into the phases of attachment, entry, uncoating, genome replication and expression, assembly, maturation, and finally, egress or release from the host cell. In this chapter, we address genome replication and expression, including the multiple strategies that serve to control gene expression and ensure preferential propagation of the virus.","container-title":"Viruses","DOI":"10.1016/B978-0-12-811257-1.00003-6","journalAbbreviation":"Viruses","note":"PMID: null\nPMCID: PMC7158166","page":"55-82","source":"PubMed Central","title":"Replication and Expression Strategies of Viruses","author":[{"family":"Rampersad","given":"Sephra"},{"family":"Tennant","given":"Paula"}],"issued":{"date-parts":[["2018"]]}}}],"schema":"https://github.com/citation-style-language/schema/raw/master/csl-citation.json"} </w:instrText>
      </w:r>
      <w:r w:rsidR="003A0F1D" w:rsidRPr="005770EC">
        <w:rPr>
          <w:rFonts w:ascii="Times New Roman" w:hAnsi="Times New Roman" w:cs="Times New Roman"/>
          <w:sz w:val="24"/>
          <w:szCs w:val="24"/>
        </w:rPr>
        <w:fldChar w:fldCharType="separate"/>
      </w:r>
      <w:r w:rsidR="00B3699E" w:rsidRPr="00B3699E">
        <w:rPr>
          <w:rFonts w:ascii="Times New Roman" w:hAnsi="Times New Roman" w:cs="Times New Roman"/>
          <w:sz w:val="24"/>
        </w:rPr>
        <w:t>(Rampersad &amp; Tennant, 2018)</w:t>
      </w:r>
      <w:r w:rsidR="003A0F1D" w:rsidRPr="005770EC">
        <w:rPr>
          <w:rFonts w:ascii="Times New Roman" w:hAnsi="Times New Roman" w:cs="Times New Roman"/>
          <w:sz w:val="24"/>
          <w:szCs w:val="24"/>
        </w:rPr>
        <w:fldChar w:fldCharType="end"/>
      </w:r>
      <w:r w:rsidR="002D39FE">
        <w:rPr>
          <w:rFonts w:ascii="Times New Roman" w:hAnsi="Times New Roman" w:cs="Times New Roman"/>
          <w:sz w:val="24"/>
          <w:szCs w:val="24"/>
        </w:rPr>
        <w:t>.</w:t>
      </w:r>
      <w:r w:rsidRPr="005770EC">
        <w:rPr>
          <w:rFonts w:ascii="Times New Roman" w:hAnsi="Times New Roman" w:cs="Times New Roman"/>
          <w:sz w:val="24"/>
          <w:szCs w:val="24"/>
        </w:rPr>
        <w:t xml:space="preserve"> When this Recombinant virus is delivered to diseased </w:t>
      </w:r>
      <w:r w:rsidRPr="005770EC">
        <w:rPr>
          <w:rFonts w:ascii="Times New Roman" w:hAnsi="Times New Roman" w:cs="Times New Roman"/>
          <w:sz w:val="24"/>
          <w:szCs w:val="24"/>
        </w:rPr>
        <w:lastRenderedPageBreak/>
        <w:t>tissue then the proliferation of the therapeutic gene gets incorporated into host DNA, leading to the production of normal protein by the process of DNA expression</w:t>
      </w:r>
      <w:r w:rsidR="002D39FE">
        <w:rPr>
          <w:rFonts w:ascii="Times New Roman" w:hAnsi="Times New Roman" w:cs="Times New Roman"/>
          <w:sz w:val="24"/>
          <w:szCs w:val="24"/>
        </w:rPr>
        <w:t xml:space="preserve"> </w:t>
      </w:r>
      <w:r w:rsidR="003A0F1D" w:rsidRPr="005770EC">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{"citationID":"N5nKUSTq","properties":{"formattedCitation":"(Gupta et al., 2016)","plainCitation":"(Gupta et al., 2016)","noteIndex":0},"citationItems":[{"id":183,"uris":["http://zotero.org/users/17126151/items/Y9529JQN"],"itemData":{"id":183,"type":"article-journal","abstract":"The proteins produced in the body control and mediate the metabolic processes and help in its routine functioning. Any kind of impairment in protein production, such as production of mutated protein, or misfolded protein, leads to disruption of the pathway controlled by that protein. This may manifest in the form of the disease. However, these diseases can be treated, by supplying the protein from outside or exogenously. The supply of active exogenous protein requires its production on large scale to fulfill the growing demand. The process is complex, requiring higher protein expression, purification, and processing. Each product needs unique settings or standardizations for large-scale production and purification. As only large-scale production can fulfill the growing demand, thus it needs to be cost-effective. The tools of genetic engineering are utilized to produce the proteins of human origin in bacteria, fungi, insect, or mammalian host. Usage of recombinant DNA technology for large-scale production of proteins requires ample amount of time, labor, and resources, but it also offers many opportunities for economic growth. After reading this chapter, readers would be able to understand the basics about production of recombinant proteins in various hosts along with the advantages and limitations of each host system and properties and production of some of the important pharmaceutical compounds and growth factors.","container-title":"Basic and Applied Aspects of Biotechnology","DOI":"10.1007/978-981-10-0875-7_4","journalAbbreviation":"Basic and Applied Aspects of Biotechnology","note":"PMID: null\nPMCID: PMC7120688","page":"77-101","source":"PubMed Central","title":"Production of Recombinant Pharmaceutical Proteins","author":[{"family":"Gupta","given":"Varsha"},{"family":"Sengupta","given":"Manjistha"},{"family":"Prakash","given":"Jaya"},{"family":"Tripathy","given":"Baishnab Charan"}],"issued":{"date-parts":[["2016",10,23]]}}}],"schema":"https://github.com/citation-style-language/schema/raw/master/csl-citation.json"} </w:instrText>
      </w:r>
      <w:r w:rsidR="003A0F1D" w:rsidRPr="005770EC">
        <w:rPr>
          <w:rFonts w:ascii="Times New Roman" w:hAnsi="Times New Roman" w:cs="Times New Roman"/>
          <w:sz w:val="24"/>
          <w:szCs w:val="24"/>
        </w:rPr>
        <w:fldChar w:fldCharType="separate"/>
      </w:r>
      <w:r w:rsidR="00B3699E" w:rsidRPr="00B3699E">
        <w:rPr>
          <w:rFonts w:ascii="Times New Roman" w:hAnsi="Times New Roman" w:cs="Times New Roman"/>
          <w:sz w:val="24"/>
        </w:rPr>
        <w:t>(Gupta et al., 2016)</w:t>
      </w:r>
      <w:r w:rsidR="003A0F1D" w:rsidRPr="005770EC">
        <w:rPr>
          <w:rFonts w:ascii="Times New Roman" w:hAnsi="Times New Roman" w:cs="Times New Roman"/>
          <w:sz w:val="24"/>
          <w:szCs w:val="24"/>
        </w:rPr>
        <w:fldChar w:fldCharType="end"/>
      </w:r>
      <w:r w:rsidR="002D39FE">
        <w:rPr>
          <w:rFonts w:ascii="Times New Roman" w:hAnsi="Times New Roman" w:cs="Times New Roman"/>
          <w:sz w:val="24"/>
          <w:szCs w:val="24"/>
        </w:rPr>
        <w:t>.</w:t>
      </w:r>
    </w:p>
    <w:p w14:paraId="28BC60FB" w14:textId="77777777" w:rsidR="00CF5882" w:rsidRPr="005770EC" w:rsidRDefault="00F042AE" w:rsidP="005770EC">
      <w:pPr>
        <w:spacing w:line="360" w:lineRule="auto"/>
        <w:jc w:val="both"/>
        <w:rPr>
          <w:rFonts w:ascii="Times New Roman" w:hAnsi="Times New Roman" w:cs="Times New Roman"/>
          <w:b/>
          <w:bCs/>
          <w:sz w:val="24"/>
          <w:szCs w:val="24"/>
        </w:rPr>
      </w:pPr>
      <w:r w:rsidRPr="005770EC">
        <w:rPr>
          <w:rFonts w:ascii="Times New Roman" w:hAnsi="Times New Roman" w:cs="Times New Roman"/>
          <w:b/>
          <w:bCs/>
          <w:sz w:val="24"/>
          <w:szCs w:val="24"/>
        </w:rPr>
        <w:t xml:space="preserve">4. </w:t>
      </w:r>
      <w:r w:rsidR="00CF5882" w:rsidRPr="005770EC">
        <w:rPr>
          <w:rFonts w:ascii="Times New Roman" w:hAnsi="Times New Roman" w:cs="Times New Roman"/>
          <w:b/>
          <w:bCs/>
          <w:sz w:val="24"/>
          <w:szCs w:val="24"/>
        </w:rPr>
        <w:t>The Viral Vector and the Eye</w:t>
      </w:r>
    </w:p>
    <w:p w14:paraId="5DE1575C" w14:textId="77777777" w:rsidR="00CF5882" w:rsidRPr="005770EC" w:rsidRDefault="00CF5882" w:rsidP="005770EC">
      <w:pPr>
        <w:shd w:val="clear" w:color="auto" w:fill="FFFFFF"/>
        <w:spacing w:line="360" w:lineRule="auto"/>
        <w:jc w:val="both"/>
        <w:rPr>
          <w:rFonts w:ascii="Times New Roman" w:eastAsia="Times New Roman" w:hAnsi="Times New Roman" w:cs="Times New Roman"/>
          <w:color w:val="222222"/>
          <w:kern w:val="0"/>
          <w:sz w:val="24"/>
          <w:szCs w:val="24"/>
          <w:lang w:val="en-US"/>
        </w:rPr>
      </w:pPr>
      <w:r w:rsidRPr="005770EC">
        <w:rPr>
          <w:rFonts w:ascii="Times New Roman" w:hAnsi="Times New Roman" w:cs="Times New Roman"/>
          <w:sz w:val="24"/>
          <w:szCs w:val="24"/>
        </w:rPr>
        <w:t>For retinal gene replacement, the recombinant Adeno-Associated Viral (AAV) vector is ideal. Because of its several significant characteristics, the AAV vector is used for ocular gene therapy. AVV is a non-integrating type of vector</w:t>
      </w:r>
      <w:r w:rsidR="002D39FE">
        <w:rPr>
          <w:rFonts w:ascii="Times New Roman" w:hAnsi="Times New Roman" w:cs="Times New Roman"/>
          <w:sz w:val="24"/>
          <w:szCs w:val="24"/>
        </w:rPr>
        <w:t xml:space="preserve"> </w:t>
      </w:r>
      <w:r w:rsidR="003A0F1D" w:rsidRPr="005770EC">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{"citationID":"uWCtWJtO","properties":{"formattedCitation":"(He et al., 2023)","plainCitation":"(He et al., 2023)","noteIndex":0},"citationItems":[{"id":65,"uris":["http://zotero.org/users/17126151/items/VTBZLJ3V"],"itemData":{"id":65,"type":"article-journal","abstract":"Owing to the promising therapeutic effect and one-time treatment advantage, gene therapy may completely change the management of eye diseases, especially retinal diseases. Adeno-associated virus (AAV) is considered one of the most promising viral gene delivery tools because it can infect various types of tissues and is considered as a relatively safe gene delivery vector. The eye is one of the most popular organs for gene therapy, since its limited volume is suitable for small doses of AAV stably transduction. Recently, an increasing number of clinical trials of AAV-mediated gene therapy are underway. This review summarizes the biological functions of AAV and its application in the treatment of various ocular diseases, as well as the characteristics of different AAV delivery routes in clinical applications. Here, the latest research progresses in AAV-mediated gene editing and silencing strategies to modify that the genetic ocular diseases are systematically outlined, especially by base editing and prime editing. We discuss the progress of AAV in ocular optogenetic therapy. We also summarize the application of AAV-mediated gene therapy in animal models and the difficulties in its clinical transformation.","container-title":"Research (Washington, D.C.)","DOI":"10.34133/research.0291","ISSN":"2639-5274","journalAbbreviation":"Research (Wash D C)","language":"eng","note":"PMID: 38188726\nPMCID: PMC10768554","page":"0291","source":"PubMed","title":"AAV for Gene Therapy in Ocular Diseases: Progress and Prospects","title-short":"AAV for Gene Therapy in Ocular Diseases","volume":"6","author":[{"family":"He","given":"Xiaoyu"},{"family":"Fu","given":"Yidian"},{"family":"Ma","given":"Liang"},{"family":"Yao","given":"Yizheng"},{"family":"Ge","given":"Shengfang"},{"family":"Yang","given":"Zhi"},{"family":"Fan","given":"Xianqun"}],"issued":{"date-parts":[["2023"]]}}}],"schema":"https://github.com/citation-style-language/schema/raw/master/csl-citation.json"} </w:instrText>
      </w:r>
      <w:r w:rsidR="003A0F1D" w:rsidRPr="005770EC">
        <w:rPr>
          <w:rFonts w:ascii="Times New Roman" w:hAnsi="Times New Roman" w:cs="Times New Roman"/>
          <w:sz w:val="24"/>
          <w:szCs w:val="24"/>
        </w:rPr>
        <w:fldChar w:fldCharType="separate"/>
      </w:r>
      <w:r w:rsidR="00B3699E" w:rsidRPr="00B3699E">
        <w:rPr>
          <w:rFonts w:ascii="Times New Roman" w:hAnsi="Times New Roman" w:cs="Times New Roman"/>
          <w:sz w:val="24"/>
        </w:rPr>
        <w:t>(He et al., 2023)</w:t>
      </w:r>
      <w:r w:rsidR="003A0F1D" w:rsidRPr="005770EC">
        <w:rPr>
          <w:rFonts w:ascii="Times New Roman" w:hAnsi="Times New Roman" w:cs="Times New Roman"/>
          <w:sz w:val="24"/>
          <w:szCs w:val="24"/>
        </w:rPr>
        <w:fldChar w:fldCharType="end"/>
      </w:r>
      <w:r w:rsidR="002D39FE">
        <w:rPr>
          <w:rFonts w:ascii="Times New Roman" w:hAnsi="Times New Roman" w:cs="Times New Roman"/>
          <w:sz w:val="24"/>
          <w:szCs w:val="24"/>
        </w:rPr>
        <w:t>.</w:t>
      </w:r>
      <w:r w:rsidRPr="005770EC">
        <w:rPr>
          <w:rFonts w:ascii="Times New Roman" w:hAnsi="Times New Roman" w:cs="Times New Roman"/>
          <w:sz w:val="24"/>
          <w:szCs w:val="24"/>
        </w:rPr>
        <w:t xml:space="preserve"> Due to risks involved while delivering the transgene in gene therapy, non-integrating vectors have been chosen in the present techniques and those that will be implemented soon. AAV is a small, single-stranded DNA genome. An icosahedral protein capsid and a single-stranded DNA (ssDNA) genome form an AAV.</w:t>
      </w:r>
      <w:r w:rsidR="00221516" w:rsidRPr="005770EC">
        <w:rPr>
          <w:rFonts w:ascii="Times New Roman" w:hAnsi="Times New Roman" w:cs="Times New Roman"/>
          <w:sz w:val="24"/>
          <w:szCs w:val="24"/>
        </w:rPr>
        <w:t xml:space="preserve"> It</w:t>
      </w:r>
      <w:r w:rsidRPr="005770EC">
        <w:rPr>
          <w:rFonts w:ascii="Times New Roman" w:hAnsi="Times New Roman" w:cs="Times New Roman"/>
          <w:sz w:val="24"/>
          <w:szCs w:val="24"/>
        </w:rPr>
        <w:t xml:space="preserve"> comprises two inverted terminal repeats (ITRs) on either end of the genome that are T-shaped</w:t>
      </w:r>
      <w:r w:rsidR="002D39FE">
        <w:rPr>
          <w:rFonts w:ascii="Times New Roman" w:hAnsi="Times New Roman" w:cs="Times New Roman"/>
          <w:sz w:val="24"/>
          <w:szCs w:val="24"/>
        </w:rPr>
        <w:t xml:space="preserve"> </w:t>
      </w:r>
      <w:r w:rsidR="003A0F1D" w:rsidRPr="005770EC">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{"citationID":"5uYWYmYO","properties":{"formattedCitation":"(Xiang &amp; Hao, 2023)","plainCitation":"(Xiang &amp; Hao, 2023)","noteIndex":0},"citationItems":[{"id":68,"uris":["http://zotero.org/users/17126151/items/TUXVA7EI"],"itemData":{"id":68,"type":"article-journal","abstract":"Adeno-associated virus (AAV) vectors have emerged as the leading delivery platforms for gene therapy. Throughout the life cycle of the virions, the capsid vector carries out diverse functions, ranging from cell surface receptor engagement, cellular entry, endosomal escape, nuclear import to new particle packaging, and assembly. Each of these steps is mediated by exquisite structure features of the viral capsid and its interaction with viral genome, Rep proteins, and cellular organelle and apparatus. In this brief review, we provide an overview of results from over a decade of extensive biophysical studies of the capsid employing various techniques. The remaining unaddressed questions and perspective are also discussed. The detailed understanding of the structure and function interplay would provide insight to the strategy for improving the efficacy and safety of the viral vectors.","container-title":"Journal of Genetic Engineering &amp; Biotechnology","DOI":"10.1186/s43141-023-00518-5","ISSN":"1687-157X","journalAbbreviation":"J Genet Eng Biotechnol","note":"PMID: 37195476\nPMCID: PMC10192463","page":"62","source":"PubMed Central","title":"Biophysical characterization of adeno-associated virus capsid through the viral transduction life cycle","volume":"21","author":[{"family":"Xiang","given":"Yanqiao Shawn"},{"family":"Hao","given":"Gang Gary"}],"issued":{"date-parts":[["2023",5,17]]}}}],"schema":"https://github.com/citation-style-language/schema/raw/master/csl-citation.json"} </w:instrText>
      </w:r>
      <w:r w:rsidR="003A0F1D" w:rsidRPr="005770EC">
        <w:rPr>
          <w:rFonts w:ascii="Times New Roman" w:hAnsi="Times New Roman" w:cs="Times New Roman"/>
          <w:sz w:val="24"/>
          <w:szCs w:val="24"/>
        </w:rPr>
        <w:fldChar w:fldCharType="separate"/>
      </w:r>
      <w:r w:rsidR="00B3699E" w:rsidRPr="00B3699E">
        <w:rPr>
          <w:rFonts w:ascii="Times New Roman" w:hAnsi="Times New Roman" w:cs="Times New Roman"/>
          <w:sz w:val="24"/>
        </w:rPr>
        <w:t>(Xiang &amp; Hao, 2023)</w:t>
      </w:r>
      <w:r w:rsidR="003A0F1D" w:rsidRPr="005770EC">
        <w:rPr>
          <w:rFonts w:ascii="Times New Roman" w:hAnsi="Times New Roman" w:cs="Times New Roman"/>
          <w:sz w:val="24"/>
          <w:szCs w:val="24"/>
        </w:rPr>
        <w:fldChar w:fldCharType="end"/>
      </w:r>
      <w:r w:rsidR="002D39FE">
        <w:rPr>
          <w:rFonts w:ascii="Times New Roman" w:hAnsi="Times New Roman" w:cs="Times New Roman"/>
          <w:sz w:val="24"/>
          <w:szCs w:val="24"/>
        </w:rPr>
        <w:t>.</w:t>
      </w:r>
      <w:r w:rsidRPr="005770EC">
        <w:rPr>
          <w:rFonts w:ascii="Times New Roman" w:hAnsi="Times New Roman" w:cs="Times New Roman"/>
          <w:sz w:val="24"/>
          <w:szCs w:val="24"/>
        </w:rPr>
        <w:t xml:space="preserve"> Although numerous other AAV serotypes have been discovered, AAV2, AAV5, and AAV8 have been the most extensively studied in ocular gene treatments</w:t>
      </w:r>
      <w:r w:rsidR="002D39FE">
        <w:rPr>
          <w:rFonts w:ascii="Times New Roman" w:hAnsi="Times New Roman" w:cs="Times New Roman"/>
          <w:sz w:val="24"/>
          <w:szCs w:val="24"/>
        </w:rPr>
        <w:t xml:space="preserve"> </w:t>
      </w:r>
      <w:r w:rsidR="003A0F1D" w:rsidRPr="005770EC">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{"citationID":"8ZegCyb2","properties":{"formattedCitation":"(Issa et al., 2023)","plainCitation":"(Issa et al., 2023)","noteIndex":0},"citationItems":[{"id":71,"uris":["http://zotero.org/users/17126151/items/C9HGTUZQ"],"itemData":{"id":71,"type":"article-journal","abstract":"Despite scientific discoveries in the field of gene and cell therapy, some diseases still have no effective treatment. Advances in genetic engineering methods have enabled the development of effective gene therapy methods for various diseases based on adeno-associated viruses (AAVs). Today, many AAV-based gene therapy medications are being investigated in preclinical and clinical trials, and new ones are appearing on the market. In this article, we present a review of AAV discovery, properties, different serotypes, and tropism, and a following detailed explanation of their uses in gene therapy for disease of different organs and systems.","container-title":"Cells","DOI":"10.3390/cells12050785","ISSN":"2073-4409","issue":"5","journalAbbreviation":"Cells","note":"PMID: 36899921\nPMCID: PMC10000783","page":"785","source":"PubMed Central","title":"Various AAV Serotypes and Their Applications in Gene Therapy: An Overview","title-short":"Various AAV Serotypes and Their Applications in Gene Therapy","volume":"12","author":[{"family":"Issa","given":"Shaza S."},{"family":"Shaimardanova","given":"Alisa A."},{"family":"Solovyeva","given":"Valeriya V."},{"family":"Rizvanov","given":"Albert A."}],"issued":{"date-parts":[["2023",3,1]]}}}],"schema":"https://github.com/citation-style-language/schema/raw/master/csl-citation.json"} </w:instrText>
      </w:r>
      <w:r w:rsidR="003A0F1D" w:rsidRPr="005770EC">
        <w:rPr>
          <w:rFonts w:ascii="Times New Roman" w:hAnsi="Times New Roman" w:cs="Times New Roman"/>
          <w:sz w:val="24"/>
          <w:szCs w:val="24"/>
        </w:rPr>
        <w:fldChar w:fldCharType="separate"/>
      </w:r>
      <w:r w:rsidR="00B3699E" w:rsidRPr="00B3699E">
        <w:rPr>
          <w:rFonts w:ascii="Times New Roman" w:hAnsi="Times New Roman" w:cs="Times New Roman"/>
          <w:sz w:val="24"/>
        </w:rPr>
        <w:t>(Issa et al., 2023)</w:t>
      </w:r>
      <w:r w:rsidR="003A0F1D" w:rsidRPr="005770EC">
        <w:rPr>
          <w:rFonts w:ascii="Times New Roman" w:hAnsi="Times New Roman" w:cs="Times New Roman"/>
          <w:sz w:val="24"/>
          <w:szCs w:val="24"/>
        </w:rPr>
        <w:fldChar w:fldCharType="end"/>
      </w:r>
      <w:r w:rsidR="002D39FE">
        <w:rPr>
          <w:rFonts w:ascii="Times New Roman" w:hAnsi="Times New Roman" w:cs="Times New Roman"/>
          <w:sz w:val="24"/>
          <w:szCs w:val="24"/>
        </w:rPr>
        <w:t>.</w:t>
      </w:r>
      <w:r w:rsidRPr="005770EC">
        <w:rPr>
          <w:rFonts w:ascii="Times New Roman" w:hAnsi="Times New Roman" w:cs="Times New Roman"/>
          <w:sz w:val="24"/>
          <w:szCs w:val="24"/>
        </w:rPr>
        <w:t xml:space="preserve"> When humans are injected with AAV vectors, their antigen-specific T cells become activated. The reduced capacity of the parent virus to infect antigen-presenting cells results in a limited immune response</w:t>
      </w:r>
      <w:r w:rsidR="002D39FE">
        <w:rPr>
          <w:rFonts w:ascii="Times New Roman" w:hAnsi="Times New Roman" w:cs="Times New Roman"/>
          <w:sz w:val="24"/>
          <w:szCs w:val="24"/>
        </w:rPr>
        <w:t xml:space="preserve"> </w:t>
      </w:r>
      <w:r w:rsidR="003A0F1D" w:rsidRPr="005770EC">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{"citationID":"PXItSA70","properties":{"formattedCitation":"(Ronzitti et al., 2020)","plainCitation":"(Ronzitti et al., 2020)","noteIndex":0},"citationItems":[{"id":74,"uris":["http://zotero.org/users/17126151/items/RUKK39LE"],"itemData":{"id":74,"type":"article-journal","abstract":"Recombinant adeno-associated virus (rAAV) vectors are one of the most promising in vivo gene delivery tools. Several features make rAAV vectors an ideal platform for gene transfer. However, the high homology with the parental wild-type virus, which often infects humans, poses limitations in terms of immune responses associated with this vector platform. Both humoral and cell-mediated immunity to wild-type AAV have been documented in healthy donors, and, at least in the case of anti-AAV antibodies, have been shown to have a potentially high impact on the outcome of gene transfer. While several factors can contribute to the overall immunogenicity of rAAV vectors, vector design and the total vector dose appear to be responsible of immune-mediated toxicities. While preclinical models have been less than ideal in predicting the outcome of gene transfer in humans, the current preclinical body of evidence clearly demonstrates that rAAV vectors can trigger both innate and adaptive immune responses. Data gathered from clinical trials offers key learnings on the immunogenicity of AAV vectors, highlighting challenges as well as the potential strategies that could help unlock the full therapeutic potential of in vivo gene transfer.","container-title":"Frontiers in Immunology","DOI":"10.3389/fimmu.2020.00670","ISSN":"1664-3224","journalAbbreviation":"Front Immunol","note":"PMID: 32362898\nPMCID: PMC7181373","page":"670","source":"PubMed Central","title":"Human Immune Responses to Adeno-Associated Virus (AAV) Vectors","volume":"11","author":[{"family":"Ronzitti","given":"Giuseppe"},{"family":"Gross","given":"David-Alexandre"},{"family":"Mingozzi","given":"Federico"}],"issued":{"date-parts":[["2020",4,17]]}}}],"schema":"https://github.com/citation-style-language/schema/raw/master/csl-citation.json"} </w:instrText>
      </w:r>
      <w:r w:rsidR="003A0F1D" w:rsidRPr="005770EC">
        <w:rPr>
          <w:rFonts w:ascii="Times New Roman" w:hAnsi="Times New Roman" w:cs="Times New Roman"/>
          <w:sz w:val="24"/>
          <w:szCs w:val="24"/>
        </w:rPr>
        <w:fldChar w:fldCharType="separate"/>
      </w:r>
      <w:r w:rsidR="00B3699E" w:rsidRPr="00B3699E">
        <w:rPr>
          <w:rFonts w:ascii="Times New Roman" w:hAnsi="Times New Roman" w:cs="Times New Roman"/>
          <w:sz w:val="24"/>
        </w:rPr>
        <w:t>(Ronzitti et al., 2020)</w:t>
      </w:r>
      <w:r w:rsidR="003A0F1D" w:rsidRPr="005770EC">
        <w:rPr>
          <w:rFonts w:ascii="Times New Roman" w:hAnsi="Times New Roman" w:cs="Times New Roman"/>
          <w:sz w:val="24"/>
          <w:szCs w:val="24"/>
        </w:rPr>
        <w:fldChar w:fldCharType="end"/>
      </w:r>
      <w:r w:rsidR="002D39FE">
        <w:rPr>
          <w:rFonts w:ascii="Times New Roman" w:hAnsi="Times New Roman" w:cs="Times New Roman"/>
          <w:sz w:val="24"/>
          <w:szCs w:val="24"/>
        </w:rPr>
        <w:t>.</w:t>
      </w:r>
      <w:r w:rsidRPr="005770EC">
        <w:rPr>
          <w:rFonts w:ascii="Times New Roman" w:hAnsi="Times New Roman" w:cs="Times New Roman"/>
          <w:sz w:val="24"/>
          <w:szCs w:val="24"/>
        </w:rPr>
        <w:t xml:space="preserve"> </w:t>
      </w:r>
      <w:r w:rsidR="005770EC" w:rsidRPr="005770EC">
        <w:rPr>
          <w:rFonts w:ascii="Times New Roman" w:eastAsia="Times New Roman" w:hAnsi="Times New Roman" w:cs="Times New Roman"/>
          <w:color w:val="222222"/>
          <w:kern w:val="0"/>
          <w:sz w:val="24"/>
          <w:szCs w:val="24"/>
        </w:rPr>
        <w:t>Post-operation, a Broad range of immunosuppressants is prescribed to the patient as the body is at high risk. Recent strategies of gene therapy with AAV vectors have created the possibility of therapeutic gene manipulations with minimal concerns for inflammatory and immune reactions and with maximal efficacy. The limitation of AAV is that it cannot package a 4.8 kb longer DNA fragment</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{"citationID":"4JHAxm1t","properties":{"formattedCitation":"(Naso et al., 2017; {\\i{}Packaging Capacity of Adeno-Associated Virus Serotypes: Impact of Larger Genomes on Infectivity and Postentry Steps | Journal of Virology}, n.d.)","plainCitation":"(Naso et al., 2017; Packaging Capacity of Adeno-Associated Virus Serotypes: Impact of Larger Genomes on Infectivity and Postentry Steps | Journal of Virology, n.d.)","noteIndex":0},"citationItems":[{"id":185,"uris":["http://zotero.org/users/17126151/items/KTK4JISM"],"itemData":{"id":185,"type":"article-journal","abstract":"There has been a resurgence in gene therapy efforts that is partly fueled by the identification and understanding of new gene delivery vectors. Adeno-associated virus (AAV) is a non-enveloped virus that can be engineered to deliver DNA to target cells, and has attracted a significant amount of attention in the field, especially in clinical-stage experimental therapeutic strategies. The ability to generate recombinant AAV particles lacking any viral genes and containing DNA sequences of interest for various therapeutic applications has thus far proven to be one of the safest strategies for gene therapies. This review will provide an overview of some important factors to consider in the use of AAV as a vector for gene therapy.","container-title":"Biodrugs","DOI":"10.1007/s40259-017-0234-5","ISSN":"1173-8804","issue":"4","journalAbbreviation":"BioDrugs","note":"PMID: 28669112\nPMCID: PMC5548848","page":"317-334","source":"PubMed Central","title":"Adeno-Associated Virus (AAV) as a Vector for Gene Therapy","volume":"31","author":[{"family":"Naso","given":"Michael F."},{"family":"Tomkowicz","given":"Brian"},{"family":"Perry","given":"William L."},{"family":"Strohl","given":"William R."}],"issued":{"date-parts":[["2017"]]}}},{"id":"1bYYoRFa/pAT6u9d8","uris":["http://zotero.org/users/15401920/items/DDS9ETJI"],"itemData":{"id":1179,"type":"webpage","title":"Packaging Capacity of Adeno-Associated Virus Serotypes: Impact of Larger Genomes on Infectivity and Postentry Steps | Journal of Virology","URL":"https://journals.asm.org/doi/10.1128/jvi.79.15.9933-9944.2005"}}],"schema":"https://github.com/citation-style-language/schema/raw/master/csl-citation.json"}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kern w:val="0"/>
          <w:sz w:val="24"/>
        </w:rPr>
        <w:t xml:space="preserve">(Naso et al., 2017; </w:t>
      </w:r>
      <w:r w:rsidR="00B3699E" w:rsidRPr="00B3699E">
        <w:rPr>
          <w:rFonts w:ascii="Times New Roman" w:hAnsi="Times New Roman" w:cs="Times New Roman"/>
          <w:i/>
          <w:iCs/>
          <w:kern w:val="0"/>
          <w:sz w:val="24"/>
        </w:rPr>
        <w:t>Packaging Capacity of Adeno-Associated Virus Serotypes: Impact of Larger Genomes on Infectivity and Postentry Steps | Journal of Virology</w:t>
      </w:r>
      <w:r w:rsidR="00B3699E" w:rsidRPr="00B3699E">
        <w:rPr>
          <w:rFonts w:ascii="Times New Roman" w:hAnsi="Times New Roman" w:cs="Times New Roman"/>
          <w:kern w:val="0"/>
          <w:sz w:val="24"/>
        </w:rPr>
        <w:t>, n.d.)</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p>
    <w:p w14:paraId="28E14245" w14:textId="77777777" w:rsidR="00CF5882" w:rsidRPr="00D017CD" w:rsidRDefault="00CF5882" w:rsidP="00C30F5C">
      <w:pPr>
        <w:spacing w:line="360" w:lineRule="auto"/>
        <w:jc w:val="both"/>
        <w:rPr>
          <w:rFonts w:ascii="Times New Roman" w:hAnsi="Times New Roman" w:cs="Times New Roman"/>
          <w:sz w:val="24"/>
          <w:szCs w:val="24"/>
        </w:rPr>
      </w:pPr>
      <w:r w:rsidRPr="00D017CD">
        <w:rPr>
          <w:rFonts w:ascii="Times New Roman" w:hAnsi="Times New Roman" w:cs="Times New Roman"/>
          <w:sz w:val="24"/>
          <w:szCs w:val="24"/>
        </w:rPr>
        <w:t>Dr Kiss helped design RGX-314 and ADVM-022, a Vector that works as a carrier for protein-coding genetic sequences. Sequences that allow the genetic material to take over the cellular machinery of the targeted cell, which is being transduced to make the desired protein, are the promoter, enhancer, and ITRs</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{"citationID":"PdHUxqJt","properties":{"formattedCitation":"(Blasiak et al., 2024)","plainCitation":"(Blasiak et al., 2024)","noteIndex":0},"citationItems":[{"id":205,"uris":["http://zotero.org/users/17126151/items/5Y74RY8X"],"itemData":{"id":205,"type":"article-journal","abstract":"Age-related macular degeneration (AMD) is an eye disease and the most common cause of vision loss in the Western World. In its advanced stage, AMD occurs in two clinically distinguished forms, dry and wet, but only wet AMD is treatable. However, the treatment based on repeated injections with vascular endothelial growth factor A (VEGFA) antagonists may at best stop the disease progression and prevent or delay vision loss but without an improvement of visual dysfunction. Moreover, it is a serious mental and financial burden for patients and may be linked with some complications. The recent first success of intravitreal gene therapy with ADVM-022, which transformed retinal cells to continuous production of aflibercept, a VEGF antagonist, after a single injection, has opened a revolutionary perspective in wet AMD treatment. Promising results obtained so far in other ongoing clinical trials support this perspective. In this narrative/hypothesis review, we present basic information on wet AMD pathogenesis and treatment, the concept of gene therapy in retinal diseases, update evidence on completed and ongoing clinical trials with gene therapy for wet AMD, and perspectives on the progress to the clinic of “one and done” therapy for wet AMD to replace a lifetime of injections. Gene editing targeting the VEGFA gene is also presented as another gene therapy strategy to improve wet AMD management.","container-title":"International Journal of Molecular Sciences","DOI":"10.3390/ijms25042386","ISSN":"1422-0067","issue":"4","journalAbbreviation":"Int J Mol Sci","note":"PMID: 38397064\nPMCID: PMC10888617","page":"2386","source":"PubMed Central","title":"A New Generation of Gene Therapies as the Future of Wet AMD Treatment","volume":"25","author":[{"family":"Blasiak","given":"Janusz"},{"family":"Pawlowska","given":"Elzbieta"},{"family":"Ciupińska","given":"Justyna"},{"family":"Derwich","given":"Marcin"},{"family":"Szczepanska","given":"Joanna"},{"family":"Kaarniranta","given":"Kai"}],"issued":{"date-parts":[["2024",2,17]]}}}],"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(Blasiak et al., 2024)</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Pr="00D017CD">
        <w:rPr>
          <w:rFonts w:ascii="Times New Roman" w:hAnsi="Times New Roman" w:cs="Times New Roman"/>
          <w:sz w:val="24"/>
          <w:szCs w:val="24"/>
        </w:rPr>
        <w:t xml:space="preserve"> The vector, also known as the capsid, is the shell of a virus; it binds to the receptors on the target cell and then injects its genetic content</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{"citationID":"xDARKtEh","properties":{"formattedCitation":"(Drouin &amp; Agbandje-McKenna, 2013)","plainCitation":"(Drouin &amp; Agbandje-McKenna, 2013)","noteIndex":0},"citationItems":[{"id":86,"uris":["http://zotero.org/users/17126151/items/ZAQX4TKU"],"itemData":{"id":86,"type":"article-journal","abstract":"Adeno-associated viruses (AAVs) have become important therapeutic gene delivery vectors in recent years. However, there are challenges, including intractable tissues/cell types and pre-existing immune responses, which need to be overcome for full ...","container-title":"Future virology","DOI":"10.2217/fvl.13.112","issue":"12","language":"en","note":"PMID: 24533032","page":"1183","source":"pmc.ncbi.nlm.nih.gov","title":"Adeno-associated virus structural biology as a tool in vector development","volume":"8","author":[{"family":"Drouin","given":"Lauren M."},{"family":"Agbandje-McKenna","given":"Mavis"}],"issued":{"date-parts":[["2013",12]]}}}],"schema":"https://github.com/citation-style-language/schema/raw/master/csl-citation.json"}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(Drouin &amp; Agbandje-McKenna, 2013)</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Pr="00D017CD">
        <w:rPr>
          <w:rFonts w:ascii="Times New Roman" w:hAnsi="Times New Roman" w:cs="Times New Roman"/>
          <w:sz w:val="24"/>
          <w:szCs w:val="24"/>
        </w:rPr>
        <w:t xml:space="preserve"> Genetic material coding DNA – RGX-314 and ADVM-022 022, called cDNA, which enables precise gene delivery and expression</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{"citationID":"UsKe0sa0","properties":{"formattedCitation":"(Hushmandi et al., 2025)","plainCitation":"(Hushmandi et al., 2025)","noteIndex":0},"citationItems":[{"id":"1bYYoRFa/u7mJyl5z","uris":["http://zotero.org/users/15401920/items/6SDL525G"],"itemData":{"id":1225,"type":"article-journal","abstract":"Age-related macular degeneration (AMD) is a leading cause of central vision loss, progressively impairing the retina and affecting millions worldwide. By 2040, global cases of AMD are projected to reach 300 million, posing a significant public health challenge. While early AMD may only cause mild visual impairment, advanced stages, particularly neovascular (wet) and non-neovascular (dry) AMD, can lead to severe vision loss or legal blindness, substantially affecting daily life. The introduction of anti-angiogenic therapies has revolutionized wet AMD treatment, offering a high probability of preserving or improving vision. However, these therapies do not halt AMD progression, and no definitive treatments exist for dry AMD. The limitations of current therapies, such as frequent injections and treatment resistance, underscore the urgent need for novel strategies. Gene therapy, which has shown success in treating other hereditary retinal diseases, offers a promising long-term solution for AMD by targeting retinal cells to produce therapeutic proteins. This review explores the potential of gene therapy for AMD, examining recent clinical trials and future treatment directions.","container-title":"Cell Communication and Signaling : CCS","DOI":"10.1186/s12964-025-02246-4","ISSN":"1478-811X","journalAbbreviation":"Cell Commun Signal","note":"PMID: 40394614\nPMCID: PMC12090701","page":"233","source":"PubMed Central","title":"Gene therapy for age-related macular degeneration: a promising frontier in vision preservation","title-short":"Gene therapy for age-related macular degeneration","volume":"23","author":[{"family":"Hushmandi","given":"Kiavash"},{"family":"Lam","given":"Hiu Yan"},{"family":"Wong","given":"Wendy Meihua"},{"family":"Tan","given":"Wency"},{"family":"Daryabari","given":"Seyed-Hashem"},{"family":"Reiter","given":"Russel J."},{"family":"Farahani","given":"Najma"},{"family":"Kumar","given":"Alan Prem"}],"issued":{"date-parts":[["2025",5,20]]}}}],"schema":"https://github.com/citation-style-language/schema/raw/master/csl-citation.json"}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(Hushmandi et al., 2025)</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Pr="00D017CD">
        <w:rPr>
          <w:rFonts w:ascii="Times New Roman" w:hAnsi="Times New Roman" w:cs="Times New Roman"/>
          <w:sz w:val="24"/>
          <w:szCs w:val="24"/>
        </w:rPr>
        <w:t xml:space="preserve"> Either end is are ITRs that facilitate the integration of therapeutic genes into the host cell’s genome. A promoter that defines the transcription start site determines the level of gene expression, and an Enhancer increases promoter activity. </w:t>
      </w:r>
      <w:r w:rsidRPr="00D017CD">
        <w:rPr>
          <w:rFonts w:ascii="Times New Roman" w:hAnsi="Times New Roman" w:cs="Times New Roman"/>
          <w:sz w:val="24"/>
          <w:szCs w:val="24"/>
        </w:rPr>
        <w:lastRenderedPageBreak/>
        <w:t>Transgene is the protein itself, which we are trying to make in the case of RGX-314 and ADVM-022; these are anti-VEGF</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{"citationID":"EntoAWnb","properties":{"formattedCitation":"(Buck &amp; Wijnholds, 2020)","plainCitation":"(Buck &amp; Wijnholds, 2020)","noteIndex":0},"citationItems":[{"id":"1bYYoRFa/GuX2bgJA","uris":["http://zotero.org/users/15401920/items/AZSDEWX9"],"itemData":{"id":1227,"type":"article-journal","abstract":"Inherited retinal dystrophies and optic neuropathies cause chronic disabling loss of visual function. The development of recombinant adeno-associated viral vectors (rAAV) gene therapies in all disease fields have been promising, but the translation to the clinic has been slow. The safety and efficacy profiles of rAAV are linked to the dose of applied vectors. DNA changes in the rAAV gene cassette affect potency, the expression pattern (cell-specificity), and the production yield. Here, we present a library of rAAV vectors and elements that provide a workflow to design novel vectors. We first performed a meta-analysis on recombinant rAAV elements in clinical trials (2007–2020) for ocular gene therapies. We analyzed 33 unique rAAV gene cassettes used in 57 ocular clinical trials. The rAAV gene therapy vectors used six unique capsid variants, 16 different promoters, and six unique polyadenylation sequences. Further, we compiled a list of promoters, enhancers, and other sequences used in current rAAV gene cassettes in preclinical studies. Then, we give an update on pro-viral plasmid backbones used to produce the gene therapy vectors, inverted terminal repeats, production yield, and rAAV safety considerations. Finally, we assess rAAV transgene and bioactivity assays applied to cells or organoids in vitro, explants ex vivo, and clinical studies.","container-title":"International Journal of Molecular Sciences","DOI":"10.3390/ijms21124197","ISSN":"1422-0067","issue":"12","journalAbbreviation":"Int J Mol Sci","note":"PMID: 32545533\nPMCID: PMC7352801","page":"4197","source":"PubMed Central","title":"Recombinant Adeno-Associated Viral Vectors (rAAV)-Vector Elements in Ocular Gene Therapy Clinical Trials and Transgene Expression and Bioactivity Assays","volume":"21","author":[{"family":"Buck","given":"Thilo M."},{"family":"Wijnholds","given":"Jan"}],"issued":{"date-parts":[["2020",6,12]]}}}],"schema":"https://github.com/citation-style-language/schema/raw/master/csl-citation.json"}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(Buck &amp; Wijnholds, 2020)</w:t>
      </w:r>
      <w:r w:rsidR="003A0F1D" w:rsidRPr="00D017CD">
        <w:rPr>
          <w:rFonts w:ascii="Times New Roman" w:hAnsi="Times New Roman" w:cs="Times New Roman"/>
          <w:sz w:val="24"/>
          <w:szCs w:val="24"/>
        </w:rPr>
        <w:fldChar w:fldCharType="end"/>
      </w:r>
      <w:r w:rsidR="00532249">
        <w:rPr>
          <w:rFonts w:ascii="Times New Roman" w:hAnsi="Times New Roman" w:cs="Times New Roman"/>
          <w:sz w:val="24"/>
          <w:szCs w:val="24"/>
        </w:rPr>
        <w:t xml:space="preserve">, </w:t>
      </w:r>
      <w:r w:rsidR="00DD1175" w:rsidRPr="00D017CD">
        <w:rPr>
          <w:rFonts w:ascii="Times New Roman" w:hAnsi="Times New Roman" w:cs="Times New Roman"/>
          <w:sz w:val="24"/>
          <w:szCs w:val="24"/>
        </w:rPr>
        <w:t xml:space="preserve">as shown in </w:t>
      </w:r>
      <w:r w:rsidR="003831F8">
        <w:rPr>
          <w:rFonts w:ascii="Times New Roman" w:hAnsi="Times New Roman" w:cs="Times New Roman"/>
          <w:b/>
          <w:bCs/>
          <w:sz w:val="24"/>
          <w:szCs w:val="24"/>
        </w:rPr>
        <w:t>Fig. 3</w:t>
      </w:r>
      <w:r w:rsidRPr="00D017CD">
        <w:rPr>
          <w:rFonts w:ascii="Times New Roman" w:hAnsi="Times New Roman" w:cs="Times New Roman"/>
          <w:sz w:val="24"/>
          <w:szCs w:val="24"/>
        </w:rPr>
        <w:t>. AVV vectors are small in size, having a broad cell type range, high cloning capacity, transduction capacity, low immunogenicity with long long-term expression. These are classified as first, second, and third generation viral vectors. First-generation viral vectors have limited use because they activate inflammatory responses, while the second generation of viral vectors is less immunogenic, and third-generation viral vectors are safest</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{"citationID":"pkeZW8Ip","properties":{"formattedCitation":"(Bulcha et al., 2021)","plainCitation":"(Bulcha et al., 2021)","noteIndex":0},"citationItems":[{"id":"1bYYoRFa/q4qjW7qu","uris":["http://zotero.org/users/15401920/items/5Z283R2V"],"itemData":{"id":1217,"type":"article-journal","abstract":"Throughout its 40-year history, the field of gene therapy has been marked by many transitions. It has seen great strides in combating human disease, has given hope to patients and families with limited treatment options, but has also been subject to many setbacks. Treatment of patients with this class of investigational drugs has resulted in severe adverse effects and, even in rare cases, death. At the heart of this dichotomous field are the viral-based vectors, the delivery vehicles that have allowed researchers and clinicians to develop powerful drug platforms, and have radically changed the face of medicine. Within the past 5 years, the gene therapy field has seen a wave of drugs based on viral vectors that have gained regulatory approval that come in a variety of designs and purposes. These modalities range from vector-based cancer therapies, to treating monogenic diseases with life-altering outcomes. At present, the three key vector strategies are based on adenoviruses, adeno-associated viruses, and lentiviruses. They have led the way in preclinical and clinical successes in the past two decades. However, despite these successes, many challenges still limit these approaches from attaining their full potential. To review the viral vector-based gene therapy landscape, we focus on these three highly regarded vector platforms and describe mechanisms of action and their roles in treating human disease.","container-title":"Signal Transduction and Targeted Therapy","DOI":"10.1038/s41392-021-00487-6","ISSN":"2059-3635","issue":"1","journalAbbreviation":"Sig Transduct Target Ther","language":"en","license":"2021 The Author(s)","note":"publisher: Nature Publishing Group","page":"1-24","source":"www.nature.com","title":"Viral vector platforms within the gene therapy landscape","volume":"6","author":[{"family":"Bulcha","given":"Jote T."},{"family":"Wang","given":"Yi"},{"family":"Ma","given":"Hong"},{"family":"Tai","given":"Phillip W. L."},{"family":"Gao","given":"Guangping"}],"issued":{"date-parts":[["2021",2,8]]}}}],"schema":"https://github.com/citation-style-language/schema/raw/master/csl-citation.json"}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(Bulcha et al., 2021)</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p>
    <w:p w14:paraId="64B82B21" w14:textId="77777777" w:rsidR="00CF5882" w:rsidRPr="00D017CD" w:rsidRDefault="00F10C78" w:rsidP="00F10C78">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3BD3C0" wp14:editId="303742EC">
            <wp:extent cx="5938102" cy="3340100"/>
            <wp:effectExtent l="0" t="0" r="0" b="0"/>
            <wp:docPr id="1797923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23891" name="Picture 17979238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253" cy="3340747"/>
                    </a:xfrm>
                    <a:prstGeom prst="rect">
                      <a:avLst/>
                    </a:prstGeom>
                  </pic:spPr>
                </pic:pic>
              </a:graphicData>
            </a:graphic>
          </wp:inline>
        </w:drawing>
      </w:r>
    </w:p>
    <w:p w14:paraId="085B7792" w14:textId="77777777" w:rsidR="00CF5882" w:rsidRPr="00D017CD" w:rsidRDefault="00CF5882" w:rsidP="00C30F5C">
      <w:pPr>
        <w:spacing w:line="360" w:lineRule="auto"/>
        <w:jc w:val="both"/>
        <w:rPr>
          <w:rFonts w:ascii="Times New Roman" w:hAnsi="Times New Roman" w:cs="Times New Roman"/>
          <w:sz w:val="24"/>
          <w:szCs w:val="24"/>
        </w:rPr>
      </w:pPr>
      <w:r w:rsidRPr="00D017CD">
        <w:rPr>
          <w:rFonts w:ascii="Times New Roman" w:hAnsi="Times New Roman" w:cs="Times New Roman"/>
          <w:b/>
          <w:bCs/>
          <w:sz w:val="24"/>
          <w:szCs w:val="24"/>
        </w:rPr>
        <w:t>Fig</w:t>
      </w:r>
      <w:r w:rsidR="00F10C78">
        <w:rPr>
          <w:rFonts w:ascii="Times New Roman" w:hAnsi="Times New Roman" w:cs="Times New Roman"/>
          <w:b/>
          <w:bCs/>
          <w:sz w:val="24"/>
          <w:szCs w:val="24"/>
        </w:rPr>
        <w:t>. 3.</w:t>
      </w:r>
      <w:r w:rsidR="00532249">
        <w:rPr>
          <w:rFonts w:ascii="Times New Roman" w:hAnsi="Times New Roman" w:cs="Times New Roman"/>
          <w:b/>
          <w:bCs/>
          <w:sz w:val="24"/>
          <w:szCs w:val="24"/>
        </w:rPr>
        <w:t xml:space="preserve"> </w:t>
      </w:r>
      <w:r w:rsidRPr="00D017CD">
        <w:rPr>
          <w:rFonts w:ascii="Times New Roman" w:hAnsi="Times New Roman" w:cs="Times New Roman"/>
          <w:sz w:val="24"/>
          <w:szCs w:val="24"/>
        </w:rPr>
        <w:t xml:space="preserve">Representing the genetic coding of adeno-associated virus. Cloning with the wild-type AAV genome. To insert a therapeutic gene, it deletes the original viral gene. Add promoter and enhancer, which control gene expression in a target cell as a regulatory element. Transfecting packaging cells involves introducing DNA into retinal cells that are packaged with </w:t>
      </w:r>
      <w:proofErr w:type="spellStart"/>
      <w:r w:rsidRPr="00D017CD">
        <w:rPr>
          <w:rFonts w:ascii="Times New Roman" w:hAnsi="Times New Roman" w:cs="Times New Roman"/>
          <w:sz w:val="24"/>
          <w:szCs w:val="24"/>
        </w:rPr>
        <w:t>rAAV</w:t>
      </w:r>
      <w:proofErr w:type="spellEnd"/>
      <w:r w:rsidRPr="00D017CD">
        <w:rPr>
          <w:rFonts w:ascii="Times New Roman" w:hAnsi="Times New Roman" w:cs="Times New Roman"/>
          <w:sz w:val="24"/>
          <w:szCs w:val="24"/>
        </w:rPr>
        <w:t xml:space="preserve"> Vector and purifying </w:t>
      </w:r>
      <w:proofErr w:type="spellStart"/>
      <w:r w:rsidRPr="00D017CD">
        <w:rPr>
          <w:rFonts w:ascii="Times New Roman" w:hAnsi="Times New Roman" w:cs="Times New Roman"/>
          <w:sz w:val="24"/>
          <w:szCs w:val="24"/>
        </w:rPr>
        <w:t>rAAV</w:t>
      </w:r>
      <w:proofErr w:type="spellEnd"/>
      <w:r w:rsidRPr="00D017CD">
        <w:rPr>
          <w:rFonts w:ascii="Times New Roman" w:hAnsi="Times New Roman" w:cs="Times New Roman"/>
          <w:sz w:val="24"/>
          <w:szCs w:val="24"/>
        </w:rPr>
        <w:t xml:space="preserve"> Vector.</w:t>
      </w:r>
    </w:p>
    <w:p w14:paraId="3806C2B4" w14:textId="77777777" w:rsidR="00CF5882" w:rsidRPr="00D017CD" w:rsidRDefault="00CF5882" w:rsidP="00C30F5C">
      <w:pPr>
        <w:spacing w:line="360" w:lineRule="auto"/>
        <w:jc w:val="both"/>
        <w:rPr>
          <w:rFonts w:ascii="Times New Roman" w:hAnsi="Times New Roman" w:cs="Times New Roman"/>
          <w:b/>
          <w:bCs/>
          <w:sz w:val="24"/>
          <w:szCs w:val="24"/>
        </w:rPr>
      </w:pPr>
      <w:r w:rsidRPr="00D017CD">
        <w:rPr>
          <w:rFonts w:ascii="Times New Roman" w:hAnsi="Times New Roman" w:cs="Times New Roman"/>
          <w:b/>
          <w:bCs/>
          <w:sz w:val="24"/>
          <w:szCs w:val="24"/>
        </w:rPr>
        <w:t>4.1 Genetic Background</w:t>
      </w:r>
    </w:p>
    <w:p w14:paraId="766842BD" w14:textId="77777777" w:rsidR="00CF5882" w:rsidRPr="008B35EA" w:rsidRDefault="00CF5882" w:rsidP="008B35EA">
      <w:pPr>
        <w:spacing w:line="360" w:lineRule="auto"/>
        <w:jc w:val="both"/>
        <w:rPr>
          <w:rFonts w:ascii="Times New Roman" w:hAnsi="Times New Roman" w:cs="Times New Roman"/>
          <w:sz w:val="24"/>
          <w:szCs w:val="24"/>
        </w:rPr>
      </w:pPr>
      <w:r w:rsidRPr="00D017CD">
        <w:rPr>
          <w:rFonts w:ascii="Times New Roman" w:hAnsi="Times New Roman" w:cs="Times New Roman"/>
          <w:sz w:val="24"/>
          <w:szCs w:val="24"/>
        </w:rPr>
        <w:t>CFH is located on chromosome 1, while ARMS2 and HTRA1 are both on chromosome 10. The CHF version is primarily connected to the presence of drusen in the retina</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{"citationID":"Oy12lmJA","properties":{"formattedCitation":"(Schmitz-Valckenberg et al., 2022)","plainCitation":"(Schmitz-Valckenberg et al., 2022)","noteIndex":0},"citationItems":[{"id":93,"uris":["http://zotero.org/users/17126151/items/2HFYH3XM"],"itemData":{"id":93,"type":"article-journal","abstract":"IMPORTANCE: Age-related macular degeneration (AMD) is a common cause of irreversible vision loss among individuals older than 50 years. Although considerable advances have been made in our understanding of AMD genetics, the differential effects of major associated loci on disease manifestation and progression may not be well characterized.\nOBJECTIVE: To elucidate the specific associations of the 2 most common genetic risk loci for AMD, the CFH-CFHR5 locus on chromosome 1q32 (Chr1) and the ARMS2/HTRA1 locus on chromosome 10q26 (Chr10)-independent of one another and in combination-with time to conversion to late-stage disease and to visual acuity loss.\nDESIGN, SETTING, AND PARTICIPANTS: This case series study included 502 individuals who were homozygous for risk variants at both Chr1 and Chr10 (termed Chr1&amp;10-risk) or at either Chr1 (Chr1-risk) or Chr10 (Chr10-risk) and who had enrolled in Genetic and Molecular Studies of Eye Diseases at the Sharon Eccles Steele Center for Translational Medicine between September 2009 and March 2020. Multimodal imaging data were reviewed for AMD staging, including grading of incomplete and complete retinal pigment epithelium and outer retinal atrophy.\nMAIN OUTCOMES AND MEASURES: Hazard ratios and survival times for conversion to any late-stage AMD, atrophic or neovascular, and associated vision loss of 2 or more lines.\nRESULTS: In total, 317 participants in the Chr1-risk group (median [IQR] age at first visit, 75.6 [69.5-81.7] years; 193 women [60.9%]), 93 participants in the Chr10-risk group (median [IQR] age at first visit, 77.5 [72.2-84.2] years; 62 women [66.7%]), and 92 participants in the Chr1&amp;10-risk group (median [IQR] age at first visit, 71.7 [68.0-76.3] years; 62 women [67.4%]) were included in the analyses. After adjusting for age and AMD grade at first visit, compared with 257 participants in the Chr1-risk group, 56 participants in the Chr1&amp;10-risk group (factor of 3.3 [95% CI, 1.6-6.8]; P &lt; .001) and 58 participants in the Chr10-risk group (factor of 2.6 [95% CI, 1.3-5.2]; P = .007) were more likely to convert to a late-stage phenotype during follow-up. This difference was mostly associated with conversion to macular neovascularization, which occurred earlier in participants with Chr1&amp;10-risk and Chr10-risk. Eyes in the Chr1&amp;10-risk group (median [IQR] survival, 5.7 [2.1-11.1] years) were 2.1 (95% CI, 1.1-3.9; P = .03) times as likely and eyes in the Chr10-risk group (median [IQR] survival, 6.3 [2.7-11.3] years) were 1.8 (95% CI, 1.0-3.1; P = .05) times as likely to experience a visual acuity loss of 2 or more lines compared with eyes of the Chr1-risk group (median [IQR] survival, 9.4 [4.1-* (asterisk indicates event rate did not reach 75%)] years).\nCONCLUSIONS AND RELEVANCE: These findings suggest differential associations of the 2 major AMD-related risk loci with structural and functional disease progression and suggest distinct underlying biological mechanisms associated with these 2 loci. These genotype-phenotype associations may warrant consideration when designing and interpreting AMD research studies and clinical trials.","container-title":"JAMA ophthalmology","DOI":"10.1001/jamaophthalmol.2021.6072","ISSN":"2168-6173","issue":"3","journalAbbreviation":"JAMA Ophthalmol","language":"eng","note":"PMID: 35113155\nPMCID: PMC8814975","page":"252-260","source":"PubMed","title":"Progression of Age-Related Macular Degeneration Among Individuals Homozygous for Risk Alleles on Chromosome 1 (CFH-CFHR5) or Chromosome 10 (ARMS2/HTRA1) or Both","volume":"140","author":[{"family":"Schmitz-Valckenberg","given":"Steffen"},{"family":"Fleckenstein","given":"Monika"},{"family":"Zouache","given":"Moussa A."},{"family":"Pfau","given":"Maximilian"},{"family":"Pappas","given":"Christian"},{"family":"Hageman","given":"Jill L."},{"family":"Agrón","given":"Elvira"},{"family":"Malley","given":"Claire"},{"family":"Keenan","given":"Tiarnan D. L."},{"family":"Chew","given":"Emily Y."},{"family":"Hageman","given":"Gregory S."}],"issued":{"date-parts":[["2022",3,1]]}}}],"schema":"https://github.com/citation-style-language/schema/raw/master/csl-citation.json"}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(Schmitz-Valckenberg et al., 2022)</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Pr="00D017CD">
        <w:rPr>
          <w:rFonts w:ascii="Times New Roman" w:hAnsi="Times New Roman" w:cs="Times New Roman"/>
          <w:sz w:val="24"/>
          <w:szCs w:val="24"/>
        </w:rPr>
        <w:t xml:space="preserve"> The </w:t>
      </w:r>
      <w:r w:rsidR="002F6077">
        <w:rPr>
          <w:rFonts w:ascii="Times New Roman" w:hAnsi="Times New Roman" w:cs="Times New Roman"/>
          <w:sz w:val="24"/>
          <w:szCs w:val="24"/>
        </w:rPr>
        <w:t>ARMS2–HTRA1</w:t>
      </w:r>
      <w:r w:rsidRPr="00D017CD">
        <w:rPr>
          <w:rFonts w:ascii="Times New Roman" w:hAnsi="Times New Roman" w:cs="Times New Roman"/>
          <w:sz w:val="24"/>
          <w:szCs w:val="24"/>
        </w:rPr>
        <w:t xml:space="preserve"> variant correlates with the occurrence of subretinal or sub-RPE </w:t>
      </w:r>
      <w:r w:rsidR="00FF3789" w:rsidRPr="00D017CD">
        <w:rPr>
          <w:rFonts w:ascii="Times New Roman" w:hAnsi="Times New Roman" w:cs="Times New Roman"/>
          <w:sz w:val="24"/>
          <w:szCs w:val="24"/>
        </w:rPr>
        <w:t>haemorrhages</w:t>
      </w:r>
      <w:r w:rsidRPr="00D017CD">
        <w:rPr>
          <w:rFonts w:ascii="Times New Roman" w:hAnsi="Times New Roman" w:cs="Times New Roman"/>
          <w:sz w:val="24"/>
          <w:szCs w:val="24"/>
        </w:rPr>
        <w:t xml:space="preserve"> in the retina. Meanwhile, other genes, including MMP9, CETP, and TIMP3, have been linked to </w:t>
      </w:r>
      <w:proofErr w:type="spellStart"/>
      <w:r w:rsidRPr="00D017CD">
        <w:rPr>
          <w:rFonts w:ascii="Times New Roman" w:hAnsi="Times New Roman" w:cs="Times New Roman"/>
          <w:sz w:val="24"/>
          <w:szCs w:val="24"/>
        </w:rPr>
        <w:t>nAMD</w:t>
      </w:r>
      <w:proofErr w:type="spellEnd"/>
      <w:r w:rsidRPr="00D017CD">
        <w:rPr>
          <w:rFonts w:ascii="Times New Roman" w:hAnsi="Times New Roman" w:cs="Times New Roman"/>
          <w:sz w:val="24"/>
          <w:szCs w:val="24"/>
        </w:rPr>
        <w:t xml:space="preserve"> due to their roles in regulating extracellular matrix remodelling</w:t>
      </w:r>
      <w:r w:rsidR="00DD1175" w:rsidRPr="00D017CD">
        <w:rPr>
          <w:rFonts w:ascii="Times New Roman" w:hAnsi="Times New Roman" w:cs="Times New Roman"/>
          <w:sz w:val="24"/>
          <w:szCs w:val="24"/>
        </w:rPr>
        <w:t>.</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{"citationID":"LOJ7UEz3","properties":{"formattedCitation":"(Pan &amp; Iwata, 2024)","plainCitation":"(Pan &amp; Iwata, 2024)","noteIndex":0},"citationItems":[{"id":96,"uris":["http://zotero.org/users/17126151/items/CN7X7NJ3"],"itemData":{"id":96,"type":"article-journal","abstract":"Age-related macular degeneration (AMD) is one of the leading causes of severe irreversible blindness worldwide in the elderly population. AMD is a multifactorial disease mainly caused by advanced age, environmental factors, and genetic variations. Genome-wide association studies (GWAS) have strongly supported the link between ARMS2/HTRA1 locus on chromosome 10q26 and AMD development, encompassing multiple variants, rs10490924 (c.205G &gt; T, p.A69S in ARMS2), insertion/deletion (del443/ins54 in ARMS2), and rs11200638 (in HTRA1 promoter region). In this comprehensive review, we provide an overview of the role played by ARMS2/HTRA1 risk alleles in neovascular AMD pathogenesis, covering GWAS, in vitro studies, and animal models, shedding light on their underlying molecular genetic mechanisms. Further extensive research is also imperative, including confirmation of these findings, identifying novel treatment targets, and advancing primary and secondary prevention strategies for AMD.","container-title":"Taiwan Journal of Ophthalmology","DOI":"10.4103/tjo.TJO-D-23-00152","ISSN":"2211-5056","issue":"4","journalAbbreviation":"Taiwan J Ophthalmol","note":"PMID: 39803407\nPMCID: PMC11717327","page":"531-539","source":"PubMed Central","title":"Role of ARMS2/HTRA1 risk alleles in the pathogenesis of neovascular age-related macular degeneration","volume":"14","author":[{"family":"Pan","given":"Yang"},{"family":"Iwata","given":"Takeshi"}],"issued":{"date-parts":[["2024",1,29]]}}}],"schema":"https://github.com/citation-style-language/schema/raw/master/csl-citation.json"}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(Pan &amp; Iwata, 2024)</w:t>
      </w:r>
      <w:r w:rsidR="003A0F1D" w:rsidRPr="00D017CD">
        <w:rPr>
          <w:rFonts w:ascii="Times New Roman" w:hAnsi="Times New Roman" w:cs="Times New Roman"/>
          <w:sz w:val="24"/>
          <w:szCs w:val="24"/>
        </w:rPr>
        <w:fldChar w:fldCharType="end"/>
      </w:r>
      <w:r w:rsidR="00F10C78">
        <w:rPr>
          <w:rFonts w:ascii="Times New Roman" w:hAnsi="Times New Roman" w:cs="Times New Roman"/>
          <w:sz w:val="24"/>
          <w:szCs w:val="24"/>
        </w:rPr>
        <w:t xml:space="preserve"> </w:t>
      </w:r>
      <w:r w:rsidRPr="00D017CD">
        <w:rPr>
          <w:rFonts w:ascii="Times New Roman" w:hAnsi="Times New Roman" w:cs="Times New Roman"/>
          <w:sz w:val="24"/>
          <w:szCs w:val="24"/>
        </w:rPr>
        <w:t xml:space="preserve">FGD6, HTRA1, and CFH respond to oxidative stress </w:t>
      </w:r>
      <w:r w:rsidRPr="00D017CD">
        <w:rPr>
          <w:rFonts w:ascii="Times New Roman" w:hAnsi="Times New Roman" w:cs="Times New Roman"/>
          <w:sz w:val="24"/>
          <w:szCs w:val="24"/>
        </w:rPr>
        <w:lastRenderedPageBreak/>
        <w:t xml:space="preserve">and inflammation, contributing to the progression of </w:t>
      </w:r>
      <w:proofErr w:type="spellStart"/>
      <w:r w:rsidRPr="00D017CD">
        <w:rPr>
          <w:rFonts w:ascii="Times New Roman" w:hAnsi="Times New Roman" w:cs="Times New Roman"/>
          <w:sz w:val="24"/>
          <w:szCs w:val="24"/>
        </w:rPr>
        <w:t>nAMD</w:t>
      </w:r>
      <w:proofErr w:type="spellEnd"/>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{"citationID":"s5sPVDT3","properties":{"formattedCitation":"(Asten et al., 2018)","plainCitation":"(Asten et al., 2018)","noteIndex":0},"citationItems":[{"id":98,"uris":["http://zotero.org/users/17126151/items/WGX6WUA2"],"itemData":{"id":98,"type":"article-journal","container-title":"Ophthalmology","DOI":"10.1016/j.ophtha.2017.09.023","ISSN":"0161-6420, 1549-4713","issue":"4","journalAbbreviation":"Ophthalmology","language":"English","note":"publisher: Elsevier\nPMID: 29096998","page":"559-568","source":"www.aaojournal.org","title":"A Deep Phenotype Association Study Reveals Specific Phenotype Associations with Genetic Variants in Age-related Macular Degeneration: Age-Related Eye Disease Study 2 (AREDS2) Report No. 14","title-short":"A Deep Phenotype Association Study Reveals Specific Phenotype Associations with Genetic Variants in Age-related Macular Degeneration","volume":"125","author":[{"family":"Asten","given":"Freekje","dropping-particle":"van"},{"family":"Simmons","given":"Michael"},{"family":"Singhal","given":"Ayush"},{"family":"Keenan","given":"Tiarnan D."},{"family":"Ratnapriya","given":"Rinki"},{"family":"Agrón","given":"Elvira"},{"family":"Clemons","given":"Traci E."},{"family":"Swaroop","given":"Anand"},{"family":"Lu","given":"Zhiyong"},{"family":"Chew","given":"Emily Y."}],"issued":{"date-parts":[["2018",4,1]]}}}],"schema":"https://github.com/citation-style-language/schema/raw/master/csl-citation.json"}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w:t>
      </w:r>
      <w:proofErr w:type="spellStart"/>
      <w:r w:rsidR="00B3699E" w:rsidRPr="00B3699E">
        <w:rPr>
          <w:rFonts w:ascii="Times New Roman" w:hAnsi="Times New Roman" w:cs="Times New Roman"/>
          <w:sz w:val="24"/>
        </w:rPr>
        <w:t>Asten</w:t>
      </w:r>
      <w:proofErr w:type="spellEnd"/>
      <w:r w:rsidR="00B3699E" w:rsidRPr="00B3699E">
        <w:rPr>
          <w:rFonts w:ascii="Times New Roman" w:hAnsi="Times New Roman" w:cs="Times New Roman"/>
          <w:sz w:val="24"/>
        </w:rPr>
        <w:t xml:space="preserve"> et al., 2018)</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Pr="00D017CD">
        <w:rPr>
          <w:rFonts w:ascii="Times New Roman" w:hAnsi="Times New Roman" w:cs="Times New Roman"/>
          <w:sz w:val="24"/>
          <w:szCs w:val="24"/>
        </w:rPr>
        <w:t xml:space="preserve"> HIF-α (Hypoxia-inducible factor alpha) and VEGF-A produced by RPE cells lead to the degeneration of the RPE cells themselves and Bruch’s membrane</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{"citationID":"Qx0ZlWLy","properties":{"formattedCitation":"(Botto et al., 2022)","plainCitation":"(Botto et al., 2022)","noteIndex":0},"citationItems":[{"id":101,"uris":["http://zotero.org/users/17126151/items/B5MRFE2L"],"itemData":{"id":101,"type":"article-journal","abstract":"Inherited and age-related retinal degeneration is the hallmark of a large group of heterogeneous diseases and is the main cause of untreatable blindness today. Genetic factors play a major pathogenic role in retinal degenerations for both monogenic diseases (such as retinitis pigmentosa) and complex diseases with established genetic risk factors (such as age-related macular degeneration). Progress in genotyping techniques and back of the eye imaging are completing our understanding of these diseases and their manifestations in patient populations suffering from retinal degenerations. It is clear that whatever the genetic cause, the majority of vision loss in retinal diseases results from the loss of photoreceptor function. The timing and circumstances surrounding the loss of photoreceptor function determine the adequate therapeutic approach to use for each patient. Among such approaches, gene therapy is rapidly becoming a therapeutic reality applicable in the clinic. This massive move from laboratory work towards clinical application has been propelled by the advances in our understanding of disease genetics and mechanisms, gene delivery vectors, gene editing systems, and compensatory strategies for loss of photoreceptor function. Here, we provide an overview of existing modalities of retinal gene therapy and their relevance based on the needs of patient populations suffering from inherited retinal degenerations.","container-title":"Progress in Retinal and Eye Research","DOI":"10.1016/j.preteyeres.2021.100975","ISSN":"1873-1635","journalAbbreviation":"Prog Retin Eye Res","language":"eng","note":"PMID: 34058340","page":"100975","source":"PubMed","title":"Early and late stage gene therapy interventions for inherited retinal degenerations","volume":"86","author":[{"family":"Botto","given":"Catherine"},{"family":"Rucli","given":"Marco"},{"family":"Tekinsoy","given":"Müge Defne"},{"family":"Pulman","given":"Juliette"},{"family":"Sahel","given":"José-Alain"},{"family":"Dalkara","given":"Deniz"}],"issued":{"date-parts":[["2022",1]]}}}],"schema":"https://github.com/citation-style-language/schema/raw/master/csl-citation.json"}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(Botto et al., 2022)</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Pr="00D017CD">
        <w:rPr>
          <w:rFonts w:ascii="Times New Roman" w:hAnsi="Times New Roman" w:cs="Times New Roman"/>
          <w:sz w:val="24"/>
          <w:szCs w:val="24"/>
        </w:rPr>
        <w:t xml:space="preserve"> VEGF, VEGFR, PDGF, and PEGF are the primary targets for present gene therapy</w:t>
      </w:r>
      <w:r w:rsidR="001A4E66" w:rsidRPr="00D017CD">
        <w:rPr>
          <w:rFonts w:ascii="Times New Roman" w:hAnsi="Times New Roman" w:cs="Times New Roman"/>
          <w:sz w:val="24"/>
          <w:szCs w:val="24"/>
        </w:rPr>
        <w:t>.</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{"citationID":"aWpUaZM2","properties":{"formattedCitation":"(Guimaraes et al., 2021)","plainCitation":"(Guimaraes et al., 2021)","noteIndex":0},"citationItems":[{"id":104,"uris":["http://zotero.org/users/17126151/items/XLJS4CTB"],"itemData":{"id":104,"type":"article-journal","abstract":"Age-related macular degeneration (AMD) is one of the leading causes of irreversible blindness in the developed world. Antivascular endothelial growth factor therapy has transformed the management and outcome of neovascular AMD (nAMD), although the need for repeated intravitreal injections-even lifelong-and the related complications, high drug costs, frequent clinic visits and repeated imaging have resulted in an enormous burden both to healthcare systems and patients. The application of gene therapy approaches for sustained delivery of a range of antiangiogenic proteins has the promise of helping to address these aforementioned challenges. A number of early phase clinical trials of gene therapy in nAMD have provided encouraging results, with many more ongoing or anticipated. There remain significant areas of controversy, including regarding the optimal treatment targets, routes of administration and potential safety concerns. In this review we aim to provide an update of the current status of gene therapy for nAMD and briefly discuss future prospects.","container-title":"The British Journal of Ophthalmology","DOI":"10.1136/bjophthalmol-2020-316195","ISSN":"1468-2079","issue":"2","journalAbbreviation":"Br J Ophthalmol","language":"eng","note":"PMID: 32269060\nPMCID: PMC7848059","page":"151-157","source":"PubMed","title":"Gene therapy for neovascular age-related macular degeneration: rationale, clinical trials and future directions","title-short":"Gene therapy for neovascular age-related macular degeneration","volume":"105","author":[{"family":"Guimaraes","given":"Thales Antonio Cabral","dropping-particle":"de"},{"family":"Georgiou","given":"Michalis"},{"family":"Bainbridge","given":"James W. B."},{"family":"Michaelides","given":"Michel"}],"issued":{"date-parts":[["2021",2]]}}}],"schema":"https://github.com/citation-style-language/schema/raw/master/csl-citation.json"}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(Guimaraes et al., 2021)</w:t>
      </w:r>
      <w:r w:rsidR="003A0F1D" w:rsidRPr="00D017CD">
        <w:rPr>
          <w:rFonts w:ascii="Times New Roman" w:hAnsi="Times New Roman" w:cs="Times New Roman"/>
          <w:sz w:val="24"/>
          <w:szCs w:val="24"/>
        </w:rPr>
        <w:fldChar w:fldCharType="end"/>
      </w:r>
      <w:r w:rsidRPr="00D017CD">
        <w:rPr>
          <w:rFonts w:ascii="Times New Roman" w:hAnsi="Times New Roman" w:cs="Times New Roman"/>
          <w:sz w:val="24"/>
          <w:szCs w:val="24"/>
        </w:rPr>
        <w:t xml:space="preserve"> Genetic modifications include single-nucleotide polymorphisms (SNPs), mitochondrial DNA mutations, and microRNA modifications. Gene editing techniques, such as gene splicing, allow for specific DNA alterations through gene cutting and nucleotide addition. The CRISPR-Cas9 technique enables efficient alteration and adjustment, including the insertion, replacement, or deletion of DNA within a living organism's genome, serving as a distinguished method for nuclear genome editing, with promising applications for mitochondrial genome editing as well</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{"citationID":"sg2rBH5u","properties":{"formattedCitation":"(J. Y. Wang &amp; Doudna, 2023)","plainCitation":"(J. Y. Wang &amp; Doudna, 2023)","noteIndex":0},"citationItems":[{"id":107,"uris":["http://zotero.org/users/17126151/items/J5IRKG2T"],"itemData":{"id":107,"type":"article-journal","abstract":"The advent of clustered regularly interspaced short palindromic repeat (CRISPR) genome editing, coupled with advances in computing and imaging capabilities, has initiated a new era in which genetic diseases and individual disease susceptibilities are both predictable and actionable. Likewise, genes responsible for plant traits can be identified and altered quickly, transforming the pace of agricultural research and plant breeding. In this Review, we discuss the current state of CRISPR-mediated genetic manipulation in human cells, animals, and plants along with relevant successes and challenges and present a roadmap for the future of this technology.","container-title":"Science (New York, N.Y.)","DOI":"10.1126/science.add8643","ISSN":"1095-9203","issue":"6629","journalAbbreviation":"Science","language":"eng","note":"PMID: 36656942","page":"eadd8643","source":"PubMed","title":"CRISPR technology: A decade of genome editing is only the beginning","title-short":"CRISPR technology","volume":"379","author":[{"family":"Wang","given":"Joy Y."},{"family":"Doudna","given":"Jennifer A."}],"issued":{"date-parts":[["2023",1,20]]}}}],"schema":"https://github.com/citation-style-language/schema/raw/master/csl-citation.json"}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(J. Y. Wang &amp; Doudna, 2023)</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Pr="00D017CD">
        <w:rPr>
          <w:rFonts w:ascii="Times New Roman" w:hAnsi="Times New Roman" w:cs="Times New Roman"/>
          <w:sz w:val="24"/>
          <w:szCs w:val="24"/>
        </w:rPr>
        <w:t xml:space="preserve"> One limitation of gene editing is that it can cause </w:t>
      </w:r>
      <w:r w:rsidRPr="008B35EA">
        <w:rPr>
          <w:rFonts w:ascii="Times New Roman" w:hAnsi="Times New Roman" w:cs="Times New Roman"/>
          <w:sz w:val="24"/>
          <w:szCs w:val="24"/>
        </w:rPr>
        <w:t>genotoxicity, or damage to the genetic material itself, which may lead to coincidental and potentially harmful outcomes. Gene editing targets specific mutations that cause inherited diseases, aiming to make targeted changes to the genome to correct the underlying genetic defects, such as ARMD</w:t>
      </w:r>
      <w:r w:rsidR="002D39FE">
        <w:rPr>
          <w:rFonts w:ascii="Times New Roman" w:hAnsi="Times New Roman" w:cs="Times New Roman"/>
          <w:sz w:val="24"/>
          <w:szCs w:val="24"/>
        </w:rPr>
        <w:t xml:space="preserve"> </w:t>
      </w:r>
      <w:r w:rsidR="003A0F1D" w:rsidRPr="008B35EA">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{"citationID":"wNyFwq0E","properties":{"formattedCitation":"(Blattner et al., 2020)","plainCitation":"(Blattner et al., 2020)","noteIndex":0},"citationItems":[{"id":190,"uris":["http://zotero.org/users/17126151/items/6QAERT9D"],"itemData":{"id":190,"type":"article-journal","abstract":"Gene editing technologies show great promise for application to human disease as a result of rapid developments in targeting tools notably based on ZFN, TALEN, and CRISPR-Cas systems. Precise modification of a DNA sequence is now possible in mature human somatic cells including stem and progenitor cells with increasing degrees of efficiency. At the same time new technologies are required to evaluate their safety and genotoxicity before widespread clinical application can be confidently implemented. A number of methodologies have now been developed in an attempt to predict expected and unexpected modifications occurring during gene editing. This review surveys the techniques currently available as state of the art, highlighting benefits and limitations, and discusses approaches that may achieve sufficient accuracy and predictability for application in clinical settings.","container-title":"Frontiers in Genome Editing","DOI":"10.3389/fgeed.2020.613252","ISSN":"2673-3439","journalAbbreviation":"Front Genome Ed","note":"PMID: 34713236\nPMCID: PMC8525370","page":"613252","source":"PubMed Central","title":"Gene Editing and Genotoxicity: Targeting the Off-Targets","title-short":"Gene Editing and Genotoxicity","volume":"2","author":[{"family":"Blattner","given":"Georges"},{"family":"Cavazza","given":"Alessia"},{"family":"Thrasher","given":"Adrian J."},{"family":"Turchiano","given":"Giandomenico"}],"issued":{"date-parts":[["2020",12,10]]}}}],"schema":"https://github.com/citation-style-language/schema/raw/master/csl-citation.json"} </w:instrText>
      </w:r>
      <w:r w:rsidR="003A0F1D" w:rsidRPr="008B35EA">
        <w:rPr>
          <w:rFonts w:ascii="Times New Roman" w:hAnsi="Times New Roman" w:cs="Times New Roman"/>
          <w:sz w:val="24"/>
          <w:szCs w:val="24"/>
        </w:rPr>
        <w:fldChar w:fldCharType="separate"/>
      </w:r>
      <w:r w:rsidR="00B3699E" w:rsidRPr="00B3699E">
        <w:rPr>
          <w:rFonts w:ascii="Times New Roman" w:hAnsi="Times New Roman" w:cs="Times New Roman"/>
          <w:sz w:val="24"/>
        </w:rPr>
        <w:t>(Blattner et al., 2020)</w:t>
      </w:r>
      <w:r w:rsidR="003A0F1D" w:rsidRPr="008B35EA">
        <w:rPr>
          <w:rFonts w:ascii="Times New Roman" w:hAnsi="Times New Roman" w:cs="Times New Roman"/>
          <w:sz w:val="24"/>
          <w:szCs w:val="24"/>
        </w:rPr>
        <w:fldChar w:fldCharType="end"/>
      </w:r>
      <w:r w:rsidR="000453C5" w:rsidRPr="008B35EA">
        <w:rPr>
          <w:rFonts w:ascii="Times New Roman" w:hAnsi="Times New Roman" w:cs="Times New Roman"/>
          <w:sz w:val="24"/>
          <w:szCs w:val="24"/>
          <w:vertAlign w:val="superscript"/>
        </w:rPr>
        <w:t>,</w:t>
      </w:r>
      <w:r w:rsidR="003A0F1D" w:rsidRPr="008B35EA">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{"citationID":"DOivX4xb","properties":{"formattedCitation":"(Eghbalsaied et al., 2024)","plainCitation":"(Eghbalsaied et al., 2024)","noteIndex":0},"citationItems":[{"id":111,"uris":["http://zotero.org/users/17126151/items/ZWCDE6RI"],"itemData":{"id":111,"type":"article-journal","abstract":"Base editors are a type of double-stranded break (DSB)-free gene editing technology that has opened up new possibilities for precise manipulation of mitochondrial DNA (mtDNA). This includes cytosine and adenosine base editors and more recently guanosine base editors. Because of having low off-target and indel rates, there is a growing interest in developing and evolving this research field. Here, we provide a detailed update on DNA base editors. While base editing has widely been used for nuclear genome engineering, the growing interest in applying this technology to mitochondrial DNA has been faced with several challenges. While Cas9 protein has been shown to enter mitochondria, use of smaller Cas proteins, such as Cas12a, has higher import efficiency. However, sgRNA transfer into mitochondria is the most challenging step. sgRNA structure and ratio of Cas protein to sgRNA are both important factors for efficient sgRNA entry into mitochondria. In conclusion, while there are still several challenges to be addressed, ongoing research in this field holds the potential for new treatments and therapies for mitochondrial disorders.","container-title":"Gene Therapy","DOI":"10.1038/s41434-023-00434-w","ISSN":"1476-5462","issue":"5-6","journalAbbreviation":"Gene Ther","language":"eng","note":"PMID: 38177342","page":"209-223","source":"PubMed","title":"CRISPR/Cas9-mediated base editors and their prospects for mitochondrial genome engineering","volume":"31","author":[{"family":"Eghbalsaied","given":"Shahin"},{"family":"Lawler","given":"Clancy"},{"family":"Petersen","given":"Björn"},{"family":"Hajiyev","given":"Raul A."},{"family":"Bischoff","given":"Steve R."},{"family":"Frankenberg","given":"Stephen"}],"issued":{"date-parts":[["2024",5]]}}}],"schema":"https://github.com/citation-style-language/schema/raw/master/csl-citation.json"} </w:instrText>
      </w:r>
      <w:r w:rsidR="003A0F1D" w:rsidRPr="008B35EA">
        <w:rPr>
          <w:rFonts w:ascii="Times New Roman" w:hAnsi="Times New Roman" w:cs="Times New Roman"/>
          <w:sz w:val="24"/>
          <w:szCs w:val="24"/>
        </w:rPr>
        <w:fldChar w:fldCharType="separate"/>
      </w:r>
      <w:r w:rsidR="00B3699E" w:rsidRPr="00B3699E">
        <w:rPr>
          <w:rFonts w:ascii="Times New Roman" w:hAnsi="Times New Roman" w:cs="Times New Roman"/>
          <w:sz w:val="24"/>
        </w:rPr>
        <w:t>(Eghbalsaied et al., 2024)</w:t>
      </w:r>
      <w:r w:rsidR="003A0F1D" w:rsidRPr="008B35EA">
        <w:rPr>
          <w:rFonts w:ascii="Times New Roman" w:hAnsi="Times New Roman" w:cs="Times New Roman"/>
          <w:sz w:val="24"/>
          <w:szCs w:val="24"/>
        </w:rPr>
        <w:fldChar w:fldCharType="end"/>
      </w:r>
      <w:r w:rsidR="002D39FE">
        <w:rPr>
          <w:rFonts w:ascii="Times New Roman" w:hAnsi="Times New Roman" w:cs="Times New Roman"/>
          <w:sz w:val="24"/>
          <w:szCs w:val="24"/>
        </w:rPr>
        <w:t>.</w:t>
      </w:r>
    </w:p>
    <w:p w14:paraId="18D53437" w14:textId="77777777" w:rsidR="00CF5882" w:rsidRPr="008B35EA" w:rsidRDefault="00F042AE" w:rsidP="008B35EA">
      <w:pPr>
        <w:spacing w:line="360" w:lineRule="auto"/>
        <w:jc w:val="both"/>
        <w:rPr>
          <w:rFonts w:ascii="Times New Roman" w:hAnsi="Times New Roman" w:cs="Times New Roman"/>
          <w:b/>
          <w:bCs/>
          <w:sz w:val="24"/>
          <w:szCs w:val="24"/>
        </w:rPr>
      </w:pPr>
      <w:r w:rsidRPr="008B35EA">
        <w:rPr>
          <w:rFonts w:ascii="Times New Roman" w:hAnsi="Times New Roman" w:cs="Times New Roman"/>
          <w:b/>
          <w:bCs/>
          <w:sz w:val="24"/>
          <w:szCs w:val="24"/>
        </w:rPr>
        <w:t xml:space="preserve">5. </w:t>
      </w:r>
      <w:r w:rsidR="00CF5882" w:rsidRPr="008B35EA">
        <w:rPr>
          <w:rFonts w:ascii="Times New Roman" w:hAnsi="Times New Roman" w:cs="Times New Roman"/>
          <w:b/>
          <w:bCs/>
          <w:sz w:val="24"/>
          <w:szCs w:val="24"/>
        </w:rPr>
        <w:t xml:space="preserve">Routes of administration of ocular vector gene into the eye </w:t>
      </w:r>
    </w:p>
    <w:p w14:paraId="4640D6A8" w14:textId="77777777" w:rsidR="001A4E66" w:rsidRPr="008B35EA" w:rsidRDefault="008B35EA" w:rsidP="008B35EA">
      <w:pPr>
        <w:spacing w:after="0" w:line="360" w:lineRule="auto"/>
        <w:jc w:val="both"/>
        <w:rPr>
          <w:rFonts w:ascii="Times New Roman" w:eastAsia="Times New Roman" w:hAnsi="Times New Roman" w:cs="Times New Roman"/>
          <w:color w:val="222222"/>
          <w:kern w:val="0"/>
          <w:sz w:val="24"/>
          <w:szCs w:val="24"/>
          <w:lang w:val="en-US"/>
        </w:rPr>
      </w:pPr>
      <w:r w:rsidRPr="008B35EA">
        <w:rPr>
          <w:rFonts w:ascii="Times New Roman" w:eastAsia="Times New Roman" w:hAnsi="Times New Roman" w:cs="Times New Roman"/>
          <w:color w:val="222222"/>
          <w:kern w:val="0"/>
          <w:sz w:val="24"/>
          <w:szCs w:val="24"/>
        </w:rPr>
        <w:t>A crucial step in gene therapy is the delivery method of the vector, which can be administered via three routes: subretinal, intravitreal, or suprachoroidal, as given in </w:t>
      </w:r>
      <w:r w:rsidRPr="008B35EA">
        <w:rPr>
          <w:rFonts w:ascii="Times New Roman" w:eastAsia="Times New Roman" w:hAnsi="Times New Roman" w:cs="Times New Roman"/>
          <w:b/>
          <w:bCs/>
          <w:color w:val="222222"/>
          <w:kern w:val="0"/>
          <w:sz w:val="24"/>
          <w:szCs w:val="24"/>
        </w:rPr>
        <w:t>Fig</w:t>
      </w:r>
      <w:r w:rsidR="00F10C78">
        <w:rPr>
          <w:rFonts w:ascii="Times New Roman" w:eastAsia="Times New Roman" w:hAnsi="Times New Roman" w:cs="Times New Roman"/>
          <w:b/>
          <w:bCs/>
          <w:color w:val="222222"/>
          <w:kern w:val="0"/>
          <w:sz w:val="24"/>
          <w:szCs w:val="24"/>
        </w:rPr>
        <w:t>.</w:t>
      </w:r>
      <w:r w:rsidRPr="008B35EA">
        <w:rPr>
          <w:rFonts w:ascii="Times New Roman" w:eastAsia="Times New Roman" w:hAnsi="Times New Roman" w:cs="Times New Roman"/>
          <w:b/>
          <w:bCs/>
          <w:color w:val="222222"/>
          <w:kern w:val="0"/>
          <w:sz w:val="24"/>
          <w:szCs w:val="24"/>
        </w:rPr>
        <w:t xml:space="preserve"> 4</w:t>
      </w:r>
      <w:r w:rsidRPr="008B35EA">
        <w:rPr>
          <w:rFonts w:ascii="Times New Roman" w:eastAsia="Times New Roman" w:hAnsi="Times New Roman" w:cs="Times New Roman"/>
          <w:color w:val="222222"/>
          <w:kern w:val="0"/>
          <w:sz w:val="24"/>
          <w:szCs w:val="24"/>
        </w:rPr>
        <w:t>. Subretinal administration is the standard and safest approach for ocular gene therapy, offering a little risk of immune response and less swelling in the patient's body</w:t>
      </w:r>
      <w:r w:rsidR="002D39FE">
        <w:rPr>
          <w:rFonts w:ascii="Times New Roman" w:hAnsi="Times New Roman" w:cs="Times New Roman"/>
          <w:sz w:val="24"/>
          <w:szCs w:val="24"/>
        </w:rPr>
        <w:t xml:space="preserve"> </w:t>
      </w:r>
      <w:r w:rsidR="003A0F1D" w:rsidRPr="008B35EA">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{"citationID":"kHJgsxrX","properties":{"formattedCitation":"(Kansara et al., 2020)","plainCitation":"(Kansara et al., 2020)","noteIndex":0},"citationItems":[{"id":"1bYYoRFa/R7BJj8og","uris":["http://zotero.org/users/15401920/items/TYP4QXCV"],"itemData":{"id":1209,"type":"article-journal","abstract":"Retinal gene therapy is a rapidly growing field with numerous clinical trials underway, and route of delivery is a critical contributor to its success. Subretinal administration, which involves pars plana vitrectomy in the operating room, offers targeted delivery to retinal-pigment epithelium cells and photoreceptors. Due to the immune-privileged nature of the subretinal space, the risk of an immune reaction against viral capsid antigens is minimized, an advantage of subretinal administration in patients with preexisting neutralizing antibodies. Intravitreal administration, with fewer procedure-related complications, is challenged by potential immune response and incomplete vector penetration through the internal limiting membrane. However, novel vectors, optimized by “directed evolution” may address these issues. Nonsurgical in-office suprachoroidal gene delivery offers the potential for greater surface-area coverage of the posterior segment compared to focal subretinal injection, and is not hindered by the internal limiting membrane. However, the vector must pass through multiple layers to reach the targeted retinal layers, and there is a risk of immune response. This review highlights recent developments, challenges, and future opportunities associated with viral and nonviral suprachoroidal gene delivery for the treatment of chorioretinal diseases. While ocular tolerability and short-term effectiveness of suprachoroidal gene delivery have been demonstrated in preclinical models, durability of gene expression, long-term safety, potential systemic exposure, and effective delivery to the macula require further exploration. Although the safety and efficacy of suprachoroidal gene delivery are yet to be proven in clinical trials, further optimization could facilitate nonsurgical in-office suprachoroidal gene therapy.","container-title":"Journal of Ocular Pharmacology and Therapeutics","DOI":"10.1089/jop.2019.0126","ISSN":"1080-7683","issue":"6","journalAbbreviation":"J Ocul Pharmacol Ther","note":"PMID: 32255727\nPMCID: PMC7404827","page":"384-392","source":"PubMed Central","title":"Suprachoroidal Delivery of Viral and Nonviral Gene Therapy for Retinal Diseases","volume":"36","author":[{"family":"Kansara","given":"Viral"},{"family":"Muya","given":"Leroy"},{"family":"Wan","given":"Chen-rei"},{"family":"Ciulla","given":"Thomas A."}],"issued":{"date-parts":[["2020",7,1]]}}}],"schema":"https://github.com/citation-style-language/schema/raw/master/csl-citation.json"} </w:instrText>
      </w:r>
      <w:r w:rsidR="003A0F1D" w:rsidRPr="008B35EA">
        <w:rPr>
          <w:rFonts w:ascii="Times New Roman" w:hAnsi="Times New Roman" w:cs="Times New Roman"/>
          <w:sz w:val="24"/>
          <w:szCs w:val="24"/>
        </w:rPr>
        <w:fldChar w:fldCharType="separate"/>
      </w:r>
      <w:r w:rsidR="00B3699E" w:rsidRPr="00B3699E">
        <w:rPr>
          <w:rFonts w:ascii="Times New Roman" w:hAnsi="Times New Roman" w:cs="Times New Roman"/>
          <w:sz w:val="24"/>
        </w:rPr>
        <w:t>(Kansara et al., 2020)</w:t>
      </w:r>
      <w:r w:rsidR="003A0F1D" w:rsidRPr="008B35EA">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8B35EA">
        <w:rPr>
          <w:rFonts w:ascii="Times New Roman" w:hAnsi="Times New Roman" w:cs="Times New Roman"/>
          <w:sz w:val="24"/>
          <w:szCs w:val="24"/>
        </w:rPr>
        <w:t xml:space="preserve"> According to Dr. </w:t>
      </w:r>
      <w:proofErr w:type="spellStart"/>
      <w:r w:rsidR="00CF5882" w:rsidRPr="008B35EA">
        <w:rPr>
          <w:rFonts w:ascii="Times New Roman" w:hAnsi="Times New Roman" w:cs="Times New Roman"/>
          <w:sz w:val="24"/>
          <w:szCs w:val="24"/>
        </w:rPr>
        <w:t>Kokame</w:t>
      </w:r>
      <w:proofErr w:type="spellEnd"/>
      <w:r w:rsidR="00CF5882" w:rsidRPr="008B35EA">
        <w:rPr>
          <w:rFonts w:ascii="Times New Roman" w:hAnsi="Times New Roman" w:cs="Times New Roman"/>
          <w:sz w:val="24"/>
          <w:szCs w:val="24"/>
        </w:rPr>
        <w:t>, subretinal delivery of RGX-314 allows retinal cells to manufacture their anti-VEGF protein for a long time, effectively treating the state of ARMD lifelong. The subretinal delivery method involves a surgical vitrectomy, where the vitreous gel is removed from the eye, and RGX-314 is directly injected beneath the retina of a patient in a saline solution, forming a regional and concentrated bleb on the surface</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{"citationID":"7Nz8ztbe","properties":{"formattedCitation":"(Tripepi et al., 2023)","plainCitation":"(Tripepi et al., 2023)","noteIndex":0},"citationItems":[{"id":116,"uris":["http://zotero.org/users/17126151/items/TI2L34HQ"],"itemData":{"id":116,"type":"article-journal","abstract":"Subretinal injection is performed in vitreoretinal surgery with two main aims, namely, the subretinal delivery of therapeutic agents and subretinal injection of fluid to induce a controlled and localized macular detachment. The growing interest in this technique is mainly related to its suitability to deliver gene therapy in direct contact with target tissues. However, subretinal injection has been also used for the surgical management of submacular hemorrhage through the subretinal delivery of tissue plasminogen activator, and for the repair of full-thickness macular holes, in particular refractory ones. In the light of the increasing importance of this maneuver in vitreoretinal surgery as well as of the lack of a standardized surgical approach, we conducted a comprehensive overview on the current indications for subretinal injection, surgical technique with the available variations, and the potential complications.","container-title":"International Journal of Molecular Sciences","DOI":"10.3390/ijms241310535","ISSN":"1422-0067","issue":"13","journalAbbreviation":"Int J Mol Sci","note":"PMID: 37445711\nPMCID: PMC10342145","page":"10535","source":"PubMed Central","title":"The Role of Subretinal Injection in Ophthalmic Surgery: Therapeutic Agent Delivery and Other Indications","title-short":"The Role of Subretinal Injection in Ophthalmic Surgery","volume":"24","author":[{"family":"Tripepi","given":"Domenico"},{"family":"Jalil","given":"Assad"},{"family":"Ally","given":"Naseer"},{"family":"Buzzi","given":"Matilde"},{"family":"Moussa","given":"George"},{"family":"Rothschild","given":"Pierre-Raphaël"},{"family":"Rossi","given":"Tommaso"},{"family":"Ferrara","given":"Mariantonia"},{"family":"Romano","given":"Mario R."}],"issued":{"date-parts":[["2023",6,23]]}}}],"schema":"https://github.com/citation-style-language/schema/raw/master/csl-citation.json"}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(Tripepi et al., 2023)</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Pr>
          <w:rFonts w:ascii="Times New Roman" w:hAnsi="Times New Roman" w:cs="Times New Roman"/>
          <w:sz w:val="24"/>
          <w:szCs w:val="24"/>
        </w:rPr>
        <w:t xml:space="preserve"> </w:t>
      </w:r>
      <w:r w:rsidR="00CF5882" w:rsidRPr="00D017CD">
        <w:rPr>
          <w:rFonts w:ascii="Times New Roman" w:hAnsi="Times New Roman" w:cs="Times New Roman"/>
          <w:sz w:val="24"/>
          <w:szCs w:val="24"/>
        </w:rPr>
        <w:t>Suprachoroidal delivery involves a slightly invasive procedure; in-office injection of the viral vector is given into the space behind the retina. It can effectively target specific cell types that are causing ARMD. Research has revealed this approach to be secure and well-tolerated, allowing for precise delivery of vectors to preferred tissues through different routes of administration</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{"citationID":"yVwhOfQo","properties":{"formattedCitation":"(Planul &amp; Dalkara, 2017)","plainCitation":"(Planul &amp; Dalkara, 2017)","noteIndex":0},"citationItems":[{"id":120,"uris":["http://zotero.org/users/17126151/items/MZDQZ5B6"],"itemData":{"id":120,"type":"article-journal","abstract":"One of the great advantages of the retina as a target tissue for gene delivery is the wide array of genetic tools that have been developed in the past decade. This includes a variety of vectors for therapeutic gene delivery to most types of retinal neurons and glia, as well as cell type-specific promoters for restricted gene expression in distinct neuronal subtypes. Within the scope of neuroscience applications and for gene therapy, it is now routine to express reporter genes, replacement genes, neuronal activity indicators, and microbial opsins in specific neuronal types in the mouse retina. However, there are considerable anatomical, physiological, immunological, and behavioral differences between the mouse and the human that limit the usefulness of these tools in humans and nonhuman primates. Several advances are now being made toward the goal of applying viral targeting tools to understand the primate retina. Here, we describe these advances, consider their potential to advance our understanding of the primate retina, and describe what will be needed to move forward.","container-title":"Annual Review of Vision Science","DOI":"10.1146/annurev-vision-102016-061413","ISSN":"2374-4650","journalAbbreviation":"Annu Rev Vis Sci","language":"eng","note":"PMID: 28937950","page":"121-140","source":"PubMed","title":"Vectors and Gene Delivery to the Retina","volume":"3","author":[{"family":"Planul","given":"Arthur"},{"family":"Dalkara","given":"Deniz"}],"issued":{"date-parts":[["2017",9,15]]}}}],"schema":"https://github.com/citation-style-language/schema/raw/master/csl-citation.json"}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(Planul &amp; Dalkara, 2017)</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D017CD">
        <w:rPr>
          <w:rFonts w:ascii="Times New Roman" w:hAnsi="Times New Roman" w:cs="Times New Roman"/>
          <w:sz w:val="24"/>
          <w:szCs w:val="24"/>
        </w:rPr>
        <w:t xml:space="preserve"> Protein production typically starts within a few weeks after injection. Bleb creation can lead to various complications like photoreceptor damage, cataracts, macular holes, retinal detachment, and increased intraocular pressure. To </w:t>
      </w:r>
      <w:r w:rsidR="00CF5882" w:rsidRPr="00D017CD">
        <w:rPr>
          <w:rFonts w:ascii="Times New Roman" w:hAnsi="Times New Roman" w:cs="Times New Roman"/>
          <w:sz w:val="24"/>
          <w:szCs w:val="24"/>
        </w:rPr>
        <w:lastRenderedPageBreak/>
        <w:t>decrease these risks, intravitreal delivery via pars plana has been found as a less invasive alternative method for delivery. Suprachoroidal delivery offers a safer approach to delivering the gene by targeting the choroid and retinal pigment epithelium, consequently avoiding the surgical complications associated with vitrectomy</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{"citationID":"21Jjftxu","properties":{"formattedCitation":"(D. Wang et al., 2019)","plainCitation":"(D. Wang et al., 2019)","noteIndex":0},"citationItems":[{"id":123,"uris":["http://zotero.org/users/17126151/items/X8DSVWNE"],"itemData":{"id":123,"type":"article-journal","abstract":"Adeno-associated virus (AAV) vectors are the leading platform for gene delivery for the treatment of a variety of human diseases. Recent advances in developing clinically desirable AAV capsids, optimizing genome designs and harnessing revolutionary biotechnologies have contributed substantially to the growth of the gene therapy field. Preclinical and clinical successes in AAV-mediated gene replacement, gene silencing and gene editing have helped AAV gain popularity as the ideal therapeutic vector, with two AAV-based therapeutics gaining regulatory approval in Europe or the United States. Continued study of AAV biology and increased understanding of the associated therapeutic challenges and limitations will build the foundation for future clinical success.","container-title":"Nature Reviews. Drug Discovery","DOI":"10.1038/s41573-019-0012-9","ISSN":"1474-1784","issue":"5","journalAbbreviation":"Nat Rev Drug Discov","language":"eng","note":"PMID: 30710128\nPMCID: PMC6927556","page":"358-378","source":"PubMed","title":"Adeno-associated virus vector as a platform for gene therapy delivery","volume":"18","author":[{"family":"Wang","given":"Dan"},{"family":"Tai","given":"Phillip W. L."},{"family":"Gao","given":"Guangping"}],"issued":{"date-parts":[["2019",5]]}}}],"schema":"https://github.com/citation-style-language/schema/raw/master/csl-citation.json"}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(D. Wang et al., 2019)</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p>
    <w:p w14:paraId="4077B91B" w14:textId="77777777" w:rsidR="00CF5882" w:rsidRPr="00D017CD" w:rsidRDefault="00CF5882" w:rsidP="00C30F5C">
      <w:pPr>
        <w:spacing w:line="360" w:lineRule="auto"/>
        <w:jc w:val="both"/>
        <w:rPr>
          <w:rFonts w:ascii="Times New Roman" w:hAnsi="Times New Roman" w:cs="Times New Roman"/>
          <w:b/>
          <w:bCs/>
          <w:sz w:val="24"/>
          <w:szCs w:val="24"/>
        </w:rPr>
      </w:pPr>
      <w:r w:rsidRPr="00D017CD">
        <w:rPr>
          <w:rFonts w:ascii="Times New Roman" w:hAnsi="Times New Roman" w:cs="Times New Roman"/>
          <w:b/>
          <w:bCs/>
          <w:sz w:val="24"/>
          <w:szCs w:val="24"/>
        </w:rPr>
        <w:t>5.1</w:t>
      </w:r>
      <w:r w:rsidR="008B35EA">
        <w:rPr>
          <w:rFonts w:ascii="Times New Roman" w:hAnsi="Times New Roman" w:cs="Times New Roman"/>
          <w:b/>
          <w:bCs/>
          <w:sz w:val="24"/>
          <w:szCs w:val="24"/>
        </w:rPr>
        <w:t xml:space="preserve"> </w:t>
      </w:r>
      <w:r w:rsidRPr="00D017CD">
        <w:rPr>
          <w:rFonts w:ascii="Times New Roman" w:hAnsi="Times New Roman" w:cs="Times New Roman"/>
          <w:b/>
          <w:bCs/>
          <w:sz w:val="24"/>
          <w:szCs w:val="24"/>
        </w:rPr>
        <w:t xml:space="preserve">Mechanism of ocular gene therapy  </w:t>
      </w:r>
    </w:p>
    <w:p w14:paraId="4C0524FD" w14:textId="77777777" w:rsidR="00CF5882" w:rsidRPr="00D017CD" w:rsidRDefault="00CF5882" w:rsidP="00C30F5C">
      <w:pPr>
        <w:spacing w:line="360" w:lineRule="auto"/>
        <w:jc w:val="both"/>
        <w:rPr>
          <w:rFonts w:ascii="Times New Roman" w:hAnsi="Times New Roman" w:cs="Times New Roman"/>
          <w:sz w:val="24"/>
          <w:szCs w:val="24"/>
        </w:rPr>
      </w:pPr>
      <w:r w:rsidRPr="00D017CD">
        <w:rPr>
          <w:rFonts w:ascii="Times New Roman" w:hAnsi="Times New Roman" w:cs="Times New Roman"/>
          <w:sz w:val="24"/>
          <w:szCs w:val="24"/>
        </w:rPr>
        <w:t>Gene therapy for retinal diseases can be administered via subretinal or intravitreal injections, with nanoparticles emerging as a promising delivery method for genome editing.</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{"citationID":"DC9Sdkvr","properties":{"formattedCitation":"(Ross &amp; Ofri, 2021)","plainCitation":"(Ross &amp; Ofri, 2021)","noteIndex":0},"citationItems":[{"id":"1bYYoRFa/eG6Orouq","uris":["http://zotero.org/users/15401920/items/958TPIL4"],"itemData":{"id":1184,"type":"article-journal","abstract":"Inherited retinal degenerations are a leading and untreatbale cause of blindness, and as such they are targets for gene therapy. Numerous gene therapy treatments have progressed from laboratory research to clinical trails, and a pioneering gene therapy received the first ever FDA approval for treating patients. However, currently retinal gene therapy mostly involves subretinal injection of the therapeutic agent, which treats a limited area, entails retinal detachment and other potential complications, and requires general anesthesia with consequent risks, costs and prolonged recovery. Therefore there is great impetus to develop safer, less invasive and cheapter methods of gene delivery. A promising method is intravitreal injection, that does not cause retinal detachment, can lead to pan-retinal transduction and can be performed under local anesthesia in out-patient clinics. Intravitreally-injected vectors face several obstacles. First, the vector is diluted by the vitreous and has to overcome a long diffusion distance to the target cells. Second, the vector is exposed to the host’s immune response, risking neutralization by pre-existing antibodies and triggering a stronger immune response to the injection. Third, the vector has to cross the inner limiting membrane which is both a physical and a biological barrier as it contains binding sites that could cause the vector’s sequestration. Finally, in the target cell the vector is prone to proteasome degradation before delivering the transgene to the nucleus. Strategies to overcome these obstacles include modifications of the viral capsid, through rational design or directed evolution, which allow resistance to the immune system, enhancement of penetration through the inner limiting membrane or reduced degradation by intracellular proteasomes. Furthermore, physical and chemical manipulations of the inner limiting membrane and vitreous aim to improve vector penetration. Finally, compact non-viral vectors that can overcome the immunological, physical and anatomical and barriers have been developed. This paper reviews ongoing efforts to develop novel, safe and efficacious methods for intravitreal delivery of therapeutic genes for inherited retinal degenerations. To date, the most promising results are achieved in rodents with robust, pan-retinal transduction following intravitreal delivery. Trials in larger animal models demonstrate transduction mostly of inner retinal layers. Despite ongoing efforts, currently no intravitreally-injected vector has demonstrated outer retinal transduction efficacy comparable to that of subretinal delivery. Further work is warranted to test promising new viral and non-viral vectors on large animal models of inherited retinal degenerations. Positive results will pave the way to development of the next generation of treatments for inherited retinal degeneration.","container-title":"Neural Regeneration Research","DOI":"10.4103/1673-5374.306063","ISSN":"1673-5374","issue":"9","journalAbbreviation":"Neural Regen Res","note":"PMID: 33510064\nPMCID: PMC8328774","page":"1751-1759","source":"PubMed Central","title":"The future of retinal gene therapy: evolving from subretinal to intravitreal vector delivery","title-short":"The future of retinal gene therapy","volume":"16","author":[{"family":"Ross","given":"Maya"},{"family":"Ofri","given":"Ron"}],"issued":{"date-parts":[["2021",1,25]]}}}],"schema":"https://github.com/citation-style-language/schema/raw/master/csl-citation.json"}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(Ross &amp; Ofri, 2021)</w:t>
      </w:r>
      <w:r w:rsidR="003A0F1D" w:rsidRPr="00D017CD">
        <w:rPr>
          <w:rFonts w:ascii="Times New Roman" w:hAnsi="Times New Roman" w:cs="Times New Roman"/>
          <w:sz w:val="24"/>
          <w:szCs w:val="24"/>
        </w:rPr>
        <w:fldChar w:fldCharType="end"/>
      </w:r>
      <w:r w:rsidRPr="00D017CD">
        <w:rPr>
          <w:rFonts w:ascii="Times New Roman" w:hAnsi="Times New Roman" w:cs="Times New Roman"/>
          <w:sz w:val="24"/>
          <w:szCs w:val="24"/>
        </w:rPr>
        <w:t xml:space="preserve"> These nanoparticles are designed to evade an individual’s immune system and diffuse through the ocular barrier to target retinal pigment epithelial (RPE) cells. Endocytosis occurs when the plasma membrane invaginates to surround the nanoparticle</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{"citationID":"uMYWChy1","properties":{"formattedCitation":"(N. J. Mehta &amp; Mehta, 2024)","plainCitation":"(N. J. Mehta &amp; Mehta, 2024)","noteIndex":0},"citationItems":[{"id":"1bYYoRFa/aBMpxJf9","uris":["http://zotero.org/users/15401920/items/LBMW2GAV"],"itemData":{"id":1186,"type":"article-journal","abstract":"The retina is one of the most complex and extraordinary human organs affected by genetic, metabolic, and degenerative diseases, resulting in blindness for </w:instrText>
      </w:r>
      <w:r w:rsidR="00B3699E">
        <w:rPr>
          <w:rFonts w:ascii="Cambria Math" w:hAnsi="Cambria Math" w:cs="Cambria Math"/>
          <w:sz w:val="24"/>
          <w:szCs w:val="24"/>
        </w:rPr>
        <w:instrText>∼</w:instrText>
      </w:r>
      <w:r w:rsidR="00B3699E">
        <w:rPr>
          <w:rFonts w:ascii="Times New Roman" w:hAnsi="Times New Roman" w:cs="Times New Roman"/>
          <w:sz w:val="24"/>
          <w:szCs w:val="24"/>
        </w:rPr>
        <w:instrText xml:space="preserve">1.3 million people in the United States and over 40 million people worldwide. This translates into a huge loss of productivity, especially among younger patients with inherited retinal diseases (IRDs) and diabetic retinopathy. Age-related macular degeneration accounts for 90% of all blindness cases worldwide. The prevalence of this condition is projected to reach over 5 million individuals over the next 3 decades. There are also &gt;20 IRD phenotypes, affecting &gt;2 million people worldwide. Nanobiotechnology uses nanotechnology for biological applications, making use of biological materials either conceptually or directly in the fabrication of new materials. Bionanotechnology, on the other hand, uses molecular biology for the purpose of creating nanostructures (ie, structures with at least 1 dimension &lt;100 nm). Retinal applications of these technologies are developing at a rapid pace. This review includes the most current nanotechnological applications in retinal diagnostics, theranostics, drug delivery, and targeting, including the potential for nonviral vehicles such as liposomes, micelles, and dendrimers, which pose advantages over viral vectors in retinal drug delivery. Furthermore, we discuss current and future applications as surgical adjuncts and in regenerative medicine as they pertain to retinal disease. Structure and function of nanoparticles such as carbon nanotubules, quantum dots, and magnetic nanoparticles, as well as diagnostic technologies such as next-generation DNA sequencing and single-molecule bionanosensing, will also be discussed.","container-title":"Journal of Ocular Pharmacology and Therapeutics","DOI":"10.1089/jop.2023.0083","ISSN":"1080-7683","issue":"1","journalAbbreviation":"J Ocul Pharmacol Ther","note":"PMID: 38052063\nPMCID: PMC10890960","page":"3-12","source":"PubMed Central","title":"Nanotechnology in Retinal Disease: Current Concepts and Future Directions","title-short":"Nanotechnology in Retinal Disease","volume":"40","author":[{"family":"Mehta","given":"Nalin J."},{"family":"Mehta","given":"Sachin N."}],"issued":{"date-parts":[["2024",2,1]]}}}],"schema":"https://github.com/citation-style-language/schema/raw/master/csl-citation.json"}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(N. J. Mehta &amp; Mehta, 2024)</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p>
    <w:p w14:paraId="7C68D220" w14:textId="77777777" w:rsidR="00CF5882" w:rsidRPr="00D017CD" w:rsidRDefault="008023C4" w:rsidP="00C30F5C">
      <w:pPr>
        <w:spacing w:line="360" w:lineRule="auto"/>
        <w:jc w:val="center"/>
        <w:rPr>
          <w:rFonts w:ascii="Times New Roman" w:hAnsi="Times New Roman" w:cs="Times New Roman"/>
          <w:sz w:val="24"/>
          <w:szCs w:val="24"/>
        </w:rPr>
      </w:pPr>
      <w:r w:rsidRPr="00D017CD">
        <w:rPr>
          <w:rFonts w:ascii="Times New Roman" w:hAnsi="Times New Roman" w:cs="Times New Roman"/>
          <w:noProof/>
          <w:sz w:val="24"/>
          <w:szCs w:val="24"/>
          <w:lang w:val="en-US"/>
        </w:rPr>
        <w:drawing>
          <wp:inline distT="0" distB="0" distL="0" distR="0" wp14:anchorId="530F1540" wp14:editId="04AF16F7">
            <wp:extent cx="3816350" cy="3549650"/>
            <wp:effectExtent l="0" t="0" r="0" b="0"/>
            <wp:docPr id="1185858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6350" cy="3549650"/>
                    </a:xfrm>
                    <a:prstGeom prst="rect">
                      <a:avLst/>
                    </a:prstGeom>
                    <a:noFill/>
                  </pic:spPr>
                </pic:pic>
              </a:graphicData>
            </a:graphic>
          </wp:inline>
        </w:drawing>
      </w:r>
    </w:p>
    <w:p w14:paraId="5C521C1F" w14:textId="77777777" w:rsidR="00D017CD" w:rsidRDefault="00CF5882" w:rsidP="00C30F5C">
      <w:pPr>
        <w:spacing w:line="360" w:lineRule="auto"/>
        <w:jc w:val="both"/>
        <w:rPr>
          <w:rFonts w:ascii="Times New Roman" w:hAnsi="Times New Roman" w:cs="Times New Roman"/>
          <w:sz w:val="24"/>
          <w:szCs w:val="24"/>
        </w:rPr>
      </w:pPr>
      <w:r w:rsidRPr="00D017CD">
        <w:rPr>
          <w:rFonts w:ascii="Times New Roman" w:hAnsi="Times New Roman" w:cs="Times New Roman"/>
          <w:b/>
          <w:bCs/>
          <w:sz w:val="24"/>
          <w:szCs w:val="24"/>
        </w:rPr>
        <w:t>Fig</w:t>
      </w:r>
      <w:r w:rsidR="00F10C78">
        <w:rPr>
          <w:rFonts w:ascii="Times New Roman" w:hAnsi="Times New Roman" w:cs="Times New Roman"/>
          <w:b/>
          <w:bCs/>
          <w:sz w:val="24"/>
          <w:szCs w:val="24"/>
        </w:rPr>
        <w:t>. 4.</w:t>
      </w:r>
      <w:r w:rsidR="008B35EA">
        <w:rPr>
          <w:rFonts w:ascii="Times New Roman" w:hAnsi="Times New Roman" w:cs="Times New Roman"/>
          <w:b/>
          <w:bCs/>
          <w:sz w:val="24"/>
          <w:szCs w:val="24"/>
        </w:rPr>
        <w:t xml:space="preserve"> </w:t>
      </w:r>
      <w:r w:rsidR="00D017CD" w:rsidRPr="00D017CD">
        <w:rPr>
          <w:rFonts w:ascii="Times New Roman" w:hAnsi="Times New Roman" w:cs="Times New Roman"/>
          <w:sz w:val="24"/>
          <w:szCs w:val="24"/>
        </w:rPr>
        <w:t xml:space="preserve">Schematic representation of various ocular gene delivery routes, including intravitreal (injection into the vitreous </w:t>
      </w:r>
      <w:proofErr w:type="spellStart"/>
      <w:r w:rsidR="00D017CD" w:rsidRPr="00D017CD">
        <w:rPr>
          <w:rFonts w:ascii="Times New Roman" w:hAnsi="Times New Roman" w:cs="Times New Roman"/>
          <w:sz w:val="24"/>
          <w:szCs w:val="24"/>
        </w:rPr>
        <w:t>humor</w:t>
      </w:r>
      <w:proofErr w:type="spellEnd"/>
      <w:r w:rsidR="00D017CD" w:rsidRPr="00D017CD">
        <w:rPr>
          <w:rFonts w:ascii="Times New Roman" w:hAnsi="Times New Roman" w:cs="Times New Roman"/>
          <w:sz w:val="24"/>
          <w:szCs w:val="24"/>
        </w:rPr>
        <w:t>), suprachoroidal (injection between the sclera and choroid), and subretinal (injection beneath the retina) administration.</w:t>
      </w:r>
    </w:p>
    <w:p w14:paraId="550DACE6" w14:textId="77777777" w:rsidR="003F1C4A" w:rsidRPr="00D017CD" w:rsidRDefault="005D5158" w:rsidP="00C30F5C">
      <w:pPr>
        <w:spacing w:line="360" w:lineRule="auto"/>
        <w:jc w:val="both"/>
        <w:rPr>
          <w:rFonts w:ascii="Times New Roman" w:hAnsi="Times New Roman" w:cs="Times New Roman"/>
          <w:sz w:val="24"/>
          <w:szCs w:val="24"/>
        </w:rPr>
      </w:pPr>
      <w:r w:rsidRPr="00D017CD">
        <w:rPr>
          <w:rFonts w:ascii="Times New Roman" w:hAnsi="Times New Roman" w:cs="Times New Roman"/>
          <w:sz w:val="24"/>
          <w:szCs w:val="24"/>
        </w:rPr>
        <w:t xml:space="preserve">Once inside the cell, the nanoparticles must escape the endosome and release their content, which can include mRNA, RNP, and </w:t>
      </w:r>
      <w:proofErr w:type="spellStart"/>
      <w:r w:rsidRPr="00D017CD">
        <w:rPr>
          <w:rFonts w:ascii="Times New Roman" w:hAnsi="Times New Roman" w:cs="Times New Roman"/>
          <w:sz w:val="24"/>
          <w:szCs w:val="24"/>
        </w:rPr>
        <w:t>pDNA</w:t>
      </w:r>
      <w:proofErr w:type="spellEnd"/>
      <w:r w:rsidRPr="00D017CD">
        <w:rPr>
          <w:rFonts w:ascii="Times New Roman" w:hAnsi="Times New Roman" w:cs="Times New Roman"/>
          <w:sz w:val="24"/>
          <w:szCs w:val="24"/>
        </w:rPr>
        <w:t>, into the cytosol, referred to as Cargo Release</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{"citationID":"urCoZjjz","properties":{"formattedCitation":"(Brock et al., 2019)","plainCitation":"(Brock et al., 2019)","noteIndex":0},"citationItems":[{"id":"1bYYoRFa/8r9lEMns","uris":["http://zotero.org/users/15401920/items/SRRYG78C"],"itemData":{"id":1188,"type":"article-journal","abstract":"Cell delivery reagents often exploit the endocytic pathway as a route of cell entry. Once endocytosed, these reagents must overcome endosomal entrapment to insure the release of their macromolecular cargos into the cytosol of cells. In this review, we describe several examples of prototypical synthetic reagents that are capable of endosomal escape and examine their mechanisms of action, their efficiencies, and effects on cells. Although these delivery systems are chemically distinct, some commonalities in how they interact with cellular membranes can be inferred. This, in turn, sheds some light on the process of endosomal escape, and may help guide the development and optimization of next-generation delivery tools.,","container-title":"Bioconjugate chemistry","DOI":"10.1021/acs.bioconjchem.8b00799","ISSN":"1043-1802","issue":"2","journalAbbreviation":"Bioconjug Chem","note":"PMID: 30462487\nPMCID: PMC6561124","page":"293-304","source":"PubMed Central","title":"Endosomal escape and cytosolic penetration of macromolecules mediated by synthetic delivery agents","volume":"30","author":[{"family":"Brock","given":"Dakota J."},{"family":"Kondow-McConaghy","given":"Helena M."},{"family":"Hager","given":"Elizabeth C."},{"family":"Pellois","given":"Jean-Philippe"}],"issued":{"date-parts":[["2019",2,20]]}}}],"schema":"https://github.com/citation-style-language/schema/raw/master/csl-citation.json"}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(Brock et al., 2019)</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Pr="00D017CD">
        <w:rPr>
          <w:rFonts w:ascii="Times New Roman" w:hAnsi="Times New Roman" w:cs="Times New Roman"/>
          <w:sz w:val="24"/>
          <w:szCs w:val="24"/>
        </w:rPr>
        <w:t xml:space="preserve"> mRNA, RNP, and </w:t>
      </w:r>
      <w:proofErr w:type="spellStart"/>
      <w:r w:rsidRPr="00D017CD">
        <w:rPr>
          <w:rFonts w:ascii="Times New Roman" w:hAnsi="Times New Roman" w:cs="Times New Roman"/>
          <w:sz w:val="24"/>
          <w:szCs w:val="24"/>
        </w:rPr>
        <w:t>pDNA</w:t>
      </w:r>
      <w:proofErr w:type="spellEnd"/>
      <w:r w:rsidRPr="00D017CD">
        <w:rPr>
          <w:rFonts w:ascii="Times New Roman" w:hAnsi="Times New Roman" w:cs="Times New Roman"/>
          <w:sz w:val="24"/>
          <w:szCs w:val="24"/>
        </w:rPr>
        <w:t xml:space="preserve"> are transported into the nucleus, enabling further genome editing in the retinal nuclei and allowing for endogenous expression of a </w:t>
      </w:r>
      <w:r w:rsidRPr="00D017CD">
        <w:rPr>
          <w:rFonts w:ascii="Times New Roman" w:hAnsi="Times New Roman" w:cs="Times New Roman"/>
          <w:sz w:val="24"/>
          <w:szCs w:val="24"/>
        </w:rPr>
        <w:lastRenderedPageBreak/>
        <w:t>desired protein. Additionally, adenovirus-mediated delivery is used to introduce recombinant genetic material to host cells. The AAV virus binds with receptors present on the cell surface, followed by endocytosis, during which the nucleus releases the recombinant DNA. DNA transcription into mRNA and translation of mRNA begin to produce therapeutic proteins</w:t>
      </w:r>
      <w:r w:rsidR="00825984">
        <w:rPr>
          <w:rFonts w:ascii="Times New Roman" w:hAnsi="Times New Roman" w:cs="Times New Roman"/>
          <w:b/>
          <w:bCs/>
          <w:sz w:val="24"/>
          <w:szCs w:val="24"/>
        </w:rPr>
        <w:t xml:space="preserve"> </w:t>
      </w:r>
      <w:r w:rsidR="001A4E66" w:rsidRPr="00D017CD">
        <w:rPr>
          <w:rFonts w:ascii="Times New Roman" w:hAnsi="Times New Roman" w:cs="Times New Roman"/>
          <w:b/>
          <w:bCs/>
          <w:sz w:val="24"/>
          <w:szCs w:val="24"/>
        </w:rPr>
        <w:t>Fig</w:t>
      </w:r>
      <w:r w:rsidR="00F10C78">
        <w:rPr>
          <w:rFonts w:ascii="Times New Roman" w:hAnsi="Times New Roman" w:cs="Times New Roman"/>
          <w:b/>
          <w:bCs/>
          <w:sz w:val="24"/>
          <w:szCs w:val="24"/>
        </w:rPr>
        <w:t>.</w:t>
      </w:r>
      <w:r w:rsidR="001A4E66" w:rsidRPr="00D017CD">
        <w:rPr>
          <w:rFonts w:ascii="Times New Roman" w:hAnsi="Times New Roman" w:cs="Times New Roman"/>
          <w:b/>
          <w:bCs/>
          <w:sz w:val="24"/>
          <w:szCs w:val="24"/>
        </w:rPr>
        <w:t xml:space="preserve"> 5</w:t>
      </w:r>
      <w:r w:rsidR="001D2A9D">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{"citationID":"omMaGBNW","properties":{"formattedCitation":"(Carvalho et al., 2023)","plainCitation":"(Carvalho et al., 2023)","noteIndex":0},"citationItems":[{"id":125,"uris":["http://zotero.org/users/17126151/items/4CI5YNP4"],"itemData":{"id":125,"type":"article-journal","abstract":"Inherited retinal diseases (IRDs) encompass a diverse group of genetic disorders that lead to progressive visual impairment and blindness. Over the years, considerable strides have been made in understanding the underlying molecular mechanisms of IRDs, laying the foundation for novel therapeutic interventions. Gene therapy has emerged as a compelling approach for treating IRDs, with notable advancements achieved through targeted gene augmentation. However, several setbacks and limitations persist, hindering the widespread clinical success of gene therapy for IRDs. One promising avenue of research is the development of new genome editing tools. Cutting-edge technologies such as CRISPR-Cas9 nucleases, base editing and prime editing provide unprecedented precision and efficiency in targeted gene manipulation, offering the potential to overcome existing challenges in gene therapy for IRDs. Furthermore, traditional gene therapy encounters a significant challenge due to immune responses to viral vectors, which remain crucial obstacles in achieving long-lasting therapeutic effects. Nanotechnology has emerged as a valuable ally in the quest to optimize gene therapy outcomes for ocular diseases. Nanoparticles engineered with nanoscale precision offer improved gene delivery to specific retinal cells, allowing for enhanced targeting and reduced immunogenicity. In this review, we discuss recent advancements in gene therapy for IRDs and explore the setbacks that have been encountered in clinical trials. We highlight the technological advances in genome editing for the treatment of IRDs and how integrating nanotechnology into gene delivery strategies could enhance the safety and efficacy of gene therapy, ultimately offering hope for patients with IRDs and potentially paving the way for similar advancements in other ocular disorders.","container-title":"Frontiers in Ophthalmology","DOI":"10.3389/fopht.2023.1270561","ISSN":"2674-0826","journalAbbreviation":"Front Ophthalmol (Lausanne)","language":"eng","note":"PMID: 38983081\nPMCID: PMC11182192","page":"1270561","source":"PubMed","title":"Gene therapy for inherited retinal diseases: exploiting new tools in genome editing and nanotechnology","title-short":"Gene therapy for inherited retinal diseases","volume":"3","author":[{"family":"Carvalho","given":"Cláudia"},{"family":"Lemos","given":"Luísa"},{"family":"Antas","given":"Pedro"},{"family":"Seabra","given":"Miguel C."}],"issued":{"date-parts":[["2023"]]}}}],"schema":"https://github.com/citation-style-language/schema/raw/master/csl-citation.json"}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(Carvalho et al., 2023)</w:t>
      </w:r>
      <w:r w:rsidR="003A0F1D" w:rsidRPr="00D017CD">
        <w:rPr>
          <w:rFonts w:ascii="Times New Roman" w:hAnsi="Times New Roman" w:cs="Times New Roman"/>
          <w:sz w:val="24"/>
          <w:szCs w:val="24"/>
        </w:rPr>
        <w:fldChar w:fldCharType="end"/>
      </w:r>
      <w:r w:rsidR="001A4E66" w:rsidRPr="00D017CD">
        <w:rPr>
          <w:rFonts w:ascii="Times New Roman" w:hAnsi="Times New Roman" w:cs="Times New Roman"/>
          <w:sz w:val="24"/>
          <w:szCs w:val="24"/>
          <w:vertAlign w:val="superscript"/>
        </w:rPr>
        <w:t>,</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{"citationID":"GUTJKWBb","properties":{"formattedCitation":"(Rowe &amp; Ciulla, 2024)","plainCitation":"(Rowe &amp; Ciulla, 2024)","noteIndex":0},"citationItems":[{"id":128,"uris":["http://zotero.org/users/17126151/items/4IL5JN2S"],"itemData":{"id":128,"type":"article-journal","abstract":"Gene therapy holds promise as a transformative approach in the treatment landscape of age-related macular degeneration (AMD), diabetic retinopathy (DR), and diabetic macular edema (DME), aiming to address the challenges of frequent intravitreal anti-vascular endothelial growth factor (VEGF) injections. This manuscript reviews ongoing gene therapy clinical trials for these disorders, including ABBV-RGX-314, ixoberogene soroparvovec (ixo-vec), and 4D-150. ABBV-RGX-314 utilizes an adeno-associated virus (AAV) vector to deliver a transgene encoding a ranibizumab-like anti-VEGF antibody fragment, demonstrating promising results in Phase 1/2a and ongoing Phase 2b/3 trials. Ixo-vec employs an AAV2.7m8 capsid for intravitreal delivery of a transgene expressing aflibercept, showing encouraging outcomes in Phase 1 and ongoing Phase 2 trials. 4D-150 utilizes an evolved vector to express both aflibercept and a VEGF-C inhibitory RNAi, exhibiting positive interim results in Phase 1/2 studies. Other therapies reviewed include EXG102-031, FT-003, KH631, OLX10212, JNJ-1887, 4D-175, and OCU410. These therapies offer potential advantages of reduced treatment frequency and enhanced safety profiles, representing a paradigm shift in management towards durable and efficacious cellular-based biofactories. These advancements in gene therapy hold promise for improving outcomes in AMD and addressing the complex challenges of DME and DR, providing new avenues for the treatment of diabetic eye diseases.","container-title":"Genes","DOI":"10.3390/genes15060720","ISSN":"2073-4425","issue":"6","journalAbbreviation":"Genes (Basel)","language":"eng","note":"PMID: 38927656\nPMCID: PMC11203163","page":"720","source":"PubMed","title":"Gene Therapy for Non-Hereditary Retinal Disease: Age-Related Macular Degeneration, Diabetic Retinopathy, and Beyond","title-short":"Gene Therapy for Non-Hereditary Retinal Disease","volume":"15","author":[{"family":"Rowe","given":"Lucas W."},{"family":"Ciulla","given":"Thomas A."}],"issued":{"date-parts":[["2024",6,1]]}}}],"schema":"https://github.com/citation-style-language/schema/raw/master/csl-citation.json"}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(Rowe &amp; Ciulla, 2024)</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p>
    <w:p w14:paraId="08AED304" w14:textId="77777777" w:rsidR="003F1C4A" w:rsidRPr="00D017CD" w:rsidRDefault="003F1C4A" w:rsidP="00C30F5C">
      <w:pPr>
        <w:spacing w:line="360" w:lineRule="auto"/>
        <w:jc w:val="center"/>
        <w:rPr>
          <w:rFonts w:ascii="Times New Roman" w:hAnsi="Times New Roman" w:cs="Times New Roman"/>
          <w:sz w:val="24"/>
          <w:szCs w:val="24"/>
        </w:rPr>
      </w:pPr>
      <w:r w:rsidRPr="00D017CD">
        <w:rPr>
          <w:rFonts w:ascii="Times New Roman" w:hAnsi="Times New Roman" w:cs="Times New Roman"/>
          <w:noProof/>
          <w:sz w:val="24"/>
          <w:szCs w:val="24"/>
          <w:lang w:val="en-US"/>
        </w:rPr>
        <w:drawing>
          <wp:inline distT="0" distB="0" distL="0" distR="0" wp14:anchorId="4C10A59F" wp14:editId="35AE9ED4">
            <wp:extent cx="4158870" cy="5344592"/>
            <wp:effectExtent l="0" t="0" r="0" b="0"/>
            <wp:docPr id="755072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72257" name="Picture 755072257"/>
                    <pic:cNvPicPr/>
                  </pic:nvPicPr>
                  <pic:blipFill rotWithShape="1">
                    <a:blip r:embed="rId12" cstate="print">
                      <a:extLst>
                        <a:ext uri="{28A0092B-C50C-407E-A947-70E740481C1C}">
                          <a14:useLocalDpi xmlns:a14="http://schemas.microsoft.com/office/drawing/2010/main" val="0"/>
                        </a:ext>
                      </a:extLst>
                    </a:blip>
                    <a:srcRect b="27118"/>
                    <a:stretch/>
                  </pic:blipFill>
                  <pic:spPr bwMode="auto">
                    <a:xfrm>
                      <a:off x="0" y="0"/>
                      <a:ext cx="4194949" cy="5390958"/>
                    </a:xfrm>
                    <a:prstGeom prst="rect">
                      <a:avLst/>
                    </a:prstGeom>
                    <a:ln>
                      <a:noFill/>
                    </a:ln>
                    <a:extLst>
                      <a:ext uri="{53640926-AAD7-44D8-BBD7-CCE9431645EC}">
                        <a14:shadowObscured xmlns:a14="http://schemas.microsoft.com/office/drawing/2010/main"/>
                      </a:ext>
                    </a:extLst>
                  </pic:spPr>
                </pic:pic>
              </a:graphicData>
            </a:graphic>
          </wp:inline>
        </w:drawing>
      </w:r>
    </w:p>
    <w:p w14:paraId="35E203AA" w14:textId="77777777" w:rsidR="00603CF8" w:rsidRPr="00603CF8" w:rsidRDefault="00603CF8" w:rsidP="00603CF8">
      <w:pPr>
        <w:shd w:val="clear" w:color="auto" w:fill="FFFFFF"/>
        <w:spacing w:line="360" w:lineRule="auto"/>
        <w:jc w:val="both"/>
        <w:rPr>
          <w:rFonts w:ascii="Calibri" w:eastAsia="Times New Roman" w:hAnsi="Calibri" w:cs="Calibri"/>
          <w:color w:val="222222"/>
          <w:kern w:val="0"/>
          <w:lang w:val="en-US"/>
        </w:rPr>
      </w:pPr>
      <w:r w:rsidRPr="00603CF8">
        <w:rPr>
          <w:rFonts w:ascii="Times New Roman" w:eastAsia="Times New Roman" w:hAnsi="Times New Roman" w:cs="Times New Roman"/>
          <w:b/>
          <w:bCs/>
          <w:color w:val="222222"/>
          <w:kern w:val="0"/>
          <w:sz w:val="24"/>
          <w:szCs w:val="24"/>
        </w:rPr>
        <w:t>Fig</w:t>
      </w:r>
      <w:r w:rsidR="00825984">
        <w:rPr>
          <w:rFonts w:ascii="Times New Roman" w:eastAsia="Times New Roman" w:hAnsi="Times New Roman" w:cs="Times New Roman"/>
          <w:b/>
          <w:bCs/>
          <w:color w:val="222222"/>
          <w:kern w:val="0"/>
          <w:sz w:val="24"/>
          <w:szCs w:val="24"/>
        </w:rPr>
        <w:t xml:space="preserve">. 5. </w:t>
      </w:r>
      <w:r w:rsidRPr="00603CF8">
        <w:rPr>
          <w:rFonts w:ascii="Times New Roman" w:eastAsia="Times New Roman" w:hAnsi="Times New Roman" w:cs="Times New Roman"/>
          <w:b/>
          <w:bCs/>
          <w:color w:val="222222"/>
          <w:kern w:val="0"/>
          <w:sz w:val="24"/>
          <w:szCs w:val="24"/>
        </w:rPr>
        <w:t> </w:t>
      </w:r>
      <w:r w:rsidRPr="00603CF8">
        <w:rPr>
          <w:rFonts w:ascii="Times New Roman" w:eastAsia="Times New Roman" w:hAnsi="Times New Roman" w:cs="Times New Roman"/>
          <w:color w:val="222222"/>
          <w:kern w:val="0"/>
          <w:sz w:val="24"/>
          <w:szCs w:val="24"/>
        </w:rPr>
        <w:t>Mechanism of ocular gene therapy via subretinal administration. The recombinant DNA can be delivered using nanoparticle-mediated or adeno-associated viral vectors.</w:t>
      </w:r>
    </w:p>
    <w:p w14:paraId="3AB367FA" w14:textId="77777777" w:rsidR="00CF5882" w:rsidRPr="00D017CD" w:rsidRDefault="00CF5882" w:rsidP="00603CF8">
      <w:pPr>
        <w:spacing w:line="360" w:lineRule="auto"/>
        <w:jc w:val="both"/>
        <w:rPr>
          <w:rFonts w:ascii="Times New Roman" w:hAnsi="Times New Roman" w:cs="Times New Roman"/>
          <w:b/>
          <w:bCs/>
          <w:sz w:val="24"/>
          <w:szCs w:val="24"/>
        </w:rPr>
      </w:pPr>
      <w:r w:rsidRPr="00D017CD">
        <w:rPr>
          <w:rFonts w:ascii="Times New Roman" w:hAnsi="Times New Roman" w:cs="Times New Roman"/>
          <w:b/>
          <w:bCs/>
          <w:sz w:val="24"/>
          <w:szCs w:val="24"/>
        </w:rPr>
        <w:t>6.</w:t>
      </w:r>
      <w:r w:rsidR="00603CF8">
        <w:rPr>
          <w:rFonts w:ascii="Times New Roman" w:hAnsi="Times New Roman" w:cs="Times New Roman"/>
          <w:b/>
          <w:bCs/>
          <w:sz w:val="24"/>
          <w:szCs w:val="24"/>
        </w:rPr>
        <w:t xml:space="preserve"> </w:t>
      </w:r>
      <w:r w:rsidRPr="00D017CD">
        <w:rPr>
          <w:rFonts w:ascii="Times New Roman" w:hAnsi="Times New Roman" w:cs="Times New Roman"/>
          <w:b/>
          <w:bCs/>
          <w:sz w:val="24"/>
          <w:szCs w:val="24"/>
        </w:rPr>
        <w:t>Gene Therapy: ARMD clinical trials</w:t>
      </w:r>
    </w:p>
    <w:p w14:paraId="0FA8A5C9" w14:textId="77777777" w:rsidR="00CF5882" w:rsidRPr="00D017CD" w:rsidRDefault="00CF5882" w:rsidP="00603CF8">
      <w:pPr>
        <w:spacing w:line="360" w:lineRule="auto"/>
        <w:jc w:val="both"/>
        <w:rPr>
          <w:rFonts w:ascii="Times New Roman" w:hAnsi="Times New Roman" w:cs="Times New Roman"/>
          <w:b/>
          <w:bCs/>
          <w:sz w:val="24"/>
          <w:szCs w:val="24"/>
        </w:rPr>
      </w:pPr>
      <w:r w:rsidRPr="00D017CD">
        <w:rPr>
          <w:rFonts w:ascii="Times New Roman" w:hAnsi="Times New Roman" w:cs="Times New Roman"/>
          <w:b/>
          <w:bCs/>
          <w:sz w:val="24"/>
          <w:szCs w:val="24"/>
        </w:rPr>
        <w:t xml:space="preserve">6.1. PEDF- Pigment epithelial-derived growth factor </w:t>
      </w:r>
    </w:p>
    <w:p w14:paraId="53ECB9D4" w14:textId="77777777" w:rsidR="00CF5882" w:rsidRPr="00603CF8" w:rsidRDefault="00603CF8" w:rsidP="00603CF8">
      <w:pPr>
        <w:spacing w:line="360" w:lineRule="auto"/>
        <w:jc w:val="both"/>
        <w:rPr>
          <w:rFonts w:ascii="Calibri" w:eastAsia="Times New Roman" w:hAnsi="Calibri" w:cs="Calibri"/>
          <w:kern w:val="0"/>
          <w:lang w:val="en-US"/>
        </w:rPr>
      </w:pPr>
      <w:r w:rsidRPr="00603CF8">
        <w:rPr>
          <w:rFonts w:ascii="Times New Roman" w:eastAsia="Times New Roman" w:hAnsi="Times New Roman" w:cs="Times New Roman"/>
          <w:kern w:val="0"/>
          <w:sz w:val="24"/>
          <w:szCs w:val="24"/>
        </w:rPr>
        <w:t xml:space="preserve">Serpin F1 is a glycoprotein that inhibits neovascularisation and promotes neuronal survival by blocking angiogenesis. In a study of 2006 Phase 1 trial explored the delivery of PEDF via </w:t>
      </w:r>
      <w:r w:rsidRPr="00603CF8">
        <w:rPr>
          <w:rFonts w:ascii="Times New Roman" w:eastAsia="Times New Roman" w:hAnsi="Times New Roman" w:cs="Times New Roman"/>
          <w:kern w:val="0"/>
          <w:sz w:val="24"/>
          <w:szCs w:val="24"/>
        </w:rPr>
        <w:lastRenderedPageBreak/>
        <w:t>a single intravitreal injection of gene therapy of AAV (adeno-associated virus) in 28 patients with neovascular age-related macular degeneration (</w:t>
      </w:r>
      <w:proofErr w:type="spellStart"/>
      <w:r w:rsidRPr="00603CF8">
        <w:rPr>
          <w:rFonts w:ascii="Times New Roman" w:eastAsia="Times New Roman" w:hAnsi="Times New Roman" w:cs="Times New Roman"/>
          <w:kern w:val="0"/>
          <w:sz w:val="24"/>
          <w:szCs w:val="24"/>
        </w:rPr>
        <w:t>nAMD</w:t>
      </w:r>
      <w:proofErr w:type="spellEnd"/>
      <w:r w:rsidRPr="00603CF8">
        <w:rPr>
          <w:rFonts w:ascii="Times New Roman" w:eastAsia="Times New Roman" w:hAnsi="Times New Roman" w:cs="Times New Roman"/>
          <w:kern w:val="0"/>
          <w:sz w:val="24"/>
          <w:szCs w:val="24"/>
        </w:rPr>
        <w:t>) was explored</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{"citationID":"WAp3vD7X","properties":{"formattedCitation":"(Campochiaro et al., 2006)","plainCitation":"(Campochiaro et al., 2006)","noteIndex":0},"citationItems":[{"id":214,"uris":["http://zotero.org/users/17126151/items/Z9XJ5T5Z"],"itemData":{"id":214,"type":"article-journal","abstract":"Twenty-eight patients with advanced neovascular age-related macular degeneration (AMD) were given a single intravitreous injection of an E1-, partial E3-, E4-deleted adenoviral vector expressing human pigment epithelium- derived factor (AdPEDF.11). Doses ranging from 10(6) to 10(9.5) particle units (PU) were investigated. There were no serious adverse events related to AdPEDF.11 and no dose-limiting toxicities. Signs of mild, transient intraocular inflammation occurred in 25% of patients, but there was no severe inflammation. Six patients experienced increased intraocular pressure that was easily controlled by topical medication. All adenoviral cultures were negative. At 3 and 6 months after injection, 55 and 50%, respectively, of patients treated with 10(6)-10(7.5) PU and 94 and 71% of patients treated with 10(8)-10(9.5) PU had no change or improvement in lesion size from baseline. The median increase in lesion size at 6 and 12 months was 0.5 and 1.0 disk areas in the low-dose group compared with 0 and 0 disk areas in the high-dose group. These data suggest the possibility of antiangiogenic activity that may last for several months after a single intravitreous injection of doses greater than 10(8) PU of AdPEDF.11. This study provides evidence that adenoviral vector-mediated ocular gene transfer is a viable approach for the treatment of ocular disorders and that further studies investigating the efficacy of AdPEDF.11 in patients with neovascular AMD should be performed.","container-title":"Human Gene Therapy","DOI":"10.1089/hum.2006.17.167","ISSN":"1043-0342","issue":"2","journalAbbreviation":"Hum Gene Ther","language":"eng","note":"PMID: 16454650","page":"167-176","source":"PubMed","title":"Adenoviral vector-delivered pigment epithelium-derived factor for neovascular age-related macular degeneration: results of a phase I clinical trial","title-short":"Adenoviral vector-delivered pigment epithelium-derived factor for neovascular age-related macular degeneration","volume":"17","author":[{"family":"Campochiaro","given":"Peter A."},{"family":"Nguyen","given":"Quan Dong"},{"family":"Shah","given":"Syed Mahmood"},{"family":"Klein","given":"Michael L."},{"family":"Holz","given":"Eric"},{"family":"Frank","given":"Robert N."},{"family":"Saperstein","given":"David A."},{"family":"Gupta","given":"Anurag"},{"family":"Stout","given":"J. Timothy"},{"family":"Macko","given":"Jennifer"},{"family":"DiBartolomeo","given":"Robert"},{"family":"Wei","given":"Lisa L."}],"issued":{"date-parts":[["2006",2]]}}}],"schema":"https://github.com/citation-style-language/schema/raw/master/csl-citation.json"}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w:t>
      </w:r>
      <w:proofErr w:type="spellStart"/>
      <w:r w:rsidR="00B3699E" w:rsidRPr="00B3699E">
        <w:rPr>
          <w:rFonts w:ascii="Times New Roman" w:hAnsi="Times New Roman" w:cs="Times New Roman"/>
          <w:sz w:val="24"/>
        </w:rPr>
        <w:t>Campochiaro</w:t>
      </w:r>
      <w:proofErr w:type="spellEnd"/>
      <w:r w:rsidR="00B3699E" w:rsidRPr="00B3699E">
        <w:rPr>
          <w:rFonts w:ascii="Times New Roman" w:hAnsi="Times New Roman" w:cs="Times New Roman"/>
          <w:sz w:val="24"/>
        </w:rPr>
        <w:t xml:space="preserve"> et al., 2006)</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D017CD">
        <w:rPr>
          <w:rFonts w:ascii="Times New Roman" w:hAnsi="Times New Roman" w:cs="Times New Roman"/>
          <w:sz w:val="24"/>
          <w:szCs w:val="24"/>
        </w:rPr>
        <w:t xml:space="preserve"> The consequences of the study showed that patients who received a lower dose (&lt; 108 particle units) encountered reduced visual acuity and increased size of lesion, whereas those who received a higher dose (at least 108 particle units) remained stable</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{"citationID":"283UYr7J","properties":{"formattedCitation":"(Gehlbach et al., 2003)","plainCitation":"(Gehlbach et al., 2003)","noteIndex":0},"citationItems":[{"id":216,"uris":["http://zotero.org/users/17126151/items/SRAQ6K5R"],"itemData":{"id":216,"type":"article-journal","abstract":"Gene transfer provides an exciting new approach for the treatment of retinal and choroidal diseases. Two areas of concern are the potential for vector-related toxicity and uncertainties associated with prolonged transgene expression. One way to address these concerns for transfer of genes encoding secreted proteins is to transduce cells on the outside of the eye, provided the gene product can gain access to the eye and have the desired effect. In this study, we investigated the feasibility of this approach. Periocular injection of an adenoviral vector encoding beta-galactosidase (AdLacZ.10) resulted in LacZ-stained cells throughout the orbit and around the eye. Compared to periocular injection of 5 x 10(9) particles of control vector, periocular injection of 5 x 10(9) or 1 x 10(9) particles of an adenoviral vector expressing pigment epithelium-derived factor (PEDF) regulated by a CMV promoter (AdPEDF.11) resulted in significantly elevated intraocular levels of PEDF and suppression of choroidal neovascularization. Periocularly injected recombinant PEDF was also found to diffuse through the sclera into the eye. Although similar experiments are needed in an animal with a human-sized eye, these data suggest that periocular gene transfer deserves consideration for the treatment of choroidal diseases.","container-title":"Gene Therapy","DOI":"10.1038/sj.gt.3301931","ISSN":"0969-7128","issue":"8","journalAbbreviation":"Gene Ther","language":"eng","note":"PMID: 12692592","page":"637-646","source":"PubMed","title":"Periocular injection of an adenoviral vector encoding pigment epithelium-derived factor inhibits choroidal neovascularization","volume":"10","author":[{"family":"Gehlbach","given":"P."},{"family":"Demetriades","given":"A. M."},{"family":"Yamamoto","given":"S."},{"family":"Deering","given":"T."},{"family":"Duh","given":"E. J."},{"family":"Yang","given":"H. S."},{"family":"Cingolani","given":"C."},{"family":"Lai","given":"H."},{"family":"Wei","given":"L."},{"family":"Campochiaro","given":"P. A."}],"issued":{"date-parts":[["2003",4]]}}}],"schema":"https://github.com/citation-style-language/schema/raw/master/csl-citation.json"}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(Gehlbach et al., 2003)</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00CF5882" w:rsidRPr="00D017CD">
        <w:rPr>
          <w:rFonts w:ascii="Times New Roman" w:hAnsi="Times New Roman" w:cs="Times New Roman"/>
          <w:sz w:val="24"/>
          <w:szCs w:val="24"/>
        </w:rPr>
        <w:t xml:space="preserve"> This study aimed to determine the optimal dosage rather than evaluating therapeutic efficacy</w:t>
      </w:r>
      <w:r w:rsidR="00AF1310" w:rsidRPr="00D017CD">
        <w:rPr>
          <w:rFonts w:ascii="Times New Roman" w:hAnsi="Times New Roman" w:cs="Times New Roman"/>
          <w:sz w:val="24"/>
          <w:szCs w:val="24"/>
        </w:rPr>
        <w:t>.</w:t>
      </w:r>
    </w:p>
    <w:p w14:paraId="3BA1E17E" w14:textId="77777777" w:rsidR="00CF5882" w:rsidRPr="00D017CD" w:rsidRDefault="00CF5882" w:rsidP="00C30F5C">
      <w:pPr>
        <w:spacing w:line="360" w:lineRule="auto"/>
        <w:jc w:val="both"/>
        <w:rPr>
          <w:rFonts w:ascii="Times New Roman" w:hAnsi="Times New Roman" w:cs="Times New Roman"/>
          <w:b/>
          <w:bCs/>
          <w:sz w:val="24"/>
          <w:szCs w:val="24"/>
        </w:rPr>
      </w:pPr>
      <w:r w:rsidRPr="00D017CD">
        <w:rPr>
          <w:rFonts w:ascii="Times New Roman" w:hAnsi="Times New Roman" w:cs="Times New Roman"/>
          <w:b/>
          <w:bCs/>
          <w:sz w:val="24"/>
          <w:szCs w:val="24"/>
        </w:rPr>
        <w:t>6.2. ADVM -022</w:t>
      </w:r>
    </w:p>
    <w:p w14:paraId="4C5472B1" w14:textId="77777777" w:rsidR="00CF5882" w:rsidRPr="00D017CD" w:rsidRDefault="00CF5882" w:rsidP="00C30F5C">
      <w:pPr>
        <w:spacing w:line="360" w:lineRule="auto"/>
        <w:jc w:val="both"/>
        <w:rPr>
          <w:rFonts w:ascii="Times New Roman" w:hAnsi="Times New Roman" w:cs="Times New Roman"/>
          <w:sz w:val="24"/>
          <w:szCs w:val="24"/>
        </w:rPr>
      </w:pPr>
      <w:r w:rsidRPr="00D017CD">
        <w:rPr>
          <w:rFonts w:ascii="Times New Roman" w:hAnsi="Times New Roman" w:cs="Times New Roman"/>
          <w:sz w:val="24"/>
          <w:szCs w:val="24"/>
        </w:rPr>
        <w:t>The p</w:t>
      </w:r>
      <w:r w:rsidRPr="00603CF8">
        <w:rPr>
          <w:rFonts w:ascii="Times New Roman" w:hAnsi="Times New Roman" w:cs="Times New Roman"/>
          <w:sz w:val="24"/>
          <w:szCs w:val="24"/>
        </w:rPr>
        <w:t>hase 1 OPTIC is an open-label clinical trial. This trial assessed the safety, efficacy, and dose-finding of an office-based procedure for intravitreal gene therapy for treating ARMD</w:t>
      </w:r>
      <w:r w:rsidR="002D39FE">
        <w:rPr>
          <w:rFonts w:ascii="Times New Roman" w:hAnsi="Times New Roman" w:cs="Times New Roman"/>
          <w:sz w:val="24"/>
          <w:szCs w:val="24"/>
        </w:rPr>
        <w:t xml:space="preserve"> </w:t>
      </w:r>
      <w:r w:rsidR="003A0F1D" w:rsidRPr="00603CF8">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{"citationID":"5UZ1VMWV","properties":{"formattedCitation":"(Khanani et al., 2020)","plainCitation":"(Khanani et al., 2020)","noteIndex":0},"citationItems":[{"id":"1bYYoRFa/9hzMal05","uris":["http://zotero.org/users/15401920/items/DBWFFKS4"],"itemData":{"id":1230,"type":"article-journal","abstract":"Intravitreal gene therapy has the potential to significantly reduce anti-vascular endothelial growth factor (VEGF) treatment burden and improve real-world vision outcomes in neovascular AMD (nAMD). OPTIC (NCT03748784) assessed the safety, tolerability and efficacy of a single intravitreal injection of ADVM-022 (AAV.7m8-aflibercept gene therapy) in patients with nAMD.    OPTIC is an ongoing open-label, multicenter, dose-ranging study in treatment experienced patients with a confirmed response to anti-VEGF therapy. Patients were administered a single intravitreal injection of ADVM-022 at 6x10^11 vg/eye for cohort 1 (n=6) and at 2x10^11 vg/eye for cohort 2 (n=6). Incidence and severity of adverse events, change in visual acuity (BCVA), anatomical outcomes on OCT, and number of aflibercept rescue injections were evaluated.    Patients in cohort 1 previously received frequent anti-VEGF injections (mean 6.2 injections in the prior 8 months) to maintain relatively good baseline BCVA (mean 65.8 ETDRS letters) prior to enrollment in OPTIC. Through October 1, 2019, with a median of 34 weeks follow-up (range 24, 44 weeks), there were no serious adverse events, no dose limiting toxicities and no non-ocular adverse events related to ADVM-022. Ocular inflammation occurred mainly in the anterior segment, and was generally mild and manageable with topical steroids. BCVA was maintained with a mean change of -1.5 (range -9,+5) ETDRS letters. On OCT, retinal anatomy improved with signs of exudation resolved or stabilized in all patients. No rescue injections were required for any patient. New data from the ongoing, open-label OPTIC study will be presented, including 52-week data from cohort 1. Baseline characteristics and October 1, 2019 data are in the table below.    ADVM-022 is designed to provide sustained therapeutic levels of aflibercept following a single intravitreal injection. Patients with nAMD treated with a single injection of ADVM-022 were able to maintain vision and improve anatomical outcomes without requiring any rescue anti-VEGF injections through a median of 34 weeks.  This is a 2020 ARVO Annual Meeting abstract.","container-title":"Investigative Ophthalmology &amp; Visual Science","ISSN":"1552-5783","issue":"7","journalAbbreviation":"Investigative Ophthalmology &amp; Visual Science","page":"1154","source":"Silverchair","title":"Phase 1 Study of Intravitreal Gene Therapy ADVM-022 for neovascular AMD (OPTIC Trial)","volume":"61","author":[{"family":"Khanani","given":"Arshad M."},{"family":"Kiss","given":"Szilard"},{"family":"Turpcu","given":"Adam"},{"family":"Hoang","given":"Carol"},{"family":"Osborne","given":"Aaron"}],"issued":{"date-parts":[["2020",6,10]]}}}],"schema":"https://github.com/citation-style-language/schema/raw/master/csl-citation.json"} </w:instrText>
      </w:r>
      <w:r w:rsidR="003A0F1D" w:rsidRPr="00603CF8">
        <w:rPr>
          <w:rFonts w:ascii="Times New Roman" w:hAnsi="Times New Roman" w:cs="Times New Roman"/>
          <w:sz w:val="24"/>
          <w:szCs w:val="24"/>
        </w:rPr>
        <w:fldChar w:fldCharType="separate"/>
      </w:r>
      <w:r w:rsidR="00B3699E" w:rsidRPr="00B3699E">
        <w:rPr>
          <w:rFonts w:ascii="Times New Roman" w:hAnsi="Times New Roman" w:cs="Times New Roman"/>
          <w:sz w:val="24"/>
        </w:rPr>
        <w:t>(Khanani et al., 2020)</w:t>
      </w:r>
      <w:r w:rsidR="003A0F1D" w:rsidRPr="00603CF8">
        <w:rPr>
          <w:rFonts w:ascii="Times New Roman" w:hAnsi="Times New Roman" w:cs="Times New Roman"/>
          <w:sz w:val="24"/>
          <w:szCs w:val="24"/>
        </w:rPr>
        <w:fldChar w:fldCharType="end"/>
      </w:r>
      <w:r w:rsidR="002D39FE">
        <w:rPr>
          <w:rFonts w:ascii="Times New Roman" w:hAnsi="Times New Roman" w:cs="Times New Roman"/>
          <w:sz w:val="24"/>
          <w:szCs w:val="24"/>
        </w:rPr>
        <w:t>.</w:t>
      </w:r>
      <w:r w:rsidRPr="00603CF8">
        <w:rPr>
          <w:rFonts w:ascii="Times New Roman" w:hAnsi="Times New Roman" w:cs="Times New Roman"/>
          <w:sz w:val="24"/>
          <w:szCs w:val="24"/>
        </w:rPr>
        <w:t xml:space="preserve"> </w:t>
      </w:r>
      <w:r w:rsidR="00603CF8" w:rsidRPr="00603CF8">
        <w:rPr>
          <w:rFonts w:ascii="Times New Roman" w:hAnsi="Times New Roman" w:cs="Times New Roman"/>
          <w:color w:val="222222"/>
          <w:sz w:val="24"/>
          <w:szCs w:val="24"/>
          <w:shd w:val="clear" w:color="auto" w:fill="FFFFFF"/>
        </w:rPr>
        <w:t>This study utilised the AAV2.7 m8 capsid, an engineered form of capsid from AAV2, which encodes the cDNA for a protein similar to aflibercept, an anti-vascular endothelial growth factor (VEGF) agent</w:t>
      </w:r>
      <w:r w:rsidR="002D39FE">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{"citationID":"5IRbORsv","properties":{"formattedCitation":"(Cui et al., 2024)","plainCitation":"(Cui et al., 2024)","noteIndex":0},"citationItems":[{"id":"1bYYoRFa/rcSnlXfe","uris":["http://zotero.org/users/15401920/items/IWFFB43M"],"itemData":{"id":1232,"type":"article-journal","abstract":"Recombinant adeno-associated virus (rAAV) vectors are currently the only proven vehicles for treating ophthalmological diseases through gene therapy. A wide range of gene therapy programs that target ocular diseases are currently being pursued. Nearly 20 years of research have gone into enhancing the efficacy of targeting retinal tissues and improving transgene delivery to specific cell types. The engineered AAV capsid, AAV2.7m8 is currently among the best capsids for transducing the retina following intravitreal (IVT) injection. However, adverse effects, including intraocular inflammation, have been reported following retinal administration of AAV2.7m8 vectors in clinical trials. Furthermore, we have consistently observed that AAV2.7m8 exhibits low packaging titers irrespective of the vector construct design. In this report, we found that AAV2.7m8 packages vector genomes with a higher degree of heterogeneity than AAV2. We also found that genome-loaded AAV2.7m8 stimulated the infiltration of microglia in mouse retinas following IVT administration, while the response to genome-loaded AAV2 and empty AAV2.7m8 capsids produced much milder responses. This finding suggests that IVT administration of AAV2.7m8 vectors may stimulate retinal immune responses in part because of its penchant to package and deliver non-unit length genomes.","container-title":"Gene therapy","DOI":"10.1038/s41434-024-00477-7","ISSN":"0969-7128","issue":"9-10","journalAbbreviation":"Gene Ther","note":"PMID: 39134629\nPMCID: PMC11600122","page":"489-498","source":"PubMed Central","title":"The AAV2.7m8 capsid packages a higher degree of heterogeneous vector genomes than AAV2","volume":"31","author":[{"family":"Cui","given":"Mengtian"},{"family":"Su","given":"Qin"},{"family":"Yip","given":"Mitchell"},{"family":"McGowan","given":"Jackson"},{"family":"Punzo","given":"Claudio"},{"family":"Gao","given":"Guangping"},{"family":"Tai","given":"Phillip W. L."}],"issued":{"date-parts":[["2024",9]]}}}],"schema":"https://github.com/citation-style-language/schema/raw/master/csl-citation.json"}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(Cui et al., 2024)</w:t>
      </w:r>
      <w:r w:rsidR="003A0F1D" w:rsidRPr="00D017CD">
        <w:rPr>
          <w:rFonts w:ascii="Times New Roman" w:hAnsi="Times New Roman" w:cs="Times New Roman"/>
          <w:sz w:val="24"/>
          <w:szCs w:val="24"/>
        </w:rPr>
        <w:fldChar w:fldCharType="end"/>
      </w:r>
      <w:r w:rsidR="002D39FE">
        <w:rPr>
          <w:rFonts w:ascii="Times New Roman" w:hAnsi="Times New Roman" w:cs="Times New Roman"/>
          <w:sz w:val="24"/>
          <w:szCs w:val="24"/>
        </w:rPr>
        <w:t>.</w:t>
      </w:r>
      <w:r w:rsidR="00603CF8">
        <w:rPr>
          <w:rFonts w:ascii="Times New Roman" w:hAnsi="Times New Roman" w:cs="Times New Roman"/>
          <w:sz w:val="24"/>
          <w:szCs w:val="24"/>
        </w:rPr>
        <w:t xml:space="preserve"> </w:t>
      </w:r>
      <w:proofErr w:type="spellStart"/>
      <w:r w:rsidRPr="00D017CD">
        <w:rPr>
          <w:rFonts w:ascii="Times New Roman" w:hAnsi="Times New Roman" w:cs="Times New Roman"/>
          <w:sz w:val="24"/>
          <w:szCs w:val="24"/>
        </w:rPr>
        <w:t>Adverum</w:t>
      </w:r>
      <w:proofErr w:type="spellEnd"/>
      <w:r w:rsidRPr="00D017CD">
        <w:rPr>
          <w:rFonts w:ascii="Times New Roman" w:hAnsi="Times New Roman" w:cs="Times New Roman"/>
          <w:sz w:val="24"/>
          <w:szCs w:val="24"/>
        </w:rPr>
        <w:t xml:space="preserve"> Biotechnology designed and started a Phase 1 trial study profile of intravitreal ADM-022. Trials were conducted on ARMD patients, previously controlled by frequent anti-VEGF injections, and who received high or low doses of ADVM-022 (</w:t>
      </w:r>
      <w:proofErr w:type="spellStart"/>
      <w:r w:rsidRPr="00D017CD">
        <w:rPr>
          <w:rFonts w:ascii="Times New Roman" w:hAnsi="Times New Roman" w:cs="Times New Roman"/>
          <w:sz w:val="24"/>
          <w:szCs w:val="24"/>
        </w:rPr>
        <w:t>ixoberogenesoroparvovec</w:t>
      </w:r>
      <w:proofErr w:type="spellEnd"/>
      <w:r w:rsidRPr="00D017CD">
        <w:rPr>
          <w:rFonts w:ascii="Times New Roman" w:hAnsi="Times New Roman" w:cs="Times New Roman"/>
          <w:sz w:val="24"/>
          <w:szCs w:val="24"/>
        </w:rPr>
        <w:t xml:space="preserve">). The number of anti-VEGF injections was reduced by up to 98% in the high-dose population and 80% in the low-dose group. OPTIC study trial showed, injecting </w:t>
      </w:r>
      <w:proofErr w:type="spellStart"/>
      <w:r w:rsidRPr="00D017CD">
        <w:rPr>
          <w:rFonts w:ascii="Times New Roman" w:hAnsi="Times New Roman" w:cs="Times New Roman"/>
          <w:sz w:val="24"/>
          <w:szCs w:val="24"/>
        </w:rPr>
        <w:t>Ixo-vec</w:t>
      </w:r>
      <w:proofErr w:type="spellEnd"/>
      <w:r w:rsidRPr="00D017CD">
        <w:rPr>
          <w:rFonts w:ascii="Times New Roman" w:hAnsi="Times New Roman" w:cs="Times New Roman"/>
          <w:sz w:val="24"/>
          <w:szCs w:val="24"/>
        </w:rPr>
        <w:t xml:space="preserve"> encouraged steady points of intraocular aflibercept, best corrected visual acuity remained constant, and a remarkable decrease in anti-VEGF injections, replaced by a solo injection of the </w:t>
      </w:r>
      <w:proofErr w:type="spellStart"/>
      <w:r w:rsidRPr="00D017CD">
        <w:rPr>
          <w:rFonts w:ascii="Times New Roman" w:hAnsi="Times New Roman" w:cs="Times New Roman"/>
          <w:sz w:val="24"/>
          <w:szCs w:val="24"/>
        </w:rPr>
        <w:t>ixoberogene</w:t>
      </w:r>
      <w:proofErr w:type="spellEnd"/>
      <w:r w:rsidRPr="00D017CD">
        <w:rPr>
          <w:rFonts w:ascii="Times New Roman" w:hAnsi="Times New Roman" w:cs="Times New Roman"/>
          <w:sz w:val="24"/>
          <w:szCs w:val="24"/>
        </w:rPr>
        <w:t xml:space="preserve"> </w:t>
      </w:r>
      <w:proofErr w:type="spellStart"/>
      <w:r w:rsidRPr="00D017CD">
        <w:rPr>
          <w:rFonts w:ascii="Times New Roman" w:hAnsi="Times New Roman" w:cs="Times New Roman"/>
          <w:sz w:val="24"/>
          <w:szCs w:val="24"/>
        </w:rPr>
        <w:t>soroparvovec</w:t>
      </w:r>
      <w:proofErr w:type="spellEnd"/>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{"citationID":"r85GAQZu","properties":{"formattedCitation":"(Wojciechowski et al., 2025)","plainCitation":"(Wojciechowski et al., 2025)","noteIndex":0},"citationItems":[{"id":"1bYYoRFa/TYJtWQgv","uris":["http://zotero.org/users/15401920/items/NDGT9QTZ"],"itemData":{"id":1214,"type":"article-journal","abstract":"Aflibercept 8 mg administered in extended dosing intervals has shown non-inferior visual gains and comparable safety profile to aflibercept 2 mg in the PULSAR pivotal randomized clinical trial and has the potential to reduce the treatment burden of ...","container-title":"Ophthalmology and Therapy","DOI":"10.1007/s40123-025-01098-y","issue":"4","language":"en","note":"PMID: 39994103","page":"733","source":"pmc.ncbi.nlm.nih.gov","title":"Efficacy, Safety, and Injection Frequency with Novel Aflibercept 8 mg in Neovascular Age-Related Macular Degeneration: A Comparison with Existing Anti-VEGF Regimens Using a Bayesian Network Meta-Analysis","title-short":"Efficacy, Safety, and Injection Frequency with Novel Aflibercept 8 mg in Neovascular Age-Related Macular Degeneration","volume":"14","author":[{"family":"Wojciechowski","given":"Piotr"},{"family":"Wdowiak","given":"Marlena"},{"family":"Panek","given":"Malgorzata"},{"family":"Lunk","given":"Izabella"},{"family":"Carrasco","given":"Joao"},{"family":"Zhang","given":"Xin"},{"family":"Wu","given":"Olivia"},{"family":"Korobelnik","given":"Jean-François"},{"family":"Lanzetta","given":"Paolo"}],"issued":{"date-parts":[["2025",2,24]]}}}],"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(Wojciechowski et al., 2025)</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r w:rsidRPr="00D017CD">
        <w:rPr>
          <w:rFonts w:ascii="Times New Roman" w:hAnsi="Times New Roman" w:cs="Times New Roman"/>
          <w:sz w:val="24"/>
          <w:szCs w:val="24"/>
        </w:rPr>
        <w:t xml:space="preserve"> The results revealed a significant yearly drop in anti-VEGF injections for ARMD, with a 94% decrease for the higher dose (2×10</w:t>
      </w:r>
      <w:r w:rsidRPr="007416ED">
        <w:rPr>
          <w:rFonts w:ascii="Times New Roman" w:hAnsi="Times New Roman" w:cs="Times New Roman"/>
          <w:sz w:val="24"/>
          <w:szCs w:val="24"/>
          <w:vertAlign w:val="superscript"/>
        </w:rPr>
        <w:t>11</w:t>
      </w:r>
      <w:r w:rsidRPr="00D017CD">
        <w:rPr>
          <w:rFonts w:ascii="Times New Roman" w:hAnsi="Times New Roman" w:cs="Times New Roman"/>
          <w:sz w:val="24"/>
          <w:szCs w:val="24"/>
        </w:rPr>
        <w:t xml:space="preserve"> vg/eye) and a 90% decrease for the lower dose (6×10</w:t>
      </w:r>
      <w:r w:rsidRPr="007416ED">
        <w:rPr>
          <w:rFonts w:ascii="Times New Roman" w:hAnsi="Times New Roman" w:cs="Times New Roman"/>
          <w:sz w:val="24"/>
          <w:szCs w:val="24"/>
          <w:vertAlign w:val="superscript"/>
        </w:rPr>
        <w:t>10</w:t>
      </w:r>
      <w:r w:rsidRPr="00D017CD">
        <w:rPr>
          <w:rFonts w:ascii="Times New Roman" w:hAnsi="Times New Roman" w:cs="Times New Roman"/>
          <w:sz w:val="24"/>
          <w:szCs w:val="24"/>
        </w:rPr>
        <w:t xml:space="preserve"> vg/eye), respectively, to an injection-free period of 85% and 68%</w:t>
      </w:r>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{"citationID":"7W0K9v7R","properties":{"formattedCitation":"(Dalkara et al., 2013)","plainCitation":"(Dalkara et al., 2013)","noteIndex":0},"citationItems":[{"id":140,"uris":["http://zotero.org/users/17126151/items/YEM7G8GQ"],"itemData":{"id":140,"type":"article-journal","abstract":"Inherited retinal degenerative diseases are a clinically promising focus of adeno-associated virus (AAV)-mediated gene therapy. These diseases arise from pathogenic mutations in mRNA transcripts expressed in the eye's photoreceptor cells or retinal pigment epithelium (RPE), leading to cell death and structural deterioration. Because current gene delivery methods require an injurious subretinal injection to reach the photoreceptors or RPE and transduce just a fraction of the retina, they are suitable only for the treatment of rare degenerative diseases in which retinal structures remain intact. To address the need for broadly applicable gene delivery approaches, we implemented in vivo-directed evolution to engineer AAV variants that deliver the gene cargo to the outer retina after injection into the eye's easily accessible vitreous humor. This approach has general implications for situations in which dense tissue penetration poses a barrier for gene delivery. A resulting AAV variant mediated widespread delivery to the outer retina and rescued the disease phenotypes of X-linked retinoschisis and Leber's congenital amaurosis in corresponding mouse models. Furthermore, it enabled transduction of primate photoreceptors from the vitreous, expanding its therapeutic promise.","container-title":"Science Translational Medicine","DOI":"10.1126/scitranslmed.3005708","ISSN":"1946-6242","issue":"189","journalAbbreviation":"Sci Transl Med","language":"eng","note":"PMID: 23761039","page":"189ra76","source":"PubMed","title":"In vivo-directed evolution of a new adeno-associated virus for therapeutic outer retinal gene delivery from the vitreous","volume":"5","author":[{"family":"Dalkara","given":"Deniz"},{"family":"Byrne","given":"Leah C."},{"family":"Klimczak","given":"Ryan R."},{"family":"Visel","given":"Meike"},{"family":"Yin","given":"Lu"},{"family":"Merigan","given":"William H."},{"family":"Flannery","given":"John G."},{"family":"Schaffer","given":"David V."}],"issued":{"date-parts":[["2013",6,12]]}}}],"schema":"https://github.com/citation-style-language/schema/raw/master/csl-citation.json"}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(Dalkara et al., 2013)</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p>
    <w:p w14:paraId="5EC0DAEC" w14:textId="77777777" w:rsidR="00CF5882" w:rsidRPr="00D017CD" w:rsidRDefault="00CF5882" w:rsidP="00C30F5C">
      <w:pPr>
        <w:spacing w:line="360" w:lineRule="auto"/>
        <w:jc w:val="both"/>
        <w:rPr>
          <w:rFonts w:ascii="Times New Roman" w:hAnsi="Times New Roman" w:cs="Times New Roman"/>
          <w:b/>
          <w:bCs/>
          <w:sz w:val="24"/>
          <w:szCs w:val="24"/>
        </w:rPr>
      </w:pPr>
      <w:r w:rsidRPr="00D017CD">
        <w:rPr>
          <w:rFonts w:ascii="Times New Roman" w:hAnsi="Times New Roman" w:cs="Times New Roman"/>
          <w:b/>
          <w:bCs/>
          <w:sz w:val="24"/>
          <w:szCs w:val="24"/>
        </w:rPr>
        <w:t xml:space="preserve">6.3. Endostatins and Angiostatins </w:t>
      </w:r>
    </w:p>
    <w:p w14:paraId="279B7BC8" w14:textId="77777777" w:rsidR="00CF5882" w:rsidRPr="00BD0CAB" w:rsidRDefault="00CF5882" w:rsidP="00BD0CAB">
      <w:pPr>
        <w:spacing w:line="360" w:lineRule="auto"/>
        <w:jc w:val="both"/>
        <w:rPr>
          <w:rFonts w:ascii="Times New Roman" w:hAnsi="Times New Roman" w:cs="Times New Roman"/>
          <w:sz w:val="24"/>
          <w:szCs w:val="24"/>
        </w:rPr>
      </w:pPr>
      <w:r w:rsidRPr="00D017CD">
        <w:rPr>
          <w:rFonts w:ascii="Times New Roman" w:hAnsi="Times New Roman" w:cs="Times New Roman"/>
          <w:sz w:val="24"/>
          <w:szCs w:val="24"/>
        </w:rPr>
        <w:t>A lentiviral vector that encodes endostatin and Angiostatin, both are inhibitors of angiogenesis, helps to stop the formation of new blood vessels and is investigated as a therapeutic agent</w:t>
      </w:r>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{"citationID":"oyJYH7Cx","properties":{"formattedCitation":"(Blaese et al., 1995)","plainCitation":"(Blaese et al., 1995)","noteIndex":0},"citationItems":[{"id":142,"uris":["http://zotero.org/users/17126151/items/Y388IEHB"],"itemData":{"id":142,"type":"article-journal","abstract":"In 1990, a clinical trial was started using retroviral-mediated transfer of the adenosine deaminase (ADA) gene into the T cells of two children with severe combined immunodeficiency (ADA- SCID). The number of blood T cells normalized as did many cellular and humoral immune responses. Gene treatment ended after 2 years, but integrated vector and ADA gene expression in T cells persisted. Although many components remain to be perfected, it is concluded here that gene therapy can be a safe and effective addition to treatment for some patients with this severe immunodeficiency disease.","container-title":"Science (New York, N.Y.)","DOI":"10.1126/science.270.5235.475","ISSN":"0036-8075","issue":"5235","journalAbbreviation":"Science","language":"eng","note":"PMID: 7570001","page":"475-480","source":"PubMed","title":"T lymphocyte-directed gene therapy for ADA- SCID: initial trial results after 4 years","title-short":"T lymphocyte-directed gene therapy for ADA- SCID","volume":"270","author":[{"family":"Blaese","given":"R. M."},{"family":"Culver","given":"K. W."},{"family":"Miller","given":"A. D."},{"family":"Carter","given":"C. S."},{"family":"Fleisher","given":"T."},{"family":"Clerici","given":"M."},{"family":"Shearer","given":"G."},{"family":"Chang","given":"L."},{"family":"Chiang","given":"Y."},{"family":"Tolstoshev","given":"P."},{"family":"Greenblatt","given":"J. J."},{"family":"Rosenberg","given":"S. A."},{"family":"Klein","given":"H."},{"family":"Berger","given":"M."},{"family":"Mullen","given":"C. A."},{"family":"Ramsey","given":"W. J."},{"family":"Muul","given":"L."},{"family":"Morgan","given":"R. A."},{"family":"Anderson","given":"W. F."}],"issued":{"date-parts":[["1995",10,20]]}}}],"schema":"https://github.com/citation-style-language/schema/raw/master/csl-citation.json"}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(Blaese et al., 1995)</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r w:rsidR="007416ED">
        <w:rPr>
          <w:rFonts w:ascii="Times New Roman" w:hAnsi="Times New Roman" w:cs="Times New Roman"/>
          <w:sz w:val="24"/>
          <w:szCs w:val="24"/>
        </w:rPr>
        <w:t xml:space="preserve"> </w:t>
      </w:r>
      <w:proofErr w:type="spellStart"/>
      <w:r w:rsidRPr="00D017CD">
        <w:rPr>
          <w:rFonts w:ascii="Times New Roman" w:hAnsi="Times New Roman" w:cs="Times New Roman"/>
          <w:sz w:val="24"/>
          <w:szCs w:val="24"/>
        </w:rPr>
        <w:t>Retinostat</w:t>
      </w:r>
      <w:proofErr w:type="spellEnd"/>
      <w:r w:rsidRPr="00D017CD">
        <w:rPr>
          <w:rFonts w:ascii="Times New Roman" w:hAnsi="Times New Roman" w:cs="Times New Roman"/>
          <w:sz w:val="24"/>
          <w:szCs w:val="24"/>
        </w:rPr>
        <w:t xml:space="preserve"> (Oxford </w:t>
      </w:r>
      <w:proofErr w:type="spellStart"/>
      <w:r w:rsidRPr="00D017CD">
        <w:rPr>
          <w:rFonts w:ascii="Times New Roman" w:hAnsi="Times New Roman" w:cs="Times New Roman"/>
          <w:sz w:val="24"/>
          <w:szCs w:val="24"/>
        </w:rPr>
        <w:t>Biomedia</w:t>
      </w:r>
      <w:proofErr w:type="spellEnd"/>
      <w:r w:rsidRPr="00D017CD">
        <w:rPr>
          <w:rFonts w:ascii="Times New Roman" w:hAnsi="Times New Roman" w:cs="Times New Roman"/>
          <w:sz w:val="24"/>
          <w:szCs w:val="24"/>
        </w:rPr>
        <w:t xml:space="preserve">) is an equine infectious </w:t>
      </w:r>
      <w:r w:rsidR="007416ED" w:rsidRPr="00D017CD">
        <w:rPr>
          <w:rFonts w:ascii="Times New Roman" w:hAnsi="Times New Roman" w:cs="Times New Roman"/>
          <w:sz w:val="24"/>
          <w:szCs w:val="24"/>
        </w:rPr>
        <w:t>vector;</w:t>
      </w:r>
      <w:r w:rsidRPr="00D017CD">
        <w:rPr>
          <w:rFonts w:ascii="Times New Roman" w:hAnsi="Times New Roman" w:cs="Times New Roman"/>
          <w:sz w:val="24"/>
          <w:szCs w:val="24"/>
        </w:rPr>
        <w:t xml:space="preserve"> it showed good preclinical results on mice. Endostatin inhibits endothelial cell proliferation and </w:t>
      </w:r>
      <w:r w:rsidRPr="00BD0CAB">
        <w:rPr>
          <w:rFonts w:ascii="Times New Roman" w:hAnsi="Times New Roman" w:cs="Times New Roman"/>
          <w:sz w:val="24"/>
          <w:szCs w:val="24"/>
        </w:rPr>
        <w:t>migration, while angiostatin blocks endothelial cell proliferation and induces apoptosis</w:t>
      </w:r>
      <w:r w:rsidR="00401824">
        <w:rPr>
          <w:rFonts w:ascii="Times New Roman" w:hAnsi="Times New Roman" w:cs="Times New Roman"/>
          <w:sz w:val="24"/>
          <w:szCs w:val="24"/>
        </w:rPr>
        <w:t xml:space="preserve"> </w:t>
      </w:r>
      <w:r w:rsidR="003A0F1D" w:rsidRPr="00BD0CAB">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{"citationID":"nigHJdCm","properties":{"formattedCitation":"(Campochiaro et al., 2017)","plainCitation":"(Campochiaro et al., 2017)","noteIndex":0},"citationItems":[{"id":144,"uris":["http://zotero.org/users/17126151/items/69ZHT4FA"],"itemData":{"id":144,"type":"article-journal","abstract":"Neovascular age-related macular degeneration (NVAMD) is a prevalent cause of vision loss. Intraocular injections of VEGF-neutralizing proteins provide benefit, but many patients require frequent injections for a prolonged period. Benefits are often lost over time due to lapses in treatment. New treatments that sustain anti-angiogenic activity are needed. This study tested the safety and expression profile of a lentiviral Equine Infectious Anemia Virus (EIAV) vector expressing endostatin and angiostatin (RetinoStat®). Patients with advanced NVAMD were enrolled at three centers in the United States, and the study eye received a subretinal injection of 2.4 × 104 (n = 3), 2.4 × 105 (n = 3), or 8.0 × 105 transduction units (TU; n = 15). Each of the doses was well-tolerated with no dose-limiting toxicities. There was little or no ocular inflammation. There was one procedure-related serious adverse event (AE), a macular hole, which was managed without difficulty and resolved. There was a vector dose-related increase in aqueous humor levels of endostatin and angiostatin with high reproducibility among subjects within cohorts. Mean levels of endostatin and angiostatin peaked between 12 and 24 weeks after injection of 2.4 × 105 TU or 8.0 × 105 TU at 57-81 ng/mL for endostatin and 15-27 ng/mL for angiostatin, and remained stable through the last measurement at week 48. Long-term follow-up demonstrated expression was maintained at last measurement (2.5 years in eight subjects and &gt;4 years in two subjects). Despite an apparent reduction in fluorescein angiographic leakage that broadly correlated with the expression levels in the majority of patients, only one subject showed convincing evidence of anti-permeability activity in these late-stage patients. There was no significant change in mean lesion size in subjects injected with 8.0 × 105 TU. These data demonstrate that EIAV vectors provide a safe platform with robust and sustained transgene expression for ocular gene therapy.","container-title":"Human Gene Therapy","DOI":"10.1089/hum.2016.117","ISSN":"1557-7422","issue":"1","journalAbbreviation":"Hum Gene Ther","language":"eng","note":"PMID: 27710144\nPMCID: PMC5278797","page":"99-111","source":"PubMed","title":"Lentiviral Vector Gene Transfer of Endostatin/Angiostatin for Macular Degeneration (GEM) Study","volume":"28","author":[{"family":"Campochiaro","given":"Peter A."},{"family":"Lauer","given":"Andreas K."},{"family":"Sohn","given":"Elliott H."},{"family":"Mir","given":"Tahreem A."},{"family":"Naylor","given":"Stuart"},{"family":"Anderton","given":"Matthew C."},{"family":"Kelleher","given":"Michelle"},{"family":"Harrop","given":"Richard"},{"family":"Ellis","given":"Scott"},{"family":"Mitrophanous","given":"Kyriacos A."}],"issued":{"date-parts":[["2017",1]]}}}],"schema":"https://github.com/citation-style-language/schema/raw/master/csl-citation.json"} </w:instrText>
      </w:r>
      <w:r w:rsidR="003A0F1D" w:rsidRPr="00BD0CAB">
        <w:rPr>
          <w:rFonts w:ascii="Times New Roman" w:hAnsi="Times New Roman" w:cs="Times New Roman"/>
          <w:sz w:val="24"/>
          <w:szCs w:val="24"/>
        </w:rPr>
        <w:fldChar w:fldCharType="separate"/>
      </w:r>
      <w:r w:rsidR="00B3699E" w:rsidRPr="00B3699E">
        <w:rPr>
          <w:rFonts w:ascii="Times New Roman" w:hAnsi="Times New Roman" w:cs="Times New Roman"/>
          <w:sz w:val="24"/>
        </w:rPr>
        <w:t>(Campochiaro et al., 2017)</w:t>
      </w:r>
      <w:r w:rsidR="003A0F1D" w:rsidRPr="00BD0CAB">
        <w:rPr>
          <w:rFonts w:ascii="Times New Roman" w:hAnsi="Times New Roman" w:cs="Times New Roman"/>
          <w:sz w:val="24"/>
          <w:szCs w:val="24"/>
        </w:rPr>
        <w:fldChar w:fldCharType="end"/>
      </w:r>
      <w:r w:rsidR="00401824">
        <w:rPr>
          <w:rFonts w:ascii="Times New Roman" w:hAnsi="Times New Roman" w:cs="Times New Roman"/>
          <w:sz w:val="24"/>
          <w:szCs w:val="24"/>
        </w:rPr>
        <w:t>.</w:t>
      </w:r>
      <w:r w:rsidRPr="00BD0CAB">
        <w:rPr>
          <w:rFonts w:ascii="Times New Roman" w:hAnsi="Times New Roman" w:cs="Times New Roman"/>
          <w:sz w:val="24"/>
          <w:szCs w:val="24"/>
        </w:rPr>
        <w:t xml:space="preserve"> The Phase 1 clinical trial enrolled 21 patients with advanced ARMD into 3 cohorts. Resulted in Gene therapy, which was safe, well </w:t>
      </w:r>
      <w:r w:rsidRPr="00BD0CAB">
        <w:rPr>
          <w:rFonts w:ascii="Times New Roman" w:hAnsi="Times New Roman" w:cs="Times New Roman"/>
          <w:sz w:val="24"/>
          <w:szCs w:val="24"/>
        </w:rPr>
        <w:lastRenderedPageBreak/>
        <w:t>tolerated, and generated a sustained expression of VEGF-neutralising protein. Ongoing Study and long-term effects are still not evaluated</w:t>
      </w:r>
      <w:r w:rsidR="00401824">
        <w:rPr>
          <w:rFonts w:ascii="Times New Roman" w:hAnsi="Times New Roman" w:cs="Times New Roman"/>
          <w:sz w:val="24"/>
          <w:szCs w:val="24"/>
        </w:rPr>
        <w:t xml:space="preserve"> </w:t>
      </w:r>
      <w:r w:rsidR="003A0F1D" w:rsidRPr="00BD0CAB">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{"citationID":"9oZRFWLQ","properties":{"formattedCitation":"(Binley et al., 2012)","plainCitation":"(Binley et al., 2012)","noteIndex":0},"citationItems":[{"id":147,"uris":["http://zotero.org/users/17126151/items/JL7D55CU"],"itemData":{"id":147,"type":"article-journal","abstract":"RetinoStat(®) is an equine infectious anemia virus-based lentiviral gene therapy vector that expresses the angiostatic proteins endostatin and angiostatin that is delivered via a subretinal injection for the treatment of the wet form of age-related macular degeneration. We initiated 6-month safety and biodistribution studies in two species; rhesus macaques and Dutch belted rabbits. After subretinal administration of RetinoStat the level of human endostatin and angiostatin proteins in the vitreous of treated rabbit eyes peaked at </w:instrText>
      </w:r>
      <w:r w:rsidR="00B3699E">
        <w:rPr>
          <w:rFonts w:ascii="Cambria Math" w:hAnsi="Cambria Math" w:cs="Cambria Math"/>
          <w:sz w:val="24"/>
          <w:szCs w:val="24"/>
        </w:rPr>
        <w:instrText>∼</w:instrText>
      </w:r>
      <w:r w:rsidR="00B3699E">
        <w:rPr>
          <w:rFonts w:ascii="Times New Roman" w:hAnsi="Times New Roman" w:cs="Times New Roman"/>
          <w:sz w:val="24"/>
          <w:szCs w:val="24"/>
        </w:rPr>
        <w:instrText xml:space="preserve">1 month after dosing and remained elevated for the duration of the study. Regular ocular examinations revealed a mild to moderate transient ocular inflammation that resolved within 1 month of dosing in both species. There were no significant long-term changes in the electroretinograms or intraocular pressure measurements in either rabbits or macaques postdosing compared with the baseline reading in RetinoStat-treated eyes. Histological evaluation did not reveal any structural changes in the eye although there was an infiltration of mononuclear cells in the vitreous, retina, and choroid. No antibodies to any of the RetinoStat vector components or the transgenes could be detected in the serum from either species, and biodistribution analysis demonstrated that the RetinoStat vector was maintained within the ocular compartment. In summary, these studies found RetinoStat to be well tolerated, localized, and capable of persistent expression after subretinal delivery.","container-title":"Human Gene Therapy","DOI":"10.1089/hum.2012.008","ISSN":"1557-7422","issue":"9","journalAbbreviation":"Hum Gene Ther","language":"eng","note":"PMID: 22716662","page":"980-991","source":"PubMed","title":"Safety and biodistribution of an equine infectious anemia virus-based gene therapy, RetinoStat(®), for age-related macular degeneration","volume":"23","author":[{"family":"Binley","given":"Katie"},{"family":"Widdowson","given":"Peter S."},{"family":"Kelleher","given":"Michelle"},{"family":"Belin","given":"Jackie","non-dropping-particle":"de"},{"family":"Loader","given":"Julie"},{"family":"Ferrige","given":"Georgina"},{"family":"Carlucci","given":"Marie"},{"family":"Esapa","given":"Margaret"},{"family":"Chipchase","given":"Daniel"},{"family":"Angell-Manning","given":"Diana"},{"family":"Ellis","given":"Scott"},{"family":"Mitrophanous","given":"Kyriacos"},{"family":"Miskin","given":"James"},{"family":"Bantseev","given":"Vlad"},{"family":"Nork","given":"T. Michael"},{"family":"Miller","given":"Paul"},{"family":"Naylor","given":"Stuart"}],"issued":{"date-parts":[["2012",9]]}}}],"schema":"https://github.com/citation-style-language/schema/raw/master/csl-citation.json"} </w:instrText>
      </w:r>
      <w:r w:rsidR="003A0F1D" w:rsidRPr="00BD0CAB">
        <w:rPr>
          <w:rFonts w:ascii="Times New Roman" w:hAnsi="Times New Roman" w:cs="Times New Roman"/>
          <w:sz w:val="24"/>
          <w:szCs w:val="24"/>
        </w:rPr>
        <w:fldChar w:fldCharType="separate"/>
      </w:r>
      <w:r w:rsidR="00B3699E" w:rsidRPr="00B3699E">
        <w:rPr>
          <w:rFonts w:ascii="Times New Roman" w:hAnsi="Times New Roman" w:cs="Times New Roman"/>
          <w:sz w:val="24"/>
        </w:rPr>
        <w:t>(Binley et al., 2012)</w:t>
      </w:r>
      <w:r w:rsidR="003A0F1D" w:rsidRPr="00BD0CAB">
        <w:rPr>
          <w:rFonts w:ascii="Times New Roman" w:hAnsi="Times New Roman" w:cs="Times New Roman"/>
          <w:sz w:val="24"/>
          <w:szCs w:val="24"/>
        </w:rPr>
        <w:fldChar w:fldCharType="end"/>
      </w:r>
      <w:r w:rsidR="00401824">
        <w:rPr>
          <w:rFonts w:ascii="Times New Roman" w:hAnsi="Times New Roman" w:cs="Times New Roman"/>
          <w:sz w:val="24"/>
          <w:szCs w:val="24"/>
        </w:rPr>
        <w:t>.</w:t>
      </w:r>
    </w:p>
    <w:p w14:paraId="12E87EA7" w14:textId="77777777" w:rsidR="00CF5882" w:rsidRPr="00BD0CAB" w:rsidRDefault="00CF5882" w:rsidP="00BD0CAB">
      <w:pPr>
        <w:spacing w:line="360" w:lineRule="auto"/>
        <w:jc w:val="both"/>
        <w:rPr>
          <w:rFonts w:ascii="Times New Roman" w:hAnsi="Times New Roman" w:cs="Times New Roman"/>
          <w:b/>
          <w:bCs/>
          <w:sz w:val="24"/>
          <w:szCs w:val="24"/>
        </w:rPr>
      </w:pPr>
      <w:r w:rsidRPr="00BD0CAB">
        <w:rPr>
          <w:rFonts w:ascii="Times New Roman" w:hAnsi="Times New Roman" w:cs="Times New Roman"/>
          <w:b/>
          <w:bCs/>
          <w:sz w:val="24"/>
          <w:szCs w:val="24"/>
        </w:rPr>
        <w:t>6.4. RGX-314</w:t>
      </w:r>
    </w:p>
    <w:p w14:paraId="7C4F7BB8" w14:textId="77777777" w:rsidR="00CF5882" w:rsidRPr="00BD0CAB" w:rsidRDefault="00BD0CAB" w:rsidP="00BD0CAB">
      <w:pPr>
        <w:spacing w:line="360" w:lineRule="auto"/>
        <w:jc w:val="both"/>
        <w:rPr>
          <w:rFonts w:ascii="Times New Roman" w:eastAsia="Times New Roman" w:hAnsi="Times New Roman" w:cs="Times New Roman"/>
          <w:kern w:val="0"/>
          <w:sz w:val="24"/>
          <w:szCs w:val="24"/>
          <w:lang w:val="en-US"/>
        </w:rPr>
      </w:pPr>
      <w:r w:rsidRPr="00BD0CAB">
        <w:rPr>
          <w:rFonts w:ascii="Times New Roman" w:eastAsia="Times New Roman" w:hAnsi="Times New Roman" w:cs="Times New Roman"/>
          <w:kern w:val="0"/>
          <w:sz w:val="24"/>
          <w:szCs w:val="24"/>
        </w:rPr>
        <w:t>REGENXBIO, in collaboration with AbbVie, has developed a gene therapy, RGX-314, which utilises AAV8 to suppress neovascularisation by expressing a single clonal antibody fragment structure that binds to VEGF-A receptor. The gene is administered via subretinal and suprachoroidal routes, and RGX-314 has shown promise in treating age-related macular degeneration (AMD)</w:t>
      </w:r>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{"citationID":"O6NfFqJd","properties":{"formattedCitation":"(Liao et al., 2023)","plainCitation":"(Liao et al., 2023)","noteIndex":0},"citationItems":[{"id":"1bYYoRFa/ue4JNkhT","uris":["http://zotero.org/users/15401920/items/6XBC9ALJ"],"itemData":{"id":1129,"type":"article-journal","abstract":"Background\nA radiology report communicates the imaging findings to the referring clinicians. The rising number of referrals has created a bottleneck in healthcare. Writing a report takes disproportionally more time than the imaging itself. Therefore, Automatic Radiology Report Generation (ARRG) has a great potential to unclog this bottleneck.\nObjectives\nThis study aims to provide a systematic review of Deep Learning (DL) approaches to ARRG. Specifically, it aims to answer the following research questions. What data have been used to train and evaluate DL approaches to ARRG? How are DL approaches to ARRG evaluated? How is DL used to generate the reports from radiology images?\nMaterials and methods\nWe followed the PRISMA guidelines. We retrieved 1443 records from PubMed and Web of Science on November 3, 2021. Relevant studies were categorized and compared from multiple perspectives. The corresponding findings were reported narratively.\nResults\nA total of 41 studies were included. We identified 14 radiology datasets. In terms of evaluation, we identified four commonly used natural language generation metrics, six clinical efficacy metrics, and other qualitative methods. We compared DL approaches with respect to the underlying neural network architecture, the method of text generation, problem representation, training strategy, interpretability, and intermediate processing.\nDiscussion and conclusion\nData imbalance (normal versus abnormal cases) and the inner complexity of reports pose major difficulties in ARRG. More appropriate evaluation metrics are required as well as datasets on a much larger scale. Leveraging structured representation of radiology reports and pre-trained language models warrant further research.","container-title":"Informatics in Medicine Unlocked","DOI":"10.1016/j.imu.2023.101273","ISSN":"2352-9148","journalAbbreviation":"Informatics in Medicine Unlocked","page":"101273","source":"ScienceDirect","title":"Deep learning approaches to automatic radiology report generation: A systematic review","title-short":"Deep learning approaches to automatic radiology report generation","volume":"39","author":[{"family":"Liao","given":"Yuxiang"},{"family":"Liu","given":"Hantao"},{"family":"Spasić","given":"Irena"}],"issued":{"date-parts":[["2023",1,1]]}}}],"schema":"https://github.com/citation-style-language/schema/raw/master/csl-citation.json"}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(Liao et al., 2023)</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r w:rsidR="00CF5882" w:rsidRPr="00D017CD">
        <w:rPr>
          <w:rFonts w:ascii="Times New Roman" w:hAnsi="Times New Roman" w:cs="Times New Roman"/>
          <w:sz w:val="24"/>
          <w:szCs w:val="24"/>
        </w:rPr>
        <w:t xml:space="preserve"> Presently, seven clinical trials have been registered to evaluate its safety and efficacy. This study involved around 46 patients; RGX-314 was well-tolerated, with minimal adverse effects, including inflammation, conjunctival haemorrhage, and retinal pigmentary changes have been seen. Patients who were treated with RGX-314 experienced a significant reduction in anti-VEGF treatment burden, with constant or enhanced best-corrected visual acuity and improved thickness of the central retina</w:t>
      </w:r>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{"citationID":"DVNQuYh4","properties":{"formattedCitation":"(Khanani et al., 2022)","plainCitation":"(Khanani et al., 2022)","noteIndex":0},"citationItems":[{"id":151,"uris":["http://zotero.org/users/17126151/items/SCLZDK4U"],"itemData":{"id":151,"type":"article-journal","abstract":"Gene therapies aim to deliver a therapeutic payload to specified tissues with underlying protein deficiency. Since the 1990s, gene therapies have been explored as potential treatments for chronic conditions requiring lifetime care and medical management. Ocular gene therapies target a range of ocular disorders, but retinal diseases are of particular importance due to the prevalence of retinal disease and the current treatment burden of such diseases on affected patients, as well as the challenge of properly delivering these therapies to the target tissue. The purpose of this review is to provide an update on the most current data available for five different retinal gene therapies currently undergoing clinical trials for use against age-related macular degeneration (AMD) and the development of novel delivery routes for the administration of such therapies. Research has been performed and compiled from PubMed and the select authors of this manuscript on the treatment and effectiveness of five current retinal gene therapies: Luxturna, ADVM-022, RGX-314, GT-005, and HMR59. We present the available data of current clinical trials for the treatment of neovascular and dry age-related macular degeneration with different AAV-based gene therapies. We also present current research on the progress of developing novel routes of administration for ocular gene therapies. Retinal gene therapies offer the potential for life-changing treatment for chronic conditions like age-related macular degeneration with a single administration. In doing so, gene therapies change the landscape of treatment options for these chronic conditions for both patient and provider.","container-title":"Eye (London, England)","DOI":"10.1038/s41433-021-01842-1","ISSN":"1476-5454","issue":"2","journalAbbreviation":"Eye (Lond)","language":"eng","note":"PMID: 35017696\nPMCID: PMC8807824","page":"303-311","source":"PubMed","title":"Review of gene therapies for age-related macular degeneration","volume":"36","author":[{"family":"Khanani","given":"Arshad M."},{"family":"Thomas","given":"Mathew J."},{"family":"Aziz","given":"Aamir A."},{"family":"Weng","given":"Christina Y."},{"family":"Danzig","given":"Carl J."},{"family":"Yiu","given":"Glenn"},{"family":"Kiss","given":"Szilárd"},{"family":"Waheed","given":"Nadia K."},{"family":"Kaiser","given":"Peter K."}],"issued":{"date-parts":[["2022",2]]}}}],"schema":"https://github.com/citation-style-language/schema/raw/master/csl-citation.json"}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(Khanani et al., 2022)</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p>
    <w:p w14:paraId="104A44BF" w14:textId="77777777" w:rsidR="00CF5882" w:rsidRPr="00BD0CAB" w:rsidRDefault="00CF5882" w:rsidP="00BD0CAB">
      <w:pPr>
        <w:spacing w:line="360" w:lineRule="auto"/>
        <w:jc w:val="both"/>
        <w:rPr>
          <w:rFonts w:ascii="Times New Roman" w:hAnsi="Times New Roman" w:cs="Times New Roman"/>
          <w:b/>
          <w:bCs/>
          <w:sz w:val="24"/>
          <w:szCs w:val="24"/>
        </w:rPr>
      </w:pPr>
      <w:r w:rsidRPr="00BD0CAB">
        <w:rPr>
          <w:rFonts w:ascii="Times New Roman" w:hAnsi="Times New Roman" w:cs="Times New Roman"/>
          <w:b/>
          <w:bCs/>
          <w:sz w:val="24"/>
          <w:szCs w:val="24"/>
        </w:rPr>
        <w:t xml:space="preserve">6.5. LUNA phase II trial </w:t>
      </w:r>
    </w:p>
    <w:p w14:paraId="0C3C1374" w14:textId="77777777" w:rsidR="00CF5882" w:rsidRPr="00D017CD" w:rsidRDefault="00CF5882" w:rsidP="00BD0CAB">
      <w:pPr>
        <w:spacing w:line="360" w:lineRule="auto"/>
        <w:jc w:val="both"/>
        <w:rPr>
          <w:rFonts w:ascii="Times New Roman" w:hAnsi="Times New Roman" w:cs="Times New Roman"/>
          <w:sz w:val="24"/>
          <w:szCs w:val="24"/>
        </w:rPr>
      </w:pPr>
      <w:r w:rsidRPr="00BD0CAB">
        <w:rPr>
          <w:rFonts w:ascii="Times New Roman" w:hAnsi="Times New Roman" w:cs="Times New Roman"/>
          <w:sz w:val="24"/>
          <w:szCs w:val="24"/>
        </w:rPr>
        <w:t xml:space="preserve">This study evaluates the safety of </w:t>
      </w:r>
      <w:proofErr w:type="spellStart"/>
      <w:r w:rsidRPr="00BD0CAB">
        <w:rPr>
          <w:rFonts w:ascii="Times New Roman" w:hAnsi="Times New Roman" w:cs="Times New Roman"/>
          <w:sz w:val="24"/>
          <w:szCs w:val="24"/>
        </w:rPr>
        <w:t>Ixo-vec</w:t>
      </w:r>
      <w:proofErr w:type="spellEnd"/>
      <w:r w:rsidRPr="00BD0CAB">
        <w:rPr>
          <w:rFonts w:ascii="Times New Roman" w:hAnsi="Times New Roman" w:cs="Times New Roman"/>
          <w:sz w:val="24"/>
          <w:szCs w:val="24"/>
        </w:rPr>
        <w:t xml:space="preserve"> at two different dosag</w:t>
      </w:r>
      <w:r w:rsidR="00BD0CAB" w:rsidRPr="00BD0CAB">
        <w:rPr>
          <w:rFonts w:ascii="Times New Roman" w:hAnsi="Times New Roman" w:cs="Times New Roman"/>
          <w:sz w:val="24"/>
          <w:szCs w:val="24"/>
        </w:rPr>
        <w:t>es: 2× 10</w:t>
      </w:r>
      <w:r w:rsidRPr="00BD0CAB">
        <w:rPr>
          <w:rFonts w:ascii="Times New Roman" w:hAnsi="Times New Roman" w:cs="Times New Roman"/>
          <w:sz w:val="24"/>
          <w:szCs w:val="24"/>
          <w:vertAlign w:val="superscript"/>
        </w:rPr>
        <w:t>11</w:t>
      </w:r>
      <w:r w:rsidRPr="00BD0CAB">
        <w:rPr>
          <w:rFonts w:ascii="Times New Roman" w:hAnsi="Times New Roman" w:cs="Times New Roman"/>
          <w:sz w:val="24"/>
          <w:szCs w:val="24"/>
        </w:rPr>
        <w:t xml:space="preserve"> vg/ey</w:t>
      </w:r>
      <w:r w:rsidR="00BD0CAB" w:rsidRPr="00BD0CAB">
        <w:rPr>
          <w:rFonts w:ascii="Times New Roman" w:hAnsi="Times New Roman" w:cs="Times New Roman"/>
          <w:sz w:val="24"/>
          <w:szCs w:val="24"/>
        </w:rPr>
        <w:t>e and 6×10</w:t>
      </w:r>
      <w:r w:rsidRPr="00BD0CAB">
        <w:rPr>
          <w:rFonts w:ascii="Times New Roman" w:hAnsi="Times New Roman" w:cs="Times New Roman"/>
          <w:sz w:val="24"/>
          <w:szCs w:val="24"/>
          <w:vertAlign w:val="superscript"/>
        </w:rPr>
        <w:t>10</w:t>
      </w:r>
      <w:r w:rsidRPr="00BD0CAB">
        <w:rPr>
          <w:rFonts w:ascii="Times New Roman" w:hAnsi="Times New Roman" w:cs="Times New Roman"/>
          <w:sz w:val="24"/>
          <w:szCs w:val="24"/>
        </w:rPr>
        <w:t xml:space="preserve"> vg/eye. LUNA is an ongoing clinical trial. The result of this study revealed improved visual acuity and the anatomy of the fundus</w:t>
      </w:r>
      <w:r w:rsidR="00401824">
        <w:rPr>
          <w:rFonts w:ascii="Times New Roman" w:hAnsi="Times New Roman" w:cs="Times New Roman"/>
          <w:sz w:val="24"/>
          <w:szCs w:val="24"/>
        </w:rPr>
        <w:t xml:space="preserve"> </w:t>
      </w:r>
      <w:r w:rsidR="003A0F1D" w:rsidRPr="00BD0CAB">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{"citationID":"gfKXzBLH","properties":{"formattedCitation":"(Poulsen et al., 2025)","plainCitation":"(Poulsen et al., 2025)","noteIndex":0},"citationItems":[{"id":"1bYYoRFa/lbgMyJ8F","uris":["http://zotero.org/users/15401920/items/M8QZ8L8Q"],"itemData":{"id":1200,"type":"article-journal","abstract":"Ixoberogene soroparvovec (ixo-vec), formerly ADVM-022, is an adeno-associated virus (AAV) gene therapy using the AAV.7m8 capsid for intravitreal delivery (IVT) to transduce retinal tissue and produce sustained intraocular aflibercept for treating neovascular age-related macular degeneration (nAMD). Non-clinical studies show that aflibercept production by ixo-vec is less than dose proportional, while intraocular inflammation (IOI) increases with dose, suggesting that lower doses could yield effective aflibercept levels with reduced IOI risk. Our evaluation confirmed that doses as low as 3E10 vg (vector genome)/eye (6E10 vg/eye human equivalent) maintained effective aflibercept production. The concept behind ADVM-022 is supported by clinical studies OPTIC (NCT03748784) and LUNA (NCT05536973), where a single IVT administration eliminated or significantly reduced the need for additional anti-VEGF injections in patients. Moreover, LUNA confirmed the clinical efficacy of a 6E10-vg/eye dose, demonstrating robust and sustained aflibercept levels. Additionally, we evaluated staggered dosing in contralateral eyes to treat asynchronous disease development. Staggered dosing, administered 2 months apart, did not exacerbate IOI, and both eyes maintained therapeutic aflibercept levels. These findings support the tolerability and efficacy of staggered dosing, indicating the potential for bilaterally relevant aflibercept levels with ixo-vec, due to immune response confinement to the dosed eye., Poulsen and colleagues report that a lower IVT dose of ixo-vec (6E10 vg/eye) can achieve clinically relevant levels of aflibercept in nAMD patients, with equivalent efficacy and improved safety compared to higher doses. Data also support the safety and efficacy of staggered dosing of fellow eyes in patients with bilateral AMD.","container-title":"Molecular Therapy. Methods &amp; Clinical Development","DOI":"10.1016/j.omtm.2025.101430","ISSN":"2329-0501","issue":"1","journalAbbreviation":"Mol Ther Methods Clin Dev","note":"PMID: 40092639\nPMCID: PMC11910100","page":"101430","source":"PubMed Central","title":"Nonclinical study of ixo-vec gene therapy for nAMD supports efficacy for a human dose of 6E10 vg/eye and staggered dosing of fellow eyes","volume":"33","author":[{"family":"Poulsen","given":"Kris"},{"family":"Hanna","given":"Kelly"},{"family":"Nieves","given":"Julio"},{"family":"Nguyen","given":"Ngoc"},{"family":"Sharma","given":"Pallavi"},{"family":"Grishanin","given":"Ruslan"},{"family":"Corbau","given":"Romu"},{"family":"Kiss","given":"Szilárd"}],"issued":{"date-parts":[["2025",2,10]]}}}],"schema":"https://github.com/citation-style-language/schema/raw/master/csl-citation.json"} </w:instrText>
      </w:r>
      <w:r w:rsidR="003A0F1D" w:rsidRPr="00BD0CAB">
        <w:rPr>
          <w:rFonts w:ascii="Times New Roman" w:hAnsi="Times New Roman" w:cs="Times New Roman"/>
          <w:sz w:val="24"/>
          <w:szCs w:val="24"/>
        </w:rPr>
        <w:fldChar w:fldCharType="separate"/>
      </w:r>
      <w:r w:rsidR="00B3699E" w:rsidRPr="00B3699E">
        <w:rPr>
          <w:rFonts w:ascii="Times New Roman" w:hAnsi="Times New Roman" w:cs="Times New Roman"/>
          <w:sz w:val="24"/>
        </w:rPr>
        <w:t>(Poulsen et al., 2025)</w:t>
      </w:r>
      <w:r w:rsidR="003A0F1D" w:rsidRPr="00BD0CAB">
        <w:rPr>
          <w:rFonts w:ascii="Times New Roman" w:hAnsi="Times New Roman" w:cs="Times New Roman"/>
          <w:sz w:val="24"/>
          <w:szCs w:val="24"/>
        </w:rPr>
        <w:fldChar w:fldCharType="end"/>
      </w:r>
      <w:r w:rsidR="00401824">
        <w:rPr>
          <w:rFonts w:ascii="Times New Roman" w:hAnsi="Times New Roman" w:cs="Times New Roman"/>
          <w:sz w:val="24"/>
          <w:szCs w:val="24"/>
        </w:rPr>
        <w:t>.</w:t>
      </w:r>
      <w:r w:rsidRPr="00BD0CAB">
        <w:rPr>
          <w:rFonts w:ascii="Times New Roman" w:hAnsi="Times New Roman" w:cs="Times New Roman"/>
          <w:sz w:val="24"/>
          <w:szCs w:val="24"/>
        </w:rPr>
        <w:t xml:space="preserve"> </w:t>
      </w:r>
      <w:r w:rsidR="00BD0CAB" w:rsidRPr="00BD0CAB">
        <w:rPr>
          <w:rFonts w:ascii="Times New Roman" w:hAnsi="Times New Roman" w:cs="Times New Roman"/>
          <w:color w:val="222222"/>
          <w:sz w:val="24"/>
          <w:szCs w:val="24"/>
          <w:shd w:val="clear" w:color="auto" w:fill="FFFFFF"/>
        </w:rPr>
        <w:t xml:space="preserve">Furthermore, the inflammatory profile was boosted with corticosteroid prophylaxis, compared to the previous OPTIC study. Findings of LUNA TRIAL-2 promote the potential for in-office intravitreal injections to revolutionise the treatment of </w:t>
      </w:r>
      <w:proofErr w:type="spellStart"/>
      <w:r w:rsidR="00BD0CAB" w:rsidRPr="00BD0CAB">
        <w:rPr>
          <w:rFonts w:ascii="Times New Roman" w:hAnsi="Times New Roman" w:cs="Times New Roman"/>
          <w:color w:val="222222"/>
          <w:sz w:val="24"/>
          <w:szCs w:val="24"/>
          <w:shd w:val="clear" w:color="auto" w:fill="FFFFFF"/>
        </w:rPr>
        <w:t>nAMD</w:t>
      </w:r>
      <w:proofErr w:type="spellEnd"/>
      <w:r w:rsidR="00BD0CAB" w:rsidRPr="00BD0CAB">
        <w:rPr>
          <w:rFonts w:ascii="Times New Roman" w:hAnsi="Times New Roman" w:cs="Times New Roman"/>
          <w:color w:val="222222"/>
          <w:sz w:val="24"/>
          <w:szCs w:val="24"/>
          <w:shd w:val="clear" w:color="auto" w:fill="FFFFFF"/>
        </w:rPr>
        <w:t xml:space="preserve"> (neovascular age-related macular degeneration). The clinical study revealed that </w:t>
      </w:r>
      <w:proofErr w:type="spellStart"/>
      <w:r w:rsidR="00BD0CAB" w:rsidRPr="00BD0CAB">
        <w:rPr>
          <w:rFonts w:ascii="Times New Roman" w:hAnsi="Times New Roman" w:cs="Times New Roman"/>
          <w:color w:val="222222"/>
          <w:sz w:val="24"/>
          <w:szCs w:val="24"/>
          <w:shd w:val="clear" w:color="auto" w:fill="FFFFFF"/>
        </w:rPr>
        <w:t>Ixo-vec</w:t>
      </w:r>
      <w:proofErr w:type="spellEnd"/>
      <w:r w:rsidR="00BD0CAB" w:rsidRPr="00BD0CAB">
        <w:rPr>
          <w:rFonts w:ascii="Times New Roman" w:hAnsi="Times New Roman" w:cs="Times New Roman"/>
          <w:color w:val="222222"/>
          <w:sz w:val="24"/>
          <w:szCs w:val="24"/>
          <w:shd w:val="clear" w:color="auto" w:fill="FFFFFF"/>
        </w:rPr>
        <w:t xml:space="preserve"> can provide sturdy, resilient, and effective cellular-based factories, reducing the rate of anti-VEGF injections</w:t>
      </w:r>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{"citationID":"y49VczyS","properties":{"formattedCitation":"(Khanani et al., 2023)","plainCitation":"(Khanani et al., 2023)","noteIndex":0},"citationItems":[{"id":"1bYYoRFa/gbV9Toc7","uris":["http://zotero.org/users/15401920/items/7NVTE9JG"],"itemData":{"id":1234,"type":"article-journal","abstract":"Background\nGene therapy, successfully used in rare, monogenetic disorders, may prove to be a durable management approach for common, polygenetic conditions, including neovascular age-related macular degeneration (nAMD). Repeated injections, oftentimes monthly, and possibly for decades, of vascular endothelial growth factor antagonists (anti-VEGF), is the standard for nAMD. We hypothesised that an in-office, intravitreal administration of ixoberogene soroparvovec (ixo-vec, formerly ADVM-022), a single-dose gene therapy encoding for the proven anti-VEGF protein, aflibercept, would transform retinal cells to continually produce aflibercept to minimise treatment burden in nAMD.\n\nMethods\nIn this two-year, open-label, prospective, multicentre phase 1 study, patients with nAMD responding to anti-VEGF were assigned to four cohorts differing by ixo-vec dose (2 × 1011 vs 6 × 1011 vector genomes (vg/eye)) and prophylactic steroids (oral prednisone vs topical difluprednate). The primary outcome was the type, severity, and incidence of ocular and systemic adverse events (AEs); secondary endpoints included vision, central subfield thickness (CST), and the number of supplemental injections. This study was registered with ClinicalTrials.gov, NCT03748784.\n\nFindings\nThirty patients with nAMD were enrolled between November 14, 2018 and June 30, 2020 at nine study sites in the United States. No systemic ixo-vec related AEs were noted. Across both dose groups the most common adverse event was anterior chamber cell, which was reported in 11 participants in the 6 × 1011 dose group and in 7 participants in the 2 × 1011 dose group; intraocular inflammation was responsive to topical corticosteroids, with no anterior chamber cells or vitreous cells observed in 2 × 1011 vg/eye patients at the end of the study. Vision and CST remained stable throughout two years with annualised anti-VEGF injections reduced by 80% (10.0 mean annualised anti-VEGF injections to 1.9) in 2 × 1011 vg/eye and 98% (9.8 mean annualised anti-VEGF injections to 0.2) in 6 × 1011 vg/eye cohorts.\n\nInterpretation\nIxo-vec was generally well-tolerated, maintained vision, and improved anatomical outcomes in nAMD, with a substantial reduction in anti-VEGF injections. A single administration of an in-office gene therapy, with vectorised protein with an already established clinical benefit, has the potential to revolutionise the management of common ocular disorders requiring ongoing, frequent therapeutic interventions.\n\nFunding\nAdverum Biotechnologies.","container-title":"eClinicalMedicine","DOI":"10.1016/j.eclinm.2023.102394","ISSN":"2589-5370","journalAbbreviation":"eClinicalMedicine","note":"PMID: 38152412\nPMCID: PMC10751837","page":"102394","source":"PubMed Central","title":"Safety and efficacy of ixoberogene soroparvovec in neovascular age-related macular degeneration in the United States (OPTIC): a prospective, two-year, multicentre phase 1 study","title-short":"Safety and efficacy of ixoberogene soroparvovec in neovascular age-related macular degeneration in the United States (OPTIC)","volume":"67","author":[{"family":"Khanani","given":"Arshad M."},{"family":"Boyer","given":"David S."},{"family":"Wykoff","given":"Charles C."},{"family":"Regillo","given":"Carl D."},{"family":"Busbee","given":"Brandon G."},{"family":"Pieramici","given":"Dante"},{"family":"Danzig","given":"Carl J."},{"family":"Joondeph","given":"Brian C."},{"family":"Major","given":"James C."},{"family":"Turpcu","given":"Adam"},{"family":"Kiss","given":"Szilárd"}],"issued":{"date-parts":[["2023",12,22]]}}}],"schema":"https://github.com/citation-style-language/schema/raw/master/csl-citation.json"}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(Khanani et al., 2023)</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p>
    <w:p w14:paraId="77C3083A" w14:textId="77777777" w:rsidR="00CF5882" w:rsidRPr="00D017CD" w:rsidRDefault="00CF5882" w:rsidP="00C30F5C">
      <w:pPr>
        <w:spacing w:line="360" w:lineRule="auto"/>
        <w:jc w:val="both"/>
        <w:rPr>
          <w:rFonts w:ascii="Times New Roman" w:hAnsi="Times New Roman" w:cs="Times New Roman"/>
          <w:b/>
          <w:bCs/>
          <w:sz w:val="24"/>
          <w:szCs w:val="24"/>
        </w:rPr>
      </w:pPr>
      <w:r w:rsidRPr="00D017CD">
        <w:rPr>
          <w:rFonts w:ascii="Times New Roman" w:hAnsi="Times New Roman" w:cs="Times New Roman"/>
          <w:b/>
          <w:bCs/>
          <w:sz w:val="24"/>
          <w:szCs w:val="24"/>
        </w:rPr>
        <w:t>7. Challenges and risk considerations</w:t>
      </w:r>
    </w:p>
    <w:p w14:paraId="101F9707" w14:textId="77777777" w:rsidR="00CF5882" w:rsidRPr="00A16DFE" w:rsidRDefault="00CF5882" w:rsidP="00C30F5C">
      <w:pPr>
        <w:spacing w:line="360" w:lineRule="auto"/>
        <w:jc w:val="both"/>
        <w:rPr>
          <w:rFonts w:ascii="Times New Roman" w:hAnsi="Times New Roman" w:cs="Times New Roman"/>
          <w:color w:val="222222"/>
          <w:sz w:val="24"/>
          <w:szCs w:val="24"/>
          <w:shd w:val="clear" w:color="auto" w:fill="FFFFFF"/>
        </w:rPr>
      </w:pPr>
      <w:r w:rsidRPr="00A16DFE">
        <w:rPr>
          <w:rFonts w:ascii="Times New Roman" w:hAnsi="Times New Roman" w:cs="Times New Roman"/>
          <w:sz w:val="24"/>
          <w:szCs w:val="24"/>
        </w:rPr>
        <w:t>Several risks and limitations are associated with Gene Therapy for ARMD; data on potential safety is unavailable. Optimal treatment targets remain controversial, as one route of delivery may consistently reach the target cell in the retina</w:t>
      </w:r>
      <w:r w:rsidR="00401824">
        <w:rPr>
          <w:rFonts w:ascii="Times New Roman" w:hAnsi="Times New Roman" w:cs="Times New Roman"/>
          <w:sz w:val="24"/>
          <w:szCs w:val="24"/>
        </w:rPr>
        <w:t xml:space="preserve"> </w:t>
      </w:r>
      <w:r w:rsidR="003A0F1D" w:rsidRPr="00A16DFE">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{"citationID":"bvwoCGBt","properties":{"formattedCitation":"(Trinc\\uc0\\u227{}o-Marques et al., 2024)","plainCitation":"(Trincão-Marques et al., 2024)","noteIndex":0},"citationItems":[{"id":221,"uris":["http://zotero.org/users/17126151/items/BN28ZIWB"],"itemData":{"id":221,"type":"article-journal","abstract":"Age-related macular degeneration (AMD) is the most common cause of irreversible vision loss among the elderly in Western communities, with an estimated global prevalence of 10 - 20% in people older than 65 years. AMD leads to central vision loss due to degeneration of the photoreceptors, retinal pigment epithelium and the choriocapillaris. Beckman's classification for AMD, based upon color fundus photographs, divides the disease into early, intermediate, and late forms. The late, vision-threatening stage includes both neovascular AMD and geographic atrophy. Despite its high prevalence and impact on patients' quality of life, treatment options for AMD are limited. While neovascular AMD can be medically managed with anti-VEGF intravitreal injections, until very recently there has been no approved treatment options for atrophic AMD; however, in February 2023 the first treatment for geographic atrophy - pegcetacoplan - was approved by the US FDA. We describe the current landscape of potential gene and cell therapeutic strategies for late-stage AMD, with an emphasis on the therapeutic options that might become available in the next few years.","container-title":"Survey of Ophthalmology","DOI":"10.1016/j.survophthal.2024.05.002","ISSN":"1879-3304","issue":"5","journalAbbreviation":"Surv Ophthalmol","language":"eng","note":"PMID: 38735629","page":"665-676","source":"PubMed","title":"Gene and cell therapy for age-related macular degeneration: A review","title-short":"Gene and cell therapy for age-related macular degeneration","volume":"69","author":[{"family":"Trincão-Marques","given":"José"},{"family":"Ayton","given":"Lauren N."},{"family":"Hickey","given":"Doron G."},{"family":"Marques-Neves","given":"Carlos"},{"family":"Guymer","given":"Robyn H."},{"family":"Edwards","given":"Thomas L."},{"family":"Sousa","given":"David Cordeiro"}],"issued":{"date-parts":[["2024"]]}}}],"schema":"https://github.com/citation-style-language/schema/raw/master/csl-citation.json"} </w:instrText>
      </w:r>
      <w:r w:rsidR="003A0F1D" w:rsidRPr="00A16DFE">
        <w:rPr>
          <w:rFonts w:ascii="Times New Roman" w:hAnsi="Times New Roman" w:cs="Times New Roman"/>
          <w:sz w:val="24"/>
          <w:szCs w:val="24"/>
        </w:rPr>
        <w:fldChar w:fldCharType="separate"/>
      </w:r>
      <w:r w:rsidR="00B3699E" w:rsidRPr="00B3699E">
        <w:rPr>
          <w:rFonts w:ascii="Times New Roman" w:hAnsi="Times New Roman" w:cs="Times New Roman"/>
          <w:kern w:val="0"/>
          <w:sz w:val="24"/>
        </w:rPr>
        <w:t>(Trincão-Marques et al., 2024)</w:t>
      </w:r>
      <w:r w:rsidR="003A0F1D" w:rsidRPr="00A16DFE">
        <w:rPr>
          <w:rFonts w:ascii="Times New Roman" w:hAnsi="Times New Roman" w:cs="Times New Roman"/>
          <w:sz w:val="24"/>
          <w:szCs w:val="24"/>
        </w:rPr>
        <w:fldChar w:fldCharType="end"/>
      </w:r>
      <w:r w:rsidR="00401824">
        <w:rPr>
          <w:rFonts w:ascii="Times New Roman" w:hAnsi="Times New Roman" w:cs="Times New Roman"/>
          <w:sz w:val="24"/>
          <w:szCs w:val="24"/>
        </w:rPr>
        <w:t>.</w:t>
      </w:r>
      <w:r w:rsidRPr="00A16DFE">
        <w:rPr>
          <w:rFonts w:ascii="Times New Roman" w:hAnsi="Times New Roman" w:cs="Times New Roman"/>
          <w:sz w:val="24"/>
          <w:szCs w:val="24"/>
        </w:rPr>
        <w:t xml:space="preserve"> </w:t>
      </w:r>
      <w:r w:rsidR="00A16DFE" w:rsidRPr="00A16DFE">
        <w:rPr>
          <w:rFonts w:ascii="Times New Roman" w:hAnsi="Times New Roman" w:cs="Times New Roman"/>
          <w:color w:val="222222"/>
          <w:sz w:val="24"/>
          <w:szCs w:val="24"/>
          <w:shd w:val="clear" w:color="auto" w:fill="FFFFFF"/>
        </w:rPr>
        <w:t>Each of these has its merits and demerits. The human body recognises a viral vector as a foreign entity, which poses a high risk for post-operative patients. Gene therapy can cause ocular inflammation by reacting to promoters and transgenes, as older cells may be less responsive. Fibrosis can diminish the effectiveness of gene therapy</w:t>
      </w:r>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{"citationID":"v3gFOXAB","properties":{"formattedCitation":"(Mallone et al., 2021)","plainCitation":"(Mallone et al., 2021)","noteIndex":0},"citationItems":[{"id":"1bYYoRFa/4URwlODA","uris":["http://zotero.org/users/15401920/items/Q257RTM5"],"itemData":{"id":1237,"type":"article-journal","abstract":"Ocular fibrosis leads to severe visual impairment and blindness worldwide, being a major area of unmet need in ophthalmology and medicine. To date, the only available treatments are antimetabolite drugs that have significant potentially blinding side effects, such as tissue damage and infection. There is thus an urgent need to identify novel targets to prevent/treat scarring and postsurgical fibrosis in the eye. In this review, the latest progress in biological mechanisms underlying ocular fibrosis are discussed. We also summarize the current knowledge on preclinical studies based on viral and non-viral gene therapy, as well as chemical inhibitors, for targeting TGFβ or downstream effectors in fibrotic disorders of the eye. Moreover, the role of angiogenetic and biomechanical factors in ocular fibrosis is discussed, focusing on related preclinical treatment approaches. Moreover, we describe available evidence on clinical studies investigating the use of therapies targeting TGFβ-dependent pathways, angiogenetic factors, and biomechanical factors, alone or in combination with other strategies, in ocular tissue fibrosis. Finally, the recent progress in cell-based therapies for treating fibrotic eye disorders is discussed. The increasing knowledge of these disorders in the eye and the promising results from testing of novel targeted therapies could offer viable perspectives for translation into clinical use.","container-title":"International Journal of Molecular Sciences","DOI":"10.3390/ijms222111748","ISSN":"1422-0067","issue":"21","journalAbbreviation":"Int J Mol Sci","note":"PMID: 34769176\nPMCID: PMC8584003","page":"11748","source":"PubMed Central","title":"Understanding Drivers of Ocular Fibrosis: Current and Future Therapeutic Perspectives","title-short":"Understanding Drivers of Ocular Fibrosis","volume":"22","author":[{"family":"Mallone","given":"Fabiana"},{"family":"Costi","given":"Roberta"},{"family":"Marenco","given":"Marco"},{"family":"Plateroti","given":"Rocco"},{"family":"Minni","given":"Antonio"},{"family":"Attanasio","given":"Giuseppe"},{"family":"Artico","given":"Marco"},{"family":"Lambiase","given":"Alessandro"}],"issued":{"date-parts":[["2021",10,29]]}}}],"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(Mallone et al., 2021)</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r w:rsidRPr="00D017CD">
        <w:rPr>
          <w:rFonts w:ascii="Times New Roman" w:hAnsi="Times New Roman" w:cs="Times New Roman"/>
          <w:sz w:val="24"/>
          <w:szCs w:val="24"/>
        </w:rPr>
        <w:t xml:space="preserve"> Older adults </w:t>
      </w:r>
      <w:r w:rsidRPr="00D017CD">
        <w:rPr>
          <w:rFonts w:ascii="Times New Roman" w:hAnsi="Times New Roman" w:cs="Times New Roman"/>
          <w:sz w:val="24"/>
          <w:szCs w:val="24"/>
        </w:rPr>
        <w:lastRenderedPageBreak/>
        <w:t>have compromised immune systems, which increases the risk of adverse reactions. Long waiting times for treatment and trials pose problems for older people, who have limited access due to high cost, limited awareness, and education</w:t>
      </w:r>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{"citationID":"40TzjqmS","properties":{"formattedCitation":"(N. Mehta et al., 2021)","plainCitation":"(N. Mehta et al., 2021)","noteIndex":0},"citationItems":[{"id":161,"uris":["http://zotero.org/users/17126151/items/HIM5MVJ6"],"itemData":{"id":161,"type":"article-journal","container-title":"International Ophthalmology Clinics","DOI":"10.1097/IIO.0000000000000366","ISSN":"1536-9617","issue":"3","journalAbbreviation":"Int Ophthalmol Clin","language":"eng","note":"PMID: 34196322\nPMCID: PMC8259781","page":"151-177","source":"PubMed","title":"Ocular Inflammation and Treatment Emergent Adverse Events in Retinal Gene Therapy","volume":"61","author":[{"family":"Mehta","given":"Neesurg"},{"family":"Robbins","given":"Deborah A."},{"family":"Yiu","given":"Glenn"}],"issued":{"date-parts":[["2021",7,1]]}}}],"schema":"https://github.com/citation-style-language/schema/raw/master/csl-citation.json"}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(N. Mehta et al., 2021)</w:t>
      </w:r>
      <w:r w:rsidR="003A0F1D" w:rsidRPr="00D017CD">
        <w:rPr>
          <w:rFonts w:ascii="Times New Roman" w:hAnsi="Times New Roman" w:cs="Times New Roman"/>
          <w:sz w:val="24"/>
          <w:szCs w:val="24"/>
        </w:rPr>
        <w:fldChar w:fldCharType="end"/>
      </w:r>
      <w:r w:rsidR="001846DC" w:rsidRPr="00D017CD">
        <w:rPr>
          <w:rFonts w:ascii="Times New Roman" w:hAnsi="Times New Roman" w:cs="Times New Roman"/>
          <w:sz w:val="24"/>
          <w:szCs w:val="24"/>
          <w:vertAlign w:val="superscript"/>
        </w:rPr>
        <w:t>,</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{"citationID":"CglC3mrK","properties":{"formattedCitation":"(Zaiss et al., 2002)","plainCitation":"(Zaiss et al., 2002)","noteIndex":0},"citationItems":[{"id":165,"uris":["http://zotero.org/users/17126151/items/7NU4V3CR"],"itemData":{"id":165,"type":"article-journal","abstract":"Adenovirus vectors induce acute inflammation of infected tissues due to activation of the innate immune system and expression of numerous chemokines and cytokines in transduced target cells. In contrast, adeno-associated virus (AAV) vectors are not associated with significant inflammation experimentally or clinically. We tested the ability of AAV vectors to induce the expression of chemokines in vitro and to activate the innate immune system in vivo. In human HeLa cells and murine renal epithelium-derived cells (REC cells) the adenovirus vector AdlacZ induced the expression of multiple inflammatory chemokines including RANTES, interferon-inducible protein 10 (IP-10), interleukin-8 (IL-8), MIP-1beta, and MIP-2 in a dose-dependent manner. The use of AAVlacZ did not induce the expression of these chemokines above baseline levels despite 40-fold-greater titers than AdlacZ and greater amounts of intracellular AAVlacZ genomes according to Southern and slot blot analysis. This finding confirmed that the lack of AAVlacZ induction of chemokine was not due to reduced transduction. In DBA/2 mice, the intravenous administration of 2.5 x 10(11) particles of AAVlacZ resulted in the rapid induction of liver tumor necrosis factor alpha (TNF-alpha), RANTES, IP-10, MIP-1beta, MCP-1, and MIP-2 mRNAs. However, 6 h following injection, chemokine mRNA levels returned to baseline. As expected, administration of 10-fold less AdlacZ caused an induction of liver TNF-alpha and chemokine mRNAs that persisted for more than 24 h posttransduction. Whereas intravenous administration of 2.5 x 10(11) particles of AAVlacZ triggered a transient infiltration of neutrophils and CD11b(+) cells into liver, this response stood in contrast to widespread inflammation and toxicity induced by AdlacZ. Kupffer cell depletion abolished AAVlacZ but not AdlacZ-induced chemokine expression and neutrophil infiltration. In summary, these results show that AAV vectors activate the innate immune system to a lesser extent than do adenovirus vectors and offer a possible explanation for the reduced inflammatory properties of AAV compared to adenovirus vectors.","container-title":"Journal of Virology","DOI":"10.1128/jvi.76.9.4580-4590.2002","ISSN":"0022-538X","issue":"9","journalAbbreviation":"J Virol","language":"eng","note":"PMID: 11932423\nPMCID: PMC155101","page":"4580-4590","source":"PubMed","title":"Differential activation of innate immune responses by adenovirus and adeno-associated virus vectors","volume":"76","author":[{"family":"Zaiss","given":"Anne-Kathrin"},{"family":"Liu","given":"Qiang"},{"family":"Bowen","given":"Gloria P."},{"family":"Wong","given":"Norman C. W."},{"family":"Bartlett","given":"Jeffrey S."},{"family":"Muruve","given":"Daniel A."}],"issued":{"date-parts":[["2002",5]]}}}],"schema":"https://github.com/citation-style-language/schema/raw/master/csl-citation.json"}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(Zaiss et al., 2002)</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p>
    <w:p w14:paraId="26F1A80F" w14:textId="77777777" w:rsidR="00CF5882" w:rsidRPr="00D017CD" w:rsidRDefault="00CF5882" w:rsidP="00C30F5C">
      <w:pPr>
        <w:spacing w:line="360" w:lineRule="auto"/>
        <w:jc w:val="both"/>
        <w:rPr>
          <w:rFonts w:ascii="Times New Roman" w:hAnsi="Times New Roman" w:cs="Times New Roman"/>
          <w:b/>
          <w:bCs/>
          <w:sz w:val="24"/>
          <w:szCs w:val="24"/>
        </w:rPr>
      </w:pPr>
      <w:r w:rsidRPr="00D017CD">
        <w:rPr>
          <w:rFonts w:ascii="Times New Roman" w:hAnsi="Times New Roman" w:cs="Times New Roman"/>
          <w:b/>
          <w:bCs/>
          <w:sz w:val="24"/>
          <w:szCs w:val="24"/>
        </w:rPr>
        <w:t>8.</w:t>
      </w:r>
      <w:r w:rsidR="003831F8">
        <w:rPr>
          <w:rFonts w:ascii="Times New Roman" w:hAnsi="Times New Roman" w:cs="Times New Roman"/>
          <w:b/>
          <w:bCs/>
          <w:sz w:val="24"/>
          <w:szCs w:val="24"/>
        </w:rPr>
        <w:t xml:space="preserve"> </w:t>
      </w:r>
      <w:r w:rsidRPr="00D017CD">
        <w:rPr>
          <w:rFonts w:ascii="Times New Roman" w:hAnsi="Times New Roman" w:cs="Times New Roman"/>
          <w:b/>
          <w:bCs/>
          <w:sz w:val="24"/>
          <w:szCs w:val="24"/>
        </w:rPr>
        <w:t xml:space="preserve">Future perspectives in precision gene therapy </w:t>
      </w:r>
    </w:p>
    <w:p w14:paraId="1FC909FD" w14:textId="77777777" w:rsidR="00CF5882" w:rsidRPr="00401824" w:rsidRDefault="00CF5882" w:rsidP="00C30F5C">
      <w:pPr>
        <w:spacing w:line="360" w:lineRule="auto"/>
        <w:jc w:val="both"/>
        <w:rPr>
          <w:rFonts w:ascii="Times New Roman" w:hAnsi="Times New Roman" w:cs="Times New Roman"/>
          <w:sz w:val="24"/>
          <w:szCs w:val="24"/>
        </w:rPr>
      </w:pPr>
      <w:r w:rsidRPr="00D017CD">
        <w:rPr>
          <w:rFonts w:ascii="Times New Roman" w:hAnsi="Times New Roman" w:cs="Times New Roman"/>
          <w:sz w:val="24"/>
          <w:szCs w:val="24"/>
        </w:rPr>
        <w:t>A new generation of precision gene therapy for ARMD, with editing of the DNA genome, unlocks the perception of a momentous enhancement in the lifetime comfort of patients</w:t>
      </w:r>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{"citationID":"hCLSdaFy","properties":{"formattedCitation":"(Schambach et al., 2024)","plainCitation":"(Schambach et al., 2024)","noteIndex":0},"citationItems":[{"id":168,"uris":["http://zotero.org/users/17126151/items/8BSLXZJ6"],"itemData":{"id":168,"type":"article-journal","abstract":"Gene therapy has become a clinical reality as market-approved advanced therapy medicinal products for the treatment of distinct monogenetic diseases and B-cell malignancies. This Therapeutic Review aims to explain how progress in genome editing technologies offers the possibility to expand both therapeutic options and the types of diseases that will become treatable. To frame these impressive advances in the context of modern medicine, we incorporate examples from human clinical trials into our discussion on how genome editing will complement currently available strategies in gene therapy, which still mainly rely on gene addition strategies. Furthermore, safety considerations and ethical implications, including the issue of accessibility, are addressed as these crucial parameters will define the impact that gene therapy in general and genome editing in particular will have on how we treat patients in the near future.","container-title":"The Lancet","DOI":"10.1016/S0140-6736(23)01952-9","ISSN":"0140-6736","issue":"10426","journalAbbreviation":"The Lancet","page":"568-582","source":"ScienceDirect","title":"A new age of precision gene therapy","volume":"403","author":[{"family":"Schambach","given":"Axel"},{"family":"Buchholz","given":"Christian J"},{"family":"Torres-Ruiz","given":"Raul"},{"family":"Cichutek","given":"Klaus"},{"family":"Morgan","given":"Michael"},{"family":"Trapani","given":"Ivana"},{"family":"Büning","given":"Hildegard"}],"issued":{"date-parts":[["2024",2,10]]}}}],"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(Schambach et al., 2024)</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r w:rsidRPr="00D017CD">
        <w:rPr>
          <w:rFonts w:ascii="Times New Roman" w:hAnsi="Times New Roman" w:cs="Times New Roman"/>
          <w:sz w:val="24"/>
          <w:szCs w:val="24"/>
        </w:rPr>
        <w:t xml:space="preserve"> Future research directions are likely to involve integrating and consolidating gene therapy with pharmacotherapy and CRISPR/Cas9 gene editing</w:t>
      </w:r>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{"citationID":"gfRX3BYV","properties":{"formattedCitation":"(Uddin et al., 2020)","plainCitation":"(Uddin et al., 2020)","noteIndex":0},"citationItems":[{"id":170,"uris":["http://zotero.org/users/17126151/items/G8GTU7TC"],"itemData":{"id":170,"type":"article-journal","abstract":"A series of recent discoveries harnessing the adaptive immune system of prokaryotes to perform targeted genome editing is having a transformative influence across the biological sciences. The discovery of Clustered Regularly Interspaced Short Palindromic Repeats (CRISPR) and CRISPR-associated (Cas) proteins has expanded the applications of genetic research in thousands of laboratories across the globe and is redefining our approach to gene therapy. Traditional gene therapy has raised some concerns, as its reliance on viral vector delivery of therapeutic transgenes can cause both insertional oncogenesis and immunogenic toxicity. While viral vectors remain a key delivery vehicle, CRISPR technology provides a relatively simple and efficient alternative for site-specific gene editing, obliviating some concerns raised by traditional gene therapy. Although it has apparent advantages, CRISPR/Cas9 brings its own set of limitations which must be addressed for safe and efficient clinical translation. This review focuses on the evolution of gene therapy and the role of CRISPR in shifting the gene therapy paradigm. We review the emerging data of recent gene therapy trials and consider the best strategy to move forward with this powerful but still relatively new technology.","container-title":"Frontiers in Oncology","DOI":"10.3389/fonc.2020.01387","ISSN":"2234-943X","journalAbbreviation":"Front Oncol","note":"PMID: 32850447\nPMCID: PMC7427626","page":"1387","source":"PubMed Central","title":"CRISPR Gene Therapy: Applications, Limitations, and Implications for the Future","title-short":"CRISPR Gene Therapy","volume":"10","author":[{"family":"Uddin","given":"Fathema"},{"family":"Rudin","given":"Charles M."},{"family":"Sen","given":"Triparna"}],"issued":{"date-parts":[["2020",8,7]]}}}],"schema":"https://github.com/citation-style-language/schema/raw/master/csl-citation.json"}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(Uddin et al., 2020)</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r w:rsidRPr="00D017CD">
        <w:rPr>
          <w:rFonts w:ascii="Times New Roman" w:hAnsi="Times New Roman" w:cs="Times New Roman"/>
          <w:sz w:val="24"/>
          <w:szCs w:val="24"/>
        </w:rPr>
        <w:t xml:space="preserve"> It permits precise modifications to DNA sequences with the possibility to prevent future vision loss, progress visual acuity, and improve patient quality of life</w:t>
      </w:r>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{"citationID":"SW7Rp8Ci","properties":{"formattedCitation":"(Ebrahimi et al., 2023)","plainCitation":"(Ebrahimi et al., 2023)","noteIndex":0},"citationItems":[{"id":173,"uris":["http://zotero.org/users/17126151/items/A9QBJN37"],"itemData":{"id":173,"type":"article-journal","abstract":"Programmable nucleases are powerful genomic tools for precise genome editing. These tools precisely recognize, remove, or change DNA at a defined site, thereby stimulating cellular DNA repair pathways that can cause mutations or accurate replacement or deletion/insertion of a sequence. The CRISPR-Cas9 system is the most potent and useful genome editing technique adapted from the immune system of certain bacteria and archaea against viruses and phages. In the past decade, this technology has made notable progress, and at present, it has largely been used in genome manipulation to make precise gene editing in plants, animals, and human cells. In this review, we aimed to explain the basic principles, mechanisms of action, and applications of this system in different areas of medicine, with an emphasize on the detection and treatment of parasitic diseases.","container-title":"Iranian Biomedical Journal","DOI":"10.61186/ibj.27.5.219","ISSN":"1028-852X","issue":"5","journalAbbreviation":"Iran Biomed J","note":"PMID: 37873636\nPMCID: PMC10707817","page":"219-246","source":"PubMed Central","title":"CRISPR-Cas Technology as a Revolutionary Genome Editing tool: Mechanisms and Biomedical Applications","title-short":"CRISPR-Cas Technology as a Revolutionary Genome Editing tool","volume":"27","author":[{"family":"Ebrahimi","given":"Sahar"},{"family":"Khosravi","given":"Mohammad Ali"},{"family":"Raz","given":"Abbasali"},{"family":"Karimipoor","given":"Morteza"},{"family":"Parvizi","given":"Parviz"}],"issued":{"date-parts":[["2023",9]]}}}],"schema":"https://github.com/citation-style-language/schema/raw/master/csl-citation.json"}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(Ebrahimi et al., 2023)</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r w:rsidRPr="00D017CD">
        <w:rPr>
          <w:rFonts w:ascii="Times New Roman" w:hAnsi="Times New Roman" w:cs="Times New Roman"/>
          <w:sz w:val="24"/>
          <w:szCs w:val="24"/>
        </w:rPr>
        <w:t xml:space="preserve"> Future studies coming up with aim to develop therapeutic gene expression, including VEGF factors, with promising results</w:t>
      </w:r>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rPr>
        <w:fldChar w:fldCharType="begin"/>
      </w:r>
      <w:r w:rsidR="00B3699E">
        <w:rPr>
          <w:rFonts w:ascii="Times New Roman" w:hAnsi="Times New Roman" w:cs="Times New Roman"/>
          <w:sz w:val="24"/>
          <w:szCs w:val="24"/>
        </w:rPr>
        <w:instrText xml:space="preserve"> ADDIN ZOTERO_ITEM CSL_CITATION {"citationID":"ABx9WpFV","properties":{"formattedCitation":"(Finocchio et al., 2023a)","plainCitation":"(Finocchio et al., 2023a)","noteIndex":0},"citationItems":[{"id":208,"uris":["http://zotero.org/users/17126151/items/K6DKWYJC"],"itemData":{"id":208,"type":"article-journal","abstract":"Age-related macular degeneration (AMD) is a complex and multifactorial disease and a leading cause of irreversible blindness in the elderly population. The anti-vascular endothelial growth factor (anti-VEGF) therapy has revolutionized the management and prognosis of neovascular AMD (nAMD) and is currently the standard of care for this disease. However, patients are required to receive repeated injections, imposing substantial social and economic burdens. The implementation of gene therapy methods to achieve sustained delivery of various therapeutic proteins holds the promise of a single treatment that could ameliorate the treatment challenges associated with chronic intravitreal therapy, and potentially improve visual outcomes. Several early-phase trials are currently underway, evaluating the safety and efficacy of gene therapy for nAMD; however, areas of controversy persist, including the therapeutic target, route of administration, and potential safety issues. In this review, we assess the evolution of gene therapy for nAMD and summarize several preclinical and early-stage clinical trials, exploring challenges and future directions.","container-title":"Biomedicines","DOI":"10.3390/biomedicines11123221","ISSN":"2227-9059","issue":"12","journalAbbreviation":"Biomedicines","language":"eng","note":"PMID: 38137442\nPMCID: PMC10740940","page":"3221","source":"PubMed","title":"Recent Developments in Gene Therapy for Neovascular Age-Related Macular Degeneration: A Review","title-short":"Recent Developments in Gene Therapy for Neovascular Age-Related Macular Degeneration","volume":"11","author":[{"family":"Finocchio","given":"Lucia"},{"family":"Zeppieri","given":"Marco"},{"family":"Gabai","given":"Andrea"},{"family":"Toneatto","given":"Giacomo"},{"family":"Spadea","given":"Leopoldo"},{"family":"Salati","given":"Carlo"}],"issued":{"date-parts":[["2023",12,5]]}}}],"schema":"https://github.com/citation-style-language/schema/raw/master/csl-citation.json"} </w:instrText>
      </w:r>
      <w:r w:rsidR="003A0F1D" w:rsidRPr="00D017CD">
        <w:rPr>
          <w:rFonts w:ascii="Times New Roman" w:hAnsi="Times New Roman" w:cs="Times New Roman"/>
          <w:sz w:val="24"/>
          <w:szCs w:val="24"/>
        </w:rPr>
        <w:fldChar w:fldCharType="separate"/>
      </w:r>
      <w:r w:rsidR="00B3699E" w:rsidRPr="00B3699E">
        <w:rPr>
          <w:rFonts w:ascii="Times New Roman" w:hAnsi="Times New Roman" w:cs="Times New Roman"/>
          <w:sz w:val="24"/>
        </w:rPr>
        <w:t>(Finocchio et al., 2023a)</w:t>
      </w:r>
      <w:r w:rsidR="003A0F1D" w:rsidRPr="00D017CD">
        <w:rPr>
          <w:rFonts w:ascii="Times New Roman" w:hAnsi="Times New Roman" w:cs="Times New Roman"/>
          <w:sz w:val="24"/>
          <w:szCs w:val="24"/>
        </w:rPr>
        <w:fldChar w:fldCharType="end"/>
      </w:r>
      <w:r w:rsidR="00401824">
        <w:rPr>
          <w:rFonts w:ascii="Times New Roman" w:hAnsi="Times New Roman" w:cs="Times New Roman"/>
          <w:sz w:val="24"/>
          <w:szCs w:val="24"/>
        </w:rPr>
        <w:t>.</w:t>
      </w:r>
      <w:r w:rsidRPr="00D017CD">
        <w:rPr>
          <w:rFonts w:ascii="Times New Roman" w:hAnsi="Times New Roman" w:cs="Times New Roman"/>
          <w:sz w:val="24"/>
          <w:szCs w:val="24"/>
        </w:rPr>
        <w:t xml:space="preserve"> Several factors require a superior consideration of the fundamental mechanisms of inflammation in ocular gene therapy for ARMD, with prolonged studies of follow-up required to fully assess efficacy, safety, and the body's immune response to gene therapy. It is estimated that over three to five years, gene therapy may substitute several anti-VEGF injections with only a dose of office-based administration and will change the current archetype of ARMD treatment by improving the patient’s quality of life</w:t>
      </w:r>
      <w:r w:rsidR="00401824">
        <w:rPr>
          <w:rFonts w:ascii="Times New Roman" w:hAnsi="Times New Roman" w:cs="Times New Roman"/>
          <w:sz w:val="24"/>
          <w:szCs w:val="24"/>
        </w:rPr>
        <w:t xml:space="preserve"> </w:t>
      </w:r>
      <w:r w:rsidR="003A0F1D" w:rsidRPr="00D017CD">
        <w:rPr>
          <w:rFonts w:ascii="Times New Roman" w:hAnsi="Times New Roman" w:cs="Times New Roman"/>
          <w:sz w:val="24"/>
          <w:szCs w:val="24"/>
          <w:vertAlign w:val="superscript"/>
        </w:rPr>
        <w:fldChar w:fldCharType="begin"/>
      </w:r>
      <w:r w:rsidR="00B3699E">
        <w:rPr>
          <w:rFonts w:ascii="Times New Roman" w:hAnsi="Times New Roman" w:cs="Times New Roman"/>
          <w:sz w:val="24"/>
          <w:szCs w:val="24"/>
          <w:vertAlign w:val="superscript"/>
        </w:rPr>
        <w:instrText xml:space="preserve"> ADDIN ZOTERO_ITEM CSL_CITATION {"citationID":"auO7cQmS","properties":{"formattedCitation":"(Finocchio et al., 2023b)","plainCitation":"(Finocchio et al., 2023b)","noteIndex":0},"citationItems":[{"id":"1bYYoRFa/DVYo2dft","uris":["http://zotero.org/users/15401920/items/HACSTBR7"],"itemData":{"id":1240,"type":"article-journal","abstract":"Age-related macular degeneration (AMD) is a complex and multifactorial disease and a leading cause of irreversible blindness in the elderly population. The anti-vascular endothelial growth factor (anti-VEGF) therapy has revolutionized the management and prognosis of neovascular AMD (nAMD) and is currently the standard of care for this disease. However, patients are required to receive repeated injections, imposing substantial social and economic burdens. The implementation of gene therapy methods to achieve sustained delivery of various therapeutic proteins holds the promise of a single treatment that could ameliorate the treatment challenges associated with chronic intravitreal therapy, and potentially improve visual outcomes. Several early-phase trials are currently underway, evaluating the safety and efficacy of gene therapy for nAMD; however, areas of controversy persist, including the therapeutic target, route of administration, and potential safety issues. In this review, we assess the evolution of gene therapy for nAMD and summarize several preclinical and early-stage clinical trials, exploring challenges and future directions.","container-title":"Biomedicines","DOI":"10.3390/biomedicines11123221","ISSN":"2227-9059","issue":"12","language":"en","license":"http://creativecommons.org/licenses/by/3.0/","note":"number: 12\npublisher: Multidisciplinary Digital Publishing Institute","page":"3221","source":"www.mdpi.com","title":"Recent Developments in Gene Therapy for Neovascular Age-Related Macular Degeneration: A Review","title-short":"Recent Developments in Gene Therapy for Neovascular Age-Related Macular Degeneration","volume":"11","author":[{"family":"Finocchio","given":"Lucia"},{"family":"Zeppieri","given":"Marco"},{"family":"Gabai","given":"Andrea"},{"family":"Toneatto","given":"Giacomo"},{"family":"Spadea","given":"Leopoldo"},{"family":"Salati","given":"Carlo"}],"issued":{"date-parts":[["2023",12]]}}}],"schema":"https://github.com/citation-style-language/schema/raw/master/csl-citation.json"} </w:instrText>
      </w:r>
      <w:r w:rsidR="003A0F1D" w:rsidRPr="00D017CD">
        <w:rPr>
          <w:rFonts w:ascii="Times New Roman" w:hAnsi="Times New Roman" w:cs="Times New Roman"/>
          <w:sz w:val="24"/>
          <w:szCs w:val="24"/>
          <w:vertAlign w:val="superscript"/>
        </w:rPr>
        <w:fldChar w:fldCharType="separate"/>
      </w:r>
      <w:r w:rsidR="00B3699E" w:rsidRPr="00B3699E">
        <w:rPr>
          <w:rFonts w:ascii="Times New Roman" w:hAnsi="Times New Roman" w:cs="Times New Roman"/>
          <w:sz w:val="24"/>
        </w:rPr>
        <w:t>(Finocchio et al., 2023b)</w:t>
      </w:r>
      <w:r w:rsidR="003A0F1D" w:rsidRPr="00D017CD">
        <w:rPr>
          <w:rFonts w:ascii="Times New Roman" w:hAnsi="Times New Roman" w:cs="Times New Roman"/>
          <w:sz w:val="24"/>
          <w:szCs w:val="24"/>
          <w:vertAlign w:val="superscript"/>
        </w:rPr>
        <w:fldChar w:fldCharType="end"/>
      </w:r>
      <w:r w:rsidR="00401824">
        <w:rPr>
          <w:rFonts w:ascii="Times New Roman" w:hAnsi="Times New Roman" w:cs="Times New Roman"/>
          <w:sz w:val="24"/>
          <w:szCs w:val="24"/>
        </w:rPr>
        <w:t>.</w:t>
      </w:r>
    </w:p>
    <w:p w14:paraId="7E90EDC6" w14:textId="77777777" w:rsidR="00CF5882" w:rsidRPr="00D017CD" w:rsidRDefault="00CF5882" w:rsidP="00C30F5C">
      <w:pPr>
        <w:spacing w:line="360" w:lineRule="auto"/>
        <w:jc w:val="both"/>
        <w:rPr>
          <w:rFonts w:ascii="Times New Roman" w:hAnsi="Times New Roman" w:cs="Times New Roman"/>
          <w:b/>
          <w:bCs/>
          <w:sz w:val="24"/>
          <w:szCs w:val="24"/>
        </w:rPr>
      </w:pPr>
      <w:r w:rsidRPr="00D017CD">
        <w:rPr>
          <w:rFonts w:ascii="Times New Roman" w:hAnsi="Times New Roman" w:cs="Times New Roman"/>
          <w:b/>
          <w:bCs/>
          <w:sz w:val="24"/>
          <w:szCs w:val="24"/>
        </w:rPr>
        <w:t>Conclusion</w:t>
      </w:r>
    </w:p>
    <w:p w14:paraId="18FEADFB" w14:textId="77777777" w:rsidR="00CF5882" w:rsidRPr="00D017CD" w:rsidRDefault="00CF5882" w:rsidP="00C30F5C">
      <w:pPr>
        <w:spacing w:line="360" w:lineRule="auto"/>
        <w:jc w:val="both"/>
        <w:rPr>
          <w:rFonts w:ascii="Times New Roman" w:hAnsi="Times New Roman" w:cs="Times New Roman"/>
          <w:sz w:val="24"/>
          <w:szCs w:val="24"/>
        </w:rPr>
      </w:pPr>
      <w:r w:rsidRPr="00D017CD">
        <w:rPr>
          <w:rFonts w:ascii="Times New Roman" w:hAnsi="Times New Roman" w:cs="Times New Roman"/>
          <w:sz w:val="24"/>
          <w:szCs w:val="24"/>
        </w:rPr>
        <w:t>The review highlights the potential of gene therapy to overcome the burden of recurrent injections, improve pa</w:t>
      </w:r>
      <w:r w:rsidR="00A16DFE">
        <w:rPr>
          <w:rFonts w:ascii="Times New Roman" w:hAnsi="Times New Roman" w:cs="Times New Roman"/>
          <w:sz w:val="24"/>
          <w:szCs w:val="24"/>
        </w:rPr>
        <w:t>tient outcomes, and revolutionis</w:t>
      </w:r>
      <w:r w:rsidRPr="00D017CD">
        <w:rPr>
          <w:rFonts w:ascii="Times New Roman" w:hAnsi="Times New Roman" w:cs="Times New Roman"/>
          <w:sz w:val="24"/>
          <w:szCs w:val="24"/>
        </w:rPr>
        <w:t xml:space="preserve">e the management of </w:t>
      </w:r>
      <w:proofErr w:type="spellStart"/>
      <w:r w:rsidRPr="00D017CD">
        <w:rPr>
          <w:rFonts w:ascii="Times New Roman" w:hAnsi="Times New Roman" w:cs="Times New Roman"/>
          <w:sz w:val="24"/>
          <w:szCs w:val="24"/>
        </w:rPr>
        <w:t>nAMD</w:t>
      </w:r>
      <w:proofErr w:type="spellEnd"/>
      <w:r w:rsidRPr="00D017CD">
        <w:rPr>
          <w:rFonts w:ascii="Times New Roman" w:hAnsi="Times New Roman" w:cs="Times New Roman"/>
          <w:sz w:val="24"/>
          <w:szCs w:val="24"/>
        </w:rPr>
        <w:t xml:space="preserve">. New generation therapies open an innovative purpose of “one and done” office-based treatment for dry and wet ARMD. Gene therapy is showing output in animal trials and initial phases of clinical trials, capable of producing Anti-VEGF protein at the therapeutic level for at least up to three years. It is essential to acknowledge the challenges that come with the progression and application of gene therapies for ARMD and implementing them into practice. Ongoing research and clinical trials for gene therapy are shaping the approach for patients who require additional therapies. Ocular route of administration for delivery of viral vector and potential immune responses, are related complications of gene therapy, accentuate the need for continued investigation and poise in this field. Safety concerns, optimal dosing schedule, </w:t>
      </w:r>
      <w:r w:rsidRPr="00D017CD">
        <w:rPr>
          <w:rFonts w:ascii="Times New Roman" w:hAnsi="Times New Roman" w:cs="Times New Roman"/>
          <w:sz w:val="24"/>
          <w:szCs w:val="24"/>
        </w:rPr>
        <w:lastRenderedPageBreak/>
        <w:t>long-term effects, and approachability to these innovative treatments necessitate additional research, and attention is required.</w:t>
      </w:r>
    </w:p>
    <w:p w14:paraId="7D654322" w14:textId="77777777" w:rsidR="00CF5882" w:rsidRDefault="00CF5882" w:rsidP="00C30F5C">
      <w:pPr>
        <w:spacing w:line="360" w:lineRule="auto"/>
        <w:jc w:val="both"/>
        <w:rPr>
          <w:rFonts w:ascii="Times New Roman" w:hAnsi="Times New Roman" w:cs="Times New Roman"/>
          <w:sz w:val="24"/>
          <w:szCs w:val="24"/>
        </w:rPr>
      </w:pPr>
      <w:r w:rsidRPr="00D017CD">
        <w:rPr>
          <w:rFonts w:ascii="Times New Roman" w:hAnsi="Times New Roman" w:cs="Times New Roman"/>
          <w:sz w:val="24"/>
          <w:szCs w:val="24"/>
        </w:rPr>
        <w:t>Gene therapy revolutionary method, promises to restore Retinal pigment epithelium function and improve visual acuity in both types of ARMD patients. Aims to slow ARMD progression by mutating targeted genes. The Phase 2 trial is carried out at Columbia University and New York-Presbyterian to test an investigational gene therapy for dry ARMD. In the United States, ARMD is a progressive, long-term eye disease without any cure and a leading cause of blindness. Phase 3 trial and regulatory approval (2025-2030) is ongoing research. In three to four years, gene therapy will be approved if this trial gives similar results to the Phase ½ trial. In the next 5 years, gene therapy trials will increase drastically, thus replacing injections of anti-VEGF with a solitary dose delivered office-based treatment. At present, several concerns need to be addressed in gene therapy. Future direction includes a combination of gene therapy and pharmacotherapy, and CRISPR/CAS9 gene editing.</w:t>
      </w:r>
    </w:p>
    <w:p w14:paraId="3F792DE9" w14:textId="77777777" w:rsidR="00825984" w:rsidRDefault="00825984" w:rsidP="00C30F5C">
      <w:pPr>
        <w:spacing w:line="360" w:lineRule="auto"/>
        <w:jc w:val="both"/>
        <w:rPr>
          <w:rFonts w:ascii="Times New Roman" w:hAnsi="Times New Roman" w:cs="Times New Roman"/>
          <w:sz w:val="24"/>
          <w:szCs w:val="24"/>
        </w:rPr>
      </w:pPr>
      <w:r w:rsidRPr="00825984">
        <w:rPr>
          <w:rFonts w:ascii="Times New Roman" w:hAnsi="Times New Roman" w:cs="Times New Roman"/>
          <w:b/>
          <w:bCs/>
          <w:sz w:val="24"/>
          <w:szCs w:val="24"/>
        </w:rPr>
        <w:t>DISCLAIMER (ARTIFICIAL INTELLIGENCE)</w:t>
      </w:r>
      <w:r w:rsidRPr="00825984">
        <w:rPr>
          <w:rFonts w:ascii="Times New Roman" w:hAnsi="Times New Roman" w:cs="Times New Roman"/>
          <w:sz w:val="24"/>
          <w:szCs w:val="24"/>
        </w:rPr>
        <w:t xml:space="preserve"> </w:t>
      </w:r>
    </w:p>
    <w:p w14:paraId="6C4ECF6C" w14:textId="6EE3E196" w:rsidR="00630661" w:rsidRPr="00D017CD" w:rsidRDefault="00825984" w:rsidP="00C30F5C">
      <w:pPr>
        <w:spacing w:line="360" w:lineRule="auto"/>
        <w:jc w:val="both"/>
        <w:rPr>
          <w:rFonts w:ascii="Times New Roman" w:hAnsi="Times New Roman" w:cs="Times New Roman"/>
          <w:sz w:val="24"/>
          <w:szCs w:val="24"/>
        </w:rPr>
      </w:pPr>
      <w:r w:rsidRPr="00825984">
        <w:rPr>
          <w:rFonts w:ascii="Times New Roman" w:hAnsi="Times New Roman" w:cs="Times New Roman"/>
          <w:sz w:val="24"/>
          <w:szCs w:val="24"/>
        </w:rPr>
        <w:t>Author</w:t>
      </w:r>
      <w:r>
        <w:rPr>
          <w:rFonts w:ascii="Times New Roman" w:hAnsi="Times New Roman" w:cs="Times New Roman"/>
          <w:sz w:val="24"/>
          <w:szCs w:val="24"/>
        </w:rPr>
        <w:t>s</w:t>
      </w:r>
      <w:r w:rsidRPr="00825984">
        <w:rPr>
          <w:rFonts w:ascii="Times New Roman" w:hAnsi="Times New Roman" w:cs="Times New Roman"/>
          <w:sz w:val="24"/>
          <w:szCs w:val="24"/>
        </w:rPr>
        <w:t xml:space="preserve"> hereby declare that NO generative AI technologies such as Large Language</w:t>
      </w:r>
      <w:r>
        <w:rPr>
          <w:rFonts w:ascii="Times New Roman" w:hAnsi="Times New Roman" w:cs="Times New Roman"/>
          <w:sz w:val="24"/>
          <w:szCs w:val="24"/>
        </w:rPr>
        <w:t xml:space="preserve"> </w:t>
      </w:r>
      <w:r w:rsidRPr="00825984">
        <w:rPr>
          <w:rFonts w:ascii="Times New Roman" w:hAnsi="Times New Roman" w:cs="Times New Roman"/>
          <w:sz w:val="24"/>
          <w:szCs w:val="24"/>
        </w:rPr>
        <w:t>Models (ChatGPT, COPILOT, etc) and text-to-image generators have</w:t>
      </w:r>
      <w:r w:rsidR="00501AC8">
        <w:rPr>
          <w:rFonts w:ascii="Times New Roman" w:hAnsi="Times New Roman" w:cs="Times New Roman"/>
          <w:sz w:val="24"/>
          <w:szCs w:val="24"/>
        </w:rPr>
        <w:t xml:space="preserve"> </w:t>
      </w:r>
      <w:r w:rsidRPr="00825984">
        <w:rPr>
          <w:rFonts w:ascii="Times New Roman" w:hAnsi="Times New Roman" w:cs="Times New Roman"/>
          <w:sz w:val="24"/>
          <w:szCs w:val="24"/>
        </w:rPr>
        <w:t>been used</w:t>
      </w:r>
      <w:r>
        <w:rPr>
          <w:rFonts w:ascii="Times New Roman" w:hAnsi="Times New Roman" w:cs="Times New Roman"/>
          <w:sz w:val="24"/>
          <w:szCs w:val="24"/>
        </w:rPr>
        <w:t xml:space="preserve"> </w:t>
      </w:r>
      <w:r w:rsidRPr="00825984">
        <w:rPr>
          <w:rFonts w:ascii="Times New Roman" w:hAnsi="Times New Roman" w:cs="Times New Roman"/>
          <w:sz w:val="24"/>
          <w:szCs w:val="24"/>
        </w:rPr>
        <w:t>during writing or</w:t>
      </w:r>
      <w:r w:rsidR="00501AC8">
        <w:rPr>
          <w:rFonts w:ascii="Times New Roman" w:hAnsi="Times New Roman" w:cs="Times New Roman"/>
          <w:sz w:val="24"/>
          <w:szCs w:val="24"/>
        </w:rPr>
        <w:t xml:space="preserve"> </w:t>
      </w:r>
      <w:r w:rsidRPr="00825984">
        <w:rPr>
          <w:rFonts w:ascii="Times New Roman" w:hAnsi="Times New Roman" w:cs="Times New Roman"/>
          <w:sz w:val="24"/>
          <w:szCs w:val="24"/>
        </w:rPr>
        <w:t>editing of manuscripts.</w:t>
      </w:r>
    </w:p>
    <w:p w14:paraId="54A05A94" w14:textId="77777777" w:rsidR="00CF5882" w:rsidRPr="00D017CD" w:rsidRDefault="00CF5882" w:rsidP="00C30F5C">
      <w:pPr>
        <w:spacing w:line="360" w:lineRule="auto"/>
        <w:jc w:val="both"/>
        <w:rPr>
          <w:rFonts w:ascii="Times New Roman" w:hAnsi="Times New Roman" w:cs="Times New Roman"/>
          <w:b/>
          <w:bCs/>
          <w:sz w:val="24"/>
          <w:szCs w:val="24"/>
        </w:rPr>
      </w:pPr>
      <w:r w:rsidRPr="00D017CD">
        <w:rPr>
          <w:rFonts w:ascii="Times New Roman" w:hAnsi="Times New Roman" w:cs="Times New Roman"/>
          <w:b/>
          <w:bCs/>
          <w:sz w:val="24"/>
          <w:szCs w:val="24"/>
        </w:rPr>
        <w:t xml:space="preserve">References: </w:t>
      </w:r>
    </w:p>
    <w:p w14:paraId="26BFC6B8" w14:textId="77777777" w:rsidR="00B3699E" w:rsidRPr="00D27307" w:rsidRDefault="003A0F1D" w:rsidP="00B3699E">
      <w:pPr>
        <w:pStyle w:val="Bibliography"/>
        <w:rPr>
          <w:rFonts w:ascii="Times New Roman" w:hAnsi="Times New Roman" w:cs="Times New Roman"/>
        </w:rPr>
      </w:pPr>
      <w:r w:rsidRPr="00D27307">
        <w:rPr>
          <w:rFonts w:ascii="Times New Roman" w:hAnsi="Times New Roman" w:cs="Times New Roman"/>
          <w:sz w:val="24"/>
          <w:szCs w:val="24"/>
        </w:rPr>
        <w:fldChar w:fldCharType="begin"/>
      </w:r>
      <w:r w:rsidR="00B3699E" w:rsidRPr="00D27307">
        <w:rPr>
          <w:rFonts w:ascii="Times New Roman" w:hAnsi="Times New Roman" w:cs="Times New Roman"/>
          <w:sz w:val="24"/>
          <w:szCs w:val="24"/>
        </w:rPr>
        <w:instrText xml:space="preserve"> ADDIN ZOTERO_BIBL {"uncited":[],"omitted":[],"custom":[]} CSL_BIBLIOGRAPHY </w:instrText>
      </w:r>
      <w:r w:rsidRPr="00D27307">
        <w:rPr>
          <w:rFonts w:ascii="Times New Roman" w:hAnsi="Times New Roman" w:cs="Times New Roman"/>
          <w:sz w:val="24"/>
          <w:szCs w:val="24"/>
        </w:rPr>
        <w:fldChar w:fldCharType="separate"/>
      </w:r>
      <w:r w:rsidR="00B3699E" w:rsidRPr="00D27307">
        <w:rPr>
          <w:rFonts w:ascii="Times New Roman" w:hAnsi="Times New Roman" w:cs="Times New Roman"/>
        </w:rPr>
        <w:t xml:space="preserve">Amarakoon, S., Martinez-Ciriano, J. P., van den Born, L. I., Baarsma, S., &amp; Missotten, T. (2019). Bevacizumab in age-related macular degeneration: A randomized controlled trial on the effect of on-demand therapy every 4 or 8 weeks. </w:t>
      </w:r>
      <w:r w:rsidR="00B3699E" w:rsidRPr="00D27307">
        <w:rPr>
          <w:rFonts w:ascii="Times New Roman" w:hAnsi="Times New Roman" w:cs="Times New Roman"/>
          <w:i/>
          <w:iCs/>
        </w:rPr>
        <w:t>Acta Ophthalmologica</w:t>
      </w:r>
      <w:r w:rsidR="00B3699E" w:rsidRPr="00D27307">
        <w:rPr>
          <w:rFonts w:ascii="Times New Roman" w:hAnsi="Times New Roman" w:cs="Times New Roman"/>
        </w:rPr>
        <w:t xml:space="preserve">, </w:t>
      </w:r>
      <w:r w:rsidR="00B3699E" w:rsidRPr="00D27307">
        <w:rPr>
          <w:rFonts w:ascii="Times New Roman" w:hAnsi="Times New Roman" w:cs="Times New Roman"/>
          <w:i/>
          <w:iCs/>
        </w:rPr>
        <w:t>97</w:t>
      </w:r>
      <w:r w:rsidR="00B3699E" w:rsidRPr="00D27307">
        <w:rPr>
          <w:rFonts w:ascii="Times New Roman" w:hAnsi="Times New Roman" w:cs="Times New Roman"/>
        </w:rPr>
        <w:t>(1), 107–112. https://doi.org/10.1111/aos.13774</w:t>
      </w:r>
    </w:p>
    <w:p w14:paraId="26374A5A"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Asten, F. van, Simmons, M., Singhal, A., Keenan, T. D., Ratnapriya, R., Agrón, E., Clemons, T. E., Swaroop, A., Lu, Z., &amp; Chew, E. Y. (2018). A Deep Phenotype Association Study Reveals Specific Phenotype Associations with Genetic Variants in Age-related Macular Degeneration: Age-Related Eye Disease Study 2 (AREDS2) Report No. 14. </w:t>
      </w:r>
      <w:r w:rsidRPr="00D27307">
        <w:rPr>
          <w:rFonts w:ascii="Times New Roman" w:hAnsi="Times New Roman" w:cs="Times New Roman"/>
          <w:i/>
          <w:iCs/>
        </w:rPr>
        <w:t>Ophthalmology</w:t>
      </w:r>
      <w:r w:rsidRPr="00D27307">
        <w:rPr>
          <w:rFonts w:ascii="Times New Roman" w:hAnsi="Times New Roman" w:cs="Times New Roman"/>
        </w:rPr>
        <w:t xml:space="preserve">, </w:t>
      </w:r>
      <w:r w:rsidRPr="00D27307">
        <w:rPr>
          <w:rFonts w:ascii="Times New Roman" w:hAnsi="Times New Roman" w:cs="Times New Roman"/>
          <w:i/>
          <w:iCs/>
        </w:rPr>
        <w:t>125</w:t>
      </w:r>
      <w:r w:rsidRPr="00D27307">
        <w:rPr>
          <w:rFonts w:ascii="Times New Roman" w:hAnsi="Times New Roman" w:cs="Times New Roman"/>
        </w:rPr>
        <w:t>(4), 559–568. https://doi.org/10.1016/j.ophtha.2017.09.023</w:t>
      </w:r>
    </w:p>
    <w:p w14:paraId="322C1971"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Bhutto, I., &amp; Lutty, G. (2012). Understanding age-related macular degeneration (AMD): Relationships between the photoreceptor/retinal pigment epithelium/Bruch’s membrane/choriocapillaris </w:t>
      </w:r>
      <w:r w:rsidRPr="00D27307">
        <w:rPr>
          <w:rFonts w:ascii="Times New Roman" w:hAnsi="Times New Roman" w:cs="Times New Roman"/>
        </w:rPr>
        <w:lastRenderedPageBreak/>
        <w:t xml:space="preserve">complex. </w:t>
      </w:r>
      <w:r w:rsidRPr="00D27307">
        <w:rPr>
          <w:rFonts w:ascii="Times New Roman" w:hAnsi="Times New Roman" w:cs="Times New Roman"/>
          <w:i/>
          <w:iCs/>
        </w:rPr>
        <w:t>Molecular Aspects of Medicine</w:t>
      </w:r>
      <w:r w:rsidRPr="00D27307">
        <w:rPr>
          <w:rFonts w:ascii="Times New Roman" w:hAnsi="Times New Roman" w:cs="Times New Roman"/>
        </w:rPr>
        <w:t xml:space="preserve">, </w:t>
      </w:r>
      <w:r w:rsidRPr="00D27307">
        <w:rPr>
          <w:rFonts w:ascii="Times New Roman" w:hAnsi="Times New Roman" w:cs="Times New Roman"/>
          <w:i/>
          <w:iCs/>
        </w:rPr>
        <w:t>33</w:t>
      </w:r>
      <w:r w:rsidRPr="00D27307">
        <w:rPr>
          <w:rFonts w:ascii="Times New Roman" w:hAnsi="Times New Roman" w:cs="Times New Roman"/>
        </w:rPr>
        <w:t>(4), 295–317. https://doi.org/10.1016/j.mam.2012.04.005</w:t>
      </w:r>
    </w:p>
    <w:p w14:paraId="60D8C71C"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Binley, K., Widdowson, P. S., Kelleher, M., de Belin, J., Loader, J., Ferrige, G., Carlucci, M., Esapa, M., Chipchase, D., Angell-Manning, D., Ellis, S., Mitrophanous, K., Miskin, J., Bantseev, V., Nork, T. M., Miller, P., &amp; Naylor, S. (2012). Safety and biodistribution of an equine infectious anemia virus-based gene therapy, RetinoStat(®), for age-related macular degeneration. </w:t>
      </w:r>
      <w:r w:rsidRPr="00D27307">
        <w:rPr>
          <w:rFonts w:ascii="Times New Roman" w:hAnsi="Times New Roman" w:cs="Times New Roman"/>
          <w:i/>
          <w:iCs/>
        </w:rPr>
        <w:t>Human Gene Therapy</w:t>
      </w:r>
      <w:r w:rsidRPr="00D27307">
        <w:rPr>
          <w:rFonts w:ascii="Times New Roman" w:hAnsi="Times New Roman" w:cs="Times New Roman"/>
        </w:rPr>
        <w:t xml:space="preserve">, </w:t>
      </w:r>
      <w:r w:rsidRPr="00D27307">
        <w:rPr>
          <w:rFonts w:ascii="Times New Roman" w:hAnsi="Times New Roman" w:cs="Times New Roman"/>
          <w:i/>
          <w:iCs/>
        </w:rPr>
        <w:t>23</w:t>
      </w:r>
      <w:r w:rsidRPr="00D27307">
        <w:rPr>
          <w:rFonts w:ascii="Times New Roman" w:hAnsi="Times New Roman" w:cs="Times New Roman"/>
        </w:rPr>
        <w:t>(9), 980–991. https://doi.org/10.1089/hum.2012.008</w:t>
      </w:r>
    </w:p>
    <w:p w14:paraId="775B6CD0"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Blaese, R. M., Culver, K. W., Miller, A. D., Carter, C. S., Fleisher, T., Clerici, M., Shearer, G., Chang, L., Chiang, Y., Tolstoshev, P., Greenblatt, J. J., Rosenberg, S. A., Klein, H., Berger, M., Mullen, C. A., Ramsey, W. J., Muul, L., Morgan, R. A., &amp; Anderson, W. F. (1995). T lymphocyte-directed gene therapy for ADA- SCID: Initial trial results after 4 years. </w:t>
      </w:r>
      <w:r w:rsidRPr="00D27307">
        <w:rPr>
          <w:rFonts w:ascii="Times New Roman" w:hAnsi="Times New Roman" w:cs="Times New Roman"/>
          <w:i/>
          <w:iCs/>
        </w:rPr>
        <w:t>Science (New York, N.Y.)</w:t>
      </w:r>
      <w:r w:rsidRPr="00D27307">
        <w:rPr>
          <w:rFonts w:ascii="Times New Roman" w:hAnsi="Times New Roman" w:cs="Times New Roman"/>
        </w:rPr>
        <w:t xml:space="preserve">, </w:t>
      </w:r>
      <w:r w:rsidRPr="00D27307">
        <w:rPr>
          <w:rFonts w:ascii="Times New Roman" w:hAnsi="Times New Roman" w:cs="Times New Roman"/>
          <w:i/>
          <w:iCs/>
        </w:rPr>
        <w:t>270</w:t>
      </w:r>
      <w:r w:rsidRPr="00D27307">
        <w:rPr>
          <w:rFonts w:ascii="Times New Roman" w:hAnsi="Times New Roman" w:cs="Times New Roman"/>
        </w:rPr>
        <w:t>(5235), 475–480. https://doi.org/10.1126/science.270.5235.475</w:t>
      </w:r>
    </w:p>
    <w:p w14:paraId="096A5A22"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Blasiak, J., Pawlowska, E., Ciupińska, J., Derwich, M., Szczepanska, J., &amp; Kaarniranta, K. (2024). A New Generation of Gene Therapies as the Future of Wet AMD Treatment. </w:t>
      </w:r>
      <w:r w:rsidRPr="00D27307">
        <w:rPr>
          <w:rFonts w:ascii="Times New Roman" w:hAnsi="Times New Roman" w:cs="Times New Roman"/>
          <w:i/>
          <w:iCs/>
        </w:rPr>
        <w:t>International Journal of Molecular Sciences</w:t>
      </w:r>
      <w:r w:rsidRPr="00D27307">
        <w:rPr>
          <w:rFonts w:ascii="Times New Roman" w:hAnsi="Times New Roman" w:cs="Times New Roman"/>
        </w:rPr>
        <w:t xml:space="preserve">, </w:t>
      </w:r>
      <w:r w:rsidRPr="00D27307">
        <w:rPr>
          <w:rFonts w:ascii="Times New Roman" w:hAnsi="Times New Roman" w:cs="Times New Roman"/>
          <w:i/>
          <w:iCs/>
        </w:rPr>
        <w:t>25</w:t>
      </w:r>
      <w:r w:rsidRPr="00D27307">
        <w:rPr>
          <w:rFonts w:ascii="Times New Roman" w:hAnsi="Times New Roman" w:cs="Times New Roman"/>
        </w:rPr>
        <w:t>(4), 2386. https://doi.org/10.3390/ijms25042386</w:t>
      </w:r>
    </w:p>
    <w:p w14:paraId="5010737D"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Blattner, G., Cavazza, A., Thrasher, A. J., &amp; Turchiano, G. (2020). Gene Editing and Genotoxicity: Targeting the Off-Targets. </w:t>
      </w:r>
      <w:r w:rsidRPr="00D27307">
        <w:rPr>
          <w:rFonts w:ascii="Times New Roman" w:hAnsi="Times New Roman" w:cs="Times New Roman"/>
          <w:i/>
          <w:iCs/>
        </w:rPr>
        <w:t>Frontiers in Genome Editing</w:t>
      </w:r>
      <w:r w:rsidRPr="00D27307">
        <w:rPr>
          <w:rFonts w:ascii="Times New Roman" w:hAnsi="Times New Roman" w:cs="Times New Roman"/>
        </w:rPr>
        <w:t xml:space="preserve">, </w:t>
      </w:r>
      <w:r w:rsidRPr="00D27307">
        <w:rPr>
          <w:rFonts w:ascii="Times New Roman" w:hAnsi="Times New Roman" w:cs="Times New Roman"/>
          <w:i/>
          <w:iCs/>
        </w:rPr>
        <w:t>2</w:t>
      </w:r>
      <w:r w:rsidRPr="00D27307">
        <w:rPr>
          <w:rFonts w:ascii="Times New Roman" w:hAnsi="Times New Roman" w:cs="Times New Roman"/>
        </w:rPr>
        <w:t>, 613252. https://doi.org/10.3389/fgeed.2020.613252</w:t>
      </w:r>
    </w:p>
    <w:p w14:paraId="222B5189"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Botto, C., Rucli, M., Tekinsoy, M. D., Pulman, J., Sahel, J.-A., &amp; Dalkara, D. (2022). Early and late stage gene therapy interventions for inherited retinal degenerations. </w:t>
      </w:r>
      <w:r w:rsidRPr="00D27307">
        <w:rPr>
          <w:rFonts w:ascii="Times New Roman" w:hAnsi="Times New Roman" w:cs="Times New Roman"/>
          <w:i/>
          <w:iCs/>
        </w:rPr>
        <w:t>Progress in Retinal and Eye Research</w:t>
      </w:r>
      <w:r w:rsidRPr="00D27307">
        <w:rPr>
          <w:rFonts w:ascii="Times New Roman" w:hAnsi="Times New Roman" w:cs="Times New Roman"/>
        </w:rPr>
        <w:t xml:space="preserve">, </w:t>
      </w:r>
      <w:r w:rsidRPr="00D27307">
        <w:rPr>
          <w:rFonts w:ascii="Times New Roman" w:hAnsi="Times New Roman" w:cs="Times New Roman"/>
          <w:i/>
          <w:iCs/>
        </w:rPr>
        <w:t>86</w:t>
      </w:r>
      <w:r w:rsidRPr="00D27307">
        <w:rPr>
          <w:rFonts w:ascii="Times New Roman" w:hAnsi="Times New Roman" w:cs="Times New Roman"/>
        </w:rPr>
        <w:t>, 100975. https://doi.org/10.1016/j.preteyeres.2021.100975</w:t>
      </w:r>
    </w:p>
    <w:p w14:paraId="72E3C76A"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Brock, D. J., Kondow-McConaghy, H. M., Hager, E. C., &amp; Pellois, J.-P. (2019). Endosomal escape and cytosolic penetration of macromolecules mediated by synthetic delivery agents. </w:t>
      </w:r>
      <w:r w:rsidRPr="00D27307">
        <w:rPr>
          <w:rFonts w:ascii="Times New Roman" w:hAnsi="Times New Roman" w:cs="Times New Roman"/>
          <w:i/>
          <w:iCs/>
        </w:rPr>
        <w:t>Bioconjugate Chemistry</w:t>
      </w:r>
      <w:r w:rsidRPr="00D27307">
        <w:rPr>
          <w:rFonts w:ascii="Times New Roman" w:hAnsi="Times New Roman" w:cs="Times New Roman"/>
        </w:rPr>
        <w:t xml:space="preserve">, </w:t>
      </w:r>
      <w:r w:rsidRPr="00D27307">
        <w:rPr>
          <w:rFonts w:ascii="Times New Roman" w:hAnsi="Times New Roman" w:cs="Times New Roman"/>
          <w:i/>
          <w:iCs/>
        </w:rPr>
        <w:t>30</w:t>
      </w:r>
      <w:r w:rsidRPr="00D27307">
        <w:rPr>
          <w:rFonts w:ascii="Times New Roman" w:hAnsi="Times New Roman" w:cs="Times New Roman"/>
        </w:rPr>
        <w:t>(2), 293–304. https://doi.org/10.1021/acs.bioconjchem.8b00799</w:t>
      </w:r>
    </w:p>
    <w:p w14:paraId="276614C3"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Buck, T. M., &amp; Wijnholds, J. (2020). Recombinant Adeno-Associated Viral Vectors (rAAV)-Vector Elements in Ocular Gene Therapy Clinical Trials and Transgene Expression and Bioactivity Assays. </w:t>
      </w:r>
      <w:r w:rsidRPr="00D27307">
        <w:rPr>
          <w:rFonts w:ascii="Times New Roman" w:hAnsi="Times New Roman" w:cs="Times New Roman"/>
          <w:i/>
          <w:iCs/>
        </w:rPr>
        <w:t>International Journal of Molecular Sciences</w:t>
      </w:r>
      <w:r w:rsidRPr="00D27307">
        <w:rPr>
          <w:rFonts w:ascii="Times New Roman" w:hAnsi="Times New Roman" w:cs="Times New Roman"/>
        </w:rPr>
        <w:t xml:space="preserve">, </w:t>
      </w:r>
      <w:r w:rsidRPr="00D27307">
        <w:rPr>
          <w:rFonts w:ascii="Times New Roman" w:hAnsi="Times New Roman" w:cs="Times New Roman"/>
          <w:i/>
          <w:iCs/>
        </w:rPr>
        <w:t>21</w:t>
      </w:r>
      <w:r w:rsidRPr="00D27307">
        <w:rPr>
          <w:rFonts w:ascii="Times New Roman" w:hAnsi="Times New Roman" w:cs="Times New Roman"/>
        </w:rPr>
        <w:t>(12), 4197. https://doi.org/10.3390/ijms21124197</w:t>
      </w:r>
    </w:p>
    <w:p w14:paraId="12373C02"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lastRenderedPageBreak/>
        <w:t xml:space="preserve">Bulcha, J. T., Wang, Y., Ma, H., Tai, P. W. L., &amp; Gao, G. (2021). Viral vector platforms within the gene therapy landscape. </w:t>
      </w:r>
      <w:r w:rsidRPr="00D27307">
        <w:rPr>
          <w:rFonts w:ascii="Times New Roman" w:hAnsi="Times New Roman" w:cs="Times New Roman"/>
          <w:i/>
          <w:iCs/>
        </w:rPr>
        <w:t>Signal Transduction and Targeted Therapy</w:t>
      </w:r>
      <w:r w:rsidRPr="00D27307">
        <w:rPr>
          <w:rFonts w:ascii="Times New Roman" w:hAnsi="Times New Roman" w:cs="Times New Roman"/>
        </w:rPr>
        <w:t xml:space="preserve">, </w:t>
      </w:r>
      <w:r w:rsidRPr="00D27307">
        <w:rPr>
          <w:rFonts w:ascii="Times New Roman" w:hAnsi="Times New Roman" w:cs="Times New Roman"/>
          <w:i/>
          <w:iCs/>
        </w:rPr>
        <w:t>6</w:t>
      </w:r>
      <w:r w:rsidRPr="00D27307">
        <w:rPr>
          <w:rFonts w:ascii="Times New Roman" w:hAnsi="Times New Roman" w:cs="Times New Roman"/>
        </w:rPr>
        <w:t>(1), 1–24. https://doi.org/10.1038/s41392-021-00487-6</w:t>
      </w:r>
    </w:p>
    <w:p w14:paraId="6C05D0EC"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Campochiaro, P. A., Lauer, A. K., Sohn, E. H., Mir, T. A., Naylor, S., Anderton, M. C., Kelleher, M., Harrop, R., Ellis, S., &amp; Mitrophanous, K. A. (2017). Lentiviral Vector Gene Transfer of Endostatin/Angiostatin for Macular Degeneration (GEM) Study. </w:t>
      </w:r>
      <w:r w:rsidRPr="00D27307">
        <w:rPr>
          <w:rFonts w:ascii="Times New Roman" w:hAnsi="Times New Roman" w:cs="Times New Roman"/>
          <w:i/>
          <w:iCs/>
        </w:rPr>
        <w:t>Human Gene Therapy</w:t>
      </w:r>
      <w:r w:rsidRPr="00D27307">
        <w:rPr>
          <w:rFonts w:ascii="Times New Roman" w:hAnsi="Times New Roman" w:cs="Times New Roman"/>
        </w:rPr>
        <w:t xml:space="preserve">, </w:t>
      </w:r>
      <w:r w:rsidRPr="00D27307">
        <w:rPr>
          <w:rFonts w:ascii="Times New Roman" w:hAnsi="Times New Roman" w:cs="Times New Roman"/>
          <w:i/>
          <w:iCs/>
        </w:rPr>
        <w:t>28</w:t>
      </w:r>
      <w:r w:rsidRPr="00D27307">
        <w:rPr>
          <w:rFonts w:ascii="Times New Roman" w:hAnsi="Times New Roman" w:cs="Times New Roman"/>
        </w:rPr>
        <w:t>(1), 99–111. https://doi.org/10.1089/hum.2016.117</w:t>
      </w:r>
    </w:p>
    <w:p w14:paraId="362CD06A"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Campochiaro, P. A., Nguyen, Q. D., Shah, S. M., Klein, M. L., Holz, E., Frank, R. N., Saperstein, D. A., Gupta, A., Stout, J. T., Macko, J., DiBartolomeo, R., &amp; Wei, L. L. (2006). Adenoviral vector-delivered pigment epithelium-derived factor for neovascular age-related macular degeneration: Results of a phase I clinical trial. </w:t>
      </w:r>
      <w:r w:rsidRPr="00D27307">
        <w:rPr>
          <w:rFonts w:ascii="Times New Roman" w:hAnsi="Times New Roman" w:cs="Times New Roman"/>
          <w:i/>
          <w:iCs/>
        </w:rPr>
        <w:t>Human Gene Therapy</w:t>
      </w:r>
      <w:r w:rsidRPr="00D27307">
        <w:rPr>
          <w:rFonts w:ascii="Times New Roman" w:hAnsi="Times New Roman" w:cs="Times New Roman"/>
        </w:rPr>
        <w:t xml:space="preserve">, </w:t>
      </w:r>
      <w:r w:rsidRPr="00D27307">
        <w:rPr>
          <w:rFonts w:ascii="Times New Roman" w:hAnsi="Times New Roman" w:cs="Times New Roman"/>
          <w:i/>
          <w:iCs/>
        </w:rPr>
        <w:t>17</w:t>
      </w:r>
      <w:r w:rsidRPr="00D27307">
        <w:rPr>
          <w:rFonts w:ascii="Times New Roman" w:hAnsi="Times New Roman" w:cs="Times New Roman"/>
        </w:rPr>
        <w:t>(2), 167–176. https://doi.org/10.1089/hum.2006.17.167</w:t>
      </w:r>
    </w:p>
    <w:p w14:paraId="704454E3"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Carvalho, C., Lemos, L., Antas, P., &amp; Seabra, M. C. (2023). Gene therapy for inherited retinal diseases: Exploiting new tools in genome editing and nanotechnology. </w:t>
      </w:r>
      <w:r w:rsidRPr="00D27307">
        <w:rPr>
          <w:rFonts w:ascii="Times New Roman" w:hAnsi="Times New Roman" w:cs="Times New Roman"/>
          <w:i/>
          <w:iCs/>
        </w:rPr>
        <w:t>Frontiers in Ophthalmology</w:t>
      </w:r>
      <w:r w:rsidRPr="00D27307">
        <w:rPr>
          <w:rFonts w:ascii="Times New Roman" w:hAnsi="Times New Roman" w:cs="Times New Roman"/>
        </w:rPr>
        <w:t xml:space="preserve">, </w:t>
      </w:r>
      <w:r w:rsidRPr="00D27307">
        <w:rPr>
          <w:rFonts w:ascii="Times New Roman" w:hAnsi="Times New Roman" w:cs="Times New Roman"/>
          <w:i/>
          <w:iCs/>
        </w:rPr>
        <w:t>3</w:t>
      </w:r>
      <w:r w:rsidRPr="00D27307">
        <w:rPr>
          <w:rFonts w:ascii="Times New Roman" w:hAnsi="Times New Roman" w:cs="Times New Roman"/>
        </w:rPr>
        <w:t>, 1270561. https://doi.org/10.3389/fopht.2023.1270561</w:t>
      </w:r>
    </w:p>
    <w:p w14:paraId="08797544"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Chaudhuri, M., Hassan, Y., Bakka Vemana, P. P. S., Bellary Pattanashetty, M. S., Abdin, Z. U., &amp; Siddiqui, H. F. (n.d.). Age-Related Macular Degeneration: An Exponentially Emerging Imminent Threat of Visual Impairment and Irreversible Blindness. </w:t>
      </w:r>
      <w:r w:rsidRPr="00D27307">
        <w:rPr>
          <w:rFonts w:ascii="Times New Roman" w:hAnsi="Times New Roman" w:cs="Times New Roman"/>
          <w:i/>
          <w:iCs/>
        </w:rPr>
        <w:t>Cureus</w:t>
      </w:r>
      <w:r w:rsidRPr="00D27307">
        <w:rPr>
          <w:rFonts w:ascii="Times New Roman" w:hAnsi="Times New Roman" w:cs="Times New Roman"/>
        </w:rPr>
        <w:t xml:space="preserve">, </w:t>
      </w:r>
      <w:r w:rsidRPr="00D27307">
        <w:rPr>
          <w:rFonts w:ascii="Times New Roman" w:hAnsi="Times New Roman" w:cs="Times New Roman"/>
          <w:i/>
          <w:iCs/>
        </w:rPr>
        <w:t>15</w:t>
      </w:r>
      <w:r w:rsidRPr="00D27307">
        <w:rPr>
          <w:rFonts w:ascii="Times New Roman" w:hAnsi="Times New Roman" w:cs="Times New Roman"/>
        </w:rPr>
        <w:t>(5), e39624. https://doi.org/10.7759/cureus.39624</w:t>
      </w:r>
    </w:p>
    <w:p w14:paraId="36945B4A"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Chung, S. H., Frick, S. L., &amp; Yiu, G. (2021). Targeting vascular endothelial growth factor using retinal gene therapy. </w:t>
      </w:r>
      <w:r w:rsidRPr="00D27307">
        <w:rPr>
          <w:rFonts w:ascii="Times New Roman" w:hAnsi="Times New Roman" w:cs="Times New Roman"/>
          <w:i/>
          <w:iCs/>
        </w:rPr>
        <w:t>Annals of Translational Medicine</w:t>
      </w:r>
      <w:r w:rsidRPr="00D27307">
        <w:rPr>
          <w:rFonts w:ascii="Times New Roman" w:hAnsi="Times New Roman" w:cs="Times New Roman"/>
        </w:rPr>
        <w:t xml:space="preserve">, </w:t>
      </w:r>
      <w:r w:rsidRPr="00D27307">
        <w:rPr>
          <w:rFonts w:ascii="Times New Roman" w:hAnsi="Times New Roman" w:cs="Times New Roman"/>
          <w:i/>
          <w:iCs/>
        </w:rPr>
        <w:t>9</w:t>
      </w:r>
      <w:r w:rsidRPr="00D27307">
        <w:rPr>
          <w:rFonts w:ascii="Times New Roman" w:hAnsi="Times New Roman" w:cs="Times New Roman"/>
        </w:rPr>
        <w:t>(15), 1277. https://doi.org/10.21037/atm-20-4417</w:t>
      </w:r>
    </w:p>
    <w:p w14:paraId="747EF873"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Cui, M., Su, Q., Yip, M., McGowan, J., Punzo, C., Gao, G., &amp; Tai, P. W. L. (2024). The AAV2.7m8 capsid packages a higher degree of heterogeneous vector genomes than AAV2. </w:t>
      </w:r>
      <w:r w:rsidRPr="00D27307">
        <w:rPr>
          <w:rFonts w:ascii="Times New Roman" w:hAnsi="Times New Roman" w:cs="Times New Roman"/>
          <w:i/>
          <w:iCs/>
        </w:rPr>
        <w:t>Gene Therapy</w:t>
      </w:r>
      <w:r w:rsidRPr="00D27307">
        <w:rPr>
          <w:rFonts w:ascii="Times New Roman" w:hAnsi="Times New Roman" w:cs="Times New Roman"/>
        </w:rPr>
        <w:t xml:space="preserve">, </w:t>
      </w:r>
      <w:r w:rsidRPr="00D27307">
        <w:rPr>
          <w:rFonts w:ascii="Times New Roman" w:hAnsi="Times New Roman" w:cs="Times New Roman"/>
          <w:i/>
          <w:iCs/>
        </w:rPr>
        <w:t>31</w:t>
      </w:r>
      <w:r w:rsidRPr="00D27307">
        <w:rPr>
          <w:rFonts w:ascii="Times New Roman" w:hAnsi="Times New Roman" w:cs="Times New Roman"/>
        </w:rPr>
        <w:t>(9–10), 489–498. https://doi.org/10.1038/s41434-024-00477-7</w:t>
      </w:r>
    </w:p>
    <w:p w14:paraId="460E5A6C"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Dalkara, D., Byrne, L. C., Klimczak, R. R., Visel, M., Yin, L., Merigan, W. H., Flannery, J. G., &amp; Schaffer, D. V. (2013). In vivo-directed evolution of a new adeno-associated virus for </w:t>
      </w:r>
      <w:r w:rsidRPr="00D27307">
        <w:rPr>
          <w:rFonts w:ascii="Times New Roman" w:hAnsi="Times New Roman" w:cs="Times New Roman"/>
        </w:rPr>
        <w:lastRenderedPageBreak/>
        <w:t xml:space="preserve">therapeutic outer retinal gene delivery from the vitreous. </w:t>
      </w:r>
      <w:r w:rsidRPr="00D27307">
        <w:rPr>
          <w:rFonts w:ascii="Times New Roman" w:hAnsi="Times New Roman" w:cs="Times New Roman"/>
          <w:i/>
          <w:iCs/>
        </w:rPr>
        <w:t>Science Translational Medicine</w:t>
      </w:r>
      <w:r w:rsidRPr="00D27307">
        <w:rPr>
          <w:rFonts w:ascii="Times New Roman" w:hAnsi="Times New Roman" w:cs="Times New Roman"/>
        </w:rPr>
        <w:t xml:space="preserve">, </w:t>
      </w:r>
      <w:r w:rsidRPr="00D27307">
        <w:rPr>
          <w:rFonts w:ascii="Times New Roman" w:hAnsi="Times New Roman" w:cs="Times New Roman"/>
          <w:i/>
          <w:iCs/>
        </w:rPr>
        <w:t>5</w:t>
      </w:r>
      <w:r w:rsidRPr="00D27307">
        <w:rPr>
          <w:rFonts w:ascii="Times New Roman" w:hAnsi="Times New Roman" w:cs="Times New Roman"/>
        </w:rPr>
        <w:t>(189), 189ra76. https://doi.org/10.1126/scitranslmed.3005708</w:t>
      </w:r>
    </w:p>
    <w:p w14:paraId="2FAFCACF"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Di Staso, F., Di Pippo, M., &amp; Abdolrahimzadeh, S. (2023). Choroidal Neovascular Membranes in Retinal and Choroidal Tumors: Origins, Mechanisms, and Effects. </w:t>
      </w:r>
      <w:r w:rsidRPr="00D27307">
        <w:rPr>
          <w:rFonts w:ascii="Times New Roman" w:hAnsi="Times New Roman" w:cs="Times New Roman"/>
          <w:i/>
          <w:iCs/>
        </w:rPr>
        <w:t>International Journal of Molecular Sciences</w:t>
      </w:r>
      <w:r w:rsidRPr="00D27307">
        <w:rPr>
          <w:rFonts w:ascii="Times New Roman" w:hAnsi="Times New Roman" w:cs="Times New Roman"/>
        </w:rPr>
        <w:t xml:space="preserve">, </w:t>
      </w:r>
      <w:r w:rsidRPr="00D27307">
        <w:rPr>
          <w:rFonts w:ascii="Times New Roman" w:hAnsi="Times New Roman" w:cs="Times New Roman"/>
          <w:i/>
          <w:iCs/>
        </w:rPr>
        <w:t>24</w:t>
      </w:r>
      <w:r w:rsidRPr="00D27307">
        <w:rPr>
          <w:rFonts w:ascii="Times New Roman" w:hAnsi="Times New Roman" w:cs="Times New Roman"/>
        </w:rPr>
        <w:t>(2), 1064. https://doi.org/10.3390/ijms24021064</w:t>
      </w:r>
    </w:p>
    <w:p w14:paraId="06043E6B"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Drouin, L. M., &amp; Agbandje-McKenna, M. (2013). Adeno-associated virus structural biology as a tool in vector development. </w:t>
      </w:r>
      <w:r w:rsidRPr="00D27307">
        <w:rPr>
          <w:rFonts w:ascii="Times New Roman" w:hAnsi="Times New Roman" w:cs="Times New Roman"/>
          <w:i/>
          <w:iCs/>
        </w:rPr>
        <w:t>Future Virology</w:t>
      </w:r>
      <w:r w:rsidRPr="00D27307">
        <w:rPr>
          <w:rFonts w:ascii="Times New Roman" w:hAnsi="Times New Roman" w:cs="Times New Roman"/>
        </w:rPr>
        <w:t xml:space="preserve">, </w:t>
      </w:r>
      <w:r w:rsidRPr="00D27307">
        <w:rPr>
          <w:rFonts w:ascii="Times New Roman" w:hAnsi="Times New Roman" w:cs="Times New Roman"/>
          <w:i/>
          <w:iCs/>
        </w:rPr>
        <w:t>8</w:t>
      </w:r>
      <w:r w:rsidRPr="00D27307">
        <w:rPr>
          <w:rFonts w:ascii="Times New Roman" w:hAnsi="Times New Roman" w:cs="Times New Roman"/>
        </w:rPr>
        <w:t>(12), 1183. https://doi.org/10.2217/fvl.13.112</w:t>
      </w:r>
    </w:p>
    <w:p w14:paraId="6BDB52D4"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Ebrahimi, S., Khosravi, M. A., Raz, A., Karimipoor, M., &amp; Parvizi, P. (2023). CRISPR-Cas Technology as a Revolutionary Genome Editing tool: Mechanisms and Biomedical Applications. </w:t>
      </w:r>
      <w:r w:rsidRPr="00D27307">
        <w:rPr>
          <w:rFonts w:ascii="Times New Roman" w:hAnsi="Times New Roman" w:cs="Times New Roman"/>
          <w:i/>
          <w:iCs/>
        </w:rPr>
        <w:t>Iranian Biomedical Journal</w:t>
      </w:r>
      <w:r w:rsidRPr="00D27307">
        <w:rPr>
          <w:rFonts w:ascii="Times New Roman" w:hAnsi="Times New Roman" w:cs="Times New Roman"/>
        </w:rPr>
        <w:t xml:space="preserve">, </w:t>
      </w:r>
      <w:r w:rsidRPr="00D27307">
        <w:rPr>
          <w:rFonts w:ascii="Times New Roman" w:hAnsi="Times New Roman" w:cs="Times New Roman"/>
          <w:i/>
          <w:iCs/>
        </w:rPr>
        <w:t>27</w:t>
      </w:r>
      <w:r w:rsidRPr="00D27307">
        <w:rPr>
          <w:rFonts w:ascii="Times New Roman" w:hAnsi="Times New Roman" w:cs="Times New Roman"/>
        </w:rPr>
        <w:t>(5), 219–246. https://doi.org/10.61186/ibj.27.5.219</w:t>
      </w:r>
    </w:p>
    <w:p w14:paraId="5805858D"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Eghbalsaied, S., Lawler, C., Petersen, B., Hajiyev, R. A., Bischoff, S. R., &amp; Frankenberg, S. (2024). CRISPR/Cas9-mediated base editors and their prospects for mitochondrial genome engineering. </w:t>
      </w:r>
      <w:r w:rsidRPr="00D27307">
        <w:rPr>
          <w:rFonts w:ascii="Times New Roman" w:hAnsi="Times New Roman" w:cs="Times New Roman"/>
          <w:i/>
          <w:iCs/>
        </w:rPr>
        <w:t>Gene Therapy</w:t>
      </w:r>
      <w:r w:rsidRPr="00D27307">
        <w:rPr>
          <w:rFonts w:ascii="Times New Roman" w:hAnsi="Times New Roman" w:cs="Times New Roman"/>
        </w:rPr>
        <w:t xml:space="preserve">, </w:t>
      </w:r>
      <w:r w:rsidRPr="00D27307">
        <w:rPr>
          <w:rFonts w:ascii="Times New Roman" w:hAnsi="Times New Roman" w:cs="Times New Roman"/>
          <w:i/>
          <w:iCs/>
        </w:rPr>
        <w:t>31</w:t>
      </w:r>
      <w:r w:rsidRPr="00D27307">
        <w:rPr>
          <w:rFonts w:ascii="Times New Roman" w:hAnsi="Times New Roman" w:cs="Times New Roman"/>
        </w:rPr>
        <w:t>(5–6), 209–223. https://doi.org/10.1038/s41434-023-00434-w</w:t>
      </w:r>
    </w:p>
    <w:p w14:paraId="66E159D9"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Fernandes, A. R., Zielińska, A., Sanchez-Lopez, E., dos Santos, T., Garcia, M. L., Silva, A. M., Karczewski, J., &amp; Souto, E. B. (2022). Exudative versus Nonexudative Age-Related Macular Degeneration: Physiopathology and Treatment Options. </w:t>
      </w:r>
      <w:r w:rsidRPr="00D27307">
        <w:rPr>
          <w:rFonts w:ascii="Times New Roman" w:hAnsi="Times New Roman" w:cs="Times New Roman"/>
          <w:i/>
          <w:iCs/>
        </w:rPr>
        <w:t>International Journal of Molecular Sciences</w:t>
      </w:r>
      <w:r w:rsidRPr="00D27307">
        <w:rPr>
          <w:rFonts w:ascii="Times New Roman" w:hAnsi="Times New Roman" w:cs="Times New Roman"/>
        </w:rPr>
        <w:t xml:space="preserve">, </w:t>
      </w:r>
      <w:r w:rsidRPr="00D27307">
        <w:rPr>
          <w:rFonts w:ascii="Times New Roman" w:hAnsi="Times New Roman" w:cs="Times New Roman"/>
          <w:i/>
          <w:iCs/>
        </w:rPr>
        <w:t>23</w:t>
      </w:r>
      <w:r w:rsidRPr="00D27307">
        <w:rPr>
          <w:rFonts w:ascii="Times New Roman" w:hAnsi="Times New Roman" w:cs="Times New Roman"/>
        </w:rPr>
        <w:t>(5), 2592. https://doi.org/10.3390/ijms23052592</w:t>
      </w:r>
    </w:p>
    <w:p w14:paraId="6E40BBB0"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Finocchio, L., Zeppieri, M., Gabai, A., Toneatto, G., Spadea, L., &amp; Salati, C. (2023a). Recent Developments in Gene Therapy for Neovascular Age-Related Macular Degeneration: A Review. </w:t>
      </w:r>
      <w:r w:rsidRPr="00D27307">
        <w:rPr>
          <w:rFonts w:ascii="Times New Roman" w:hAnsi="Times New Roman" w:cs="Times New Roman"/>
          <w:i/>
          <w:iCs/>
        </w:rPr>
        <w:t>Biomedicines</w:t>
      </w:r>
      <w:r w:rsidRPr="00D27307">
        <w:rPr>
          <w:rFonts w:ascii="Times New Roman" w:hAnsi="Times New Roman" w:cs="Times New Roman"/>
        </w:rPr>
        <w:t xml:space="preserve">, </w:t>
      </w:r>
      <w:r w:rsidRPr="00D27307">
        <w:rPr>
          <w:rFonts w:ascii="Times New Roman" w:hAnsi="Times New Roman" w:cs="Times New Roman"/>
          <w:i/>
          <w:iCs/>
        </w:rPr>
        <w:t>11</w:t>
      </w:r>
      <w:r w:rsidRPr="00D27307">
        <w:rPr>
          <w:rFonts w:ascii="Times New Roman" w:hAnsi="Times New Roman" w:cs="Times New Roman"/>
        </w:rPr>
        <w:t>(12), 3221. https://doi.org/10.3390/biomedicines11123221</w:t>
      </w:r>
    </w:p>
    <w:p w14:paraId="446D3152"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Finocchio, L., Zeppieri, M., Gabai, A., Toneatto, G., Spadea, L., &amp; Salati, C. (2023b). Recent Developments in Gene Therapy for Neovascular Age-Related Macular Degeneration: A Review. </w:t>
      </w:r>
      <w:r w:rsidRPr="00D27307">
        <w:rPr>
          <w:rFonts w:ascii="Times New Roman" w:hAnsi="Times New Roman" w:cs="Times New Roman"/>
          <w:i/>
          <w:iCs/>
        </w:rPr>
        <w:t>Biomedicines</w:t>
      </w:r>
      <w:r w:rsidRPr="00D27307">
        <w:rPr>
          <w:rFonts w:ascii="Times New Roman" w:hAnsi="Times New Roman" w:cs="Times New Roman"/>
        </w:rPr>
        <w:t xml:space="preserve">, </w:t>
      </w:r>
      <w:r w:rsidRPr="00D27307">
        <w:rPr>
          <w:rFonts w:ascii="Times New Roman" w:hAnsi="Times New Roman" w:cs="Times New Roman"/>
          <w:i/>
          <w:iCs/>
        </w:rPr>
        <w:t>11</w:t>
      </w:r>
      <w:r w:rsidRPr="00D27307">
        <w:rPr>
          <w:rFonts w:ascii="Times New Roman" w:hAnsi="Times New Roman" w:cs="Times New Roman"/>
        </w:rPr>
        <w:t>(12), Article 12. https://doi.org/10.3390/biomedicines11123221</w:t>
      </w:r>
    </w:p>
    <w:p w14:paraId="2C09DD4C"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Gehlbach, P., Demetriades, A. M., Yamamoto, S., Deering, T., Duh, E. J., Yang, H. S., Cingolani, C., Lai, H., Wei, L., &amp; Campochiaro, P. A. (2003). Periocular injection of an adenoviral vector encoding pigment epithelium-derived factor inhibits choroidal neovascularization. </w:t>
      </w:r>
      <w:r w:rsidRPr="00D27307">
        <w:rPr>
          <w:rFonts w:ascii="Times New Roman" w:hAnsi="Times New Roman" w:cs="Times New Roman"/>
          <w:i/>
          <w:iCs/>
        </w:rPr>
        <w:t>Gene Therapy</w:t>
      </w:r>
      <w:r w:rsidRPr="00D27307">
        <w:rPr>
          <w:rFonts w:ascii="Times New Roman" w:hAnsi="Times New Roman" w:cs="Times New Roman"/>
        </w:rPr>
        <w:t xml:space="preserve">, </w:t>
      </w:r>
      <w:r w:rsidRPr="00D27307">
        <w:rPr>
          <w:rFonts w:ascii="Times New Roman" w:hAnsi="Times New Roman" w:cs="Times New Roman"/>
          <w:i/>
          <w:iCs/>
        </w:rPr>
        <w:t>10</w:t>
      </w:r>
      <w:r w:rsidRPr="00D27307">
        <w:rPr>
          <w:rFonts w:ascii="Times New Roman" w:hAnsi="Times New Roman" w:cs="Times New Roman"/>
        </w:rPr>
        <w:t>(8), 637–646. https://doi.org/10.1038/sj.gt.3301931</w:t>
      </w:r>
    </w:p>
    <w:p w14:paraId="117B8388"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lastRenderedPageBreak/>
        <w:t xml:space="preserve">Guimaraes, T. A. C. de, Georgiou, M., Bainbridge, J. W. B., &amp; Michaelides, M. (2021). Gene therapy for neovascular age-related macular degeneration: Rationale, clinical trials and future directions. </w:t>
      </w:r>
      <w:r w:rsidRPr="00D27307">
        <w:rPr>
          <w:rFonts w:ascii="Times New Roman" w:hAnsi="Times New Roman" w:cs="Times New Roman"/>
          <w:i/>
          <w:iCs/>
        </w:rPr>
        <w:t>The British Journal of Ophthalmology</w:t>
      </w:r>
      <w:r w:rsidRPr="00D27307">
        <w:rPr>
          <w:rFonts w:ascii="Times New Roman" w:hAnsi="Times New Roman" w:cs="Times New Roman"/>
        </w:rPr>
        <w:t xml:space="preserve">, </w:t>
      </w:r>
      <w:r w:rsidRPr="00D27307">
        <w:rPr>
          <w:rFonts w:ascii="Times New Roman" w:hAnsi="Times New Roman" w:cs="Times New Roman"/>
          <w:i/>
          <w:iCs/>
        </w:rPr>
        <w:t>105</w:t>
      </w:r>
      <w:r w:rsidRPr="00D27307">
        <w:rPr>
          <w:rFonts w:ascii="Times New Roman" w:hAnsi="Times New Roman" w:cs="Times New Roman"/>
        </w:rPr>
        <w:t>(2), 151–157. https://doi.org/10.1136/bjophthalmol-2020-316195</w:t>
      </w:r>
    </w:p>
    <w:p w14:paraId="4A71A07E"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Gupta, V., Sengupta, M., Prakash, J., &amp; Tripathy, B. C. (2016). Production of Recombinant Pharmaceutical Proteins. </w:t>
      </w:r>
      <w:r w:rsidRPr="00D27307">
        <w:rPr>
          <w:rFonts w:ascii="Times New Roman" w:hAnsi="Times New Roman" w:cs="Times New Roman"/>
          <w:i/>
          <w:iCs/>
        </w:rPr>
        <w:t>Basic and Applied Aspects of Biotechnology</w:t>
      </w:r>
      <w:r w:rsidRPr="00D27307">
        <w:rPr>
          <w:rFonts w:ascii="Times New Roman" w:hAnsi="Times New Roman" w:cs="Times New Roman"/>
        </w:rPr>
        <w:t>, 77–101. https://doi.org/10.1007/978-981-10-0875-7_4</w:t>
      </w:r>
    </w:p>
    <w:p w14:paraId="0426E26F"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He, X., Fu, Y., Ma, L., Yao, Y., Ge, S., Yang, Z., &amp; Fan, X. (2023). AAV for Gene Therapy in Ocular Diseases: Progress and Prospects. </w:t>
      </w:r>
      <w:r w:rsidRPr="00D27307">
        <w:rPr>
          <w:rFonts w:ascii="Times New Roman" w:hAnsi="Times New Roman" w:cs="Times New Roman"/>
          <w:i/>
          <w:iCs/>
        </w:rPr>
        <w:t>Research (Washington, D.C.)</w:t>
      </w:r>
      <w:r w:rsidRPr="00D27307">
        <w:rPr>
          <w:rFonts w:ascii="Times New Roman" w:hAnsi="Times New Roman" w:cs="Times New Roman"/>
        </w:rPr>
        <w:t xml:space="preserve">, </w:t>
      </w:r>
      <w:r w:rsidRPr="00D27307">
        <w:rPr>
          <w:rFonts w:ascii="Times New Roman" w:hAnsi="Times New Roman" w:cs="Times New Roman"/>
          <w:i/>
          <w:iCs/>
        </w:rPr>
        <w:t>6</w:t>
      </w:r>
      <w:r w:rsidRPr="00D27307">
        <w:rPr>
          <w:rFonts w:ascii="Times New Roman" w:hAnsi="Times New Roman" w:cs="Times New Roman"/>
        </w:rPr>
        <w:t>, 0291. https://doi.org/10.34133/research.0291</w:t>
      </w:r>
    </w:p>
    <w:p w14:paraId="62C97BF0"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Heesterbeek, T. J., Lorés‐Motta, L., Hoyng, C. B., Lechanteur, Y. T. E., &amp; den Hollander, A. I. (2020). Risk factors for progression of age‐related macular degeneration. </w:t>
      </w:r>
      <w:r w:rsidRPr="00D27307">
        <w:rPr>
          <w:rFonts w:ascii="Times New Roman" w:hAnsi="Times New Roman" w:cs="Times New Roman"/>
          <w:i/>
          <w:iCs/>
        </w:rPr>
        <w:t>Ophthalmic &amp; Physiological Optics</w:t>
      </w:r>
      <w:r w:rsidRPr="00D27307">
        <w:rPr>
          <w:rFonts w:ascii="Times New Roman" w:hAnsi="Times New Roman" w:cs="Times New Roman"/>
        </w:rPr>
        <w:t xml:space="preserve">, </w:t>
      </w:r>
      <w:r w:rsidRPr="00D27307">
        <w:rPr>
          <w:rFonts w:ascii="Times New Roman" w:hAnsi="Times New Roman" w:cs="Times New Roman"/>
          <w:i/>
          <w:iCs/>
        </w:rPr>
        <w:t>40</w:t>
      </w:r>
      <w:r w:rsidRPr="00D27307">
        <w:rPr>
          <w:rFonts w:ascii="Times New Roman" w:hAnsi="Times New Roman" w:cs="Times New Roman"/>
        </w:rPr>
        <w:t>(2), 140–170. https://doi.org/10.1111/opo.12675</w:t>
      </w:r>
    </w:p>
    <w:p w14:paraId="66A48831"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Hushmandi, K., Lam, H. Y., Wong, W. M., Tan, W., Daryabari, S.-H., Reiter, R. J., Farahani, N., &amp; Kumar, A. P. (2025). Gene therapy for age-related macular degeneration: A promising frontier in vision preservation. </w:t>
      </w:r>
      <w:r w:rsidRPr="00D27307">
        <w:rPr>
          <w:rFonts w:ascii="Times New Roman" w:hAnsi="Times New Roman" w:cs="Times New Roman"/>
          <w:i/>
          <w:iCs/>
        </w:rPr>
        <w:t>Cell Communication and Signaling : CCS</w:t>
      </w:r>
      <w:r w:rsidRPr="00D27307">
        <w:rPr>
          <w:rFonts w:ascii="Times New Roman" w:hAnsi="Times New Roman" w:cs="Times New Roman"/>
        </w:rPr>
        <w:t xml:space="preserve">, </w:t>
      </w:r>
      <w:r w:rsidRPr="00D27307">
        <w:rPr>
          <w:rFonts w:ascii="Times New Roman" w:hAnsi="Times New Roman" w:cs="Times New Roman"/>
          <w:i/>
          <w:iCs/>
        </w:rPr>
        <w:t>23</w:t>
      </w:r>
      <w:r w:rsidRPr="00D27307">
        <w:rPr>
          <w:rFonts w:ascii="Times New Roman" w:hAnsi="Times New Roman" w:cs="Times New Roman"/>
        </w:rPr>
        <w:t>, 233. https://doi.org/10.1186/s12964-025-02246-4</w:t>
      </w:r>
    </w:p>
    <w:p w14:paraId="5109B01E"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Issa, S. S., Shaimardanova, A. A., Solovyeva, V. V., &amp; Rizvanov, A. A. (2023). Various AAV Serotypes and Their Applications in Gene Therapy: An Overview. </w:t>
      </w:r>
      <w:r w:rsidRPr="00D27307">
        <w:rPr>
          <w:rFonts w:ascii="Times New Roman" w:hAnsi="Times New Roman" w:cs="Times New Roman"/>
          <w:i/>
          <w:iCs/>
        </w:rPr>
        <w:t>Cells</w:t>
      </w:r>
      <w:r w:rsidRPr="00D27307">
        <w:rPr>
          <w:rFonts w:ascii="Times New Roman" w:hAnsi="Times New Roman" w:cs="Times New Roman"/>
        </w:rPr>
        <w:t xml:space="preserve">, </w:t>
      </w:r>
      <w:r w:rsidRPr="00D27307">
        <w:rPr>
          <w:rFonts w:ascii="Times New Roman" w:hAnsi="Times New Roman" w:cs="Times New Roman"/>
          <w:i/>
          <w:iCs/>
        </w:rPr>
        <w:t>12</w:t>
      </w:r>
      <w:r w:rsidRPr="00D27307">
        <w:rPr>
          <w:rFonts w:ascii="Times New Roman" w:hAnsi="Times New Roman" w:cs="Times New Roman"/>
        </w:rPr>
        <w:t>(5), 785. https://doi.org/10.3390/cells12050785</w:t>
      </w:r>
    </w:p>
    <w:p w14:paraId="7BB65373"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Kansara, V., Muya, L., Wan, C., &amp; Ciulla, T. A. (2020). Suprachoroidal Delivery of Viral and Nonviral Gene Therapy for Retinal Diseases. </w:t>
      </w:r>
      <w:r w:rsidRPr="00D27307">
        <w:rPr>
          <w:rFonts w:ascii="Times New Roman" w:hAnsi="Times New Roman" w:cs="Times New Roman"/>
          <w:i/>
          <w:iCs/>
        </w:rPr>
        <w:t>Journal of Ocular Pharmacology and Therapeutics</w:t>
      </w:r>
      <w:r w:rsidRPr="00D27307">
        <w:rPr>
          <w:rFonts w:ascii="Times New Roman" w:hAnsi="Times New Roman" w:cs="Times New Roman"/>
        </w:rPr>
        <w:t xml:space="preserve">, </w:t>
      </w:r>
      <w:r w:rsidRPr="00D27307">
        <w:rPr>
          <w:rFonts w:ascii="Times New Roman" w:hAnsi="Times New Roman" w:cs="Times New Roman"/>
          <w:i/>
          <w:iCs/>
        </w:rPr>
        <w:t>36</w:t>
      </w:r>
      <w:r w:rsidRPr="00D27307">
        <w:rPr>
          <w:rFonts w:ascii="Times New Roman" w:hAnsi="Times New Roman" w:cs="Times New Roman"/>
        </w:rPr>
        <w:t>(6), 384–392. https://doi.org/10.1089/jop.2019.0126</w:t>
      </w:r>
    </w:p>
    <w:p w14:paraId="1CAC59D7"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Khanani, A. M., Boyer, D. S., Wykoff, C. C., Regillo, C. D., Busbee, B. G., Pieramici, D., Danzig, C. J., Joondeph, B. C., Major, J. C., Turpcu, A., &amp; Kiss, S. (2023). Safety and efficacy of ixoberogene soroparvovec in neovascular age-related macular degeneration in the United States (OPTIC): A prospective, two-year, multicentre phase 1 study. </w:t>
      </w:r>
      <w:r w:rsidRPr="00D27307">
        <w:rPr>
          <w:rFonts w:ascii="Times New Roman" w:hAnsi="Times New Roman" w:cs="Times New Roman"/>
          <w:i/>
          <w:iCs/>
        </w:rPr>
        <w:t>eClinicalMedicine</w:t>
      </w:r>
      <w:r w:rsidRPr="00D27307">
        <w:rPr>
          <w:rFonts w:ascii="Times New Roman" w:hAnsi="Times New Roman" w:cs="Times New Roman"/>
        </w:rPr>
        <w:t xml:space="preserve">, </w:t>
      </w:r>
      <w:r w:rsidRPr="00D27307">
        <w:rPr>
          <w:rFonts w:ascii="Times New Roman" w:hAnsi="Times New Roman" w:cs="Times New Roman"/>
          <w:i/>
          <w:iCs/>
        </w:rPr>
        <w:t>67</w:t>
      </w:r>
      <w:r w:rsidRPr="00D27307">
        <w:rPr>
          <w:rFonts w:ascii="Times New Roman" w:hAnsi="Times New Roman" w:cs="Times New Roman"/>
        </w:rPr>
        <w:t>, 102394. https://doi.org/10.1016/j.eclinm.2023.102394</w:t>
      </w:r>
    </w:p>
    <w:p w14:paraId="1AFF58B6"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lastRenderedPageBreak/>
        <w:t xml:space="preserve">Khanani, A. M., Kiss, S., Turpcu, A., Hoang, C., &amp; Osborne, A. (2020). Phase 1 Study of Intravitreal Gene Therapy ADVM-022 for neovascular AMD (OPTIC Trial). </w:t>
      </w:r>
      <w:r w:rsidRPr="00D27307">
        <w:rPr>
          <w:rFonts w:ascii="Times New Roman" w:hAnsi="Times New Roman" w:cs="Times New Roman"/>
          <w:i/>
          <w:iCs/>
        </w:rPr>
        <w:t>Investigative Ophthalmology &amp; Visual Science</w:t>
      </w:r>
      <w:r w:rsidRPr="00D27307">
        <w:rPr>
          <w:rFonts w:ascii="Times New Roman" w:hAnsi="Times New Roman" w:cs="Times New Roman"/>
        </w:rPr>
        <w:t xml:space="preserve">, </w:t>
      </w:r>
      <w:r w:rsidRPr="00D27307">
        <w:rPr>
          <w:rFonts w:ascii="Times New Roman" w:hAnsi="Times New Roman" w:cs="Times New Roman"/>
          <w:i/>
          <w:iCs/>
        </w:rPr>
        <w:t>61</w:t>
      </w:r>
      <w:r w:rsidRPr="00D27307">
        <w:rPr>
          <w:rFonts w:ascii="Times New Roman" w:hAnsi="Times New Roman" w:cs="Times New Roman"/>
        </w:rPr>
        <w:t>(7), 1154.</w:t>
      </w:r>
    </w:p>
    <w:p w14:paraId="50FAFC28"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Khanani, A. M., Thomas, M. J., Aziz, A. A., Weng, C. Y., Danzig, C. J., Yiu, G., Kiss, S., Waheed, N. K., &amp; Kaiser, P. K. (2022). Review of gene therapies for age-related macular degeneration. </w:t>
      </w:r>
      <w:r w:rsidRPr="00D27307">
        <w:rPr>
          <w:rFonts w:ascii="Times New Roman" w:hAnsi="Times New Roman" w:cs="Times New Roman"/>
          <w:i/>
          <w:iCs/>
        </w:rPr>
        <w:t>Eye (London, England)</w:t>
      </w:r>
      <w:r w:rsidRPr="00D27307">
        <w:rPr>
          <w:rFonts w:ascii="Times New Roman" w:hAnsi="Times New Roman" w:cs="Times New Roman"/>
        </w:rPr>
        <w:t xml:space="preserve">, </w:t>
      </w:r>
      <w:r w:rsidRPr="00D27307">
        <w:rPr>
          <w:rFonts w:ascii="Times New Roman" w:hAnsi="Times New Roman" w:cs="Times New Roman"/>
          <w:i/>
          <w:iCs/>
        </w:rPr>
        <w:t>36</w:t>
      </w:r>
      <w:r w:rsidRPr="00D27307">
        <w:rPr>
          <w:rFonts w:ascii="Times New Roman" w:hAnsi="Times New Roman" w:cs="Times New Roman"/>
        </w:rPr>
        <w:t>(2), 303–311. https://doi.org/10.1038/s41433-021-01842-1</w:t>
      </w:r>
    </w:p>
    <w:p w14:paraId="47A873A8"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Kulkarni, S. R., Aghashe, S. R., Khandekar, R. B., &amp; Deshpande, M. D. (2013). Prevalence and determinants of age-related macular degeneration in the 50 years and older population: A hospital based study in Maharashtra, India. </w:t>
      </w:r>
      <w:r w:rsidRPr="00D27307">
        <w:rPr>
          <w:rFonts w:ascii="Times New Roman" w:hAnsi="Times New Roman" w:cs="Times New Roman"/>
          <w:i/>
          <w:iCs/>
        </w:rPr>
        <w:t>Indian Journal of Ophthalmology</w:t>
      </w:r>
      <w:r w:rsidRPr="00D27307">
        <w:rPr>
          <w:rFonts w:ascii="Times New Roman" w:hAnsi="Times New Roman" w:cs="Times New Roman"/>
        </w:rPr>
        <w:t xml:space="preserve">, </w:t>
      </w:r>
      <w:r w:rsidRPr="00D27307">
        <w:rPr>
          <w:rFonts w:ascii="Times New Roman" w:hAnsi="Times New Roman" w:cs="Times New Roman"/>
          <w:i/>
          <w:iCs/>
        </w:rPr>
        <w:t>61</w:t>
      </w:r>
      <w:r w:rsidRPr="00D27307">
        <w:rPr>
          <w:rFonts w:ascii="Times New Roman" w:hAnsi="Times New Roman" w:cs="Times New Roman"/>
        </w:rPr>
        <w:t>(5), 196–201. https://doi.org/10.4103/0301-4738.99870</w:t>
      </w:r>
    </w:p>
    <w:p w14:paraId="2469C7CE"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Liao, Y., Liu, H., &amp; Spasić, I. (2023). Deep learning approaches to automatic radiology report generation: A systematic review. </w:t>
      </w:r>
      <w:r w:rsidRPr="00D27307">
        <w:rPr>
          <w:rFonts w:ascii="Times New Roman" w:hAnsi="Times New Roman" w:cs="Times New Roman"/>
          <w:i/>
          <w:iCs/>
        </w:rPr>
        <w:t>Informatics in Medicine Unlocked</w:t>
      </w:r>
      <w:r w:rsidRPr="00D27307">
        <w:rPr>
          <w:rFonts w:ascii="Times New Roman" w:hAnsi="Times New Roman" w:cs="Times New Roman"/>
        </w:rPr>
        <w:t xml:space="preserve">, </w:t>
      </w:r>
      <w:r w:rsidRPr="00D27307">
        <w:rPr>
          <w:rFonts w:ascii="Times New Roman" w:hAnsi="Times New Roman" w:cs="Times New Roman"/>
          <w:i/>
          <w:iCs/>
        </w:rPr>
        <w:t>39</w:t>
      </w:r>
      <w:r w:rsidRPr="00D27307">
        <w:rPr>
          <w:rFonts w:ascii="Times New Roman" w:hAnsi="Times New Roman" w:cs="Times New Roman"/>
        </w:rPr>
        <w:t>, 101273. https://doi.org/10.1016/j.imu.2023.101273</w:t>
      </w:r>
    </w:p>
    <w:p w14:paraId="0922E02A"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Mallone, F., Costi, R., Marenco, M., Plateroti, R., Minni, A., Attanasio, G., Artico, M., &amp; Lambiase, A. (2021). Understanding Drivers of Ocular Fibrosis: Current and Future Therapeutic Perspectives. </w:t>
      </w:r>
      <w:r w:rsidRPr="00D27307">
        <w:rPr>
          <w:rFonts w:ascii="Times New Roman" w:hAnsi="Times New Roman" w:cs="Times New Roman"/>
          <w:i/>
          <w:iCs/>
        </w:rPr>
        <w:t>International Journal of Molecular Sciences</w:t>
      </w:r>
      <w:r w:rsidRPr="00D27307">
        <w:rPr>
          <w:rFonts w:ascii="Times New Roman" w:hAnsi="Times New Roman" w:cs="Times New Roman"/>
        </w:rPr>
        <w:t xml:space="preserve">, </w:t>
      </w:r>
      <w:r w:rsidRPr="00D27307">
        <w:rPr>
          <w:rFonts w:ascii="Times New Roman" w:hAnsi="Times New Roman" w:cs="Times New Roman"/>
          <w:i/>
          <w:iCs/>
        </w:rPr>
        <w:t>22</w:t>
      </w:r>
      <w:r w:rsidRPr="00D27307">
        <w:rPr>
          <w:rFonts w:ascii="Times New Roman" w:hAnsi="Times New Roman" w:cs="Times New Roman"/>
        </w:rPr>
        <w:t>(21), 11748. https://doi.org/10.3390/ijms222111748</w:t>
      </w:r>
    </w:p>
    <w:p w14:paraId="19FE52D3"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Mazzitello, K. I., Arizmendi, C. M., Family, F., &amp; Grossniklaus, H. E. (2009). Formation and growth of lipofuscin in the retinal pigment epithelium cells. </w:t>
      </w:r>
      <w:r w:rsidRPr="00D27307">
        <w:rPr>
          <w:rFonts w:ascii="Times New Roman" w:hAnsi="Times New Roman" w:cs="Times New Roman"/>
          <w:i/>
          <w:iCs/>
        </w:rPr>
        <w:t>Physical Review. E, Statistical, Nonlinear, and Soft Matter Physics</w:t>
      </w:r>
      <w:r w:rsidRPr="00D27307">
        <w:rPr>
          <w:rFonts w:ascii="Times New Roman" w:hAnsi="Times New Roman" w:cs="Times New Roman"/>
        </w:rPr>
        <w:t xml:space="preserve">, </w:t>
      </w:r>
      <w:r w:rsidRPr="00D27307">
        <w:rPr>
          <w:rFonts w:ascii="Times New Roman" w:hAnsi="Times New Roman" w:cs="Times New Roman"/>
          <w:i/>
          <w:iCs/>
        </w:rPr>
        <w:t>80</w:t>
      </w:r>
      <w:r w:rsidRPr="00D27307">
        <w:rPr>
          <w:rFonts w:ascii="Times New Roman" w:hAnsi="Times New Roman" w:cs="Times New Roman"/>
        </w:rPr>
        <w:t>(5 Pt 1), 051908. https://doi.org/10.1103/PhysRevE.80.051908</w:t>
      </w:r>
    </w:p>
    <w:p w14:paraId="4CBC1888"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Mehta, N. J., &amp; Mehta, S. N. (2024). Nanotechnology in Retinal Disease: Current Concepts and Future Directions. </w:t>
      </w:r>
      <w:r w:rsidRPr="00D27307">
        <w:rPr>
          <w:rFonts w:ascii="Times New Roman" w:hAnsi="Times New Roman" w:cs="Times New Roman"/>
          <w:i/>
          <w:iCs/>
        </w:rPr>
        <w:t>Journal of Ocular Pharmacology and Therapeutics</w:t>
      </w:r>
      <w:r w:rsidRPr="00D27307">
        <w:rPr>
          <w:rFonts w:ascii="Times New Roman" w:hAnsi="Times New Roman" w:cs="Times New Roman"/>
        </w:rPr>
        <w:t xml:space="preserve">, </w:t>
      </w:r>
      <w:r w:rsidRPr="00D27307">
        <w:rPr>
          <w:rFonts w:ascii="Times New Roman" w:hAnsi="Times New Roman" w:cs="Times New Roman"/>
          <w:i/>
          <w:iCs/>
        </w:rPr>
        <w:t>40</w:t>
      </w:r>
      <w:r w:rsidRPr="00D27307">
        <w:rPr>
          <w:rFonts w:ascii="Times New Roman" w:hAnsi="Times New Roman" w:cs="Times New Roman"/>
        </w:rPr>
        <w:t>(1), 3–12. https://doi.org/10.1089/jop.2023.0083</w:t>
      </w:r>
    </w:p>
    <w:p w14:paraId="6705F5DE"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Mehta, N., Robbins, D. A., &amp; Yiu, G. (2021). Ocular Inflammation and Treatment Emergent Adverse Events in Retinal Gene Therapy. </w:t>
      </w:r>
      <w:r w:rsidRPr="00D27307">
        <w:rPr>
          <w:rFonts w:ascii="Times New Roman" w:hAnsi="Times New Roman" w:cs="Times New Roman"/>
          <w:i/>
          <w:iCs/>
        </w:rPr>
        <w:t>International Ophthalmology Clinics</w:t>
      </w:r>
      <w:r w:rsidRPr="00D27307">
        <w:rPr>
          <w:rFonts w:ascii="Times New Roman" w:hAnsi="Times New Roman" w:cs="Times New Roman"/>
        </w:rPr>
        <w:t xml:space="preserve">, </w:t>
      </w:r>
      <w:r w:rsidRPr="00D27307">
        <w:rPr>
          <w:rFonts w:ascii="Times New Roman" w:hAnsi="Times New Roman" w:cs="Times New Roman"/>
          <w:i/>
          <w:iCs/>
        </w:rPr>
        <w:t>61</w:t>
      </w:r>
      <w:r w:rsidRPr="00D27307">
        <w:rPr>
          <w:rFonts w:ascii="Times New Roman" w:hAnsi="Times New Roman" w:cs="Times New Roman"/>
        </w:rPr>
        <w:t>(3), 151–177. https://doi.org/10.1097/IIO.0000000000000366</w:t>
      </w:r>
    </w:p>
    <w:p w14:paraId="6AB62508"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lastRenderedPageBreak/>
        <w:t xml:space="preserve">Mousavi, M., &amp; Armstrong, R. A. (2013). Genetic risk factors and age-related macular degeneration (AMD). </w:t>
      </w:r>
      <w:r w:rsidRPr="00D27307">
        <w:rPr>
          <w:rFonts w:ascii="Times New Roman" w:hAnsi="Times New Roman" w:cs="Times New Roman"/>
          <w:i/>
          <w:iCs/>
        </w:rPr>
        <w:t>Journal of Optometry</w:t>
      </w:r>
      <w:r w:rsidRPr="00D27307">
        <w:rPr>
          <w:rFonts w:ascii="Times New Roman" w:hAnsi="Times New Roman" w:cs="Times New Roman"/>
        </w:rPr>
        <w:t xml:space="preserve">, </w:t>
      </w:r>
      <w:r w:rsidRPr="00D27307">
        <w:rPr>
          <w:rFonts w:ascii="Times New Roman" w:hAnsi="Times New Roman" w:cs="Times New Roman"/>
          <w:i/>
          <w:iCs/>
        </w:rPr>
        <w:t>6</w:t>
      </w:r>
      <w:r w:rsidRPr="00D27307">
        <w:rPr>
          <w:rFonts w:ascii="Times New Roman" w:hAnsi="Times New Roman" w:cs="Times New Roman"/>
        </w:rPr>
        <w:t>(4), 176–184. https://doi.org/10.1016/j.optom.2013.07.002</w:t>
      </w:r>
    </w:p>
    <w:p w14:paraId="68B78682"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Naso, M. F., Tomkowicz, B., Perry, W. L., &amp; Strohl, W. R. (2017). Adeno-Associated Virus (AAV) as a Vector for Gene Therapy. </w:t>
      </w:r>
      <w:r w:rsidRPr="00D27307">
        <w:rPr>
          <w:rFonts w:ascii="Times New Roman" w:hAnsi="Times New Roman" w:cs="Times New Roman"/>
          <w:i/>
          <w:iCs/>
        </w:rPr>
        <w:t>Biodrugs</w:t>
      </w:r>
      <w:r w:rsidRPr="00D27307">
        <w:rPr>
          <w:rFonts w:ascii="Times New Roman" w:hAnsi="Times New Roman" w:cs="Times New Roman"/>
        </w:rPr>
        <w:t xml:space="preserve">, </w:t>
      </w:r>
      <w:r w:rsidRPr="00D27307">
        <w:rPr>
          <w:rFonts w:ascii="Times New Roman" w:hAnsi="Times New Roman" w:cs="Times New Roman"/>
          <w:i/>
          <w:iCs/>
        </w:rPr>
        <w:t>31</w:t>
      </w:r>
      <w:r w:rsidRPr="00D27307">
        <w:rPr>
          <w:rFonts w:ascii="Times New Roman" w:hAnsi="Times New Roman" w:cs="Times New Roman"/>
        </w:rPr>
        <w:t>(4), 317–334. https://doi.org/10.1007/s40259-017-0234-5</w:t>
      </w:r>
    </w:p>
    <w:p w14:paraId="63B02AED"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i/>
          <w:iCs/>
        </w:rPr>
        <w:t>Packaging Capacity of Adeno-Associated Virus Serotypes: Impact of Larger Genomes on Infectivity and Postentry Steps | Journal of Virology</w:t>
      </w:r>
      <w:r w:rsidRPr="00D27307">
        <w:rPr>
          <w:rFonts w:ascii="Times New Roman" w:hAnsi="Times New Roman" w:cs="Times New Roman"/>
        </w:rPr>
        <w:t>. (n.d.). https://journals.asm.org/doi/10.1128/jvi.79.15.9933-9944.2005</w:t>
      </w:r>
    </w:p>
    <w:p w14:paraId="786BB00B"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Pan, Y., &amp; Iwata, T. (2024). Role of ARMS2/HTRA1 risk alleles in the pathogenesis of neovascular age-related macular degeneration. </w:t>
      </w:r>
      <w:r w:rsidRPr="00D27307">
        <w:rPr>
          <w:rFonts w:ascii="Times New Roman" w:hAnsi="Times New Roman" w:cs="Times New Roman"/>
          <w:i/>
          <w:iCs/>
        </w:rPr>
        <w:t>Taiwan Journal of Ophthalmology</w:t>
      </w:r>
      <w:r w:rsidRPr="00D27307">
        <w:rPr>
          <w:rFonts w:ascii="Times New Roman" w:hAnsi="Times New Roman" w:cs="Times New Roman"/>
        </w:rPr>
        <w:t xml:space="preserve">, </w:t>
      </w:r>
      <w:r w:rsidRPr="00D27307">
        <w:rPr>
          <w:rFonts w:ascii="Times New Roman" w:hAnsi="Times New Roman" w:cs="Times New Roman"/>
          <w:i/>
          <w:iCs/>
        </w:rPr>
        <w:t>14</w:t>
      </w:r>
      <w:r w:rsidRPr="00D27307">
        <w:rPr>
          <w:rFonts w:ascii="Times New Roman" w:hAnsi="Times New Roman" w:cs="Times New Roman"/>
        </w:rPr>
        <w:t>(4), 531–539. https://doi.org/10.4103/tjo.TJO-D-23-00152</w:t>
      </w:r>
    </w:p>
    <w:p w14:paraId="564D900E"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Pérez-Gutiérrez, L., &amp; Ferrara, N. (2023). Biology and therapeutic targeting of vascular endothelial growth factor A. </w:t>
      </w:r>
      <w:r w:rsidRPr="00D27307">
        <w:rPr>
          <w:rFonts w:ascii="Times New Roman" w:hAnsi="Times New Roman" w:cs="Times New Roman"/>
          <w:i/>
          <w:iCs/>
        </w:rPr>
        <w:t>Nature Reviews Molecular Cell Biology</w:t>
      </w:r>
      <w:r w:rsidRPr="00D27307">
        <w:rPr>
          <w:rFonts w:ascii="Times New Roman" w:hAnsi="Times New Roman" w:cs="Times New Roman"/>
        </w:rPr>
        <w:t xml:space="preserve">, </w:t>
      </w:r>
      <w:r w:rsidRPr="00D27307">
        <w:rPr>
          <w:rFonts w:ascii="Times New Roman" w:hAnsi="Times New Roman" w:cs="Times New Roman"/>
          <w:i/>
          <w:iCs/>
        </w:rPr>
        <w:t>24</w:t>
      </w:r>
      <w:r w:rsidRPr="00D27307">
        <w:rPr>
          <w:rFonts w:ascii="Times New Roman" w:hAnsi="Times New Roman" w:cs="Times New Roman"/>
        </w:rPr>
        <w:t>(11), 816–834. https://doi.org/10.1038/s41580-023-00631-w</w:t>
      </w:r>
    </w:p>
    <w:p w14:paraId="789C3EE0"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Planul, A., &amp; Dalkara, D. (2017). Vectors and Gene Delivery to the Retina. </w:t>
      </w:r>
      <w:r w:rsidRPr="00D27307">
        <w:rPr>
          <w:rFonts w:ascii="Times New Roman" w:hAnsi="Times New Roman" w:cs="Times New Roman"/>
          <w:i/>
          <w:iCs/>
        </w:rPr>
        <w:t>Annual Review of Vision Science</w:t>
      </w:r>
      <w:r w:rsidRPr="00D27307">
        <w:rPr>
          <w:rFonts w:ascii="Times New Roman" w:hAnsi="Times New Roman" w:cs="Times New Roman"/>
        </w:rPr>
        <w:t xml:space="preserve">, </w:t>
      </w:r>
      <w:r w:rsidRPr="00D27307">
        <w:rPr>
          <w:rFonts w:ascii="Times New Roman" w:hAnsi="Times New Roman" w:cs="Times New Roman"/>
          <w:i/>
          <w:iCs/>
        </w:rPr>
        <w:t>3</w:t>
      </w:r>
      <w:r w:rsidRPr="00D27307">
        <w:rPr>
          <w:rFonts w:ascii="Times New Roman" w:hAnsi="Times New Roman" w:cs="Times New Roman"/>
        </w:rPr>
        <w:t>, 121–140. https://doi.org/10.1146/annurev-vision-102016-061413</w:t>
      </w:r>
    </w:p>
    <w:p w14:paraId="1D2516C1"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Poulsen, K., Hanna, K., Nieves, J., Nguyen, N., Sharma, P., Grishanin, R., Corbau, R., &amp; Kiss, S. (2025). Nonclinical study of ixo-vec gene therapy for nAMD supports efficacy for a human dose of 6E10 vg/eye and staggered dosing of fellow eyes. </w:t>
      </w:r>
      <w:r w:rsidRPr="00D27307">
        <w:rPr>
          <w:rFonts w:ascii="Times New Roman" w:hAnsi="Times New Roman" w:cs="Times New Roman"/>
          <w:i/>
          <w:iCs/>
        </w:rPr>
        <w:t>Molecular Therapy. Methods &amp; Clinical Development</w:t>
      </w:r>
      <w:r w:rsidRPr="00D27307">
        <w:rPr>
          <w:rFonts w:ascii="Times New Roman" w:hAnsi="Times New Roman" w:cs="Times New Roman"/>
        </w:rPr>
        <w:t xml:space="preserve">, </w:t>
      </w:r>
      <w:r w:rsidRPr="00D27307">
        <w:rPr>
          <w:rFonts w:ascii="Times New Roman" w:hAnsi="Times New Roman" w:cs="Times New Roman"/>
          <w:i/>
          <w:iCs/>
        </w:rPr>
        <w:t>33</w:t>
      </w:r>
      <w:r w:rsidRPr="00D27307">
        <w:rPr>
          <w:rFonts w:ascii="Times New Roman" w:hAnsi="Times New Roman" w:cs="Times New Roman"/>
        </w:rPr>
        <w:t>(1), 101430. https://doi.org/10.1016/j.omtm.2025.101430</w:t>
      </w:r>
    </w:p>
    <w:p w14:paraId="32E6BBDC"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Rampersad, S., &amp; Tennant, P. (2018). Replication and Expression Strategies of Viruses. </w:t>
      </w:r>
      <w:r w:rsidRPr="00D27307">
        <w:rPr>
          <w:rFonts w:ascii="Times New Roman" w:hAnsi="Times New Roman" w:cs="Times New Roman"/>
          <w:i/>
          <w:iCs/>
        </w:rPr>
        <w:t>Viruses</w:t>
      </w:r>
      <w:r w:rsidRPr="00D27307">
        <w:rPr>
          <w:rFonts w:ascii="Times New Roman" w:hAnsi="Times New Roman" w:cs="Times New Roman"/>
        </w:rPr>
        <w:t>, 55–82. https://doi.org/10.1016/B978-0-12-811257-1.00003-6</w:t>
      </w:r>
    </w:p>
    <w:p w14:paraId="58C1C747"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Ronzitti, G., Gross, D.-A., &amp; Mingozzi, F. (2020). Human Immune Responses to Adeno-Associated Virus (AAV) Vectors. </w:t>
      </w:r>
      <w:r w:rsidRPr="00D27307">
        <w:rPr>
          <w:rFonts w:ascii="Times New Roman" w:hAnsi="Times New Roman" w:cs="Times New Roman"/>
          <w:i/>
          <w:iCs/>
        </w:rPr>
        <w:t>Frontiers in Immunology</w:t>
      </w:r>
      <w:r w:rsidRPr="00D27307">
        <w:rPr>
          <w:rFonts w:ascii="Times New Roman" w:hAnsi="Times New Roman" w:cs="Times New Roman"/>
        </w:rPr>
        <w:t xml:space="preserve">, </w:t>
      </w:r>
      <w:r w:rsidRPr="00D27307">
        <w:rPr>
          <w:rFonts w:ascii="Times New Roman" w:hAnsi="Times New Roman" w:cs="Times New Roman"/>
          <w:i/>
          <w:iCs/>
        </w:rPr>
        <w:t>11</w:t>
      </w:r>
      <w:r w:rsidRPr="00D27307">
        <w:rPr>
          <w:rFonts w:ascii="Times New Roman" w:hAnsi="Times New Roman" w:cs="Times New Roman"/>
        </w:rPr>
        <w:t>, 670. https://doi.org/10.3389/fimmu.2020.00670</w:t>
      </w:r>
    </w:p>
    <w:p w14:paraId="1D06DF43"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Ross, M., &amp; Ofri, R. (2021). The future of retinal gene therapy: Evolving from subretinal to intravitreal vector delivery. </w:t>
      </w:r>
      <w:r w:rsidRPr="00D27307">
        <w:rPr>
          <w:rFonts w:ascii="Times New Roman" w:hAnsi="Times New Roman" w:cs="Times New Roman"/>
          <w:i/>
          <w:iCs/>
        </w:rPr>
        <w:t>Neural Regeneration Research</w:t>
      </w:r>
      <w:r w:rsidRPr="00D27307">
        <w:rPr>
          <w:rFonts w:ascii="Times New Roman" w:hAnsi="Times New Roman" w:cs="Times New Roman"/>
        </w:rPr>
        <w:t xml:space="preserve">, </w:t>
      </w:r>
      <w:r w:rsidRPr="00D27307">
        <w:rPr>
          <w:rFonts w:ascii="Times New Roman" w:hAnsi="Times New Roman" w:cs="Times New Roman"/>
          <w:i/>
          <w:iCs/>
        </w:rPr>
        <w:t>16</w:t>
      </w:r>
      <w:r w:rsidRPr="00D27307">
        <w:rPr>
          <w:rFonts w:ascii="Times New Roman" w:hAnsi="Times New Roman" w:cs="Times New Roman"/>
        </w:rPr>
        <w:t>(9), 1751–1759. https://doi.org/10.4103/1673-5374.306063</w:t>
      </w:r>
    </w:p>
    <w:p w14:paraId="2BAFD978"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lastRenderedPageBreak/>
        <w:t xml:space="preserve">Rowe, L. W., &amp; Ciulla, T. A. (2024). Gene Therapy for Non-Hereditary Retinal Disease: Age-Related Macular Degeneration, Diabetic Retinopathy, and Beyond. </w:t>
      </w:r>
      <w:r w:rsidRPr="00D27307">
        <w:rPr>
          <w:rFonts w:ascii="Times New Roman" w:hAnsi="Times New Roman" w:cs="Times New Roman"/>
          <w:i/>
          <w:iCs/>
        </w:rPr>
        <w:t>Genes</w:t>
      </w:r>
      <w:r w:rsidRPr="00D27307">
        <w:rPr>
          <w:rFonts w:ascii="Times New Roman" w:hAnsi="Times New Roman" w:cs="Times New Roman"/>
        </w:rPr>
        <w:t xml:space="preserve">, </w:t>
      </w:r>
      <w:r w:rsidRPr="00D27307">
        <w:rPr>
          <w:rFonts w:ascii="Times New Roman" w:hAnsi="Times New Roman" w:cs="Times New Roman"/>
          <w:i/>
          <w:iCs/>
        </w:rPr>
        <w:t>15</w:t>
      </w:r>
      <w:r w:rsidRPr="00D27307">
        <w:rPr>
          <w:rFonts w:ascii="Times New Roman" w:hAnsi="Times New Roman" w:cs="Times New Roman"/>
        </w:rPr>
        <w:t>(6), 720. https://doi.org/10.3390/genes15060720</w:t>
      </w:r>
    </w:p>
    <w:p w14:paraId="1436990D"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Saigal, K., Salama, J. E., Pardo, A. A., Lopez, S. E., &amp; Gregori, N. Z. (2025). Modifiable Lifestyle Risk Factors and Strategies for Slowing the Progression of Age-Related Macular Degeneration. </w:t>
      </w:r>
      <w:r w:rsidRPr="00D27307">
        <w:rPr>
          <w:rFonts w:ascii="Times New Roman" w:hAnsi="Times New Roman" w:cs="Times New Roman"/>
          <w:i/>
          <w:iCs/>
        </w:rPr>
        <w:t>Vision</w:t>
      </w:r>
      <w:r w:rsidRPr="00D27307">
        <w:rPr>
          <w:rFonts w:ascii="Times New Roman" w:hAnsi="Times New Roman" w:cs="Times New Roman"/>
        </w:rPr>
        <w:t xml:space="preserve">, </w:t>
      </w:r>
      <w:r w:rsidRPr="00D27307">
        <w:rPr>
          <w:rFonts w:ascii="Times New Roman" w:hAnsi="Times New Roman" w:cs="Times New Roman"/>
          <w:i/>
          <w:iCs/>
        </w:rPr>
        <w:t>9</w:t>
      </w:r>
      <w:r w:rsidRPr="00D27307">
        <w:rPr>
          <w:rFonts w:ascii="Times New Roman" w:hAnsi="Times New Roman" w:cs="Times New Roman"/>
        </w:rPr>
        <w:t>(1), 16. https://doi.org/10.3390/vision9010016</w:t>
      </w:r>
    </w:p>
    <w:p w14:paraId="0D9A5401"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Schambach, A., Buchholz, C. J., Torres-Ruiz, R., Cichutek, K., Morgan, M., Trapani, I., &amp; Büning, H. (2024). A new age of precision gene therapy. </w:t>
      </w:r>
      <w:r w:rsidRPr="00D27307">
        <w:rPr>
          <w:rFonts w:ascii="Times New Roman" w:hAnsi="Times New Roman" w:cs="Times New Roman"/>
          <w:i/>
          <w:iCs/>
        </w:rPr>
        <w:t>The Lancet</w:t>
      </w:r>
      <w:r w:rsidRPr="00D27307">
        <w:rPr>
          <w:rFonts w:ascii="Times New Roman" w:hAnsi="Times New Roman" w:cs="Times New Roman"/>
        </w:rPr>
        <w:t xml:space="preserve">, </w:t>
      </w:r>
      <w:r w:rsidRPr="00D27307">
        <w:rPr>
          <w:rFonts w:ascii="Times New Roman" w:hAnsi="Times New Roman" w:cs="Times New Roman"/>
          <w:i/>
          <w:iCs/>
        </w:rPr>
        <w:t>403</w:t>
      </w:r>
      <w:r w:rsidRPr="00D27307">
        <w:rPr>
          <w:rFonts w:ascii="Times New Roman" w:hAnsi="Times New Roman" w:cs="Times New Roman"/>
        </w:rPr>
        <w:t>(10426), 568–582. https://doi.org/10.1016/S0140-6736(23)01952-9</w:t>
      </w:r>
    </w:p>
    <w:p w14:paraId="74955A64"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Schmitz-Valckenberg, S., Fleckenstein, M., Zouache, M. A., Pfau, M., Pappas, C., Hageman, J. L., Agrón, E., Malley, C., Keenan, T. D. L., Chew, E. Y., &amp; Hageman, G. S. (2022). Progression of Age-Related Macular Degeneration Among Individuals Homozygous for Risk Alleles on Chromosome 1 (CFH-CFHR5) or Chromosome 10 (ARMS2/HTRA1) or Both. </w:t>
      </w:r>
      <w:r w:rsidRPr="00D27307">
        <w:rPr>
          <w:rFonts w:ascii="Times New Roman" w:hAnsi="Times New Roman" w:cs="Times New Roman"/>
          <w:i/>
          <w:iCs/>
        </w:rPr>
        <w:t>JAMA Ophthalmology</w:t>
      </w:r>
      <w:r w:rsidRPr="00D27307">
        <w:rPr>
          <w:rFonts w:ascii="Times New Roman" w:hAnsi="Times New Roman" w:cs="Times New Roman"/>
        </w:rPr>
        <w:t xml:space="preserve">, </w:t>
      </w:r>
      <w:r w:rsidRPr="00D27307">
        <w:rPr>
          <w:rFonts w:ascii="Times New Roman" w:hAnsi="Times New Roman" w:cs="Times New Roman"/>
          <w:i/>
          <w:iCs/>
        </w:rPr>
        <w:t>140</w:t>
      </w:r>
      <w:r w:rsidRPr="00D27307">
        <w:rPr>
          <w:rFonts w:ascii="Times New Roman" w:hAnsi="Times New Roman" w:cs="Times New Roman"/>
        </w:rPr>
        <w:t>(3), 252–260. https://doi.org/10.1001/jamaophthalmol.2021.6072</w:t>
      </w:r>
    </w:p>
    <w:p w14:paraId="20B998BB"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Somasundaran, S., Constable, I. J., Mellough, C. B., &amp; Carvalho, L. S. (2020). Retinal pigment epithelium and age‐related macular degeneration: A review of major disease mechanisms. </w:t>
      </w:r>
      <w:r w:rsidRPr="00D27307">
        <w:rPr>
          <w:rFonts w:ascii="Times New Roman" w:hAnsi="Times New Roman" w:cs="Times New Roman"/>
          <w:i/>
          <w:iCs/>
        </w:rPr>
        <w:t>Clinical &amp; Experimental Ophthalmology</w:t>
      </w:r>
      <w:r w:rsidRPr="00D27307">
        <w:rPr>
          <w:rFonts w:ascii="Times New Roman" w:hAnsi="Times New Roman" w:cs="Times New Roman"/>
        </w:rPr>
        <w:t xml:space="preserve">, </w:t>
      </w:r>
      <w:r w:rsidRPr="00D27307">
        <w:rPr>
          <w:rFonts w:ascii="Times New Roman" w:hAnsi="Times New Roman" w:cs="Times New Roman"/>
          <w:i/>
          <w:iCs/>
        </w:rPr>
        <w:t>48</w:t>
      </w:r>
      <w:r w:rsidRPr="00D27307">
        <w:rPr>
          <w:rFonts w:ascii="Times New Roman" w:hAnsi="Times New Roman" w:cs="Times New Roman"/>
        </w:rPr>
        <w:t>(8), 1043–1056. https://doi.org/10.1111/ceo.13834</w:t>
      </w:r>
    </w:p>
    <w:p w14:paraId="0B24EEB7"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Trincão-Marques, J., Ayton, L. N., Hickey, D. G., Marques-Neves, C., Guymer, R. H., Edwards, T. L., &amp; Sousa, D. C. (2024). Gene and cell therapy for age-related macular degeneration: A review. </w:t>
      </w:r>
      <w:r w:rsidRPr="00D27307">
        <w:rPr>
          <w:rFonts w:ascii="Times New Roman" w:hAnsi="Times New Roman" w:cs="Times New Roman"/>
          <w:i/>
          <w:iCs/>
        </w:rPr>
        <w:t>Survey of Ophthalmology</w:t>
      </w:r>
      <w:r w:rsidRPr="00D27307">
        <w:rPr>
          <w:rFonts w:ascii="Times New Roman" w:hAnsi="Times New Roman" w:cs="Times New Roman"/>
        </w:rPr>
        <w:t xml:space="preserve">, </w:t>
      </w:r>
      <w:r w:rsidRPr="00D27307">
        <w:rPr>
          <w:rFonts w:ascii="Times New Roman" w:hAnsi="Times New Roman" w:cs="Times New Roman"/>
          <w:i/>
          <w:iCs/>
        </w:rPr>
        <w:t>69</w:t>
      </w:r>
      <w:r w:rsidRPr="00D27307">
        <w:rPr>
          <w:rFonts w:ascii="Times New Roman" w:hAnsi="Times New Roman" w:cs="Times New Roman"/>
        </w:rPr>
        <w:t>(5), 665–676. https://doi.org/10.1016/j.survophthal.2024.05.002</w:t>
      </w:r>
    </w:p>
    <w:p w14:paraId="22E69F79"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Tripepi, D., Jalil, A., Ally, N., Buzzi, M., Moussa, G., Rothschild, P.-R., Rossi, T., Ferrara, M., &amp; Romano, M. R. (2023). The Role of Subretinal Injection in Ophthalmic Surgery: Therapeutic Agent Delivery and Other Indications. </w:t>
      </w:r>
      <w:r w:rsidRPr="00D27307">
        <w:rPr>
          <w:rFonts w:ascii="Times New Roman" w:hAnsi="Times New Roman" w:cs="Times New Roman"/>
          <w:i/>
          <w:iCs/>
        </w:rPr>
        <w:t>International Journal of Molecular Sciences</w:t>
      </w:r>
      <w:r w:rsidRPr="00D27307">
        <w:rPr>
          <w:rFonts w:ascii="Times New Roman" w:hAnsi="Times New Roman" w:cs="Times New Roman"/>
        </w:rPr>
        <w:t xml:space="preserve">, </w:t>
      </w:r>
      <w:r w:rsidRPr="00D27307">
        <w:rPr>
          <w:rFonts w:ascii="Times New Roman" w:hAnsi="Times New Roman" w:cs="Times New Roman"/>
          <w:i/>
          <w:iCs/>
        </w:rPr>
        <w:t>24</w:t>
      </w:r>
      <w:r w:rsidRPr="00D27307">
        <w:rPr>
          <w:rFonts w:ascii="Times New Roman" w:hAnsi="Times New Roman" w:cs="Times New Roman"/>
        </w:rPr>
        <w:t>(13), 10535. https://doi.org/10.3390/ijms241310535</w:t>
      </w:r>
    </w:p>
    <w:p w14:paraId="0480B941"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Uddin, F., Rudin, C. M., &amp; Sen, T. (2020). CRISPR Gene Therapy: Applications, Limitations, and Implications for the Future. </w:t>
      </w:r>
      <w:r w:rsidRPr="00D27307">
        <w:rPr>
          <w:rFonts w:ascii="Times New Roman" w:hAnsi="Times New Roman" w:cs="Times New Roman"/>
          <w:i/>
          <w:iCs/>
        </w:rPr>
        <w:t>Frontiers in Oncology</w:t>
      </w:r>
      <w:r w:rsidRPr="00D27307">
        <w:rPr>
          <w:rFonts w:ascii="Times New Roman" w:hAnsi="Times New Roman" w:cs="Times New Roman"/>
        </w:rPr>
        <w:t xml:space="preserve">, </w:t>
      </w:r>
      <w:r w:rsidRPr="00D27307">
        <w:rPr>
          <w:rFonts w:ascii="Times New Roman" w:hAnsi="Times New Roman" w:cs="Times New Roman"/>
          <w:i/>
          <w:iCs/>
        </w:rPr>
        <w:t>10</w:t>
      </w:r>
      <w:r w:rsidRPr="00D27307">
        <w:rPr>
          <w:rFonts w:ascii="Times New Roman" w:hAnsi="Times New Roman" w:cs="Times New Roman"/>
        </w:rPr>
        <w:t>, 1387. https://doi.org/10.3389/fonc.2020.01387</w:t>
      </w:r>
    </w:p>
    <w:p w14:paraId="594FB35A"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lastRenderedPageBreak/>
        <w:t xml:space="preserve">Voelker, R. (2024). What Is Age-Related Macular Degeneration? </w:t>
      </w:r>
      <w:r w:rsidRPr="00D27307">
        <w:rPr>
          <w:rFonts w:ascii="Times New Roman" w:hAnsi="Times New Roman" w:cs="Times New Roman"/>
          <w:i/>
          <w:iCs/>
        </w:rPr>
        <w:t>JAMA</w:t>
      </w:r>
      <w:r w:rsidRPr="00D27307">
        <w:rPr>
          <w:rFonts w:ascii="Times New Roman" w:hAnsi="Times New Roman" w:cs="Times New Roman"/>
        </w:rPr>
        <w:t xml:space="preserve">, </w:t>
      </w:r>
      <w:r w:rsidRPr="00D27307">
        <w:rPr>
          <w:rFonts w:ascii="Times New Roman" w:hAnsi="Times New Roman" w:cs="Times New Roman"/>
          <w:i/>
          <w:iCs/>
        </w:rPr>
        <w:t>331</w:t>
      </w:r>
      <w:r w:rsidRPr="00D27307">
        <w:rPr>
          <w:rFonts w:ascii="Times New Roman" w:hAnsi="Times New Roman" w:cs="Times New Roman"/>
        </w:rPr>
        <w:t>(24), 2142. https://doi.org/10.1001/jama.2024.4281</w:t>
      </w:r>
    </w:p>
    <w:p w14:paraId="61A05B23"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Vyawahare, H., &amp; Shinde, P. (n.d.). Age-Related Macular Degeneration: Epidemiology, Pathophysiology, Diagnosis, and Treatment. </w:t>
      </w:r>
      <w:r w:rsidRPr="00D27307">
        <w:rPr>
          <w:rFonts w:ascii="Times New Roman" w:hAnsi="Times New Roman" w:cs="Times New Roman"/>
          <w:i/>
          <w:iCs/>
        </w:rPr>
        <w:t>Cureus</w:t>
      </w:r>
      <w:r w:rsidRPr="00D27307">
        <w:rPr>
          <w:rFonts w:ascii="Times New Roman" w:hAnsi="Times New Roman" w:cs="Times New Roman"/>
        </w:rPr>
        <w:t xml:space="preserve">, </w:t>
      </w:r>
      <w:r w:rsidRPr="00D27307">
        <w:rPr>
          <w:rFonts w:ascii="Times New Roman" w:hAnsi="Times New Roman" w:cs="Times New Roman"/>
          <w:i/>
          <w:iCs/>
        </w:rPr>
        <w:t>14</w:t>
      </w:r>
      <w:r w:rsidRPr="00D27307">
        <w:rPr>
          <w:rFonts w:ascii="Times New Roman" w:hAnsi="Times New Roman" w:cs="Times New Roman"/>
        </w:rPr>
        <w:t>(9), e29583. https://doi.org/10.7759/cureus.29583</w:t>
      </w:r>
    </w:p>
    <w:p w14:paraId="5FD52694"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Wang, D., Tai, P. W. L., &amp; Gao, G. (2019). Adeno-associated virus vector as a platform for gene therapy delivery. </w:t>
      </w:r>
      <w:r w:rsidRPr="00D27307">
        <w:rPr>
          <w:rFonts w:ascii="Times New Roman" w:hAnsi="Times New Roman" w:cs="Times New Roman"/>
          <w:i/>
          <w:iCs/>
        </w:rPr>
        <w:t>Nature Reviews. Drug Discovery</w:t>
      </w:r>
      <w:r w:rsidRPr="00D27307">
        <w:rPr>
          <w:rFonts w:ascii="Times New Roman" w:hAnsi="Times New Roman" w:cs="Times New Roman"/>
        </w:rPr>
        <w:t xml:space="preserve">, </w:t>
      </w:r>
      <w:r w:rsidRPr="00D27307">
        <w:rPr>
          <w:rFonts w:ascii="Times New Roman" w:hAnsi="Times New Roman" w:cs="Times New Roman"/>
          <w:i/>
          <w:iCs/>
        </w:rPr>
        <w:t>18</w:t>
      </w:r>
      <w:r w:rsidRPr="00D27307">
        <w:rPr>
          <w:rFonts w:ascii="Times New Roman" w:hAnsi="Times New Roman" w:cs="Times New Roman"/>
        </w:rPr>
        <w:t>(5), 358–378. https://doi.org/10.1038/s41573-019-0012-9</w:t>
      </w:r>
    </w:p>
    <w:p w14:paraId="0F35E5F1"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Wang, J. Y., &amp; Doudna, J. A. (2023). CRISPR technology: A decade of genome editing is only the beginning. </w:t>
      </w:r>
      <w:r w:rsidRPr="00D27307">
        <w:rPr>
          <w:rFonts w:ascii="Times New Roman" w:hAnsi="Times New Roman" w:cs="Times New Roman"/>
          <w:i/>
          <w:iCs/>
        </w:rPr>
        <w:t>Science (New York, N.Y.)</w:t>
      </w:r>
      <w:r w:rsidRPr="00D27307">
        <w:rPr>
          <w:rFonts w:ascii="Times New Roman" w:hAnsi="Times New Roman" w:cs="Times New Roman"/>
        </w:rPr>
        <w:t xml:space="preserve">, </w:t>
      </w:r>
      <w:r w:rsidRPr="00D27307">
        <w:rPr>
          <w:rFonts w:ascii="Times New Roman" w:hAnsi="Times New Roman" w:cs="Times New Roman"/>
          <w:i/>
          <w:iCs/>
        </w:rPr>
        <w:t>379</w:t>
      </w:r>
      <w:r w:rsidRPr="00D27307">
        <w:rPr>
          <w:rFonts w:ascii="Times New Roman" w:hAnsi="Times New Roman" w:cs="Times New Roman"/>
        </w:rPr>
        <w:t>(6629), eadd8643. https://doi.org/10.1126/science.add8643</w:t>
      </w:r>
    </w:p>
    <w:p w14:paraId="21C310CA"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Wojciechowski, P., Wdowiak, M., Panek, M., Lunk, I., Carrasco, J., Zhang, X., Wu, O., Korobelnik, J.-F., &amp; Lanzetta, P. (2025). Efficacy, Safety, and Injection Frequency with Novel Aflibercept 8 mg in Neovascular Age-Related Macular Degeneration: A Comparison with Existing Anti-VEGF Regimens Using a Bayesian Network Meta-Analysis. </w:t>
      </w:r>
      <w:r w:rsidRPr="00D27307">
        <w:rPr>
          <w:rFonts w:ascii="Times New Roman" w:hAnsi="Times New Roman" w:cs="Times New Roman"/>
          <w:i/>
          <w:iCs/>
        </w:rPr>
        <w:t>Ophthalmology and Therapy</w:t>
      </w:r>
      <w:r w:rsidRPr="00D27307">
        <w:rPr>
          <w:rFonts w:ascii="Times New Roman" w:hAnsi="Times New Roman" w:cs="Times New Roman"/>
        </w:rPr>
        <w:t xml:space="preserve">, </w:t>
      </w:r>
      <w:r w:rsidRPr="00D27307">
        <w:rPr>
          <w:rFonts w:ascii="Times New Roman" w:hAnsi="Times New Roman" w:cs="Times New Roman"/>
          <w:i/>
          <w:iCs/>
        </w:rPr>
        <w:t>14</w:t>
      </w:r>
      <w:r w:rsidRPr="00D27307">
        <w:rPr>
          <w:rFonts w:ascii="Times New Roman" w:hAnsi="Times New Roman" w:cs="Times New Roman"/>
        </w:rPr>
        <w:t>(4), 733. https://doi.org/10.1007/s40123-025-01098-y</w:t>
      </w:r>
    </w:p>
    <w:p w14:paraId="5367DEBD"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Xiang, Y. S., &amp; Hao, G. G. (2023). Biophysical characterization of adeno-associated virus capsid through the viral transduction life cycle. </w:t>
      </w:r>
      <w:r w:rsidRPr="00D27307">
        <w:rPr>
          <w:rFonts w:ascii="Times New Roman" w:hAnsi="Times New Roman" w:cs="Times New Roman"/>
          <w:i/>
          <w:iCs/>
        </w:rPr>
        <w:t>Journal of Genetic Engineering &amp; Biotechnology</w:t>
      </w:r>
      <w:r w:rsidRPr="00D27307">
        <w:rPr>
          <w:rFonts w:ascii="Times New Roman" w:hAnsi="Times New Roman" w:cs="Times New Roman"/>
        </w:rPr>
        <w:t xml:space="preserve">, </w:t>
      </w:r>
      <w:r w:rsidRPr="00D27307">
        <w:rPr>
          <w:rFonts w:ascii="Times New Roman" w:hAnsi="Times New Roman" w:cs="Times New Roman"/>
          <w:i/>
          <w:iCs/>
        </w:rPr>
        <w:t>21</w:t>
      </w:r>
      <w:r w:rsidRPr="00D27307">
        <w:rPr>
          <w:rFonts w:ascii="Times New Roman" w:hAnsi="Times New Roman" w:cs="Times New Roman"/>
        </w:rPr>
        <w:t>, 62. https://doi.org/10.1186/s43141-023-00518-5</w:t>
      </w:r>
    </w:p>
    <w:p w14:paraId="52D8CBD4"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Xu, M., Fan, R., Fan, X., Shao, Y., &amp; Li, X. (2022). Progress and Challenges of Anti-VEGF Agents and Their Sustained-Release Strategies for Retinal Angiogenesis. </w:t>
      </w:r>
      <w:r w:rsidRPr="00D27307">
        <w:rPr>
          <w:rFonts w:ascii="Times New Roman" w:hAnsi="Times New Roman" w:cs="Times New Roman"/>
          <w:i/>
          <w:iCs/>
        </w:rPr>
        <w:t>Drug Design, Development and Therapy</w:t>
      </w:r>
      <w:r w:rsidRPr="00D27307">
        <w:rPr>
          <w:rFonts w:ascii="Times New Roman" w:hAnsi="Times New Roman" w:cs="Times New Roman"/>
        </w:rPr>
        <w:t xml:space="preserve">, </w:t>
      </w:r>
      <w:r w:rsidRPr="00D27307">
        <w:rPr>
          <w:rFonts w:ascii="Times New Roman" w:hAnsi="Times New Roman" w:cs="Times New Roman"/>
          <w:i/>
          <w:iCs/>
        </w:rPr>
        <w:t>16</w:t>
      </w:r>
      <w:r w:rsidRPr="00D27307">
        <w:rPr>
          <w:rFonts w:ascii="Times New Roman" w:hAnsi="Times New Roman" w:cs="Times New Roman"/>
        </w:rPr>
        <w:t>, 3241–3262. https://doi.org/10.2147/DDDT.S383101</w:t>
      </w:r>
    </w:p>
    <w:p w14:paraId="621075AE" w14:textId="77777777" w:rsidR="00B3699E" w:rsidRPr="00D27307" w:rsidRDefault="00B3699E" w:rsidP="00B3699E">
      <w:pPr>
        <w:pStyle w:val="Bibliography"/>
        <w:rPr>
          <w:rFonts w:ascii="Times New Roman" w:hAnsi="Times New Roman" w:cs="Times New Roman"/>
        </w:rPr>
      </w:pPr>
      <w:r w:rsidRPr="00D27307">
        <w:rPr>
          <w:rFonts w:ascii="Times New Roman" w:hAnsi="Times New Roman" w:cs="Times New Roman"/>
        </w:rPr>
        <w:t xml:space="preserve">Zaiss, A.-K., Liu, Q., Bowen, G. P., Wong, N. C. W., Bartlett, J. S., &amp; Muruve, D. A. (2002). Differential activation of innate immune responses by adenovirus and adeno-associated virus vectors. </w:t>
      </w:r>
      <w:r w:rsidRPr="00D27307">
        <w:rPr>
          <w:rFonts w:ascii="Times New Roman" w:hAnsi="Times New Roman" w:cs="Times New Roman"/>
          <w:i/>
          <w:iCs/>
        </w:rPr>
        <w:t>Journal of Virology</w:t>
      </w:r>
      <w:r w:rsidRPr="00D27307">
        <w:rPr>
          <w:rFonts w:ascii="Times New Roman" w:hAnsi="Times New Roman" w:cs="Times New Roman"/>
        </w:rPr>
        <w:t xml:space="preserve">, </w:t>
      </w:r>
      <w:r w:rsidRPr="00D27307">
        <w:rPr>
          <w:rFonts w:ascii="Times New Roman" w:hAnsi="Times New Roman" w:cs="Times New Roman"/>
          <w:i/>
          <w:iCs/>
        </w:rPr>
        <w:t>76</w:t>
      </w:r>
      <w:r w:rsidRPr="00D27307">
        <w:rPr>
          <w:rFonts w:ascii="Times New Roman" w:hAnsi="Times New Roman" w:cs="Times New Roman"/>
        </w:rPr>
        <w:t>(9), 4580–4590. https://doi.org/10.1128/jvi.76.9.4580-4590.2002</w:t>
      </w:r>
    </w:p>
    <w:p w14:paraId="2C7F831B" w14:textId="77777777" w:rsidR="004C7C0C" w:rsidRPr="00D27307" w:rsidRDefault="003A0F1D" w:rsidP="00C30F5C">
      <w:pPr>
        <w:spacing w:line="360" w:lineRule="auto"/>
        <w:jc w:val="both"/>
        <w:rPr>
          <w:rFonts w:ascii="Times New Roman" w:hAnsi="Times New Roman" w:cs="Times New Roman"/>
          <w:sz w:val="24"/>
          <w:szCs w:val="24"/>
        </w:rPr>
      </w:pPr>
      <w:r w:rsidRPr="00D27307">
        <w:rPr>
          <w:rFonts w:ascii="Times New Roman" w:hAnsi="Times New Roman" w:cs="Times New Roman"/>
          <w:sz w:val="24"/>
          <w:szCs w:val="24"/>
        </w:rPr>
        <w:fldChar w:fldCharType="end"/>
      </w:r>
    </w:p>
    <w:sectPr w:rsidR="004C7C0C" w:rsidRPr="00D27307" w:rsidSect="00036AB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A3397" w14:textId="77777777" w:rsidR="002E76CC" w:rsidRDefault="002E76CC" w:rsidP="005348DB">
      <w:pPr>
        <w:spacing w:after="0" w:line="240" w:lineRule="auto"/>
      </w:pPr>
      <w:r>
        <w:separator/>
      </w:r>
    </w:p>
  </w:endnote>
  <w:endnote w:type="continuationSeparator" w:id="0">
    <w:p w14:paraId="5056C3BF" w14:textId="77777777" w:rsidR="002E76CC" w:rsidRDefault="002E76CC" w:rsidP="00534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0921F" w14:textId="77777777" w:rsidR="005348DB" w:rsidRDefault="005348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3856E" w14:textId="77777777" w:rsidR="005348DB" w:rsidRDefault="005348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D28E4" w14:textId="77777777" w:rsidR="005348DB" w:rsidRDefault="005348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57424" w14:textId="77777777" w:rsidR="002E76CC" w:rsidRDefault="002E76CC" w:rsidP="005348DB">
      <w:pPr>
        <w:spacing w:after="0" w:line="240" w:lineRule="auto"/>
      </w:pPr>
      <w:r>
        <w:separator/>
      </w:r>
    </w:p>
  </w:footnote>
  <w:footnote w:type="continuationSeparator" w:id="0">
    <w:p w14:paraId="01D1AC5C" w14:textId="77777777" w:rsidR="002E76CC" w:rsidRDefault="002E76CC" w:rsidP="005348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B4F18" w14:textId="2ABE65BF" w:rsidR="005348DB" w:rsidRDefault="005348DB">
    <w:pPr>
      <w:pStyle w:val="Header"/>
    </w:pPr>
    <w:r>
      <w:rPr>
        <w:noProof/>
      </w:rPr>
      <w:pict w14:anchorId="1CF2D4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8534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16C1C" w14:textId="63F3A689" w:rsidR="005348DB" w:rsidRDefault="005348DB">
    <w:pPr>
      <w:pStyle w:val="Header"/>
    </w:pPr>
    <w:r>
      <w:rPr>
        <w:noProof/>
      </w:rPr>
      <w:pict w14:anchorId="0DC89B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8534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DAA81" w14:textId="4833DD01" w:rsidR="005348DB" w:rsidRDefault="005348DB">
    <w:pPr>
      <w:pStyle w:val="Header"/>
    </w:pPr>
    <w:r>
      <w:rPr>
        <w:noProof/>
      </w:rPr>
      <w:pict w14:anchorId="68FCE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8534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2536"/>
    <w:multiLevelType w:val="hybridMultilevel"/>
    <w:tmpl w:val="D580435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1D160BD2"/>
    <w:multiLevelType w:val="hybridMultilevel"/>
    <w:tmpl w:val="8438C870"/>
    <w:lvl w:ilvl="0" w:tplc="FCA87E6E">
      <w:start w:val="1"/>
      <w:numFmt w:val="decimal"/>
      <w:lvlText w:val="%1."/>
      <w:lvlJc w:val="left"/>
      <w:pPr>
        <w:ind w:left="360" w:hanging="360"/>
      </w:pPr>
      <w:rPr>
        <w:rFonts w:hint="default"/>
        <w:b/>
        <w:bCs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491856DA"/>
    <w:multiLevelType w:val="hybridMultilevel"/>
    <w:tmpl w:val="4ADA21A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F5882"/>
    <w:rsid w:val="00005A3F"/>
    <w:rsid w:val="000111CF"/>
    <w:rsid w:val="000166A8"/>
    <w:rsid w:val="000239BD"/>
    <w:rsid w:val="000261B8"/>
    <w:rsid w:val="00026E1A"/>
    <w:rsid w:val="00027D06"/>
    <w:rsid w:val="00034668"/>
    <w:rsid w:val="00036AB0"/>
    <w:rsid w:val="000453C5"/>
    <w:rsid w:val="00067F17"/>
    <w:rsid w:val="00072C30"/>
    <w:rsid w:val="00080EC2"/>
    <w:rsid w:val="00083157"/>
    <w:rsid w:val="00097E2D"/>
    <w:rsid w:val="000C2E6C"/>
    <w:rsid w:val="000D3209"/>
    <w:rsid w:val="000E337C"/>
    <w:rsid w:val="000E575E"/>
    <w:rsid w:val="0011345F"/>
    <w:rsid w:val="001558F5"/>
    <w:rsid w:val="00181327"/>
    <w:rsid w:val="001846DC"/>
    <w:rsid w:val="001928AD"/>
    <w:rsid w:val="001A4E66"/>
    <w:rsid w:val="001A5639"/>
    <w:rsid w:val="001C3F16"/>
    <w:rsid w:val="001D2A9D"/>
    <w:rsid w:val="001E1216"/>
    <w:rsid w:val="001F5266"/>
    <w:rsid w:val="00211275"/>
    <w:rsid w:val="00221516"/>
    <w:rsid w:val="002306D0"/>
    <w:rsid w:val="00233234"/>
    <w:rsid w:val="002436FF"/>
    <w:rsid w:val="00253005"/>
    <w:rsid w:val="00254499"/>
    <w:rsid w:val="0028567E"/>
    <w:rsid w:val="002874E0"/>
    <w:rsid w:val="00296F0C"/>
    <w:rsid w:val="002B3C09"/>
    <w:rsid w:val="002C3830"/>
    <w:rsid w:val="002D39FE"/>
    <w:rsid w:val="002D61AE"/>
    <w:rsid w:val="002E76CC"/>
    <w:rsid w:val="002F6077"/>
    <w:rsid w:val="00305F38"/>
    <w:rsid w:val="0031427B"/>
    <w:rsid w:val="003212B6"/>
    <w:rsid w:val="00323062"/>
    <w:rsid w:val="00326A08"/>
    <w:rsid w:val="0033300E"/>
    <w:rsid w:val="00342397"/>
    <w:rsid w:val="0034672C"/>
    <w:rsid w:val="00357258"/>
    <w:rsid w:val="00370CE5"/>
    <w:rsid w:val="003778A8"/>
    <w:rsid w:val="003808E4"/>
    <w:rsid w:val="003813D2"/>
    <w:rsid w:val="003831F8"/>
    <w:rsid w:val="00383ABB"/>
    <w:rsid w:val="00384409"/>
    <w:rsid w:val="003971B2"/>
    <w:rsid w:val="003A0F1D"/>
    <w:rsid w:val="003C02CA"/>
    <w:rsid w:val="003D2BEB"/>
    <w:rsid w:val="003D3708"/>
    <w:rsid w:val="003E42AD"/>
    <w:rsid w:val="003F0DDF"/>
    <w:rsid w:val="003F1C4A"/>
    <w:rsid w:val="003F1F71"/>
    <w:rsid w:val="003F245C"/>
    <w:rsid w:val="003F43A8"/>
    <w:rsid w:val="00401824"/>
    <w:rsid w:val="00406D05"/>
    <w:rsid w:val="00451C36"/>
    <w:rsid w:val="00466B2D"/>
    <w:rsid w:val="00477620"/>
    <w:rsid w:val="004A455E"/>
    <w:rsid w:val="004C45EF"/>
    <w:rsid w:val="004C7C0C"/>
    <w:rsid w:val="004D6FAE"/>
    <w:rsid w:val="004F301B"/>
    <w:rsid w:val="00500B8C"/>
    <w:rsid w:val="00501AC8"/>
    <w:rsid w:val="00510422"/>
    <w:rsid w:val="00513BFC"/>
    <w:rsid w:val="00532249"/>
    <w:rsid w:val="005348DB"/>
    <w:rsid w:val="00536352"/>
    <w:rsid w:val="00573D4E"/>
    <w:rsid w:val="00576D0C"/>
    <w:rsid w:val="005770EC"/>
    <w:rsid w:val="005D5158"/>
    <w:rsid w:val="005E3463"/>
    <w:rsid w:val="005F1C59"/>
    <w:rsid w:val="005F3554"/>
    <w:rsid w:val="00603CF8"/>
    <w:rsid w:val="00630661"/>
    <w:rsid w:val="00640953"/>
    <w:rsid w:val="0066465A"/>
    <w:rsid w:val="006811F8"/>
    <w:rsid w:val="00687678"/>
    <w:rsid w:val="006B0C81"/>
    <w:rsid w:val="006B3F79"/>
    <w:rsid w:val="006C1F40"/>
    <w:rsid w:val="006C7BF8"/>
    <w:rsid w:val="006F3507"/>
    <w:rsid w:val="00710FB1"/>
    <w:rsid w:val="0072004E"/>
    <w:rsid w:val="007307BD"/>
    <w:rsid w:val="00735382"/>
    <w:rsid w:val="007416ED"/>
    <w:rsid w:val="0075463F"/>
    <w:rsid w:val="00777751"/>
    <w:rsid w:val="007A656D"/>
    <w:rsid w:val="007B1C9C"/>
    <w:rsid w:val="007C7DC0"/>
    <w:rsid w:val="007D7016"/>
    <w:rsid w:val="007E6A4C"/>
    <w:rsid w:val="007F0684"/>
    <w:rsid w:val="007F446C"/>
    <w:rsid w:val="008023C4"/>
    <w:rsid w:val="008163B5"/>
    <w:rsid w:val="00821316"/>
    <w:rsid w:val="008229D3"/>
    <w:rsid w:val="00825984"/>
    <w:rsid w:val="00835A9E"/>
    <w:rsid w:val="008366DC"/>
    <w:rsid w:val="008416A6"/>
    <w:rsid w:val="0086289A"/>
    <w:rsid w:val="0089498F"/>
    <w:rsid w:val="008B1F1F"/>
    <w:rsid w:val="008B35EA"/>
    <w:rsid w:val="008C323F"/>
    <w:rsid w:val="008D0A22"/>
    <w:rsid w:val="008D7C05"/>
    <w:rsid w:val="009155AF"/>
    <w:rsid w:val="009527A3"/>
    <w:rsid w:val="00957B6A"/>
    <w:rsid w:val="009A0329"/>
    <w:rsid w:val="009A3861"/>
    <w:rsid w:val="009A74CB"/>
    <w:rsid w:val="009C0002"/>
    <w:rsid w:val="009E444D"/>
    <w:rsid w:val="009F4E43"/>
    <w:rsid w:val="00A03EB8"/>
    <w:rsid w:val="00A0702F"/>
    <w:rsid w:val="00A07280"/>
    <w:rsid w:val="00A110B7"/>
    <w:rsid w:val="00A147C0"/>
    <w:rsid w:val="00A16DFE"/>
    <w:rsid w:val="00A37D7A"/>
    <w:rsid w:val="00A41048"/>
    <w:rsid w:val="00A62905"/>
    <w:rsid w:val="00AA3A04"/>
    <w:rsid w:val="00AB56F4"/>
    <w:rsid w:val="00AD7B37"/>
    <w:rsid w:val="00AE1250"/>
    <w:rsid w:val="00AF1310"/>
    <w:rsid w:val="00B05FFD"/>
    <w:rsid w:val="00B10DE5"/>
    <w:rsid w:val="00B149C8"/>
    <w:rsid w:val="00B30580"/>
    <w:rsid w:val="00B3699E"/>
    <w:rsid w:val="00B52557"/>
    <w:rsid w:val="00B62653"/>
    <w:rsid w:val="00B64AC6"/>
    <w:rsid w:val="00B73750"/>
    <w:rsid w:val="00B84B92"/>
    <w:rsid w:val="00BA5778"/>
    <w:rsid w:val="00BB7578"/>
    <w:rsid w:val="00BD0CAB"/>
    <w:rsid w:val="00BE0428"/>
    <w:rsid w:val="00BF4C55"/>
    <w:rsid w:val="00BF7484"/>
    <w:rsid w:val="00C12662"/>
    <w:rsid w:val="00C13410"/>
    <w:rsid w:val="00C30F5C"/>
    <w:rsid w:val="00C31186"/>
    <w:rsid w:val="00C64522"/>
    <w:rsid w:val="00C82D0A"/>
    <w:rsid w:val="00C85373"/>
    <w:rsid w:val="00CD2A56"/>
    <w:rsid w:val="00CF5882"/>
    <w:rsid w:val="00D017CD"/>
    <w:rsid w:val="00D16DE6"/>
    <w:rsid w:val="00D2390A"/>
    <w:rsid w:val="00D27307"/>
    <w:rsid w:val="00D42494"/>
    <w:rsid w:val="00D522CE"/>
    <w:rsid w:val="00DA02BC"/>
    <w:rsid w:val="00DC0D63"/>
    <w:rsid w:val="00DC2CCF"/>
    <w:rsid w:val="00DD1175"/>
    <w:rsid w:val="00DD6F28"/>
    <w:rsid w:val="00DE3B3E"/>
    <w:rsid w:val="00DE4385"/>
    <w:rsid w:val="00DF4D62"/>
    <w:rsid w:val="00E0778F"/>
    <w:rsid w:val="00E41857"/>
    <w:rsid w:val="00E46155"/>
    <w:rsid w:val="00E57407"/>
    <w:rsid w:val="00E61952"/>
    <w:rsid w:val="00E656E4"/>
    <w:rsid w:val="00E832B6"/>
    <w:rsid w:val="00E92B74"/>
    <w:rsid w:val="00EB3BCF"/>
    <w:rsid w:val="00EC216E"/>
    <w:rsid w:val="00EC2EF5"/>
    <w:rsid w:val="00F0205B"/>
    <w:rsid w:val="00F042AE"/>
    <w:rsid w:val="00F06D13"/>
    <w:rsid w:val="00F10C78"/>
    <w:rsid w:val="00F11B1F"/>
    <w:rsid w:val="00F159A3"/>
    <w:rsid w:val="00F2597A"/>
    <w:rsid w:val="00F26AB7"/>
    <w:rsid w:val="00F360A2"/>
    <w:rsid w:val="00F45F82"/>
    <w:rsid w:val="00F5053D"/>
    <w:rsid w:val="00F64C1A"/>
    <w:rsid w:val="00F6728F"/>
    <w:rsid w:val="00F80E85"/>
    <w:rsid w:val="00F858D4"/>
    <w:rsid w:val="00F95710"/>
    <w:rsid w:val="00FA7301"/>
    <w:rsid w:val="00FB0607"/>
    <w:rsid w:val="00FC6593"/>
    <w:rsid w:val="00FE01DE"/>
    <w:rsid w:val="00FE2251"/>
    <w:rsid w:val="00FE5448"/>
    <w:rsid w:val="00FE7272"/>
    <w:rsid w:val="00FF3789"/>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9519537"/>
  <w15:docId w15:val="{A612EC13-3E21-4CED-A6F3-AB58CD506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6AB0"/>
  </w:style>
  <w:style w:type="paragraph" w:styleId="Heading1">
    <w:name w:val="heading 1"/>
    <w:basedOn w:val="Normal"/>
    <w:next w:val="Normal"/>
    <w:link w:val="Heading1Char"/>
    <w:uiPriority w:val="9"/>
    <w:qFormat/>
    <w:rsid w:val="00CF58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F58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F588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F588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F588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F58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58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58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58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88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F588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F588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F588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F588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F58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58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58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5882"/>
    <w:rPr>
      <w:rFonts w:eastAsiaTheme="majorEastAsia" w:cstheme="majorBidi"/>
      <w:color w:val="272727" w:themeColor="text1" w:themeTint="D8"/>
    </w:rPr>
  </w:style>
  <w:style w:type="paragraph" w:styleId="Title">
    <w:name w:val="Title"/>
    <w:basedOn w:val="Normal"/>
    <w:next w:val="Normal"/>
    <w:link w:val="TitleChar"/>
    <w:uiPriority w:val="10"/>
    <w:qFormat/>
    <w:rsid w:val="00CF58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58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58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58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5882"/>
    <w:pPr>
      <w:spacing w:before="160"/>
      <w:jc w:val="center"/>
    </w:pPr>
    <w:rPr>
      <w:i/>
      <w:iCs/>
      <w:color w:val="404040" w:themeColor="text1" w:themeTint="BF"/>
    </w:rPr>
  </w:style>
  <w:style w:type="character" w:customStyle="1" w:styleId="QuoteChar">
    <w:name w:val="Quote Char"/>
    <w:basedOn w:val="DefaultParagraphFont"/>
    <w:link w:val="Quote"/>
    <w:uiPriority w:val="29"/>
    <w:rsid w:val="00CF5882"/>
    <w:rPr>
      <w:i/>
      <w:iCs/>
      <w:color w:val="404040" w:themeColor="text1" w:themeTint="BF"/>
    </w:rPr>
  </w:style>
  <w:style w:type="paragraph" w:styleId="ListParagraph">
    <w:name w:val="List Paragraph"/>
    <w:basedOn w:val="Normal"/>
    <w:uiPriority w:val="34"/>
    <w:qFormat/>
    <w:rsid w:val="00CF5882"/>
    <w:pPr>
      <w:ind w:left="720"/>
      <w:contextualSpacing/>
    </w:pPr>
  </w:style>
  <w:style w:type="character" w:styleId="IntenseEmphasis">
    <w:name w:val="Intense Emphasis"/>
    <w:basedOn w:val="DefaultParagraphFont"/>
    <w:uiPriority w:val="21"/>
    <w:qFormat/>
    <w:rsid w:val="00CF5882"/>
    <w:rPr>
      <w:i/>
      <w:iCs/>
      <w:color w:val="2F5496" w:themeColor="accent1" w:themeShade="BF"/>
    </w:rPr>
  </w:style>
  <w:style w:type="paragraph" w:styleId="IntenseQuote">
    <w:name w:val="Intense Quote"/>
    <w:basedOn w:val="Normal"/>
    <w:next w:val="Normal"/>
    <w:link w:val="IntenseQuoteChar"/>
    <w:uiPriority w:val="30"/>
    <w:qFormat/>
    <w:rsid w:val="00CF58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F5882"/>
    <w:rPr>
      <w:i/>
      <w:iCs/>
      <w:color w:val="2F5496" w:themeColor="accent1" w:themeShade="BF"/>
    </w:rPr>
  </w:style>
  <w:style w:type="character" w:styleId="IntenseReference">
    <w:name w:val="Intense Reference"/>
    <w:basedOn w:val="DefaultParagraphFont"/>
    <w:uiPriority w:val="32"/>
    <w:qFormat/>
    <w:rsid w:val="00CF5882"/>
    <w:rPr>
      <w:b/>
      <w:bCs/>
      <w:smallCaps/>
      <w:color w:val="2F5496" w:themeColor="accent1" w:themeShade="BF"/>
      <w:spacing w:val="5"/>
    </w:rPr>
  </w:style>
  <w:style w:type="paragraph" w:styleId="Bibliography">
    <w:name w:val="Bibliography"/>
    <w:basedOn w:val="Normal"/>
    <w:next w:val="Normal"/>
    <w:uiPriority w:val="37"/>
    <w:unhideWhenUsed/>
    <w:rsid w:val="002436FF"/>
    <w:pPr>
      <w:spacing w:after="0" w:line="480" w:lineRule="auto"/>
      <w:ind w:left="720" w:hanging="720"/>
    </w:pPr>
  </w:style>
  <w:style w:type="paragraph" w:styleId="BalloonText">
    <w:name w:val="Balloon Text"/>
    <w:basedOn w:val="Normal"/>
    <w:link w:val="BalloonTextChar"/>
    <w:uiPriority w:val="99"/>
    <w:semiHidden/>
    <w:unhideWhenUsed/>
    <w:rsid w:val="009C00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002"/>
    <w:rPr>
      <w:rFonts w:ascii="Tahoma" w:hAnsi="Tahoma" w:cs="Tahoma"/>
      <w:sz w:val="16"/>
      <w:szCs w:val="16"/>
    </w:rPr>
  </w:style>
  <w:style w:type="paragraph" w:customStyle="1" w:styleId="AcknHead">
    <w:name w:val="Ackn Head"/>
    <w:basedOn w:val="Normal"/>
    <w:rsid w:val="00501AC8"/>
    <w:pPr>
      <w:keepNext/>
      <w:spacing w:after="240" w:line="240" w:lineRule="auto"/>
    </w:pPr>
    <w:rPr>
      <w:rFonts w:ascii="Helvetica" w:eastAsia="Times New Roman" w:hAnsi="Helvetica" w:cs="Times New Roman"/>
      <w:b/>
      <w:caps/>
      <w:kern w:val="0"/>
      <w:szCs w:val="20"/>
      <w:lang w:val="en-US"/>
    </w:rPr>
  </w:style>
  <w:style w:type="paragraph" w:styleId="BodyText">
    <w:name w:val="Body Text"/>
    <w:link w:val="BodyTextChar"/>
    <w:rsid w:val="00FE2251"/>
    <w:pPr>
      <w:widowControl w:val="0"/>
      <w:pBdr>
        <w:top w:val="nil"/>
        <w:left w:val="nil"/>
        <w:bottom w:val="nil"/>
        <w:right w:val="nil"/>
        <w:between w:val="nil"/>
        <w:bar w:val="nil"/>
      </w:pBdr>
      <w:spacing w:after="0" w:line="240" w:lineRule="auto"/>
      <w:ind w:right="257"/>
      <w:jc w:val="both"/>
    </w:pPr>
    <w:rPr>
      <w:rFonts w:ascii="Times New Roman" w:eastAsia="Times New Roman" w:hAnsi="Times New Roman" w:cs="Times New Roman"/>
      <w:color w:val="000000"/>
      <w:kern w:val="0"/>
      <w:sz w:val="24"/>
      <w:szCs w:val="24"/>
      <w:u w:color="000000"/>
      <w:bdr w:val="nil"/>
      <w:lang w:val="en-US" w:eastAsia="en-IN"/>
    </w:rPr>
  </w:style>
  <w:style w:type="character" w:customStyle="1" w:styleId="BodyTextChar">
    <w:name w:val="Body Text Char"/>
    <w:basedOn w:val="DefaultParagraphFont"/>
    <w:link w:val="BodyText"/>
    <w:rsid w:val="00FE2251"/>
    <w:rPr>
      <w:rFonts w:ascii="Times New Roman" w:eastAsia="Times New Roman" w:hAnsi="Times New Roman" w:cs="Times New Roman"/>
      <w:color w:val="000000"/>
      <w:kern w:val="0"/>
      <w:sz w:val="24"/>
      <w:szCs w:val="24"/>
      <w:u w:color="000000"/>
      <w:bdr w:val="nil"/>
      <w:lang w:val="en-US" w:eastAsia="en-IN"/>
    </w:rPr>
  </w:style>
  <w:style w:type="character" w:customStyle="1" w:styleId="NoneA">
    <w:name w:val="None A"/>
    <w:rsid w:val="00FE2251"/>
    <w:rPr>
      <w:lang w:val="en-US"/>
    </w:rPr>
  </w:style>
  <w:style w:type="character" w:styleId="Hyperlink">
    <w:name w:val="Hyperlink"/>
    <w:basedOn w:val="DefaultParagraphFont"/>
    <w:uiPriority w:val="99"/>
    <w:unhideWhenUsed/>
    <w:rsid w:val="00FE2251"/>
    <w:rPr>
      <w:color w:val="0563C1" w:themeColor="hyperlink"/>
      <w:u w:val="single"/>
    </w:rPr>
  </w:style>
  <w:style w:type="character" w:styleId="UnresolvedMention">
    <w:name w:val="Unresolved Mention"/>
    <w:basedOn w:val="DefaultParagraphFont"/>
    <w:uiPriority w:val="99"/>
    <w:semiHidden/>
    <w:unhideWhenUsed/>
    <w:rsid w:val="007307BD"/>
    <w:rPr>
      <w:color w:val="605E5C"/>
      <w:shd w:val="clear" w:color="auto" w:fill="E1DFDD"/>
    </w:rPr>
  </w:style>
  <w:style w:type="paragraph" w:styleId="Header">
    <w:name w:val="header"/>
    <w:basedOn w:val="Normal"/>
    <w:link w:val="HeaderChar"/>
    <w:uiPriority w:val="99"/>
    <w:unhideWhenUsed/>
    <w:rsid w:val="005348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8DB"/>
  </w:style>
  <w:style w:type="paragraph" w:styleId="Footer">
    <w:name w:val="footer"/>
    <w:basedOn w:val="Normal"/>
    <w:link w:val="FooterChar"/>
    <w:uiPriority w:val="99"/>
    <w:unhideWhenUsed/>
    <w:rsid w:val="005348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8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01509">
      <w:bodyDiv w:val="1"/>
      <w:marLeft w:val="0"/>
      <w:marRight w:val="0"/>
      <w:marTop w:val="0"/>
      <w:marBottom w:val="0"/>
      <w:divBdr>
        <w:top w:val="none" w:sz="0" w:space="0" w:color="auto"/>
        <w:left w:val="none" w:sz="0" w:space="0" w:color="auto"/>
        <w:bottom w:val="none" w:sz="0" w:space="0" w:color="auto"/>
        <w:right w:val="none" w:sz="0" w:space="0" w:color="auto"/>
      </w:divBdr>
    </w:div>
    <w:div w:id="156196687">
      <w:bodyDiv w:val="1"/>
      <w:marLeft w:val="0"/>
      <w:marRight w:val="0"/>
      <w:marTop w:val="0"/>
      <w:marBottom w:val="0"/>
      <w:divBdr>
        <w:top w:val="none" w:sz="0" w:space="0" w:color="auto"/>
        <w:left w:val="none" w:sz="0" w:space="0" w:color="auto"/>
        <w:bottom w:val="none" w:sz="0" w:space="0" w:color="auto"/>
        <w:right w:val="none" w:sz="0" w:space="0" w:color="auto"/>
      </w:divBdr>
    </w:div>
    <w:div w:id="203710720">
      <w:bodyDiv w:val="1"/>
      <w:marLeft w:val="0"/>
      <w:marRight w:val="0"/>
      <w:marTop w:val="0"/>
      <w:marBottom w:val="0"/>
      <w:divBdr>
        <w:top w:val="none" w:sz="0" w:space="0" w:color="auto"/>
        <w:left w:val="none" w:sz="0" w:space="0" w:color="auto"/>
        <w:bottom w:val="none" w:sz="0" w:space="0" w:color="auto"/>
        <w:right w:val="none" w:sz="0" w:space="0" w:color="auto"/>
      </w:divBdr>
    </w:div>
    <w:div w:id="397899216">
      <w:bodyDiv w:val="1"/>
      <w:marLeft w:val="0"/>
      <w:marRight w:val="0"/>
      <w:marTop w:val="0"/>
      <w:marBottom w:val="0"/>
      <w:divBdr>
        <w:top w:val="none" w:sz="0" w:space="0" w:color="auto"/>
        <w:left w:val="none" w:sz="0" w:space="0" w:color="auto"/>
        <w:bottom w:val="none" w:sz="0" w:space="0" w:color="auto"/>
        <w:right w:val="none" w:sz="0" w:space="0" w:color="auto"/>
      </w:divBdr>
    </w:div>
    <w:div w:id="679963713">
      <w:bodyDiv w:val="1"/>
      <w:marLeft w:val="0"/>
      <w:marRight w:val="0"/>
      <w:marTop w:val="0"/>
      <w:marBottom w:val="0"/>
      <w:divBdr>
        <w:top w:val="none" w:sz="0" w:space="0" w:color="auto"/>
        <w:left w:val="none" w:sz="0" w:space="0" w:color="auto"/>
        <w:bottom w:val="none" w:sz="0" w:space="0" w:color="auto"/>
        <w:right w:val="none" w:sz="0" w:space="0" w:color="auto"/>
      </w:divBdr>
    </w:div>
    <w:div w:id="760639370">
      <w:bodyDiv w:val="1"/>
      <w:marLeft w:val="0"/>
      <w:marRight w:val="0"/>
      <w:marTop w:val="0"/>
      <w:marBottom w:val="0"/>
      <w:divBdr>
        <w:top w:val="none" w:sz="0" w:space="0" w:color="auto"/>
        <w:left w:val="none" w:sz="0" w:space="0" w:color="auto"/>
        <w:bottom w:val="none" w:sz="0" w:space="0" w:color="auto"/>
        <w:right w:val="none" w:sz="0" w:space="0" w:color="auto"/>
      </w:divBdr>
    </w:div>
    <w:div w:id="761799758">
      <w:bodyDiv w:val="1"/>
      <w:marLeft w:val="0"/>
      <w:marRight w:val="0"/>
      <w:marTop w:val="0"/>
      <w:marBottom w:val="0"/>
      <w:divBdr>
        <w:top w:val="none" w:sz="0" w:space="0" w:color="auto"/>
        <w:left w:val="none" w:sz="0" w:space="0" w:color="auto"/>
        <w:bottom w:val="none" w:sz="0" w:space="0" w:color="auto"/>
        <w:right w:val="none" w:sz="0" w:space="0" w:color="auto"/>
      </w:divBdr>
    </w:div>
    <w:div w:id="905652905">
      <w:bodyDiv w:val="1"/>
      <w:marLeft w:val="0"/>
      <w:marRight w:val="0"/>
      <w:marTop w:val="0"/>
      <w:marBottom w:val="0"/>
      <w:divBdr>
        <w:top w:val="none" w:sz="0" w:space="0" w:color="auto"/>
        <w:left w:val="none" w:sz="0" w:space="0" w:color="auto"/>
        <w:bottom w:val="none" w:sz="0" w:space="0" w:color="auto"/>
        <w:right w:val="none" w:sz="0" w:space="0" w:color="auto"/>
      </w:divBdr>
    </w:div>
    <w:div w:id="1007440843">
      <w:bodyDiv w:val="1"/>
      <w:marLeft w:val="0"/>
      <w:marRight w:val="0"/>
      <w:marTop w:val="0"/>
      <w:marBottom w:val="0"/>
      <w:divBdr>
        <w:top w:val="none" w:sz="0" w:space="0" w:color="auto"/>
        <w:left w:val="none" w:sz="0" w:space="0" w:color="auto"/>
        <w:bottom w:val="none" w:sz="0" w:space="0" w:color="auto"/>
        <w:right w:val="none" w:sz="0" w:space="0" w:color="auto"/>
      </w:divBdr>
    </w:div>
    <w:div w:id="1015957253">
      <w:bodyDiv w:val="1"/>
      <w:marLeft w:val="0"/>
      <w:marRight w:val="0"/>
      <w:marTop w:val="0"/>
      <w:marBottom w:val="0"/>
      <w:divBdr>
        <w:top w:val="none" w:sz="0" w:space="0" w:color="auto"/>
        <w:left w:val="none" w:sz="0" w:space="0" w:color="auto"/>
        <w:bottom w:val="none" w:sz="0" w:space="0" w:color="auto"/>
        <w:right w:val="none" w:sz="0" w:space="0" w:color="auto"/>
      </w:divBdr>
    </w:div>
    <w:div w:id="1153638715">
      <w:bodyDiv w:val="1"/>
      <w:marLeft w:val="0"/>
      <w:marRight w:val="0"/>
      <w:marTop w:val="0"/>
      <w:marBottom w:val="0"/>
      <w:divBdr>
        <w:top w:val="none" w:sz="0" w:space="0" w:color="auto"/>
        <w:left w:val="none" w:sz="0" w:space="0" w:color="auto"/>
        <w:bottom w:val="none" w:sz="0" w:space="0" w:color="auto"/>
        <w:right w:val="none" w:sz="0" w:space="0" w:color="auto"/>
      </w:divBdr>
    </w:div>
    <w:div w:id="1184201428">
      <w:bodyDiv w:val="1"/>
      <w:marLeft w:val="0"/>
      <w:marRight w:val="0"/>
      <w:marTop w:val="0"/>
      <w:marBottom w:val="0"/>
      <w:divBdr>
        <w:top w:val="none" w:sz="0" w:space="0" w:color="auto"/>
        <w:left w:val="none" w:sz="0" w:space="0" w:color="auto"/>
        <w:bottom w:val="none" w:sz="0" w:space="0" w:color="auto"/>
        <w:right w:val="none" w:sz="0" w:space="0" w:color="auto"/>
      </w:divBdr>
    </w:div>
    <w:div w:id="1214270886">
      <w:bodyDiv w:val="1"/>
      <w:marLeft w:val="0"/>
      <w:marRight w:val="0"/>
      <w:marTop w:val="0"/>
      <w:marBottom w:val="0"/>
      <w:divBdr>
        <w:top w:val="none" w:sz="0" w:space="0" w:color="auto"/>
        <w:left w:val="none" w:sz="0" w:space="0" w:color="auto"/>
        <w:bottom w:val="none" w:sz="0" w:space="0" w:color="auto"/>
        <w:right w:val="none" w:sz="0" w:space="0" w:color="auto"/>
      </w:divBdr>
      <w:divsChild>
        <w:div w:id="1478256352">
          <w:marLeft w:val="0"/>
          <w:marRight w:val="0"/>
          <w:marTop w:val="0"/>
          <w:marBottom w:val="0"/>
          <w:divBdr>
            <w:top w:val="none" w:sz="0" w:space="0" w:color="auto"/>
            <w:left w:val="none" w:sz="0" w:space="0" w:color="auto"/>
            <w:bottom w:val="none" w:sz="0" w:space="0" w:color="auto"/>
            <w:right w:val="none" w:sz="0" w:space="0" w:color="auto"/>
          </w:divBdr>
        </w:div>
      </w:divsChild>
    </w:div>
    <w:div w:id="1822305810">
      <w:bodyDiv w:val="1"/>
      <w:marLeft w:val="0"/>
      <w:marRight w:val="0"/>
      <w:marTop w:val="0"/>
      <w:marBottom w:val="0"/>
      <w:divBdr>
        <w:top w:val="none" w:sz="0" w:space="0" w:color="auto"/>
        <w:left w:val="none" w:sz="0" w:space="0" w:color="auto"/>
        <w:bottom w:val="none" w:sz="0" w:space="0" w:color="auto"/>
        <w:right w:val="none" w:sz="0" w:space="0" w:color="auto"/>
      </w:divBdr>
    </w:div>
    <w:div w:id="1832133684">
      <w:bodyDiv w:val="1"/>
      <w:marLeft w:val="0"/>
      <w:marRight w:val="0"/>
      <w:marTop w:val="0"/>
      <w:marBottom w:val="0"/>
      <w:divBdr>
        <w:top w:val="none" w:sz="0" w:space="0" w:color="auto"/>
        <w:left w:val="none" w:sz="0" w:space="0" w:color="auto"/>
        <w:bottom w:val="none" w:sz="0" w:space="0" w:color="auto"/>
        <w:right w:val="none" w:sz="0" w:space="0" w:color="auto"/>
      </w:divBdr>
    </w:div>
    <w:div w:id="1912543937">
      <w:bodyDiv w:val="1"/>
      <w:marLeft w:val="0"/>
      <w:marRight w:val="0"/>
      <w:marTop w:val="0"/>
      <w:marBottom w:val="0"/>
      <w:divBdr>
        <w:top w:val="none" w:sz="0" w:space="0" w:color="auto"/>
        <w:left w:val="none" w:sz="0" w:space="0" w:color="auto"/>
        <w:bottom w:val="none" w:sz="0" w:space="0" w:color="auto"/>
        <w:right w:val="none" w:sz="0" w:space="0" w:color="auto"/>
      </w:divBdr>
      <w:divsChild>
        <w:div w:id="1252197186">
          <w:marLeft w:val="0"/>
          <w:marRight w:val="0"/>
          <w:marTop w:val="0"/>
          <w:marBottom w:val="0"/>
          <w:divBdr>
            <w:top w:val="none" w:sz="0" w:space="0" w:color="auto"/>
            <w:left w:val="none" w:sz="0" w:space="0" w:color="auto"/>
            <w:bottom w:val="none" w:sz="0" w:space="0" w:color="auto"/>
            <w:right w:val="none" w:sz="0" w:space="0" w:color="auto"/>
          </w:divBdr>
        </w:div>
      </w:divsChild>
    </w:div>
    <w:div w:id="213825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BA539-AF69-42F8-A9DF-F105CC799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23</Pages>
  <Words>30992</Words>
  <Characters>176661</Characters>
  <Application>Microsoft Office Word</Application>
  <DocSecurity>0</DocSecurity>
  <Lines>1472</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45</cp:revision>
  <dcterms:created xsi:type="dcterms:W3CDTF">2025-05-27T17:30:00Z</dcterms:created>
  <dcterms:modified xsi:type="dcterms:W3CDTF">2025-06-06T11:19:00Z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952525c2-1816-480e-b873-6bf0ca34e8e9</vt:lpwstr>
  </property>
  <property fmtid="{D5CDD505-2E9C-101B-9397-08002B2CF9AE}" pid="3" name="ZOTERO_PREF_1">
    <vt:lpwstr>&lt;data data-version="3" zotero-version="7.0.15"&gt;&lt;session id="1bYYoRFa"/&gt;&lt;style id="http://www.zotero.org/styles/apa" locale="en-US" hasBibliography="1" bibliographyStyleHasBeenSet="1"/&gt;&lt;prefs&gt;&lt;pref name="fieldType" value="Field"/&gt;&lt;/prefs&gt;&lt;/data&gt;</vt:lpwstr>
  </property>
</Properties>
</file>