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9CAC" w14:textId="77777777" w:rsidR="00046E0C" w:rsidRDefault="00046E0C" w:rsidP="00046E0C">
      <w:pPr>
        <w:spacing w:line="360" w:lineRule="auto"/>
        <w:ind w:left="708" w:firstLine="708"/>
        <w:jc w:val="both"/>
        <w:rPr>
          <w:rFonts w:ascii="Times New Roman" w:hAnsi="Times New Roman" w:cs="Times New Roman"/>
          <w:b/>
          <w:sz w:val="28"/>
          <w:szCs w:val="28"/>
        </w:rPr>
      </w:pPr>
      <w:r w:rsidRPr="00046E0C">
        <w:rPr>
          <w:rFonts w:ascii="Times New Roman" w:hAnsi="Times New Roman" w:cs="Times New Roman"/>
          <w:b/>
          <w:sz w:val="28"/>
          <w:szCs w:val="28"/>
        </w:rPr>
        <w:t>HPV infections among women in the community</w:t>
      </w:r>
    </w:p>
    <w:p w14:paraId="141C825E" w14:textId="77777777" w:rsidR="003D4CFB" w:rsidRDefault="003D4CFB" w:rsidP="0012147C">
      <w:pPr>
        <w:spacing w:line="360" w:lineRule="auto"/>
        <w:jc w:val="both"/>
        <w:rPr>
          <w:rFonts w:ascii="Times New Roman" w:hAnsi="Times New Roman" w:cs="Times New Roman"/>
          <w:b/>
          <w:sz w:val="28"/>
          <w:szCs w:val="28"/>
        </w:rPr>
      </w:pPr>
    </w:p>
    <w:p w14:paraId="4F34D2C2" w14:textId="0C2C21E2" w:rsidR="0012147C" w:rsidRPr="00046E0C" w:rsidRDefault="0012147C" w:rsidP="0012147C">
      <w:pPr>
        <w:spacing w:line="360" w:lineRule="auto"/>
        <w:jc w:val="both"/>
        <w:rPr>
          <w:rFonts w:ascii="Times New Roman" w:hAnsi="Times New Roman" w:cs="Times New Roman"/>
          <w:b/>
          <w:sz w:val="28"/>
          <w:szCs w:val="28"/>
        </w:rPr>
      </w:pPr>
      <w:r w:rsidRPr="00046E0C">
        <w:rPr>
          <w:rFonts w:ascii="Times New Roman" w:hAnsi="Times New Roman" w:cs="Times New Roman"/>
          <w:b/>
          <w:sz w:val="28"/>
          <w:szCs w:val="28"/>
        </w:rPr>
        <w:t>Abstract</w:t>
      </w:r>
    </w:p>
    <w:p w14:paraId="388639FD" w14:textId="77777777" w:rsidR="0012147C" w:rsidRPr="0012147C" w:rsidRDefault="0012147C" w:rsidP="0012147C">
      <w:pPr>
        <w:spacing w:line="360" w:lineRule="auto"/>
        <w:jc w:val="both"/>
        <w:rPr>
          <w:rFonts w:ascii="Times New Roman" w:hAnsi="Times New Roman" w:cs="Times New Roman"/>
          <w:sz w:val="28"/>
          <w:szCs w:val="28"/>
        </w:rPr>
      </w:pPr>
      <w:r w:rsidRPr="0012147C">
        <w:rPr>
          <w:rFonts w:ascii="Times New Roman" w:hAnsi="Times New Roman" w:cs="Times New Roman"/>
          <w:sz w:val="28"/>
          <w:szCs w:val="28"/>
        </w:rPr>
        <w:t>This was a cross-sectional, descriptive, analytical study to determine the prevalence and risk factors for HPV infection in rural areas. A total of 62 women with a median age of 37 years were included, with a higher proportion of married women (96.8%). Genotypic detection was performed by isothermal amplification using the AmpFire HPV screening 16/18/HR kit. A prevalence of 27.4% was found, with a predominance of HPV16 genotype. According to marital status, HPV infections were more frequent in married women than in widows, with a statistically significant difference (p=0.019).</w:t>
      </w:r>
    </w:p>
    <w:p w14:paraId="106B6CC4" w14:textId="77777777" w:rsidR="0012147C" w:rsidRPr="0012147C" w:rsidRDefault="0012147C" w:rsidP="0012147C">
      <w:pPr>
        <w:spacing w:line="360" w:lineRule="auto"/>
        <w:jc w:val="both"/>
        <w:rPr>
          <w:rFonts w:ascii="Times New Roman" w:hAnsi="Times New Roman" w:cs="Times New Roman"/>
          <w:sz w:val="28"/>
          <w:szCs w:val="28"/>
        </w:rPr>
      </w:pPr>
      <w:r w:rsidRPr="00046E0C">
        <w:rPr>
          <w:rFonts w:ascii="Times New Roman" w:hAnsi="Times New Roman" w:cs="Times New Roman"/>
          <w:b/>
          <w:sz w:val="28"/>
          <w:szCs w:val="28"/>
        </w:rPr>
        <w:t>Key words:</w:t>
      </w:r>
      <w:r w:rsidRPr="0012147C">
        <w:rPr>
          <w:rFonts w:ascii="Times New Roman" w:hAnsi="Times New Roman" w:cs="Times New Roman"/>
          <w:sz w:val="28"/>
          <w:szCs w:val="28"/>
        </w:rPr>
        <w:t xml:space="preserve"> infection, HPV, community</w:t>
      </w:r>
    </w:p>
    <w:p w14:paraId="0438441E" w14:textId="77777777" w:rsidR="0012147C" w:rsidRDefault="0012147C" w:rsidP="0012147C">
      <w:pPr>
        <w:spacing w:line="360" w:lineRule="auto"/>
        <w:jc w:val="both"/>
        <w:rPr>
          <w:rFonts w:ascii="Times New Roman" w:hAnsi="Times New Roman" w:cs="Times New Roman"/>
          <w:sz w:val="28"/>
          <w:szCs w:val="28"/>
        </w:rPr>
      </w:pPr>
    </w:p>
    <w:p w14:paraId="7D99ED1D" w14:textId="77777777" w:rsidR="00DA65F0" w:rsidRPr="0012147C" w:rsidRDefault="00DA65F0" w:rsidP="0012147C">
      <w:pPr>
        <w:spacing w:line="360" w:lineRule="auto"/>
        <w:jc w:val="both"/>
        <w:rPr>
          <w:rFonts w:ascii="Times New Roman" w:hAnsi="Times New Roman" w:cs="Times New Roman"/>
          <w:sz w:val="28"/>
          <w:szCs w:val="28"/>
        </w:rPr>
      </w:pPr>
    </w:p>
    <w:p w14:paraId="152A76E9" w14:textId="77777777" w:rsidR="0012147C" w:rsidRPr="0012147C" w:rsidRDefault="0012147C" w:rsidP="0012147C">
      <w:pPr>
        <w:spacing w:line="360" w:lineRule="auto"/>
        <w:jc w:val="both"/>
        <w:rPr>
          <w:rFonts w:ascii="Times New Roman" w:hAnsi="Times New Roman" w:cs="Times New Roman"/>
          <w:b/>
          <w:sz w:val="28"/>
          <w:szCs w:val="28"/>
        </w:rPr>
      </w:pPr>
      <w:r w:rsidRPr="0012147C">
        <w:rPr>
          <w:rFonts w:ascii="Times New Roman" w:hAnsi="Times New Roman" w:cs="Times New Roman"/>
          <w:b/>
          <w:sz w:val="28"/>
          <w:szCs w:val="28"/>
        </w:rPr>
        <w:t>Introduction</w:t>
      </w:r>
    </w:p>
    <w:p w14:paraId="19208869" w14:textId="77777777" w:rsidR="0012147C" w:rsidRPr="0012147C" w:rsidRDefault="0012147C" w:rsidP="0012147C">
      <w:pPr>
        <w:spacing w:line="360" w:lineRule="auto"/>
        <w:jc w:val="both"/>
        <w:rPr>
          <w:rFonts w:ascii="Times New Roman" w:hAnsi="Times New Roman" w:cs="Times New Roman"/>
          <w:sz w:val="28"/>
          <w:szCs w:val="28"/>
        </w:rPr>
      </w:pPr>
      <w:r w:rsidRPr="0012147C">
        <w:rPr>
          <w:rFonts w:ascii="Times New Roman" w:hAnsi="Times New Roman" w:cs="Times New Roman"/>
          <w:sz w:val="28"/>
          <w:szCs w:val="28"/>
        </w:rPr>
        <w:t xml:space="preserve">Human papillomaviruses (HPV) are small, non-enveloped, circular, double-stranded DNA viruses belonging to the Papillomaviridae family. There are over 200 HPV genotypes (2). They infect the stratified epithelium, and can thus cause a number of potentially fatal diseases (1). They are sexually transmitted agents (STIs) with a formidable negative impact on social life. Indeed, according to the WHO, HPV infection is one of the most widespread and contagious STIs in the world, and is the leading cause of cervical cancer (3). By 2022, HPV was the fourth leading cause of cancer death in women (4). In sub-Saharan Africa, HPV prevalence is considerable, with an average frequency of 24% (5). </w:t>
      </w:r>
    </w:p>
    <w:p w14:paraId="101DEDBA" w14:textId="77777777" w:rsidR="003409BE" w:rsidRDefault="0012147C" w:rsidP="0012147C">
      <w:pPr>
        <w:spacing w:line="360" w:lineRule="auto"/>
        <w:jc w:val="both"/>
        <w:rPr>
          <w:rFonts w:ascii="Times New Roman" w:hAnsi="Times New Roman" w:cs="Times New Roman"/>
          <w:sz w:val="28"/>
          <w:szCs w:val="28"/>
        </w:rPr>
      </w:pPr>
      <w:r w:rsidRPr="0012147C">
        <w:rPr>
          <w:rFonts w:ascii="Times New Roman" w:hAnsi="Times New Roman" w:cs="Times New Roman"/>
          <w:sz w:val="28"/>
          <w:szCs w:val="28"/>
        </w:rPr>
        <w:lastRenderedPageBreak/>
        <w:t>In Senegal, with a prevalence of 12.6%, cervical cancer is the leading gynaecological cancer and the leading cause of cancer-related death in women aged 15-44 (6),(7).</w:t>
      </w:r>
    </w:p>
    <w:p w14:paraId="6735BA48" w14:textId="77777777" w:rsidR="00FA0017" w:rsidRPr="00FA0017" w:rsidRDefault="00FA0017" w:rsidP="00FA0017">
      <w:pPr>
        <w:spacing w:line="360" w:lineRule="auto"/>
        <w:jc w:val="both"/>
        <w:rPr>
          <w:rFonts w:ascii="Times New Roman" w:hAnsi="Times New Roman" w:cs="Times New Roman"/>
          <w:sz w:val="28"/>
          <w:szCs w:val="28"/>
        </w:rPr>
      </w:pPr>
      <w:r w:rsidRPr="00FA0017">
        <w:rPr>
          <w:rFonts w:ascii="Times New Roman" w:hAnsi="Times New Roman" w:cs="Times New Roman"/>
          <w:sz w:val="28"/>
          <w:szCs w:val="28"/>
        </w:rPr>
        <w:t xml:space="preserve">With a view to accelerating the elimination of cervical cancer, the WHO has set itself the following objectives : </w:t>
      </w:r>
    </w:p>
    <w:p w14:paraId="13384176" w14:textId="77777777" w:rsidR="00FA0017" w:rsidRPr="00FA0017" w:rsidRDefault="00FA0017" w:rsidP="00FA0017">
      <w:pPr>
        <w:spacing w:line="360" w:lineRule="auto"/>
        <w:ind w:left="708"/>
        <w:jc w:val="both"/>
        <w:rPr>
          <w:rFonts w:ascii="Times New Roman" w:hAnsi="Times New Roman" w:cs="Times New Roman"/>
          <w:sz w:val="28"/>
          <w:szCs w:val="28"/>
        </w:rPr>
      </w:pPr>
      <w:r w:rsidRPr="00FA0017">
        <w:rPr>
          <w:rFonts w:ascii="Times New Roman" w:hAnsi="Times New Roman" w:cs="Times New Roman"/>
          <w:sz w:val="28"/>
          <w:szCs w:val="28"/>
        </w:rPr>
        <w:t xml:space="preserve">- Vaccinate 90% of girls against HPV before the age of 15 ; </w:t>
      </w:r>
    </w:p>
    <w:p w14:paraId="70341585" w14:textId="77777777" w:rsidR="00FA0017" w:rsidRPr="00FA0017" w:rsidRDefault="00FA0017" w:rsidP="00FA0017">
      <w:pPr>
        <w:spacing w:line="360" w:lineRule="auto"/>
        <w:ind w:left="708"/>
        <w:jc w:val="both"/>
        <w:rPr>
          <w:rFonts w:ascii="Times New Roman" w:hAnsi="Times New Roman" w:cs="Times New Roman"/>
          <w:sz w:val="28"/>
          <w:szCs w:val="28"/>
        </w:rPr>
      </w:pPr>
      <w:r w:rsidRPr="00FA0017">
        <w:rPr>
          <w:rFonts w:ascii="Times New Roman" w:hAnsi="Times New Roman" w:cs="Times New Roman"/>
          <w:sz w:val="28"/>
          <w:szCs w:val="28"/>
        </w:rPr>
        <w:t xml:space="preserve">- screen 70% of women with a high-performance test before the age of 35, and again before the age of 45 ; </w:t>
      </w:r>
    </w:p>
    <w:p w14:paraId="192A7E5D" w14:textId="77777777" w:rsidR="00FA0017" w:rsidRPr="00FA0017" w:rsidRDefault="00FA0017" w:rsidP="00FA0017">
      <w:pPr>
        <w:spacing w:line="360" w:lineRule="auto"/>
        <w:ind w:left="708"/>
        <w:jc w:val="both"/>
        <w:rPr>
          <w:rFonts w:ascii="Times New Roman" w:hAnsi="Times New Roman" w:cs="Times New Roman"/>
          <w:sz w:val="28"/>
          <w:szCs w:val="28"/>
        </w:rPr>
      </w:pPr>
      <w:r w:rsidRPr="00FA0017">
        <w:rPr>
          <w:rFonts w:ascii="Times New Roman" w:hAnsi="Times New Roman" w:cs="Times New Roman"/>
          <w:sz w:val="28"/>
          <w:szCs w:val="28"/>
        </w:rPr>
        <w:t>- and to treat 90% of women diagnosed with cervical disease (8).</w:t>
      </w:r>
    </w:p>
    <w:p w14:paraId="0E3E70C2" w14:textId="77777777" w:rsidR="00FA0017" w:rsidRDefault="00FA0017" w:rsidP="0012147C">
      <w:pPr>
        <w:spacing w:line="360" w:lineRule="auto"/>
        <w:jc w:val="both"/>
        <w:rPr>
          <w:rFonts w:ascii="Times New Roman" w:hAnsi="Times New Roman" w:cs="Times New Roman"/>
          <w:sz w:val="28"/>
          <w:szCs w:val="28"/>
        </w:rPr>
      </w:pPr>
      <w:r w:rsidRPr="00FA0017">
        <w:rPr>
          <w:rFonts w:ascii="Times New Roman" w:hAnsi="Times New Roman" w:cs="Times New Roman"/>
          <w:sz w:val="28"/>
          <w:szCs w:val="28"/>
        </w:rPr>
        <w:t>However, despite vaccine efficacy, there has been a delay in reaching targets (9). Alongside vaccination, which provides primary prevention, early detection of the disease can ensure secondary prevention through screening and treatment of precancerous lesions to halt disease progression (10). It is in this context that this study was carried out, with a view to providing rural areas with access to a screening opportunity. The study also aimed to determine the prevalence and risk factors for HPV infection.</w:t>
      </w:r>
    </w:p>
    <w:p w14:paraId="0C787415" w14:textId="77777777" w:rsidR="00FA0017" w:rsidRDefault="00FA0017" w:rsidP="00FA0017">
      <w:pPr>
        <w:spacing w:line="360" w:lineRule="auto"/>
        <w:rPr>
          <w:rFonts w:ascii="Times New Roman" w:hAnsi="Times New Roman" w:cs="Times New Roman"/>
          <w:sz w:val="28"/>
          <w:szCs w:val="28"/>
        </w:rPr>
      </w:pPr>
    </w:p>
    <w:p w14:paraId="040A068D" w14:textId="77777777" w:rsidR="00FA0017" w:rsidRPr="00FA0017" w:rsidRDefault="00FA0017" w:rsidP="00FA0017">
      <w:pPr>
        <w:spacing w:line="360" w:lineRule="auto"/>
        <w:rPr>
          <w:rFonts w:ascii="Times New Roman" w:hAnsi="Times New Roman" w:cs="Times New Roman"/>
          <w:b/>
          <w:sz w:val="28"/>
          <w:szCs w:val="28"/>
        </w:rPr>
      </w:pPr>
      <w:r w:rsidRPr="00FA0017">
        <w:rPr>
          <w:rFonts w:ascii="Times New Roman" w:hAnsi="Times New Roman" w:cs="Times New Roman"/>
          <w:b/>
          <w:sz w:val="28"/>
          <w:szCs w:val="28"/>
        </w:rPr>
        <w:t>Patients and methods</w:t>
      </w:r>
    </w:p>
    <w:p w14:paraId="0FA9F630" w14:textId="77777777" w:rsidR="00FA0017" w:rsidRPr="00A2238E" w:rsidRDefault="00FA0017" w:rsidP="00FA0017">
      <w:pPr>
        <w:spacing w:line="360" w:lineRule="auto"/>
        <w:ind w:firstLine="708"/>
        <w:rPr>
          <w:rFonts w:ascii="Times New Roman" w:hAnsi="Times New Roman" w:cs="Times New Roman"/>
          <w:b/>
          <w:sz w:val="28"/>
          <w:szCs w:val="28"/>
        </w:rPr>
      </w:pPr>
      <w:r w:rsidRPr="00A2238E">
        <w:rPr>
          <w:rFonts w:ascii="Times New Roman" w:hAnsi="Times New Roman" w:cs="Times New Roman"/>
          <w:b/>
          <w:sz w:val="28"/>
          <w:szCs w:val="28"/>
        </w:rPr>
        <w:t>o Type of study</w:t>
      </w:r>
    </w:p>
    <w:p w14:paraId="0656544D" w14:textId="77777777" w:rsidR="00FA0017" w:rsidRPr="00FA0017" w:rsidRDefault="00FA0017" w:rsidP="00FA0017">
      <w:pPr>
        <w:spacing w:line="360" w:lineRule="auto"/>
        <w:jc w:val="both"/>
        <w:rPr>
          <w:rFonts w:ascii="Times New Roman" w:hAnsi="Times New Roman" w:cs="Times New Roman"/>
          <w:sz w:val="28"/>
          <w:szCs w:val="28"/>
        </w:rPr>
      </w:pPr>
      <w:r w:rsidRPr="00FA0017">
        <w:rPr>
          <w:rFonts w:ascii="Times New Roman" w:hAnsi="Times New Roman" w:cs="Times New Roman"/>
          <w:sz w:val="28"/>
          <w:szCs w:val="28"/>
        </w:rPr>
        <w:t xml:space="preserve">This was a cross-sectional, descriptive, analytical study to determine the prevalence and risk factors for HPV infection.  </w:t>
      </w:r>
    </w:p>
    <w:p w14:paraId="38ECBEAD" w14:textId="77777777" w:rsidR="00FA0017" w:rsidRPr="00A2238E" w:rsidRDefault="00FA0017" w:rsidP="00FA0017">
      <w:pPr>
        <w:spacing w:line="360" w:lineRule="auto"/>
        <w:ind w:firstLine="708"/>
        <w:rPr>
          <w:rFonts w:ascii="Times New Roman" w:hAnsi="Times New Roman" w:cs="Times New Roman"/>
          <w:b/>
          <w:sz w:val="28"/>
          <w:szCs w:val="28"/>
        </w:rPr>
      </w:pPr>
      <w:r w:rsidRPr="00A2238E">
        <w:rPr>
          <w:rFonts w:ascii="Times New Roman" w:hAnsi="Times New Roman" w:cs="Times New Roman"/>
          <w:b/>
          <w:sz w:val="28"/>
          <w:szCs w:val="28"/>
        </w:rPr>
        <w:t>o Study setting</w:t>
      </w:r>
    </w:p>
    <w:p w14:paraId="6D5BCF3B" w14:textId="77777777" w:rsidR="00FA0017" w:rsidRPr="00FA0017" w:rsidRDefault="00FA0017" w:rsidP="00FA0017">
      <w:pPr>
        <w:spacing w:line="360" w:lineRule="auto"/>
        <w:rPr>
          <w:rFonts w:ascii="Times New Roman" w:hAnsi="Times New Roman" w:cs="Times New Roman"/>
          <w:sz w:val="28"/>
          <w:szCs w:val="28"/>
        </w:rPr>
      </w:pPr>
      <w:r w:rsidRPr="00FA0017">
        <w:rPr>
          <w:rFonts w:ascii="Times New Roman" w:hAnsi="Times New Roman" w:cs="Times New Roman"/>
          <w:sz w:val="28"/>
          <w:szCs w:val="28"/>
        </w:rPr>
        <w:t xml:space="preserve">The study was carried out in Koki, a village in the Louga region of northern Senegal, known for its Koranic teaching center. </w:t>
      </w:r>
    </w:p>
    <w:p w14:paraId="762A0936" w14:textId="77777777" w:rsidR="00FA0017" w:rsidRPr="00A2238E" w:rsidRDefault="00FA0017" w:rsidP="00FA0017">
      <w:pPr>
        <w:spacing w:line="360" w:lineRule="auto"/>
        <w:ind w:firstLine="708"/>
        <w:rPr>
          <w:rFonts w:ascii="Times New Roman" w:hAnsi="Times New Roman" w:cs="Times New Roman"/>
          <w:b/>
          <w:sz w:val="28"/>
          <w:szCs w:val="28"/>
        </w:rPr>
      </w:pPr>
      <w:r w:rsidRPr="00A2238E">
        <w:rPr>
          <w:rFonts w:ascii="Times New Roman" w:hAnsi="Times New Roman" w:cs="Times New Roman"/>
          <w:b/>
          <w:sz w:val="28"/>
          <w:szCs w:val="28"/>
        </w:rPr>
        <w:t>o Study period</w:t>
      </w:r>
    </w:p>
    <w:p w14:paraId="45B04358" w14:textId="77777777" w:rsidR="00FA0017" w:rsidRPr="00FA0017" w:rsidRDefault="00FA0017" w:rsidP="00FA0017">
      <w:pPr>
        <w:spacing w:line="360" w:lineRule="auto"/>
        <w:rPr>
          <w:rFonts w:ascii="Times New Roman" w:hAnsi="Times New Roman" w:cs="Times New Roman"/>
          <w:sz w:val="28"/>
          <w:szCs w:val="28"/>
        </w:rPr>
      </w:pPr>
      <w:r w:rsidRPr="00FA0017">
        <w:rPr>
          <w:rFonts w:ascii="Times New Roman" w:hAnsi="Times New Roman" w:cs="Times New Roman"/>
          <w:sz w:val="28"/>
          <w:szCs w:val="28"/>
        </w:rPr>
        <w:lastRenderedPageBreak/>
        <w:t>The study was carried out between October 19 and 20, 2024.</w:t>
      </w:r>
    </w:p>
    <w:p w14:paraId="16146202" w14:textId="77777777" w:rsidR="00FA0017" w:rsidRPr="00A2238E" w:rsidRDefault="00FA0017" w:rsidP="00FA0017">
      <w:pPr>
        <w:spacing w:line="360" w:lineRule="auto"/>
        <w:ind w:firstLine="708"/>
        <w:rPr>
          <w:rFonts w:ascii="Times New Roman" w:hAnsi="Times New Roman" w:cs="Times New Roman"/>
          <w:b/>
          <w:sz w:val="28"/>
          <w:szCs w:val="28"/>
        </w:rPr>
      </w:pPr>
      <w:r w:rsidRPr="00A2238E">
        <w:rPr>
          <w:rFonts w:ascii="Times New Roman" w:hAnsi="Times New Roman" w:cs="Times New Roman"/>
          <w:b/>
          <w:sz w:val="28"/>
          <w:szCs w:val="28"/>
        </w:rPr>
        <w:t>o Inclusion criteria</w:t>
      </w:r>
    </w:p>
    <w:p w14:paraId="2700B4CE" w14:textId="77777777" w:rsidR="0012147C" w:rsidRDefault="00FA0017" w:rsidP="00FA0017">
      <w:pPr>
        <w:spacing w:line="360" w:lineRule="auto"/>
        <w:rPr>
          <w:rFonts w:ascii="Times New Roman" w:hAnsi="Times New Roman" w:cs="Times New Roman"/>
          <w:sz w:val="28"/>
          <w:szCs w:val="28"/>
        </w:rPr>
      </w:pPr>
      <w:r w:rsidRPr="00FA0017">
        <w:rPr>
          <w:rFonts w:ascii="Times New Roman" w:hAnsi="Times New Roman" w:cs="Times New Roman"/>
          <w:sz w:val="28"/>
          <w:szCs w:val="28"/>
        </w:rPr>
        <w:t>All women aged at least 18 years were included in the study, following free and informed consent.</w:t>
      </w:r>
    </w:p>
    <w:p w14:paraId="612500A6" w14:textId="77777777" w:rsidR="00A2238E" w:rsidRPr="00A2238E" w:rsidRDefault="00A2238E" w:rsidP="00A2238E">
      <w:pPr>
        <w:spacing w:line="360" w:lineRule="auto"/>
        <w:rPr>
          <w:rFonts w:ascii="Times New Roman" w:hAnsi="Times New Roman" w:cs="Times New Roman"/>
          <w:b/>
          <w:sz w:val="28"/>
          <w:szCs w:val="28"/>
        </w:rPr>
      </w:pPr>
      <w:r w:rsidRPr="00A2238E">
        <w:rPr>
          <w:rFonts w:ascii="Times New Roman" w:hAnsi="Times New Roman" w:cs="Times New Roman"/>
          <w:b/>
          <w:sz w:val="28"/>
          <w:szCs w:val="28"/>
        </w:rPr>
        <w:t>o Methodology</w:t>
      </w:r>
    </w:p>
    <w:p w14:paraId="6396DAE3" w14:textId="77777777" w:rsidR="00A2238E" w:rsidRP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After enrolment, a questionnaire was administered to participants via Google Form to collect socio-demographic data and assess risk factors.</w:t>
      </w:r>
    </w:p>
    <w:p w14:paraId="2D581699" w14:textId="77777777" w:rsidR="00A2238E" w:rsidRP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Cervical secretion samples were then taken using cytobrushes to collect as many cells as possible. Samples were transported to the Saint-Louis regional laboratory, where HPV testing had been performed.</w:t>
      </w:r>
    </w:p>
    <w:p w14:paraId="2767C725" w14:textId="77777777" w:rsidR="00A2238E" w:rsidRP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Nucleic acid extraction and RTPCR were performed using the AmpFire HPV screening 16/18/HR kit.  This kit detects HPV 16, 18 and other high-risk genotypes (31, 33, 35, 39, 45, 51, 52, 56, 58, 59, 66, 68).</w:t>
      </w:r>
    </w:p>
    <w:p w14:paraId="534FAEEE" w14:textId="77777777" w:rsidR="00A2238E" w:rsidRP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Nucleic acid extraction was performed using the one-step process, which involved discharging the swab into 1 ml of pre-prepared lysis solution. Genotypes were detected by isothermal amplification.</w:t>
      </w:r>
    </w:p>
    <w:p w14:paraId="32F6CE28" w14:textId="77777777" w:rsidR="00A2238E" w:rsidRDefault="00A2238E" w:rsidP="00A419DB">
      <w:pPr>
        <w:spacing w:line="360" w:lineRule="auto"/>
        <w:jc w:val="both"/>
        <w:rPr>
          <w:rFonts w:ascii="Times New Roman" w:hAnsi="Times New Roman" w:cs="Times New Roman"/>
          <w:sz w:val="28"/>
          <w:szCs w:val="28"/>
        </w:rPr>
      </w:pPr>
      <w:r w:rsidRPr="00A2238E">
        <w:rPr>
          <w:rFonts w:ascii="Times New Roman" w:hAnsi="Times New Roman" w:cs="Times New Roman"/>
          <w:sz w:val="28"/>
          <w:szCs w:val="28"/>
        </w:rPr>
        <w:t>Data were analyzed using SPSS IBM version 25 software. The analysis began with a descriptive study of the population, followed by a search for risk factors using Fisher's exact test and Pearson's Ki2 test.</w:t>
      </w:r>
    </w:p>
    <w:p w14:paraId="414FAB60" w14:textId="77777777" w:rsidR="00A419DB" w:rsidRPr="00A419DB" w:rsidRDefault="00A419DB" w:rsidP="00A419DB">
      <w:pPr>
        <w:spacing w:line="360" w:lineRule="auto"/>
        <w:jc w:val="both"/>
        <w:rPr>
          <w:rFonts w:ascii="Times New Roman" w:hAnsi="Times New Roman" w:cs="Times New Roman"/>
          <w:b/>
          <w:sz w:val="28"/>
          <w:szCs w:val="28"/>
        </w:rPr>
      </w:pPr>
      <w:r w:rsidRPr="00A419DB">
        <w:rPr>
          <w:rFonts w:ascii="Times New Roman" w:hAnsi="Times New Roman" w:cs="Times New Roman"/>
          <w:b/>
          <w:sz w:val="28"/>
          <w:szCs w:val="28"/>
        </w:rPr>
        <w:t>Results</w:t>
      </w:r>
    </w:p>
    <w:p w14:paraId="286E495C" w14:textId="77777777" w:rsidR="00A419DB" w:rsidRPr="00A419DB" w:rsidRDefault="00A419DB" w:rsidP="00A419DB">
      <w:pPr>
        <w:spacing w:line="360" w:lineRule="auto"/>
        <w:jc w:val="both"/>
        <w:rPr>
          <w:rFonts w:ascii="Times New Roman" w:hAnsi="Times New Roman" w:cs="Times New Roman"/>
          <w:b/>
          <w:sz w:val="28"/>
          <w:szCs w:val="28"/>
        </w:rPr>
      </w:pPr>
      <w:r w:rsidRPr="00A419DB">
        <w:rPr>
          <w:rFonts w:ascii="Times New Roman" w:hAnsi="Times New Roman" w:cs="Times New Roman"/>
          <w:b/>
          <w:sz w:val="28"/>
          <w:szCs w:val="28"/>
        </w:rPr>
        <w:t>Sociodemographic characteristics</w:t>
      </w:r>
    </w:p>
    <w:p w14:paraId="2A010CD7" w14:textId="77777777" w:rsidR="00A419DB" w:rsidRDefault="00A419DB" w:rsidP="00A419DB">
      <w:pPr>
        <w:spacing w:line="360" w:lineRule="auto"/>
        <w:jc w:val="both"/>
        <w:rPr>
          <w:rFonts w:ascii="Times New Roman" w:hAnsi="Times New Roman" w:cs="Times New Roman"/>
          <w:sz w:val="28"/>
          <w:szCs w:val="28"/>
        </w:rPr>
      </w:pPr>
      <w:r w:rsidRPr="00A419DB">
        <w:rPr>
          <w:rFonts w:ascii="Times New Roman" w:hAnsi="Times New Roman" w:cs="Times New Roman"/>
          <w:sz w:val="28"/>
          <w:szCs w:val="28"/>
        </w:rPr>
        <w:t>A total of 62 women were included, with a median age of 37 years and extremes ranging from 18 to 78 years. The age groups [18 to 30] and [44 to 56] were the most represented, and married women were more numerous (n=60; 96.8%) (figures 1 and 2).</w:t>
      </w:r>
    </w:p>
    <w:p w14:paraId="05565359" w14:textId="77777777" w:rsidR="00A419DB" w:rsidRDefault="00A419DB" w:rsidP="00A419DB">
      <w:pPr>
        <w:spacing w:line="360" w:lineRule="auto"/>
        <w:jc w:val="center"/>
        <w:rPr>
          <w:rFonts w:ascii="Times New Roman" w:hAnsi="Times New Roman" w:cs="Times New Roman"/>
          <w:sz w:val="28"/>
          <w:szCs w:val="28"/>
        </w:rPr>
      </w:pPr>
      <w:r w:rsidRPr="00437F07">
        <w:rPr>
          <w:rFonts w:ascii="Times New Roman" w:hAnsi="Times New Roman" w:cs="Times New Roman"/>
          <w:noProof/>
          <w:sz w:val="28"/>
          <w:szCs w:val="28"/>
          <w:lang w:eastAsia="fr-FR"/>
        </w:rPr>
        <w:lastRenderedPageBreak/>
        <w:drawing>
          <wp:inline distT="0" distB="0" distL="0" distR="0" wp14:anchorId="7DD46085" wp14:editId="5787D8C8">
            <wp:extent cx="4800600" cy="3114675"/>
            <wp:effectExtent l="0" t="0" r="1270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C83C7F" w14:textId="77777777" w:rsidR="00A419DB" w:rsidRDefault="00A419DB" w:rsidP="00A419DB">
      <w:pPr>
        <w:spacing w:line="360" w:lineRule="auto"/>
        <w:jc w:val="center"/>
        <w:rPr>
          <w:rFonts w:ascii="Times New Roman" w:hAnsi="Times New Roman" w:cs="Times New Roman"/>
          <w:sz w:val="28"/>
          <w:szCs w:val="28"/>
        </w:rPr>
      </w:pPr>
      <w:r w:rsidRPr="00A419DB">
        <w:rPr>
          <w:rFonts w:ascii="Times New Roman" w:hAnsi="Times New Roman" w:cs="Times New Roman"/>
          <w:sz w:val="28"/>
          <w:szCs w:val="28"/>
        </w:rPr>
        <w:t xml:space="preserve">Figure </w:t>
      </w:r>
      <w:r w:rsidR="005A4875" w:rsidRPr="00A419DB">
        <w:rPr>
          <w:rFonts w:ascii="Times New Roman" w:hAnsi="Times New Roman" w:cs="Times New Roman"/>
          <w:sz w:val="28"/>
          <w:szCs w:val="28"/>
        </w:rPr>
        <w:t>1 :</w:t>
      </w:r>
      <w:r w:rsidRPr="00A419DB">
        <w:rPr>
          <w:rFonts w:ascii="Times New Roman" w:hAnsi="Times New Roman" w:cs="Times New Roman"/>
          <w:sz w:val="28"/>
          <w:szCs w:val="28"/>
        </w:rPr>
        <w:t xml:space="preserve"> Age distribution of patients</w:t>
      </w:r>
    </w:p>
    <w:p w14:paraId="2BC5B2B3" w14:textId="77777777" w:rsidR="00A419DB" w:rsidRDefault="00A419DB" w:rsidP="00A419DB">
      <w:pPr>
        <w:spacing w:line="360" w:lineRule="auto"/>
        <w:jc w:val="center"/>
        <w:rPr>
          <w:rFonts w:ascii="Times New Roman" w:hAnsi="Times New Roman" w:cs="Times New Roman"/>
          <w:sz w:val="28"/>
          <w:szCs w:val="28"/>
        </w:rPr>
      </w:pPr>
      <w:r w:rsidRPr="00437F07">
        <w:rPr>
          <w:noProof/>
          <w:lang w:eastAsia="fr-FR"/>
        </w:rPr>
        <w:drawing>
          <wp:inline distT="0" distB="0" distL="0" distR="0" wp14:anchorId="11946446" wp14:editId="04D78F53">
            <wp:extent cx="3476625" cy="2743200"/>
            <wp:effectExtent l="0" t="0" r="952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653958" w14:textId="77777777" w:rsidR="00A419DB" w:rsidRPr="00A419DB" w:rsidRDefault="00A419DB" w:rsidP="00A419DB">
      <w:pPr>
        <w:spacing w:line="360" w:lineRule="auto"/>
        <w:jc w:val="center"/>
        <w:rPr>
          <w:rFonts w:ascii="Times New Roman" w:hAnsi="Times New Roman" w:cs="Times New Roman"/>
          <w:sz w:val="28"/>
          <w:szCs w:val="28"/>
        </w:rPr>
      </w:pPr>
      <w:r w:rsidRPr="00A419DB">
        <w:rPr>
          <w:rFonts w:ascii="Times New Roman" w:hAnsi="Times New Roman" w:cs="Times New Roman"/>
          <w:sz w:val="28"/>
          <w:szCs w:val="28"/>
        </w:rPr>
        <w:t>Figure 2: Distribution of patients by marital status</w:t>
      </w:r>
    </w:p>
    <w:p w14:paraId="7855C746" w14:textId="77777777" w:rsidR="00A419DB" w:rsidRPr="00A419DB" w:rsidRDefault="00A419DB" w:rsidP="00A419DB">
      <w:pPr>
        <w:spacing w:line="360" w:lineRule="auto"/>
        <w:rPr>
          <w:rFonts w:ascii="Times New Roman" w:hAnsi="Times New Roman" w:cs="Times New Roman"/>
          <w:b/>
          <w:sz w:val="28"/>
          <w:szCs w:val="28"/>
        </w:rPr>
      </w:pPr>
      <w:r w:rsidRPr="00A419DB">
        <w:rPr>
          <w:rFonts w:ascii="Times New Roman" w:hAnsi="Times New Roman" w:cs="Times New Roman"/>
          <w:b/>
          <w:sz w:val="28"/>
          <w:szCs w:val="28"/>
        </w:rPr>
        <w:t xml:space="preserve">Distribution of patients by level of education and profession </w:t>
      </w:r>
    </w:p>
    <w:p w14:paraId="0DCAAE43" w14:textId="77777777" w:rsidR="00A419DB" w:rsidRDefault="00A419DB" w:rsidP="00A419DB">
      <w:pPr>
        <w:spacing w:line="360" w:lineRule="auto"/>
        <w:rPr>
          <w:rFonts w:ascii="Times New Roman" w:hAnsi="Times New Roman" w:cs="Times New Roman"/>
          <w:sz w:val="28"/>
          <w:szCs w:val="28"/>
        </w:rPr>
      </w:pPr>
      <w:r w:rsidRPr="00A419DB">
        <w:rPr>
          <w:rFonts w:ascii="Times New Roman" w:hAnsi="Times New Roman" w:cs="Times New Roman"/>
          <w:sz w:val="28"/>
          <w:szCs w:val="28"/>
        </w:rPr>
        <w:t>The majority of the study population were housewives (56.5%; 35/62), and 37% (23/62) of the women were self-employed. Most of the women had no formal education (n= 35 (56.5%)) (Table 1).</w:t>
      </w:r>
    </w:p>
    <w:p w14:paraId="338BEE1F" w14:textId="77777777" w:rsidR="00A419DB" w:rsidRDefault="00A419DB" w:rsidP="00A419DB">
      <w:pPr>
        <w:spacing w:line="360" w:lineRule="auto"/>
        <w:rPr>
          <w:rFonts w:ascii="Times New Roman" w:hAnsi="Times New Roman" w:cs="Times New Roman"/>
          <w:sz w:val="28"/>
          <w:szCs w:val="28"/>
        </w:rPr>
      </w:pPr>
    </w:p>
    <w:p w14:paraId="1A3AF46E" w14:textId="1D1CE5EA" w:rsidR="00A419DB" w:rsidRDefault="00A419DB" w:rsidP="00A419DB">
      <w:pPr>
        <w:spacing w:line="360" w:lineRule="auto"/>
        <w:rPr>
          <w:rFonts w:ascii="Times New Roman" w:hAnsi="Times New Roman" w:cs="Times New Roman"/>
          <w:sz w:val="28"/>
          <w:szCs w:val="28"/>
        </w:rPr>
      </w:pPr>
      <w:r w:rsidRPr="00A419DB">
        <w:rPr>
          <w:rFonts w:ascii="Times New Roman" w:hAnsi="Times New Roman" w:cs="Times New Roman"/>
          <w:sz w:val="28"/>
          <w:szCs w:val="28"/>
        </w:rPr>
        <w:lastRenderedPageBreak/>
        <w:t xml:space="preserve">Table </w:t>
      </w:r>
      <w:r w:rsidR="00B97303">
        <w:rPr>
          <w:rFonts w:ascii="Times New Roman" w:hAnsi="Times New Roman" w:cs="Times New Roman"/>
          <w:sz w:val="28"/>
          <w:szCs w:val="28"/>
        </w:rPr>
        <w:t>1</w:t>
      </w:r>
      <w:r w:rsidRPr="00A419DB">
        <w:rPr>
          <w:rFonts w:ascii="Times New Roman" w:hAnsi="Times New Roman" w:cs="Times New Roman"/>
          <w:sz w:val="28"/>
          <w:szCs w:val="28"/>
        </w:rPr>
        <w:t xml:space="preserve"> : Distribution of participants by level of education and socio-economic status  </w:t>
      </w:r>
    </w:p>
    <w:tbl>
      <w:tblPr>
        <w:tblStyle w:val="ListTable6Colorful"/>
        <w:tblW w:w="9356" w:type="dxa"/>
        <w:tblLook w:val="04A0" w:firstRow="1" w:lastRow="0" w:firstColumn="1" w:lastColumn="0" w:noHBand="0" w:noVBand="1"/>
      </w:tblPr>
      <w:tblGrid>
        <w:gridCol w:w="3119"/>
        <w:gridCol w:w="1843"/>
        <w:gridCol w:w="2126"/>
        <w:gridCol w:w="2268"/>
      </w:tblGrid>
      <w:tr w:rsidR="00A419DB" w:rsidRPr="00A419DB" w14:paraId="18067BCA" w14:textId="77777777" w:rsidTr="00DA65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12" w:space="0" w:color="auto"/>
              <w:bottom w:val="single" w:sz="12" w:space="0" w:color="auto"/>
            </w:tcBorders>
            <w:shd w:val="clear" w:color="auto" w:fill="auto"/>
            <w:noWrap/>
            <w:hideMark/>
          </w:tcPr>
          <w:p w14:paraId="62BFD947"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 xml:space="preserve">  </w:t>
            </w:r>
          </w:p>
        </w:tc>
        <w:tc>
          <w:tcPr>
            <w:tcW w:w="1843" w:type="dxa"/>
            <w:tcBorders>
              <w:top w:val="single" w:sz="12" w:space="0" w:color="auto"/>
              <w:bottom w:val="single" w:sz="12" w:space="0" w:color="auto"/>
            </w:tcBorders>
            <w:shd w:val="clear" w:color="auto" w:fill="auto"/>
            <w:noWrap/>
            <w:hideMark/>
          </w:tcPr>
          <w:p w14:paraId="74FF7745" w14:textId="77777777" w:rsidR="00A419DB" w:rsidRPr="00A419DB" w:rsidRDefault="00A419DB" w:rsidP="00A419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 </w:t>
            </w:r>
          </w:p>
        </w:tc>
        <w:tc>
          <w:tcPr>
            <w:tcW w:w="2126" w:type="dxa"/>
            <w:tcBorders>
              <w:top w:val="single" w:sz="12" w:space="0" w:color="auto"/>
              <w:bottom w:val="single" w:sz="12" w:space="0" w:color="auto"/>
            </w:tcBorders>
            <w:shd w:val="clear" w:color="auto" w:fill="auto"/>
            <w:noWrap/>
            <w:hideMark/>
          </w:tcPr>
          <w:p w14:paraId="078F8349" w14:textId="77777777" w:rsidR="00A419DB" w:rsidRPr="00A419DB" w:rsidRDefault="00176CE2" w:rsidP="00A419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Number</w:t>
            </w:r>
          </w:p>
        </w:tc>
        <w:tc>
          <w:tcPr>
            <w:tcW w:w="2268" w:type="dxa"/>
            <w:tcBorders>
              <w:top w:val="single" w:sz="12" w:space="0" w:color="auto"/>
              <w:bottom w:val="single" w:sz="12" w:space="0" w:color="auto"/>
            </w:tcBorders>
            <w:shd w:val="clear" w:color="auto" w:fill="auto"/>
            <w:hideMark/>
          </w:tcPr>
          <w:p w14:paraId="27AC4CAE" w14:textId="77777777" w:rsidR="00A419DB" w:rsidRPr="00A419DB" w:rsidRDefault="00176CE2" w:rsidP="00A419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Percent</w:t>
            </w:r>
            <w:r w:rsidR="00A419DB" w:rsidRPr="00A419DB">
              <w:rPr>
                <w:rFonts w:ascii="Times New Roman" w:eastAsia="Times New Roman" w:hAnsi="Times New Roman" w:cs="Times New Roman"/>
                <w:sz w:val="28"/>
                <w:szCs w:val="28"/>
                <w:lang w:eastAsia="fr-FR"/>
              </w:rPr>
              <w:t xml:space="preserve"> (%)</w:t>
            </w:r>
          </w:p>
        </w:tc>
      </w:tr>
      <w:tr w:rsidR="00A419DB" w:rsidRPr="00A419DB" w14:paraId="0C6DDF16" w14:textId="77777777" w:rsidTr="00DA65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12" w:space="0" w:color="auto"/>
            </w:tcBorders>
            <w:shd w:val="clear" w:color="auto" w:fill="auto"/>
            <w:noWrap/>
            <w:hideMark/>
          </w:tcPr>
          <w:p w14:paraId="4BC7C049"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p w14:paraId="49288A6F"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p w14:paraId="33539CF7"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Niveau d'étude</w:t>
            </w:r>
          </w:p>
        </w:tc>
        <w:tc>
          <w:tcPr>
            <w:tcW w:w="1843" w:type="dxa"/>
            <w:shd w:val="clear" w:color="auto" w:fill="auto"/>
            <w:hideMark/>
          </w:tcPr>
          <w:p w14:paraId="29B98500" w14:textId="77777777" w:rsidR="00A419DB" w:rsidRPr="00A419DB" w:rsidRDefault="00DA65F0"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No schooling</w:t>
            </w:r>
          </w:p>
        </w:tc>
        <w:tc>
          <w:tcPr>
            <w:tcW w:w="2126" w:type="dxa"/>
            <w:shd w:val="clear" w:color="auto" w:fill="auto"/>
            <w:hideMark/>
          </w:tcPr>
          <w:p w14:paraId="4D301F99"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35</w:t>
            </w:r>
          </w:p>
        </w:tc>
        <w:tc>
          <w:tcPr>
            <w:tcW w:w="2268" w:type="dxa"/>
            <w:shd w:val="clear" w:color="auto" w:fill="auto"/>
            <w:hideMark/>
          </w:tcPr>
          <w:p w14:paraId="4A391F2D"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56,5</w:t>
            </w:r>
          </w:p>
        </w:tc>
      </w:tr>
      <w:tr w:rsidR="00A419DB" w:rsidRPr="00A419DB" w14:paraId="59B32177"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hideMark/>
          </w:tcPr>
          <w:p w14:paraId="6E140B62"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shd w:val="clear" w:color="auto" w:fill="auto"/>
            <w:hideMark/>
          </w:tcPr>
          <w:p w14:paraId="120597E1"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Elementary</w:t>
            </w:r>
          </w:p>
        </w:tc>
        <w:tc>
          <w:tcPr>
            <w:tcW w:w="2126" w:type="dxa"/>
            <w:shd w:val="clear" w:color="auto" w:fill="auto"/>
            <w:hideMark/>
          </w:tcPr>
          <w:p w14:paraId="7BA04E27"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13</w:t>
            </w:r>
          </w:p>
        </w:tc>
        <w:tc>
          <w:tcPr>
            <w:tcW w:w="2268" w:type="dxa"/>
            <w:shd w:val="clear" w:color="auto" w:fill="auto"/>
            <w:hideMark/>
          </w:tcPr>
          <w:p w14:paraId="4FE32FF1"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21</w:t>
            </w:r>
          </w:p>
        </w:tc>
      </w:tr>
      <w:tr w:rsidR="00A419DB" w:rsidRPr="00A419DB" w14:paraId="72BE82C4" w14:textId="77777777" w:rsidTr="00DA65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hideMark/>
          </w:tcPr>
          <w:p w14:paraId="4817C82B"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shd w:val="clear" w:color="auto" w:fill="auto"/>
            <w:hideMark/>
          </w:tcPr>
          <w:p w14:paraId="5366EFB6" w14:textId="77777777" w:rsidR="00A419DB" w:rsidRPr="00A419DB" w:rsidRDefault="00DA65F0"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Middle</w:t>
            </w:r>
          </w:p>
        </w:tc>
        <w:tc>
          <w:tcPr>
            <w:tcW w:w="2126" w:type="dxa"/>
            <w:shd w:val="clear" w:color="auto" w:fill="auto"/>
            <w:hideMark/>
          </w:tcPr>
          <w:p w14:paraId="2F070E02"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01</w:t>
            </w:r>
          </w:p>
        </w:tc>
        <w:tc>
          <w:tcPr>
            <w:tcW w:w="2268" w:type="dxa"/>
            <w:shd w:val="clear" w:color="auto" w:fill="auto"/>
            <w:hideMark/>
          </w:tcPr>
          <w:p w14:paraId="3CB123FD"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1,6</w:t>
            </w:r>
          </w:p>
        </w:tc>
      </w:tr>
      <w:tr w:rsidR="00A419DB" w:rsidRPr="00A419DB" w14:paraId="6E62E005"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hideMark/>
          </w:tcPr>
          <w:p w14:paraId="11AB7B96"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shd w:val="clear" w:color="auto" w:fill="auto"/>
            <w:hideMark/>
          </w:tcPr>
          <w:p w14:paraId="7AB0EFFF"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Secondary</w:t>
            </w:r>
          </w:p>
        </w:tc>
        <w:tc>
          <w:tcPr>
            <w:tcW w:w="2126" w:type="dxa"/>
            <w:shd w:val="clear" w:color="auto" w:fill="auto"/>
            <w:hideMark/>
          </w:tcPr>
          <w:p w14:paraId="70F406EA"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07</w:t>
            </w:r>
          </w:p>
        </w:tc>
        <w:tc>
          <w:tcPr>
            <w:tcW w:w="2268" w:type="dxa"/>
            <w:shd w:val="clear" w:color="auto" w:fill="auto"/>
            <w:hideMark/>
          </w:tcPr>
          <w:p w14:paraId="5CBA33D2"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11,3</w:t>
            </w:r>
          </w:p>
        </w:tc>
      </w:tr>
      <w:tr w:rsidR="00A419DB" w:rsidRPr="00A419DB" w14:paraId="2719E05B" w14:textId="77777777" w:rsidTr="00DA65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vMerge/>
            <w:tcBorders>
              <w:bottom w:val="single" w:sz="4" w:space="0" w:color="auto"/>
            </w:tcBorders>
            <w:shd w:val="clear" w:color="auto" w:fill="auto"/>
            <w:hideMark/>
          </w:tcPr>
          <w:p w14:paraId="62390CC3"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tcBorders>
              <w:bottom w:val="single" w:sz="4" w:space="0" w:color="auto"/>
            </w:tcBorders>
            <w:shd w:val="clear" w:color="auto" w:fill="auto"/>
            <w:hideMark/>
          </w:tcPr>
          <w:p w14:paraId="41AB72E0" w14:textId="77777777" w:rsidR="00A419DB" w:rsidRPr="00A419DB" w:rsidRDefault="00DA65F0"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Universitary</w:t>
            </w:r>
          </w:p>
        </w:tc>
        <w:tc>
          <w:tcPr>
            <w:tcW w:w="2126" w:type="dxa"/>
            <w:tcBorders>
              <w:bottom w:val="single" w:sz="4" w:space="0" w:color="auto"/>
            </w:tcBorders>
            <w:shd w:val="clear" w:color="auto" w:fill="auto"/>
            <w:hideMark/>
          </w:tcPr>
          <w:p w14:paraId="6962D3A3"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06</w:t>
            </w:r>
          </w:p>
        </w:tc>
        <w:tc>
          <w:tcPr>
            <w:tcW w:w="2268" w:type="dxa"/>
            <w:tcBorders>
              <w:bottom w:val="single" w:sz="4" w:space="0" w:color="auto"/>
            </w:tcBorders>
            <w:shd w:val="clear" w:color="auto" w:fill="auto"/>
            <w:hideMark/>
          </w:tcPr>
          <w:p w14:paraId="0F5E135F"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9,7</w:t>
            </w:r>
          </w:p>
        </w:tc>
      </w:tr>
      <w:tr w:rsidR="00A419DB" w:rsidRPr="00A419DB" w14:paraId="62996A42"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4" w:space="0" w:color="auto"/>
              <w:bottom w:val="nil"/>
            </w:tcBorders>
            <w:shd w:val="clear" w:color="auto" w:fill="auto"/>
            <w:noWrap/>
            <w:hideMark/>
          </w:tcPr>
          <w:p w14:paraId="26C0C96B" w14:textId="77777777" w:rsidR="00DA65F0" w:rsidRDefault="00DA65F0" w:rsidP="00A419DB">
            <w:pPr>
              <w:spacing w:line="360" w:lineRule="auto"/>
              <w:rPr>
                <w:rFonts w:ascii="Times New Roman" w:eastAsia="Times New Roman" w:hAnsi="Times New Roman" w:cs="Times New Roman"/>
                <w:sz w:val="28"/>
                <w:szCs w:val="28"/>
                <w:lang w:eastAsia="fr-FR"/>
              </w:rPr>
            </w:pPr>
          </w:p>
          <w:p w14:paraId="4CFBD6DA" w14:textId="77777777" w:rsidR="00A419DB" w:rsidRPr="00A419DB" w:rsidRDefault="00DA65F0" w:rsidP="00A419DB">
            <w:pPr>
              <w:spacing w:line="360" w:lineRule="auto"/>
              <w:rPr>
                <w:rFonts w:ascii="Times New Roman" w:eastAsia="Times New Roman" w:hAnsi="Times New Roman" w:cs="Times New Roman"/>
                <w:sz w:val="28"/>
                <w:szCs w:val="28"/>
                <w:lang w:eastAsia="fr-FR"/>
              </w:rPr>
            </w:pPr>
            <w:r w:rsidRPr="00B07BE6">
              <w:rPr>
                <w:rFonts w:ascii="Times New Roman" w:eastAsia="Times New Roman" w:hAnsi="Times New Roman" w:cs="Times New Roman"/>
                <w:sz w:val="28"/>
                <w:szCs w:val="28"/>
                <w:lang w:eastAsia="fr-FR"/>
              </w:rPr>
              <w:t>Socio-economic status</w:t>
            </w:r>
          </w:p>
        </w:tc>
        <w:tc>
          <w:tcPr>
            <w:tcW w:w="1843" w:type="dxa"/>
            <w:tcBorders>
              <w:top w:val="single" w:sz="4" w:space="0" w:color="auto"/>
              <w:bottom w:val="nil"/>
            </w:tcBorders>
            <w:shd w:val="clear" w:color="auto" w:fill="auto"/>
            <w:hideMark/>
          </w:tcPr>
          <w:p w14:paraId="746E3FE2"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Housewife</w:t>
            </w:r>
          </w:p>
        </w:tc>
        <w:tc>
          <w:tcPr>
            <w:tcW w:w="2126" w:type="dxa"/>
            <w:tcBorders>
              <w:top w:val="single" w:sz="4" w:space="0" w:color="auto"/>
              <w:bottom w:val="nil"/>
            </w:tcBorders>
            <w:shd w:val="clear" w:color="auto" w:fill="auto"/>
            <w:noWrap/>
            <w:hideMark/>
          </w:tcPr>
          <w:p w14:paraId="4495C760"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25</w:t>
            </w:r>
          </w:p>
        </w:tc>
        <w:tc>
          <w:tcPr>
            <w:tcW w:w="2268" w:type="dxa"/>
            <w:tcBorders>
              <w:top w:val="single" w:sz="4" w:space="0" w:color="auto"/>
              <w:bottom w:val="nil"/>
            </w:tcBorders>
            <w:shd w:val="clear" w:color="auto" w:fill="auto"/>
            <w:noWrap/>
            <w:hideMark/>
          </w:tcPr>
          <w:p w14:paraId="410E7488"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40,3</w:t>
            </w:r>
          </w:p>
        </w:tc>
      </w:tr>
      <w:tr w:rsidR="00A419DB" w:rsidRPr="00A419DB" w14:paraId="15D5D1BA" w14:textId="77777777" w:rsidTr="00DA65F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119" w:type="dxa"/>
            <w:vMerge/>
            <w:tcBorders>
              <w:top w:val="nil"/>
            </w:tcBorders>
            <w:shd w:val="clear" w:color="auto" w:fill="auto"/>
            <w:hideMark/>
          </w:tcPr>
          <w:p w14:paraId="328E528C"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tcBorders>
              <w:top w:val="nil"/>
            </w:tcBorders>
            <w:shd w:val="clear" w:color="auto" w:fill="auto"/>
            <w:hideMark/>
          </w:tcPr>
          <w:p w14:paraId="1901A645" w14:textId="77777777" w:rsidR="00A419DB" w:rsidRPr="00A419DB" w:rsidRDefault="00DA65F0" w:rsidP="00DA65F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Liberal</w:t>
            </w:r>
          </w:p>
        </w:tc>
        <w:tc>
          <w:tcPr>
            <w:tcW w:w="2126" w:type="dxa"/>
            <w:tcBorders>
              <w:top w:val="nil"/>
            </w:tcBorders>
            <w:shd w:val="clear" w:color="auto" w:fill="auto"/>
            <w:noWrap/>
            <w:hideMark/>
          </w:tcPr>
          <w:p w14:paraId="6F545DA2"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23</w:t>
            </w:r>
          </w:p>
        </w:tc>
        <w:tc>
          <w:tcPr>
            <w:tcW w:w="2268" w:type="dxa"/>
            <w:tcBorders>
              <w:top w:val="nil"/>
            </w:tcBorders>
            <w:shd w:val="clear" w:color="auto" w:fill="auto"/>
            <w:noWrap/>
            <w:hideMark/>
          </w:tcPr>
          <w:p w14:paraId="12991560" w14:textId="77777777" w:rsidR="00A419DB" w:rsidRPr="00A419DB" w:rsidRDefault="00A419DB" w:rsidP="00A419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37,1</w:t>
            </w:r>
          </w:p>
        </w:tc>
      </w:tr>
      <w:tr w:rsidR="00A419DB" w:rsidRPr="00A419DB" w14:paraId="0CA4CA65" w14:textId="77777777" w:rsidTr="00DA65F0">
        <w:trPr>
          <w:trHeight w:val="300"/>
        </w:trPr>
        <w:tc>
          <w:tcPr>
            <w:cnfStyle w:val="001000000000" w:firstRow="0" w:lastRow="0" w:firstColumn="1" w:lastColumn="0" w:oddVBand="0" w:evenVBand="0" w:oddHBand="0" w:evenHBand="0" w:firstRowFirstColumn="0" w:firstRowLastColumn="0" w:lastRowFirstColumn="0" w:lastRowLastColumn="0"/>
            <w:tcW w:w="3119" w:type="dxa"/>
            <w:vMerge/>
            <w:tcBorders>
              <w:bottom w:val="single" w:sz="12" w:space="0" w:color="auto"/>
            </w:tcBorders>
            <w:shd w:val="clear" w:color="auto" w:fill="auto"/>
            <w:hideMark/>
          </w:tcPr>
          <w:p w14:paraId="46DB9BD8" w14:textId="77777777" w:rsidR="00A419DB" w:rsidRPr="00A419DB" w:rsidRDefault="00A419DB" w:rsidP="00A419DB">
            <w:pPr>
              <w:spacing w:line="360" w:lineRule="auto"/>
              <w:rPr>
                <w:rFonts w:ascii="Times New Roman" w:eastAsia="Times New Roman" w:hAnsi="Times New Roman" w:cs="Times New Roman"/>
                <w:sz w:val="28"/>
                <w:szCs w:val="28"/>
                <w:lang w:eastAsia="fr-FR"/>
              </w:rPr>
            </w:pPr>
          </w:p>
        </w:tc>
        <w:tc>
          <w:tcPr>
            <w:tcW w:w="1843" w:type="dxa"/>
            <w:tcBorders>
              <w:bottom w:val="single" w:sz="12" w:space="0" w:color="auto"/>
            </w:tcBorders>
            <w:shd w:val="clear" w:color="auto" w:fill="auto"/>
            <w:hideMark/>
          </w:tcPr>
          <w:p w14:paraId="71F68E0C" w14:textId="77777777" w:rsidR="00A419DB" w:rsidRPr="00A419DB" w:rsidRDefault="00DA65F0"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Employee</w:t>
            </w:r>
          </w:p>
        </w:tc>
        <w:tc>
          <w:tcPr>
            <w:tcW w:w="2126" w:type="dxa"/>
            <w:tcBorders>
              <w:bottom w:val="single" w:sz="12" w:space="0" w:color="auto"/>
            </w:tcBorders>
            <w:shd w:val="clear" w:color="auto" w:fill="auto"/>
            <w:noWrap/>
            <w:hideMark/>
          </w:tcPr>
          <w:p w14:paraId="1AB467BC"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14</w:t>
            </w:r>
          </w:p>
        </w:tc>
        <w:tc>
          <w:tcPr>
            <w:tcW w:w="2268" w:type="dxa"/>
            <w:tcBorders>
              <w:bottom w:val="single" w:sz="12" w:space="0" w:color="auto"/>
            </w:tcBorders>
            <w:shd w:val="clear" w:color="auto" w:fill="auto"/>
            <w:noWrap/>
            <w:hideMark/>
          </w:tcPr>
          <w:p w14:paraId="15FC5710" w14:textId="77777777" w:rsidR="00A419DB" w:rsidRPr="00A419DB" w:rsidRDefault="00A419DB" w:rsidP="00A419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A419DB">
              <w:rPr>
                <w:rFonts w:ascii="Times New Roman" w:eastAsia="Times New Roman" w:hAnsi="Times New Roman" w:cs="Times New Roman"/>
                <w:sz w:val="28"/>
                <w:szCs w:val="28"/>
                <w:lang w:eastAsia="fr-FR"/>
              </w:rPr>
              <w:t>22,6</w:t>
            </w:r>
          </w:p>
        </w:tc>
      </w:tr>
    </w:tbl>
    <w:p w14:paraId="28F54668" w14:textId="77777777" w:rsidR="00A419DB" w:rsidRDefault="00A419DB" w:rsidP="00A419DB">
      <w:pPr>
        <w:spacing w:line="360" w:lineRule="auto"/>
        <w:rPr>
          <w:rFonts w:ascii="Times New Roman" w:hAnsi="Times New Roman" w:cs="Times New Roman"/>
          <w:sz w:val="28"/>
          <w:szCs w:val="28"/>
        </w:rPr>
      </w:pPr>
    </w:p>
    <w:p w14:paraId="649AC2B8" w14:textId="77777777" w:rsidR="00CB452A" w:rsidRP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Distribution of patients by gynaecological history</w:t>
      </w:r>
    </w:p>
    <w:p w14:paraId="202CFCDD" w14:textId="77777777" w:rsidR="00CB452A" w:rsidRPr="00CB452A" w:rsidRDefault="00CB452A" w:rsidP="00CB452A">
      <w:pPr>
        <w:spacing w:line="360" w:lineRule="auto"/>
        <w:rPr>
          <w:rFonts w:ascii="Times New Roman" w:hAnsi="Times New Roman" w:cs="Times New Roman"/>
          <w:sz w:val="28"/>
          <w:szCs w:val="28"/>
        </w:rPr>
      </w:pPr>
      <w:r w:rsidRPr="00CB452A">
        <w:rPr>
          <w:rFonts w:ascii="Times New Roman" w:hAnsi="Times New Roman" w:cs="Times New Roman"/>
          <w:sz w:val="28"/>
          <w:szCs w:val="28"/>
        </w:rPr>
        <w:t>Age at first intercourse was less than 20 years in the majority of cases, n= 39 (62.9%), and age at first pregnancy was greater than or equal to 20 years in 61.3% of cases (n=38) (table 2).</w:t>
      </w:r>
    </w:p>
    <w:p w14:paraId="78ED72F6" w14:textId="22D8D39A" w:rsid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Table </w:t>
      </w:r>
      <w:r w:rsidR="00B97303">
        <w:rPr>
          <w:rFonts w:ascii="Times New Roman" w:hAnsi="Times New Roman" w:cs="Times New Roman"/>
          <w:b/>
          <w:sz w:val="28"/>
          <w:szCs w:val="28"/>
        </w:rPr>
        <w:t>2</w:t>
      </w:r>
      <w:r w:rsidRPr="00CB452A">
        <w:rPr>
          <w:rFonts w:ascii="Times New Roman" w:hAnsi="Times New Roman" w:cs="Times New Roman"/>
          <w:b/>
          <w:sz w:val="28"/>
          <w:szCs w:val="28"/>
        </w:rPr>
        <w:t xml:space="preserve"> : Distribution of patients by gynaecological history</w:t>
      </w:r>
    </w:p>
    <w:tbl>
      <w:tblPr>
        <w:tblStyle w:val="ListTable6Colorful"/>
        <w:tblW w:w="9498" w:type="dxa"/>
        <w:tblLook w:val="04A0" w:firstRow="1" w:lastRow="0" w:firstColumn="1" w:lastColumn="0" w:noHBand="0" w:noVBand="1"/>
      </w:tblPr>
      <w:tblGrid>
        <w:gridCol w:w="3220"/>
        <w:gridCol w:w="608"/>
        <w:gridCol w:w="1227"/>
        <w:gridCol w:w="1629"/>
        <w:gridCol w:w="2814"/>
      </w:tblGrid>
      <w:tr w:rsidR="00CB452A" w:rsidRPr="00CB452A" w14:paraId="6BD93D41" w14:textId="77777777" w:rsidTr="00176CE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0" w:type="dxa"/>
            <w:tcBorders>
              <w:top w:val="single" w:sz="12" w:space="0" w:color="auto"/>
              <w:bottom w:val="single" w:sz="12" w:space="0" w:color="auto"/>
            </w:tcBorders>
            <w:shd w:val="clear" w:color="auto" w:fill="auto"/>
            <w:noWrap/>
            <w:hideMark/>
          </w:tcPr>
          <w:p w14:paraId="48604EEA"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w:t>
            </w:r>
          </w:p>
        </w:tc>
        <w:tc>
          <w:tcPr>
            <w:tcW w:w="1835" w:type="dxa"/>
            <w:gridSpan w:val="2"/>
            <w:tcBorders>
              <w:top w:val="single" w:sz="12" w:space="0" w:color="auto"/>
              <w:bottom w:val="single" w:sz="12" w:space="0" w:color="auto"/>
            </w:tcBorders>
            <w:shd w:val="clear" w:color="auto" w:fill="auto"/>
            <w:hideMark/>
          </w:tcPr>
          <w:p w14:paraId="31C0311D" w14:textId="77777777" w:rsidR="00CB452A" w:rsidRPr="00CB452A" w:rsidRDefault="00CB452A"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w:t>
            </w:r>
          </w:p>
        </w:tc>
        <w:tc>
          <w:tcPr>
            <w:tcW w:w="1629" w:type="dxa"/>
            <w:tcBorders>
              <w:top w:val="single" w:sz="12" w:space="0" w:color="auto"/>
              <w:bottom w:val="single" w:sz="12" w:space="0" w:color="auto"/>
            </w:tcBorders>
            <w:shd w:val="clear" w:color="auto" w:fill="auto"/>
            <w:hideMark/>
          </w:tcPr>
          <w:p w14:paraId="3528F1AA" w14:textId="77777777" w:rsidR="00CB452A" w:rsidRPr="00CB452A" w:rsidRDefault="00176CE2"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Number</w:t>
            </w:r>
          </w:p>
        </w:tc>
        <w:tc>
          <w:tcPr>
            <w:tcW w:w="2814" w:type="dxa"/>
            <w:tcBorders>
              <w:top w:val="single" w:sz="12" w:space="0" w:color="auto"/>
              <w:bottom w:val="single" w:sz="12" w:space="0" w:color="auto"/>
            </w:tcBorders>
            <w:shd w:val="clear" w:color="auto" w:fill="auto"/>
            <w:hideMark/>
          </w:tcPr>
          <w:p w14:paraId="7ECBCF36" w14:textId="77777777" w:rsidR="00CB452A" w:rsidRPr="00CB452A" w:rsidRDefault="00176CE2"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Percent</w:t>
            </w:r>
            <w:r w:rsidR="00CB452A" w:rsidRPr="00CB452A">
              <w:rPr>
                <w:rFonts w:ascii="Times New Roman" w:eastAsia="Times New Roman" w:hAnsi="Times New Roman" w:cs="Times New Roman"/>
                <w:color w:val="auto"/>
                <w:sz w:val="28"/>
                <w:szCs w:val="28"/>
                <w:lang w:eastAsia="fr-FR"/>
              </w:rPr>
              <w:t xml:space="preserve"> (%)</w:t>
            </w:r>
          </w:p>
        </w:tc>
      </w:tr>
      <w:tr w:rsidR="00176CE2" w:rsidRPr="00CB452A" w14:paraId="5575224B" w14:textId="77777777" w:rsidTr="00176C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gridSpan w:val="2"/>
            <w:vMerge w:val="restart"/>
            <w:shd w:val="clear" w:color="auto" w:fill="auto"/>
            <w:noWrap/>
            <w:hideMark/>
          </w:tcPr>
          <w:p w14:paraId="080FE386" w14:textId="77777777" w:rsidR="00176CE2" w:rsidRPr="00176CE2" w:rsidRDefault="00176CE2" w:rsidP="00176CE2">
            <w:pPr>
              <w:rPr>
                <w:rFonts w:ascii="Times New Roman" w:eastAsia="Times New Roman" w:hAnsi="Times New Roman" w:cs="Times New Roman"/>
                <w:b w:val="0"/>
                <w:sz w:val="28"/>
                <w:szCs w:val="28"/>
                <w:lang w:eastAsia="fr-FR"/>
              </w:rPr>
            </w:pPr>
            <w:r w:rsidRPr="00176CE2">
              <w:rPr>
                <w:rFonts w:ascii="Times New Roman" w:eastAsia="Times New Roman" w:hAnsi="Times New Roman" w:cs="Times New Roman"/>
                <w:b w:val="0"/>
                <w:sz w:val="28"/>
                <w:szCs w:val="28"/>
                <w:lang w:eastAsia="fr-FR"/>
              </w:rPr>
              <w:t>Age at first intercourse</w:t>
            </w:r>
            <w:r>
              <w:rPr>
                <w:rFonts w:ascii="Times New Roman" w:eastAsia="Times New Roman" w:hAnsi="Times New Roman" w:cs="Times New Roman"/>
                <w:b w:val="0"/>
                <w:sz w:val="28"/>
                <w:szCs w:val="28"/>
                <w:lang w:eastAsia="fr-FR"/>
              </w:rPr>
              <w:t xml:space="preserve"> </w:t>
            </w:r>
            <w:r w:rsidRPr="00176CE2">
              <w:rPr>
                <w:rFonts w:ascii="Times New Roman" w:eastAsia="Times New Roman" w:hAnsi="Times New Roman" w:cs="Times New Roman"/>
                <w:b w:val="0"/>
                <w:sz w:val="28"/>
                <w:szCs w:val="28"/>
                <w:lang w:eastAsia="fr-FR"/>
              </w:rPr>
              <w:t>(year)</w:t>
            </w:r>
          </w:p>
        </w:tc>
        <w:tc>
          <w:tcPr>
            <w:tcW w:w="1227" w:type="dxa"/>
            <w:shd w:val="clear" w:color="auto" w:fill="auto"/>
            <w:hideMark/>
          </w:tcPr>
          <w:p w14:paraId="6498375C"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&lt; 20 ans</w:t>
            </w:r>
          </w:p>
        </w:tc>
        <w:tc>
          <w:tcPr>
            <w:tcW w:w="1629" w:type="dxa"/>
            <w:shd w:val="clear" w:color="auto" w:fill="auto"/>
            <w:hideMark/>
          </w:tcPr>
          <w:p w14:paraId="3E90C0A7"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39</w:t>
            </w:r>
          </w:p>
        </w:tc>
        <w:tc>
          <w:tcPr>
            <w:tcW w:w="2814" w:type="dxa"/>
            <w:shd w:val="clear" w:color="auto" w:fill="auto"/>
            <w:hideMark/>
          </w:tcPr>
          <w:p w14:paraId="523BA6A6"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62,9 </w:t>
            </w:r>
          </w:p>
        </w:tc>
      </w:tr>
      <w:tr w:rsidR="00176CE2" w:rsidRPr="00CB452A" w14:paraId="0E41C17B" w14:textId="77777777" w:rsidTr="00176CE2">
        <w:trPr>
          <w:trHeight w:val="300"/>
        </w:trPr>
        <w:tc>
          <w:tcPr>
            <w:cnfStyle w:val="001000000000" w:firstRow="0" w:lastRow="0" w:firstColumn="1" w:lastColumn="0" w:oddVBand="0" w:evenVBand="0" w:oddHBand="0" w:evenHBand="0" w:firstRowFirstColumn="0" w:firstRowLastColumn="0" w:lastRowFirstColumn="0" w:lastRowLastColumn="0"/>
            <w:tcW w:w="3828" w:type="dxa"/>
            <w:gridSpan w:val="2"/>
            <w:vMerge/>
            <w:tcBorders>
              <w:bottom w:val="single" w:sz="4" w:space="0" w:color="auto"/>
            </w:tcBorders>
            <w:shd w:val="clear" w:color="auto" w:fill="auto"/>
            <w:hideMark/>
          </w:tcPr>
          <w:p w14:paraId="09B177FB" w14:textId="77777777" w:rsidR="00176CE2" w:rsidRPr="00176CE2" w:rsidRDefault="00176CE2" w:rsidP="00176CE2">
            <w:pPr>
              <w:spacing w:line="360" w:lineRule="auto"/>
              <w:rPr>
                <w:rFonts w:ascii="Times New Roman" w:eastAsia="Times New Roman" w:hAnsi="Times New Roman" w:cs="Times New Roman"/>
                <w:b w:val="0"/>
                <w:color w:val="auto"/>
                <w:sz w:val="28"/>
                <w:szCs w:val="28"/>
                <w:lang w:eastAsia="fr-FR"/>
              </w:rPr>
            </w:pPr>
          </w:p>
        </w:tc>
        <w:tc>
          <w:tcPr>
            <w:tcW w:w="1227" w:type="dxa"/>
            <w:tcBorders>
              <w:bottom w:val="single" w:sz="4" w:space="0" w:color="auto"/>
            </w:tcBorders>
            <w:shd w:val="clear" w:color="auto" w:fill="auto"/>
            <w:hideMark/>
          </w:tcPr>
          <w:p w14:paraId="78549EC3"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20 ans</w:t>
            </w:r>
          </w:p>
        </w:tc>
        <w:tc>
          <w:tcPr>
            <w:tcW w:w="1629" w:type="dxa"/>
            <w:tcBorders>
              <w:bottom w:val="single" w:sz="4" w:space="0" w:color="auto"/>
            </w:tcBorders>
            <w:shd w:val="clear" w:color="auto" w:fill="auto"/>
            <w:hideMark/>
          </w:tcPr>
          <w:p w14:paraId="615BA316"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23</w:t>
            </w:r>
          </w:p>
        </w:tc>
        <w:tc>
          <w:tcPr>
            <w:tcW w:w="2814" w:type="dxa"/>
            <w:tcBorders>
              <w:bottom w:val="single" w:sz="4" w:space="0" w:color="auto"/>
            </w:tcBorders>
            <w:shd w:val="clear" w:color="auto" w:fill="auto"/>
            <w:hideMark/>
          </w:tcPr>
          <w:p w14:paraId="138C73C3"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37,1 </w:t>
            </w:r>
          </w:p>
        </w:tc>
      </w:tr>
      <w:tr w:rsidR="00176CE2" w:rsidRPr="00CB452A" w14:paraId="356BD850" w14:textId="77777777" w:rsidTr="00176CE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828" w:type="dxa"/>
            <w:gridSpan w:val="2"/>
            <w:vMerge w:val="restart"/>
            <w:tcBorders>
              <w:top w:val="single" w:sz="4" w:space="0" w:color="auto"/>
              <w:bottom w:val="nil"/>
            </w:tcBorders>
            <w:shd w:val="clear" w:color="auto" w:fill="auto"/>
            <w:noWrap/>
            <w:hideMark/>
          </w:tcPr>
          <w:p w14:paraId="0BA843A9" w14:textId="77777777" w:rsidR="00176CE2" w:rsidRPr="00176CE2" w:rsidRDefault="00176CE2" w:rsidP="00176CE2">
            <w:pPr>
              <w:spacing w:line="360" w:lineRule="auto"/>
              <w:rPr>
                <w:rFonts w:ascii="Times New Roman" w:eastAsia="Times New Roman" w:hAnsi="Times New Roman" w:cs="Times New Roman"/>
                <w:b w:val="0"/>
                <w:color w:val="auto"/>
                <w:sz w:val="28"/>
                <w:szCs w:val="28"/>
                <w:lang w:eastAsia="fr-FR"/>
              </w:rPr>
            </w:pPr>
            <w:r w:rsidRPr="00176CE2">
              <w:rPr>
                <w:rFonts w:ascii="Times New Roman" w:eastAsia="Times New Roman" w:hAnsi="Times New Roman" w:cs="Times New Roman"/>
                <w:b w:val="0"/>
                <w:sz w:val="28"/>
                <w:szCs w:val="28"/>
                <w:lang w:eastAsia="fr-FR"/>
              </w:rPr>
              <w:t>Age at first pregnancy</w:t>
            </w:r>
            <w:r>
              <w:rPr>
                <w:rFonts w:ascii="Times New Roman" w:eastAsia="Times New Roman" w:hAnsi="Times New Roman" w:cs="Times New Roman"/>
                <w:b w:val="0"/>
                <w:sz w:val="28"/>
                <w:szCs w:val="28"/>
                <w:lang w:eastAsia="fr-FR"/>
              </w:rPr>
              <w:t xml:space="preserve"> </w:t>
            </w:r>
            <w:r w:rsidRPr="00176CE2">
              <w:rPr>
                <w:rFonts w:ascii="Times New Roman" w:eastAsia="Times New Roman" w:hAnsi="Times New Roman" w:cs="Times New Roman"/>
                <w:b w:val="0"/>
                <w:sz w:val="28"/>
                <w:szCs w:val="28"/>
                <w:lang w:eastAsia="fr-FR"/>
              </w:rPr>
              <w:t>(year)</w:t>
            </w:r>
          </w:p>
        </w:tc>
        <w:tc>
          <w:tcPr>
            <w:tcW w:w="1227" w:type="dxa"/>
            <w:tcBorders>
              <w:top w:val="single" w:sz="4" w:space="0" w:color="auto"/>
              <w:bottom w:val="nil"/>
            </w:tcBorders>
            <w:shd w:val="clear" w:color="auto" w:fill="auto"/>
            <w:hideMark/>
          </w:tcPr>
          <w:p w14:paraId="513851CE"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&lt; 20 ans</w:t>
            </w:r>
          </w:p>
        </w:tc>
        <w:tc>
          <w:tcPr>
            <w:tcW w:w="1629" w:type="dxa"/>
            <w:tcBorders>
              <w:top w:val="single" w:sz="4" w:space="0" w:color="auto"/>
              <w:bottom w:val="nil"/>
            </w:tcBorders>
            <w:shd w:val="clear" w:color="auto" w:fill="auto"/>
            <w:hideMark/>
          </w:tcPr>
          <w:p w14:paraId="78A73A80"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24</w:t>
            </w:r>
          </w:p>
        </w:tc>
        <w:tc>
          <w:tcPr>
            <w:tcW w:w="2814" w:type="dxa"/>
            <w:tcBorders>
              <w:top w:val="single" w:sz="4" w:space="0" w:color="auto"/>
              <w:bottom w:val="nil"/>
            </w:tcBorders>
            <w:shd w:val="clear" w:color="auto" w:fill="auto"/>
            <w:hideMark/>
          </w:tcPr>
          <w:p w14:paraId="427C4B91" w14:textId="77777777" w:rsidR="00176CE2" w:rsidRPr="00CB452A" w:rsidRDefault="00176CE2" w:rsidP="00176C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38,7 </w:t>
            </w:r>
          </w:p>
        </w:tc>
      </w:tr>
      <w:tr w:rsidR="00176CE2" w:rsidRPr="00CB452A" w14:paraId="62CC704B" w14:textId="77777777" w:rsidTr="00176CE2">
        <w:trPr>
          <w:trHeight w:val="330"/>
        </w:trPr>
        <w:tc>
          <w:tcPr>
            <w:cnfStyle w:val="001000000000" w:firstRow="0" w:lastRow="0" w:firstColumn="1" w:lastColumn="0" w:oddVBand="0" w:evenVBand="0" w:oddHBand="0" w:evenHBand="0" w:firstRowFirstColumn="0" w:firstRowLastColumn="0" w:lastRowFirstColumn="0" w:lastRowLastColumn="0"/>
            <w:tcW w:w="3828" w:type="dxa"/>
            <w:gridSpan w:val="2"/>
            <w:vMerge/>
            <w:tcBorders>
              <w:top w:val="nil"/>
              <w:bottom w:val="single" w:sz="12" w:space="0" w:color="auto"/>
            </w:tcBorders>
            <w:shd w:val="clear" w:color="auto" w:fill="auto"/>
            <w:hideMark/>
          </w:tcPr>
          <w:p w14:paraId="0556385A" w14:textId="77777777" w:rsidR="00176CE2" w:rsidRPr="00CB452A" w:rsidRDefault="00176CE2" w:rsidP="00176CE2">
            <w:pPr>
              <w:spacing w:line="360" w:lineRule="auto"/>
              <w:rPr>
                <w:rFonts w:ascii="Times New Roman" w:eastAsia="Times New Roman" w:hAnsi="Times New Roman" w:cs="Times New Roman"/>
                <w:color w:val="auto"/>
                <w:sz w:val="28"/>
                <w:szCs w:val="28"/>
                <w:lang w:eastAsia="fr-FR"/>
              </w:rPr>
            </w:pPr>
          </w:p>
        </w:tc>
        <w:tc>
          <w:tcPr>
            <w:tcW w:w="1227" w:type="dxa"/>
            <w:tcBorders>
              <w:top w:val="nil"/>
              <w:bottom w:val="single" w:sz="12" w:space="0" w:color="auto"/>
            </w:tcBorders>
            <w:shd w:val="clear" w:color="auto" w:fill="auto"/>
            <w:hideMark/>
          </w:tcPr>
          <w:p w14:paraId="57BC8C84"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20 ans</w:t>
            </w:r>
          </w:p>
        </w:tc>
        <w:tc>
          <w:tcPr>
            <w:tcW w:w="1629" w:type="dxa"/>
            <w:tcBorders>
              <w:top w:val="nil"/>
              <w:bottom w:val="single" w:sz="12" w:space="0" w:color="auto"/>
            </w:tcBorders>
            <w:shd w:val="clear" w:color="auto" w:fill="auto"/>
            <w:hideMark/>
          </w:tcPr>
          <w:p w14:paraId="77678A27"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38</w:t>
            </w:r>
          </w:p>
        </w:tc>
        <w:tc>
          <w:tcPr>
            <w:tcW w:w="2814" w:type="dxa"/>
            <w:tcBorders>
              <w:top w:val="nil"/>
              <w:bottom w:val="single" w:sz="12" w:space="0" w:color="auto"/>
            </w:tcBorders>
            <w:shd w:val="clear" w:color="auto" w:fill="auto"/>
            <w:hideMark/>
          </w:tcPr>
          <w:p w14:paraId="5A2BF114" w14:textId="77777777" w:rsidR="00176CE2" w:rsidRPr="00CB452A" w:rsidRDefault="00176CE2" w:rsidP="00176C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61,3 </w:t>
            </w:r>
          </w:p>
        </w:tc>
      </w:tr>
    </w:tbl>
    <w:p w14:paraId="57FCD9E4" w14:textId="77777777" w:rsidR="00CB452A" w:rsidRDefault="00CB452A" w:rsidP="00CB452A">
      <w:pPr>
        <w:spacing w:line="360" w:lineRule="auto"/>
        <w:rPr>
          <w:rFonts w:ascii="Times New Roman" w:hAnsi="Times New Roman" w:cs="Times New Roman"/>
          <w:b/>
          <w:sz w:val="28"/>
          <w:szCs w:val="28"/>
        </w:rPr>
      </w:pPr>
    </w:p>
    <w:p w14:paraId="1A3FE835" w14:textId="77777777" w:rsidR="00CB452A" w:rsidRPr="00CB452A" w:rsidRDefault="00CB452A" w:rsidP="00CB452A">
      <w:pPr>
        <w:spacing w:line="360" w:lineRule="auto"/>
        <w:rPr>
          <w:rFonts w:ascii="Times New Roman" w:hAnsi="Times New Roman" w:cs="Times New Roman"/>
          <w:sz w:val="28"/>
          <w:szCs w:val="28"/>
        </w:rPr>
      </w:pPr>
      <w:r w:rsidRPr="00CB452A">
        <w:rPr>
          <w:rFonts w:ascii="Times New Roman" w:hAnsi="Times New Roman" w:cs="Times New Roman"/>
          <w:sz w:val="28"/>
          <w:szCs w:val="28"/>
        </w:rPr>
        <w:t>The study population consisted mainly of genitally active women n=37 (59.7%), menopausal women n=16 (25.8%). Women not using contraceptives were more numerous, with a prevalence of 59.7% (n=37) (table 3).</w:t>
      </w:r>
    </w:p>
    <w:p w14:paraId="20BBEDB5" w14:textId="77777777" w:rsidR="00CB452A" w:rsidRPr="00CB452A" w:rsidRDefault="00CB452A" w:rsidP="00CB452A">
      <w:pPr>
        <w:spacing w:line="360" w:lineRule="auto"/>
        <w:rPr>
          <w:rFonts w:ascii="Times New Roman" w:hAnsi="Times New Roman" w:cs="Times New Roman"/>
          <w:b/>
          <w:sz w:val="28"/>
          <w:szCs w:val="28"/>
        </w:rPr>
      </w:pPr>
    </w:p>
    <w:p w14:paraId="649AF1EC" w14:textId="27B0089C" w:rsid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Table </w:t>
      </w:r>
      <w:r w:rsidR="00B97303">
        <w:rPr>
          <w:rFonts w:ascii="Times New Roman" w:hAnsi="Times New Roman" w:cs="Times New Roman"/>
          <w:b/>
          <w:sz w:val="28"/>
          <w:szCs w:val="28"/>
        </w:rPr>
        <w:t>3</w:t>
      </w:r>
      <w:r w:rsidRPr="00CB452A">
        <w:rPr>
          <w:rFonts w:ascii="Times New Roman" w:hAnsi="Times New Roman" w:cs="Times New Roman"/>
          <w:b/>
          <w:sz w:val="28"/>
          <w:szCs w:val="28"/>
        </w:rPr>
        <w:t>: Distribution according to genital activity and contraceptive use</w:t>
      </w:r>
    </w:p>
    <w:tbl>
      <w:tblPr>
        <w:tblStyle w:val="ListTable6Colorful"/>
        <w:tblW w:w="9214" w:type="dxa"/>
        <w:tblLook w:val="04A0" w:firstRow="1" w:lastRow="0" w:firstColumn="1" w:lastColumn="0" w:noHBand="0" w:noVBand="1"/>
      </w:tblPr>
      <w:tblGrid>
        <w:gridCol w:w="2835"/>
        <w:gridCol w:w="2127"/>
        <w:gridCol w:w="1701"/>
        <w:gridCol w:w="2551"/>
      </w:tblGrid>
      <w:tr w:rsidR="00CB452A" w:rsidRPr="00CB452A" w14:paraId="4FB9D884" w14:textId="77777777" w:rsidTr="00212E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bottom w:val="single" w:sz="12" w:space="0" w:color="auto"/>
            </w:tcBorders>
            <w:shd w:val="clear" w:color="auto" w:fill="auto"/>
            <w:noWrap/>
            <w:hideMark/>
          </w:tcPr>
          <w:p w14:paraId="273FDB47"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tcBorders>
              <w:top w:val="single" w:sz="12" w:space="0" w:color="auto"/>
              <w:bottom w:val="single" w:sz="12" w:space="0" w:color="auto"/>
            </w:tcBorders>
            <w:shd w:val="clear" w:color="auto" w:fill="auto"/>
            <w:hideMark/>
          </w:tcPr>
          <w:p w14:paraId="57CC05E3" w14:textId="77777777" w:rsidR="00CB452A" w:rsidRPr="00CB452A" w:rsidRDefault="00CB452A"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w:t>
            </w:r>
          </w:p>
        </w:tc>
        <w:tc>
          <w:tcPr>
            <w:tcW w:w="1701" w:type="dxa"/>
            <w:tcBorders>
              <w:top w:val="single" w:sz="12" w:space="0" w:color="auto"/>
              <w:bottom w:val="single" w:sz="12" w:space="0" w:color="auto"/>
            </w:tcBorders>
            <w:shd w:val="clear" w:color="auto" w:fill="auto"/>
            <w:hideMark/>
          </w:tcPr>
          <w:p w14:paraId="490AC02A" w14:textId="77777777" w:rsidR="00CB452A" w:rsidRPr="00CB452A" w:rsidRDefault="0005485F"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Number</w:t>
            </w:r>
          </w:p>
        </w:tc>
        <w:tc>
          <w:tcPr>
            <w:tcW w:w="2551" w:type="dxa"/>
            <w:tcBorders>
              <w:top w:val="single" w:sz="12" w:space="0" w:color="auto"/>
              <w:bottom w:val="single" w:sz="12" w:space="0" w:color="auto"/>
            </w:tcBorders>
            <w:shd w:val="clear" w:color="auto" w:fill="auto"/>
            <w:hideMark/>
          </w:tcPr>
          <w:p w14:paraId="3C7AD7E9" w14:textId="77777777" w:rsidR="00CB452A" w:rsidRPr="00CB452A" w:rsidRDefault="0005485F"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Percent</w:t>
            </w:r>
            <w:r w:rsidR="00CB452A" w:rsidRPr="00CB452A">
              <w:rPr>
                <w:rFonts w:ascii="Times New Roman" w:eastAsia="Times New Roman" w:hAnsi="Times New Roman" w:cs="Times New Roman"/>
                <w:color w:val="auto"/>
                <w:sz w:val="28"/>
                <w:szCs w:val="28"/>
                <w:lang w:eastAsia="fr-FR"/>
              </w:rPr>
              <w:t xml:space="preserve"> (%)</w:t>
            </w:r>
          </w:p>
        </w:tc>
      </w:tr>
      <w:tr w:rsidR="00CB452A" w:rsidRPr="00CB452A" w14:paraId="2F768CBC" w14:textId="77777777" w:rsidTr="0021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12" w:space="0" w:color="auto"/>
            </w:tcBorders>
            <w:shd w:val="clear" w:color="auto" w:fill="auto"/>
            <w:noWrap/>
            <w:hideMark/>
          </w:tcPr>
          <w:p w14:paraId="27B415BF" w14:textId="77777777" w:rsidR="00CB452A" w:rsidRPr="00CB452A" w:rsidRDefault="00CB452A" w:rsidP="00CB452A">
            <w:pPr>
              <w:spacing w:line="360" w:lineRule="auto"/>
              <w:jc w:val="center"/>
              <w:rPr>
                <w:rFonts w:ascii="Times New Roman" w:eastAsia="Times New Roman" w:hAnsi="Times New Roman" w:cs="Times New Roman"/>
                <w:b w:val="0"/>
                <w:bCs w:val="0"/>
                <w:color w:val="auto"/>
                <w:sz w:val="28"/>
                <w:szCs w:val="28"/>
                <w:lang w:eastAsia="fr-FR"/>
              </w:rPr>
            </w:pPr>
          </w:p>
          <w:p w14:paraId="42B31967" w14:textId="77777777" w:rsidR="00CB452A" w:rsidRPr="00CB452A" w:rsidRDefault="00176CE2" w:rsidP="00CB452A">
            <w:pPr>
              <w:spacing w:line="360" w:lineRule="auto"/>
              <w:jc w:val="center"/>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Genital period</w:t>
            </w:r>
          </w:p>
        </w:tc>
        <w:tc>
          <w:tcPr>
            <w:tcW w:w="2127" w:type="dxa"/>
            <w:tcBorders>
              <w:top w:val="single" w:sz="12" w:space="0" w:color="auto"/>
            </w:tcBorders>
            <w:shd w:val="clear" w:color="auto" w:fill="auto"/>
            <w:hideMark/>
          </w:tcPr>
          <w:p w14:paraId="6BE2562A" w14:textId="77777777" w:rsidR="00CB452A" w:rsidRPr="00CB452A" w:rsidRDefault="00176CE2"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Genital activity</w:t>
            </w:r>
          </w:p>
        </w:tc>
        <w:tc>
          <w:tcPr>
            <w:tcW w:w="1701" w:type="dxa"/>
            <w:tcBorders>
              <w:top w:val="single" w:sz="12" w:space="0" w:color="auto"/>
            </w:tcBorders>
            <w:shd w:val="clear" w:color="auto" w:fill="auto"/>
            <w:noWrap/>
            <w:hideMark/>
          </w:tcPr>
          <w:p w14:paraId="6510699D"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37</w:t>
            </w:r>
          </w:p>
        </w:tc>
        <w:tc>
          <w:tcPr>
            <w:tcW w:w="2551" w:type="dxa"/>
            <w:tcBorders>
              <w:top w:val="single" w:sz="12" w:space="0" w:color="auto"/>
            </w:tcBorders>
            <w:shd w:val="clear" w:color="auto" w:fill="auto"/>
            <w:noWrap/>
            <w:hideMark/>
          </w:tcPr>
          <w:p w14:paraId="41B09CA7"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59,7 </w:t>
            </w:r>
          </w:p>
        </w:tc>
      </w:tr>
      <w:tr w:rsidR="00CB452A" w:rsidRPr="00CB452A" w14:paraId="38DA4A14"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7201C882"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shd w:val="clear" w:color="auto" w:fill="auto"/>
            <w:hideMark/>
          </w:tcPr>
          <w:p w14:paraId="4976169E" w14:textId="77777777" w:rsidR="00CB452A" w:rsidRPr="00CB452A" w:rsidRDefault="00176CE2"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me</w:t>
            </w:r>
            <w:r w:rsidR="00CB452A" w:rsidRPr="00CB452A">
              <w:rPr>
                <w:rFonts w:ascii="Times New Roman" w:eastAsia="Times New Roman" w:hAnsi="Times New Roman" w:cs="Times New Roman"/>
                <w:color w:val="auto"/>
                <w:sz w:val="28"/>
                <w:szCs w:val="28"/>
                <w:lang w:eastAsia="fr-FR"/>
              </w:rPr>
              <w:t>nopause</w:t>
            </w:r>
          </w:p>
        </w:tc>
        <w:tc>
          <w:tcPr>
            <w:tcW w:w="1701" w:type="dxa"/>
            <w:shd w:val="clear" w:color="auto" w:fill="auto"/>
            <w:noWrap/>
            <w:hideMark/>
          </w:tcPr>
          <w:p w14:paraId="524E7ABF"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16</w:t>
            </w:r>
          </w:p>
        </w:tc>
        <w:tc>
          <w:tcPr>
            <w:tcW w:w="2551" w:type="dxa"/>
            <w:shd w:val="clear" w:color="auto" w:fill="auto"/>
            <w:noWrap/>
            <w:hideMark/>
          </w:tcPr>
          <w:p w14:paraId="27C7D8F0"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25,8 </w:t>
            </w:r>
          </w:p>
        </w:tc>
      </w:tr>
      <w:tr w:rsidR="00CB452A" w:rsidRPr="00CB452A" w14:paraId="2C6C5D2D" w14:textId="77777777" w:rsidTr="0021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4" w:space="0" w:color="auto"/>
            </w:tcBorders>
            <w:shd w:val="clear" w:color="auto" w:fill="auto"/>
            <w:hideMark/>
          </w:tcPr>
          <w:p w14:paraId="2958A168"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tcBorders>
              <w:bottom w:val="single" w:sz="4" w:space="0" w:color="auto"/>
            </w:tcBorders>
            <w:shd w:val="clear" w:color="auto" w:fill="auto"/>
            <w:hideMark/>
          </w:tcPr>
          <w:p w14:paraId="4834D8D7" w14:textId="77777777" w:rsidR="00CB452A" w:rsidRPr="00CB452A" w:rsidRDefault="00176CE2"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peri-</w:t>
            </w:r>
            <w:r w:rsidR="00CB452A" w:rsidRPr="00CB452A">
              <w:rPr>
                <w:rFonts w:ascii="Times New Roman" w:eastAsia="Times New Roman" w:hAnsi="Times New Roman" w:cs="Times New Roman"/>
                <w:color w:val="auto"/>
                <w:sz w:val="28"/>
                <w:szCs w:val="28"/>
                <w:lang w:eastAsia="fr-FR"/>
              </w:rPr>
              <w:t>ménopause</w:t>
            </w:r>
          </w:p>
        </w:tc>
        <w:tc>
          <w:tcPr>
            <w:tcW w:w="1701" w:type="dxa"/>
            <w:tcBorders>
              <w:bottom w:val="single" w:sz="4" w:space="0" w:color="auto"/>
            </w:tcBorders>
            <w:shd w:val="clear" w:color="auto" w:fill="auto"/>
            <w:noWrap/>
            <w:hideMark/>
          </w:tcPr>
          <w:p w14:paraId="2E6F8394"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09</w:t>
            </w:r>
          </w:p>
        </w:tc>
        <w:tc>
          <w:tcPr>
            <w:tcW w:w="2551" w:type="dxa"/>
            <w:tcBorders>
              <w:bottom w:val="single" w:sz="4" w:space="0" w:color="auto"/>
            </w:tcBorders>
            <w:shd w:val="clear" w:color="auto" w:fill="auto"/>
            <w:noWrap/>
            <w:hideMark/>
          </w:tcPr>
          <w:p w14:paraId="07178595"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14,5 </w:t>
            </w:r>
          </w:p>
        </w:tc>
      </w:tr>
      <w:tr w:rsidR="00CB452A" w:rsidRPr="00CB452A" w14:paraId="6373C1CB"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bottom w:val="nil"/>
            </w:tcBorders>
            <w:shd w:val="clear" w:color="auto" w:fill="auto"/>
            <w:noWrap/>
            <w:hideMark/>
          </w:tcPr>
          <w:p w14:paraId="543F5C17" w14:textId="77777777" w:rsidR="00CB452A" w:rsidRPr="00CB452A" w:rsidRDefault="00CB452A" w:rsidP="00CB452A">
            <w:pPr>
              <w:spacing w:line="360" w:lineRule="auto"/>
              <w:jc w:val="center"/>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Contraception</w:t>
            </w:r>
          </w:p>
        </w:tc>
        <w:tc>
          <w:tcPr>
            <w:tcW w:w="2127" w:type="dxa"/>
            <w:tcBorders>
              <w:top w:val="single" w:sz="4" w:space="0" w:color="auto"/>
              <w:bottom w:val="nil"/>
            </w:tcBorders>
            <w:shd w:val="clear" w:color="auto" w:fill="auto"/>
            <w:hideMark/>
          </w:tcPr>
          <w:p w14:paraId="1DBCC8E8" w14:textId="77777777" w:rsidR="00CB452A" w:rsidRPr="00CB452A" w:rsidRDefault="0005485F"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NO</w:t>
            </w:r>
          </w:p>
        </w:tc>
        <w:tc>
          <w:tcPr>
            <w:tcW w:w="1701" w:type="dxa"/>
            <w:tcBorders>
              <w:top w:val="single" w:sz="4" w:space="0" w:color="auto"/>
              <w:bottom w:val="nil"/>
            </w:tcBorders>
            <w:shd w:val="clear" w:color="auto" w:fill="auto"/>
            <w:noWrap/>
            <w:hideMark/>
          </w:tcPr>
          <w:p w14:paraId="6E742AFE"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37</w:t>
            </w:r>
          </w:p>
        </w:tc>
        <w:tc>
          <w:tcPr>
            <w:tcW w:w="2551" w:type="dxa"/>
            <w:tcBorders>
              <w:top w:val="single" w:sz="4" w:space="0" w:color="auto"/>
              <w:bottom w:val="nil"/>
            </w:tcBorders>
            <w:shd w:val="clear" w:color="auto" w:fill="auto"/>
            <w:noWrap/>
            <w:hideMark/>
          </w:tcPr>
          <w:p w14:paraId="79A253BF"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59,7 </w:t>
            </w:r>
          </w:p>
        </w:tc>
      </w:tr>
      <w:tr w:rsidR="00CB452A" w:rsidRPr="00CB452A" w14:paraId="10A383CF" w14:textId="77777777" w:rsidTr="0021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single" w:sz="12" w:space="0" w:color="auto"/>
            </w:tcBorders>
            <w:shd w:val="clear" w:color="auto" w:fill="auto"/>
            <w:hideMark/>
          </w:tcPr>
          <w:p w14:paraId="6ADE68E0" w14:textId="77777777" w:rsidR="00CB452A" w:rsidRPr="00CB452A" w:rsidRDefault="00CB452A" w:rsidP="00CB452A">
            <w:pPr>
              <w:spacing w:line="360" w:lineRule="auto"/>
              <w:rPr>
                <w:rFonts w:ascii="Times New Roman" w:eastAsia="Times New Roman" w:hAnsi="Times New Roman" w:cs="Times New Roman"/>
                <w:color w:val="auto"/>
                <w:sz w:val="28"/>
                <w:szCs w:val="28"/>
                <w:lang w:eastAsia="fr-FR"/>
              </w:rPr>
            </w:pPr>
          </w:p>
        </w:tc>
        <w:tc>
          <w:tcPr>
            <w:tcW w:w="2127" w:type="dxa"/>
            <w:tcBorders>
              <w:top w:val="nil"/>
              <w:bottom w:val="single" w:sz="12" w:space="0" w:color="auto"/>
            </w:tcBorders>
            <w:shd w:val="clear" w:color="auto" w:fill="auto"/>
            <w:hideMark/>
          </w:tcPr>
          <w:p w14:paraId="716A5B4C" w14:textId="77777777" w:rsidR="00CB452A" w:rsidRPr="00CB452A" w:rsidRDefault="0005485F"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YES</w:t>
            </w:r>
          </w:p>
        </w:tc>
        <w:tc>
          <w:tcPr>
            <w:tcW w:w="1701" w:type="dxa"/>
            <w:tcBorders>
              <w:top w:val="nil"/>
              <w:bottom w:val="single" w:sz="12" w:space="0" w:color="auto"/>
            </w:tcBorders>
            <w:shd w:val="clear" w:color="auto" w:fill="auto"/>
            <w:noWrap/>
            <w:hideMark/>
          </w:tcPr>
          <w:p w14:paraId="183D719E"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25</w:t>
            </w:r>
          </w:p>
        </w:tc>
        <w:tc>
          <w:tcPr>
            <w:tcW w:w="2551" w:type="dxa"/>
            <w:tcBorders>
              <w:top w:val="nil"/>
              <w:bottom w:val="single" w:sz="12" w:space="0" w:color="auto"/>
            </w:tcBorders>
            <w:shd w:val="clear" w:color="auto" w:fill="auto"/>
            <w:noWrap/>
            <w:hideMark/>
          </w:tcPr>
          <w:p w14:paraId="083C6962"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fr-FR"/>
              </w:rPr>
            </w:pPr>
            <w:r w:rsidRPr="00CB452A">
              <w:rPr>
                <w:rFonts w:ascii="Times New Roman" w:eastAsia="Times New Roman" w:hAnsi="Times New Roman" w:cs="Times New Roman"/>
                <w:color w:val="auto"/>
                <w:sz w:val="28"/>
                <w:szCs w:val="28"/>
                <w:lang w:eastAsia="fr-FR"/>
              </w:rPr>
              <w:t xml:space="preserve">40,3 </w:t>
            </w:r>
          </w:p>
        </w:tc>
      </w:tr>
    </w:tbl>
    <w:p w14:paraId="6C04604F" w14:textId="77777777" w:rsidR="00CB452A" w:rsidRDefault="00CB452A" w:rsidP="00CB452A">
      <w:pPr>
        <w:spacing w:line="360" w:lineRule="auto"/>
        <w:rPr>
          <w:rFonts w:ascii="Times New Roman" w:hAnsi="Times New Roman" w:cs="Times New Roman"/>
          <w:sz w:val="28"/>
          <w:szCs w:val="28"/>
        </w:rPr>
      </w:pPr>
    </w:p>
    <w:p w14:paraId="7EEF94CE" w14:textId="77777777" w:rsidR="00CB452A" w:rsidRPr="00CB452A" w:rsidRDefault="00CB452A" w:rsidP="00CB452A">
      <w:pPr>
        <w:spacing w:line="360" w:lineRule="auto"/>
        <w:rPr>
          <w:rFonts w:ascii="Times New Roman" w:hAnsi="Times New Roman" w:cs="Times New Roman"/>
          <w:sz w:val="28"/>
          <w:szCs w:val="28"/>
        </w:rPr>
      </w:pPr>
      <w:r w:rsidRPr="00CB452A">
        <w:rPr>
          <w:rFonts w:ascii="Times New Roman" w:hAnsi="Times New Roman" w:cs="Times New Roman"/>
          <w:sz w:val="28"/>
          <w:szCs w:val="28"/>
        </w:rPr>
        <w:t>According to the number of gestations,</w:t>
      </w:r>
      <w:r w:rsidR="00B863BA">
        <w:rPr>
          <w:rFonts w:ascii="Times New Roman" w:hAnsi="Times New Roman" w:cs="Times New Roman"/>
          <w:sz w:val="28"/>
          <w:szCs w:val="28"/>
        </w:rPr>
        <w:t xml:space="preserve"> there were more multigestes</w:t>
      </w:r>
      <w:r w:rsidRPr="00CB452A">
        <w:rPr>
          <w:rFonts w:ascii="Times New Roman" w:hAnsi="Times New Roman" w:cs="Times New Roman"/>
          <w:sz w:val="28"/>
          <w:szCs w:val="28"/>
        </w:rPr>
        <w:t xml:space="preserve"> n=32 </w:t>
      </w:r>
      <w:r w:rsidR="00B863BA">
        <w:rPr>
          <w:rFonts w:ascii="Times New Roman" w:hAnsi="Times New Roman" w:cs="Times New Roman"/>
          <w:sz w:val="28"/>
          <w:szCs w:val="28"/>
        </w:rPr>
        <w:t>(51.6%) and large multigeste</w:t>
      </w:r>
      <w:r w:rsidRPr="00CB452A">
        <w:rPr>
          <w:rFonts w:ascii="Times New Roman" w:hAnsi="Times New Roman" w:cs="Times New Roman"/>
          <w:sz w:val="28"/>
          <w:szCs w:val="28"/>
        </w:rPr>
        <w:t>s n=19 (30, 6%). Similarly, for the number of parities, there were more multiparous n=33 (53.2%) and large multiparous n=17 (27.4%) (table 4).</w:t>
      </w:r>
    </w:p>
    <w:p w14:paraId="482CA86F" w14:textId="6C51EC4C" w:rsidR="00CB452A" w:rsidRDefault="00CB452A" w:rsidP="00CB452A">
      <w:pPr>
        <w:spacing w:line="360" w:lineRule="auto"/>
        <w:rPr>
          <w:rFonts w:ascii="Times New Roman" w:hAnsi="Times New Roman" w:cs="Times New Roman"/>
          <w:b/>
          <w:sz w:val="28"/>
          <w:szCs w:val="28"/>
        </w:rPr>
      </w:pPr>
      <w:r w:rsidRPr="00CB452A">
        <w:rPr>
          <w:rFonts w:ascii="Times New Roman" w:hAnsi="Times New Roman" w:cs="Times New Roman"/>
          <w:b/>
          <w:sz w:val="28"/>
          <w:szCs w:val="28"/>
        </w:rPr>
        <w:t xml:space="preserve">Table </w:t>
      </w:r>
      <w:r w:rsidR="00B97303">
        <w:rPr>
          <w:rFonts w:ascii="Times New Roman" w:hAnsi="Times New Roman" w:cs="Times New Roman"/>
          <w:b/>
          <w:sz w:val="28"/>
          <w:szCs w:val="28"/>
        </w:rPr>
        <w:t>4</w:t>
      </w:r>
      <w:r w:rsidRPr="00CB452A">
        <w:rPr>
          <w:rFonts w:ascii="Times New Roman" w:hAnsi="Times New Roman" w:cs="Times New Roman"/>
          <w:b/>
          <w:sz w:val="28"/>
          <w:szCs w:val="28"/>
        </w:rPr>
        <w:t xml:space="preserve"> : Distribution according to number of gestures and parity</w:t>
      </w:r>
    </w:p>
    <w:tbl>
      <w:tblPr>
        <w:tblStyle w:val="TableauListe6Couleur1"/>
        <w:tblW w:w="9639" w:type="dxa"/>
        <w:tblLook w:val="04A0" w:firstRow="1" w:lastRow="0" w:firstColumn="1" w:lastColumn="0" w:noHBand="0" w:noVBand="1"/>
      </w:tblPr>
      <w:tblGrid>
        <w:gridCol w:w="2835"/>
        <w:gridCol w:w="2410"/>
        <w:gridCol w:w="1701"/>
        <w:gridCol w:w="2693"/>
      </w:tblGrid>
      <w:tr w:rsidR="00CB452A" w:rsidRPr="00CB452A" w14:paraId="1126B9AE" w14:textId="77777777" w:rsidTr="001A3B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auto"/>
              <w:bottom w:val="single" w:sz="12" w:space="0" w:color="auto"/>
            </w:tcBorders>
            <w:shd w:val="clear" w:color="auto" w:fill="auto"/>
            <w:noWrap/>
            <w:hideMark/>
          </w:tcPr>
          <w:p w14:paraId="74467F11"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top w:val="single" w:sz="12" w:space="0" w:color="auto"/>
              <w:bottom w:val="single" w:sz="12" w:space="0" w:color="auto"/>
            </w:tcBorders>
            <w:shd w:val="clear" w:color="auto" w:fill="auto"/>
            <w:hideMark/>
          </w:tcPr>
          <w:p w14:paraId="4F8599B9" w14:textId="77777777" w:rsidR="00CB452A" w:rsidRPr="00CB452A" w:rsidRDefault="00CB452A"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w:t>
            </w:r>
          </w:p>
        </w:tc>
        <w:tc>
          <w:tcPr>
            <w:tcW w:w="1701" w:type="dxa"/>
            <w:tcBorders>
              <w:top w:val="single" w:sz="12" w:space="0" w:color="auto"/>
              <w:bottom w:val="single" w:sz="12" w:space="0" w:color="auto"/>
            </w:tcBorders>
            <w:shd w:val="clear" w:color="auto" w:fill="auto"/>
            <w:hideMark/>
          </w:tcPr>
          <w:p w14:paraId="5367336F" w14:textId="77777777" w:rsidR="00CB452A" w:rsidRPr="00CB452A" w:rsidRDefault="001A3BA0"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Number</w:t>
            </w:r>
          </w:p>
        </w:tc>
        <w:tc>
          <w:tcPr>
            <w:tcW w:w="2693" w:type="dxa"/>
            <w:tcBorders>
              <w:top w:val="single" w:sz="12" w:space="0" w:color="auto"/>
              <w:bottom w:val="single" w:sz="12" w:space="0" w:color="auto"/>
            </w:tcBorders>
            <w:shd w:val="clear" w:color="auto" w:fill="auto"/>
            <w:hideMark/>
          </w:tcPr>
          <w:p w14:paraId="392D1260" w14:textId="77777777" w:rsidR="00CB452A" w:rsidRPr="00CB452A" w:rsidRDefault="001A3BA0" w:rsidP="00CB45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Percent</w:t>
            </w:r>
            <w:r w:rsidR="00CB452A" w:rsidRPr="00CB452A">
              <w:rPr>
                <w:rFonts w:ascii="Times New Roman" w:eastAsia="Times New Roman" w:hAnsi="Times New Roman" w:cs="Times New Roman"/>
                <w:sz w:val="28"/>
                <w:szCs w:val="28"/>
                <w:lang w:eastAsia="fr-FR"/>
              </w:rPr>
              <w:t xml:space="preserve"> (%)</w:t>
            </w:r>
          </w:p>
        </w:tc>
      </w:tr>
      <w:tr w:rsidR="00CB452A" w:rsidRPr="00CB452A" w14:paraId="5F496ACC"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noWrap/>
            <w:hideMark/>
          </w:tcPr>
          <w:p w14:paraId="15AE02A8"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4FA8B495"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162491E5" w14:textId="77777777" w:rsidR="00CB452A" w:rsidRPr="00CB452A" w:rsidRDefault="0005485F" w:rsidP="0005485F">
            <w:pPr>
              <w:spacing w:line="36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Number of gestations</w:t>
            </w:r>
          </w:p>
        </w:tc>
        <w:tc>
          <w:tcPr>
            <w:tcW w:w="2410" w:type="dxa"/>
            <w:shd w:val="clear" w:color="auto" w:fill="auto"/>
            <w:hideMark/>
          </w:tcPr>
          <w:p w14:paraId="13FDC8E6" w14:textId="77777777" w:rsidR="00CB452A" w:rsidRPr="00CB452A" w:rsidRDefault="0005485F"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Large </w:t>
            </w:r>
            <w:r w:rsidR="00CB452A" w:rsidRPr="00CB452A">
              <w:rPr>
                <w:rFonts w:ascii="Times New Roman" w:eastAsia="Times New Roman" w:hAnsi="Times New Roman" w:cs="Times New Roman"/>
                <w:sz w:val="28"/>
                <w:szCs w:val="28"/>
                <w:lang w:eastAsia="fr-FR"/>
              </w:rPr>
              <w:t>multigestes</w:t>
            </w:r>
          </w:p>
        </w:tc>
        <w:tc>
          <w:tcPr>
            <w:tcW w:w="1701" w:type="dxa"/>
            <w:shd w:val="clear" w:color="auto" w:fill="auto"/>
            <w:noWrap/>
            <w:hideMark/>
          </w:tcPr>
          <w:p w14:paraId="0A10D6B5"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19</w:t>
            </w:r>
          </w:p>
        </w:tc>
        <w:tc>
          <w:tcPr>
            <w:tcW w:w="2693" w:type="dxa"/>
            <w:shd w:val="clear" w:color="auto" w:fill="auto"/>
            <w:noWrap/>
            <w:hideMark/>
          </w:tcPr>
          <w:p w14:paraId="4309853E"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30,6 </w:t>
            </w:r>
          </w:p>
        </w:tc>
      </w:tr>
      <w:tr w:rsidR="00CB452A" w:rsidRPr="00CB452A" w14:paraId="08710E4C"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1E92F4B2"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shd w:val="clear" w:color="auto" w:fill="auto"/>
            <w:hideMark/>
          </w:tcPr>
          <w:p w14:paraId="06C20950"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multigestes</w:t>
            </w:r>
          </w:p>
        </w:tc>
        <w:tc>
          <w:tcPr>
            <w:tcW w:w="1701" w:type="dxa"/>
            <w:shd w:val="clear" w:color="auto" w:fill="auto"/>
            <w:noWrap/>
            <w:hideMark/>
          </w:tcPr>
          <w:p w14:paraId="5CEC01D3"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32</w:t>
            </w:r>
          </w:p>
        </w:tc>
        <w:tc>
          <w:tcPr>
            <w:tcW w:w="2693" w:type="dxa"/>
            <w:shd w:val="clear" w:color="auto" w:fill="auto"/>
            <w:noWrap/>
            <w:hideMark/>
          </w:tcPr>
          <w:p w14:paraId="650EEB98"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51,6 </w:t>
            </w:r>
          </w:p>
        </w:tc>
      </w:tr>
      <w:tr w:rsidR="00CB452A" w:rsidRPr="00CB452A" w14:paraId="2D621928"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743E388C"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shd w:val="clear" w:color="auto" w:fill="auto"/>
            <w:hideMark/>
          </w:tcPr>
          <w:p w14:paraId="120C42E1"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nulligestes</w:t>
            </w:r>
          </w:p>
        </w:tc>
        <w:tc>
          <w:tcPr>
            <w:tcW w:w="1701" w:type="dxa"/>
            <w:shd w:val="clear" w:color="auto" w:fill="auto"/>
            <w:noWrap/>
            <w:hideMark/>
          </w:tcPr>
          <w:p w14:paraId="7B6E7A7E"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08</w:t>
            </w:r>
          </w:p>
        </w:tc>
        <w:tc>
          <w:tcPr>
            <w:tcW w:w="2693" w:type="dxa"/>
            <w:shd w:val="clear" w:color="auto" w:fill="auto"/>
            <w:noWrap/>
            <w:hideMark/>
          </w:tcPr>
          <w:p w14:paraId="585E1BEC"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12,9 </w:t>
            </w:r>
          </w:p>
        </w:tc>
      </w:tr>
      <w:tr w:rsidR="00CB452A" w:rsidRPr="00CB452A" w14:paraId="4BEACFE4"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4" w:space="0" w:color="auto"/>
            </w:tcBorders>
            <w:shd w:val="clear" w:color="auto" w:fill="auto"/>
            <w:hideMark/>
          </w:tcPr>
          <w:p w14:paraId="276BE701"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bottom w:val="single" w:sz="4" w:space="0" w:color="auto"/>
            </w:tcBorders>
            <w:shd w:val="clear" w:color="auto" w:fill="auto"/>
            <w:hideMark/>
          </w:tcPr>
          <w:p w14:paraId="7189D22C"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primigestes</w:t>
            </w:r>
          </w:p>
        </w:tc>
        <w:tc>
          <w:tcPr>
            <w:tcW w:w="1701" w:type="dxa"/>
            <w:tcBorders>
              <w:bottom w:val="single" w:sz="4" w:space="0" w:color="auto"/>
            </w:tcBorders>
            <w:shd w:val="clear" w:color="auto" w:fill="auto"/>
            <w:noWrap/>
            <w:hideMark/>
          </w:tcPr>
          <w:p w14:paraId="4F50E6C2"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03</w:t>
            </w:r>
          </w:p>
        </w:tc>
        <w:tc>
          <w:tcPr>
            <w:tcW w:w="2693" w:type="dxa"/>
            <w:tcBorders>
              <w:bottom w:val="single" w:sz="4" w:space="0" w:color="auto"/>
            </w:tcBorders>
            <w:shd w:val="clear" w:color="auto" w:fill="auto"/>
            <w:noWrap/>
            <w:hideMark/>
          </w:tcPr>
          <w:p w14:paraId="6DB17538"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4,8 </w:t>
            </w:r>
          </w:p>
        </w:tc>
      </w:tr>
      <w:tr w:rsidR="00CB452A" w:rsidRPr="00CB452A" w14:paraId="7C827F6B"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4" w:space="0" w:color="auto"/>
              <w:bottom w:val="nil"/>
            </w:tcBorders>
            <w:shd w:val="clear" w:color="auto" w:fill="auto"/>
            <w:noWrap/>
            <w:hideMark/>
          </w:tcPr>
          <w:p w14:paraId="0A36430F"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5EB75922" w14:textId="77777777" w:rsidR="00CB452A" w:rsidRPr="00CB452A" w:rsidRDefault="00CB452A" w:rsidP="00CB452A">
            <w:pPr>
              <w:spacing w:line="360" w:lineRule="auto"/>
              <w:jc w:val="center"/>
              <w:rPr>
                <w:rFonts w:ascii="Times New Roman" w:eastAsia="Times New Roman" w:hAnsi="Times New Roman" w:cs="Times New Roman"/>
                <w:sz w:val="28"/>
                <w:szCs w:val="28"/>
                <w:lang w:eastAsia="fr-FR"/>
              </w:rPr>
            </w:pPr>
          </w:p>
          <w:p w14:paraId="3AE36084" w14:textId="77777777" w:rsidR="00CB452A" w:rsidRPr="00CB452A" w:rsidRDefault="0005485F" w:rsidP="00CB452A">
            <w:pPr>
              <w:spacing w:line="36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Number of parities</w:t>
            </w:r>
          </w:p>
        </w:tc>
        <w:tc>
          <w:tcPr>
            <w:tcW w:w="2410" w:type="dxa"/>
            <w:tcBorders>
              <w:top w:val="single" w:sz="4" w:space="0" w:color="auto"/>
              <w:bottom w:val="nil"/>
            </w:tcBorders>
            <w:shd w:val="clear" w:color="auto" w:fill="auto"/>
            <w:hideMark/>
          </w:tcPr>
          <w:p w14:paraId="3FFA88C3" w14:textId="77777777" w:rsidR="00CB452A" w:rsidRPr="00CB452A" w:rsidRDefault="001A3BA0"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Large multiparous</w:t>
            </w:r>
          </w:p>
        </w:tc>
        <w:tc>
          <w:tcPr>
            <w:tcW w:w="1701" w:type="dxa"/>
            <w:tcBorders>
              <w:top w:val="single" w:sz="4" w:space="0" w:color="auto"/>
              <w:bottom w:val="nil"/>
            </w:tcBorders>
            <w:shd w:val="clear" w:color="auto" w:fill="auto"/>
            <w:noWrap/>
            <w:hideMark/>
          </w:tcPr>
          <w:p w14:paraId="095D6E65"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17</w:t>
            </w:r>
          </w:p>
        </w:tc>
        <w:tc>
          <w:tcPr>
            <w:tcW w:w="2693" w:type="dxa"/>
            <w:tcBorders>
              <w:top w:val="single" w:sz="4" w:space="0" w:color="auto"/>
              <w:bottom w:val="nil"/>
            </w:tcBorders>
            <w:shd w:val="clear" w:color="auto" w:fill="auto"/>
            <w:noWrap/>
            <w:hideMark/>
          </w:tcPr>
          <w:p w14:paraId="6060CC17"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27,4 </w:t>
            </w:r>
          </w:p>
        </w:tc>
      </w:tr>
      <w:tr w:rsidR="00CB452A" w:rsidRPr="00CB452A" w14:paraId="166C284B"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top w:val="nil"/>
            </w:tcBorders>
            <w:shd w:val="clear" w:color="auto" w:fill="auto"/>
            <w:hideMark/>
          </w:tcPr>
          <w:p w14:paraId="355F2FBF"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top w:val="nil"/>
            </w:tcBorders>
            <w:shd w:val="clear" w:color="auto" w:fill="auto"/>
            <w:hideMark/>
          </w:tcPr>
          <w:p w14:paraId="1FB7803D" w14:textId="77777777" w:rsidR="00CB452A" w:rsidRPr="00CB452A" w:rsidRDefault="001A3BA0"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multiparous</w:t>
            </w:r>
          </w:p>
        </w:tc>
        <w:tc>
          <w:tcPr>
            <w:tcW w:w="1701" w:type="dxa"/>
            <w:tcBorders>
              <w:top w:val="nil"/>
            </w:tcBorders>
            <w:shd w:val="clear" w:color="auto" w:fill="auto"/>
            <w:noWrap/>
            <w:hideMark/>
          </w:tcPr>
          <w:p w14:paraId="5DBF736F"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33</w:t>
            </w:r>
          </w:p>
        </w:tc>
        <w:tc>
          <w:tcPr>
            <w:tcW w:w="2693" w:type="dxa"/>
            <w:tcBorders>
              <w:top w:val="nil"/>
            </w:tcBorders>
            <w:shd w:val="clear" w:color="auto" w:fill="auto"/>
            <w:noWrap/>
            <w:hideMark/>
          </w:tcPr>
          <w:p w14:paraId="14BC49E9"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53,2 </w:t>
            </w:r>
          </w:p>
        </w:tc>
      </w:tr>
      <w:tr w:rsidR="00CB452A" w:rsidRPr="00CB452A" w14:paraId="4AE5453F" w14:textId="77777777" w:rsidTr="001A3B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14:paraId="4E528502"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shd w:val="clear" w:color="auto" w:fill="auto"/>
            <w:hideMark/>
          </w:tcPr>
          <w:p w14:paraId="4EC58DAB" w14:textId="77777777" w:rsidR="00CB452A" w:rsidRPr="00CB452A" w:rsidRDefault="001A3BA0"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nulliparous</w:t>
            </w:r>
          </w:p>
        </w:tc>
        <w:tc>
          <w:tcPr>
            <w:tcW w:w="1701" w:type="dxa"/>
            <w:shd w:val="clear" w:color="auto" w:fill="auto"/>
            <w:noWrap/>
            <w:hideMark/>
          </w:tcPr>
          <w:p w14:paraId="0BD8C133"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08</w:t>
            </w:r>
          </w:p>
        </w:tc>
        <w:tc>
          <w:tcPr>
            <w:tcW w:w="2693" w:type="dxa"/>
            <w:shd w:val="clear" w:color="auto" w:fill="auto"/>
            <w:noWrap/>
            <w:hideMark/>
          </w:tcPr>
          <w:p w14:paraId="15788078" w14:textId="77777777" w:rsidR="00CB452A" w:rsidRPr="00CB452A" w:rsidRDefault="00CB452A" w:rsidP="00CB45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12,9 </w:t>
            </w:r>
          </w:p>
        </w:tc>
      </w:tr>
      <w:tr w:rsidR="00CB452A" w:rsidRPr="00CB452A" w14:paraId="48931CFA" w14:textId="77777777" w:rsidTr="001A3BA0">
        <w:trPr>
          <w:trHeight w:val="300"/>
        </w:trPr>
        <w:tc>
          <w:tcPr>
            <w:cnfStyle w:val="001000000000" w:firstRow="0" w:lastRow="0" w:firstColumn="1" w:lastColumn="0" w:oddVBand="0" w:evenVBand="0" w:oddHBand="0" w:evenHBand="0" w:firstRowFirstColumn="0" w:firstRowLastColumn="0" w:lastRowFirstColumn="0" w:lastRowLastColumn="0"/>
            <w:tcW w:w="2835" w:type="dxa"/>
            <w:vMerge/>
            <w:tcBorders>
              <w:bottom w:val="single" w:sz="12" w:space="0" w:color="auto"/>
            </w:tcBorders>
            <w:shd w:val="clear" w:color="auto" w:fill="auto"/>
            <w:hideMark/>
          </w:tcPr>
          <w:p w14:paraId="589E70EE" w14:textId="77777777" w:rsidR="00CB452A" w:rsidRPr="00CB452A" w:rsidRDefault="00CB452A" w:rsidP="00CB452A">
            <w:pPr>
              <w:spacing w:line="360" w:lineRule="auto"/>
              <w:rPr>
                <w:rFonts w:ascii="Times New Roman" w:eastAsia="Times New Roman" w:hAnsi="Times New Roman" w:cs="Times New Roman"/>
                <w:sz w:val="28"/>
                <w:szCs w:val="28"/>
                <w:lang w:eastAsia="fr-FR"/>
              </w:rPr>
            </w:pPr>
          </w:p>
        </w:tc>
        <w:tc>
          <w:tcPr>
            <w:tcW w:w="2410" w:type="dxa"/>
            <w:tcBorders>
              <w:bottom w:val="single" w:sz="12" w:space="0" w:color="auto"/>
            </w:tcBorders>
            <w:shd w:val="clear" w:color="auto" w:fill="auto"/>
            <w:hideMark/>
          </w:tcPr>
          <w:p w14:paraId="515F3BA4" w14:textId="77777777" w:rsidR="00CB452A" w:rsidRPr="00CB452A" w:rsidRDefault="001A3BA0"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primiparous</w:t>
            </w:r>
          </w:p>
        </w:tc>
        <w:tc>
          <w:tcPr>
            <w:tcW w:w="1701" w:type="dxa"/>
            <w:tcBorders>
              <w:bottom w:val="single" w:sz="12" w:space="0" w:color="auto"/>
            </w:tcBorders>
            <w:shd w:val="clear" w:color="auto" w:fill="auto"/>
            <w:noWrap/>
            <w:hideMark/>
          </w:tcPr>
          <w:p w14:paraId="4D7FF2F8"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04</w:t>
            </w:r>
          </w:p>
        </w:tc>
        <w:tc>
          <w:tcPr>
            <w:tcW w:w="2693" w:type="dxa"/>
            <w:tcBorders>
              <w:bottom w:val="single" w:sz="12" w:space="0" w:color="auto"/>
            </w:tcBorders>
            <w:shd w:val="clear" w:color="auto" w:fill="auto"/>
            <w:noWrap/>
            <w:hideMark/>
          </w:tcPr>
          <w:p w14:paraId="4098FF9E" w14:textId="77777777" w:rsidR="00CB452A" w:rsidRPr="00CB452A" w:rsidRDefault="00CB452A" w:rsidP="00CB45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CB452A">
              <w:rPr>
                <w:rFonts w:ascii="Times New Roman" w:eastAsia="Times New Roman" w:hAnsi="Times New Roman" w:cs="Times New Roman"/>
                <w:sz w:val="28"/>
                <w:szCs w:val="28"/>
                <w:lang w:eastAsia="fr-FR"/>
              </w:rPr>
              <w:t xml:space="preserve">6,5 </w:t>
            </w:r>
          </w:p>
        </w:tc>
      </w:tr>
    </w:tbl>
    <w:p w14:paraId="4ECB6EB9" w14:textId="77777777" w:rsidR="00CB452A" w:rsidRDefault="00CB452A" w:rsidP="00CB452A">
      <w:pPr>
        <w:spacing w:line="360" w:lineRule="auto"/>
        <w:rPr>
          <w:rFonts w:ascii="Times New Roman" w:hAnsi="Times New Roman" w:cs="Times New Roman"/>
          <w:b/>
          <w:sz w:val="28"/>
          <w:szCs w:val="28"/>
        </w:rPr>
      </w:pPr>
    </w:p>
    <w:p w14:paraId="6D63891E" w14:textId="77777777" w:rsidR="00384470" w:rsidRPr="00384470" w:rsidRDefault="00384470" w:rsidP="00384470">
      <w:pPr>
        <w:spacing w:line="360" w:lineRule="auto"/>
        <w:rPr>
          <w:rFonts w:ascii="Times New Roman" w:hAnsi="Times New Roman" w:cs="Times New Roman"/>
          <w:b/>
          <w:sz w:val="28"/>
          <w:szCs w:val="28"/>
        </w:rPr>
      </w:pPr>
      <w:r w:rsidRPr="00384470">
        <w:rPr>
          <w:rFonts w:ascii="Times New Roman" w:hAnsi="Times New Roman" w:cs="Times New Roman"/>
          <w:b/>
          <w:sz w:val="28"/>
          <w:szCs w:val="28"/>
        </w:rPr>
        <w:t>Analytical study</w:t>
      </w:r>
    </w:p>
    <w:p w14:paraId="1E9042E7"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lastRenderedPageBreak/>
        <w:t>The prevalence of HPV infection in the study population was 27.41% (17/62), with a few cases of association of different genotypes.  The most common genotypes were HPV-16 (n=15; 75%), HPV-18 (n=4; 20%) and the HPV-16/HPV-18 association was present in 3 cases (17.6%) (Figure 3).</w:t>
      </w:r>
    </w:p>
    <w:p w14:paraId="1F636D43" w14:textId="77777777" w:rsidR="00384470" w:rsidRDefault="00384470" w:rsidP="00384470">
      <w:pPr>
        <w:spacing w:line="360" w:lineRule="auto"/>
        <w:jc w:val="center"/>
        <w:rPr>
          <w:rFonts w:ascii="Times New Roman" w:hAnsi="Times New Roman" w:cs="Times New Roman"/>
          <w:sz w:val="28"/>
          <w:szCs w:val="28"/>
        </w:rPr>
      </w:pPr>
      <w:r w:rsidRPr="00437F07">
        <w:rPr>
          <w:noProof/>
          <w:lang w:eastAsia="fr-FR"/>
        </w:rPr>
        <w:drawing>
          <wp:inline distT="0" distB="0" distL="0" distR="0" wp14:anchorId="5CA217FA" wp14:editId="517EADD5">
            <wp:extent cx="4572000" cy="27432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6378E8" w14:textId="2FCE102D" w:rsidR="00384470" w:rsidRPr="00384470" w:rsidRDefault="00DC5C41" w:rsidP="00384470">
      <w:pPr>
        <w:spacing w:line="360" w:lineRule="auto"/>
        <w:jc w:val="center"/>
        <w:rPr>
          <w:rFonts w:ascii="Times New Roman" w:hAnsi="Times New Roman" w:cs="Times New Roman"/>
          <w:sz w:val="28"/>
          <w:szCs w:val="28"/>
        </w:rPr>
      </w:pPr>
      <w:r w:rsidRPr="00384470">
        <w:rPr>
          <w:rFonts w:ascii="Times New Roman" w:hAnsi="Times New Roman" w:cs="Times New Roman"/>
          <w:sz w:val="28"/>
          <w:szCs w:val="28"/>
        </w:rPr>
        <w:t xml:space="preserve">figure </w:t>
      </w:r>
      <w:r>
        <w:rPr>
          <w:rFonts w:ascii="Times New Roman" w:hAnsi="Times New Roman" w:cs="Times New Roman"/>
          <w:sz w:val="28"/>
          <w:szCs w:val="28"/>
        </w:rPr>
        <w:t xml:space="preserve">3 : </w:t>
      </w:r>
      <w:r w:rsidR="00C834C9">
        <w:rPr>
          <w:rFonts w:ascii="Times New Roman" w:hAnsi="Times New Roman" w:cs="Times New Roman"/>
          <w:sz w:val="28"/>
          <w:szCs w:val="28"/>
        </w:rPr>
        <w:t>The IVA</w:t>
      </w:r>
      <w:r w:rsidR="00384470" w:rsidRPr="00384470">
        <w:rPr>
          <w:rFonts w:ascii="Times New Roman" w:hAnsi="Times New Roman" w:cs="Times New Roman"/>
          <w:sz w:val="28"/>
          <w:szCs w:val="28"/>
        </w:rPr>
        <w:t xml:space="preserve"> test was positive in 7 participants (11.3%).</w:t>
      </w:r>
    </w:p>
    <w:p w14:paraId="372246C1" w14:textId="77777777" w:rsidR="00CB452A" w:rsidRDefault="00384470" w:rsidP="00384470">
      <w:pPr>
        <w:spacing w:line="360" w:lineRule="auto"/>
        <w:jc w:val="center"/>
        <w:rPr>
          <w:rFonts w:ascii="Times New Roman" w:hAnsi="Times New Roman" w:cs="Times New Roman"/>
          <w:b/>
          <w:sz w:val="28"/>
          <w:szCs w:val="28"/>
        </w:rPr>
      </w:pPr>
      <w:r w:rsidRPr="00437F07">
        <w:rPr>
          <w:noProof/>
          <w:lang w:eastAsia="fr-FR"/>
        </w:rPr>
        <w:drawing>
          <wp:inline distT="0" distB="0" distL="0" distR="0" wp14:anchorId="03DFA052" wp14:editId="35161865">
            <wp:extent cx="4133385" cy="2349190"/>
            <wp:effectExtent l="0" t="0" r="6985" b="1333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013839" w14:textId="77777777" w:rsidR="00384470" w:rsidRDefault="00384470" w:rsidP="00384470">
      <w:pPr>
        <w:spacing w:line="360" w:lineRule="auto"/>
        <w:jc w:val="center"/>
        <w:rPr>
          <w:rFonts w:ascii="Times New Roman" w:hAnsi="Times New Roman" w:cs="Times New Roman"/>
          <w:b/>
          <w:sz w:val="28"/>
          <w:szCs w:val="28"/>
        </w:rPr>
      </w:pPr>
      <w:r w:rsidRPr="00384470">
        <w:rPr>
          <w:rFonts w:ascii="Times New Roman" w:hAnsi="Times New Roman" w:cs="Times New Roman"/>
          <w:b/>
          <w:sz w:val="28"/>
          <w:szCs w:val="28"/>
        </w:rPr>
        <w:t xml:space="preserve">Figure </w:t>
      </w:r>
      <w:r w:rsidR="005A4875" w:rsidRPr="00384470">
        <w:rPr>
          <w:rFonts w:ascii="Times New Roman" w:hAnsi="Times New Roman" w:cs="Times New Roman"/>
          <w:b/>
          <w:sz w:val="28"/>
          <w:szCs w:val="28"/>
        </w:rPr>
        <w:t>4 :</w:t>
      </w:r>
      <w:r w:rsidRPr="00384470">
        <w:rPr>
          <w:rFonts w:ascii="Times New Roman" w:hAnsi="Times New Roman" w:cs="Times New Roman"/>
          <w:b/>
          <w:sz w:val="28"/>
          <w:szCs w:val="28"/>
        </w:rPr>
        <w:t xml:space="preserve"> IVA test results</w:t>
      </w:r>
    </w:p>
    <w:p w14:paraId="7ED6C1F0" w14:textId="77777777" w:rsidR="00384470" w:rsidRPr="00384470" w:rsidRDefault="00384470" w:rsidP="00384470">
      <w:pPr>
        <w:spacing w:line="360" w:lineRule="auto"/>
        <w:rPr>
          <w:rFonts w:ascii="Times New Roman" w:hAnsi="Times New Roman" w:cs="Times New Roman"/>
          <w:b/>
          <w:sz w:val="28"/>
          <w:szCs w:val="28"/>
        </w:rPr>
      </w:pPr>
      <w:r w:rsidRPr="00384470">
        <w:rPr>
          <w:rFonts w:ascii="Times New Roman" w:hAnsi="Times New Roman" w:cs="Times New Roman"/>
          <w:b/>
          <w:sz w:val="28"/>
          <w:szCs w:val="28"/>
        </w:rPr>
        <w:t>Study of risk factors associated with HPV infection</w:t>
      </w:r>
    </w:p>
    <w:p w14:paraId="0FDB0F39" w14:textId="77777777" w:rsidR="00384470" w:rsidRP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According to marital status, HPV infections were more frequent in married women than in widows, and this relationship was statistically significant at p=0.019. On the other hand, there was no relationship between age group </w:t>
      </w:r>
      <w:r w:rsidRPr="00384470">
        <w:rPr>
          <w:rFonts w:ascii="Times New Roman" w:hAnsi="Times New Roman" w:cs="Times New Roman"/>
          <w:sz w:val="28"/>
          <w:szCs w:val="28"/>
        </w:rPr>
        <w:lastRenderedPageBreak/>
        <w:t>(p=0.47), age at first intercourse (p=0.85), age at first pregnancy (p=0.35), number of gestures (p=0.13), parity (p=0.22), genital period (p=0.45), contraception (p=0.625), occupation (p=0.527), level of education (p=0.127) and HPV infection (Table 5).</w:t>
      </w:r>
    </w:p>
    <w:p w14:paraId="61E3BB12" w14:textId="77777777" w:rsidR="00384470" w:rsidRDefault="00384470" w:rsidP="00384470">
      <w:pPr>
        <w:spacing w:line="360" w:lineRule="auto"/>
        <w:rPr>
          <w:rFonts w:ascii="Times New Roman" w:hAnsi="Times New Roman" w:cs="Times New Roman"/>
          <w:b/>
          <w:sz w:val="28"/>
          <w:szCs w:val="28"/>
        </w:rPr>
      </w:pPr>
      <w:r w:rsidRPr="00384470">
        <w:rPr>
          <w:rFonts w:ascii="Times New Roman" w:hAnsi="Times New Roman" w:cs="Times New Roman"/>
          <w:b/>
          <w:sz w:val="28"/>
          <w:szCs w:val="28"/>
        </w:rPr>
        <w:t xml:space="preserve">Table </w:t>
      </w:r>
      <w:r w:rsidR="00DA65F0" w:rsidRPr="00384470">
        <w:rPr>
          <w:rFonts w:ascii="Times New Roman" w:hAnsi="Times New Roman" w:cs="Times New Roman"/>
          <w:b/>
          <w:sz w:val="28"/>
          <w:szCs w:val="28"/>
        </w:rPr>
        <w:t>5 :</w:t>
      </w:r>
      <w:r w:rsidRPr="00384470">
        <w:rPr>
          <w:rFonts w:ascii="Times New Roman" w:hAnsi="Times New Roman" w:cs="Times New Roman"/>
          <w:b/>
          <w:sz w:val="28"/>
          <w:szCs w:val="28"/>
        </w:rPr>
        <w:t xml:space="preserve"> Distribution of HPV infection prevalence according to sociodemographic factors and gynecological history</w:t>
      </w:r>
    </w:p>
    <w:tbl>
      <w:tblPr>
        <w:tblStyle w:val="PlainTable2"/>
        <w:tblW w:w="9900" w:type="dxa"/>
        <w:tblLook w:val="04A0" w:firstRow="1" w:lastRow="0" w:firstColumn="1" w:lastColumn="0" w:noHBand="0" w:noVBand="1"/>
      </w:tblPr>
      <w:tblGrid>
        <w:gridCol w:w="3852"/>
        <w:gridCol w:w="2343"/>
        <w:gridCol w:w="1227"/>
        <w:gridCol w:w="1103"/>
        <w:gridCol w:w="1375"/>
      </w:tblGrid>
      <w:tr w:rsidR="00384470" w:rsidRPr="00384470" w14:paraId="37D3CBA6" w14:textId="77777777" w:rsidTr="00212E65">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6329" w:type="dxa"/>
            <w:gridSpan w:val="2"/>
            <w:vMerge w:val="restart"/>
            <w:hideMark/>
          </w:tcPr>
          <w:p w14:paraId="788C98AC"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tc>
        <w:tc>
          <w:tcPr>
            <w:tcW w:w="2196" w:type="dxa"/>
            <w:gridSpan w:val="2"/>
            <w:hideMark/>
          </w:tcPr>
          <w:p w14:paraId="44C9F758" w14:textId="77777777" w:rsidR="00384470" w:rsidRPr="00384470" w:rsidRDefault="00384470" w:rsidP="003844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HPV</w:t>
            </w:r>
          </w:p>
        </w:tc>
        <w:tc>
          <w:tcPr>
            <w:tcW w:w="1375" w:type="dxa"/>
            <w:vMerge w:val="restart"/>
            <w:hideMark/>
          </w:tcPr>
          <w:p w14:paraId="1322C45C" w14:textId="77777777" w:rsidR="00384470" w:rsidRPr="00384470" w:rsidRDefault="00384470" w:rsidP="003844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P-value</w:t>
            </w:r>
          </w:p>
        </w:tc>
      </w:tr>
      <w:tr w:rsidR="00384470" w:rsidRPr="00384470" w14:paraId="1B2EEF89" w14:textId="77777777" w:rsidTr="00212E6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6329" w:type="dxa"/>
            <w:gridSpan w:val="2"/>
            <w:vMerge/>
            <w:hideMark/>
          </w:tcPr>
          <w:p w14:paraId="53386B0E"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1107" w:type="dxa"/>
            <w:hideMark/>
          </w:tcPr>
          <w:p w14:paraId="366FEA6D" w14:textId="77777777" w:rsidR="00384470" w:rsidRPr="00384470" w:rsidRDefault="00F173DF"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Negative</w:t>
            </w:r>
          </w:p>
        </w:tc>
        <w:tc>
          <w:tcPr>
            <w:tcW w:w="1089" w:type="dxa"/>
            <w:hideMark/>
          </w:tcPr>
          <w:p w14:paraId="7E81387A" w14:textId="77777777" w:rsidR="00384470" w:rsidRPr="00384470" w:rsidRDefault="00F173DF"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positive</w:t>
            </w:r>
          </w:p>
        </w:tc>
        <w:tc>
          <w:tcPr>
            <w:tcW w:w="1375" w:type="dxa"/>
            <w:vMerge/>
            <w:hideMark/>
          </w:tcPr>
          <w:p w14:paraId="3E609B34"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794ED341"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72A825D8"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7C0CFD2" w14:textId="77777777" w:rsidR="00384470" w:rsidRPr="00384470" w:rsidRDefault="0089759C" w:rsidP="00384470">
            <w:pPr>
              <w:ind w:firstLineChars="200" w:firstLine="562"/>
              <w:jc w:val="cente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Age group</w:t>
            </w:r>
          </w:p>
        </w:tc>
        <w:tc>
          <w:tcPr>
            <w:tcW w:w="2360" w:type="dxa"/>
            <w:hideMark/>
          </w:tcPr>
          <w:p w14:paraId="7AF18AF8"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18-30</w:t>
            </w:r>
          </w:p>
        </w:tc>
        <w:tc>
          <w:tcPr>
            <w:tcW w:w="1107" w:type="dxa"/>
            <w:noWrap/>
            <w:hideMark/>
          </w:tcPr>
          <w:p w14:paraId="1F6D4A9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25</w:t>
            </w:r>
          </w:p>
        </w:tc>
        <w:tc>
          <w:tcPr>
            <w:tcW w:w="1089" w:type="dxa"/>
            <w:noWrap/>
            <w:hideMark/>
          </w:tcPr>
          <w:p w14:paraId="3ED2B442"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8</w:t>
            </w:r>
          </w:p>
        </w:tc>
        <w:tc>
          <w:tcPr>
            <w:tcW w:w="1375" w:type="dxa"/>
            <w:vMerge w:val="restart"/>
            <w:noWrap/>
            <w:hideMark/>
          </w:tcPr>
          <w:p w14:paraId="345A0D10"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p w14:paraId="7DB3E46B"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0,47</w:t>
            </w:r>
          </w:p>
        </w:tc>
      </w:tr>
      <w:tr w:rsidR="00384470" w:rsidRPr="00384470" w14:paraId="2207923D"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00B6484"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301BF831"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31-43</w:t>
            </w:r>
          </w:p>
        </w:tc>
        <w:tc>
          <w:tcPr>
            <w:tcW w:w="1107" w:type="dxa"/>
            <w:noWrap/>
            <w:hideMark/>
          </w:tcPr>
          <w:p w14:paraId="3C0D3A48"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w:t>
            </w:r>
          </w:p>
        </w:tc>
        <w:tc>
          <w:tcPr>
            <w:tcW w:w="1089" w:type="dxa"/>
            <w:noWrap/>
            <w:hideMark/>
          </w:tcPr>
          <w:p w14:paraId="6281A4C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375" w:type="dxa"/>
            <w:vMerge/>
            <w:hideMark/>
          </w:tcPr>
          <w:p w14:paraId="229AA70E"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65DEC4C"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1781F2F2"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F51FE0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44-56</w:t>
            </w:r>
          </w:p>
        </w:tc>
        <w:tc>
          <w:tcPr>
            <w:tcW w:w="1107" w:type="dxa"/>
            <w:noWrap/>
            <w:hideMark/>
          </w:tcPr>
          <w:p w14:paraId="378A9999"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14</w:t>
            </w:r>
          </w:p>
        </w:tc>
        <w:tc>
          <w:tcPr>
            <w:tcW w:w="1089" w:type="dxa"/>
            <w:noWrap/>
            <w:hideMark/>
          </w:tcPr>
          <w:p w14:paraId="5B335A9F"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5C287002"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0C2C5913"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C3EE4D8"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03DE060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57-78</w:t>
            </w:r>
          </w:p>
        </w:tc>
        <w:tc>
          <w:tcPr>
            <w:tcW w:w="1107" w:type="dxa"/>
            <w:noWrap/>
            <w:hideMark/>
          </w:tcPr>
          <w:p w14:paraId="77998F3B"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089" w:type="dxa"/>
            <w:noWrap/>
            <w:hideMark/>
          </w:tcPr>
          <w:p w14:paraId="5918CB16"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2733E030"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5CCA3689"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1C61D3E5" w14:textId="77777777" w:rsidR="00384470" w:rsidRPr="00384470" w:rsidRDefault="0089759C" w:rsidP="00384470">
            <w:pP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Age at first intercourse</w:t>
            </w:r>
            <w:r w:rsidR="00755F75">
              <w:rPr>
                <w:rFonts w:ascii="Times New Roman" w:eastAsia="Times New Roman" w:hAnsi="Times New Roman" w:cs="Times New Roman"/>
                <w:sz w:val="28"/>
                <w:szCs w:val="28"/>
                <w:lang w:eastAsia="fr-FR"/>
              </w:rPr>
              <w:t>(year)</w:t>
            </w:r>
          </w:p>
        </w:tc>
        <w:tc>
          <w:tcPr>
            <w:tcW w:w="2360" w:type="dxa"/>
            <w:hideMark/>
          </w:tcPr>
          <w:p w14:paraId="700AAF30" w14:textId="77777777" w:rsidR="00384470" w:rsidRPr="00384470" w:rsidRDefault="00DA65F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&lt; 20 </w:t>
            </w:r>
          </w:p>
        </w:tc>
        <w:tc>
          <w:tcPr>
            <w:tcW w:w="1107" w:type="dxa"/>
            <w:noWrap/>
            <w:hideMark/>
          </w:tcPr>
          <w:p w14:paraId="64EFAAB6"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28</w:t>
            </w:r>
          </w:p>
        </w:tc>
        <w:tc>
          <w:tcPr>
            <w:tcW w:w="1089" w:type="dxa"/>
            <w:noWrap/>
            <w:hideMark/>
          </w:tcPr>
          <w:p w14:paraId="59750612"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11</w:t>
            </w:r>
          </w:p>
        </w:tc>
        <w:tc>
          <w:tcPr>
            <w:tcW w:w="1375" w:type="dxa"/>
            <w:vMerge w:val="restart"/>
            <w:noWrap/>
            <w:hideMark/>
          </w:tcPr>
          <w:p w14:paraId="7976C756"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0,85</w:t>
            </w:r>
          </w:p>
        </w:tc>
      </w:tr>
      <w:tr w:rsidR="00384470" w:rsidRPr="00384470" w14:paraId="2FAF84F8"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549B0F31"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5BA2BA71" w14:textId="77777777" w:rsidR="00384470" w:rsidRPr="00384470" w:rsidRDefault="00DA65F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20 </w:t>
            </w:r>
          </w:p>
        </w:tc>
        <w:tc>
          <w:tcPr>
            <w:tcW w:w="1107" w:type="dxa"/>
            <w:noWrap/>
            <w:hideMark/>
          </w:tcPr>
          <w:p w14:paraId="0CD7739F"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17</w:t>
            </w:r>
          </w:p>
        </w:tc>
        <w:tc>
          <w:tcPr>
            <w:tcW w:w="1089" w:type="dxa"/>
            <w:noWrap/>
            <w:hideMark/>
          </w:tcPr>
          <w:p w14:paraId="407B43D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53E5BDCF"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1646AA1"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7B8CDE9B" w14:textId="77777777" w:rsidR="00384470" w:rsidRPr="00384470" w:rsidRDefault="0089759C" w:rsidP="00384470">
            <w:pPr>
              <w:jc w:val="cente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Age at first pregnancy</w:t>
            </w:r>
            <w:r w:rsidR="00755F75">
              <w:rPr>
                <w:rFonts w:ascii="Times New Roman" w:eastAsia="Times New Roman" w:hAnsi="Times New Roman" w:cs="Times New Roman"/>
                <w:sz w:val="28"/>
                <w:szCs w:val="28"/>
                <w:lang w:eastAsia="fr-FR"/>
              </w:rPr>
              <w:t>(year)</w:t>
            </w:r>
          </w:p>
        </w:tc>
        <w:tc>
          <w:tcPr>
            <w:tcW w:w="2360" w:type="dxa"/>
            <w:hideMark/>
          </w:tcPr>
          <w:p w14:paraId="6644C935" w14:textId="77777777" w:rsidR="00384470" w:rsidRPr="00384470" w:rsidRDefault="00DA65F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&lt; 20 </w:t>
            </w:r>
          </w:p>
        </w:tc>
        <w:tc>
          <w:tcPr>
            <w:tcW w:w="1107" w:type="dxa"/>
            <w:noWrap/>
            <w:hideMark/>
          </w:tcPr>
          <w:p w14:paraId="77E7DB7B"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19</w:t>
            </w:r>
          </w:p>
        </w:tc>
        <w:tc>
          <w:tcPr>
            <w:tcW w:w="1089" w:type="dxa"/>
            <w:noWrap/>
            <w:hideMark/>
          </w:tcPr>
          <w:p w14:paraId="14DBE6BC"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val="restart"/>
            <w:noWrap/>
            <w:hideMark/>
          </w:tcPr>
          <w:p w14:paraId="532F873F"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0,35</w:t>
            </w:r>
          </w:p>
        </w:tc>
      </w:tr>
      <w:tr w:rsidR="00384470" w:rsidRPr="00384470" w14:paraId="1985F281"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45B8E29"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27699569" w14:textId="77777777" w:rsidR="00384470" w:rsidRPr="00384470" w:rsidRDefault="00DA65F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20 </w:t>
            </w:r>
          </w:p>
        </w:tc>
        <w:tc>
          <w:tcPr>
            <w:tcW w:w="1107" w:type="dxa"/>
            <w:noWrap/>
            <w:hideMark/>
          </w:tcPr>
          <w:p w14:paraId="1895A0CF"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26</w:t>
            </w:r>
          </w:p>
        </w:tc>
        <w:tc>
          <w:tcPr>
            <w:tcW w:w="1089" w:type="dxa"/>
            <w:noWrap/>
            <w:hideMark/>
          </w:tcPr>
          <w:p w14:paraId="3F46D98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375" w:type="dxa"/>
            <w:vMerge/>
            <w:hideMark/>
          </w:tcPr>
          <w:p w14:paraId="1C12D519"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14B33DD" w14:textId="77777777" w:rsidTr="00755F75">
        <w:trPr>
          <w:trHeight w:val="354"/>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42B51136"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7620FFF"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480C7923" w14:textId="77777777" w:rsidR="00384470" w:rsidRPr="00384470" w:rsidRDefault="0089759C" w:rsidP="00384470">
            <w:pPr>
              <w:ind w:firstLineChars="200" w:firstLine="562"/>
              <w:jc w:val="center"/>
              <w:rPr>
                <w:rFonts w:ascii="Times New Roman" w:eastAsia="Times New Roman" w:hAnsi="Times New Roman" w:cs="Times New Roman"/>
                <w:sz w:val="28"/>
                <w:szCs w:val="28"/>
                <w:lang w:eastAsia="fr-FR"/>
              </w:rPr>
            </w:pPr>
            <w:r w:rsidRPr="0089759C">
              <w:rPr>
                <w:rFonts w:ascii="Times New Roman" w:eastAsia="Times New Roman" w:hAnsi="Times New Roman" w:cs="Times New Roman"/>
                <w:sz w:val="28"/>
                <w:szCs w:val="28"/>
                <w:lang w:eastAsia="fr-FR"/>
              </w:rPr>
              <w:t>Number of parities</w:t>
            </w:r>
          </w:p>
        </w:tc>
        <w:tc>
          <w:tcPr>
            <w:tcW w:w="2360" w:type="dxa"/>
            <w:hideMark/>
          </w:tcPr>
          <w:p w14:paraId="219002D7" w14:textId="77777777" w:rsidR="00384470" w:rsidRPr="00384470" w:rsidRDefault="00EE7BC1" w:rsidP="00EE7B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Large multiparous</w:t>
            </w:r>
          </w:p>
        </w:tc>
        <w:tc>
          <w:tcPr>
            <w:tcW w:w="1107" w:type="dxa"/>
            <w:noWrap/>
            <w:hideMark/>
          </w:tcPr>
          <w:p w14:paraId="2CC9C4C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089" w:type="dxa"/>
            <w:noWrap/>
            <w:hideMark/>
          </w:tcPr>
          <w:p w14:paraId="538DE10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val="restart"/>
            <w:noWrap/>
            <w:hideMark/>
          </w:tcPr>
          <w:p w14:paraId="04FDA262"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0,13</w:t>
            </w:r>
          </w:p>
        </w:tc>
      </w:tr>
      <w:tr w:rsidR="00384470" w:rsidRPr="00384470" w14:paraId="747E5617"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0D1169D9"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70166506" w14:textId="77777777" w:rsidR="00384470" w:rsidRPr="00384470" w:rsidRDefault="00EE7BC1"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multiparous</w:t>
            </w:r>
          </w:p>
        </w:tc>
        <w:tc>
          <w:tcPr>
            <w:tcW w:w="1107" w:type="dxa"/>
            <w:noWrap/>
            <w:hideMark/>
          </w:tcPr>
          <w:p w14:paraId="262E840D"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25</w:t>
            </w:r>
          </w:p>
        </w:tc>
        <w:tc>
          <w:tcPr>
            <w:tcW w:w="1089" w:type="dxa"/>
            <w:noWrap/>
            <w:hideMark/>
          </w:tcPr>
          <w:p w14:paraId="618CBDB6"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8</w:t>
            </w:r>
          </w:p>
        </w:tc>
        <w:tc>
          <w:tcPr>
            <w:tcW w:w="1375" w:type="dxa"/>
            <w:vMerge/>
            <w:hideMark/>
          </w:tcPr>
          <w:p w14:paraId="6F56EAE5"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D565CF2"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DB996C9"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43DA5C2F" w14:textId="77777777" w:rsidR="00384470" w:rsidRPr="00384470" w:rsidRDefault="00EE7BC1"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Nulliparous</w:t>
            </w:r>
          </w:p>
        </w:tc>
        <w:tc>
          <w:tcPr>
            <w:tcW w:w="1107" w:type="dxa"/>
            <w:noWrap/>
            <w:hideMark/>
          </w:tcPr>
          <w:p w14:paraId="2B0F55A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089" w:type="dxa"/>
            <w:noWrap/>
            <w:hideMark/>
          </w:tcPr>
          <w:p w14:paraId="06550A89"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375" w:type="dxa"/>
            <w:vMerge/>
            <w:hideMark/>
          </w:tcPr>
          <w:p w14:paraId="0781E5B7"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34918E2" w14:textId="77777777" w:rsidTr="00755F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153883FD"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342C2CBF" w14:textId="77777777" w:rsidR="00384470" w:rsidRPr="00384470" w:rsidRDefault="00EE7BC1"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Primiparous</w:t>
            </w:r>
          </w:p>
        </w:tc>
        <w:tc>
          <w:tcPr>
            <w:tcW w:w="1107" w:type="dxa"/>
            <w:noWrap/>
            <w:hideMark/>
          </w:tcPr>
          <w:p w14:paraId="1DBD58D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089" w:type="dxa"/>
            <w:noWrap/>
            <w:hideMark/>
          </w:tcPr>
          <w:p w14:paraId="040594C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w:t>
            </w:r>
          </w:p>
        </w:tc>
        <w:tc>
          <w:tcPr>
            <w:tcW w:w="1375" w:type="dxa"/>
            <w:vMerge/>
            <w:hideMark/>
          </w:tcPr>
          <w:p w14:paraId="6528A4DA"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D09A84C"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064C8034"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FDF0629" w14:textId="77777777" w:rsidR="00384470" w:rsidRPr="00384470" w:rsidRDefault="001F3B62" w:rsidP="00384470">
            <w:pPr>
              <w:ind w:firstLineChars="200" w:firstLine="562"/>
              <w:jc w:val="center"/>
              <w:rPr>
                <w:rFonts w:ascii="Times New Roman" w:eastAsia="Times New Roman" w:hAnsi="Times New Roman" w:cs="Times New Roman"/>
                <w:sz w:val="28"/>
                <w:szCs w:val="28"/>
                <w:lang w:eastAsia="fr-FR"/>
              </w:rPr>
            </w:pPr>
            <w:r w:rsidRPr="001F3B62">
              <w:rPr>
                <w:rFonts w:ascii="Times New Roman" w:eastAsia="Times New Roman" w:hAnsi="Times New Roman" w:cs="Times New Roman"/>
                <w:sz w:val="28"/>
                <w:szCs w:val="28"/>
                <w:lang w:eastAsia="fr-FR"/>
              </w:rPr>
              <w:t>Number of gestations</w:t>
            </w:r>
          </w:p>
        </w:tc>
        <w:tc>
          <w:tcPr>
            <w:tcW w:w="2360" w:type="dxa"/>
            <w:hideMark/>
          </w:tcPr>
          <w:p w14:paraId="69FC205E" w14:textId="77777777" w:rsidR="00384470" w:rsidRPr="00384470" w:rsidRDefault="00EE7BC1"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Large</w:t>
            </w:r>
            <w:r w:rsidR="00384470" w:rsidRPr="00384470">
              <w:rPr>
                <w:rFonts w:ascii="Times New Roman" w:eastAsia="Times New Roman" w:hAnsi="Times New Roman" w:cs="Times New Roman"/>
                <w:sz w:val="28"/>
                <w:szCs w:val="28"/>
                <w:lang w:eastAsia="fr-FR"/>
              </w:rPr>
              <w:t xml:space="preserve"> multigeste</w:t>
            </w:r>
          </w:p>
        </w:tc>
        <w:tc>
          <w:tcPr>
            <w:tcW w:w="1107" w:type="dxa"/>
            <w:noWrap/>
            <w:hideMark/>
          </w:tcPr>
          <w:p w14:paraId="0872AF5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089" w:type="dxa"/>
            <w:noWrap/>
            <w:hideMark/>
          </w:tcPr>
          <w:p w14:paraId="32BC3886"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375" w:type="dxa"/>
            <w:vMerge w:val="restart"/>
            <w:noWrap/>
            <w:hideMark/>
          </w:tcPr>
          <w:p w14:paraId="79D149D0"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0,22</w:t>
            </w:r>
          </w:p>
        </w:tc>
      </w:tr>
      <w:tr w:rsidR="00384470" w:rsidRPr="00384470" w14:paraId="7A7D171C"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68A4FA4"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231E0CF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multigeste</w:t>
            </w:r>
          </w:p>
        </w:tc>
        <w:tc>
          <w:tcPr>
            <w:tcW w:w="1107" w:type="dxa"/>
            <w:noWrap/>
            <w:hideMark/>
          </w:tcPr>
          <w:p w14:paraId="52E31C2B"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26</w:t>
            </w:r>
          </w:p>
        </w:tc>
        <w:tc>
          <w:tcPr>
            <w:tcW w:w="1089" w:type="dxa"/>
            <w:noWrap/>
            <w:hideMark/>
          </w:tcPr>
          <w:p w14:paraId="6DBC745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71C700F8"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82CDC68"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2BEC9877"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2EA1DA7C"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nulligestes</w:t>
            </w:r>
          </w:p>
        </w:tc>
        <w:tc>
          <w:tcPr>
            <w:tcW w:w="1107" w:type="dxa"/>
            <w:noWrap/>
            <w:hideMark/>
          </w:tcPr>
          <w:p w14:paraId="124784F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089" w:type="dxa"/>
            <w:noWrap/>
            <w:hideMark/>
          </w:tcPr>
          <w:p w14:paraId="5CC3C66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5D9E2CE3"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025EBE31" w14:textId="77777777" w:rsidTr="00755F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0C103064"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41D1F0D"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Primigestes</w:t>
            </w:r>
          </w:p>
        </w:tc>
        <w:tc>
          <w:tcPr>
            <w:tcW w:w="1107" w:type="dxa"/>
            <w:noWrap/>
            <w:hideMark/>
          </w:tcPr>
          <w:p w14:paraId="4C3D34CD"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089" w:type="dxa"/>
            <w:noWrap/>
            <w:hideMark/>
          </w:tcPr>
          <w:p w14:paraId="631F78B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4966A898"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03C20671" w14:textId="77777777" w:rsidTr="00755F75">
        <w:trPr>
          <w:trHeight w:val="402"/>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07B311A8"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7BB901D1" w14:textId="77777777" w:rsidR="00384470" w:rsidRPr="00384470" w:rsidRDefault="001F3B62" w:rsidP="00384470">
            <w:pPr>
              <w:ind w:firstLineChars="200" w:firstLine="562"/>
              <w:jc w:val="center"/>
              <w:rPr>
                <w:rFonts w:ascii="Times New Roman" w:eastAsia="Times New Roman" w:hAnsi="Times New Roman" w:cs="Times New Roman"/>
                <w:sz w:val="28"/>
                <w:szCs w:val="28"/>
                <w:lang w:eastAsia="fr-FR"/>
              </w:rPr>
            </w:pPr>
            <w:r w:rsidRPr="001F3B62">
              <w:rPr>
                <w:rFonts w:ascii="Times New Roman" w:eastAsia="Times New Roman" w:hAnsi="Times New Roman" w:cs="Times New Roman"/>
                <w:sz w:val="28"/>
                <w:szCs w:val="28"/>
                <w:lang w:eastAsia="fr-FR"/>
              </w:rPr>
              <w:t>Genital period</w:t>
            </w:r>
          </w:p>
        </w:tc>
        <w:tc>
          <w:tcPr>
            <w:tcW w:w="2360" w:type="dxa"/>
            <w:hideMark/>
          </w:tcPr>
          <w:p w14:paraId="0387B112" w14:textId="77777777" w:rsidR="00384470" w:rsidRPr="00384470" w:rsidRDefault="00EE7BC1" w:rsidP="00F173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Genital activity</w:t>
            </w:r>
          </w:p>
        </w:tc>
        <w:tc>
          <w:tcPr>
            <w:tcW w:w="1107" w:type="dxa"/>
            <w:noWrap/>
            <w:hideMark/>
          </w:tcPr>
          <w:p w14:paraId="07A0B75D"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29</w:t>
            </w:r>
          </w:p>
        </w:tc>
        <w:tc>
          <w:tcPr>
            <w:tcW w:w="1089" w:type="dxa"/>
            <w:noWrap/>
            <w:hideMark/>
          </w:tcPr>
          <w:p w14:paraId="3BA72AA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8</w:t>
            </w:r>
          </w:p>
        </w:tc>
        <w:tc>
          <w:tcPr>
            <w:tcW w:w="1375" w:type="dxa"/>
            <w:vMerge w:val="restart"/>
            <w:noWrap/>
            <w:hideMark/>
          </w:tcPr>
          <w:p w14:paraId="171B0CAD"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0,449</w:t>
            </w:r>
          </w:p>
        </w:tc>
      </w:tr>
      <w:tr w:rsidR="00384470" w:rsidRPr="00384470" w14:paraId="49D87134"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457DDC5D"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087BC849" w14:textId="77777777" w:rsidR="00384470" w:rsidRPr="00384470" w:rsidRDefault="00EE7BC1" w:rsidP="00F173DF">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me</w:t>
            </w:r>
            <w:r w:rsidR="00384470" w:rsidRPr="00384470">
              <w:rPr>
                <w:rFonts w:ascii="Times New Roman" w:eastAsia="Times New Roman" w:hAnsi="Times New Roman" w:cs="Times New Roman"/>
                <w:sz w:val="28"/>
                <w:szCs w:val="28"/>
                <w:lang w:eastAsia="fr-FR"/>
              </w:rPr>
              <w:t>nopause</w:t>
            </w:r>
          </w:p>
        </w:tc>
        <w:tc>
          <w:tcPr>
            <w:tcW w:w="1107" w:type="dxa"/>
            <w:noWrap/>
            <w:hideMark/>
          </w:tcPr>
          <w:p w14:paraId="0FBF4C99"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10</w:t>
            </w:r>
          </w:p>
        </w:tc>
        <w:tc>
          <w:tcPr>
            <w:tcW w:w="1089" w:type="dxa"/>
            <w:noWrap/>
            <w:hideMark/>
          </w:tcPr>
          <w:p w14:paraId="38EA4646"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0E96CA38"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1CB93BFE" w14:textId="77777777" w:rsidTr="00755F75">
        <w:trPr>
          <w:trHeight w:val="457"/>
        </w:trPr>
        <w:tc>
          <w:tcPr>
            <w:cnfStyle w:val="001000000000" w:firstRow="0" w:lastRow="0" w:firstColumn="1" w:lastColumn="0" w:oddVBand="0" w:evenVBand="0" w:oddHBand="0" w:evenHBand="0" w:firstRowFirstColumn="0" w:firstRowLastColumn="0" w:lastRowFirstColumn="0" w:lastRowLastColumn="0"/>
            <w:tcW w:w="3969" w:type="dxa"/>
            <w:vMerge/>
            <w:hideMark/>
          </w:tcPr>
          <w:p w14:paraId="0F7BADD6"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16C8AB55" w14:textId="77777777" w:rsidR="00384470" w:rsidRPr="00384470" w:rsidRDefault="00EE7BC1" w:rsidP="00F173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Peri-</w:t>
            </w:r>
            <w:r w:rsidR="00384470" w:rsidRPr="00384470">
              <w:rPr>
                <w:rFonts w:ascii="Times New Roman" w:eastAsia="Times New Roman" w:hAnsi="Times New Roman" w:cs="Times New Roman"/>
                <w:sz w:val="28"/>
                <w:szCs w:val="28"/>
                <w:lang w:eastAsia="fr-FR"/>
              </w:rPr>
              <w:t>ménopause</w:t>
            </w:r>
          </w:p>
        </w:tc>
        <w:tc>
          <w:tcPr>
            <w:tcW w:w="1107" w:type="dxa"/>
            <w:noWrap/>
            <w:hideMark/>
          </w:tcPr>
          <w:p w14:paraId="2B61A563"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089" w:type="dxa"/>
            <w:noWrap/>
            <w:hideMark/>
          </w:tcPr>
          <w:p w14:paraId="5C1281B5"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3</w:t>
            </w:r>
          </w:p>
        </w:tc>
        <w:tc>
          <w:tcPr>
            <w:tcW w:w="1375" w:type="dxa"/>
            <w:vMerge/>
            <w:hideMark/>
          </w:tcPr>
          <w:p w14:paraId="4D06E62D"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8752FF4"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093F4B7B"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Contraception</w:t>
            </w:r>
          </w:p>
        </w:tc>
        <w:tc>
          <w:tcPr>
            <w:tcW w:w="2360" w:type="dxa"/>
            <w:hideMark/>
          </w:tcPr>
          <w:p w14:paraId="5C3F56BE" w14:textId="77777777" w:rsidR="00384470" w:rsidRPr="00384470" w:rsidRDefault="00755F75"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NO</w:t>
            </w:r>
          </w:p>
        </w:tc>
        <w:tc>
          <w:tcPr>
            <w:tcW w:w="1107" w:type="dxa"/>
            <w:noWrap/>
            <w:hideMark/>
          </w:tcPr>
          <w:p w14:paraId="04EFA58C"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26</w:t>
            </w:r>
          </w:p>
        </w:tc>
        <w:tc>
          <w:tcPr>
            <w:tcW w:w="1089" w:type="dxa"/>
            <w:noWrap/>
            <w:hideMark/>
          </w:tcPr>
          <w:p w14:paraId="78AE9C43"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11</w:t>
            </w:r>
          </w:p>
        </w:tc>
        <w:tc>
          <w:tcPr>
            <w:tcW w:w="1375" w:type="dxa"/>
            <w:vMerge w:val="restart"/>
            <w:noWrap/>
            <w:hideMark/>
          </w:tcPr>
          <w:p w14:paraId="5DAD9D37"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0,620</w:t>
            </w:r>
          </w:p>
        </w:tc>
      </w:tr>
      <w:tr w:rsidR="00384470" w:rsidRPr="00384470" w14:paraId="7EFA3632"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72BD8FD6"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D43E9AB" w14:textId="77777777" w:rsidR="00384470" w:rsidRPr="00384470" w:rsidRDefault="00755F75"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YES</w:t>
            </w:r>
          </w:p>
        </w:tc>
        <w:tc>
          <w:tcPr>
            <w:tcW w:w="1107" w:type="dxa"/>
            <w:noWrap/>
            <w:hideMark/>
          </w:tcPr>
          <w:p w14:paraId="616838BC"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19</w:t>
            </w:r>
          </w:p>
        </w:tc>
        <w:tc>
          <w:tcPr>
            <w:tcW w:w="1089" w:type="dxa"/>
            <w:noWrap/>
            <w:hideMark/>
          </w:tcPr>
          <w:p w14:paraId="7655689F"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6</w:t>
            </w:r>
          </w:p>
        </w:tc>
        <w:tc>
          <w:tcPr>
            <w:tcW w:w="1375" w:type="dxa"/>
            <w:vMerge/>
            <w:hideMark/>
          </w:tcPr>
          <w:p w14:paraId="459BA448"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2E8C5B2E"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5FFE0669" w14:textId="77777777" w:rsidR="00384470" w:rsidRPr="00384470" w:rsidRDefault="00B07BE6" w:rsidP="00384470">
            <w:pPr>
              <w:ind w:firstLineChars="200" w:firstLine="562"/>
              <w:jc w:val="center"/>
              <w:rPr>
                <w:rFonts w:ascii="Times New Roman" w:eastAsia="Times New Roman" w:hAnsi="Times New Roman" w:cs="Times New Roman"/>
                <w:sz w:val="28"/>
                <w:szCs w:val="28"/>
                <w:lang w:eastAsia="fr-FR"/>
              </w:rPr>
            </w:pPr>
            <w:r w:rsidRPr="00B07BE6">
              <w:rPr>
                <w:rFonts w:ascii="Times New Roman" w:eastAsia="Times New Roman" w:hAnsi="Times New Roman" w:cs="Times New Roman"/>
                <w:sz w:val="28"/>
                <w:szCs w:val="28"/>
                <w:lang w:eastAsia="fr-FR"/>
              </w:rPr>
              <w:t>Socio-economic status</w:t>
            </w:r>
          </w:p>
        </w:tc>
        <w:tc>
          <w:tcPr>
            <w:tcW w:w="2360" w:type="dxa"/>
            <w:hideMark/>
          </w:tcPr>
          <w:p w14:paraId="2F48D9DD" w14:textId="77777777" w:rsidR="00384470" w:rsidRPr="00384470" w:rsidRDefault="00755F75"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Housewife</w:t>
            </w:r>
          </w:p>
        </w:tc>
        <w:tc>
          <w:tcPr>
            <w:tcW w:w="1107" w:type="dxa"/>
            <w:noWrap/>
            <w:hideMark/>
          </w:tcPr>
          <w:p w14:paraId="18DAC675"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20</w:t>
            </w:r>
          </w:p>
        </w:tc>
        <w:tc>
          <w:tcPr>
            <w:tcW w:w="1089" w:type="dxa"/>
            <w:noWrap/>
            <w:hideMark/>
          </w:tcPr>
          <w:p w14:paraId="1BFC41CF"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val="restart"/>
            <w:noWrap/>
            <w:hideMark/>
          </w:tcPr>
          <w:p w14:paraId="37756ABB"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0,527</w:t>
            </w:r>
          </w:p>
        </w:tc>
      </w:tr>
      <w:tr w:rsidR="00384470" w:rsidRPr="00384470" w14:paraId="0BB566FE"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5992C5FB"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6EC218F4" w14:textId="77777777" w:rsidR="00384470" w:rsidRPr="00384470" w:rsidRDefault="00755F75"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liberal</w:t>
            </w:r>
          </w:p>
        </w:tc>
        <w:tc>
          <w:tcPr>
            <w:tcW w:w="1107" w:type="dxa"/>
            <w:noWrap/>
            <w:hideMark/>
          </w:tcPr>
          <w:p w14:paraId="274442A0"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16</w:t>
            </w:r>
          </w:p>
        </w:tc>
        <w:tc>
          <w:tcPr>
            <w:tcW w:w="1089" w:type="dxa"/>
            <w:noWrap/>
            <w:hideMark/>
          </w:tcPr>
          <w:p w14:paraId="00BCC2E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375" w:type="dxa"/>
            <w:vMerge/>
            <w:hideMark/>
          </w:tcPr>
          <w:p w14:paraId="648CE18A"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65DE971C"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493CE6E1"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40721FF4" w14:textId="77777777" w:rsidR="00384470" w:rsidRPr="00384470" w:rsidRDefault="00755F75"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employee</w:t>
            </w:r>
          </w:p>
        </w:tc>
        <w:tc>
          <w:tcPr>
            <w:tcW w:w="1107" w:type="dxa"/>
            <w:noWrap/>
            <w:hideMark/>
          </w:tcPr>
          <w:p w14:paraId="7540A1CA"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9</w:t>
            </w:r>
          </w:p>
        </w:tc>
        <w:tc>
          <w:tcPr>
            <w:tcW w:w="1089" w:type="dxa"/>
            <w:noWrap/>
            <w:hideMark/>
          </w:tcPr>
          <w:p w14:paraId="4B8BAD88"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5</w:t>
            </w:r>
          </w:p>
        </w:tc>
        <w:tc>
          <w:tcPr>
            <w:tcW w:w="1375" w:type="dxa"/>
            <w:vMerge/>
            <w:hideMark/>
          </w:tcPr>
          <w:p w14:paraId="488D0AA7"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73B23B4E"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27580356" w14:textId="77777777" w:rsidR="00384470" w:rsidRPr="00384470" w:rsidRDefault="00B07BE6" w:rsidP="00384470">
            <w:pPr>
              <w:ind w:firstLineChars="200" w:firstLine="562"/>
              <w:jc w:val="center"/>
              <w:rPr>
                <w:rFonts w:ascii="Times New Roman" w:eastAsia="Times New Roman" w:hAnsi="Times New Roman" w:cs="Times New Roman"/>
                <w:sz w:val="28"/>
                <w:szCs w:val="28"/>
                <w:lang w:eastAsia="fr-FR"/>
              </w:rPr>
            </w:pPr>
            <w:r w:rsidRPr="00B07BE6">
              <w:rPr>
                <w:rFonts w:ascii="Times New Roman" w:eastAsia="Times New Roman" w:hAnsi="Times New Roman" w:cs="Times New Roman"/>
                <w:sz w:val="28"/>
                <w:szCs w:val="28"/>
                <w:lang w:eastAsia="fr-FR"/>
              </w:rPr>
              <w:t>Marital status</w:t>
            </w:r>
          </w:p>
        </w:tc>
        <w:tc>
          <w:tcPr>
            <w:tcW w:w="2360" w:type="dxa"/>
            <w:hideMark/>
          </w:tcPr>
          <w:p w14:paraId="7684BEE0" w14:textId="77777777" w:rsidR="00384470" w:rsidRPr="00384470" w:rsidRDefault="00EE7BC1"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married</w:t>
            </w:r>
          </w:p>
        </w:tc>
        <w:tc>
          <w:tcPr>
            <w:tcW w:w="1107" w:type="dxa"/>
            <w:noWrap/>
            <w:hideMark/>
          </w:tcPr>
          <w:p w14:paraId="5D9B7FE6"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45</w:t>
            </w:r>
          </w:p>
        </w:tc>
        <w:tc>
          <w:tcPr>
            <w:tcW w:w="1089" w:type="dxa"/>
            <w:noWrap/>
            <w:hideMark/>
          </w:tcPr>
          <w:p w14:paraId="31868361"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15</w:t>
            </w:r>
          </w:p>
        </w:tc>
        <w:tc>
          <w:tcPr>
            <w:tcW w:w="1375" w:type="dxa"/>
            <w:vMerge w:val="restart"/>
            <w:noWrap/>
            <w:hideMark/>
          </w:tcPr>
          <w:p w14:paraId="106AFE80"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fr-FR"/>
              </w:rPr>
            </w:pPr>
            <w:r w:rsidRPr="00384470">
              <w:rPr>
                <w:rFonts w:ascii="Times New Roman" w:eastAsia="Times New Roman" w:hAnsi="Times New Roman" w:cs="Times New Roman"/>
                <w:b/>
                <w:sz w:val="28"/>
                <w:szCs w:val="28"/>
                <w:lang w:eastAsia="fr-FR"/>
              </w:rPr>
              <w:t>0,019</w:t>
            </w:r>
          </w:p>
        </w:tc>
      </w:tr>
      <w:tr w:rsidR="00384470" w:rsidRPr="00384470" w14:paraId="407FB783"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179A1221" w14:textId="77777777" w:rsidR="00384470" w:rsidRPr="00384470" w:rsidRDefault="00384470" w:rsidP="00384470">
            <w:pPr>
              <w:jc w:val="center"/>
              <w:rPr>
                <w:rFonts w:ascii="Times New Roman" w:eastAsia="Times New Roman" w:hAnsi="Times New Roman" w:cs="Times New Roman"/>
                <w:sz w:val="28"/>
                <w:szCs w:val="28"/>
                <w:lang w:eastAsia="fr-FR"/>
              </w:rPr>
            </w:pPr>
          </w:p>
        </w:tc>
        <w:tc>
          <w:tcPr>
            <w:tcW w:w="2360" w:type="dxa"/>
            <w:hideMark/>
          </w:tcPr>
          <w:p w14:paraId="0CB639F5" w14:textId="77777777" w:rsidR="00384470" w:rsidRPr="00384470" w:rsidRDefault="00EE7BC1"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widowed</w:t>
            </w:r>
          </w:p>
        </w:tc>
        <w:tc>
          <w:tcPr>
            <w:tcW w:w="1107" w:type="dxa"/>
            <w:noWrap/>
            <w:hideMark/>
          </w:tcPr>
          <w:p w14:paraId="45DA27CC"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w:t>
            </w:r>
          </w:p>
        </w:tc>
        <w:tc>
          <w:tcPr>
            <w:tcW w:w="1089" w:type="dxa"/>
            <w:noWrap/>
            <w:hideMark/>
          </w:tcPr>
          <w:p w14:paraId="5D359500" w14:textId="77777777" w:rsidR="00384470" w:rsidRPr="00384470" w:rsidRDefault="00384470" w:rsidP="00384470">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6BA1FD4F" w14:textId="77777777" w:rsidR="00384470" w:rsidRPr="00384470" w:rsidRDefault="00384470" w:rsidP="003844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384470" w:rsidRPr="00384470" w14:paraId="7FFA2CD4"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val="restart"/>
            <w:hideMark/>
          </w:tcPr>
          <w:p w14:paraId="7EAFE125"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3C5D505D" w14:textId="77777777" w:rsidR="00384470" w:rsidRPr="00384470" w:rsidRDefault="00384470" w:rsidP="00384470">
            <w:pPr>
              <w:ind w:firstLineChars="200" w:firstLine="562"/>
              <w:jc w:val="center"/>
              <w:rPr>
                <w:rFonts w:ascii="Times New Roman" w:eastAsia="Times New Roman" w:hAnsi="Times New Roman" w:cs="Times New Roman"/>
                <w:sz w:val="28"/>
                <w:szCs w:val="28"/>
                <w:lang w:eastAsia="fr-FR"/>
              </w:rPr>
            </w:pPr>
          </w:p>
          <w:p w14:paraId="62E0C671" w14:textId="77777777" w:rsidR="00384470" w:rsidRPr="00384470" w:rsidRDefault="00B07BE6" w:rsidP="00384470">
            <w:pPr>
              <w:ind w:firstLineChars="200" w:firstLine="562"/>
              <w:jc w:val="center"/>
              <w:rPr>
                <w:rFonts w:ascii="Times New Roman" w:eastAsia="Times New Roman" w:hAnsi="Times New Roman" w:cs="Times New Roman"/>
                <w:sz w:val="28"/>
                <w:szCs w:val="28"/>
                <w:lang w:eastAsia="fr-FR"/>
              </w:rPr>
            </w:pPr>
            <w:r w:rsidRPr="00B07BE6">
              <w:rPr>
                <w:rFonts w:ascii="Times New Roman" w:eastAsia="Times New Roman" w:hAnsi="Times New Roman" w:cs="Times New Roman"/>
                <w:sz w:val="28"/>
                <w:szCs w:val="28"/>
                <w:lang w:eastAsia="fr-FR"/>
              </w:rPr>
              <w:t>Level of education</w:t>
            </w:r>
          </w:p>
        </w:tc>
        <w:tc>
          <w:tcPr>
            <w:tcW w:w="2360" w:type="dxa"/>
            <w:hideMark/>
          </w:tcPr>
          <w:p w14:paraId="6429C1E7" w14:textId="77777777" w:rsidR="00384470" w:rsidRPr="00384470" w:rsidRDefault="00B931E8" w:rsidP="00B931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00EE7BC1" w:rsidRPr="00EE7BC1">
              <w:rPr>
                <w:rFonts w:ascii="Times New Roman" w:eastAsia="Times New Roman" w:hAnsi="Times New Roman" w:cs="Times New Roman"/>
                <w:sz w:val="28"/>
                <w:szCs w:val="28"/>
                <w:lang w:eastAsia="fr-FR"/>
              </w:rPr>
              <w:t>No schooling</w:t>
            </w:r>
          </w:p>
        </w:tc>
        <w:tc>
          <w:tcPr>
            <w:tcW w:w="1107" w:type="dxa"/>
            <w:noWrap/>
            <w:hideMark/>
          </w:tcPr>
          <w:p w14:paraId="3100A77E"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23</w:t>
            </w:r>
          </w:p>
        </w:tc>
        <w:tc>
          <w:tcPr>
            <w:tcW w:w="1089" w:type="dxa"/>
            <w:noWrap/>
            <w:hideMark/>
          </w:tcPr>
          <w:p w14:paraId="012647D2" w14:textId="77777777" w:rsidR="00384470" w:rsidRPr="00384470" w:rsidRDefault="00384470" w:rsidP="00384470">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12</w:t>
            </w:r>
          </w:p>
        </w:tc>
        <w:tc>
          <w:tcPr>
            <w:tcW w:w="1375" w:type="dxa"/>
            <w:vMerge w:val="restart"/>
            <w:noWrap/>
            <w:hideMark/>
          </w:tcPr>
          <w:p w14:paraId="349DFBDC"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p w14:paraId="2BD40615" w14:textId="77777777" w:rsidR="00384470" w:rsidRPr="00384470" w:rsidRDefault="00384470" w:rsidP="003844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0,127</w:t>
            </w:r>
          </w:p>
        </w:tc>
      </w:tr>
      <w:tr w:rsidR="00755F75" w:rsidRPr="00384470" w14:paraId="1CAB037D"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3B96B75E"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20055410" w14:textId="77777777" w:rsidR="00755F75" w:rsidRPr="00755F75" w:rsidRDefault="00B931E8" w:rsidP="00B931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755F75" w:rsidRPr="00755F75">
              <w:rPr>
                <w:rFonts w:ascii="Times New Roman" w:hAnsi="Times New Roman" w:cs="Times New Roman"/>
                <w:sz w:val="28"/>
                <w:szCs w:val="28"/>
              </w:rPr>
              <w:t>Elementary</w:t>
            </w:r>
          </w:p>
        </w:tc>
        <w:tc>
          <w:tcPr>
            <w:tcW w:w="1107" w:type="dxa"/>
            <w:noWrap/>
            <w:hideMark/>
          </w:tcPr>
          <w:p w14:paraId="0776A529"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11</w:t>
            </w:r>
          </w:p>
        </w:tc>
        <w:tc>
          <w:tcPr>
            <w:tcW w:w="1089" w:type="dxa"/>
            <w:noWrap/>
            <w:hideMark/>
          </w:tcPr>
          <w:p w14:paraId="6DAAC3F9"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4B2D1C7F" w14:textId="77777777" w:rsidR="00755F75" w:rsidRPr="00384470" w:rsidRDefault="00755F75" w:rsidP="00755F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755F75" w:rsidRPr="00384470" w14:paraId="1F6E4FE9" w14:textId="77777777" w:rsidTr="00755F75">
        <w:trPr>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7B19398"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22782F79" w14:textId="77777777" w:rsidR="00755F75" w:rsidRPr="00755F75" w:rsidRDefault="00B931E8" w:rsidP="00B931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755F75" w:rsidRPr="00755F75">
              <w:rPr>
                <w:rFonts w:ascii="Times New Roman" w:hAnsi="Times New Roman" w:cs="Times New Roman"/>
                <w:sz w:val="28"/>
                <w:szCs w:val="28"/>
              </w:rPr>
              <w:t>Middle</w:t>
            </w:r>
          </w:p>
        </w:tc>
        <w:tc>
          <w:tcPr>
            <w:tcW w:w="1107" w:type="dxa"/>
            <w:noWrap/>
            <w:hideMark/>
          </w:tcPr>
          <w:p w14:paraId="77C1F518"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w:t>
            </w:r>
          </w:p>
        </w:tc>
        <w:tc>
          <w:tcPr>
            <w:tcW w:w="1089" w:type="dxa"/>
            <w:noWrap/>
            <w:hideMark/>
          </w:tcPr>
          <w:p w14:paraId="66E48623"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1</w:t>
            </w:r>
          </w:p>
        </w:tc>
        <w:tc>
          <w:tcPr>
            <w:tcW w:w="1375" w:type="dxa"/>
            <w:vMerge/>
            <w:hideMark/>
          </w:tcPr>
          <w:p w14:paraId="67FAE69F" w14:textId="77777777" w:rsidR="00755F75" w:rsidRPr="00384470" w:rsidRDefault="00755F75" w:rsidP="00755F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r w:rsidR="00755F75" w:rsidRPr="00384470" w14:paraId="47FD6424" w14:textId="77777777" w:rsidTr="00755F7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69" w:type="dxa"/>
            <w:vMerge/>
            <w:hideMark/>
          </w:tcPr>
          <w:p w14:paraId="65FC5191"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1BD22329" w14:textId="77777777" w:rsidR="00755F75" w:rsidRPr="00755F75" w:rsidRDefault="00B931E8" w:rsidP="00B931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755F75" w:rsidRPr="00755F75">
              <w:rPr>
                <w:rFonts w:ascii="Times New Roman" w:hAnsi="Times New Roman" w:cs="Times New Roman"/>
                <w:sz w:val="28"/>
                <w:szCs w:val="28"/>
              </w:rPr>
              <w:t>Secondary</w:t>
            </w:r>
          </w:p>
        </w:tc>
        <w:tc>
          <w:tcPr>
            <w:tcW w:w="1107" w:type="dxa"/>
            <w:noWrap/>
            <w:hideMark/>
          </w:tcPr>
          <w:p w14:paraId="679B9C8E"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7</w:t>
            </w:r>
          </w:p>
        </w:tc>
        <w:tc>
          <w:tcPr>
            <w:tcW w:w="1089" w:type="dxa"/>
            <w:noWrap/>
            <w:hideMark/>
          </w:tcPr>
          <w:p w14:paraId="57D1EA6C" w14:textId="77777777" w:rsidR="00755F75" w:rsidRPr="00384470" w:rsidRDefault="00755F75" w:rsidP="00755F75">
            <w:pPr>
              <w:ind w:firstLineChars="200" w:firstLine="5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0</w:t>
            </w:r>
          </w:p>
        </w:tc>
        <w:tc>
          <w:tcPr>
            <w:tcW w:w="1375" w:type="dxa"/>
            <w:vMerge/>
            <w:hideMark/>
          </w:tcPr>
          <w:p w14:paraId="2B1B0E39" w14:textId="77777777" w:rsidR="00755F75" w:rsidRPr="00384470" w:rsidRDefault="00755F75" w:rsidP="00755F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fr-FR"/>
              </w:rPr>
            </w:pPr>
          </w:p>
        </w:tc>
      </w:tr>
      <w:tr w:rsidR="00755F75" w:rsidRPr="00384470" w14:paraId="20A551BD" w14:textId="77777777" w:rsidTr="00755F75">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14:paraId="5EF7A533" w14:textId="77777777" w:rsidR="00755F75" w:rsidRPr="00384470" w:rsidRDefault="00755F75" w:rsidP="00755F75">
            <w:pPr>
              <w:jc w:val="center"/>
              <w:rPr>
                <w:rFonts w:ascii="Times New Roman" w:eastAsia="Times New Roman" w:hAnsi="Times New Roman" w:cs="Times New Roman"/>
                <w:sz w:val="28"/>
                <w:szCs w:val="28"/>
                <w:lang w:eastAsia="fr-FR"/>
              </w:rPr>
            </w:pPr>
          </w:p>
        </w:tc>
        <w:tc>
          <w:tcPr>
            <w:tcW w:w="2360" w:type="dxa"/>
            <w:hideMark/>
          </w:tcPr>
          <w:p w14:paraId="5D89737C" w14:textId="77777777" w:rsidR="00755F75" w:rsidRPr="00755F75" w:rsidRDefault="00B931E8" w:rsidP="00B931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755F75" w:rsidRPr="00755F75">
              <w:rPr>
                <w:rFonts w:ascii="Times New Roman" w:hAnsi="Times New Roman" w:cs="Times New Roman"/>
                <w:sz w:val="28"/>
                <w:szCs w:val="28"/>
              </w:rPr>
              <w:t>University</w:t>
            </w:r>
          </w:p>
        </w:tc>
        <w:tc>
          <w:tcPr>
            <w:tcW w:w="1107" w:type="dxa"/>
            <w:noWrap/>
            <w:hideMark/>
          </w:tcPr>
          <w:p w14:paraId="7D2053B4"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4</w:t>
            </w:r>
          </w:p>
        </w:tc>
        <w:tc>
          <w:tcPr>
            <w:tcW w:w="1089" w:type="dxa"/>
            <w:noWrap/>
            <w:hideMark/>
          </w:tcPr>
          <w:p w14:paraId="5C3823AA" w14:textId="77777777" w:rsidR="00755F75" w:rsidRPr="00384470" w:rsidRDefault="00755F75" w:rsidP="00755F75">
            <w:pPr>
              <w:ind w:firstLineChars="200" w:firstLine="5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r w:rsidRPr="00384470">
              <w:rPr>
                <w:rFonts w:ascii="Times New Roman" w:eastAsia="Times New Roman" w:hAnsi="Times New Roman" w:cs="Times New Roman"/>
                <w:sz w:val="28"/>
                <w:szCs w:val="28"/>
                <w:lang w:eastAsia="fr-FR"/>
              </w:rPr>
              <w:t>2</w:t>
            </w:r>
          </w:p>
        </w:tc>
        <w:tc>
          <w:tcPr>
            <w:tcW w:w="1375" w:type="dxa"/>
            <w:vMerge/>
            <w:hideMark/>
          </w:tcPr>
          <w:p w14:paraId="70BD1396" w14:textId="77777777" w:rsidR="00755F75" w:rsidRPr="00384470" w:rsidRDefault="00755F75" w:rsidP="00755F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fr-FR"/>
              </w:rPr>
            </w:pPr>
          </w:p>
        </w:tc>
      </w:tr>
    </w:tbl>
    <w:p w14:paraId="013D7709" w14:textId="77777777" w:rsidR="00384470" w:rsidRDefault="00384470" w:rsidP="00384470">
      <w:pPr>
        <w:spacing w:line="360" w:lineRule="auto"/>
        <w:rPr>
          <w:rFonts w:ascii="Times New Roman" w:hAnsi="Times New Roman" w:cs="Times New Roman"/>
          <w:b/>
          <w:sz w:val="28"/>
          <w:szCs w:val="28"/>
        </w:rPr>
      </w:pPr>
    </w:p>
    <w:p w14:paraId="2E0C50AA" w14:textId="77777777" w:rsidR="00384470" w:rsidRPr="00384470" w:rsidRDefault="00384470" w:rsidP="00384470">
      <w:pPr>
        <w:spacing w:line="360" w:lineRule="auto"/>
        <w:rPr>
          <w:rFonts w:ascii="Times New Roman" w:hAnsi="Times New Roman" w:cs="Times New Roman"/>
          <w:b/>
          <w:sz w:val="28"/>
          <w:szCs w:val="28"/>
        </w:rPr>
      </w:pPr>
      <w:r w:rsidRPr="00384470">
        <w:rPr>
          <w:rFonts w:ascii="Times New Roman" w:hAnsi="Times New Roman" w:cs="Times New Roman"/>
          <w:b/>
          <w:sz w:val="28"/>
          <w:szCs w:val="28"/>
        </w:rPr>
        <w:t>Discussion</w:t>
      </w:r>
    </w:p>
    <w:p w14:paraId="297F4CAC"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At the end of this study, we noted a non-negligible prevalence of HPV infection of around 27.4%. This prevalence is similar to WHO observations for </w:t>
      </w:r>
      <w:r w:rsidRPr="00B66B2A">
        <w:rPr>
          <w:rFonts w:ascii="Times New Roman" w:hAnsi="Times New Roman" w:cs="Times New Roman"/>
          <w:b/>
          <w:sz w:val="28"/>
          <w:szCs w:val="28"/>
        </w:rPr>
        <w:t>sub-Saharan African</w:t>
      </w:r>
      <w:r w:rsidRPr="00384470">
        <w:rPr>
          <w:rFonts w:ascii="Times New Roman" w:hAnsi="Times New Roman" w:cs="Times New Roman"/>
          <w:sz w:val="28"/>
          <w:szCs w:val="28"/>
        </w:rPr>
        <w:t xml:space="preserve"> countries, with a prevalence of 24%, and higher than that found in </w:t>
      </w:r>
      <w:r w:rsidRPr="00B66B2A">
        <w:rPr>
          <w:rFonts w:ascii="Times New Roman" w:hAnsi="Times New Roman" w:cs="Times New Roman"/>
          <w:b/>
          <w:sz w:val="28"/>
          <w:szCs w:val="28"/>
        </w:rPr>
        <w:t>Latin America</w:t>
      </w:r>
      <w:r w:rsidRPr="00384470">
        <w:rPr>
          <w:rFonts w:ascii="Times New Roman" w:hAnsi="Times New Roman" w:cs="Times New Roman"/>
          <w:sz w:val="28"/>
          <w:szCs w:val="28"/>
        </w:rPr>
        <w:t xml:space="preserve"> and the </w:t>
      </w:r>
      <w:r w:rsidRPr="00B66B2A">
        <w:rPr>
          <w:rFonts w:ascii="Times New Roman" w:hAnsi="Times New Roman" w:cs="Times New Roman"/>
          <w:b/>
          <w:sz w:val="28"/>
          <w:szCs w:val="28"/>
        </w:rPr>
        <w:t>Caribbean</w:t>
      </w:r>
      <w:r w:rsidRPr="00384470">
        <w:rPr>
          <w:rFonts w:ascii="Times New Roman" w:hAnsi="Times New Roman" w:cs="Times New Roman"/>
          <w:sz w:val="28"/>
          <w:szCs w:val="28"/>
        </w:rPr>
        <w:t xml:space="preserve"> (16%), </w:t>
      </w:r>
      <w:r w:rsidRPr="00B66B2A">
        <w:rPr>
          <w:rFonts w:ascii="Times New Roman" w:hAnsi="Times New Roman" w:cs="Times New Roman"/>
          <w:b/>
          <w:sz w:val="28"/>
          <w:szCs w:val="28"/>
        </w:rPr>
        <w:t>Eastern Europe</w:t>
      </w:r>
      <w:r w:rsidRPr="00384470">
        <w:rPr>
          <w:rFonts w:ascii="Times New Roman" w:hAnsi="Times New Roman" w:cs="Times New Roman"/>
          <w:sz w:val="28"/>
          <w:szCs w:val="28"/>
        </w:rPr>
        <w:t xml:space="preserve"> (14%) and </w:t>
      </w:r>
      <w:r w:rsidRPr="00B66B2A">
        <w:rPr>
          <w:rFonts w:ascii="Times New Roman" w:hAnsi="Times New Roman" w:cs="Times New Roman"/>
          <w:b/>
          <w:sz w:val="28"/>
          <w:szCs w:val="28"/>
        </w:rPr>
        <w:t>South-East Asia</w:t>
      </w:r>
      <w:r w:rsidRPr="00384470">
        <w:rPr>
          <w:rFonts w:ascii="Times New Roman" w:hAnsi="Times New Roman" w:cs="Times New Roman"/>
          <w:sz w:val="28"/>
          <w:szCs w:val="28"/>
        </w:rPr>
        <w:t xml:space="preserve"> (14%) (8). In a </w:t>
      </w:r>
      <w:r w:rsidRPr="00B66B2A">
        <w:rPr>
          <w:rFonts w:ascii="Times New Roman" w:hAnsi="Times New Roman" w:cs="Times New Roman"/>
          <w:b/>
          <w:sz w:val="28"/>
          <w:szCs w:val="28"/>
        </w:rPr>
        <w:t>Chinese</w:t>
      </w:r>
      <w:r w:rsidRPr="00384470">
        <w:rPr>
          <w:rFonts w:ascii="Times New Roman" w:hAnsi="Times New Roman" w:cs="Times New Roman"/>
          <w:sz w:val="28"/>
          <w:szCs w:val="28"/>
        </w:rPr>
        <w:t xml:space="preserve"> study of the prevalence and genotypic distribution of HPV infection among women in </w:t>
      </w:r>
      <w:r w:rsidRPr="00B66B2A">
        <w:rPr>
          <w:rFonts w:ascii="Times New Roman" w:hAnsi="Times New Roman" w:cs="Times New Roman"/>
          <w:b/>
          <w:sz w:val="28"/>
          <w:szCs w:val="28"/>
        </w:rPr>
        <w:t>Xiamen</w:t>
      </w:r>
      <w:r w:rsidRPr="00384470">
        <w:rPr>
          <w:rFonts w:ascii="Times New Roman" w:hAnsi="Times New Roman" w:cs="Times New Roman"/>
          <w:sz w:val="28"/>
          <w:szCs w:val="28"/>
        </w:rPr>
        <w:t xml:space="preserve">, </w:t>
      </w:r>
      <w:r w:rsidRPr="00B66B2A">
        <w:rPr>
          <w:rFonts w:ascii="Times New Roman" w:hAnsi="Times New Roman" w:cs="Times New Roman"/>
          <w:b/>
          <w:sz w:val="28"/>
          <w:szCs w:val="28"/>
        </w:rPr>
        <w:t xml:space="preserve">Shen et al. </w:t>
      </w:r>
      <w:r w:rsidRPr="004710F9">
        <w:rPr>
          <w:rFonts w:ascii="Times New Roman" w:hAnsi="Times New Roman" w:cs="Times New Roman"/>
          <w:sz w:val="28"/>
          <w:szCs w:val="28"/>
        </w:rPr>
        <w:t>in</w:t>
      </w:r>
      <w:r w:rsidRPr="00B66B2A">
        <w:rPr>
          <w:rFonts w:ascii="Times New Roman" w:hAnsi="Times New Roman" w:cs="Times New Roman"/>
          <w:b/>
          <w:sz w:val="28"/>
          <w:szCs w:val="28"/>
        </w:rPr>
        <w:t xml:space="preserve"> 2023</w:t>
      </w:r>
      <w:r w:rsidRPr="00384470">
        <w:rPr>
          <w:rFonts w:ascii="Times New Roman" w:hAnsi="Times New Roman" w:cs="Times New Roman"/>
          <w:sz w:val="28"/>
          <w:szCs w:val="28"/>
        </w:rPr>
        <w:t xml:space="preserve"> found a lower prevalence (15.13%) (11). However, a study carried out in </w:t>
      </w:r>
      <w:r w:rsidRPr="00B66B2A">
        <w:rPr>
          <w:rFonts w:ascii="Times New Roman" w:hAnsi="Times New Roman" w:cs="Times New Roman"/>
          <w:b/>
          <w:sz w:val="28"/>
          <w:szCs w:val="28"/>
        </w:rPr>
        <w:t xml:space="preserve">Iran in 2023 </w:t>
      </w:r>
      <w:r w:rsidRPr="00384470">
        <w:rPr>
          <w:rFonts w:ascii="Times New Roman" w:hAnsi="Times New Roman" w:cs="Times New Roman"/>
          <w:sz w:val="28"/>
          <w:szCs w:val="28"/>
        </w:rPr>
        <w:t xml:space="preserve">found a higher frequency (33.68%) (12). This disparity in the prevalence of cervical HPV infection between countries can be explained by socioeconomic and cultural inequalities (13). However, certain factors are known to contribute to the occurrence of HPV infections, such as early sexual activity, multiparity and sexual promiscuity (14). Indeed, </w:t>
      </w:r>
      <w:r w:rsidRPr="00B66B2A">
        <w:rPr>
          <w:rFonts w:ascii="Times New Roman" w:hAnsi="Times New Roman" w:cs="Times New Roman"/>
          <w:b/>
          <w:sz w:val="28"/>
          <w:szCs w:val="28"/>
        </w:rPr>
        <w:t xml:space="preserve">Diop-Ndiaye et al. </w:t>
      </w:r>
      <w:r w:rsidRPr="004710F9">
        <w:rPr>
          <w:rFonts w:ascii="Times New Roman" w:hAnsi="Times New Roman" w:cs="Times New Roman"/>
          <w:sz w:val="28"/>
          <w:szCs w:val="28"/>
        </w:rPr>
        <w:t>in</w:t>
      </w:r>
      <w:r w:rsidRPr="004710F9">
        <w:rPr>
          <w:rFonts w:ascii="Times New Roman" w:hAnsi="Times New Roman" w:cs="Times New Roman"/>
          <w:b/>
          <w:sz w:val="28"/>
          <w:szCs w:val="28"/>
        </w:rPr>
        <w:t xml:space="preserve"> </w:t>
      </w:r>
      <w:r w:rsidRPr="00B66B2A">
        <w:rPr>
          <w:rFonts w:ascii="Times New Roman" w:hAnsi="Times New Roman" w:cs="Times New Roman"/>
          <w:b/>
          <w:sz w:val="28"/>
          <w:szCs w:val="28"/>
        </w:rPr>
        <w:t>2019</w:t>
      </w:r>
      <w:r w:rsidRPr="00384470">
        <w:rPr>
          <w:rFonts w:ascii="Times New Roman" w:hAnsi="Times New Roman" w:cs="Times New Roman"/>
          <w:sz w:val="28"/>
          <w:szCs w:val="28"/>
        </w:rPr>
        <w:t xml:space="preserve"> found an alarming prevalence of around 79.8% among female sex workers (15).</w:t>
      </w:r>
    </w:p>
    <w:p w14:paraId="13AD2955"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In our study, the high prevalence noted could be explained by a lack of awareness of HPV infection, which is vaccine-preventable (16). Indeed, most of the participants were not in school </w:t>
      </w:r>
      <w:r w:rsidRPr="004710F9">
        <w:rPr>
          <w:rFonts w:ascii="Times New Roman" w:hAnsi="Times New Roman" w:cs="Times New Roman"/>
          <w:sz w:val="28"/>
          <w:szCs w:val="28"/>
        </w:rPr>
        <w:t>(n=35, i.e. 56.40%),</w:t>
      </w:r>
      <w:r w:rsidRPr="00384470">
        <w:rPr>
          <w:rFonts w:ascii="Times New Roman" w:hAnsi="Times New Roman" w:cs="Times New Roman"/>
          <w:sz w:val="28"/>
          <w:szCs w:val="28"/>
        </w:rPr>
        <w:t xml:space="preserve"> which may be the cause of ignorance, but also a limit to knowledge of protection by vaccination. This hypothesis is also supported by a study carried out in </w:t>
      </w:r>
      <w:r w:rsidRPr="00B66B2A">
        <w:rPr>
          <w:rFonts w:ascii="Times New Roman" w:hAnsi="Times New Roman" w:cs="Times New Roman"/>
          <w:b/>
          <w:sz w:val="28"/>
          <w:szCs w:val="28"/>
        </w:rPr>
        <w:t xml:space="preserve">Kenya </w:t>
      </w:r>
      <w:r w:rsidRPr="004710F9">
        <w:rPr>
          <w:rFonts w:ascii="Times New Roman" w:hAnsi="Times New Roman" w:cs="Times New Roman"/>
          <w:sz w:val="28"/>
          <w:szCs w:val="28"/>
        </w:rPr>
        <w:t>in</w:t>
      </w:r>
      <w:r w:rsidRPr="00B66B2A">
        <w:rPr>
          <w:rFonts w:ascii="Times New Roman" w:hAnsi="Times New Roman" w:cs="Times New Roman"/>
          <w:b/>
          <w:sz w:val="28"/>
          <w:szCs w:val="28"/>
        </w:rPr>
        <w:t xml:space="preserve"> 2014</w:t>
      </w:r>
      <w:r w:rsidRPr="00384470">
        <w:rPr>
          <w:rFonts w:ascii="Times New Roman" w:hAnsi="Times New Roman" w:cs="Times New Roman"/>
          <w:sz w:val="28"/>
          <w:szCs w:val="28"/>
        </w:rPr>
        <w:t xml:space="preserve"> on the determinants of acceptance and subsequent uptake of the HPV vaccine, where lack of information was reported among the barriers to vaccination (17). From another angle, fear of side effects is a major concern and is raised in several studies </w:t>
      </w:r>
      <w:r w:rsidRPr="00384470">
        <w:rPr>
          <w:rFonts w:ascii="Times New Roman" w:hAnsi="Times New Roman" w:cs="Times New Roman"/>
          <w:sz w:val="28"/>
          <w:szCs w:val="28"/>
        </w:rPr>
        <w:lastRenderedPageBreak/>
        <w:t>as a limitation to vaccination (18), (19). Another hypothesis is that the target age of the vaccination policy is school-age girls.</w:t>
      </w:r>
    </w:p>
    <w:p w14:paraId="75175E9B" w14:textId="77777777" w:rsidR="00384470" w:rsidRP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HPV-16 was the most common genotype, followed by HPV-18, and the HPV-16-HP-V18 association was found in 3 patients. </w:t>
      </w:r>
    </w:p>
    <w:p w14:paraId="1C9555C3" w14:textId="77777777" w:rsidR="00384470" w:rsidRP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Our results are in line with a </w:t>
      </w:r>
      <w:r w:rsidRPr="00B863BA">
        <w:rPr>
          <w:rFonts w:ascii="Times New Roman" w:hAnsi="Times New Roman" w:cs="Times New Roman"/>
          <w:b/>
          <w:sz w:val="28"/>
          <w:szCs w:val="28"/>
        </w:rPr>
        <w:t xml:space="preserve">French </w:t>
      </w:r>
      <w:r w:rsidRPr="00384470">
        <w:rPr>
          <w:rFonts w:ascii="Times New Roman" w:hAnsi="Times New Roman" w:cs="Times New Roman"/>
          <w:sz w:val="28"/>
          <w:szCs w:val="28"/>
        </w:rPr>
        <w:t xml:space="preserve">(21) and </w:t>
      </w:r>
      <w:r w:rsidRPr="00B863BA">
        <w:rPr>
          <w:rFonts w:ascii="Times New Roman" w:hAnsi="Times New Roman" w:cs="Times New Roman"/>
          <w:b/>
          <w:sz w:val="28"/>
          <w:szCs w:val="28"/>
        </w:rPr>
        <w:t>Yemeni</w:t>
      </w:r>
      <w:r w:rsidRPr="00384470">
        <w:rPr>
          <w:rFonts w:ascii="Times New Roman" w:hAnsi="Times New Roman" w:cs="Times New Roman"/>
          <w:sz w:val="28"/>
          <w:szCs w:val="28"/>
        </w:rPr>
        <w:t xml:space="preserve"> study, where HPV-16 was predominant ahead of HPV-18 (22). This almost universal distribution may be due to pathogenicity factors. Indeed, HPV-16 genotype has the highest oncogenic potential, followed by genotype 18 as the second most virulent type (23).</w:t>
      </w:r>
    </w:p>
    <w:p w14:paraId="2807D5DC" w14:textId="77777777" w:rsidR="00384470" w:rsidRDefault="00384470" w:rsidP="00384470">
      <w:pPr>
        <w:spacing w:line="360" w:lineRule="auto"/>
        <w:jc w:val="both"/>
        <w:rPr>
          <w:rFonts w:ascii="Times New Roman" w:hAnsi="Times New Roman" w:cs="Times New Roman"/>
          <w:sz w:val="28"/>
          <w:szCs w:val="28"/>
        </w:rPr>
      </w:pPr>
      <w:r w:rsidRPr="00384470">
        <w:rPr>
          <w:rFonts w:ascii="Times New Roman" w:hAnsi="Times New Roman" w:cs="Times New Roman"/>
          <w:sz w:val="28"/>
          <w:szCs w:val="28"/>
        </w:rPr>
        <w:t xml:space="preserve">According to marital status, HPV infection was more frequent in married women compared to widows, and this relationship was statistically significant at p=0.019. The opposite was reported by </w:t>
      </w:r>
      <w:r w:rsidRPr="00B863BA">
        <w:rPr>
          <w:rFonts w:ascii="Times New Roman" w:hAnsi="Times New Roman" w:cs="Times New Roman"/>
          <w:b/>
          <w:sz w:val="28"/>
          <w:szCs w:val="28"/>
        </w:rPr>
        <w:t xml:space="preserve">Onwuamah et al. </w:t>
      </w:r>
      <w:r w:rsidRPr="004710F9">
        <w:rPr>
          <w:rFonts w:ascii="Times New Roman" w:hAnsi="Times New Roman" w:cs="Times New Roman"/>
          <w:sz w:val="28"/>
          <w:szCs w:val="28"/>
        </w:rPr>
        <w:t>in</w:t>
      </w:r>
      <w:r w:rsidRPr="00B863BA">
        <w:rPr>
          <w:rFonts w:ascii="Times New Roman" w:hAnsi="Times New Roman" w:cs="Times New Roman"/>
          <w:b/>
          <w:sz w:val="28"/>
          <w:szCs w:val="28"/>
        </w:rPr>
        <w:t xml:space="preserve"> 2023</w:t>
      </w:r>
      <w:r w:rsidRPr="00384470">
        <w:rPr>
          <w:rFonts w:ascii="Times New Roman" w:hAnsi="Times New Roman" w:cs="Times New Roman"/>
          <w:sz w:val="28"/>
          <w:szCs w:val="28"/>
        </w:rPr>
        <w:t>, who found a lower prevalence of HPV in married women with a p=0.00 (24).</w:t>
      </w:r>
    </w:p>
    <w:p w14:paraId="4FA41F5B" w14:textId="77777777" w:rsidR="00D55224" w:rsidRDefault="00D55224" w:rsidP="00384470">
      <w:pPr>
        <w:spacing w:line="360" w:lineRule="auto"/>
        <w:jc w:val="both"/>
        <w:rPr>
          <w:rFonts w:ascii="Times New Roman" w:hAnsi="Times New Roman" w:cs="Times New Roman"/>
          <w:sz w:val="28"/>
          <w:szCs w:val="28"/>
        </w:rPr>
      </w:pPr>
      <w:r w:rsidRPr="00D55224">
        <w:rPr>
          <w:rFonts w:ascii="Times New Roman" w:hAnsi="Times New Roman" w:cs="Times New Roman"/>
          <w:sz w:val="28"/>
          <w:szCs w:val="28"/>
        </w:rPr>
        <w:t xml:space="preserve">The prevalence of infection was higher in women aged 18 to 30, with a statistically non-significant relationship (p=0.47). A discrepancy is noted with the </w:t>
      </w:r>
      <w:r w:rsidRPr="00B863BA">
        <w:rPr>
          <w:rFonts w:ascii="Times New Roman" w:hAnsi="Times New Roman" w:cs="Times New Roman"/>
          <w:b/>
          <w:sz w:val="28"/>
          <w:szCs w:val="28"/>
        </w:rPr>
        <w:t xml:space="preserve">2013 </w:t>
      </w:r>
      <w:r w:rsidRPr="00D55224">
        <w:rPr>
          <w:rFonts w:ascii="Times New Roman" w:hAnsi="Times New Roman" w:cs="Times New Roman"/>
          <w:sz w:val="28"/>
          <w:szCs w:val="28"/>
        </w:rPr>
        <w:t xml:space="preserve">study by </w:t>
      </w:r>
      <w:r w:rsidRPr="00B863BA">
        <w:rPr>
          <w:rFonts w:ascii="Times New Roman" w:hAnsi="Times New Roman" w:cs="Times New Roman"/>
          <w:b/>
          <w:sz w:val="28"/>
          <w:szCs w:val="28"/>
        </w:rPr>
        <w:t xml:space="preserve">Lee et al. </w:t>
      </w:r>
      <w:r w:rsidRPr="00B931E8">
        <w:rPr>
          <w:rFonts w:ascii="Times New Roman" w:hAnsi="Times New Roman" w:cs="Times New Roman"/>
          <w:sz w:val="28"/>
          <w:szCs w:val="28"/>
        </w:rPr>
        <w:t xml:space="preserve">in </w:t>
      </w:r>
      <w:r w:rsidRPr="00B863BA">
        <w:rPr>
          <w:rFonts w:ascii="Times New Roman" w:hAnsi="Times New Roman" w:cs="Times New Roman"/>
          <w:b/>
          <w:sz w:val="28"/>
          <w:szCs w:val="28"/>
        </w:rPr>
        <w:t>South Korea</w:t>
      </w:r>
      <w:r w:rsidRPr="00D55224">
        <w:rPr>
          <w:rFonts w:ascii="Times New Roman" w:hAnsi="Times New Roman" w:cs="Times New Roman"/>
          <w:sz w:val="28"/>
          <w:szCs w:val="28"/>
        </w:rPr>
        <w:t xml:space="preserve">, in which most HPV-infected individuals were aged over 30, with a higher prevalence in the [45-54] age group (25). This higher rate of infection in this age group of our study population would be linked to the fact that the [18-30] age group corresponds to the period of sexual activity, but also to early marriage, which is a reality in rural areas and constitutes a risk factor for HPV infections (26). This assertion is in line with the hypothesis that, due to an unsensitized immune system, women aged around 16 to 24 are still susceptible to HPV infection (27). Again, the finding of </w:t>
      </w:r>
      <w:r w:rsidRPr="00B863BA">
        <w:rPr>
          <w:rFonts w:ascii="Times New Roman" w:hAnsi="Times New Roman" w:cs="Times New Roman"/>
          <w:b/>
          <w:sz w:val="28"/>
          <w:szCs w:val="28"/>
        </w:rPr>
        <w:t>Trottier et al</w:t>
      </w:r>
      <w:r w:rsidRPr="00D55224">
        <w:rPr>
          <w:rFonts w:ascii="Times New Roman" w:hAnsi="Times New Roman" w:cs="Times New Roman"/>
          <w:sz w:val="28"/>
          <w:szCs w:val="28"/>
        </w:rPr>
        <w:t>. goes in the same direction, asserting that the prevalence of HPV infection remains highest in young women (18 to 24 years) and declines progressively with age until the 4th or 5th decade (28).</w:t>
      </w:r>
    </w:p>
    <w:p w14:paraId="6653B601" w14:textId="77777777" w:rsidR="00D55224" w:rsidRDefault="00D55224" w:rsidP="00384470">
      <w:pPr>
        <w:spacing w:line="360" w:lineRule="auto"/>
        <w:jc w:val="both"/>
        <w:rPr>
          <w:rFonts w:ascii="Times New Roman" w:hAnsi="Times New Roman" w:cs="Times New Roman"/>
          <w:sz w:val="28"/>
          <w:szCs w:val="28"/>
        </w:rPr>
      </w:pPr>
      <w:r w:rsidRPr="00D55224">
        <w:rPr>
          <w:rFonts w:ascii="Times New Roman" w:hAnsi="Times New Roman" w:cs="Times New Roman"/>
          <w:sz w:val="28"/>
          <w:szCs w:val="28"/>
        </w:rPr>
        <w:t xml:space="preserve">According to gynecological history, infections were more frequent in women whose age at first intercourse was under 20 (p=0.85), age of first pregnancy was </w:t>
      </w:r>
      <w:r w:rsidRPr="00D55224">
        <w:rPr>
          <w:rFonts w:ascii="Times New Roman" w:hAnsi="Times New Roman" w:cs="Times New Roman"/>
          <w:sz w:val="28"/>
          <w:szCs w:val="28"/>
        </w:rPr>
        <w:lastRenderedPageBreak/>
        <w:t>over 20 (p=0.35), large multigestates (p=0.13), large multiparous (p=0.22), genitally active women (p=0.45), and those not exposed to a contraceptive method (p=0.625) with the absence of a statistically significant relationship. Some authors have reported that factors such as early age at first intercourse, sexual behavior, social class, high parity, lack of contraceptive protection and long-term use of oral contraceptives are associated with an increased risk of HPV infection (29), (30).</w:t>
      </w:r>
    </w:p>
    <w:p w14:paraId="347A3D4C" w14:textId="77777777" w:rsidR="00D55224" w:rsidRDefault="00046E0C" w:rsidP="00384470">
      <w:pPr>
        <w:spacing w:line="360" w:lineRule="auto"/>
        <w:jc w:val="both"/>
        <w:rPr>
          <w:rFonts w:ascii="Times New Roman" w:hAnsi="Times New Roman" w:cs="Times New Roman"/>
          <w:sz w:val="28"/>
          <w:szCs w:val="28"/>
        </w:rPr>
      </w:pPr>
      <w:r w:rsidRPr="00046E0C">
        <w:rPr>
          <w:rFonts w:ascii="Times New Roman" w:hAnsi="Times New Roman" w:cs="Times New Roman"/>
          <w:sz w:val="28"/>
          <w:szCs w:val="28"/>
        </w:rPr>
        <w:t xml:space="preserve">In terms of socio-economic status and level of education, infections were more frequent among professional women (p= 0.527), women with no schooling and those with primary education (p=0.127). These results are similar to those of the Nigerian study by </w:t>
      </w:r>
      <w:r w:rsidRPr="00B863BA">
        <w:rPr>
          <w:rFonts w:ascii="Times New Roman" w:hAnsi="Times New Roman" w:cs="Times New Roman"/>
          <w:b/>
          <w:sz w:val="28"/>
          <w:szCs w:val="28"/>
        </w:rPr>
        <w:t xml:space="preserve">Onwuamah et al. </w:t>
      </w:r>
      <w:r w:rsidRPr="00825CF1">
        <w:rPr>
          <w:rFonts w:ascii="Times New Roman" w:hAnsi="Times New Roman" w:cs="Times New Roman"/>
          <w:sz w:val="28"/>
          <w:szCs w:val="28"/>
        </w:rPr>
        <w:t xml:space="preserve">in </w:t>
      </w:r>
      <w:r w:rsidRPr="00B863BA">
        <w:rPr>
          <w:rFonts w:ascii="Times New Roman" w:hAnsi="Times New Roman" w:cs="Times New Roman"/>
          <w:b/>
          <w:sz w:val="28"/>
          <w:szCs w:val="28"/>
        </w:rPr>
        <w:t>2023</w:t>
      </w:r>
      <w:r w:rsidRPr="00046E0C">
        <w:rPr>
          <w:rFonts w:ascii="Times New Roman" w:hAnsi="Times New Roman" w:cs="Times New Roman"/>
          <w:sz w:val="28"/>
          <w:szCs w:val="28"/>
        </w:rPr>
        <w:t>, where the prevalence of infection was highest among unschooled people, those with primary education, but also among people working as unskilled staff, and with a significant difference (p=0.003) (24). On the other hand, a study on the effect of health education on knowledge of cervical cancer showed that women with a higher level of education were less affected (31).</w:t>
      </w:r>
      <w:r w:rsidRPr="00046E0C">
        <w:t xml:space="preserve"> </w:t>
      </w:r>
      <w:r w:rsidRPr="00046E0C">
        <w:rPr>
          <w:rFonts w:ascii="Times New Roman" w:hAnsi="Times New Roman" w:cs="Times New Roman"/>
          <w:sz w:val="28"/>
          <w:szCs w:val="28"/>
        </w:rPr>
        <w:t xml:space="preserve">The high prevalence of infection among women with a low level of education and those with a low occupational status would be linked to a lack of awareness. This hypothesis is confirmed by </w:t>
      </w:r>
      <w:r w:rsidRPr="00B863BA">
        <w:rPr>
          <w:rFonts w:ascii="Times New Roman" w:hAnsi="Times New Roman" w:cs="Times New Roman"/>
          <w:b/>
          <w:sz w:val="28"/>
          <w:szCs w:val="28"/>
        </w:rPr>
        <w:t>Believe et al.'s 2022</w:t>
      </w:r>
      <w:r w:rsidRPr="00046E0C">
        <w:rPr>
          <w:rFonts w:ascii="Times New Roman" w:hAnsi="Times New Roman" w:cs="Times New Roman"/>
          <w:sz w:val="28"/>
          <w:szCs w:val="28"/>
        </w:rPr>
        <w:t xml:space="preserve"> study in </w:t>
      </w:r>
      <w:r w:rsidRPr="00B863BA">
        <w:rPr>
          <w:rFonts w:ascii="Times New Roman" w:hAnsi="Times New Roman" w:cs="Times New Roman"/>
          <w:b/>
          <w:sz w:val="28"/>
          <w:szCs w:val="28"/>
        </w:rPr>
        <w:t>Nigeria</w:t>
      </w:r>
      <w:r w:rsidRPr="00046E0C">
        <w:rPr>
          <w:rFonts w:ascii="Times New Roman" w:hAnsi="Times New Roman" w:cs="Times New Roman"/>
          <w:sz w:val="28"/>
          <w:szCs w:val="28"/>
        </w:rPr>
        <w:t xml:space="preserve"> on the effect of health education on knowledge of cervical cancer, human papillomavirus and self-testing among women living in a low-resource environment, where education was reported as a crucial factor illuminating the danger of disease (32). In the same vein, women with a higher level of education and women living in urban areas are described as having a high socio-educational level and high exposure to the health service and the various media (33).</w:t>
      </w:r>
    </w:p>
    <w:p w14:paraId="508E6CE4" w14:textId="77777777" w:rsidR="00046E0C" w:rsidRDefault="00046E0C" w:rsidP="00384470">
      <w:pPr>
        <w:spacing w:line="360" w:lineRule="auto"/>
        <w:jc w:val="both"/>
        <w:rPr>
          <w:rFonts w:ascii="Times New Roman" w:hAnsi="Times New Roman" w:cs="Times New Roman"/>
          <w:sz w:val="28"/>
          <w:szCs w:val="28"/>
        </w:rPr>
      </w:pPr>
    </w:p>
    <w:p w14:paraId="02F45055" w14:textId="77777777" w:rsidR="00046E0C" w:rsidRPr="00046E0C" w:rsidRDefault="00046E0C" w:rsidP="00046E0C">
      <w:pPr>
        <w:spacing w:line="360" w:lineRule="auto"/>
        <w:jc w:val="both"/>
        <w:rPr>
          <w:rFonts w:ascii="Times New Roman" w:hAnsi="Times New Roman" w:cs="Times New Roman"/>
          <w:b/>
          <w:sz w:val="28"/>
          <w:szCs w:val="28"/>
        </w:rPr>
      </w:pPr>
      <w:r w:rsidRPr="00046E0C">
        <w:rPr>
          <w:rFonts w:ascii="Times New Roman" w:hAnsi="Times New Roman" w:cs="Times New Roman"/>
          <w:b/>
          <w:sz w:val="28"/>
          <w:szCs w:val="28"/>
        </w:rPr>
        <w:t>Conclusion</w:t>
      </w:r>
    </w:p>
    <w:p w14:paraId="71BA76C3" w14:textId="77777777" w:rsidR="00046E0C" w:rsidRDefault="00046E0C" w:rsidP="00046E0C">
      <w:pPr>
        <w:spacing w:line="360" w:lineRule="auto"/>
        <w:jc w:val="both"/>
        <w:rPr>
          <w:rFonts w:ascii="Times New Roman" w:hAnsi="Times New Roman" w:cs="Times New Roman"/>
          <w:sz w:val="28"/>
          <w:szCs w:val="28"/>
        </w:rPr>
      </w:pPr>
      <w:r w:rsidRPr="00046E0C">
        <w:rPr>
          <w:rFonts w:ascii="Times New Roman" w:hAnsi="Times New Roman" w:cs="Times New Roman"/>
          <w:sz w:val="28"/>
          <w:szCs w:val="28"/>
        </w:rPr>
        <w:t xml:space="preserve">This study found a high prevalence of HPV infection in community settings. The HPV-16 genotype was the most frequent, and married status was a risk factor for infection. In this population with a low level of education, it would be essential to </w:t>
      </w:r>
      <w:r w:rsidRPr="00046E0C">
        <w:rPr>
          <w:rFonts w:ascii="Times New Roman" w:hAnsi="Times New Roman" w:cs="Times New Roman"/>
          <w:sz w:val="28"/>
          <w:szCs w:val="28"/>
        </w:rPr>
        <w:lastRenderedPageBreak/>
        <w:t>raise awareness, facilitate access to vaccination and promote screening as a means of secondary prevention.</w:t>
      </w:r>
    </w:p>
    <w:p w14:paraId="196B054A" w14:textId="77777777" w:rsidR="00337344" w:rsidRDefault="00337344" w:rsidP="00337344">
      <w:pPr>
        <w:spacing w:line="360" w:lineRule="auto"/>
        <w:jc w:val="both"/>
        <w:rPr>
          <w:rFonts w:ascii="Times New Roman" w:hAnsi="Times New Roman" w:cs="Times New Roman"/>
          <w:b/>
          <w:sz w:val="28"/>
          <w:szCs w:val="28"/>
          <w:shd w:val="clear" w:color="auto" w:fill="FFFFFF"/>
        </w:rPr>
      </w:pPr>
    </w:p>
    <w:p w14:paraId="39B6A866" w14:textId="77777777" w:rsidR="00C834C9" w:rsidRDefault="00C834C9" w:rsidP="00337344">
      <w:pPr>
        <w:spacing w:line="360" w:lineRule="auto"/>
        <w:jc w:val="both"/>
        <w:rPr>
          <w:rFonts w:ascii="Times New Roman" w:hAnsi="Times New Roman" w:cs="Times New Roman"/>
          <w:b/>
          <w:sz w:val="28"/>
          <w:szCs w:val="28"/>
          <w:shd w:val="clear" w:color="auto" w:fill="FFFFFF"/>
        </w:rPr>
      </w:pPr>
    </w:p>
    <w:p w14:paraId="2F671398" w14:textId="77777777" w:rsidR="00C834C9" w:rsidRPr="00337344" w:rsidRDefault="00C834C9" w:rsidP="00337344">
      <w:pPr>
        <w:spacing w:line="360" w:lineRule="auto"/>
        <w:jc w:val="both"/>
        <w:rPr>
          <w:rFonts w:ascii="Times New Roman" w:hAnsi="Times New Roman" w:cs="Times New Roman"/>
          <w:b/>
          <w:sz w:val="28"/>
          <w:szCs w:val="28"/>
          <w:shd w:val="clear" w:color="auto" w:fill="FFFFFF"/>
        </w:rPr>
      </w:pPr>
    </w:p>
    <w:p w14:paraId="20676D16" w14:textId="77777777" w:rsidR="00337344" w:rsidRPr="00337344" w:rsidRDefault="0089759C" w:rsidP="0089759C">
      <w:pPr>
        <w:spacing w:line="360" w:lineRule="auto"/>
        <w:jc w:val="both"/>
        <w:rPr>
          <w:rFonts w:ascii="Times New Roman" w:hAnsi="Times New Roman" w:cs="Times New Roman"/>
          <w:b/>
          <w:sz w:val="28"/>
          <w:szCs w:val="28"/>
          <w:shd w:val="clear" w:color="auto" w:fill="FFFFFF"/>
          <w:lang w:val="en-US"/>
        </w:rPr>
      </w:pPr>
      <w:r w:rsidRPr="0089759C">
        <w:rPr>
          <w:rFonts w:ascii="Times New Roman" w:hAnsi="Times New Roman" w:cs="Times New Roman"/>
          <w:b/>
          <w:sz w:val="28"/>
          <w:szCs w:val="28"/>
          <w:shd w:val="clear" w:color="auto" w:fill="FFFFFF"/>
          <w:lang w:val="en-US"/>
        </w:rPr>
        <w:t>References</w:t>
      </w:r>
    </w:p>
    <w:p w14:paraId="3AD0A7AE"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b/>
          <w:sz w:val="28"/>
          <w:szCs w:val="28"/>
        </w:rPr>
        <w:fldChar w:fldCharType="begin"/>
      </w:r>
      <w:r w:rsidRPr="00337344">
        <w:rPr>
          <w:b/>
          <w:sz w:val="28"/>
          <w:szCs w:val="28"/>
          <w:lang w:val="en-US"/>
        </w:rPr>
        <w:instrText xml:space="preserve"> ADDIN ZOTERO_BIBL {"uncited":[],"omitted":[],"custom":[]} CSL_BIBLIOGRAPHY </w:instrText>
      </w:r>
      <w:r w:rsidRPr="00337344">
        <w:rPr>
          <w:b/>
          <w:sz w:val="28"/>
          <w:szCs w:val="28"/>
        </w:rPr>
        <w:fldChar w:fldCharType="separate"/>
      </w:r>
      <w:r w:rsidRPr="00337344">
        <w:rPr>
          <w:rFonts w:ascii="Times New Roman" w:hAnsi="Times New Roman" w:cs="Times New Roman"/>
          <w:sz w:val="28"/>
          <w:lang w:val="en-US"/>
        </w:rPr>
        <w:t>1.</w:t>
      </w:r>
      <w:r w:rsidRPr="00337344">
        <w:rPr>
          <w:rFonts w:ascii="Times New Roman" w:hAnsi="Times New Roman" w:cs="Times New Roman"/>
          <w:sz w:val="28"/>
          <w:lang w:val="en-US"/>
        </w:rPr>
        <w:tab/>
        <w:t xml:space="preserve">zur Hausen H. Papillomaviruses and cancer: from basic studies to clinical application. Nat Rev Cancer. 2002;2(5):342‑50. </w:t>
      </w:r>
    </w:p>
    <w:p w14:paraId="71BD8B0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w:t>
      </w:r>
      <w:r w:rsidRPr="00337344">
        <w:rPr>
          <w:rFonts w:ascii="Times New Roman" w:hAnsi="Times New Roman" w:cs="Times New Roman"/>
          <w:sz w:val="28"/>
          <w:lang w:val="en-US"/>
        </w:rPr>
        <w:tab/>
        <w:t xml:space="preserve">Kulkarni SP, Paliwal S, Kosta S. Genotypic Diversity of Human Papillomavirus (HPV) Types and Its Prevalence With Cervical Cancer (CC) in Central India. Cureus. 15(2):e35227. </w:t>
      </w:r>
    </w:p>
    <w:p w14:paraId="0F8AD2E7"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3.</w:t>
      </w:r>
      <w:r w:rsidRPr="00337344">
        <w:rPr>
          <w:rFonts w:ascii="Times New Roman" w:hAnsi="Times New Roman" w:cs="Times New Roman"/>
          <w:sz w:val="28"/>
          <w:lang w:val="en-US"/>
        </w:rPr>
        <w:tab/>
        <w:t xml:space="preserve">World Health Assembly adopts global strategy to accelerate cervical cancer elimination [Internet]. </w:t>
      </w:r>
      <w:r w:rsidRPr="00337344">
        <w:rPr>
          <w:rFonts w:ascii="Times New Roman" w:hAnsi="Times New Roman" w:cs="Times New Roman"/>
          <w:sz w:val="28"/>
        </w:rPr>
        <w:t>[cité 11 févr 2025]. Disponible à: https://www.who.int/news/item/19-08-2020-world-health-assembly-adopts-global-strategy-to-accelerate-cervical-cancer-elimination</w:t>
      </w:r>
    </w:p>
    <w:p w14:paraId="5BC98F1B"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4.</w:t>
      </w:r>
      <w:r w:rsidRPr="00337344">
        <w:rPr>
          <w:rFonts w:ascii="Times New Roman" w:hAnsi="Times New Roman" w:cs="Times New Roman"/>
          <w:sz w:val="28"/>
          <w:lang w:val="en-US"/>
        </w:rPr>
        <w:tab/>
        <w:t xml:space="preserve">de Martel C, Georges D, Bray F, Ferlay J, Clifford GM. Global burden of cancer attributable to infections in 2018: a worldwide incidence analysis. Lancet Glob Health. 2020;8(2):e180‑90. </w:t>
      </w:r>
    </w:p>
    <w:p w14:paraId="5E83D89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5.</w:t>
      </w:r>
      <w:r w:rsidRPr="00337344">
        <w:rPr>
          <w:rFonts w:ascii="Times New Roman" w:hAnsi="Times New Roman" w:cs="Times New Roman"/>
          <w:sz w:val="28"/>
          <w:lang w:val="en-US"/>
        </w:rPr>
        <w:tab/>
        <w:t xml:space="preserve">Kutz JM, Rausche P, Gheit T, Puradiredja DI, Fusco D. Barriers and facilitators of HPV vaccination in sub-saharan Africa: a systematic review. </w:t>
      </w:r>
      <w:r w:rsidRPr="00337344">
        <w:rPr>
          <w:rFonts w:ascii="Times New Roman" w:hAnsi="Times New Roman" w:cs="Times New Roman"/>
          <w:sz w:val="28"/>
        </w:rPr>
        <w:t xml:space="preserve">BMC Public Health. 2023;23(1):974. </w:t>
      </w:r>
    </w:p>
    <w:p w14:paraId="03184A1C" w14:textId="77E91EA1" w:rsid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6.</w:t>
      </w:r>
      <w:r w:rsidRPr="00337344">
        <w:rPr>
          <w:rFonts w:ascii="Times New Roman" w:hAnsi="Times New Roman" w:cs="Times New Roman"/>
          <w:sz w:val="28"/>
        </w:rPr>
        <w:tab/>
      </w:r>
      <w:r w:rsidR="00BE07D9" w:rsidRPr="00BE07D9">
        <w:rPr>
          <w:rFonts w:ascii="Times New Roman" w:hAnsi="Times New Roman" w:cs="Times New Roman"/>
          <w:sz w:val="28"/>
        </w:rPr>
        <w:t>AHOP. Cervical Cancer Elimination Strategy: HPV Vaccination Status… [Internet]. Medium. 2023 [cited 15 Apr 2025]. Available at: https://medium.com/@AHOPlatform/strat%C3%A9gie-d%C3%A9limination-du-cancer-du-cer-de-l-ut%C3%A9rus-situation-de-la-vaccination-contre-le-hpv-b077a95be150</w:t>
      </w:r>
    </w:p>
    <w:p w14:paraId="1D70079A" w14:textId="77777777" w:rsidR="00BE07D9" w:rsidRPr="00337344" w:rsidRDefault="00BE07D9" w:rsidP="00337344">
      <w:pPr>
        <w:tabs>
          <w:tab w:val="left" w:pos="384"/>
        </w:tabs>
        <w:spacing w:after="240" w:line="240" w:lineRule="auto"/>
        <w:ind w:left="384" w:hanging="384"/>
        <w:rPr>
          <w:rFonts w:ascii="Times New Roman" w:hAnsi="Times New Roman" w:cs="Times New Roman"/>
          <w:sz w:val="28"/>
        </w:rPr>
      </w:pPr>
    </w:p>
    <w:p w14:paraId="55DFCB51" w14:textId="4F7E5A3A" w:rsid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7.</w:t>
      </w:r>
      <w:r w:rsidRPr="00337344">
        <w:rPr>
          <w:rFonts w:ascii="Times New Roman" w:hAnsi="Times New Roman" w:cs="Times New Roman"/>
          <w:sz w:val="28"/>
          <w:lang w:val="en-US"/>
        </w:rPr>
        <w:tab/>
      </w:r>
      <w:r w:rsidR="00012B7C" w:rsidRPr="00012B7C">
        <w:rPr>
          <w:rFonts w:ascii="Times New Roman" w:hAnsi="Times New Roman" w:cs="Times New Roman"/>
          <w:sz w:val="28"/>
          <w:lang w:val="en-US"/>
        </w:rPr>
        <w:t>Ndiaye M, Sawadogo B, Sonko I, Ba IO, Leye MMM. Factors associated with human papillomavirus vaccination in a scale-up context in Senegal: a case-control survey of parents. Pan Afr Med J. 2021;39:137.</w:t>
      </w:r>
    </w:p>
    <w:p w14:paraId="7C34132D" w14:textId="77777777" w:rsidR="00012B7C" w:rsidRPr="00337344" w:rsidRDefault="00012B7C" w:rsidP="00337344">
      <w:pPr>
        <w:tabs>
          <w:tab w:val="left" w:pos="384"/>
        </w:tabs>
        <w:spacing w:after="240" w:line="240" w:lineRule="auto"/>
        <w:ind w:left="384" w:hanging="384"/>
        <w:rPr>
          <w:rFonts w:ascii="Times New Roman" w:hAnsi="Times New Roman" w:cs="Times New Roman"/>
          <w:sz w:val="28"/>
        </w:rPr>
      </w:pPr>
    </w:p>
    <w:p w14:paraId="0587D6A5"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lastRenderedPageBreak/>
        <w:t>8.</w:t>
      </w:r>
      <w:r w:rsidRPr="00337344">
        <w:rPr>
          <w:rFonts w:ascii="Times New Roman" w:hAnsi="Times New Roman" w:cs="Times New Roman"/>
          <w:sz w:val="28"/>
        </w:rPr>
        <w:tab/>
        <w:t>Papillomavirus humain et cancer [Internet]. [cité 14 avr 2025]. Disponible à: https://www.who.int/fr/news-room/fact-sheets/detail/human-papilloma-virus-and-cancer</w:t>
      </w:r>
    </w:p>
    <w:p w14:paraId="34AAFCB7" w14:textId="77777777" w:rsidR="00BE07D9"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9.</w:t>
      </w:r>
      <w:r w:rsidRPr="00337344">
        <w:rPr>
          <w:rFonts w:ascii="Times New Roman" w:hAnsi="Times New Roman" w:cs="Times New Roman"/>
          <w:sz w:val="28"/>
          <w:lang w:val="en-US"/>
        </w:rPr>
        <w:tab/>
      </w:r>
      <w:r w:rsidR="00BE07D9" w:rsidRPr="00BE07D9">
        <w:rPr>
          <w:rFonts w:ascii="Times New Roman" w:hAnsi="Times New Roman" w:cs="Times New Roman"/>
          <w:sz w:val="28"/>
          <w:lang w:val="en-US"/>
        </w:rPr>
        <w:t>Man I, Georges D, de Carvalho TM, Ray Saraswati L, Bhandari P, Kataria I, et al. Evidence-based impact projections of single-dose human papillomavirus vaccination in India: a modelling study. Lancet Oncol. 2022;23(11):1419‑29.</w:t>
      </w:r>
    </w:p>
    <w:p w14:paraId="5265A413" w14:textId="3335DEA4"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10.</w:t>
      </w:r>
      <w:r w:rsidRPr="00337344">
        <w:rPr>
          <w:rFonts w:ascii="Times New Roman" w:hAnsi="Times New Roman" w:cs="Times New Roman"/>
          <w:sz w:val="28"/>
          <w:lang w:val="en-US"/>
        </w:rPr>
        <w:tab/>
        <w:t xml:space="preserve">Diop A, Mvundura M, Dieng Y, Anne M, Vodicka E. Cervical cancer screening and treatment costing in Senegal. </w:t>
      </w:r>
      <w:r w:rsidRPr="00337344">
        <w:rPr>
          <w:rFonts w:ascii="Times New Roman" w:hAnsi="Times New Roman" w:cs="Times New Roman"/>
          <w:sz w:val="28"/>
        </w:rPr>
        <w:t>The Pan African Medical Journal [Internet]. 2 avr 2024 [cité 19 févr 2025];47(151). Disponible à: https://www.panafrican-med-journal.com//content/article/47/151/full</w:t>
      </w:r>
    </w:p>
    <w:p w14:paraId="20544CBD"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11.</w:t>
      </w:r>
      <w:r w:rsidRPr="00337344">
        <w:rPr>
          <w:rFonts w:ascii="Times New Roman" w:hAnsi="Times New Roman" w:cs="Times New Roman"/>
          <w:sz w:val="28"/>
        </w:rPr>
        <w:tab/>
        <w:t xml:space="preserve">Shen Y, Huang Y, Wang W, Zhang J, Chen X, Zhang L, et al. </w:t>
      </w:r>
      <w:r w:rsidRPr="00337344">
        <w:rPr>
          <w:rFonts w:ascii="Times New Roman" w:hAnsi="Times New Roman" w:cs="Times New Roman"/>
          <w:sz w:val="28"/>
          <w:lang w:val="en-US"/>
        </w:rPr>
        <w:t xml:space="preserve">Prevalence and genotype distribution of HPV infection among women in Xiamen, China. </w:t>
      </w:r>
      <w:r w:rsidRPr="00337344">
        <w:rPr>
          <w:rFonts w:ascii="Times New Roman" w:hAnsi="Times New Roman" w:cs="Times New Roman"/>
          <w:sz w:val="28"/>
        </w:rPr>
        <w:t>Front Microbiol [Internet]. 30 mai 2023 [cité 25 févr 2025];14. Disponible à: https://www.frontiersin.org/journals/microbiology/articles/10.3389/fmicb.2023.1130226/full</w:t>
      </w:r>
    </w:p>
    <w:p w14:paraId="5D10AE59"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12.</w:t>
      </w:r>
      <w:r w:rsidRPr="00337344">
        <w:rPr>
          <w:rFonts w:ascii="Times New Roman" w:hAnsi="Times New Roman" w:cs="Times New Roman"/>
          <w:sz w:val="28"/>
        </w:rPr>
        <w:tab/>
        <w:t xml:space="preserve">Bitarafan F, Hekmat MR, Khodaeian M, Razmara E, Ashrafganjoei T, Gilani MM, et al. </w:t>
      </w:r>
      <w:r w:rsidRPr="00337344">
        <w:rPr>
          <w:rFonts w:ascii="Times New Roman" w:hAnsi="Times New Roman" w:cs="Times New Roman"/>
          <w:sz w:val="28"/>
          <w:lang w:val="en-US"/>
        </w:rPr>
        <w:t xml:space="preserve">Prevalence and Genotype Distribution of Human Papillomavirus Infection among 12 076 Iranian Women. </w:t>
      </w:r>
      <w:r w:rsidRPr="00337344">
        <w:rPr>
          <w:rFonts w:ascii="Times New Roman" w:hAnsi="Times New Roman" w:cs="Times New Roman"/>
          <w:sz w:val="28"/>
        </w:rPr>
        <w:t xml:space="preserve">International Journal of Infectious Diseases. 2021;111:295‑302. </w:t>
      </w:r>
    </w:p>
    <w:p w14:paraId="10C1CA2E" w14:textId="77777777" w:rsidR="00012B7C"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13.</w:t>
      </w:r>
      <w:r w:rsidRPr="00337344">
        <w:rPr>
          <w:rFonts w:ascii="Times New Roman" w:hAnsi="Times New Roman" w:cs="Times New Roman"/>
          <w:sz w:val="28"/>
        </w:rPr>
        <w:tab/>
      </w:r>
      <w:r w:rsidR="00012B7C" w:rsidRPr="00012B7C">
        <w:rPr>
          <w:rFonts w:ascii="Times New Roman" w:hAnsi="Times New Roman" w:cs="Times New Roman"/>
          <w:sz w:val="28"/>
        </w:rPr>
        <w:t>Bruneau L, Bendiane M, Touzani R, Chirpaz E, Huiart L. Socioeconomic and cultural determinants associated with lack of awareness of human papillomavirus (HPV) vaccination in 1000 women from an overseas department. Medicine and Infectious Diseases. 2018;48(4, Supplement):S137.</w:t>
      </w:r>
    </w:p>
    <w:p w14:paraId="0D8A1D89" w14:textId="49D879B4"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rPr>
        <w:t>14.</w:t>
      </w:r>
      <w:r w:rsidRPr="00337344">
        <w:rPr>
          <w:rFonts w:ascii="Times New Roman" w:hAnsi="Times New Roman" w:cs="Times New Roman"/>
          <w:sz w:val="28"/>
        </w:rPr>
        <w:tab/>
        <w:t xml:space="preserve">Nejo YT, Olaleye DO, Odaibo GN. </w:t>
      </w:r>
      <w:r w:rsidRPr="00337344">
        <w:rPr>
          <w:rFonts w:ascii="Times New Roman" w:hAnsi="Times New Roman" w:cs="Times New Roman"/>
          <w:sz w:val="28"/>
          <w:lang w:val="en-US"/>
        </w:rPr>
        <w:t xml:space="preserve">Prevalence and Risk Factors for Genital Human Papillomavirus Infections Among Women in Southwest Nigeria. Archives of basic and applied medicine. 2018;6(1):105. </w:t>
      </w:r>
    </w:p>
    <w:p w14:paraId="069BCF57"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15.</w:t>
      </w:r>
      <w:r w:rsidRPr="00337344">
        <w:rPr>
          <w:rFonts w:ascii="Times New Roman" w:hAnsi="Times New Roman" w:cs="Times New Roman"/>
          <w:sz w:val="28"/>
          <w:lang w:val="en-US"/>
        </w:rPr>
        <w:tab/>
        <w:t xml:space="preserve">Diop-Ndiaye H, Beiter K, Gheit T, Sow Ndoye A, Dramé A, McKay-Chopin S, et al. Human Papillomavirus infection in senegalese female sex workers. Papillomavirus Res. 2019;7:97‑101. </w:t>
      </w:r>
    </w:p>
    <w:p w14:paraId="226DE36C"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16.</w:t>
      </w:r>
      <w:r w:rsidRPr="00337344">
        <w:rPr>
          <w:rFonts w:ascii="Times New Roman" w:hAnsi="Times New Roman" w:cs="Times New Roman"/>
          <w:sz w:val="28"/>
          <w:lang w:val="en-US"/>
        </w:rPr>
        <w:tab/>
        <w:t xml:space="preserve">Akhtar M. Human papillomavirus: The disease and prevention strategies. Ann Saudi Med. 2004;24(1):2‑5. </w:t>
      </w:r>
    </w:p>
    <w:p w14:paraId="6CBA5D28"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lastRenderedPageBreak/>
        <w:t>17.</w:t>
      </w:r>
      <w:r w:rsidRPr="00337344">
        <w:rPr>
          <w:rFonts w:ascii="Times New Roman" w:hAnsi="Times New Roman" w:cs="Times New Roman"/>
          <w:sz w:val="28"/>
          <w:lang w:val="en-US"/>
        </w:rPr>
        <w:tab/>
        <w:t xml:space="preserve">Vermandere H, Naanyu V, Mabeya H, Vanden Broeck D, Michielsen K, Degomme O. Determinants of acceptance and subsequent uptake of the HPV vaccine in a cohort in Eldoret, Kenya. PLoS One. 2014;9(10):e109353. </w:t>
      </w:r>
    </w:p>
    <w:p w14:paraId="4494A6D7"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18.</w:t>
      </w:r>
      <w:r w:rsidRPr="00337344">
        <w:rPr>
          <w:rFonts w:ascii="Times New Roman" w:hAnsi="Times New Roman" w:cs="Times New Roman"/>
          <w:sz w:val="28"/>
          <w:lang w:val="en-US"/>
        </w:rPr>
        <w:tab/>
        <w:t xml:space="preserve">Trim K, Nagji N, Elit L, Roy K. Parental Knowledge, Attitudes, and Behaviours towards Human Papillomavirus Vaccination for Their Children: A Systematic Review from 2001 to 2011. Obstet Gynecol Int. 2012;2012:921236. </w:t>
      </w:r>
    </w:p>
    <w:p w14:paraId="15D161BF"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19.</w:t>
      </w:r>
      <w:r w:rsidRPr="00337344">
        <w:rPr>
          <w:rFonts w:ascii="Times New Roman" w:hAnsi="Times New Roman" w:cs="Times New Roman"/>
          <w:sz w:val="28"/>
          <w:lang w:val="en-US"/>
        </w:rPr>
        <w:tab/>
        <w:t xml:space="preserve">Paul-Ebhohimhen V, Huc S, Tissington H, Oates K, Stark C. HPV vaccination: vaccine acceptance, side effects and screening intentions. Community Pract. 2010;83(6):30‑3. </w:t>
      </w:r>
    </w:p>
    <w:p w14:paraId="1C9F957C"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t>20.</w:t>
      </w:r>
      <w:r w:rsidRPr="00337344">
        <w:rPr>
          <w:rFonts w:ascii="Times New Roman" w:hAnsi="Times New Roman" w:cs="Times New Roman"/>
          <w:sz w:val="28"/>
          <w:lang w:val="en-US"/>
        </w:rPr>
        <w:tab/>
        <w:t xml:space="preserve">Bruni L, Albero G, Rowley J, Alemany L, Arbyn M, Giuliano AR, et al. Global and regional estimates of genital human papillomavirus prevalence among men: a systematic review and meta-analysis. </w:t>
      </w:r>
      <w:r w:rsidRPr="00337344">
        <w:rPr>
          <w:rFonts w:ascii="Times New Roman" w:hAnsi="Times New Roman" w:cs="Times New Roman"/>
          <w:sz w:val="28"/>
        </w:rPr>
        <w:t xml:space="preserve">The Lancet Global Health. 2023;11(9):e1345‑62. </w:t>
      </w:r>
    </w:p>
    <w:p w14:paraId="3136794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rPr>
        <w:t>21.</w:t>
      </w:r>
      <w:r w:rsidRPr="00337344">
        <w:rPr>
          <w:rFonts w:ascii="Times New Roman" w:hAnsi="Times New Roman" w:cs="Times New Roman"/>
          <w:sz w:val="28"/>
        </w:rPr>
        <w:tab/>
        <w:t xml:space="preserve">Monsonego J, Zerat L, Syrjänen K, Zerat JC, Smith JS, Halfon P. Prévalence des génotypes d’HPV chez les femmes en France : implications pour le dépistage et la vaccination. Gynécologie Obstétrique &amp; Fertilité. 2013;41(5):305‑13. </w:t>
      </w:r>
    </w:p>
    <w:p w14:paraId="11D6B032"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rPr>
        <w:t>22.</w:t>
      </w:r>
      <w:r w:rsidRPr="00337344">
        <w:rPr>
          <w:rFonts w:ascii="Times New Roman" w:hAnsi="Times New Roman" w:cs="Times New Roman"/>
          <w:sz w:val="28"/>
        </w:rPr>
        <w:tab/>
        <w:t xml:space="preserve">Ahmed HG, Bensumaidea SH, Alshammari FD, Alenazi FSH, ALmutlaq BA, Alturkstani MZ, et al. </w:t>
      </w:r>
      <w:r w:rsidRPr="00337344">
        <w:rPr>
          <w:rFonts w:ascii="Times New Roman" w:hAnsi="Times New Roman" w:cs="Times New Roman"/>
          <w:sz w:val="28"/>
          <w:lang w:val="en-US"/>
        </w:rPr>
        <w:t xml:space="preserve">Prevalence of Human Papillomavirus subtypes 16 and 18 among Yemeni Patients with Cervical Cancer. Asian Pac J Cancer Prev. 2017;18(6):1543‑8. </w:t>
      </w:r>
    </w:p>
    <w:p w14:paraId="7432321F"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23.</w:t>
      </w:r>
      <w:r w:rsidRPr="00337344">
        <w:rPr>
          <w:rFonts w:ascii="Times New Roman" w:hAnsi="Times New Roman" w:cs="Times New Roman"/>
          <w:sz w:val="28"/>
          <w:lang w:val="en-US"/>
        </w:rPr>
        <w:tab/>
        <w:t xml:space="preserve">Hoory T, Monie A, Gravitt P, Wu TC. Molecular Epidemiology of Human Papillomavirus. Journal of the Formosan Medical Association. 2008;107(3):198‑217. </w:t>
      </w:r>
    </w:p>
    <w:p w14:paraId="44B9C5CC"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24.</w:t>
      </w:r>
      <w:r w:rsidRPr="00337344">
        <w:rPr>
          <w:rFonts w:ascii="Times New Roman" w:hAnsi="Times New Roman" w:cs="Times New Roman"/>
          <w:sz w:val="28"/>
          <w:lang w:val="en-US"/>
        </w:rPr>
        <w:tab/>
        <w:t xml:space="preserve">Onwuamah CK, Feng N, Momoh AE, Uwandu M, Ahmed RA, Idigbe I, et al. Prevalence and risk factors for high-risk human papillomavirus infection among women from three southern geopolitical zones of Nigeria. Front Oncol. 2023;13:1254304. </w:t>
      </w:r>
    </w:p>
    <w:p w14:paraId="25E60ABD"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25.</w:t>
      </w:r>
      <w:r w:rsidRPr="00337344">
        <w:rPr>
          <w:rFonts w:ascii="Times New Roman" w:hAnsi="Times New Roman" w:cs="Times New Roman"/>
          <w:sz w:val="28"/>
          <w:lang w:val="en-US"/>
        </w:rPr>
        <w:tab/>
        <w:t xml:space="preserve">LEE H, LEE DH, SONG YM, LEE K, SUNG J, KO G. Risk factors associated with human papillomavirus infection status in a Korean cohort. Epidemiol Infect. 2014;142(8):1579‑89. </w:t>
      </w:r>
    </w:p>
    <w:p w14:paraId="0536B028"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26.</w:t>
      </w:r>
      <w:r w:rsidRPr="00337344">
        <w:rPr>
          <w:rFonts w:ascii="Times New Roman" w:hAnsi="Times New Roman" w:cs="Times New Roman"/>
          <w:sz w:val="28"/>
          <w:lang w:val="en-US"/>
        </w:rPr>
        <w:tab/>
        <w:t xml:space="preserve">Ashry M, Shawky S, Mounir Z, Fathy F, Elsayed H, Kamal W, et al. Prevalence and risk factors of human papilloma virus infection among women living with HIV, Egypt, a cross sectional study. BMC Public Health. 2024;24(1):1821. </w:t>
      </w:r>
    </w:p>
    <w:p w14:paraId="1E10AA8D"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rPr>
      </w:pPr>
      <w:r w:rsidRPr="00337344">
        <w:rPr>
          <w:rFonts w:ascii="Times New Roman" w:hAnsi="Times New Roman" w:cs="Times New Roman"/>
          <w:sz w:val="28"/>
          <w:lang w:val="en-US"/>
        </w:rPr>
        <w:lastRenderedPageBreak/>
        <w:t>27.</w:t>
      </w:r>
      <w:r w:rsidRPr="00337344">
        <w:rPr>
          <w:rFonts w:ascii="Times New Roman" w:hAnsi="Times New Roman" w:cs="Times New Roman"/>
          <w:sz w:val="28"/>
          <w:lang w:val="en-US"/>
        </w:rPr>
        <w:tab/>
        <w:t xml:space="preserve">F G, Jm H, Ab B. Comparison of HPV prevalence between HPV-vaccinated and non-vaccinated young adult women (20-26 years). </w:t>
      </w:r>
      <w:r w:rsidRPr="00337344">
        <w:rPr>
          <w:rFonts w:ascii="Times New Roman" w:hAnsi="Times New Roman" w:cs="Times New Roman"/>
          <w:sz w:val="28"/>
        </w:rPr>
        <w:t>Human vaccines &amp; immunotherapeutics [Internet]. 2015 [cité 1 mars 2025];11(10). Disponible à: https://pubmed.ncbi.nlm.nih.gov/26376014/</w:t>
      </w:r>
    </w:p>
    <w:p w14:paraId="006BA9A9"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28.</w:t>
      </w:r>
      <w:r w:rsidRPr="00337344">
        <w:rPr>
          <w:rFonts w:ascii="Times New Roman" w:hAnsi="Times New Roman" w:cs="Times New Roman"/>
          <w:sz w:val="28"/>
          <w:lang w:val="en-US"/>
        </w:rPr>
        <w:tab/>
        <w:t xml:space="preserve">Trottier H, Ferreira S, Thomann P, Costa MC, Sobrinho JS, Prado JCM, et al. Human Papillomavirus Infection and Reinfection in Adult Women: the Role of Sexual Activity and Natural Immunity. Cancer Research. 2010;70(21):8569‑77. </w:t>
      </w:r>
    </w:p>
    <w:p w14:paraId="3D5861FB"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29.</w:t>
      </w:r>
      <w:r w:rsidRPr="00337344">
        <w:rPr>
          <w:rFonts w:ascii="Times New Roman" w:hAnsi="Times New Roman" w:cs="Times New Roman"/>
          <w:sz w:val="28"/>
          <w:lang w:val="en-US"/>
        </w:rPr>
        <w:tab/>
        <w:t xml:space="preserve">Almonte M, Albero G, Molano M, Carcamo C, García PJ, Pérez G. Risk factors for Human Papillomavirus Exposure and Co-factors for Cervical Cancer in Latin America and the Caribbean. Vaccine. 2008;26:L16‑36. </w:t>
      </w:r>
    </w:p>
    <w:p w14:paraId="02B3ACC3"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30.</w:t>
      </w:r>
      <w:r w:rsidRPr="00337344">
        <w:rPr>
          <w:rFonts w:ascii="Times New Roman" w:hAnsi="Times New Roman" w:cs="Times New Roman"/>
          <w:sz w:val="28"/>
          <w:lang w:val="en-US"/>
        </w:rPr>
        <w:tab/>
        <w:t xml:space="preserve">Vaccarella S, Herrero R, Dai M, Snijders PJF, Meijer CJLM, Thomas JO, et al. Reproductive factors, oral contraceptive use, and human papillomavirus infection: pooled analysis of the IARC HPV prevalence surveys. Cancer Epidemiol Biomarkers Prev. 2006;15(11):2148‑53. </w:t>
      </w:r>
    </w:p>
    <w:p w14:paraId="629035ED" w14:textId="77777777" w:rsidR="00012B7C"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31.</w:t>
      </w:r>
      <w:r w:rsidRPr="00337344">
        <w:rPr>
          <w:rFonts w:ascii="Times New Roman" w:hAnsi="Times New Roman" w:cs="Times New Roman"/>
          <w:sz w:val="28"/>
          <w:lang w:val="en-US"/>
        </w:rPr>
        <w:tab/>
      </w:r>
      <w:r w:rsidR="00012B7C" w:rsidRPr="00012B7C">
        <w:rPr>
          <w:rFonts w:ascii="Times New Roman" w:hAnsi="Times New Roman" w:cs="Times New Roman"/>
          <w:sz w:val="28"/>
          <w:lang w:val="en-US"/>
        </w:rPr>
        <w:t>Dakenyo RD, Kenfack B, Vogue N, Tsakoue EF, Ebode ME, Cumber SN. Knowledge, attitudes and practices of women of reproductive age in the Mifi Health District on cervical cancer prevention, Cameroon. The Pan African Medical Journal. 2018;31:172.</w:t>
      </w:r>
    </w:p>
    <w:p w14:paraId="48590068" w14:textId="0718EEDD"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32.</w:t>
      </w:r>
      <w:r w:rsidRPr="00337344">
        <w:rPr>
          <w:rFonts w:ascii="Times New Roman" w:hAnsi="Times New Roman" w:cs="Times New Roman"/>
          <w:sz w:val="28"/>
          <w:lang w:val="en-US"/>
        </w:rPr>
        <w:tab/>
        <w:t xml:space="preserve">Believe O, Omosivie M, Soter A, Adekunbiola B. Effect of Health Education on the Knowledge of Cervical Cancer, Human Papillomavirus and Self-sampling Among Women in a Low- Resource Setting. European Journal of Medical and Health Sciences. 2022;4(3):145‑51. </w:t>
      </w:r>
    </w:p>
    <w:p w14:paraId="19716C53" w14:textId="77777777" w:rsidR="00337344" w:rsidRPr="00337344" w:rsidRDefault="00337344" w:rsidP="00337344">
      <w:pPr>
        <w:tabs>
          <w:tab w:val="left" w:pos="384"/>
        </w:tabs>
        <w:spacing w:after="240" w:line="240" w:lineRule="auto"/>
        <w:ind w:left="384" w:hanging="384"/>
        <w:rPr>
          <w:rFonts w:ascii="Times New Roman" w:hAnsi="Times New Roman" w:cs="Times New Roman"/>
          <w:sz w:val="28"/>
          <w:lang w:val="en-US"/>
        </w:rPr>
      </w:pPr>
      <w:r w:rsidRPr="00337344">
        <w:rPr>
          <w:rFonts w:ascii="Times New Roman" w:hAnsi="Times New Roman" w:cs="Times New Roman"/>
          <w:sz w:val="28"/>
          <w:lang w:val="en-US"/>
        </w:rPr>
        <w:t>33.</w:t>
      </w:r>
      <w:r w:rsidRPr="00337344">
        <w:rPr>
          <w:rFonts w:ascii="Times New Roman" w:hAnsi="Times New Roman" w:cs="Times New Roman"/>
          <w:sz w:val="28"/>
          <w:lang w:val="en-US"/>
        </w:rPr>
        <w:tab/>
        <w:t>John J. The knowledge, attitude, practice and perceived barriers towards screening for premalignant cervical lesions among women aged 18years and above, in Songea urban, Ruvuma [Internet] [Thesis]. Muhimbili University of Health and Allied Sciences; 2011 [cité 28 févr 2025]. Disponible à: http://dspace.muhas.ac.tz:8080/xmlui/handle/123456789/50</w:t>
      </w:r>
    </w:p>
    <w:p w14:paraId="2F557E20" w14:textId="77777777" w:rsidR="00337344" w:rsidRPr="00384470" w:rsidRDefault="00337344" w:rsidP="00337344">
      <w:pPr>
        <w:spacing w:line="360" w:lineRule="auto"/>
        <w:jc w:val="both"/>
        <w:rPr>
          <w:rFonts w:ascii="Times New Roman" w:hAnsi="Times New Roman" w:cs="Times New Roman"/>
          <w:sz w:val="28"/>
          <w:szCs w:val="28"/>
        </w:rPr>
      </w:pPr>
      <w:r w:rsidRPr="00337344">
        <w:rPr>
          <w:rFonts w:ascii="Times New Roman" w:hAnsi="Times New Roman" w:cs="Times New Roman"/>
          <w:b/>
          <w:sz w:val="28"/>
          <w:szCs w:val="28"/>
        </w:rPr>
        <w:fldChar w:fldCharType="end"/>
      </w:r>
    </w:p>
    <w:sectPr w:rsidR="00337344" w:rsidRPr="0038447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C04C9" w14:textId="77777777" w:rsidR="00EC1154" w:rsidRDefault="00EC1154" w:rsidP="0012147C">
      <w:pPr>
        <w:spacing w:after="0" w:line="240" w:lineRule="auto"/>
      </w:pPr>
      <w:r>
        <w:separator/>
      </w:r>
    </w:p>
  </w:endnote>
  <w:endnote w:type="continuationSeparator" w:id="0">
    <w:p w14:paraId="1586CDBA" w14:textId="77777777" w:rsidR="00EC1154" w:rsidRDefault="00EC1154" w:rsidP="0012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E617" w14:textId="77777777" w:rsidR="003D4CFB" w:rsidRDefault="003D4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7972" w14:textId="77777777" w:rsidR="003D4CFB" w:rsidRDefault="003D4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B56A" w14:textId="77777777" w:rsidR="003D4CFB" w:rsidRDefault="003D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6DCF5" w14:textId="77777777" w:rsidR="00EC1154" w:rsidRDefault="00EC1154" w:rsidP="0012147C">
      <w:pPr>
        <w:spacing w:after="0" w:line="240" w:lineRule="auto"/>
      </w:pPr>
      <w:r>
        <w:separator/>
      </w:r>
    </w:p>
  </w:footnote>
  <w:footnote w:type="continuationSeparator" w:id="0">
    <w:p w14:paraId="09FE49C8" w14:textId="77777777" w:rsidR="00EC1154" w:rsidRDefault="00EC1154" w:rsidP="0012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E53F" w14:textId="1CFD1529" w:rsidR="003D4CFB" w:rsidRDefault="003D4CFB">
    <w:pPr>
      <w:pStyle w:val="Header"/>
    </w:pPr>
    <w:r>
      <w:rPr>
        <w:noProof/>
      </w:rPr>
      <w:pict w14:anchorId="21DC5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551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6A96" w14:textId="368186C6" w:rsidR="003D4CFB" w:rsidRDefault="003D4CFB">
    <w:pPr>
      <w:pStyle w:val="Header"/>
    </w:pPr>
    <w:r>
      <w:rPr>
        <w:noProof/>
      </w:rPr>
      <w:pict w14:anchorId="23F62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551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D777" w14:textId="65E21AB8" w:rsidR="003D4CFB" w:rsidRDefault="003D4CFB">
    <w:pPr>
      <w:pStyle w:val="Header"/>
    </w:pPr>
    <w:r>
      <w:rPr>
        <w:noProof/>
      </w:rPr>
      <w:pict w14:anchorId="47A02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551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7C"/>
    <w:rsid w:val="00012B7C"/>
    <w:rsid w:val="000240B4"/>
    <w:rsid w:val="00046E0C"/>
    <w:rsid w:val="0005485F"/>
    <w:rsid w:val="000C3D22"/>
    <w:rsid w:val="0012147C"/>
    <w:rsid w:val="00176CE2"/>
    <w:rsid w:val="001A3BA0"/>
    <w:rsid w:val="001F3B62"/>
    <w:rsid w:val="00337344"/>
    <w:rsid w:val="003409BE"/>
    <w:rsid w:val="00384470"/>
    <w:rsid w:val="003C754D"/>
    <w:rsid w:val="003D4CFB"/>
    <w:rsid w:val="004710F9"/>
    <w:rsid w:val="005A1165"/>
    <w:rsid w:val="005A4875"/>
    <w:rsid w:val="005D752F"/>
    <w:rsid w:val="00695F0C"/>
    <w:rsid w:val="00755F75"/>
    <w:rsid w:val="00775DF8"/>
    <w:rsid w:val="00825CF1"/>
    <w:rsid w:val="0089759C"/>
    <w:rsid w:val="009E4CD4"/>
    <w:rsid w:val="00A2238E"/>
    <w:rsid w:val="00A419DB"/>
    <w:rsid w:val="00AF75EE"/>
    <w:rsid w:val="00B07BE6"/>
    <w:rsid w:val="00B66B2A"/>
    <w:rsid w:val="00B863BA"/>
    <w:rsid w:val="00B931E8"/>
    <w:rsid w:val="00B97303"/>
    <w:rsid w:val="00BE07D9"/>
    <w:rsid w:val="00C834C9"/>
    <w:rsid w:val="00CB452A"/>
    <w:rsid w:val="00D55224"/>
    <w:rsid w:val="00DA65F0"/>
    <w:rsid w:val="00DC5C41"/>
    <w:rsid w:val="00EC1154"/>
    <w:rsid w:val="00EE7BC1"/>
    <w:rsid w:val="00F173DF"/>
    <w:rsid w:val="00FA0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69FD6"/>
  <w15:chartTrackingRefBased/>
  <w15:docId w15:val="{7FC1BF04-2C19-4960-924C-761372B3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47C"/>
  </w:style>
  <w:style w:type="paragraph" w:styleId="Footer">
    <w:name w:val="footer"/>
    <w:basedOn w:val="Normal"/>
    <w:link w:val="FooterChar"/>
    <w:uiPriority w:val="99"/>
    <w:unhideWhenUsed/>
    <w:rsid w:val="001214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47C"/>
  </w:style>
  <w:style w:type="table" w:styleId="ListTable6Colorful">
    <w:name w:val="List Table 6 Colorful"/>
    <w:basedOn w:val="TableNormal"/>
    <w:uiPriority w:val="51"/>
    <w:rsid w:val="00A419D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
    <w:name w:val="Tableau Liste 6 Couleur1"/>
    <w:basedOn w:val="TableNormal"/>
    <w:next w:val="ListTable6Colorful"/>
    <w:uiPriority w:val="51"/>
    <w:rsid w:val="00CB452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844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337344"/>
  </w:style>
  <w:style w:type="paragraph" w:styleId="HTMLPreformatted">
    <w:name w:val="HTML Preformatted"/>
    <w:basedOn w:val="Normal"/>
    <w:link w:val="HTMLPreformattedChar"/>
    <w:uiPriority w:val="99"/>
    <w:semiHidden/>
    <w:unhideWhenUsed/>
    <w:rsid w:val="00EE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EE7BC1"/>
    <w:rPr>
      <w:rFonts w:ascii="Courier New" w:eastAsia="Times New Roman" w:hAnsi="Courier New" w:cs="Courier New"/>
      <w:sz w:val="20"/>
      <w:szCs w:val="20"/>
      <w:lang w:eastAsia="fr-FR"/>
    </w:rPr>
  </w:style>
  <w:style w:type="character" w:customStyle="1" w:styleId="y2iqfc">
    <w:name w:val="y2iqfc"/>
    <w:basedOn w:val="DefaultParagraphFont"/>
    <w:rsid w:val="00EE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Feuil1!$C$2</c:f>
              <c:strCache>
                <c:ptCount val="1"/>
                <c:pt idx="0">
                  <c:v>Number</c:v>
                </c:pt>
              </c:strCache>
            </c:strRef>
          </c:tx>
          <c:spPr>
            <a:solidFill>
              <a:schemeClr val="accent1"/>
            </a:solidFill>
            <a:ln>
              <a:noFill/>
            </a:ln>
            <a:effectLst/>
          </c:spPr>
          <c:invertIfNegative val="0"/>
          <c:dLbls>
            <c:dLbl>
              <c:idx val="0"/>
              <c:layout>
                <c:manualLayout>
                  <c:x val="0.3174603174603174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D1-4F79-82FD-ED521E416694}"/>
                </c:ext>
              </c:extLst>
            </c:dLbl>
            <c:dLbl>
              <c:idx val="1"/>
              <c:layout>
                <c:manualLayout>
                  <c:x val="6.0846560846560822E-2"/>
                  <c:y val="4.07747196738022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D1-4F79-82FD-ED521E416694}"/>
                </c:ext>
              </c:extLst>
            </c:dLbl>
            <c:dLbl>
              <c:idx val="2"/>
              <c:layout>
                <c:manualLayout>
                  <c:x val="0.20105820105820105"/>
                  <c:y val="4.07747196738022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D1-4F79-82FD-ED521E416694}"/>
                </c:ext>
              </c:extLst>
            </c:dLbl>
            <c:dLbl>
              <c:idx val="3"/>
              <c:layout>
                <c:manualLayout>
                  <c:x val="5.55555555555555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D1-4F79-82FD-ED521E41669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Feuil1!$B$3:$B$6</c:f>
              <c:strCache>
                <c:ptCount val="4"/>
                <c:pt idx="0">
                  <c:v>18-30</c:v>
                </c:pt>
                <c:pt idx="1">
                  <c:v>31-43</c:v>
                </c:pt>
                <c:pt idx="2">
                  <c:v>44-56</c:v>
                </c:pt>
                <c:pt idx="3">
                  <c:v>57-78</c:v>
                </c:pt>
              </c:strCache>
            </c:strRef>
          </c:cat>
          <c:val>
            <c:numRef>
              <c:f>Feuil1!$C$3:$C$6</c:f>
              <c:numCache>
                <c:formatCode>General</c:formatCode>
                <c:ptCount val="4"/>
                <c:pt idx="0">
                  <c:v>33</c:v>
                </c:pt>
                <c:pt idx="1">
                  <c:v>4</c:v>
                </c:pt>
                <c:pt idx="2">
                  <c:v>20</c:v>
                </c:pt>
                <c:pt idx="3">
                  <c:v>3</c:v>
                </c:pt>
              </c:numCache>
            </c:numRef>
          </c:val>
          <c:extLst>
            <c:ext xmlns:c16="http://schemas.microsoft.com/office/drawing/2014/chart" uri="{C3380CC4-5D6E-409C-BE32-E72D297353CC}">
              <c16:uniqueId val="{00000004-6CD1-4F79-82FD-ED521E416694}"/>
            </c:ext>
          </c:extLst>
        </c:ser>
        <c:dLbls>
          <c:showLegendKey val="0"/>
          <c:showVal val="0"/>
          <c:showCatName val="0"/>
          <c:showSerName val="0"/>
          <c:showPercent val="0"/>
          <c:showBubbleSize val="0"/>
        </c:dLbls>
        <c:gapWidth val="150"/>
        <c:overlap val="100"/>
        <c:axId val="8976239"/>
        <c:axId val="8973327"/>
      </c:barChart>
      <c:catAx>
        <c:axId val="89762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8973327"/>
        <c:crosses val="autoZero"/>
        <c:auto val="1"/>
        <c:lblAlgn val="ctr"/>
        <c:lblOffset val="100"/>
        <c:noMultiLvlLbl val="0"/>
      </c:catAx>
      <c:valAx>
        <c:axId val="8973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8976239"/>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3F-4E05-A2BB-EBDBCE2989A5}"/>
              </c:ext>
            </c:extLst>
          </c:dPt>
          <c:dPt>
            <c:idx val="1"/>
            <c:bubble3D val="0"/>
            <c:explosion val="6"/>
            <c:spPr>
              <a:solidFill>
                <a:schemeClr val="accent2"/>
              </a:solidFill>
              <a:ln w="19050">
                <a:solidFill>
                  <a:schemeClr val="lt1"/>
                </a:solidFill>
              </a:ln>
              <a:effectLst/>
            </c:spPr>
            <c:extLst>
              <c:ext xmlns:c16="http://schemas.microsoft.com/office/drawing/2014/chart" uri="{C3380CC4-5D6E-409C-BE32-E72D297353CC}">
                <c16:uniqueId val="{00000003-3D3F-4E05-A2BB-EBDBCE2989A5}"/>
              </c:ext>
            </c:extLst>
          </c:dPt>
          <c:dLbls>
            <c:dLbl>
              <c:idx val="1"/>
              <c:layout>
                <c:manualLayout>
                  <c:x val="0.12271153777010743"/>
                  <c:y val="4.62962962962962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3F-4E05-A2BB-EBDBCE2989A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Feuil1!$C$2:$C$3</c:f>
              <c:strCache>
                <c:ptCount val="2"/>
                <c:pt idx="0">
                  <c:v>married</c:v>
                </c:pt>
                <c:pt idx="1">
                  <c:v>widowed</c:v>
                </c:pt>
              </c:strCache>
            </c:strRef>
          </c:cat>
          <c:val>
            <c:numRef>
              <c:f>Feuil1!$D$2:$D$3</c:f>
              <c:numCache>
                <c:formatCode>0.00%</c:formatCode>
                <c:ptCount val="2"/>
                <c:pt idx="0">
                  <c:v>0.96799999999999997</c:v>
                </c:pt>
                <c:pt idx="1">
                  <c:v>3.2000000000000001E-2</c:v>
                </c:pt>
              </c:numCache>
            </c:numRef>
          </c:val>
          <c:extLst>
            <c:ext xmlns:c16="http://schemas.microsoft.com/office/drawing/2014/chart" uri="{C3380CC4-5D6E-409C-BE32-E72D297353CC}">
              <c16:uniqueId val="{00000004-3D3F-4E05-A2BB-EBDBCE2989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Feuil1!$J$3</c:f>
              <c:strCache>
                <c:ptCount val="1"/>
                <c:pt idx="0">
                  <c:v>pourcentage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Feuil1!$I$4:$I$6</c:f>
              <c:strCache>
                <c:ptCount val="3"/>
                <c:pt idx="0">
                  <c:v>HPV 16</c:v>
                </c:pt>
                <c:pt idx="1">
                  <c:v>HPV 18</c:v>
                </c:pt>
                <c:pt idx="2">
                  <c:v>HPV HR</c:v>
                </c:pt>
              </c:strCache>
            </c:strRef>
          </c:cat>
          <c:val>
            <c:numRef>
              <c:f>Feuil1!$J$4:$J$6</c:f>
              <c:numCache>
                <c:formatCode>0%</c:formatCode>
                <c:ptCount val="3"/>
                <c:pt idx="0">
                  <c:v>0.75</c:v>
                </c:pt>
                <c:pt idx="1">
                  <c:v>0.2</c:v>
                </c:pt>
                <c:pt idx="2">
                  <c:v>0.05</c:v>
                </c:pt>
              </c:numCache>
            </c:numRef>
          </c:val>
          <c:extLst>
            <c:ext xmlns:c16="http://schemas.microsoft.com/office/drawing/2014/chart" uri="{C3380CC4-5D6E-409C-BE32-E72D297353CC}">
              <c16:uniqueId val="{00000000-952F-4E08-84E0-CC28AAA15565}"/>
            </c:ext>
          </c:extLst>
        </c:ser>
        <c:dLbls>
          <c:dLblPos val="outEnd"/>
          <c:showLegendKey val="0"/>
          <c:showVal val="1"/>
          <c:showCatName val="0"/>
          <c:showSerName val="0"/>
          <c:showPercent val="0"/>
          <c:showBubbleSize val="0"/>
        </c:dLbls>
        <c:gapWidth val="219"/>
        <c:overlap val="-27"/>
        <c:axId val="1520771487"/>
        <c:axId val="1520773151"/>
      </c:barChart>
      <c:catAx>
        <c:axId val="152077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520773151"/>
        <c:crosses val="autoZero"/>
        <c:auto val="1"/>
        <c:lblAlgn val="ctr"/>
        <c:lblOffset val="100"/>
        <c:noMultiLvlLbl val="0"/>
      </c:catAx>
      <c:valAx>
        <c:axId val="152077315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520771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4772-4DC2-94BC-C53C78D5A1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72-4DC2-94BC-C53C78D5A1D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Feuil1!$B$4:$B$5</c:f>
              <c:strCache>
                <c:ptCount val="2"/>
                <c:pt idx="0">
                  <c:v>IVA+ test</c:v>
                </c:pt>
                <c:pt idx="1">
                  <c:v> IVA - test</c:v>
                </c:pt>
              </c:strCache>
            </c:strRef>
          </c:cat>
          <c:val>
            <c:numRef>
              <c:f>Feuil1!$C$4:$C$5</c:f>
              <c:numCache>
                <c:formatCode>0.00%</c:formatCode>
                <c:ptCount val="2"/>
                <c:pt idx="0">
                  <c:v>0.113</c:v>
                </c:pt>
                <c:pt idx="1">
                  <c:v>0.88700000000000001</c:v>
                </c:pt>
              </c:numCache>
            </c:numRef>
          </c:val>
          <c:extLst>
            <c:ext xmlns:c16="http://schemas.microsoft.com/office/drawing/2014/chart" uri="{C3380CC4-5D6E-409C-BE32-E72D297353CC}">
              <c16:uniqueId val="{00000004-4772-4DC2-94BC-C53C78D5A1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TotalTime>
  <Pages>15</Pages>
  <Words>3205</Words>
  <Characters>18272</Characters>
  <Application>Microsoft Office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Editor-22</cp:lastModifiedBy>
  <cp:revision>12</cp:revision>
  <dcterms:created xsi:type="dcterms:W3CDTF">2025-06-12T12:02:00Z</dcterms:created>
  <dcterms:modified xsi:type="dcterms:W3CDTF">2025-06-13T14:11:00Z</dcterms:modified>
</cp:coreProperties>
</file>