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F375" w14:textId="77777777" w:rsidR="00D931D9" w:rsidRDefault="00D931D9" w:rsidP="00D931D9">
      <w:pPr>
        <w:jc w:val="center"/>
        <w:rPr>
          <w:rFonts w:ascii="Times New Roman" w:hAnsi="Times New Roman" w:cs="Times New Roman"/>
          <w:b/>
          <w:sz w:val="24"/>
          <w:szCs w:val="24"/>
        </w:rPr>
      </w:pPr>
      <w:bookmarkStart w:id="0" w:name="_GoBack"/>
      <w:bookmarkEnd w:id="0"/>
      <w:r w:rsidRPr="00D931D9">
        <w:rPr>
          <w:rFonts w:ascii="Times New Roman" w:hAnsi="Times New Roman" w:cs="Times New Roman"/>
          <w:b/>
          <w:sz w:val="24"/>
          <w:szCs w:val="24"/>
        </w:rPr>
        <w:t>Epidemiological profile of measles rash in the city of Greater Conakry (Republic of Guinea)</w:t>
      </w:r>
    </w:p>
    <w:p w14:paraId="045E76ED" w14:textId="77777777" w:rsidR="00810A64" w:rsidRPr="00A54378" w:rsidRDefault="00810A64">
      <w:pPr>
        <w:rPr>
          <w:rFonts w:ascii="Times New Roman" w:hAnsi="Times New Roman" w:cs="Times New Roman"/>
          <w:sz w:val="24"/>
          <w:szCs w:val="24"/>
        </w:rPr>
      </w:pPr>
    </w:p>
    <w:p w14:paraId="6A856F9A" w14:textId="77777777" w:rsidR="00D32EC7" w:rsidRPr="00A54378" w:rsidRDefault="00D32EC7" w:rsidP="00D32EC7">
      <w:pPr>
        <w:jc w:val="center"/>
        <w:rPr>
          <w:rFonts w:ascii="Times New Roman" w:hAnsi="Times New Roman" w:cs="Times New Roman"/>
          <w:b/>
          <w:sz w:val="24"/>
          <w:szCs w:val="24"/>
        </w:rPr>
      </w:pPr>
      <w:r w:rsidRPr="00A54378">
        <w:rPr>
          <w:rFonts w:ascii="Times New Roman" w:hAnsi="Times New Roman" w:cs="Times New Roman"/>
          <w:b/>
          <w:sz w:val="24"/>
          <w:szCs w:val="24"/>
        </w:rPr>
        <w:t>Abstract</w:t>
      </w:r>
    </w:p>
    <w:p w14:paraId="1C1756AA" w14:textId="77777777" w:rsidR="00D32EC7" w:rsidRPr="00A54378" w:rsidRDefault="00D32EC7" w:rsidP="00D32EC7">
      <w:pPr>
        <w:jc w:val="both"/>
        <w:rPr>
          <w:rFonts w:ascii="Times New Roman" w:hAnsi="Times New Roman" w:cs="Times New Roman"/>
          <w:sz w:val="24"/>
          <w:szCs w:val="24"/>
        </w:rPr>
      </w:pPr>
      <w:r w:rsidRPr="00A54378">
        <w:rPr>
          <w:rFonts w:ascii="Times New Roman" w:hAnsi="Times New Roman" w:cs="Times New Roman"/>
          <w:b/>
          <w:sz w:val="24"/>
          <w:szCs w:val="24"/>
        </w:rPr>
        <w:t>Introduction</w:t>
      </w:r>
      <w:r w:rsidRPr="00A54378">
        <w:rPr>
          <w:rFonts w:ascii="Times New Roman" w:hAnsi="Times New Roman" w:cs="Times New Roman"/>
          <w:sz w:val="24"/>
          <w:szCs w:val="24"/>
        </w:rPr>
        <w:t xml:space="preserve">: Measles and rubella are highly contagious viral infections for which there is no effective antiviral treatment. </w:t>
      </w:r>
      <w:r w:rsidRPr="00A54378">
        <w:rPr>
          <w:rFonts w:ascii="Times New Roman" w:hAnsi="Times New Roman" w:cs="Times New Roman"/>
          <w:b/>
          <w:sz w:val="24"/>
          <w:szCs w:val="24"/>
        </w:rPr>
        <w:t>Objective</w:t>
      </w:r>
      <w:r w:rsidRPr="00A54378">
        <w:rPr>
          <w:rFonts w:ascii="Times New Roman" w:hAnsi="Times New Roman" w:cs="Times New Roman"/>
          <w:sz w:val="24"/>
          <w:szCs w:val="24"/>
        </w:rPr>
        <w:t xml:space="preserve">: To contribute to surveillance as part of the elimination of measles and rubella in Guinea. </w:t>
      </w:r>
      <w:r w:rsidRPr="007A69DD">
        <w:rPr>
          <w:rFonts w:ascii="Times New Roman" w:hAnsi="Times New Roman" w:cs="Times New Roman"/>
          <w:b/>
          <w:sz w:val="24"/>
          <w:szCs w:val="24"/>
        </w:rPr>
        <w:t>Methods</w:t>
      </w:r>
      <w:r w:rsidRPr="00A54378">
        <w:rPr>
          <w:rFonts w:ascii="Times New Roman" w:hAnsi="Times New Roman" w:cs="Times New Roman"/>
          <w:sz w:val="24"/>
          <w:szCs w:val="24"/>
        </w:rPr>
        <w:t xml:space="preserve">: This was a retrospective, descriptive, cross-sectional study covering a ten-month period from 01 January to 01 November 2024. </w:t>
      </w:r>
      <w:r w:rsidRPr="00A54378">
        <w:rPr>
          <w:rFonts w:ascii="Times New Roman" w:hAnsi="Times New Roman" w:cs="Times New Roman"/>
          <w:b/>
          <w:sz w:val="24"/>
          <w:szCs w:val="24"/>
        </w:rPr>
        <w:t>Results</w:t>
      </w:r>
      <w:r w:rsidRPr="00A54378">
        <w:rPr>
          <w:rFonts w:ascii="Times New Roman" w:hAnsi="Times New Roman" w:cs="Times New Roman"/>
          <w:sz w:val="24"/>
          <w:szCs w:val="24"/>
        </w:rPr>
        <w:t xml:space="preserve">: Out of 300 samples suspected of having measles and rubella, females were the most affected, with a prevalence of 25.33%, compared with 22.67% of males for measles. Unlike rubella, females and males were equally affected, with a prevalence of 1.28% each. The 0-10 </w:t>
      </w:r>
      <w:r w:rsidR="00777192" w:rsidRPr="00A54378">
        <w:rPr>
          <w:rFonts w:ascii="Times New Roman" w:hAnsi="Times New Roman" w:cs="Times New Roman"/>
          <w:color w:val="000000" w:themeColor="text1"/>
          <w:sz w:val="24"/>
          <w:szCs w:val="24"/>
        </w:rPr>
        <w:t>years</w:t>
      </w:r>
      <w:r w:rsidR="00777192" w:rsidRPr="00A54378">
        <w:rPr>
          <w:rFonts w:ascii="Times New Roman" w:hAnsi="Times New Roman" w:cs="Times New Roman"/>
          <w:sz w:val="24"/>
          <w:szCs w:val="24"/>
        </w:rPr>
        <w:t xml:space="preserve"> </w:t>
      </w:r>
      <w:r w:rsidR="00777192">
        <w:rPr>
          <w:rFonts w:ascii="Times New Roman" w:hAnsi="Times New Roman" w:cs="Times New Roman"/>
          <w:sz w:val="24"/>
          <w:szCs w:val="24"/>
        </w:rPr>
        <w:t xml:space="preserve"> </w:t>
      </w:r>
      <w:r w:rsidRPr="00A54378">
        <w:rPr>
          <w:rFonts w:ascii="Times New Roman" w:hAnsi="Times New Roman" w:cs="Times New Roman"/>
          <w:sz w:val="24"/>
          <w:szCs w:val="24"/>
        </w:rPr>
        <w:t xml:space="preserve">age group was the most affected, with a prevalence of 47.33% for measles. In the same age group, rubella prevalence was 2.57%. Patients in the Matoto Commune were the most affected by measles, with a prevalence of 12.34%, followed by those in Ratoma with 11.33%. However, the Commune of Coyah was the most affected by rubella, with a prevalence of 1.92%, followed by Ratoma with 0.64%. 48% of patients had anti-measles immunoglobulin M, and of the 156 patients suspected of having negative measles, only 4 samples were positive for anti-rubella IgM, i.e. 2.57%. In our study, we found that out of 300 samples suspected of having measles, 18% had been vaccinated, 51% had not, and 31% had an unknown vaccination status. </w:t>
      </w:r>
      <w:r w:rsidRPr="00A54378">
        <w:rPr>
          <w:rFonts w:ascii="Times New Roman" w:hAnsi="Times New Roman" w:cs="Times New Roman"/>
          <w:b/>
          <w:sz w:val="24"/>
          <w:szCs w:val="24"/>
        </w:rPr>
        <w:t>Conclusion</w:t>
      </w:r>
      <w:r w:rsidRPr="00A54378">
        <w:rPr>
          <w:rFonts w:ascii="Times New Roman" w:hAnsi="Times New Roman" w:cs="Times New Roman"/>
          <w:sz w:val="24"/>
          <w:szCs w:val="24"/>
        </w:rPr>
        <w:t>: Measles and rubella are a public health problem in Guinea and management requires monitoring of IgM and IgG.</w:t>
      </w:r>
    </w:p>
    <w:p w14:paraId="46648AEE" w14:textId="77777777" w:rsidR="00D32EC7" w:rsidRPr="00A54378" w:rsidRDefault="00D32EC7" w:rsidP="00D32EC7">
      <w:pPr>
        <w:jc w:val="both"/>
        <w:rPr>
          <w:rFonts w:ascii="Times New Roman" w:hAnsi="Times New Roman" w:cs="Times New Roman"/>
          <w:i/>
          <w:sz w:val="24"/>
          <w:szCs w:val="24"/>
        </w:rPr>
      </w:pPr>
      <w:r w:rsidRPr="00AB0F73">
        <w:rPr>
          <w:rFonts w:ascii="Times New Roman" w:hAnsi="Times New Roman" w:cs="Times New Roman"/>
          <w:b/>
          <w:i/>
          <w:sz w:val="24"/>
          <w:szCs w:val="24"/>
        </w:rPr>
        <w:t>Key word</w:t>
      </w:r>
      <w:r w:rsidRPr="00A54378">
        <w:rPr>
          <w:rFonts w:ascii="Times New Roman" w:hAnsi="Times New Roman" w:cs="Times New Roman"/>
          <w:i/>
          <w:sz w:val="24"/>
          <w:szCs w:val="24"/>
        </w:rPr>
        <w:t xml:space="preserve"> : </w:t>
      </w:r>
      <w:r w:rsidR="007A1722" w:rsidRPr="00A54378">
        <w:rPr>
          <w:rFonts w:ascii="Times New Roman" w:hAnsi="Times New Roman" w:cs="Times New Roman"/>
          <w:i/>
          <w:sz w:val="24"/>
          <w:szCs w:val="24"/>
        </w:rPr>
        <w:t>Epidemiological profile, Measles, Rubella, Conakry.</w:t>
      </w:r>
    </w:p>
    <w:p w14:paraId="1A3297C4" w14:textId="77777777" w:rsidR="007A1722" w:rsidRPr="00A54378" w:rsidRDefault="007A1722" w:rsidP="007A1722">
      <w:pPr>
        <w:rPr>
          <w:rFonts w:ascii="Times New Roman" w:hAnsi="Times New Roman" w:cs="Times New Roman"/>
          <w:b/>
          <w:sz w:val="24"/>
          <w:szCs w:val="24"/>
        </w:rPr>
      </w:pPr>
      <w:r w:rsidRPr="00A54378">
        <w:rPr>
          <w:rFonts w:ascii="Times New Roman" w:hAnsi="Times New Roman" w:cs="Times New Roman"/>
          <w:b/>
          <w:sz w:val="24"/>
          <w:szCs w:val="24"/>
        </w:rPr>
        <w:t>1.</w:t>
      </w:r>
      <w:r w:rsidR="00A54378" w:rsidRPr="00A54378">
        <w:rPr>
          <w:rFonts w:ascii="Times New Roman" w:hAnsi="Times New Roman" w:cs="Times New Roman"/>
          <w:b/>
          <w:sz w:val="24"/>
          <w:szCs w:val="24"/>
        </w:rPr>
        <w:t xml:space="preserve"> INTRODUCTION </w:t>
      </w:r>
    </w:p>
    <w:p w14:paraId="21F502BC" w14:textId="77777777" w:rsidR="007A1722" w:rsidRPr="00A54378" w:rsidRDefault="007A1722" w:rsidP="007A1722">
      <w:pPr>
        <w:jc w:val="both"/>
        <w:rPr>
          <w:rFonts w:ascii="Times New Roman" w:hAnsi="Times New Roman" w:cs="Times New Roman"/>
          <w:sz w:val="24"/>
          <w:szCs w:val="24"/>
        </w:rPr>
      </w:pPr>
      <w:r w:rsidRPr="00A54378">
        <w:rPr>
          <w:rFonts w:ascii="Times New Roman" w:hAnsi="Times New Roman" w:cs="Times New Roman"/>
          <w:sz w:val="24"/>
          <w:szCs w:val="24"/>
        </w:rPr>
        <w:t>Measles and rubella are highly contagious viral infections for which there is no effective antiviral treatment. Although the symptoms are distressing, the course is usually favourable within a few days, but severe complications can occur, causing permanent physical or mental damage and, in rare cases, death. Of these two diseases, measles is the more serious [1].</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Measles and rubella are all notifiable diseases. Vaccination is the only effective way of preventing these diseases. In the absence of vaccination, they regularly cause epidemics because they are highly contagious. They are transmitted from one person to another by droplets emitted when sneezing, coughing or talking, which remain airborne in enclosed, busy places (schools, public transport, shops, etc.). Each infected person can transmit the virus to others without knowing it, even before falling ill. This can lead to epidemics [1].  According to estimates by the World Health Organisation (WHO), in 2022, the number of cases of rubella will be 49,136, compared with 670,894 cases in 2000, and the number of congenital rubella syndromes reported will be 423, compared with 156 cases in 2000. The WHO estimates that there are 100,000 births with congenital rubella syndrome each year. However, most cases go unreported [2].</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 xml:space="preserve">Measles is on the rise worldwide, with an increase of 18% by 2022. But the death toll is much higher, up 43% on 2021. This represents 136,000 deaths (mainly in children) for 9 </w:t>
      </w:r>
      <w:proofErr w:type="gramStart"/>
      <w:r w:rsidRPr="00A54378">
        <w:rPr>
          <w:rFonts w:ascii="Times New Roman" w:hAnsi="Times New Roman" w:cs="Times New Roman"/>
          <w:sz w:val="24"/>
          <w:szCs w:val="24"/>
        </w:rPr>
        <w:t>million</w:t>
      </w:r>
      <w:proofErr w:type="gramEnd"/>
      <w:r w:rsidRPr="00A54378">
        <w:rPr>
          <w:rFonts w:ascii="Times New Roman" w:hAnsi="Times New Roman" w:cs="Times New Roman"/>
          <w:sz w:val="24"/>
          <w:szCs w:val="24"/>
        </w:rPr>
        <w:t xml:space="preserve"> cases of measles. The rise in measles cases can be explained by the drop in vaccination rates observed in recent years as a result of the Covid19 pandemic [3].</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 xml:space="preserve">In the Americas, 2023 saw the lowest number of measles cases reported in the last four years. In particular, during epidemiological weeks (SE) 1 and (SE) 42, three countries in the region reported confirmed cases: Canada with 8 cases, </w:t>
      </w:r>
      <w:r w:rsidRPr="00A54378">
        <w:rPr>
          <w:rFonts w:ascii="Times New Roman" w:hAnsi="Times New Roman" w:cs="Times New Roman"/>
          <w:sz w:val="24"/>
          <w:szCs w:val="24"/>
        </w:rPr>
        <w:lastRenderedPageBreak/>
        <w:t>Chile with 1 case and the United States of America with 29 cases [4]. Between January and December 2023, 30,601 cases of measles were reported in Europe and Central Asia, compared with 909 for the whole of 2022. This represents a 32.66% increase in the number of cases of this vaccine-preventable disease. The latest data show that around 931,000 children in Europe and Central Asia were totally or partially deprived of routine vaccinations between 2019 and 2021. The vaccination rate for the first dose of measles vaccine has fallen from 96% in 2019 to 93% in 2022 [5].</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Africa has been particularly hard hit by the explosion in measles cases due to delays in child vaccination, with an increase of 40.0% in the first three months of 2022 compared with the same period in 2021. Between January and March 2022, nearly 17,500 cases of measles were reported on the continent, with twenty countries reporting measles epidemics, eight more than in 2021 [2].</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 xml:space="preserve">In the Republic of Guinea, several cases have been recorded and epidemics reported in several regions of the country. </w:t>
      </w:r>
      <w:r w:rsidR="009B392B" w:rsidRPr="009B392B">
        <w:rPr>
          <w:rFonts w:ascii="Times New Roman" w:hAnsi="Times New Roman" w:cs="Times New Roman"/>
          <w:sz w:val="24"/>
          <w:szCs w:val="24"/>
        </w:rPr>
        <w:t>In 2017, a total of 7,218 cases of measles were recorded in the Republic of Guinea, including 3,512 cas</w:t>
      </w:r>
      <w:r w:rsidR="009B392B">
        <w:rPr>
          <w:rFonts w:ascii="Times New Roman" w:hAnsi="Times New Roman" w:cs="Times New Roman"/>
          <w:sz w:val="24"/>
          <w:szCs w:val="24"/>
        </w:rPr>
        <w:t xml:space="preserve">es in the capital Conakry </w:t>
      </w:r>
      <w:r w:rsidRPr="00A54378">
        <w:rPr>
          <w:rFonts w:ascii="Times New Roman" w:hAnsi="Times New Roman" w:cs="Times New Roman"/>
          <w:sz w:val="24"/>
          <w:szCs w:val="24"/>
        </w:rPr>
        <w:t>[6]. This study aims to contribute to surveillance as part of the elimination of measles and rubella in Guinea.</w:t>
      </w:r>
    </w:p>
    <w:p w14:paraId="4F76B98B" w14:textId="77777777" w:rsidR="007A1722" w:rsidRPr="00A54378" w:rsidRDefault="007A1722" w:rsidP="007A1722">
      <w:pPr>
        <w:jc w:val="both"/>
        <w:rPr>
          <w:rFonts w:ascii="Times New Roman" w:hAnsi="Times New Roman" w:cs="Times New Roman"/>
          <w:b/>
          <w:sz w:val="24"/>
          <w:szCs w:val="24"/>
        </w:rPr>
      </w:pPr>
      <w:r w:rsidRPr="00A54378">
        <w:rPr>
          <w:rFonts w:ascii="Times New Roman" w:hAnsi="Times New Roman" w:cs="Times New Roman"/>
          <w:b/>
          <w:sz w:val="24"/>
          <w:szCs w:val="24"/>
        </w:rPr>
        <w:t xml:space="preserve">2. </w:t>
      </w:r>
      <w:r w:rsidR="00A54378" w:rsidRPr="00A54378">
        <w:rPr>
          <w:rFonts w:ascii="Times New Roman" w:hAnsi="Times New Roman" w:cs="Times New Roman"/>
          <w:b/>
          <w:sz w:val="24"/>
          <w:szCs w:val="24"/>
        </w:rPr>
        <w:t>MATERIALS AND WORKING METHODS</w:t>
      </w:r>
    </w:p>
    <w:p w14:paraId="18B8DBC5" w14:textId="77777777" w:rsidR="007A1722" w:rsidRPr="00A54378" w:rsidRDefault="007300F8" w:rsidP="007A1722">
      <w:pPr>
        <w:jc w:val="both"/>
        <w:rPr>
          <w:rFonts w:ascii="Times New Roman" w:hAnsi="Times New Roman" w:cs="Times New Roman"/>
          <w:sz w:val="24"/>
          <w:szCs w:val="24"/>
        </w:rPr>
      </w:pPr>
      <w:r w:rsidRPr="00A54378">
        <w:rPr>
          <w:rFonts w:ascii="Times New Roman" w:hAnsi="Times New Roman" w:cs="Times New Roman"/>
          <w:sz w:val="24"/>
          <w:szCs w:val="24"/>
        </w:rPr>
        <w:t>Our study was carried out at the Centre de Recherche en Virologie - Laboratoire des Fièvres Hémorragiques Virales de Guinée (CRV-LFHVG), at the Microbiology Laboratory of the Gamal Abdel Nasser University of Conakry and at the Medical Biology Analysis Laboratory of the Mahatma Gandhi University. This was a prospective, descriptive, cross-sectional study conducted over a ten-month period from 01 January to 01 November 2024. The study concerned all patients with suspected measles received in the various health facilities in the city of Greater Conakry presenting with fever, cough, rhinorrhoea, maculopapular rash, adenopathy, anorexia, diarrhoea, Köplik's sign, conjunctivitis and oculonasal catarrh during the period of our investigation. All suspected measles cases notified to the various health facilities in the city of Greater Conakry for which adequate and compliant biological samples had been sent to the CRV-LFHVG were included in this study. We carried out exhaustive sampling during our study period. The biological material used was human blood serum. Measles IgM and rubella IgM were our biological variables. Sex, age, residence and vaccination status were our socio-demographic variables.</w:t>
      </w:r>
    </w:p>
    <w:p w14:paraId="06D3D8FB" w14:textId="77777777" w:rsidR="007300F8" w:rsidRPr="00A54378" w:rsidRDefault="007300F8" w:rsidP="007300F8">
      <w:pPr>
        <w:jc w:val="both"/>
        <w:rPr>
          <w:rFonts w:ascii="Times New Roman" w:hAnsi="Times New Roman" w:cs="Times New Roman"/>
          <w:b/>
          <w:sz w:val="24"/>
          <w:szCs w:val="24"/>
        </w:rPr>
      </w:pPr>
      <w:r w:rsidRPr="00A54378">
        <w:rPr>
          <w:rFonts w:ascii="Times New Roman" w:hAnsi="Times New Roman" w:cs="Times New Roman"/>
          <w:b/>
          <w:sz w:val="24"/>
          <w:szCs w:val="24"/>
        </w:rPr>
        <w:t xml:space="preserve">2.1. Data processing and analysis </w:t>
      </w:r>
    </w:p>
    <w:p w14:paraId="0837C272" w14:textId="77777777" w:rsidR="007300F8" w:rsidRPr="00A54378" w:rsidRDefault="007300F8" w:rsidP="007300F8">
      <w:pPr>
        <w:jc w:val="both"/>
        <w:rPr>
          <w:rFonts w:ascii="Times New Roman" w:hAnsi="Times New Roman" w:cs="Times New Roman"/>
          <w:sz w:val="24"/>
          <w:szCs w:val="24"/>
        </w:rPr>
      </w:pPr>
      <w:r w:rsidRPr="00A54378">
        <w:rPr>
          <w:rFonts w:ascii="Times New Roman" w:hAnsi="Times New Roman" w:cs="Times New Roman"/>
          <w:sz w:val="24"/>
          <w:szCs w:val="24"/>
        </w:rPr>
        <w:t>The data collected on the survey forms was tabulated, entered, processed and analysed using Word, Excel and Power point software, EPI info from the 2021 office pack. The results are presented in tabular form.</w:t>
      </w:r>
    </w:p>
    <w:p w14:paraId="5E2B37CD" w14:textId="77777777" w:rsidR="007300F8" w:rsidRPr="00A54378" w:rsidRDefault="007300F8" w:rsidP="007300F8">
      <w:pPr>
        <w:jc w:val="both"/>
        <w:rPr>
          <w:rFonts w:ascii="Times New Roman" w:hAnsi="Times New Roman" w:cs="Times New Roman"/>
          <w:b/>
          <w:sz w:val="24"/>
          <w:szCs w:val="24"/>
        </w:rPr>
      </w:pPr>
      <w:r w:rsidRPr="00A54378">
        <w:rPr>
          <w:rFonts w:ascii="Times New Roman" w:hAnsi="Times New Roman" w:cs="Times New Roman"/>
          <w:b/>
          <w:sz w:val="24"/>
          <w:szCs w:val="24"/>
        </w:rPr>
        <w:t>3. RESULTS AND DISCUSSION</w:t>
      </w:r>
    </w:p>
    <w:p w14:paraId="3B0889A4" w14:textId="77777777" w:rsidR="007A1722" w:rsidRPr="00A54378" w:rsidRDefault="007300F8" w:rsidP="007300F8">
      <w:pPr>
        <w:jc w:val="center"/>
        <w:rPr>
          <w:rFonts w:ascii="Times New Roman" w:hAnsi="Times New Roman" w:cs="Times New Roman"/>
          <w:i/>
          <w:sz w:val="24"/>
          <w:szCs w:val="24"/>
        </w:rPr>
      </w:pPr>
      <w:r w:rsidRPr="00A54378">
        <w:rPr>
          <w:rFonts w:ascii="Times New Roman" w:hAnsi="Times New Roman" w:cs="Times New Roman"/>
          <w:b/>
          <w:sz w:val="24"/>
          <w:szCs w:val="24"/>
        </w:rPr>
        <w:t>Table</w:t>
      </w:r>
      <w:r w:rsidRPr="00A54378">
        <w:rPr>
          <w:rFonts w:ascii="Times New Roman" w:hAnsi="Times New Roman" w:cs="Times New Roman"/>
          <w:sz w:val="24"/>
          <w:szCs w:val="24"/>
        </w:rPr>
        <w:t xml:space="preserve"> 1</w:t>
      </w:r>
      <w:r w:rsidRPr="00A54378">
        <w:rPr>
          <w:rFonts w:ascii="Times New Roman" w:hAnsi="Times New Roman" w:cs="Times New Roman"/>
          <w:i/>
          <w:sz w:val="24"/>
          <w:szCs w:val="24"/>
        </w:rPr>
        <w:t>: Results of anti-measles immunoglobulin M in measles patients by socio-demographic characteristics.</w:t>
      </w:r>
    </w:p>
    <w:tbl>
      <w:tblPr>
        <w:tblStyle w:val="PlainTable2"/>
        <w:tblW w:w="0" w:type="auto"/>
        <w:tblLook w:val="07E0" w:firstRow="1" w:lastRow="1" w:firstColumn="1" w:lastColumn="1" w:noHBand="1" w:noVBand="1"/>
      </w:tblPr>
      <w:tblGrid>
        <w:gridCol w:w="1585"/>
        <w:gridCol w:w="1287"/>
        <w:gridCol w:w="1655"/>
        <w:gridCol w:w="2365"/>
        <w:gridCol w:w="1901"/>
      </w:tblGrid>
      <w:tr w:rsidR="007300F8" w:rsidRPr="00A54378" w14:paraId="7E110D7C" w14:textId="77777777" w:rsidTr="0028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uto"/>
            </w:tcBorders>
          </w:tcPr>
          <w:p w14:paraId="51952E12" w14:textId="77777777" w:rsidR="007300F8" w:rsidRPr="00A54378" w:rsidRDefault="007300F8" w:rsidP="007300F8">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 xml:space="preserve">Parameters </w:t>
            </w:r>
          </w:p>
        </w:tc>
        <w:tc>
          <w:tcPr>
            <w:tcW w:w="1287" w:type="dxa"/>
            <w:tcBorders>
              <w:bottom w:val="single" w:sz="4" w:space="0" w:color="auto"/>
            </w:tcBorders>
          </w:tcPr>
          <w:p w14:paraId="63154C0B" w14:textId="77777777" w:rsidR="007300F8" w:rsidRPr="00A54378" w:rsidRDefault="007300F8" w:rsidP="002821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Numbers</w:t>
            </w:r>
          </w:p>
        </w:tc>
        <w:tc>
          <w:tcPr>
            <w:tcW w:w="1655" w:type="dxa"/>
            <w:tcBorders>
              <w:bottom w:val="single" w:sz="4" w:space="0" w:color="auto"/>
            </w:tcBorders>
          </w:tcPr>
          <w:p w14:paraId="4313243A" w14:textId="77777777" w:rsidR="007300F8" w:rsidRPr="00A54378" w:rsidRDefault="007300F8" w:rsidP="002821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Positive cases</w:t>
            </w:r>
          </w:p>
        </w:tc>
        <w:tc>
          <w:tcPr>
            <w:tcW w:w="2365" w:type="dxa"/>
            <w:tcBorders>
              <w:bottom w:val="single" w:sz="4" w:space="0" w:color="auto"/>
            </w:tcBorders>
          </w:tcPr>
          <w:p w14:paraId="5061A3EE" w14:textId="77777777" w:rsidR="007300F8" w:rsidRPr="00A54378" w:rsidRDefault="007300F8" w:rsidP="002821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Percentages (%)</w:t>
            </w:r>
          </w:p>
        </w:tc>
        <w:tc>
          <w:tcPr>
            <w:cnfStyle w:val="000100000000" w:firstRow="0" w:lastRow="0" w:firstColumn="0" w:lastColumn="1" w:oddVBand="0" w:evenVBand="0" w:oddHBand="0" w:evenHBand="0" w:firstRowFirstColumn="0" w:firstRowLastColumn="0" w:lastRowFirstColumn="0" w:lastRowLastColumn="0"/>
            <w:tcW w:w="1901" w:type="dxa"/>
            <w:tcBorders>
              <w:bottom w:val="single" w:sz="4" w:space="0" w:color="auto"/>
            </w:tcBorders>
          </w:tcPr>
          <w:p w14:paraId="4CDAB9A7" w14:textId="77777777" w:rsidR="007300F8" w:rsidRPr="00A54378" w:rsidRDefault="007300F8" w:rsidP="007300F8">
            <w:pPr>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95% CI</w:t>
            </w:r>
          </w:p>
        </w:tc>
      </w:tr>
      <w:tr w:rsidR="007300F8" w:rsidRPr="00A54378" w14:paraId="6CAF27B7"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6F3F5BBC" w14:textId="77777777" w:rsidR="007300F8" w:rsidRPr="00A54378" w:rsidRDefault="007300F8" w:rsidP="00282151">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genders</w:t>
            </w:r>
          </w:p>
        </w:tc>
      </w:tr>
      <w:tr w:rsidR="007300F8" w:rsidRPr="00A54378" w14:paraId="363D712F"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16939164" w14:textId="77777777" w:rsidR="007300F8" w:rsidRPr="00A54378" w:rsidRDefault="007300F8" w:rsidP="007300F8">
            <w:pPr>
              <w:tabs>
                <w:tab w:val="left" w:pos="745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 xml:space="preserve">Female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150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76                     25,33                20,40 - 30,25</w:t>
            </w:r>
          </w:p>
        </w:tc>
      </w:tr>
      <w:tr w:rsidR="007300F8" w:rsidRPr="00A54378" w14:paraId="280902E1"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Pr>
          <w:p w14:paraId="6E2BF954" w14:textId="77777777" w:rsidR="007300F8" w:rsidRPr="00A54378" w:rsidRDefault="007300F8" w:rsidP="00282151">
            <w:pPr>
              <w:tabs>
                <w:tab w:val="left" w:pos="553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 xml:space="preserve">Male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150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68                     22,67               17,93 -27,40</w:t>
            </w:r>
          </w:p>
        </w:tc>
      </w:tr>
      <w:tr w:rsidR="007300F8" w:rsidRPr="00A54378" w14:paraId="746BA91D"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7CC032D9" w14:textId="77777777" w:rsidR="007300F8" w:rsidRPr="00A54378" w:rsidRDefault="007300F8" w:rsidP="00282151">
            <w:pPr>
              <w:tabs>
                <w:tab w:val="left" w:pos="5535"/>
              </w:tabs>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Age groups</w:t>
            </w:r>
          </w:p>
        </w:tc>
      </w:tr>
      <w:tr w:rsidR="007300F8" w:rsidRPr="00A54378" w14:paraId="0C01CF14" w14:textId="77777777" w:rsidTr="00282151">
        <w:trPr>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6143A828"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lastRenderedPageBreak/>
              <w:t xml:space="preserve">0 – 10  years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284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142                     47,34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41,68 -52,99</w:t>
            </w:r>
          </w:p>
          <w:p w14:paraId="7B96F2A6"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11 – 20 years             12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1                       0,33                    -0,31- 0,97</w:t>
            </w:r>
          </w:p>
          <w:p w14:paraId="68E7CEA0"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21 – 30 years              2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1                       0,33                    -0,31- 0,97</w:t>
            </w:r>
          </w:p>
          <w:p w14:paraId="1FEEC7F0"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31 – 40 </w:t>
            </w:r>
            <w:r w:rsidR="008A5061" w:rsidRPr="00A54378">
              <w:rPr>
                <w:rFonts w:ascii="Times New Roman" w:hAnsi="Times New Roman" w:cs="Times New Roman"/>
                <w:b w:val="0"/>
                <w:color w:val="000000" w:themeColor="text1"/>
                <w:sz w:val="24"/>
                <w:szCs w:val="24"/>
              </w:rPr>
              <w:t>years</w:t>
            </w:r>
            <w:r w:rsidRPr="00A54378">
              <w:rPr>
                <w:rFonts w:ascii="Times New Roman" w:hAnsi="Times New Roman" w:cs="Times New Roman"/>
                <w:b w:val="0"/>
                <w:color w:val="000000" w:themeColor="text1"/>
                <w:sz w:val="24"/>
                <w:szCs w:val="24"/>
              </w:rPr>
              <w:t xml:space="preserve">              1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                           -                               -</w:t>
            </w:r>
          </w:p>
          <w:p w14:paraId="267906AD" w14:textId="77777777" w:rsidR="007300F8" w:rsidRPr="00A54378" w:rsidRDefault="008A5061" w:rsidP="008A5061">
            <w:pPr>
              <w:spacing w:line="259" w:lineRule="auto"/>
              <w:rPr>
                <w:rFonts w:ascii="Times New Roman" w:hAnsi="Times New Roman" w:cs="Times New Roman"/>
                <w:b w:val="0"/>
                <w:bCs w:val="0"/>
                <w:color w:val="000000" w:themeColor="text1"/>
                <w:sz w:val="24"/>
                <w:szCs w:val="24"/>
              </w:rPr>
            </w:pPr>
            <w:r w:rsidRPr="00A54378">
              <w:rPr>
                <w:rFonts w:ascii="Times New Roman" w:hAnsi="Times New Roman" w:cs="Times New Roman"/>
                <w:b w:val="0"/>
                <w:color w:val="000000" w:themeColor="text1"/>
                <w:sz w:val="24"/>
                <w:szCs w:val="24"/>
              </w:rPr>
              <w:t>41 and over</w:t>
            </w:r>
            <w:r w:rsidR="007300F8"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w:t>
            </w:r>
            <w:r w:rsidR="007300F8" w:rsidRPr="00A54378">
              <w:rPr>
                <w:rFonts w:ascii="Times New Roman" w:hAnsi="Times New Roman" w:cs="Times New Roman"/>
                <w:b w:val="0"/>
                <w:bCs w:val="0"/>
                <w:color w:val="000000" w:themeColor="text1"/>
                <w:sz w:val="24"/>
                <w:szCs w:val="24"/>
              </w:rPr>
              <w:t xml:space="preserve"> 1                   </w:t>
            </w:r>
            <w:r w:rsidRPr="00A54378">
              <w:rPr>
                <w:rFonts w:ascii="Times New Roman" w:hAnsi="Times New Roman" w:cs="Times New Roman"/>
                <w:b w:val="0"/>
                <w:bCs w:val="0"/>
                <w:color w:val="000000" w:themeColor="text1"/>
                <w:sz w:val="24"/>
                <w:szCs w:val="24"/>
              </w:rPr>
              <w:t xml:space="preserve">      </w:t>
            </w:r>
            <w:r w:rsidR="007300F8" w:rsidRPr="00A54378">
              <w:rPr>
                <w:rFonts w:ascii="Times New Roman" w:hAnsi="Times New Roman" w:cs="Times New Roman"/>
                <w:b w:val="0"/>
                <w:bCs w:val="0"/>
                <w:color w:val="000000" w:themeColor="text1"/>
                <w:sz w:val="24"/>
                <w:szCs w:val="24"/>
              </w:rPr>
              <w:t xml:space="preserve"> -                           -                                -</w:t>
            </w:r>
          </w:p>
        </w:tc>
      </w:tr>
      <w:tr w:rsidR="007300F8" w:rsidRPr="00A54378" w14:paraId="763FF5F2" w14:textId="77777777" w:rsidTr="00282151">
        <w:trPr>
          <w:trHeight w:val="287"/>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3C71D688" w14:textId="77777777" w:rsidR="007300F8" w:rsidRPr="00A54378" w:rsidRDefault="007300F8" w:rsidP="00282151">
            <w:pPr>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Residences</w:t>
            </w:r>
          </w:p>
        </w:tc>
      </w:tr>
      <w:tr w:rsidR="007300F8" w:rsidRPr="00A54378" w14:paraId="06467CBD" w14:textId="77777777" w:rsidTr="00282151">
        <w:trPr>
          <w:cnfStyle w:val="010000000000" w:firstRow="0" w:lastRow="1" w:firstColumn="0" w:lastColumn="0" w:oddVBand="0" w:evenVBand="0" w:oddHBand="0"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Pr>
          <w:p w14:paraId="0ECB3D41"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Matoto              71                    37                    12,34                  8,61 - 16,04</w:t>
            </w:r>
          </w:p>
          <w:p w14:paraId="25F98F4D"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Ratoma             57                    34                    11,33                  7,74 - 14,91</w:t>
            </w:r>
          </w:p>
          <w:p w14:paraId="71FB48A6"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Dixinn              52                    18                       6                       3,31 - 8,68</w:t>
            </w:r>
          </w:p>
          <w:p w14:paraId="501EF3AD"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Matam              40                   18                        6                       3,31- 8,68</w:t>
            </w:r>
          </w:p>
          <w:p w14:paraId="4E7718ED"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Coyah               35                   19                       6,33                   3,57 - 9,08</w:t>
            </w:r>
          </w:p>
          <w:p w14:paraId="4A041736"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Dubreka            27                   16                       5,33                   2,78 - 7,87</w:t>
            </w:r>
          </w:p>
          <w:p w14:paraId="19FB47AA"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Kaloum            18                     2                        0,67                   -0,25 -1,59</w:t>
            </w:r>
          </w:p>
          <w:p w14:paraId="57F8FE74" w14:textId="77777777" w:rsidR="007300F8" w:rsidRPr="00A54378" w:rsidRDefault="007300F8" w:rsidP="00282151">
            <w:pPr>
              <w:rPr>
                <w:rFonts w:ascii="Times New Roman" w:hAnsi="Times New Roman" w:cs="Times New Roman"/>
                <w:color w:val="000000" w:themeColor="text1"/>
                <w:sz w:val="24"/>
                <w:szCs w:val="24"/>
                <w:lang w:val="en-US"/>
              </w:rPr>
            </w:pPr>
          </w:p>
        </w:tc>
      </w:tr>
    </w:tbl>
    <w:p w14:paraId="592C14E8" w14:textId="77777777" w:rsidR="007300F8"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The F/M sex ratio is 1.</w:t>
      </w:r>
    </w:p>
    <w:p w14:paraId="0B2AF59B"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Analysis of this table shows that females appear to be the most affected by measles, with a prevalence of 25.33% with a 95% CI (20.40 - 30.25) compared with 22.67% for males with a 95% CI (17.93 - 27.40). This predominance of females is random, as they are all exposed in the same way. Our results differ from those reported by Ziane et al (2020) in Algeria, who found that males were the most affected, with a measles IgM detection rate of 55.71% compared with 49.29% for females [7].</w:t>
      </w:r>
    </w:p>
    <w:p w14:paraId="0A1CEF50"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We also note that almost all age groups were affected by the disease, with a higher rate of IgM detection in the 0-10 age group with 142 cases, i.e. 47.34% 95% CI [41.68 -52.99]. This high prevalence in this age group could be explained by the fact that measles is a childhood disease. The minimum age of recorded cases was 2 months (0.167 years), the mean age was 3 years, and the maximum age was 47 years. Our results differ from those reported by Sy et al. </w:t>
      </w:r>
      <w:proofErr w:type="gramStart"/>
      <w:r w:rsidRPr="00A54378">
        <w:rPr>
          <w:rFonts w:ascii="Times New Roman" w:hAnsi="Times New Roman" w:cs="Times New Roman"/>
          <w:sz w:val="24"/>
          <w:szCs w:val="24"/>
        </w:rPr>
        <w:t>in</w:t>
      </w:r>
      <w:proofErr w:type="gramEnd"/>
      <w:r w:rsidRPr="00A54378">
        <w:rPr>
          <w:rFonts w:ascii="Times New Roman" w:hAnsi="Times New Roman" w:cs="Times New Roman"/>
          <w:sz w:val="24"/>
          <w:szCs w:val="24"/>
        </w:rPr>
        <w:t xml:space="preserve"> 2021 in Mali, who found a prevalence of 40.10% in children aged 0-4 years [8].</w:t>
      </w:r>
    </w:p>
    <w:p w14:paraId="131585CA"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In relation to their origin, IgM was detected in the sera of patients from all the communes of Greater Conakry. The highest prevalence was observed in patients from the communes of Matoto (12.34%, 95% CI [8.61 - 16.04]) and Ratoma (11.33%, 95% CI [7.74-14.91]), followed by Coyah (6.33%, 95% CI), Dixinn and Matam (6% each). The commune of Kaloum was the least affected by measles, with a detection rate of 0.67%. It also shows that, as the number of suspected measles patients increases, we observe an increase in prevalence. Our results are lower than those reported by Seck et al. </w:t>
      </w:r>
      <w:proofErr w:type="gramStart"/>
      <w:r w:rsidRPr="00A54378">
        <w:rPr>
          <w:rFonts w:ascii="Times New Roman" w:hAnsi="Times New Roman" w:cs="Times New Roman"/>
          <w:sz w:val="24"/>
          <w:szCs w:val="24"/>
        </w:rPr>
        <w:t>in</w:t>
      </w:r>
      <w:proofErr w:type="gramEnd"/>
      <w:r w:rsidRPr="00A54378">
        <w:rPr>
          <w:rFonts w:ascii="Times New Roman" w:hAnsi="Times New Roman" w:cs="Times New Roman"/>
          <w:sz w:val="24"/>
          <w:szCs w:val="24"/>
        </w:rPr>
        <w:t xml:space="preserve"> 2022 in Senegal, who found 22.8%, 21.4% and 20.1% of cumulative cases in the Sud, Pikine and Centre districts [9].</w:t>
      </w:r>
    </w:p>
    <w:p w14:paraId="3BBA52ED" w14:textId="77777777" w:rsidR="008A5061" w:rsidRPr="00A54378" w:rsidRDefault="008A5061" w:rsidP="008A5061">
      <w:pPr>
        <w:jc w:val="center"/>
        <w:rPr>
          <w:rFonts w:ascii="Times New Roman" w:hAnsi="Times New Roman" w:cs="Times New Roman"/>
          <w:i/>
          <w:sz w:val="24"/>
          <w:szCs w:val="24"/>
        </w:rPr>
      </w:pPr>
      <w:r w:rsidRPr="00A54378">
        <w:rPr>
          <w:rFonts w:ascii="Times New Roman" w:hAnsi="Times New Roman" w:cs="Times New Roman"/>
          <w:b/>
          <w:sz w:val="24"/>
          <w:szCs w:val="24"/>
        </w:rPr>
        <w:t>Table 2</w:t>
      </w:r>
      <w:r w:rsidRPr="00A54378">
        <w:rPr>
          <w:rFonts w:ascii="Times New Roman" w:hAnsi="Times New Roman" w:cs="Times New Roman"/>
          <w:i/>
          <w:sz w:val="24"/>
          <w:szCs w:val="24"/>
        </w:rPr>
        <w:t>: Anti-rubella IgM results in measles-negative samples by socio-demographic characteristics</w:t>
      </w:r>
    </w:p>
    <w:tbl>
      <w:tblPr>
        <w:tblStyle w:val="PlainTable2"/>
        <w:tblW w:w="0" w:type="auto"/>
        <w:tblInd w:w="-284" w:type="dxa"/>
        <w:tblLook w:val="07E0" w:firstRow="1" w:lastRow="1" w:firstColumn="1" w:lastColumn="1" w:noHBand="1" w:noVBand="1"/>
      </w:tblPr>
      <w:tblGrid>
        <w:gridCol w:w="1919"/>
        <w:gridCol w:w="1315"/>
        <w:gridCol w:w="1691"/>
        <w:gridCol w:w="2417"/>
        <w:gridCol w:w="1945"/>
      </w:tblGrid>
      <w:tr w:rsidR="008A5061" w:rsidRPr="00A54378" w14:paraId="3FBA71D3" w14:textId="77777777" w:rsidTr="002821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Borders>
              <w:bottom w:val="single" w:sz="4" w:space="0" w:color="auto"/>
            </w:tcBorders>
          </w:tcPr>
          <w:p w14:paraId="760C1EF1" w14:textId="77777777" w:rsidR="008A5061" w:rsidRPr="00A54378" w:rsidRDefault="008A5061" w:rsidP="008A5061">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 xml:space="preserve">Parameters </w:t>
            </w:r>
          </w:p>
        </w:tc>
        <w:tc>
          <w:tcPr>
            <w:tcW w:w="1315" w:type="dxa"/>
            <w:tcBorders>
              <w:bottom w:val="single" w:sz="4" w:space="0" w:color="auto"/>
            </w:tcBorders>
          </w:tcPr>
          <w:p w14:paraId="4A0C0361" w14:textId="77777777" w:rsidR="008A5061" w:rsidRPr="00A54378" w:rsidRDefault="008A5061" w:rsidP="008A50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Numbers</w:t>
            </w:r>
          </w:p>
        </w:tc>
        <w:tc>
          <w:tcPr>
            <w:tcW w:w="1691" w:type="dxa"/>
            <w:tcBorders>
              <w:bottom w:val="single" w:sz="4" w:space="0" w:color="auto"/>
            </w:tcBorders>
          </w:tcPr>
          <w:p w14:paraId="49EA7595" w14:textId="77777777" w:rsidR="008A5061" w:rsidRPr="00A54378" w:rsidRDefault="008A5061" w:rsidP="008A50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Positive cases</w:t>
            </w:r>
          </w:p>
        </w:tc>
        <w:tc>
          <w:tcPr>
            <w:tcW w:w="2417" w:type="dxa"/>
            <w:tcBorders>
              <w:bottom w:val="single" w:sz="4" w:space="0" w:color="auto"/>
            </w:tcBorders>
          </w:tcPr>
          <w:p w14:paraId="42ADAAB2" w14:textId="77777777" w:rsidR="008A5061" w:rsidRPr="00A54378" w:rsidRDefault="008A5061" w:rsidP="008A50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Percentages (%)</w:t>
            </w:r>
          </w:p>
        </w:tc>
        <w:tc>
          <w:tcPr>
            <w:cnfStyle w:val="000100000000" w:firstRow="0" w:lastRow="0" w:firstColumn="0" w:lastColumn="1" w:oddVBand="0" w:evenVBand="0" w:oddHBand="0" w:evenHBand="0" w:firstRowFirstColumn="0" w:firstRowLastColumn="0" w:lastRowFirstColumn="0" w:lastRowLastColumn="0"/>
            <w:tcW w:w="1945" w:type="dxa"/>
            <w:tcBorders>
              <w:bottom w:val="single" w:sz="4" w:space="0" w:color="auto"/>
            </w:tcBorders>
          </w:tcPr>
          <w:p w14:paraId="1B7A5924" w14:textId="77777777" w:rsidR="008A5061" w:rsidRPr="00A54378" w:rsidRDefault="008A5061" w:rsidP="008A5061">
            <w:pPr>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95% CI</w:t>
            </w:r>
          </w:p>
        </w:tc>
      </w:tr>
      <w:tr w:rsidR="008A5061" w:rsidRPr="00A54378" w14:paraId="12B5FB23" w14:textId="77777777" w:rsidTr="00282151">
        <w:trPr>
          <w:trHeight w:val="300"/>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bottom w:val="single" w:sz="4" w:space="0" w:color="auto"/>
            </w:tcBorders>
          </w:tcPr>
          <w:p w14:paraId="6EAD8AE2" w14:textId="77777777" w:rsidR="008A5061" w:rsidRPr="00A54378" w:rsidRDefault="00080767" w:rsidP="008A5061">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Sex</w:t>
            </w:r>
          </w:p>
        </w:tc>
      </w:tr>
      <w:tr w:rsidR="008A5061" w:rsidRPr="00A54378" w14:paraId="6C319566" w14:textId="77777777" w:rsidTr="00282151">
        <w:trPr>
          <w:trHeight w:val="300"/>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tcBorders>
          </w:tcPr>
          <w:p w14:paraId="6A702B14" w14:textId="77777777" w:rsidR="008A5061" w:rsidRPr="00A54378" w:rsidRDefault="008A5061" w:rsidP="008A5061">
            <w:pPr>
              <w:tabs>
                <w:tab w:val="left" w:pos="745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Female                         74                        2                      1,28%                      -0,48 - 3,04</w:t>
            </w:r>
          </w:p>
        </w:tc>
      </w:tr>
      <w:tr w:rsidR="008A5061" w:rsidRPr="00A54378" w14:paraId="5F088465" w14:textId="77777777" w:rsidTr="00282151">
        <w:trPr>
          <w:trHeight w:val="314"/>
        </w:trPr>
        <w:tc>
          <w:tcPr>
            <w:cnfStyle w:val="001000000000" w:firstRow="0" w:lastRow="0" w:firstColumn="1" w:lastColumn="0" w:oddVBand="0" w:evenVBand="0" w:oddHBand="0" w:evenHBand="0" w:firstRowFirstColumn="0" w:firstRowLastColumn="0" w:lastRowFirstColumn="0" w:lastRowLastColumn="0"/>
            <w:tcW w:w="9287" w:type="dxa"/>
            <w:gridSpan w:val="5"/>
          </w:tcPr>
          <w:p w14:paraId="453D62EA" w14:textId="77777777" w:rsidR="008A5061" w:rsidRPr="00A54378" w:rsidRDefault="008A5061" w:rsidP="008A5061">
            <w:pPr>
              <w:tabs>
                <w:tab w:val="left" w:pos="553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Male                             82                       2                       1,28%                      -0,48 - 3,04</w:t>
            </w:r>
          </w:p>
        </w:tc>
      </w:tr>
      <w:tr w:rsidR="008A5061" w:rsidRPr="00A54378" w14:paraId="02D994EA" w14:textId="77777777" w:rsidTr="00282151">
        <w:trPr>
          <w:trHeight w:val="300"/>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bottom w:val="single" w:sz="4" w:space="0" w:color="auto"/>
            </w:tcBorders>
          </w:tcPr>
          <w:p w14:paraId="64CC0B47" w14:textId="77777777" w:rsidR="008A5061" w:rsidRPr="00A54378" w:rsidRDefault="008A5061" w:rsidP="008A5061">
            <w:pPr>
              <w:tabs>
                <w:tab w:val="left" w:pos="5535"/>
              </w:tabs>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Age groups</w:t>
            </w:r>
          </w:p>
        </w:tc>
      </w:tr>
      <w:tr w:rsidR="008A5061" w:rsidRPr="00A54378" w14:paraId="3B45346F" w14:textId="77777777" w:rsidTr="00282151">
        <w:trPr>
          <w:trHeight w:val="1786"/>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bottom w:val="single" w:sz="4" w:space="0" w:color="auto"/>
            </w:tcBorders>
          </w:tcPr>
          <w:p w14:paraId="70327A9F"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lastRenderedPageBreak/>
              <w:t>0 – 10 years                          142                   4                      2,57%                   0,08-5,05</w:t>
            </w:r>
          </w:p>
          <w:p w14:paraId="5B9706A5"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11 – 20 years                          -                       -                          -                                -</w:t>
            </w:r>
          </w:p>
          <w:p w14:paraId="4BE6D377"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21 – 30 years                          -                       -                          -                                -</w:t>
            </w:r>
          </w:p>
          <w:p w14:paraId="714B48CE"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31 – 40 years                          -                       -                          -                                -</w:t>
            </w:r>
          </w:p>
          <w:p w14:paraId="7034F919" w14:textId="77777777" w:rsidR="008A5061" w:rsidRPr="00A54378" w:rsidRDefault="008A5061" w:rsidP="008A5061">
            <w:pPr>
              <w:spacing w:line="259" w:lineRule="auto"/>
              <w:rPr>
                <w:rFonts w:ascii="Times New Roman" w:hAnsi="Times New Roman" w:cs="Times New Roman"/>
                <w:b w:val="0"/>
                <w:bCs w:val="0"/>
                <w:color w:val="000000" w:themeColor="text1"/>
                <w:sz w:val="24"/>
                <w:szCs w:val="24"/>
              </w:rPr>
            </w:pPr>
            <w:r w:rsidRPr="00A54378">
              <w:rPr>
                <w:rFonts w:ascii="Times New Roman" w:hAnsi="Times New Roman" w:cs="Times New Roman"/>
                <w:b w:val="0"/>
                <w:color w:val="000000" w:themeColor="text1"/>
                <w:sz w:val="24"/>
                <w:szCs w:val="24"/>
              </w:rPr>
              <w:t>41 and over</w:t>
            </w:r>
            <w:r w:rsidRPr="00A54378">
              <w:rPr>
                <w:rFonts w:ascii="Times New Roman" w:hAnsi="Times New Roman" w:cs="Times New Roman"/>
                <w:b w:val="0"/>
                <w:bCs w:val="0"/>
                <w:color w:val="000000" w:themeColor="text1"/>
                <w:sz w:val="24"/>
                <w:szCs w:val="24"/>
              </w:rPr>
              <w:t xml:space="preserve">          -                       -                          -                                -</w:t>
            </w:r>
          </w:p>
        </w:tc>
      </w:tr>
      <w:tr w:rsidR="008A5061" w:rsidRPr="00A54378" w14:paraId="42CB32D8" w14:textId="77777777" w:rsidTr="00282151">
        <w:trPr>
          <w:trHeight w:val="273"/>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tcBorders>
          </w:tcPr>
          <w:p w14:paraId="68F96601" w14:textId="77777777" w:rsidR="008A5061" w:rsidRPr="00A54378" w:rsidRDefault="008A5061" w:rsidP="008A5061">
            <w:pPr>
              <w:jc w:val="cente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Residences</w:t>
            </w:r>
          </w:p>
        </w:tc>
      </w:tr>
      <w:tr w:rsidR="008A5061" w:rsidRPr="00A54378" w14:paraId="68756556" w14:textId="77777777" w:rsidTr="00282151">
        <w:trPr>
          <w:cnfStyle w:val="010000000000" w:firstRow="0" w:lastRow="1" w:firstColumn="0" w:lastColumn="0" w:oddVBand="0" w:evenVBand="0" w:oddHBand="0"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9287" w:type="dxa"/>
            <w:gridSpan w:val="5"/>
          </w:tcPr>
          <w:p w14:paraId="086A5353"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Matoto              20                    -                           -                                -   </w:t>
            </w:r>
          </w:p>
          <w:p w14:paraId="720B5C3C"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Ratoma             37                    1                       0,64                     -0,61-1,89</w:t>
            </w:r>
          </w:p>
          <w:p w14:paraId="38DE55C5"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Dixinn               34                     -                           -                                - </w:t>
            </w:r>
          </w:p>
          <w:p w14:paraId="448D36AA"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Matam              22                     -                           -                                -  </w:t>
            </w:r>
          </w:p>
          <w:p w14:paraId="7876F843"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Coyah               16                     3                       1,92                    -0,23-4,07</w:t>
            </w:r>
          </w:p>
          <w:p w14:paraId="071F20BF"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Dubreka           11                     -                            -                              -</w:t>
            </w:r>
          </w:p>
          <w:p w14:paraId="50380359"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Kaloum            16                      -                            -                              -</w:t>
            </w:r>
          </w:p>
          <w:p w14:paraId="0FE53D82" w14:textId="77777777" w:rsidR="008A5061" w:rsidRPr="00A54378" w:rsidRDefault="008A5061" w:rsidP="008A5061">
            <w:pPr>
              <w:rPr>
                <w:rFonts w:ascii="Times New Roman" w:hAnsi="Times New Roman" w:cs="Times New Roman"/>
                <w:b w:val="0"/>
                <w:color w:val="000000" w:themeColor="text1"/>
                <w:sz w:val="24"/>
                <w:szCs w:val="24"/>
                <w:lang w:val="en-US"/>
              </w:rPr>
            </w:pPr>
          </w:p>
        </w:tc>
      </w:tr>
    </w:tbl>
    <w:p w14:paraId="7ABD8E86"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Analysis of this table shows an equal proportion of both sexes, i.e. 1.28% each. This equal proportion is random because the disease is not specific to either the male or female sex. A study carried out by Amadou et al in 2021 in Niger found that 52.8% of men and 47.2% of women were affected [10]. These data do not corroborate those obtained in our study.</w:t>
      </w:r>
    </w:p>
    <w:p w14:paraId="5511954D"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Taking into account the age group, we found that of the 156 samples tested negative for measles, anti-rubella IgM was only detected in the sera of patients aged between 0 and 10 years, with a detection rate of 2.57%. Our data differ from those reported by Amadou et al, in 2021, in Niger, who found that rubella was common in all age groups, with a predominance in the 24-59 months (36%) and 5-9 years (33.6%) age groups [10].</w:t>
      </w:r>
    </w:p>
    <w:p w14:paraId="1E999719"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We found that anti-rubella immunoglobulin M was only detected in the sera of patients from the communes of Coyah (1.92%) and Ratoma (0.64%), i.e. 3 and 1 cases respectively. These results show that the commune of Coyah is the most affected by rubella. Our results differ from those reported by Amadou et al, in 2021, in Niger, who found that the rubella virus was found in all regions of Niger, with a predominance in the regions of Maradi (28.8%), Tahoua (17%) and Zinder (15.5%) [10].</w:t>
      </w:r>
    </w:p>
    <w:p w14:paraId="054651AF" w14:textId="77777777" w:rsidR="008A5061" w:rsidRPr="00A54378" w:rsidRDefault="00080767" w:rsidP="00080767">
      <w:pPr>
        <w:jc w:val="center"/>
        <w:rPr>
          <w:rFonts w:ascii="Times New Roman" w:hAnsi="Times New Roman" w:cs="Times New Roman"/>
          <w:sz w:val="24"/>
          <w:szCs w:val="24"/>
        </w:rPr>
      </w:pPr>
      <w:r w:rsidRPr="00A54378">
        <w:rPr>
          <w:rFonts w:ascii="Times New Roman" w:hAnsi="Times New Roman" w:cs="Times New Roman"/>
          <w:b/>
          <w:sz w:val="24"/>
          <w:szCs w:val="24"/>
        </w:rPr>
        <w:t>Table 3</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Results of IgM detection in patients vaccinated against measles according to socio-demographic parameters</w:t>
      </w:r>
    </w:p>
    <w:tbl>
      <w:tblPr>
        <w:tblStyle w:val="PlainTable2"/>
        <w:tblW w:w="0" w:type="auto"/>
        <w:tblLook w:val="07E0" w:firstRow="1" w:lastRow="1" w:firstColumn="1" w:lastColumn="1" w:noHBand="1" w:noVBand="1"/>
      </w:tblPr>
      <w:tblGrid>
        <w:gridCol w:w="1585"/>
        <w:gridCol w:w="1287"/>
        <w:gridCol w:w="1655"/>
        <w:gridCol w:w="2365"/>
        <w:gridCol w:w="1901"/>
      </w:tblGrid>
      <w:tr w:rsidR="00080767" w:rsidRPr="00A54378" w14:paraId="7F7513B4" w14:textId="77777777" w:rsidTr="0028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uto"/>
            </w:tcBorders>
          </w:tcPr>
          <w:p w14:paraId="75B85181" w14:textId="77777777" w:rsidR="00080767" w:rsidRPr="00A54378" w:rsidRDefault="00080767" w:rsidP="00080767">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 xml:space="preserve">Parameters </w:t>
            </w:r>
          </w:p>
        </w:tc>
        <w:tc>
          <w:tcPr>
            <w:tcW w:w="1287" w:type="dxa"/>
            <w:tcBorders>
              <w:bottom w:val="single" w:sz="4" w:space="0" w:color="auto"/>
            </w:tcBorders>
          </w:tcPr>
          <w:p w14:paraId="3B1BC523" w14:textId="77777777" w:rsidR="00080767" w:rsidRPr="00A54378" w:rsidRDefault="00080767" w:rsidP="000807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Numbers</w:t>
            </w:r>
          </w:p>
        </w:tc>
        <w:tc>
          <w:tcPr>
            <w:tcW w:w="1655" w:type="dxa"/>
            <w:tcBorders>
              <w:bottom w:val="single" w:sz="4" w:space="0" w:color="auto"/>
            </w:tcBorders>
          </w:tcPr>
          <w:p w14:paraId="3366B28C" w14:textId="77777777" w:rsidR="00080767" w:rsidRPr="00A54378" w:rsidRDefault="00080767" w:rsidP="000807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Positive cases</w:t>
            </w:r>
          </w:p>
        </w:tc>
        <w:tc>
          <w:tcPr>
            <w:tcW w:w="2365" w:type="dxa"/>
            <w:tcBorders>
              <w:bottom w:val="single" w:sz="4" w:space="0" w:color="auto"/>
            </w:tcBorders>
          </w:tcPr>
          <w:p w14:paraId="05DC6EBE" w14:textId="77777777" w:rsidR="00080767" w:rsidRPr="00A54378" w:rsidRDefault="00080767" w:rsidP="000807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Percentages (%)</w:t>
            </w:r>
          </w:p>
        </w:tc>
        <w:tc>
          <w:tcPr>
            <w:cnfStyle w:val="000100000000" w:firstRow="0" w:lastRow="0" w:firstColumn="0" w:lastColumn="1" w:oddVBand="0" w:evenVBand="0" w:oddHBand="0" w:evenHBand="0" w:firstRowFirstColumn="0" w:firstRowLastColumn="0" w:lastRowFirstColumn="0" w:lastRowLastColumn="0"/>
            <w:tcW w:w="1901" w:type="dxa"/>
            <w:tcBorders>
              <w:bottom w:val="single" w:sz="4" w:space="0" w:color="auto"/>
            </w:tcBorders>
          </w:tcPr>
          <w:p w14:paraId="7491263E" w14:textId="77777777" w:rsidR="00080767" w:rsidRPr="00A54378" w:rsidRDefault="00080767" w:rsidP="00080767">
            <w:pPr>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95% CI</w:t>
            </w:r>
          </w:p>
        </w:tc>
      </w:tr>
      <w:tr w:rsidR="00080767" w:rsidRPr="00A54378" w14:paraId="145E9251"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4981D1E8" w14:textId="77777777" w:rsidR="00080767" w:rsidRPr="00A54378" w:rsidRDefault="00080767" w:rsidP="00080767">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Sex</w:t>
            </w:r>
          </w:p>
        </w:tc>
      </w:tr>
      <w:tr w:rsidR="00080767" w:rsidRPr="00A54378" w14:paraId="624E60B7"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0B1FE986" w14:textId="77777777" w:rsidR="00080767" w:rsidRPr="00A54378" w:rsidRDefault="00080767" w:rsidP="00080767">
            <w:pPr>
              <w:tabs>
                <w:tab w:val="left" w:pos="745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Female             27                   9                  16,98%                     6,87- 27,08</w:t>
            </w:r>
          </w:p>
        </w:tc>
      </w:tr>
      <w:tr w:rsidR="00080767" w:rsidRPr="00A54378" w14:paraId="232E1F6F"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Pr>
          <w:p w14:paraId="73E13EAB" w14:textId="77777777" w:rsidR="00080767" w:rsidRPr="00A54378" w:rsidRDefault="00080767" w:rsidP="00080767">
            <w:pPr>
              <w:tabs>
                <w:tab w:val="left" w:pos="553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Male                 26                   3                   5,66%                      -0,56 -11,88</w:t>
            </w:r>
          </w:p>
        </w:tc>
      </w:tr>
      <w:tr w:rsidR="00080767" w:rsidRPr="00A54378" w14:paraId="1CFDBCF9"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3B789BCC" w14:textId="77777777" w:rsidR="00080767" w:rsidRPr="00A54378" w:rsidRDefault="00080767" w:rsidP="00080767">
            <w:pPr>
              <w:tabs>
                <w:tab w:val="left" w:pos="5535"/>
              </w:tabs>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Age groups</w:t>
            </w:r>
          </w:p>
        </w:tc>
      </w:tr>
      <w:tr w:rsidR="00080767" w:rsidRPr="00A54378" w14:paraId="67F4BDE3" w14:textId="77777777" w:rsidTr="00282151">
        <w:trPr>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4D476A75"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0 – 10 years      </w:t>
            </w:r>
            <w:r w:rsidRPr="00A54378">
              <w:rPr>
                <w:rFonts w:ascii="Times New Roman" w:hAnsi="Times New Roman" w:cs="Times New Roman"/>
                <w:b w:val="0"/>
                <w:sz w:val="24"/>
                <w:szCs w:val="24"/>
              </w:rPr>
              <w:t>53</w:t>
            </w:r>
            <w:r w:rsidRPr="00A54378">
              <w:rPr>
                <w:rFonts w:ascii="Times New Roman" w:hAnsi="Times New Roman" w:cs="Times New Roman"/>
                <w:b w:val="0"/>
                <w:color w:val="000000" w:themeColor="text1"/>
                <w:sz w:val="24"/>
                <w:szCs w:val="24"/>
              </w:rPr>
              <w:t xml:space="preserve">                    12                     22,64%                 17,90-27,37</w:t>
            </w:r>
          </w:p>
          <w:p w14:paraId="47CBE7B7"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11 – 20 years     -                       -                          -                                -</w:t>
            </w:r>
          </w:p>
          <w:p w14:paraId="74852FD1"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21 – 30 years     -                       -                          -                                -</w:t>
            </w:r>
          </w:p>
          <w:p w14:paraId="34886B0C"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31 – 40 years     -                       -                          -                                -</w:t>
            </w:r>
          </w:p>
          <w:p w14:paraId="707F8A97" w14:textId="77777777" w:rsidR="00080767" w:rsidRPr="00A54378" w:rsidRDefault="00080767" w:rsidP="00080767">
            <w:pPr>
              <w:spacing w:line="259" w:lineRule="auto"/>
              <w:rPr>
                <w:rFonts w:ascii="Times New Roman" w:hAnsi="Times New Roman" w:cs="Times New Roman"/>
                <w:b w:val="0"/>
                <w:bCs w:val="0"/>
                <w:color w:val="000000" w:themeColor="text1"/>
                <w:sz w:val="24"/>
                <w:szCs w:val="24"/>
              </w:rPr>
            </w:pPr>
            <w:r w:rsidRPr="00A54378">
              <w:rPr>
                <w:rFonts w:ascii="Times New Roman" w:hAnsi="Times New Roman" w:cs="Times New Roman"/>
                <w:b w:val="0"/>
                <w:color w:val="000000" w:themeColor="text1"/>
                <w:sz w:val="24"/>
                <w:szCs w:val="24"/>
              </w:rPr>
              <w:t>41 and over</w:t>
            </w:r>
            <w:r w:rsidRPr="00A54378">
              <w:rPr>
                <w:rFonts w:ascii="Times New Roman" w:hAnsi="Times New Roman" w:cs="Times New Roman"/>
                <w:b w:val="0"/>
                <w:bCs w:val="0"/>
                <w:color w:val="000000" w:themeColor="text1"/>
                <w:sz w:val="24"/>
                <w:szCs w:val="24"/>
              </w:rPr>
              <w:t xml:space="preserve">        -                       -                          -                                -</w:t>
            </w:r>
          </w:p>
        </w:tc>
      </w:tr>
      <w:tr w:rsidR="00080767" w:rsidRPr="00A54378" w14:paraId="433FFBF0" w14:textId="77777777" w:rsidTr="00282151">
        <w:trPr>
          <w:trHeight w:val="287"/>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33259132" w14:textId="77777777" w:rsidR="00080767" w:rsidRPr="00A54378" w:rsidRDefault="00080767" w:rsidP="00080767">
            <w:pPr>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Residences</w:t>
            </w:r>
          </w:p>
        </w:tc>
      </w:tr>
      <w:tr w:rsidR="00080767" w:rsidRPr="00A54378" w14:paraId="45439883" w14:textId="77777777" w:rsidTr="00282151">
        <w:trPr>
          <w:cnfStyle w:val="010000000000" w:firstRow="0" w:lastRow="1" w:firstColumn="0" w:lastColumn="0" w:oddVBand="0" w:evenVBand="0" w:oddHBand="0"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Pr>
          <w:p w14:paraId="08B0F8B0"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lastRenderedPageBreak/>
              <w:t>Matoto              16                    2                        3,77                    -</w:t>
            </w:r>
            <w:r w:rsidRPr="00A54378">
              <w:rPr>
                <w:rFonts w:ascii="Times New Roman" w:eastAsia="Times New Roman" w:hAnsi="Times New Roman" w:cs="Times New Roman"/>
                <w:b w:val="0"/>
                <w:sz w:val="24"/>
                <w:szCs w:val="24"/>
                <w:lang w:val="en-US" w:eastAsia="fr-FR"/>
              </w:rPr>
              <w:t>1,35-8,89</w:t>
            </w:r>
            <w:r w:rsidRPr="00A54378">
              <w:rPr>
                <w:rFonts w:ascii="Times New Roman" w:hAnsi="Times New Roman" w:cs="Times New Roman"/>
                <w:b w:val="0"/>
                <w:color w:val="000000" w:themeColor="text1"/>
                <w:sz w:val="24"/>
                <w:szCs w:val="24"/>
                <w:lang w:val="en-US"/>
              </w:rPr>
              <w:t xml:space="preserve"> </w:t>
            </w:r>
          </w:p>
          <w:p w14:paraId="08412AE4"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Ratoma             4                      2                        3,77                    </w:t>
            </w:r>
            <w:r w:rsidRPr="00A54378">
              <w:rPr>
                <w:rFonts w:ascii="Times New Roman" w:eastAsia="Times New Roman" w:hAnsi="Times New Roman" w:cs="Times New Roman"/>
                <w:b w:val="0"/>
                <w:sz w:val="24"/>
                <w:szCs w:val="24"/>
                <w:lang w:val="en-US" w:eastAsia="fr-FR"/>
              </w:rPr>
              <w:t>-1,35-8,89</w:t>
            </w:r>
          </w:p>
          <w:p w14:paraId="47173416"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Dixinn              1                      -                           -                                - </w:t>
            </w:r>
          </w:p>
          <w:p w14:paraId="6035FFDD"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Matam              15                    2                        3,77                    </w:t>
            </w:r>
            <w:r w:rsidRPr="00A54378">
              <w:rPr>
                <w:rFonts w:ascii="Times New Roman" w:eastAsia="Times New Roman" w:hAnsi="Times New Roman" w:cs="Times New Roman"/>
                <w:b w:val="0"/>
                <w:sz w:val="24"/>
                <w:szCs w:val="24"/>
                <w:lang w:val="en-US" w:eastAsia="fr-FR"/>
              </w:rPr>
              <w:t>-1,35-8,89</w:t>
            </w:r>
            <w:r w:rsidRPr="00A54378">
              <w:rPr>
                <w:rFonts w:ascii="Times New Roman" w:hAnsi="Times New Roman" w:cs="Times New Roman"/>
                <w:b w:val="0"/>
                <w:color w:val="000000" w:themeColor="text1"/>
                <w:sz w:val="24"/>
                <w:szCs w:val="24"/>
                <w:lang w:val="en-US"/>
              </w:rPr>
              <w:t xml:space="preserve"> </w:t>
            </w:r>
          </w:p>
          <w:p w14:paraId="12A5B341"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Coyah               6                      3                       5,66                    </w:t>
            </w:r>
            <w:r w:rsidRPr="00A54378">
              <w:rPr>
                <w:rFonts w:ascii="Times New Roman" w:eastAsia="Times New Roman" w:hAnsi="Times New Roman" w:cs="Times New Roman"/>
                <w:b w:val="0"/>
                <w:sz w:val="24"/>
                <w:szCs w:val="24"/>
                <w:lang w:val="en-US" w:eastAsia="fr-FR"/>
              </w:rPr>
              <w:t>-0,56-11,88</w:t>
            </w:r>
          </w:p>
          <w:p w14:paraId="79DA82A7"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Dubreka            5                     3                        5,66                    </w:t>
            </w:r>
            <w:r w:rsidRPr="00A54378">
              <w:rPr>
                <w:rFonts w:ascii="Times New Roman" w:eastAsia="Times New Roman" w:hAnsi="Times New Roman" w:cs="Times New Roman"/>
                <w:b w:val="0"/>
                <w:sz w:val="24"/>
                <w:szCs w:val="24"/>
                <w:lang w:val="en-US" w:eastAsia="fr-FR"/>
              </w:rPr>
              <w:t>-0,56-11,88</w:t>
            </w:r>
          </w:p>
          <w:p w14:paraId="4ED329CB"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Kaloum            6                      -                            -                              -</w:t>
            </w:r>
          </w:p>
          <w:p w14:paraId="15F72498" w14:textId="77777777" w:rsidR="00080767" w:rsidRPr="00A54378" w:rsidRDefault="00080767" w:rsidP="00080767">
            <w:pPr>
              <w:rPr>
                <w:rFonts w:ascii="Times New Roman" w:hAnsi="Times New Roman" w:cs="Times New Roman"/>
                <w:color w:val="000000" w:themeColor="text1"/>
                <w:sz w:val="24"/>
                <w:szCs w:val="24"/>
                <w:lang w:val="en-US"/>
              </w:rPr>
            </w:pPr>
          </w:p>
        </w:tc>
      </w:tr>
    </w:tbl>
    <w:p w14:paraId="4D3EA365"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This table shows that, of the 53 subjects vaccinated against measles, IgM was detected in both sexes, with 16.98% of females and 5.66% of males. Although the disease has no gender preference, measles vaccination does not completely prevent infection. This could be due to factors such as the duration of vaccine immunity, vaccine efficacy, or exposure to a different strain of the virus.</w:t>
      </w:r>
    </w:p>
    <w:p w14:paraId="770F304E"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We also note that, of the 53 subjects vaccinated against measles, IgM was detected only in the 0-10 age group, with a prevalence of 22.64%. Given that vaccination is a key tool in the prevention of measles, it is essential to adhere to the vaccination schedule and ensure that the vaccine is administered under appropriate conditions, particularly in young children with weak immune systems.</w:t>
      </w:r>
    </w:p>
    <w:p w14:paraId="1CBD1FA4"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We also found that, of the 53 patients vaccinated against measles, IgM was detected in five of the seven communes of Greater Conakry: Dubreka and Coyah were the communes with the highest number of cases, with a prevalence of 5.66% each. Ratoma, Matoto and Dixinn each recorded 2 cases, giving a prevalence rate of 3.77%. This highlights the need for enhanced surveillance and vaccination strategies in certain areas to better control the spread of measles.</w:t>
      </w:r>
    </w:p>
    <w:p w14:paraId="1E73A16F" w14:textId="77777777" w:rsidR="00A54378" w:rsidRDefault="00A54378" w:rsidP="00080767">
      <w:pPr>
        <w:jc w:val="center"/>
        <w:rPr>
          <w:rFonts w:ascii="Times New Roman" w:hAnsi="Times New Roman" w:cs="Times New Roman"/>
          <w:b/>
          <w:sz w:val="24"/>
          <w:szCs w:val="24"/>
        </w:rPr>
      </w:pPr>
    </w:p>
    <w:p w14:paraId="5504E468" w14:textId="77777777" w:rsidR="00A54378" w:rsidRDefault="00A54378" w:rsidP="00080767">
      <w:pPr>
        <w:jc w:val="center"/>
        <w:rPr>
          <w:rFonts w:ascii="Times New Roman" w:hAnsi="Times New Roman" w:cs="Times New Roman"/>
          <w:b/>
          <w:sz w:val="24"/>
          <w:szCs w:val="24"/>
        </w:rPr>
      </w:pPr>
    </w:p>
    <w:p w14:paraId="37BB55C1" w14:textId="77777777" w:rsidR="00A54378" w:rsidRDefault="00A54378" w:rsidP="00080767">
      <w:pPr>
        <w:jc w:val="center"/>
        <w:rPr>
          <w:rFonts w:ascii="Times New Roman" w:hAnsi="Times New Roman" w:cs="Times New Roman"/>
          <w:b/>
          <w:sz w:val="24"/>
          <w:szCs w:val="24"/>
        </w:rPr>
      </w:pPr>
    </w:p>
    <w:p w14:paraId="28D59D23" w14:textId="77777777" w:rsidR="00080767" w:rsidRPr="00A54378" w:rsidRDefault="00080767" w:rsidP="00080767">
      <w:pPr>
        <w:jc w:val="center"/>
        <w:rPr>
          <w:rFonts w:ascii="Times New Roman" w:hAnsi="Times New Roman" w:cs="Times New Roman"/>
          <w:i/>
          <w:sz w:val="24"/>
          <w:szCs w:val="24"/>
        </w:rPr>
      </w:pPr>
      <w:r w:rsidRPr="00A54378">
        <w:rPr>
          <w:rFonts w:ascii="Times New Roman" w:hAnsi="Times New Roman" w:cs="Times New Roman"/>
          <w:b/>
          <w:sz w:val="24"/>
          <w:szCs w:val="24"/>
        </w:rPr>
        <w:t>Table 4</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Detection of measles IgM in suspected patients.</w:t>
      </w:r>
    </w:p>
    <w:tbl>
      <w:tblPr>
        <w:tblStyle w:val="PlainTable2"/>
        <w:tblW w:w="0" w:type="auto"/>
        <w:tblLook w:val="04A0" w:firstRow="1" w:lastRow="0" w:firstColumn="1" w:lastColumn="0" w:noHBand="0" w:noVBand="1"/>
      </w:tblPr>
      <w:tblGrid>
        <w:gridCol w:w="531"/>
        <w:gridCol w:w="1842"/>
        <w:gridCol w:w="1276"/>
        <w:gridCol w:w="2410"/>
        <w:gridCol w:w="2588"/>
      </w:tblGrid>
      <w:tr w:rsidR="00080767" w:rsidRPr="00A54378" w14:paraId="717C41D6" w14:textId="77777777" w:rsidTr="0028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25FA2142"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N°</w:t>
            </w:r>
          </w:p>
        </w:tc>
        <w:tc>
          <w:tcPr>
            <w:tcW w:w="1842" w:type="dxa"/>
          </w:tcPr>
          <w:p w14:paraId="07DA96C7"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 xml:space="preserve">Cases </w:t>
            </w:r>
          </w:p>
        </w:tc>
        <w:tc>
          <w:tcPr>
            <w:tcW w:w="1276" w:type="dxa"/>
          </w:tcPr>
          <w:p w14:paraId="67D713CD" w14:textId="77777777" w:rsidR="00080767" w:rsidRPr="00A54378" w:rsidRDefault="00080767" w:rsidP="00282151">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Numbers</w:t>
            </w:r>
          </w:p>
        </w:tc>
        <w:tc>
          <w:tcPr>
            <w:tcW w:w="2410" w:type="dxa"/>
          </w:tcPr>
          <w:p w14:paraId="411F9290" w14:textId="77777777" w:rsidR="00080767" w:rsidRPr="00A54378" w:rsidRDefault="00080767" w:rsidP="00282151">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Percentages (%)</w:t>
            </w:r>
          </w:p>
        </w:tc>
        <w:tc>
          <w:tcPr>
            <w:tcW w:w="2588" w:type="dxa"/>
          </w:tcPr>
          <w:p w14:paraId="73467826" w14:textId="77777777" w:rsidR="00080767" w:rsidRPr="00A54378" w:rsidRDefault="00080767" w:rsidP="00282151">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95% CI</w:t>
            </w:r>
          </w:p>
        </w:tc>
      </w:tr>
      <w:tr w:rsidR="00080767" w:rsidRPr="00A54378" w14:paraId="7972AAE5" w14:textId="77777777" w:rsidTr="00282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46F6AEA5"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1</w:t>
            </w:r>
          </w:p>
        </w:tc>
        <w:tc>
          <w:tcPr>
            <w:tcW w:w="1842" w:type="dxa"/>
          </w:tcPr>
          <w:p w14:paraId="0096CC2F" w14:textId="77777777" w:rsidR="00080767" w:rsidRPr="00A54378" w:rsidRDefault="00080767" w:rsidP="00282151">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Positive</w:t>
            </w:r>
          </w:p>
        </w:tc>
        <w:tc>
          <w:tcPr>
            <w:tcW w:w="1276" w:type="dxa"/>
          </w:tcPr>
          <w:p w14:paraId="3423CB31"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144</w:t>
            </w:r>
          </w:p>
        </w:tc>
        <w:tc>
          <w:tcPr>
            <w:tcW w:w="2410" w:type="dxa"/>
          </w:tcPr>
          <w:p w14:paraId="5C36DF68"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48%</w:t>
            </w:r>
          </w:p>
        </w:tc>
        <w:tc>
          <w:tcPr>
            <w:tcW w:w="2588" w:type="dxa"/>
          </w:tcPr>
          <w:p w14:paraId="40257E7F"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b/>
                <w:sz w:val="24"/>
                <w:szCs w:val="24"/>
              </w:rPr>
              <w:t>42,32 – 53,65</w:t>
            </w:r>
          </w:p>
        </w:tc>
      </w:tr>
      <w:tr w:rsidR="00080767" w:rsidRPr="00A54378" w14:paraId="742F8CEC" w14:textId="77777777" w:rsidTr="00282151">
        <w:tc>
          <w:tcPr>
            <w:cnfStyle w:val="001000000000" w:firstRow="0" w:lastRow="0" w:firstColumn="1" w:lastColumn="0" w:oddVBand="0" w:evenVBand="0" w:oddHBand="0" w:evenHBand="0" w:firstRowFirstColumn="0" w:firstRowLastColumn="0" w:lastRowFirstColumn="0" w:lastRowLastColumn="0"/>
            <w:tcW w:w="531" w:type="dxa"/>
          </w:tcPr>
          <w:p w14:paraId="3F130E73"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2</w:t>
            </w:r>
          </w:p>
        </w:tc>
        <w:tc>
          <w:tcPr>
            <w:tcW w:w="1842" w:type="dxa"/>
          </w:tcPr>
          <w:p w14:paraId="591E23F9" w14:textId="77777777" w:rsidR="00080767" w:rsidRPr="00A54378" w:rsidRDefault="00080767" w:rsidP="0028215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Négative</w:t>
            </w:r>
          </w:p>
        </w:tc>
        <w:tc>
          <w:tcPr>
            <w:tcW w:w="1276" w:type="dxa"/>
          </w:tcPr>
          <w:p w14:paraId="7456EB42" w14:textId="77777777" w:rsidR="00080767" w:rsidRPr="00A54378" w:rsidRDefault="00080767" w:rsidP="00282151">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156</w:t>
            </w:r>
          </w:p>
        </w:tc>
        <w:tc>
          <w:tcPr>
            <w:tcW w:w="2410" w:type="dxa"/>
          </w:tcPr>
          <w:p w14:paraId="458C4115" w14:textId="77777777" w:rsidR="00080767" w:rsidRPr="00A54378" w:rsidRDefault="00080767" w:rsidP="00282151">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52%</w:t>
            </w:r>
          </w:p>
        </w:tc>
        <w:tc>
          <w:tcPr>
            <w:tcW w:w="2588" w:type="dxa"/>
          </w:tcPr>
          <w:p w14:paraId="30A99115" w14:textId="77777777" w:rsidR="00080767" w:rsidRPr="00A54378" w:rsidRDefault="00080767" w:rsidP="00282151">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46,34 – 57,65</w:t>
            </w:r>
          </w:p>
        </w:tc>
      </w:tr>
      <w:tr w:rsidR="00080767" w:rsidRPr="00A54378" w14:paraId="14D708B1" w14:textId="77777777" w:rsidTr="00282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gridSpan w:val="2"/>
          </w:tcPr>
          <w:p w14:paraId="5F3E1FB6"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Total</w:t>
            </w:r>
          </w:p>
        </w:tc>
        <w:tc>
          <w:tcPr>
            <w:tcW w:w="1276" w:type="dxa"/>
          </w:tcPr>
          <w:p w14:paraId="6D536B32"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300</w:t>
            </w:r>
          </w:p>
        </w:tc>
        <w:tc>
          <w:tcPr>
            <w:tcW w:w="2410" w:type="dxa"/>
          </w:tcPr>
          <w:p w14:paraId="34445473"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100</w:t>
            </w:r>
          </w:p>
        </w:tc>
        <w:tc>
          <w:tcPr>
            <w:tcW w:w="2588" w:type="dxa"/>
          </w:tcPr>
          <w:p w14:paraId="3C68A036"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w:t>
            </w:r>
          </w:p>
        </w:tc>
      </w:tr>
    </w:tbl>
    <w:p w14:paraId="1875364F"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Of the 300 samples examined, 144 were positive for measles IgM by the enzyme-linked immunosorbent assay (ELISA), representing a prevalence of 48%, 95% CI [42.32 - 53.65], compared with 52% IgM negative. Our results are lower than those reported by Sy et al (2021) in Mali, who found a prevalence of 68.13% of measles IgM positives [8].</w:t>
      </w:r>
    </w:p>
    <w:p w14:paraId="63B13D87" w14:textId="77777777" w:rsidR="00080767" w:rsidRPr="00A54378" w:rsidRDefault="00080767" w:rsidP="00080767">
      <w:pPr>
        <w:jc w:val="center"/>
        <w:rPr>
          <w:rFonts w:ascii="Times New Roman" w:hAnsi="Times New Roman" w:cs="Times New Roman"/>
          <w:i/>
          <w:sz w:val="24"/>
          <w:szCs w:val="24"/>
        </w:rPr>
      </w:pPr>
      <w:r w:rsidRPr="00A54378">
        <w:rPr>
          <w:rFonts w:ascii="Times New Roman" w:hAnsi="Times New Roman" w:cs="Times New Roman"/>
          <w:b/>
          <w:sz w:val="24"/>
          <w:szCs w:val="24"/>
        </w:rPr>
        <w:t>Table 5</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Detection of rubella IgM in patients tested negative for measles</w:t>
      </w:r>
    </w:p>
    <w:tbl>
      <w:tblPr>
        <w:tblStyle w:val="PlainTable2"/>
        <w:tblW w:w="0" w:type="auto"/>
        <w:tblLook w:val="04A0" w:firstRow="1" w:lastRow="0" w:firstColumn="1" w:lastColumn="0" w:noHBand="0" w:noVBand="1"/>
      </w:tblPr>
      <w:tblGrid>
        <w:gridCol w:w="673"/>
        <w:gridCol w:w="1823"/>
        <w:gridCol w:w="1560"/>
        <w:gridCol w:w="2409"/>
        <w:gridCol w:w="2607"/>
      </w:tblGrid>
      <w:tr w:rsidR="00080767" w:rsidRPr="00A54378" w14:paraId="1A3F70AA" w14:textId="77777777" w:rsidTr="0028215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73" w:type="dxa"/>
          </w:tcPr>
          <w:p w14:paraId="2192532A" w14:textId="77777777" w:rsidR="00080767" w:rsidRPr="00A54378" w:rsidRDefault="00080767" w:rsidP="00080767">
            <w:pPr>
              <w:jc w:val="center"/>
              <w:rPr>
                <w:rFonts w:ascii="Times New Roman" w:hAnsi="Times New Roman" w:cs="Times New Roman"/>
                <w:sz w:val="24"/>
                <w:szCs w:val="24"/>
              </w:rPr>
            </w:pPr>
            <w:bookmarkStart w:id="1" w:name="_Hlk186394599"/>
            <w:r w:rsidRPr="00A54378">
              <w:rPr>
                <w:rFonts w:ascii="Times New Roman" w:hAnsi="Times New Roman" w:cs="Times New Roman"/>
                <w:sz w:val="24"/>
                <w:szCs w:val="24"/>
              </w:rPr>
              <w:t>N°</w:t>
            </w:r>
          </w:p>
        </w:tc>
        <w:tc>
          <w:tcPr>
            <w:tcW w:w="1823" w:type="dxa"/>
          </w:tcPr>
          <w:p w14:paraId="058D340C"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 xml:space="preserve">Cases </w:t>
            </w:r>
          </w:p>
        </w:tc>
        <w:tc>
          <w:tcPr>
            <w:tcW w:w="1560" w:type="dxa"/>
          </w:tcPr>
          <w:p w14:paraId="15127645"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Numbers</w:t>
            </w:r>
          </w:p>
        </w:tc>
        <w:tc>
          <w:tcPr>
            <w:tcW w:w="2409" w:type="dxa"/>
          </w:tcPr>
          <w:p w14:paraId="004FFA9B"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Percentages (%)</w:t>
            </w:r>
          </w:p>
        </w:tc>
        <w:tc>
          <w:tcPr>
            <w:tcW w:w="2607" w:type="dxa"/>
          </w:tcPr>
          <w:p w14:paraId="174DAF01"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95% CI</w:t>
            </w:r>
          </w:p>
        </w:tc>
      </w:tr>
      <w:tr w:rsidR="00080767" w:rsidRPr="00A54378" w14:paraId="3F75B8D9" w14:textId="77777777" w:rsidTr="0028215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73" w:type="dxa"/>
          </w:tcPr>
          <w:p w14:paraId="0ED1ED8D" w14:textId="77777777" w:rsidR="00080767" w:rsidRPr="00A54378" w:rsidRDefault="00080767" w:rsidP="00282151">
            <w:pPr>
              <w:jc w:val="center"/>
              <w:rPr>
                <w:rFonts w:ascii="Times New Roman" w:hAnsi="Times New Roman" w:cs="Times New Roman"/>
                <w:sz w:val="24"/>
                <w:szCs w:val="24"/>
              </w:rPr>
            </w:pPr>
            <w:r w:rsidRPr="00A54378">
              <w:rPr>
                <w:rFonts w:ascii="Times New Roman" w:hAnsi="Times New Roman" w:cs="Times New Roman"/>
                <w:sz w:val="24"/>
                <w:szCs w:val="24"/>
              </w:rPr>
              <w:t>1</w:t>
            </w:r>
          </w:p>
        </w:tc>
        <w:tc>
          <w:tcPr>
            <w:tcW w:w="1823" w:type="dxa"/>
          </w:tcPr>
          <w:p w14:paraId="2693044F" w14:textId="77777777" w:rsidR="00080767" w:rsidRPr="00A54378" w:rsidRDefault="00080767" w:rsidP="002821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Positive</w:t>
            </w:r>
          </w:p>
        </w:tc>
        <w:tc>
          <w:tcPr>
            <w:tcW w:w="1560" w:type="dxa"/>
          </w:tcPr>
          <w:p w14:paraId="71191EA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4</w:t>
            </w:r>
          </w:p>
        </w:tc>
        <w:tc>
          <w:tcPr>
            <w:tcW w:w="2409" w:type="dxa"/>
          </w:tcPr>
          <w:p w14:paraId="6BBAA5F1"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2,57</w:t>
            </w:r>
          </w:p>
        </w:tc>
        <w:tc>
          <w:tcPr>
            <w:tcW w:w="2607" w:type="dxa"/>
          </w:tcPr>
          <w:p w14:paraId="727CF952"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54378">
              <w:rPr>
                <w:rFonts w:ascii="Times New Roman" w:hAnsi="Times New Roman" w:cs="Times New Roman"/>
                <w:bCs/>
                <w:sz w:val="24"/>
                <w:szCs w:val="24"/>
              </w:rPr>
              <w:t>0,08 - 5,05</w:t>
            </w:r>
          </w:p>
        </w:tc>
      </w:tr>
      <w:tr w:rsidR="00080767" w:rsidRPr="00A54378" w14:paraId="0737C54C" w14:textId="77777777" w:rsidTr="00282151">
        <w:trPr>
          <w:trHeight w:val="332"/>
        </w:trPr>
        <w:tc>
          <w:tcPr>
            <w:cnfStyle w:val="001000000000" w:firstRow="0" w:lastRow="0" w:firstColumn="1" w:lastColumn="0" w:oddVBand="0" w:evenVBand="0" w:oddHBand="0" w:evenHBand="0" w:firstRowFirstColumn="0" w:firstRowLastColumn="0" w:lastRowFirstColumn="0" w:lastRowLastColumn="0"/>
            <w:tcW w:w="673" w:type="dxa"/>
          </w:tcPr>
          <w:p w14:paraId="224132A1" w14:textId="77777777" w:rsidR="00080767" w:rsidRPr="00A54378" w:rsidRDefault="00080767" w:rsidP="00282151">
            <w:pPr>
              <w:jc w:val="center"/>
              <w:rPr>
                <w:rFonts w:ascii="Times New Roman" w:hAnsi="Times New Roman" w:cs="Times New Roman"/>
                <w:sz w:val="24"/>
                <w:szCs w:val="24"/>
              </w:rPr>
            </w:pPr>
            <w:r w:rsidRPr="00A54378">
              <w:rPr>
                <w:rFonts w:ascii="Times New Roman" w:hAnsi="Times New Roman" w:cs="Times New Roman"/>
                <w:sz w:val="24"/>
                <w:szCs w:val="24"/>
              </w:rPr>
              <w:t>2</w:t>
            </w:r>
          </w:p>
        </w:tc>
        <w:tc>
          <w:tcPr>
            <w:tcW w:w="1823" w:type="dxa"/>
          </w:tcPr>
          <w:p w14:paraId="3A3FFD24" w14:textId="77777777" w:rsidR="00080767" w:rsidRPr="00A54378" w:rsidRDefault="00080767" w:rsidP="002821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Négative</w:t>
            </w:r>
          </w:p>
        </w:tc>
        <w:tc>
          <w:tcPr>
            <w:tcW w:w="1560" w:type="dxa"/>
          </w:tcPr>
          <w:p w14:paraId="43DF1FD3"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152</w:t>
            </w:r>
          </w:p>
        </w:tc>
        <w:tc>
          <w:tcPr>
            <w:tcW w:w="2409" w:type="dxa"/>
          </w:tcPr>
          <w:p w14:paraId="61D4C202"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97,43</w:t>
            </w:r>
          </w:p>
        </w:tc>
        <w:tc>
          <w:tcPr>
            <w:tcW w:w="2607" w:type="dxa"/>
          </w:tcPr>
          <w:p w14:paraId="3A23B732"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54378">
              <w:rPr>
                <w:rFonts w:ascii="Times New Roman" w:hAnsi="Times New Roman" w:cs="Times New Roman"/>
                <w:bCs/>
                <w:sz w:val="24"/>
                <w:szCs w:val="24"/>
              </w:rPr>
              <w:t>94,94 – 99,91</w:t>
            </w:r>
          </w:p>
        </w:tc>
      </w:tr>
      <w:tr w:rsidR="00080767" w:rsidRPr="00A54378" w14:paraId="774B0143" w14:textId="77777777" w:rsidTr="0028215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96" w:type="dxa"/>
            <w:gridSpan w:val="2"/>
          </w:tcPr>
          <w:p w14:paraId="019896B5" w14:textId="77777777" w:rsidR="00080767" w:rsidRPr="00A54378" w:rsidRDefault="00080767" w:rsidP="00282151">
            <w:pPr>
              <w:jc w:val="center"/>
              <w:rPr>
                <w:rFonts w:ascii="Times New Roman" w:hAnsi="Times New Roman" w:cs="Times New Roman"/>
                <w:b w:val="0"/>
                <w:bCs w:val="0"/>
                <w:sz w:val="24"/>
                <w:szCs w:val="24"/>
              </w:rPr>
            </w:pPr>
            <w:r w:rsidRPr="00A54378">
              <w:rPr>
                <w:rFonts w:ascii="Times New Roman" w:hAnsi="Times New Roman" w:cs="Times New Roman"/>
                <w:sz w:val="24"/>
                <w:szCs w:val="24"/>
              </w:rPr>
              <w:t>Total</w:t>
            </w:r>
          </w:p>
        </w:tc>
        <w:tc>
          <w:tcPr>
            <w:tcW w:w="1560" w:type="dxa"/>
          </w:tcPr>
          <w:p w14:paraId="55DA43AB"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156</w:t>
            </w:r>
          </w:p>
        </w:tc>
        <w:tc>
          <w:tcPr>
            <w:tcW w:w="2409" w:type="dxa"/>
          </w:tcPr>
          <w:p w14:paraId="3162CD84"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100</w:t>
            </w:r>
          </w:p>
        </w:tc>
        <w:tc>
          <w:tcPr>
            <w:tcW w:w="2607" w:type="dxa"/>
          </w:tcPr>
          <w:p w14:paraId="36731074"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w:t>
            </w:r>
          </w:p>
        </w:tc>
      </w:tr>
    </w:tbl>
    <w:bookmarkEnd w:id="1"/>
    <w:p w14:paraId="137C605A"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Looking at this table, we note that among the 156 samples tested negative for measles, 4 were positive for rubella IgM, representing a prevalence of 2.57%, 95% CI [0.08-5.05] compared </w:t>
      </w:r>
      <w:r w:rsidRPr="00A54378">
        <w:rPr>
          <w:rFonts w:ascii="Times New Roman" w:hAnsi="Times New Roman" w:cs="Times New Roman"/>
          <w:sz w:val="24"/>
          <w:szCs w:val="24"/>
        </w:rPr>
        <w:lastRenderedPageBreak/>
        <w:t>with 97.43%, 95% CI [94.94-99.91]. Our results are lower than those reported by Amadou et al, in 2021, in Niger, who found a prevalence of 7% of rubella positive cases [10].</w:t>
      </w:r>
    </w:p>
    <w:p w14:paraId="25891DA9" w14:textId="77777777" w:rsidR="00080767" w:rsidRPr="00A54378" w:rsidRDefault="00080767" w:rsidP="00080767">
      <w:pPr>
        <w:jc w:val="center"/>
        <w:rPr>
          <w:rFonts w:ascii="Times New Roman" w:hAnsi="Times New Roman" w:cs="Times New Roman"/>
          <w:i/>
          <w:sz w:val="24"/>
          <w:szCs w:val="24"/>
        </w:rPr>
      </w:pPr>
      <w:r w:rsidRPr="00A54378">
        <w:rPr>
          <w:rFonts w:ascii="Times New Roman" w:hAnsi="Times New Roman" w:cs="Times New Roman"/>
          <w:b/>
          <w:sz w:val="24"/>
          <w:szCs w:val="24"/>
        </w:rPr>
        <w:t>Table 6</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Vaccination status of patients vaccinated against measles</w:t>
      </w:r>
    </w:p>
    <w:tbl>
      <w:tblPr>
        <w:tblStyle w:val="PlainTable2"/>
        <w:tblpPr w:leftFromText="141" w:rightFromText="141" w:vertAnchor="text" w:tblpX="68" w:tblpY="1"/>
        <w:tblW w:w="8931" w:type="dxa"/>
        <w:tblLook w:val="04A0" w:firstRow="1" w:lastRow="0" w:firstColumn="1" w:lastColumn="0" w:noHBand="0" w:noVBand="1"/>
      </w:tblPr>
      <w:tblGrid>
        <w:gridCol w:w="699"/>
        <w:gridCol w:w="1985"/>
        <w:gridCol w:w="1863"/>
        <w:gridCol w:w="2410"/>
        <w:gridCol w:w="1974"/>
      </w:tblGrid>
      <w:tr w:rsidR="00080767" w:rsidRPr="00A54378" w14:paraId="34CC7859" w14:textId="77777777" w:rsidTr="000807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1843A261"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N°</w:t>
            </w:r>
          </w:p>
        </w:tc>
        <w:tc>
          <w:tcPr>
            <w:tcW w:w="1985" w:type="dxa"/>
          </w:tcPr>
          <w:p w14:paraId="75B92FBD" w14:textId="77777777" w:rsidR="00080767" w:rsidRPr="00A54378" w:rsidRDefault="00080767" w:rsidP="00A543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Vaccinated</w:t>
            </w:r>
          </w:p>
        </w:tc>
        <w:tc>
          <w:tcPr>
            <w:tcW w:w="1863" w:type="dxa"/>
          </w:tcPr>
          <w:p w14:paraId="5C6950F5" w14:textId="77777777" w:rsidR="00080767" w:rsidRPr="00A54378" w:rsidRDefault="00080767" w:rsidP="002821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Numbers</w:t>
            </w:r>
          </w:p>
        </w:tc>
        <w:tc>
          <w:tcPr>
            <w:tcW w:w="2410" w:type="dxa"/>
          </w:tcPr>
          <w:p w14:paraId="4F53A50A" w14:textId="77777777" w:rsidR="00080767" w:rsidRPr="00A54378" w:rsidRDefault="00A54378" w:rsidP="00A543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 xml:space="preserve">Percentages (%) </w:t>
            </w:r>
          </w:p>
        </w:tc>
        <w:tc>
          <w:tcPr>
            <w:tcW w:w="1974" w:type="dxa"/>
          </w:tcPr>
          <w:p w14:paraId="56EF48E6" w14:textId="77777777" w:rsidR="00080767" w:rsidRPr="00A54378" w:rsidRDefault="00A54378" w:rsidP="002821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IC95%</w:t>
            </w:r>
          </w:p>
        </w:tc>
      </w:tr>
      <w:tr w:rsidR="00080767" w:rsidRPr="00A54378" w14:paraId="48C370F2" w14:textId="77777777" w:rsidTr="002821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2331AB2D"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1</w:t>
            </w:r>
          </w:p>
        </w:tc>
        <w:tc>
          <w:tcPr>
            <w:tcW w:w="1985" w:type="dxa"/>
          </w:tcPr>
          <w:p w14:paraId="4380A3B5" w14:textId="77777777" w:rsidR="00080767" w:rsidRPr="00A54378" w:rsidRDefault="00A54378" w:rsidP="002821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Yes</w:t>
            </w:r>
          </w:p>
        </w:tc>
        <w:tc>
          <w:tcPr>
            <w:tcW w:w="1863" w:type="dxa"/>
            <w:hideMark/>
          </w:tcPr>
          <w:p w14:paraId="39151FB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53</w:t>
            </w:r>
          </w:p>
        </w:tc>
        <w:tc>
          <w:tcPr>
            <w:tcW w:w="2410" w:type="dxa"/>
            <w:hideMark/>
          </w:tcPr>
          <w:p w14:paraId="7A6F45F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18</w:t>
            </w:r>
          </w:p>
        </w:tc>
        <w:tc>
          <w:tcPr>
            <w:tcW w:w="1974" w:type="dxa"/>
          </w:tcPr>
          <w:p w14:paraId="19DCDAD2"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13,65-22,34</w:t>
            </w:r>
          </w:p>
        </w:tc>
      </w:tr>
      <w:tr w:rsidR="00080767" w:rsidRPr="00A54378" w14:paraId="7EAA97EC"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0CD0D8C5"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2</w:t>
            </w:r>
          </w:p>
        </w:tc>
        <w:tc>
          <w:tcPr>
            <w:tcW w:w="1985" w:type="dxa"/>
          </w:tcPr>
          <w:p w14:paraId="4318C3C6" w14:textId="77777777" w:rsidR="00080767" w:rsidRPr="00A54378" w:rsidRDefault="00A54378" w:rsidP="002821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No</w:t>
            </w:r>
          </w:p>
        </w:tc>
        <w:tc>
          <w:tcPr>
            <w:tcW w:w="1863" w:type="dxa"/>
            <w:hideMark/>
          </w:tcPr>
          <w:p w14:paraId="281B6457"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153</w:t>
            </w:r>
          </w:p>
        </w:tc>
        <w:tc>
          <w:tcPr>
            <w:tcW w:w="2410" w:type="dxa"/>
            <w:hideMark/>
          </w:tcPr>
          <w:p w14:paraId="3DE5162D"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51</w:t>
            </w:r>
          </w:p>
        </w:tc>
        <w:tc>
          <w:tcPr>
            <w:tcW w:w="1974" w:type="dxa"/>
          </w:tcPr>
          <w:p w14:paraId="18909B82"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45,34-56,65</w:t>
            </w:r>
          </w:p>
        </w:tc>
      </w:tr>
      <w:tr w:rsidR="00080767" w:rsidRPr="00A54378" w14:paraId="18CA9517" w14:textId="77777777" w:rsidTr="002821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719346CC"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3</w:t>
            </w:r>
          </w:p>
        </w:tc>
        <w:tc>
          <w:tcPr>
            <w:tcW w:w="1985" w:type="dxa"/>
          </w:tcPr>
          <w:p w14:paraId="3A0FE8EF" w14:textId="77777777" w:rsidR="00080767" w:rsidRPr="00A54378" w:rsidRDefault="00A54378" w:rsidP="002821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Unknown</w:t>
            </w:r>
          </w:p>
        </w:tc>
        <w:tc>
          <w:tcPr>
            <w:tcW w:w="1863" w:type="dxa"/>
            <w:hideMark/>
          </w:tcPr>
          <w:p w14:paraId="0F67F72A"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94</w:t>
            </w:r>
          </w:p>
        </w:tc>
        <w:tc>
          <w:tcPr>
            <w:tcW w:w="2410" w:type="dxa"/>
            <w:hideMark/>
          </w:tcPr>
          <w:p w14:paraId="2281ADA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31</w:t>
            </w:r>
          </w:p>
        </w:tc>
        <w:tc>
          <w:tcPr>
            <w:tcW w:w="1974" w:type="dxa"/>
          </w:tcPr>
          <w:p w14:paraId="63F067CA"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25,76-36,23</w:t>
            </w:r>
          </w:p>
        </w:tc>
      </w:tr>
      <w:tr w:rsidR="00080767" w:rsidRPr="00A54378" w14:paraId="7C09AD34"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2684" w:type="dxa"/>
            <w:gridSpan w:val="2"/>
            <w:hideMark/>
          </w:tcPr>
          <w:p w14:paraId="2EC64BA1"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Total</w:t>
            </w:r>
          </w:p>
        </w:tc>
        <w:tc>
          <w:tcPr>
            <w:tcW w:w="1863" w:type="dxa"/>
            <w:hideMark/>
          </w:tcPr>
          <w:p w14:paraId="085022C7"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300</w:t>
            </w:r>
          </w:p>
        </w:tc>
        <w:tc>
          <w:tcPr>
            <w:tcW w:w="2410" w:type="dxa"/>
            <w:hideMark/>
          </w:tcPr>
          <w:p w14:paraId="0552E41E"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100</w:t>
            </w:r>
          </w:p>
        </w:tc>
        <w:tc>
          <w:tcPr>
            <w:tcW w:w="1974" w:type="dxa"/>
          </w:tcPr>
          <w:p w14:paraId="580612BC"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w:t>
            </w:r>
          </w:p>
        </w:tc>
      </w:tr>
    </w:tbl>
    <w:p w14:paraId="1A46AE36" w14:textId="77777777" w:rsidR="00A54378" w:rsidRPr="00A54378" w:rsidRDefault="00A54378" w:rsidP="00A54378">
      <w:pPr>
        <w:jc w:val="both"/>
        <w:rPr>
          <w:rFonts w:ascii="Times New Roman" w:hAnsi="Times New Roman" w:cs="Times New Roman"/>
          <w:sz w:val="24"/>
          <w:szCs w:val="24"/>
        </w:rPr>
      </w:pPr>
      <w:r w:rsidRPr="00A54378">
        <w:rPr>
          <w:rFonts w:ascii="Times New Roman" w:hAnsi="Times New Roman" w:cs="Times New Roman"/>
          <w:sz w:val="24"/>
          <w:szCs w:val="24"/>
        </w:rPr>
        <w:t>Analysis of this table shows that, of the 300 patients in our study, 53 had been vaccinated (18%), 153 had not (51%), and 94 had unknown vaccination status (31%). We note that the unvaccinated have more than half the prevalence than the sum of those vaccinated and those with unknown vaccination status.  This high prevalence of non-vaccination is explained by the inadequacy of measles vaccination campaigns. Hence the need to raise awareness of the need to fully vaccinate children.</w:t>
      </w:r>
    </w:p>
    <w:p w14:paraId="24960D15" w14:textId="77777777" w:rsidR="00080767" w:rsidRPr="00A54378" w:rsidRDefault="00A54378" w:rsidP="00A54378">
      <w:pPr>
        <w:jc w:val="both"/>
        <w:rPr>
          <w:rFonts w:ascii="Times New Roman" w:hAnsi="Times New Roman" w:cs="Times New Roman"/>
          <w:sz w:val="24"/>
          <w:szCs w:val="24"/>
        </w:rPr>
      </w:pPr>
      <w:r w:rsidRPr="00A54378">
        <w:rPr>
          <w:rFonts w:ascii="Times New Roman" w:hAnsi="Times New Roman" w:cs="Times New Roman"/>
          <w:sz w:val="24"/>
          <w:szCs w:val="24"/>
        </w:rPr>
        <w:t>Our results corroborate those reported by Zemane, in 2024 in Burkina Faso, who reported that 12.87% of patients were vaccinated against measles, 58.27% were not and 28.86% had unknown vaccination status [11].</w:t>
      </w:r>
    </w:p>
    <w:p w14:paraId="2B80B2B3" w14:textId="77777777" w:rsidR="00A54378" w:rsidRPr="00A54378" w:rsidRDefault="00A54378" w:rsidP="00A54378">
      <w:pPr>
        <w:jc w:val="center"/>
        <w:rPr>
          <w:rFonts w:ascii="Times New Roman" w:hAnsi="Times New Roman" w:cs="Times New Roman"/>
          <w:sz w:val="24"/>
          <w:szCs w:val="24"/>
        </w:rPr>
      </w:pPr>
      <w:r w:rsidRPr="00A54378">
        <w:rPr>
          <w:rFonts w:ascii="Times New Roman" w:hAnsi="Times New Roman" w:cs="Times New Roman"/>
          <w:b/>
          <w:sz w:val="24"/>
          <w:szCs w:val="24"/>
        </w:rPr>
        <w:t>Table 7</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IgM detection in patients vaccinated</w:t>
      </w:r>
    </w:p>
    <w:tbl>
      <w:tblPr>
        <w:tblStyle w:val="PlainTable2"/>
        <w:tblW w:w="8936" w:type="dxa"/>
        <w:tblLook w:val="04A0" w:firstRow="1" w:lastRow="0" w:firstColumn="1" w:lastColumn="0" w:noHBand="0" w:noVBand="1"/>
      </w:tblPr>
      <w:tblGrid>
        <w:gridCol w:w="739"/>
        <w:gridCol w:w="2238"/>
        <w:gridCol w:w="1933"/>
        <w:gridCol w:w="2296"/>
        <w:gridCol w:w="1730"/>
      </w:tblGrid>
      <w:tr w:rsidR="00A54378" w:rsidRPr="00A54378" w14:paraId="6782CC2E" w14:textId="77777777" w:rsidTr="00A5437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9" w:type="dxa"/>
            <w:hideMark/>
          </w:tcPr>
          <w:p w14:paraId="03544F3A" w14:textId="77777777" w:rsidR="00A54378" w:rsidRPr="00A54378" w:rsidRDefault="00A54378" w:rsidP="00A54378">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N°</w:t>
            </w:r>
          </w:p>
          <w:p w14:paraId="54702183" w14:textId="77777777" w:rsidR="00A54378" w:rsidRPr="00A54378" w:rsidRDefault="00A54378" w:rsidP="00A54378">
            <w:pPr>
              <w:jc w:val="center"/>
              <w:rPr>
                <w:rFonts w:ascii="Times New Roman" w:eastAsia="Times New Roman" w:hAnsi="Times New Roman" w:cs="Times New Roman"/>
                <w:b w:val="0"/>
                <w:bCs w:val="0"/>
                <w:sz w:val="24"/>
                <w:szCs w:val="24"/>
                <w:lang w:eastAsia="fr-FR"/>
              </w:rPr>
            </w:pPr>
          </w:p>
        </w:tc>
        <w:tc>
          <w:tcPr>
            <w:tcW w:w="2238" w:type="dxa"/>
          </w:tcPr>
          <w:p w14:paraId="6CC27655"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 xml:space="preserve">Cases </w:t>
            </w:r>
          </w:p>
        </w:tc>
        <w:tc>
          <w:tcPr>
            <w:tcW w:w="1933" w:type="dxa"/>
          </w:tcPr>
          <w:p w14:paraId="7B428041"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Numbers</w:t>
            </w:r>
          </w:p>
        </w:tc>
        <w:tc>
          <w:tcPr>
            <w:tcW w:w="2296" w:type="dxa"/>
          </w:tcPr>
          <w:p w14:paraId="413F34AD"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Percentages (%)</w:t>
            </w:r>
          </w:p>
        </w:tc>
        <w:tc>
          <w:tcPr>
            <w:tcW w:w="1730" w:type="dxa"/>
          </w:tcPr>
          <w:p w14:paraId="30D49C74"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95% CI</w:t>
            </w:r>
          </w:p>
        </w:tc>
      </w:tr>
      <w:tr w:rsidR="00A54378" w:rsidRPr="00A54378" w14:paraId="3CB29058" w14:textId="77777777" w:rsidTr="002821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hideMark/>
          </w:tcPr>
          <w:p w14:paraId="1FDFE9D6" w14:textId="77777777" w:rsidR="00A54378" w:rsidRPr="00A54378" w:rsidRDefault="00A54378" w:rsidP="00A54378">
            <w:pPr>
              <w:jc w:val="center"/>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1</w:t>
            </w:r>
          </w:p>
        </w:tc>
        <w:tc>
          <w:tcPr>
            <w:tcW w:w="2238" w:type="dxa"/>
          </w:tcPr>
          <w:p w14:paraId="6C1A8A82" w14:textId="77777777" w:rsidR="00A54378" w:rsidRPr="00A54378" w:rsidRDefault="00A54378" w:rsidP="00A543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Positive</w:t>
            </w:r>
          </w:p>
        </w:tc>
        <w:tc>
          <w:tcPr>
            <w:tcW w:w="1933" w:type="dxa"/>
            <w:hideMark/>
          </w:tcPr>
          <w:p w14:paraId="5140A047"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12</w:t>
            </w:r>
          </w:p>
        </w:tc>
        <w:tc>
          <w:tcPr>
            <w:tcW w:w="2296" w:type="dxa"/>
            <w:hideMark/>
          </w:tcPr>
          <w:p w14:paraId="375191CB"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22,64</w:t>
            </w:r>
          </w:p>
        </w:tc>
        <w:tc>
          <w:tcPr>
            <w:tcW w:w="1730" w:type="dxa"/>
          </w:tcPr>
          <w:p w14:paraId="4F52F5F5"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17,90 - 27,37</w:t>
            </w:r>
          </w:p>
        </w:tc>
      </w:tr>
      <w:tr w:rsidR="00A54378" w:rsidRPr="00A54378" w14:paraId="775BC33F"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739" w:type="dxa"/>
            <w:hideMark/>
          </w:tcPr>
          <w:p w14:paraId="29585FBB" w14:textId="77777777" w:rsidR="00A54378" w:rsidRPr="00A54378" w:rsidRDefault="00A54378" w:rsidP="00A54378">
            <w:pPr>
              <w:jc w:val="center"/>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2</w:t>
            </w:r>
          </w:p>
        </w:tc>
        <w:tc>
          <w:tcPr>
            <w:tcW w:w="2238" w:type="dxa"/>
          </w:tcPr>
          <w:p w14:paraId="3E5D41A8" w14:textId="77777777" w:rsidR="00A54378" w:rsidRPr="00A54378" w:rsidRDefault="00A54378" w:rsidP="00A543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Negative</w:t>
            </w:r>
          </w:p>
        </w:tc>
        <w:tc>
          <w:tcPr>
            <w:tcW w:w="1933" w:type="dxa"/>
            <w:hideMark/>
          </w:tcPr>
          <w:p w14:paraId="1AAC90C4"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39</w:t>
            </w:r>
          </w:p>
        </w:tc>
        <w:tc>
          <w:tcPr>
            <w:tcW w:w="2296" w:type="dxa"/>
            <w:hideMark/>
          </w:tcPr>
          <w:p w14:paraId="693A74A9"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73,58</w:t>
            </w:r>
          </w:p>
        </w:tc>
        <w:tc>
          <w:tcPr>
            <w:tcW w:w="1730" w:type="dxa"/>
          </w:tcPr>
          <w:p w14:paraId="029A5FD9"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68,59 - 78,56</w:t>
            </w:r>
          </w:p>
        </w:tc>
      </w:tr>
      <w:tr w:rsidR="00A54378" w:rsidRPr="00A54378" w14:paraId="101E30FD" w14:textId="77777777" w:rsidTr="00282151">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39" w:type="dxa"/>
            <w:hideMark/>
          </w:tcPr>
          <w:p w14:paraId="165E49AB" w14:textId="77777777" w:rsidR="00A54378" w:rsidRPr="00A54378" w:rsidRDefault="00A54378" w:rsidP="00A54378">
            <w:pPr>
              <w:jc w:val="center"/>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w:t>
            </w:r>
          </w:p>
        </w:tc>
        <w:tc>
          <w:tcPr>
            <w:tcW w:w="2238" w:type="dxa"/>
          </w:tcPr>
          <w:p w14:paraId="3A3CE064" w14:textId="77777777" w:rsidR="00A54378" w:rsidRPr="00A54378" w:rsidRDefault="00A54378" w:rsidP="00A543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Undetermined</w:t>
            </w:r>
          </w:p>
        </w:tc>
        <w:tc>
          <w:tcPr>
            <w:tcW w:w="1933" w:type="dxa"/>
            <w:hideMark/>
          </w:tcPr>
          <w:p w14:paraId="4C7929CE"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w:t>
            </w:r>
          </w:p>
        </w:tc>
        <w:tc>
          <w:tcPr>
            <w:tcW w:w="2296" w:type="dxa"/>
            <w:hideMark/>
          </w:tcPr>
          <w:p w14:paraId="5F4596A1"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5,66</w:t>
            </w:r>
          </w:p>
        </w:tc>
        <w:tc>
          <w:tcPr>
            <w:tcW w:w="1730" w:type="dxa"/>
          </w:tcPr>
          <w:p w14:paraId="0BB093AE"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3,04 - 8,27</w:t>
            </w:r>
          </w:p>
        </w:tc>
      </w:tr>
      <w:tr w:rsidR="00A54378" w:rsidRPr="00A54378" w14:paraId="10536AB8"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2977" w:type="dxa"/>
            <w:gridSpan w:val="2"/>
            <w:hideMark/>
          </w:tcPr>
          <w:p w14:paraId="714A04EB" w14:textId="77777777" w:rsidR="00A54378" w:rsidRPr="00A54378" w:rsidRDefault="00A54378" w:rsidP="00A54378">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Total</w:t>
            </w:r>
          </w:p>
        </w:tc>
        <w:tc>
          <w:tcPr>
            <w:tcW w:w="1933" w:type="dxa"/>
            <w:hideMark/>
          </w:tcPr>
          <w:p w14:paraId="3FAB8F40"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53</w:t>
            </w:r>
          </w:p>
        </w:tc>
        <w:tc>
          <w:tcPr>
            <w:tcW w:w="2296" w:type="dxa"/>
            <w:hideMark/>
          </w:tcPr>
          <w:p w14:paraId="33A36909"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100</w:t>
            </w:r>
          </w:p>
        </w:tc>
        <w:tc>
          <w:tcPr>
            <w:tcW w:w="1730" w:type="dxa"/>
          </w:tcPr>
          <w:p w14:paraId="1F014F7E"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w:t>
            </w:r>
          </w:p>
        </w:tc>
      </w:tr>
    </w:tbl>
    <w:p w14:paraId="6B31D56E" w14:textId="77777777" w:rsidR="00A54378" w:rsidRPr="00A54378" w:rsidRDefault="00A54378" w:rsidP="00A54378">
      <w:pPr>
        <w:jc w:val="both"/>
        <w:rPr>
          <w:rFonts w:ascii="Times New Roman" w:hAnsi="Times New Roman" w:cs="Times New Roman"/>
          <w:sz w:val="24"/>
          <w:szCs w:val="24"/>
        </w:rPr>
      </w:pPr>
      <w:r w:rsidRPr="00A54378">
        <w:rPr>
          <w:rFonts w:ascii="Times New Roman" w:hAnsi="Times New Roman" w:cs="Times New Roman"/>
          <w:sz w:val="24"/>
          <w:szCs w:val="24"/>
        </w:rPr>
        <w:t>The table shows that of the 53 patients vaccinated, 12 were positive, 3 undetermined, and 39 negative for measles immunoglobulin M, i.e. 22.64%, 73.58% and 5.66% respectively. These results show a high prevalence of 22.64% among subjects vaccinated against measles, indicating that the vaccines taken by these patients are not 100% effective and do not guarantee total immunity.</w:t>
      </w:r>
    </w:p>
    <w:p w14:paraId="71D5CCD3" w14:textId="77777777" w:rsidR="00A54378" w:rsidRPr="00A54378" w:rsidRDefault="00A54378" w:rsidP="00A54378">
      <w:pPr>
        <w:pStyle w:val="Caption"/>
        <w:jc w:val="both"/>
        <w:rPr>
          <w:rFonts w:ascii="Times New Roman" w:hAnsi="Times New Roman" w:cs="Times New Roman"/>
          <w:b/>
          <w:bCs/>
          <w:i w:val="0"/>
          <w:iCs w:val="0"/>
          <w:color w:val="auto"/>
          <w:sz w:val="24"/>
          <w:szCs w:val="24"/>
        </w:rPr>
      </w:pPr>
      <w:r w:rsidRPr="00A54378">
        <w:rPr>
          <w:rFonts w:ascii="Times New Roman" w:hAnsi="Times New Roman" w:cs="Times New Roman"/>
          <w:b/>
          <w:bCs/>
          <w:i w:val="0"/>
          <w:iCs w:val="0"/>
          <w:color w:val="auto"/>
          <w:sz w:val="24"/>
          <w:szCs w:val="24"/>
        </w:rPr>
        <w:t xml:space="preserve">4. Conclusion: </w:t>
      </w:r>
    </w:p>
    <w:p w14:paraId="321FC233" w14:textId="77777777" w:rsidR="00A54378" w:rsidRPr="00A54378" w:rsidRDefault="00A54378" w:rsidP="00A54378">
      <w:pPr>
        <w:pStyle w:val="Caption"/>
        <w:jc w:val="both"/>
        <w:rPr>
          <w:rFonts w:ascii="Times New Roman" w:hAnsi="Times New Roman" w:cs="Times New Roman"/>
          <w:bCs/>
          <w:i w:val="0"/>
          <w:iCs w:val="0"/>
          <w:color w:val="auto"/>
          <w:sz w:val="24"/>
          <w:szCs w:val="24"/>
        </w:rPr>
      </w:pPr>
      <w:r w:rsidRPr="00A54378">
        <w:rPr>
          <w:rFonts w:ascii="Times New Roman" w:hAnsi="Times New Roman" w:cs="Times New Roman"/>
          <w:bCs/>
          <w:i w:val="0"/>
          <w:iCs w:val="0"/>
          <w:color w:val="auto"/>
          <w:sz w:val="24"/>
          <w:szCs w:val="24"/>
        </w:rPr>
        <w:t>The study revealed that of all the samples analysed, almost half were positive for measles IgM, indicating a high prevalence of the disease. Females were the most affected. Children aged 0-10 years were the most affected. Positive cases were recorded in several communes of Conakry, including Matoto, Ratoma and Coyah. Some of the measles-negative samples were positive for rubella IgM, confirming the presence of rubella in some patients, particularly young children in the communes of Coyah and Ratoma. As far as vaccination was concerned, some patients had been vaccinated, others had not, while for some the vaccination status remained unknown. Even among vaccinated patients, some developed measles. Measles and rubella therefore represent a real public health issue in Guinea, requiring ongoing monitoring of IgM and IgG.</w:t>
      </w:r>
    </w:p>
    <w:p w14:paraId="0769E8A3" w14:textId="77777777" w:rsidR="00A54378" w:rsidRPr="00A54378" w:rsidRDefault="00A54378" w:rsidP="00A54378">
      <w:pPr>
        <w:rPr>
          <w:rFonts w:ascii="Times New Roman" w:hAnsi="Times New Roman" w:cs="Times New Roman"/>
          <w:b/>
          <w:sz w:val="24"/>
          <w:szCs w:val="24"/>
        </w:rPr>
      </w:pPr>
      <w:r w:rsidRPr="00A54378">
        <w:rPr>
          <w:rFonts w:ascii="Times New Roman" w:hAnsi="Times New Roman" w:cs="Times New Roman"/>
          <w:b/>
          <w:sz w:val="24"/>
          <w:szCs w:val="24"/>
        </w:rPr>
        <w:t xml:space="preserve">Consent </w:t>
      </w:r>
    </w:p>
    <w:p w14:paraId="050E5AFC" w14:textId="77777777" w:rsidR="00A54378" w:rsidRPr="00A54378" w:rsidRDefault="00A54378" w:rsidP="00A54378">
      <w:pPr>
        <w:rPr>
          <w:rFonts w:ascii="Times New Roman" w:hAnsi="Times New Roman" w:cs="Times New Roman"/>
          <w:sz w:val="24"/>
          <w:szCs w:val="24"/>
        </w:rPr>
      </w:pPr>
      <w:r w:rsidRPr="00A54378">
        <w:rPr>
          <w:rFonts w:ascii="Times New Roman" w:hAnsi="Times New Roman" w:cs="Times New Roman"/>
          <w:sz w:val="24"/>
          <w:szCs w:val="24"/>
        </w:rPr>
        <w:lastRenderedPageBreak/>
        <w:t>Consent was obtained after explaining to the patients the benefits and constraints associated with portage, in their usual language (Poular, Malinké, Sousou, etc.), while respecting patient confidentiality and anonymity.</w:t>
      </w:r>
    </w:p>
    <w:p w14:paraId="12C517A4" w14:textId="77777777" w:rsidR="00A54378" w:rsidRPr="00A54378" w:rsidRDefault="00A54378" w:rsidP="00A54378">
      <w:pPr>
        <w:rPr>
          <w:rFonts w:ascii="Times New Roman" w:hAnsi="Times New Roman" w:cs="Times New Roman"/>
          <w:b/>
          <w:sz w:val="24"/>
          <w:szCs w:val="24"/>
        </w:rPr>
      </w:pPr>
      <w:r w:rsidRPr="00A54378">
        <w:rPr>
          <w:rFonts w:ascii="Times New Roman" w:hAnsi="Times New Roman" w:cs="Times New Roman"/>
          <w:b/>
          <w:sz w:val="24"/>
          <w:szCs w:val="24"/>
        </w:rPr>
        <w:t>Ethical considerations</w:t>
      </w:r>
    </w:p>
    <w:p w14:paraId="2E28BADB" w14:textId="77777777" w:rsidR="00A54378" w:rsidRPr="00A54378" w:rsidRDefault="00A54378" w:rsidP="00A54378">
      <w:pPr>
        <w:rPr>
          <w:rFonts w:ascii="Times New Roman" w:hAnsi="Times New Roman" w:cs="Times New Roman"/>
          <w:sz w:val="24"/>
          <w:szCs w:val="24"/>
        </w:rPr>
      </w:pPr>
      <w:r w:rsidRPr="00A54378">
        <w:rPr>
          <w:rFonts w:ascii="Times New Roman" w:hAnsi="Times New Roman" w:cs="Times New Roman"/>
          <w:sz w:val="24"/>
          <w:szCs w:val="24"/>
        </w:rPr>
        <w:t xml:space="preserve">In accordance with international or university standards, written ethical approval was obtained and retained by the authors. </w:t>
      </w:r>
    </w:p>
    <w:p w14:paraId="3FB8C626" w14:textId="77777777" w:rsidR="00A54378" w:rsidRPr="00BE486B" w:rsidRDefault="00BE486B" w:rsidP="00A54378">
      <w:pPr>
        <w:rPr>
          <w:rFonts w:ascii="Times New Roman" w:hAnsi="Times New Roman" w:cs="Times New Roman"/>
          <w:b/>
          <w:sz w:val="24"/>
          <w:szCs w:val="24"/>
        </w:rPr>
      </w:pPr>
      <w:r w:rsidRPr="00BE486B">
        <w:rPr>
          <w:rFonts w:ascii="Times New Roman" w:hAnsi="Times New Roman" w:cs="Times New Roman"/>
          <w:b/>
          <w:sz w:val="24"/>
          <w:szCs w:val="24"/>
        </w:rPr>
        <w:t>REFERENCES</w:t>
      </w:r>
    </w:p>
    <w:p w14:paraId="5F7AFC4E"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[1]. Cohen R, G. Thiebault, P. Bakhache, H. Haas (2020). Measles, mumps, and rubella vaccine. Journal of Pediatrics and Childcare, 2020, 33, pp. 13-19.</w:t>
      </w:r>
    </w:p>
    <w:p w14:paraId="0C2E38DF"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[2]. WHO (2022): The threat of measles continues to grow worldwide as another year without vaccination has passed for millions of children</w:t>
      </w:r>
    </w:p>
    <w:p w14:paraId="64488925"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available at https://www.lemonde.fr/afriqur/article/2022/04/29/rougeole-l-Afrique-par-ticulierement-touchee-avec-une-hausse-de-400-des-cas-6124150-3212.html.</w:t>
      </w:r>
    </w:p>
    <w:p w14:paraId="4DC22AE1"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[3]. WHO (2023): Measles. Available at https://www.ouest-france.fr/sante/maaldies/neuf-million-de-malades-et-136-000-deces-loms-alerte-sur-la-menace-de-la-rougeole. Accessed May 24, 2025, at 5:00 p.m.</w:t>
      </w:r>
    </w:p>
    <w:p w14:paraId="2CF3DCCC"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[4]. Patrick G et al., (2023): Collapse of measles cases reported by the Pan American Health Organization, but vigilance remains required. Published October 24, 2023, at 11:17 p.m.</w:t>
      </w:r>
    </w:p>
    <w:p w14:paraId="226A3688"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[5]. UNICEF (2023): Measles cases in Europe and Central Asia have exploded by 3000% this year compared to last year, available at https://www.fr/article/les-cas-de-rougeole-en-europe-et-en-asie-centrale-ont-explose-de-300-cette-annee-par-rapport-a-lannee-dernier/. Accessed May 24, 2025, at 4:50 p.m.</w:t>
      </w:r>
    </w:p>
    <w:p w14:paraId="5FBAD0A0" w14:textId="77777777" w:rsidR="00815147" w:rsidRPr="00815147" w:rsidRDefault="00815147" w:rsidP="00815147">
      <w:pPr>
        <w:rPr>
          <w:rFonts w:ascii="Times New Roman" w:hAnsi="Times New Roman" w:cs="Times New Roman"/>
          <w:b/>
          <w:bCs/>
          <w:color w:val="000000"/>
          <w:sz w:val="24"/>
          <w:szCs w:val="24"/>
          <w:lang w:val="en-US"/>
        </w:rPr>
      </w:pPr>
    </w:p>
    <w:p w14:paraId="1CE2866F"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[6]. Ministry of Health - Health Information and Research Division (2027): Statistical Yearbook (Measles). pp. 132-133.</w:t>
      </w:r>
    </w:p>
    <w:p w14:paraId="394C10EA"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[7]. Ziane S, Mellal Z, Dib S (2020): "Doctoral Thesis: Epidemiological, Clinical, and Therapeutic Aspects at the Mother-Child Health Center in Tlemcen," p. 75.</w:t>
      </w:r>
    </w:p>
    <w:p w14:paraId="3631AA83"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[8]. Sy I A, D Barry, B Traoré, A Boly, B Koné, A Dembélé, O Y Coulibaly, A Tounkara, N M Keita, Gu Diourté, S Dara, I Sanogo, A Magazani, B Sawadogo, O Otshudiandjeka, F Diallo, M Laurent, H Keita, P Kiswendsida Y, N Meda (2021) « Epidemiological profile of measles in Mali from 2009 to 2018 » Journal of Interventional Epidemiology and Public Health [Internet]. Bamako BP 233, 12-6.</w:t>
      </w:r>
    </w:p>
    <w:p w14:paraId="2A6744B3"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[9]. Seck I, Faye A, Mbacké Leye MM, Bathily A, Diagne-Camara M, Ndiaye P, Dia AT (2022). Measles epidemic and its response in 2020, in the Dakar region, Senegal. Public health. 24(2):121 32. https://doi.org/10.3917/spub.122.0121. Google Scholar.</w:t>
      </w:r>
    </w:p>
    <w:p w14:paraId="56C34A16"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 xml:space="preserve">[10]. Amadou M, Hassan D, Douthi M, Touré A, Issiaka T (2021): Seroprevalence in Niger from 2005 to 2019: estimates from the epidemiological surveillance of measles. </w:t>
      </w:r>
      <w:r w:rsidRPr="00815147">
        <w:rPr>
          <w:rFonts w:ascii="Times New Roman" w:hAnsi="Times New Roman" w:cs="Times New Roman"/>
          <w:b/>
          <w:bCs/>
          <w:color w:val="000000"/>
          <w:sz w:val="24"/>
          <w:szCs w:val="24"/>
          <w:lang w:val="en-US"/>
        </w:rPr>
        <w:lastRenderedPageBreak/>
        <w:t>Africa and International Perspectives, Public Health Volume 33 / No. 4 - July-August 2021, 1-6. Pud Med.</w:t>
      </w:r>
    </w:p>
    <w:p w14:paraId="2DC20B3B" w14:textId="1CFE1DA3" w:rsidR="00A54378" w:rsidRPr="00A54378" w:rsidRDefault="00815147" w:rsidP="00815147">
      <w:pPr>
        <w:rPr>
          <w:rFonts w:ascii="Times New Roman" w:hAnsi="Times New Roman" w:cs="Times New Roman"/>
          <w:sz w:val="24"/>
          <w:szCs w:val="24"/>
        </w:rPr>
      </w:pPr>
      <w:r w:rsidRPr="00815147">
        <w:rPr>
          <w:rFonts w:ascii="Times New Roman" w:hAnsi="Times New Roman" w:cs="Times New Roman"/>
          <w:b/>
          <w:bCs/>
          <w:color w:val="000000"/>
          <w:sz w:val="24"/>
          <w:szCs w:val="24"/>
          <w:lang w:val="en-US"/>
        </w:rPr>
        <w:t>[11]. Zemane G (2024): Dissertation for the D.E.S in Infectious and Tropical Diseases “Epidemiological, clinical and evolutionary profile of measles during the 2023-2024 epidemic in Burkina Faso” – 34-55p.</w:t>
      </w:r>
    </w:p>
    <w:sectPr w:rsidR="00A54378" w:rsidRPr="00A543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94E2" w14:textId="77777777" w:rsidR="00E972CF" w:rsidRDefault="00E972CF" w:rsidP="00684F42">
      <w:pPr>
        <w:spacing w:after="0" w:line="240" w:lineRule="auto"/>
      </w:pPr>
      <w:r>
        <w:separator/>
      </w:r>
    </w:p>
  </w:endnote>
  <w:endnote w:type="continuationSeparator" w:id="0">
    <w:p w14:paraId="0C9901D9" w14:textId="77777777" w:rsidR="00E972CF" w:rsidRDefault="00E972CF" w:rsidP="006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B3B6" w14:textId="77777777" w:rsidR="00684F42" w:rsidRDefault="0068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8AB5" w14:textId="77777777" w:rsidR="00684F42" w:rsidRDefault="00684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560C" w14:textId="77777777" w:rsidR="00684F42" w:rsidRDefault="0068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6DB8" w14:textId="77777777" w:rsidR="00E972CF" w:rsidRDefault="00E972CF" w:rsidP="00684F42">
      <w:pPr>
        <w:spacing w:after="0" w:line="240" w:lineRule="auto"/>
      </w:pPr>
      <w:r>
        <w:separator/>
      </w:r>
    </w:p>
  </w:footnote>
  <w:footnote w:type="continuationSeparator" w:id="0">
    <w:p w14:paraId="2D3ED925" w14:textId="77777777" w:rsidR="00E972CF" w:rsidRDefault="00E972CF" w:rsidP="0068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CAA8" w14:textId="64027863" w:rsidR="00684F42" w:rsidRDefault="00684F42">
    <w:pPr>
      <w:pStyle w:val="Header"/>
    </w:pPr>
    <w:r>
      <w:rPr>
        <w:noProof/>
      </w:rPr>
      <w:pict w14:anchorId="54769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139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3550" w14:textId="19339716" w:rsidR="00684F42" w:rsidRDefault="00684F42">
    <w:pPr>
      <w:pStyle w:val="Header"/>
    </w:pPr>
    <w:r>
      <w:rPr>
        <w:noProof/>
      </w:rPr>
      <w:pict w14:anchorId="72574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139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0780" w14:textId="6F18F01D" w:rsidR="00684F42" w:rsidRDefault="00684F42">
    <w:pPr>
      <w:pStyle w:val="Header"/>
    </w:pPr>
    <w:r>
      <w:rPr>
        <w:noProof/>
      </w:rPr>
      <w:pict w14:anchorId="0ECD2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139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50D82"/>
    <w:multiLevelType w:val="hybridMultilevel"/>
    <w:tmpl w:val="1F462C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C7"/>
    <w:rsid w:val="000120E7"/>
    <w:rsid w:val="00080767"/>
    <w:rsid w:val="001D126A"/>
    <w:rsid w:val="00684F42"/>
    <w:rsid w:val="007300F8"/>
    <w:rsid w:val="00777192"/>
    <w:rsid w:val="007A1722"/>
    <w:rsid w:val="007A69DD"/>
    <w:rsid w:val="00810A64"/>
    <w:rsid w:val="00815147"/>
    <w:rsid w:val="008A5061"/>
    <w:rsid w:val="0093296F"/>
    <w:rsid w:val="009B392B"/>
    <w:rsid w:val="009E1581"/>
    <w:rsid w:val="00A54378"/>
    <w:rsid w:val="00A806A8"/>
    <w:rsid w:val="00AB0F73"/>
    <w:rsid w:val="00BE486B"/>
    <w:rsid w:val="00C21459"/>
    <w:rsid w:val="00D32EC7"/>
    <w:rsid w:val="00D931D9"/>
    <w:rsid w:val="00DE0F20"/>
    <w:rsid w:val="00E97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4D9F7E"/>
  <w15:chartTrackingRefBased/>
  <w15:docId w15:val="{D9A421DF-B945-49CC-BD99-1944FF3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EC7"/>
    <w:pPr>
      <w:ind w:left="720"/>
      <w:contextualSpacing/>
    </w:pPr>
  </w:style>
  <w:style w:type="table" w:styleId="PlainTable2">
    <w:name w:val="Plain Table 2"/>
    <w:basedOn w:val="TableNormal"/>
    <w:uiPriority w:val="42"/>
    <w:rsid w:val="007300F8"/>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54378"/>
    <w:pPr>
      <w:spacing w:after="200" w:line="240" w:lineRule="auto"/>
    </w:pPr>
    <w:rPr>
      <w:i/>
      <w:iCs/>
      <w:color w:val="44546A" w:themeColor="text2"/>
      <w:sz w:val="18"/>
      <w:szCs w:val="18"/>
    </w:rPr>
  </w:style>
  <w:style w:type="paragraph" w:styleId="NoSpacing">
    <w:name w:val="No Spacing"/>
    <w:link w:val="NoSpacingChar"/>
    <w:uiPriority w:val="1"/>
    <w:qFormat/>
    <w:rsid w:val="00A54378"/>
    <w:pPr>
      <w:spacing w:after="0" w:line="240" w:lineRule="auto"/>
    </w:pPr>
  </w:style>
  <w:style w:type="character" w:customStyle="1" w:styleId="NoSpacingChar">
    <w:name w:val="No Spacing Char"/>
    <w:basedOn w:val="DefaultParagraphFont"/>
    <w:link w:val="NoSpacing"/>
    <w:uiPriority w:val="1"/>
    <w:locked/>
    <w:rsid w:val="00A54378"/>
  </w:style>
  <w:style w:type="character" w:styleId="Hyperlink">
    <w:name w:val="Hyperlink"/>
    <w:basedOn w:val="DefaultParagraphFont"/>
    <w:uiPriority w:val="99"/>
    <w:unhideWhenUsed/>
    <w:rsid w:val="00A54378"/>
    <w:rPr>
      <w:color w:val="0563C1" w:themeColor="hyperlink"/>
      <w:u w:val="single"/>
    </w:rPr>
  </w:style>
  <w:style w:type="character" w:customStyle="1" w:styleId="Heading1Char">
    <w:name w:val="Heading 1 Char"/>
    <w:basedOn w:val="DefaultParagraphFont"/>
    <w:link w:val="Heading1"/>
    <w:uiPriority w:val="9"/>
    <w:rsid w:val="009B392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84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F42"/>
  </w:style>
  <w:style w:type="paragraph" w:styleId="Footer">
    <w:name w:val="footer"/>
    <w:basedOn w:val="Normal"/>
    <w:link w:val="FooterChar"/>
    <w:uiPriority w:val="99"/>
    <w:unhideWhenUsed/>
    <w:rsid w:val="00684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3295</Words>
  <Characters>18785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1084</cp:lastModifiedBy>
  <cp:revision>19</cp:revision>
  <dcterms:created xsi:type="dcterms:W3CDTF">2025-05-05T14:25:00Z</dcterms:created>
  <dcterms:modified xsi:type="dcterms:W3CDTF">2025-05-26T10:02:00Z</dcterms:modified>
</cp:coreProperties>
</file>