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A70D2" w14:textId="463C9CB6" w:rsidR="00185DB2" w:rsidRDefault="00DC2C9E">
      <w:pPr>
        <w:jc w:val="center"/>
        <w:rPr>
          <w:rFonts w:ascii="Times New Roman" w:hAnsi="Times New Roman" w:cs="Times New Roman"/>
          <w:b/>
          <w:sz w:val="32"/>
          <w:szCs w:val="32"/>
        </w:rPr>
      </w:pPr>
      <w:bookmarkStart w:id="0" w:name="_Hlk183716507"/>
      <w:r w:rsidRPr="00DC2C9E">
        <w:rPr>
          <w:rFonts w:ascii="Times New Roman" w:hAnsi="Times New Roman" w:cs="Times New Roman"/>
          <w:b/>
          <w:bCs/>
          <w:i/>
          <w:iCs/>
          <w:sz w:val="32"/>
          <w:szCs w:val="32"/>
          <w:u w:val="single"/>
          <w:lang w:val="en-US"/>
        </w:rPr>
        <w:t>Original Research Article</w:t>
      </w:r>
    </w:p>
    <w:p w14:paraId="063EBA2E" w14:textId="77777777" w:rsidR="001518C7" w:rsidRDefault="00000000">
      <w:pPr>
        <w:pStyle w:val="ListParagraph"/>
        <w:spacing w:after="0"/>
        <w:jc w:val="center"/>
        <w:rPr>
          <w:rFonts w:ascii="Times New Roman" w:hAnsi="Times New Roman"/>
          <w:b/>
          <w:bCs/>
          <w:sz w:val="20"/>
          <w:szCs w:val="20"/>
        </w:rPr>
      </w:pPr>
      <w:r>
        <w:rPr>
          <w:rFonts w:ascii="Times New Roman" w:hAnsi="Times New Roman"/>
          <w:b/>
          <w:bCs/>
          <w:sz w:val="20"/>
          <w:szCs w:val="20"/>
        </w:rPr>
        <w:t>"MORPHOMETRIC ANALYSIS OF AGE-RELATED CHANGES IN BODY CONFORMATION AND SKULL DIMENSIONS IN GERMAN SHEPHERD BITCHES"</w:t>
      </w:r>
    </w:p>
    <w:p w14:paraId="2B52A1C7" w14:textId="77777777" w:rsidR="00185DB2" w:rsidRDefault="00185DB2">
      <w:pPr>
        <w:pStyle w:val="ListParagraph"/>
        <w:spacing w:after="0"/>
        <w:jc w:val="center"/>
        <w:rPr>
          <w:rFonts w:ascii="Times New Roman" w:hAnsi="Times New Roman"/>
          <w:b/>
          <w:bCs/>
          <w:sz w:val="20"/>
          <w:szCs w:val="20"/>
        </w:rPr>
      </w:pPr>
    </w:p>
    <w:p w14:paraId="725F1474" w14:textId="77777777" w:rsidR="00185DB2" w:rsidRDefault="00185DB2">
      <w:pPr>
        <w:pStyle w:val="ListParagraph"/>
        <w:spacing w:after="0"/>
        <w:jc w:val="center"/>
        <w:rPr>
          <w:rFonts w:ascii="Times New Roman" w:hAnsi="Times New Roman"/>
          <w:b/>
          <w:bCs/>
          <w:sz w:val="20"/>
          <w:szCs w:val="20"/>
        </w:rPr>
      </w:pPr>
    </w:p>
    <w:bookmarkEnd w:id="0"/>
    <w:p w14:paraId="7A12B61A" w14:textId="77777777" w:rsidR="009976A0" w:rsidRDefault="009976A0">
      <w:pPr>
        <w:spacing w:after="0" w:line="240" w:lineRule="auto"/>
        <w:rPr>
          <w:rFonts w:ascii="Times New Roman" w:hAnsi="Times New Roman"/>
        </w:rPr>
      </w:pPr>
    </w:p>
    <w:p w14:paraId="61847505" w14:textId="77777777" w:rsidR="009976A0" w:rsidRDefault="009976A0">
      <w:pPr>
        <w:spacing w:after="0" w:line="240" w:lineRule="auto"/>
        <w:rPr>
          <w:rFonts w:ascii="Times New Roman" w:hAnsi="Times New Roman"/>
        </w:rPr>
      </w:pPr>
    </w:p>
    <w:p w14:paraId="1E29E2CB" w14:textId="77777777" w:rsidR="009976A0" w:rsidRDefault="009976A0">
      <w:pPr>
        <w:spacing w:after="0" w:line="240" w:lineRule="auto"/>
        <w:rPr>
          <w:rFonts w:ascii="Times New Roman" w:hAnsi="Times New Roman"/>
        </w:rPr>
      </w:pPr>
    </w:p>
    <w:p w14:paraId="1DFE38DE" w14:textId="77777777" w:rsidR="009976A0" w:rsidRDefault="009976A0">
      <w:pPr>
        <w:spacing w:after="0" w:line="240" w:lineRule="auto"/>
        <w:rPr>
          <w:rFonts w:ascii="Times New Roman" w:hAnsi="Times New Roman"/>
        </w:rPr>
      </w:pPr>
    </w:p>
    <w:p w14:paraId="55BC1E11" w14:textId="77777777" w:rsidR="001518C7" w:rsidRDefault="001518C7">
      <w:pPr>
        <w:pStyle w:val="ListParagraph"/>
        <w:spacing w:after="0"/>
        <w:jc w:val="center"/>
        <w:rPr>
          <w:rFonts w:ascii="Times New Roman" w:hAnsi="Times New Roman"/>
          <w:b/>
          <w:bCs/>
          <w:i/>
          <w:iCs/>
          <w:sz w:val="24"/>
          <w:szCs w:val="24"/>
        </w:rPr>
      </w:pPr>
    </w:p>
    <w:p w14:paraId="2CDA4E30" w14:textId="77777777" w:rsidR="001518C7" w:rsidRDefault="00000000">
      <w:pPr>
        <w:pStyle w:val="ListParagraph"/>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4DF66360" w14:textId="77777777" w:rsidR="001518C7" w:rsidRDefault="00000000">
      <w:pPr>
        <w:spacing w:after="0" w:line="360" w:lineRule="auto"/>
        <w:jc w:val="both"/>
        <w:rPr>
          <w:rFonts w:ascii="Times New Roman" w:eastAsia="Times New Roman" w:hAnsi="Times New Roman"/>
          <w:color w:val="000000"/>
          <w:sz w:val="24"/>
          <w:szCs w:val="24"/>
          <w:lang w:eastAsia="en-IN"/>
        </w:rPr>
      </w:pPr>
      <w:r>
        <w:rPr>
          <w:rFonts w:ascii="Times New Roman" w:eastAsia="Times New Roman" w:hAnsi="Times New Roman"/>
          <w:color w:val="000000"/>
          <w:sz w:val="24"/>
          <w:szCs w:val="24"/>
          <w:lang w:eastAsia="en-IN"/>
        </w:rPr>
        <w:t xml:space="preserve">The present study aimed to </w:t>
      </w:r>
      <w:proofErr w:type="spellStart"/>
      <w:r>
        <w:rPr>
          <w:rFonts w:ascii="Times New Roman" w:eastAsia="Times New Roman" w:hAnsi="Times New Roman"/>
          <w:color w:val="000000"/>
          <w:sz w:val="24"/>
          <w:szCs w:val="24"/>
          <w:lang w:eastAsia="en-IN"/>
        </w:rPr>
        <w:t>analyze</w:t>
      </w:r>
      <w:proofErr w:type="spellEnd"/>
      <w:r>
        <w:rPr>
          <w:rFonts w:ascii="Times New Roman" w:eastAsia="Times New Roman" w:hAnsi="Times New Roman"/>
          <w:color w:val="000000"/>
          <w:sz w:val="24"/>
          <w:szCs w:val="24"/>
          <w:lang w:eastAsia="en-IN"/>
        </w:rPr>
        <w:t xml:space="preserve"> the growth patterns in body conformation and cranial morphology of German Shepherd bitches across various age groups. A total of 24 healthy female German Shepherds were selected and divided into four distinct age groups, with six animals in each group. The first group comprised puppies aged one month, the second group included those aged three months, the third group had animals that were one year old, and the final group consisted of bitches aged three years.</w:t>
      </w:r>
      <w:r>
        <w:rPr>
          <w:rFonts w:ascii="Times New Roman" w:eastAsia="Times New Roman" w:hAnsi="Times New Roman"/>
          <w:color w:val="000000"/>
          <w:sz w:val="24"/>
          <w:szCs w:val="24"/>
          <w:lang w:val="en-US" w:eastAsia="en-IN"/>
        </w:rPr>
        <w:t xml:space="preserve"> </w:t>
      </w:r>
      <w:r>
        <w:rPr>
          <w:rFonts w:ascii="Times New Roman" w:eastAsia="Times New Roman" w:hAnsi="Times New Roman"/>
          <w:color w:val="000000"/>
          <w:sz w:val="24"/>
          <w:szCs w:val="24"/>
          <w:lang w:eastAsia="en-IN"/>
        </w:rPr>
        <w:t xml:space="preserve">To evaluate body conformation, several key parameters were measured using a standard measuring tape. </w:t>
      </w:r>
      <w:proofErr w:type="gramStart"/>
      <w:r>
        <w:rPr>
          <w:rFonts w:ascii="Times New Roman" w:eastAsia="Times New Roman" w:hAnsi="Times New Roman"/>
          <w:color w:val="000000"/>
          <w:sz w:val="24"/>
          <w:szCs w:val="24"/>
          <w:lang w:eastAsia="en-IN"/>
        </w:rPr>
        <w:t>These included height</w:t>
      </w:r>
      <w:proofErr w:type="gramEnd"/>
      <w:r>
        <w:rPr>
          <w:rFonts w:ascii="Times New Roman" w:eastAsia="Times New Roman" w:hAnsi="Times New Roman"/>
          <w:color w:val="000000"/>
          <w:sz w:val="24"/>
          <w:szCs w:val="24"/>
          <w:lang w:eastAsia="en-IN"/>
        </w:rPr>
        <w:t>, body length, heart girth, neck girth, length of the back, and rear heights. Alongside these physical measurements, we also focused on external skull morphometric parameters. These included measurements such as skull length, skull width, cranial length, cranial width, facial length, jaw length, and specific points like prosthion, nasion, and bregma.</w:t>
      </w:r>
      <w:r>
        <w:rPr>
          <w:rFonts w:ascii="Times New Roman" w:eastAsia="Times New Roman" w:hAnsi="Times New Roman"/>
          <w:color w:val="000000"/>
          <w:sz w:val="24"/>
          <w:szCs w:val="24"/>
          <w:lang w:val="en-US" w:eastAsia="en-IN"/>
        </w:rPr>
        <w:t xml:space="preserve"> </w:t>
      </w:r>
      <w:r>
        <w:rPr>
          <w:rFonts w:ascii="Times New Roman" w:eastAsia="Times New Roman" w:hAnsi="Times New Roman"/>
          <w:color w:val="000000"/>
          <w:sz w:val="24"/>
          <w:szCs w:val="24"/>
          <w:lang w:eastAsia="en-IN"/>
        </w:rPr>
        <w:t>Findings from the study revealed that height experienced a remarkable increase as the puppies matured. Specifically, the height of the German Shepherd bitches grew approximately threefold from one month to one year of age. Additionally, when comparing the three-year-old bitches to those at three months, height showed a significant increase, doubling over this period.</w:t>
      </w:r>
      <w:r>
        <w:rPr>
          <w:rFonts w:ascii="Times New Roman" w:eastAsia="Times New Roman" w:hAnsi="Times New Roman"/>
          <w:color w:val="000000"/>
          <w:sz w:val="24"/>
          <w:szCs w:val="24"/>
          <w:lang w:val="en-US" w:eastAsia="en-IN"/>
        </w:rPr>
        <w:t xml:space="preserve"> </w:t>
      </w:r>
      <w:r>
        <w:rPr>
          <w:rFonts w:ascii="Times New Roman" w:eastAsia="Times New Roman" w:hAnsi="Times New Roman"/>
          <w:color w:val="000000"/>
          <w:sz w:val="24"/>
          <w:szCs w:val="24"/>
          <w:lang w:eastAsia="en-IN"/>
        </w:rPr>
        <w:t xml:space="preserve">The measurement of heart girth revealed interesting ratios across ages: the approximate ratios recorded were 4.0:7.0:12.0:13.0 for the one-month, three-month, one-year, and three-year-old groups, respectively. This indicates a steady growth trend in heart girth as the dogs aged, suggesting a proportional increase in overall body size and </w:t>
      </w:r>
      <w:proofErr w:type="spellStart"/>
      <w:proofErr w:type="gramStart"/>
      <w:r>
        <w:rPr>
          <w:rFonts w:ascii="Times New Roman" w:eastAsia="Times New Roman" w:hAnsi="Times New Roman"/>
          <w:color w:val="000000"/>
          <w:sz w:val="24"/>
          <w:szCs w:val="24"/>
          <w:lang w:eastAsia="en-IN"/>
        </w:rPr>
        <w:t>health.In</w:t>
      </w:r>
      <w:proofErr w:type="spellEnd"/>
      <w:proofErr w:type="gramEnd"/>
      <w:r>
        <w:rPr>
          <w:rFonts w:ascii="Times New Roman" w:eastAsia="Times New Roman" w:hAnsi="Times New Roman"/>
          <w:color w:val="000000"/>
          <w:sz w:val="24"/>
          <w:szCs w:val="24"/>
          <w:lang w:eastAsia="en-IN"/>
        </w:rPr>
        <w:t xml:space="preserve"> terms of skull morphology, skull length exhibited a dramatic increase—approximately three times larger when comparing one-month-old puppies to those that were three years old. Similarly, the length of the jaw showed even more pronounced growth, increasing nearly sixfold over the same period. This significant change highlights the rapid development of anatomical features critical to the breed’s functionality and physical </w:t>
      </w:r>
      <w:proofErr w:type="spellStart"/>
      <w:proofErr w:type="gramStart"/>
      <w:r>
        <w:rPr>
          <w:rFonts w:ascii="Times New Roman" w:eastAsia="Times New Roman" w:hAnsi="Times New Roman"/>
          <w:color w:val="000000"/>
          <w:sz w:val="24"/>
          <w:szCs w:val="24"/>
          <w:lang w:eastAsia="en-IN"/>
        </w:rPr>
        <w:t>presence.Moreover</w:t>
      </w:r>
      <w:proofErr w:type="spellEnd"/>
      <w:proofErr w:type="gramEnd"/>
      <w:r>
        <w:rPr>
          <w:rFonts w:ascii="Times New Roman" w:eastAsia="Times New Roman" w:hAnsi="Times New Roman"/>
          <w:color w:val="000000"/>
          <w:sz w:val="24"/>
          <w:szCs w:val="24"/>
          <w:lang w:eastAsia="en-IN"/>
        </w:rPr>
        <w:t xml:space="preserve">, the relationship between cranial length and width also evolved as the animals matured. The ratio between these two dimensions increased from one month to one year of age, indicating a change in skull shape that may relate to the breed’s characteristics. </w:t>
      </w:r>
      <w:r>
        <w:rPr>
          <w:rFonts w:ascii="Times New Roman" w:eastAsia="Times New Roman" w:hAnsi="Times New Roman"/>
          <w:color w:val="000000"/>
          <w:sz w:val="24"/>
          <w:szCs w:val="24"/>
          <w:lang w:eastAsia="en-IN"/>
        </w:rPr>
        <w:lastRenderedPageBreak/>
        <w:t>Interestingly, the nasion length was recorded as three times greater in the one-year-old bitches and four times greater in the three-year-old group compared to the one-month-olds. Overall, the study clearly indicates that height, body length, and heart girth of German Shepherd bitches increase linearly from the puppy stage to adulthood. This growth pattern is crucial for understanding the development of physical traits in this breed, which can impact their health, temperament, and suitability for various roles.</w:t>
      </w:r>
    </w:p>
    <w:p w14:paraId="004F2ED9" w14:textId="77777777" w:rsidR="001518C7" w:rsidRDefault="001518C7">
      <w:pPr>
        <w:spacing w:after="0" w:line="240" w:lineRule="auto"/>
        <w:jc w:val="both"/>
        <w:rPr>
          <w:rFonts w:ascii="Times New Roman" w:eastAsia="Times New Roman" w:hAnsi="Times New Roman"/>
          <w:color w:val="000000"/>
          <w:sz w:val="24"/>
          <w:szCs w:val="24"/>
          <w:lang w:eastAsia="en-IN"/>
        </w:rPr>
      </w:pPr>
    </w:p>
    <w:p w14:paraId="78C4ED8E" w14:textId="77777777" w:rsidR="001518C7" w:rsidRDefault="00000000">
      <w:pPr>
        <w:spacing w:after="0" w:line="240" w:lineRule="auto"/>
        <w:jc w:val="both"/>
        <w:rPr>
          <w:rFonts w:ascii="Times New Roman" w:eastAsia="Times New Roman" w:hAnsi="Times New Roman" w:cs="Times New Roman"/>
          <w:color w:val="000000"/>
          <w:sz w:val="24"/>
          <w:szCs w:val="24"/>
          <w:lang w:val="en-US" w:eastAsia="en-IN"/>
        </w:rPr>
      </w:pPr>
      <w:r>
        <w:rPr>
          <w:rFonts w:ascii="Times New Roman" w:eastAsia="Times New Roman" w:hAnsi="Times New Roman" w:cs="Times New Roman"/>
          <w:b/>
          <w:bCs/>
          <w:color w:val="000000"/>
          <w:sz w:val="24"/>
          <w:szCs w:val="24"/>
          <w:lang w:val="en-US" w:eastAsia="en-IN"/>
        </w:rPr>
        <w:t>Key words</w:t>
      </w:r>
      <w:r>
        <w:rPr>
          <w:rFonts w:ascii="Times New Roman" w:eastAsia="Times New Roman" w:hAnsi="Times New Roman" w:cs="Times New Roman"/>
          <w:color w:val="000000"/>
          <w:sz w:val="24"/>
          <w:szCs w:val="24"/>
          <w:lang w:val="en-US" w:eastAsia="en-IN"/>
        </w:rPr>
        <w:t xml:space="preserve">: German </w:t>
      </w:r>
      <w:proofErr w:type="gramStart"/>
      <w:r>
        <w:rPr>
          <w:rFonts w:ascii="Times New Roman" w:eastAsia="Times New Roman" w:hAnsi="Times New Roman" w:cs="Times New Roman"/>
          <w:color w:val="000000"/>
          <w:sz w:val="24"/>
          <w:szCs w:val="24"/>
          <w:lang w:val="en-US" w:eastAsia="en-IN"/>
        </w:rPr>
        <w:t>Shepherd ,Skull</w:t>
      </w:r>
      <w:proofErr w:type="gramEnd"/>
      <w:r>
        <w:rPr>
          <w:rFonts w:ascii="Times New Roman" w:eastAsia="Times New Roman" w:hAnsi="Times New Roman" w:cs="Times New Roman"/>
          <w:color w:val="000000"/>
          <w:sz w:val="24"/>
          <w:szCs w:val="24"/>
          <w:lang w:val="en-US" w:eastAsia="en-IN"/>
        </w:rPr>
        <w:t xml:space="preserve">, Morphometry, </w:t>
      </w:r>
    </w:p>
    <w:p w14:paraId="35DA5FAB" w14:textId="77777777" w:rsidR="001518C7" w:rsidRDefault="001518C7">
      <w:pPr>
        <w:spacing w:after="0" w:line="240" w:lineRule="auto"/>
        <w:jc w:val="both"/>
        <w:rPr>
          <w:rFonts w:ascii="Times New Roman" w:eastAsia="Times New Roman" w:hAnsi="Times New Roman" w:cs="Times New Roman"/>
          <w:color w:val="000000"/>
          <w:sz w:val="24"/>
          <w:szCs w:val="24"/>
          <w:lang w:eastAsia="en-IN"/>
        </w:rPr>
      </w:pPr>
    </w:p>
    <w:p w14:paraId="1594E762" w14:textId="77777777" w:rsidR="001518C7" w:rsidRDefault="00000000">
      <w:pPr>
        <w:spacing w:after="0" w:line="240" w:lineRule="auto"/>
        <w:jc w:val="center"/>
        <w:rPr>
          <w:rFonts w:ascii="Times New Roman" w:eastAsia="Times New Roman" w:hAnsi="Times New Roman" w:cs="Times New Roman"/>
          <w:b/>
          <w:bCs/>
          <w:color w:val="000000"/>
          <w:sz w:val="24"/>
          <w:szCs w:val="24"/>
          <w:lang w:val="en-US" w:eastAsia="en-IN"/>
        </w:rPr>
      </w:pPr>
      <w:r>
        <w:rPr>
          <w:rFonts w:ascii="Times New Roman" w:eastAsia="Times New Roman" w:hAnsi="Times New Roman" w:cs="Times New Roman"/>
          <w:b/>
          <w:bCs/>
          <w:color w:val="000000"/>
          <w:sz w:val="24"/>
          <w:szCs w:val="24"/>
          <w:lang w:val="en-US" w:eastAsia="en-IN"/>
        </w:rPr>
        <w:t>INTRODUCTION</w:t>
      </w:r>
    </w:p>
    <w:p w14:paraId="0C7D604A" w14:textId="77777777" w:rsidR="001518C7" w:rsidRDefault="001518C7">
      <w:pPr>
        <w:pStyle w:val="ListParagraph"/>
        <w:spacing w:after="0" w:line="240" w:lineRule="auto"/>
        <w:ind w:left="0"/>
        <w:jc w:val="both"/>
        <w:rPr>
          <w:rFonts w:ascii="Times New Roman" w:hAnsi="Times New Roman" w:cs="Times New Roman"/>
          <w:sz w:val="24"/>
          <w:szCs w:val="24"/>
        </w:rPr>
      </w:pPr>
    </w:p>
    <w:p w14:paraId="40E3A783" w14:textId="77777777" w:rsidR="001518C7" w:rsidRDefault="00000000">
      <w:pPr>
        <w:pStyle w:val="ListParagraph"/>
        <w:spacing w:after="0" w:line="360" w:lineRule="auto"/>
        <w:ind w:left="0"/>
        <w:jc w:val="both"/>
        <w:rPr>
          <w:rFonts w:ascii="Times New Roman" w:hAnsi="Times New Roman"/>
          <w:sz w:val="24"/>
          <w:szCs w:val="24"/>
        </w:rPr>
      </w:pPr>
      <w:r>
        <w:rPr>
          <w:rFonts w:ascii="Times New Roman" w:hAnsi="Times New Roman"/>
          <w:sz w:val="24"/>
          <w:szCs w:val="24"/>
        </w:rPr>
        <w:t>Conformation varies significantly between different dog breeds, and this diversity becomes particularly apparent when we look at large breeds of similar weight. While breed standards clearly outline specific conformational traits, these standards are not static; they evolve over time due to selective breeding practices and shifts in the functional roles of the dogs. One breed that exemplifies this phenomenon is the German Shepherd Dog (GSD). In recent decades, substantial alterations in the conformation of the purebred GSD have been observed, particularly concerning hindlimb angulation and the curvature or inclination of the back. These changes are indicative of evolving breeding priorities that reflect the dog's expanding roles in society.</w:t>
      </w:r>
      <w:r>
        <w:rPr>
          <w:rFonts w:ascii="Times New Roman" w:hAnsi="Times New Roman"/>
          <w:sz w:val="24"/>
          <w:szCs w:val="24"/>
          <w:lang w:val="en-US"/>
        </w:rPr>
        <w:t xml:space="preserve"> </w:t>
      </w:r>
      <w:r>
        <w:rPr>
          <w:rFonts w:ascii="Times New Roman" w:hAnsi="Times New Roman"/>
          <w:sz w:val="24"/>
          <w:szCs w:val="24"/>
        </w:rPr>
        <w:t xml:space="preserve">Originally, the German Shepherd was developed in Germany as a herding dog by Captain Max von </w:t>
      </w:r>
      <w:proofErr w:type="spellStart"/>
      <w:r>
        <w:rPr>
          <w:rFonts w:ascii="Times New Roman" w:hAnsi="Times New Roman"/>
          <w:sz w:val="24"/>
          <w:szCs w:val="24"/>
        </w:rPr>
        <w:t>Stephanitz</w:t>
      </w:r>
      <w:proofErr w:type="spellEnd"/>
      <w:r>
        <w:rPr>
          <w:rFonts w:ascii="Times New Roman" w:hAnsi="Times New Roman"/>
          <w:sz w:val="24"/>
          <w:szCs w:val="24"/>
        </w:rPr>
        <w:t xml:space="preserve"> in the early 20th century. The breed was designed to be versatile and functional, traits that have made it one of the most relied-upon working breeds worldwide. Today, GSDs serve crucial roles in various fields, including police work, military operations, search and rescue missions, and service assistance. Their intelligence, agility, and trainability make them invaluable in these capacities. However, as the breed has diversified to </w:t>
      </w:r>
      <w:proofErr w:type="spellStart"/>
      <w:r>
        <w:rPr>
          <w:rFonts w:ascii="Times New Roman" w:hAnsi="Times New Roman"/>
          <w:sz w:val="24"/>
          <w:szCs w:val="24"/>
        </w:rPr>
        <w:t>fulfill</w:t>
      </w:r>
      <w:proofErr w:type="spellEnd"/>
      <w:r>
        <w:rPr>
          <w:rFonts w:ascii="Times New Roman" w:hAnsi="Times New Roman"/>
          <w:sz w:val="24"/>
          <w:szCs w:val="24"/>
        </w:rPr>
        <w:t xml:space="preserve"> multiple roles, a marked bifurcation has emerged between “working-line” and “show-line” German </w:t>
      </w:r>
      <w:proofErr w:type="spellStart"/>
      <w:r>
        <w:rPr>
          <w:rFonts w:ascii="Times New Roman" w:hAnsi="Times New Roman"/>
          <w:sz w:val="24"/>
          <w:szCs w:val="24"/>
        </w:rPr>
        <w:t>Shepherds.Working</w:t>
      </w:r>
      <w:proofErr w:type="spellEnd"/>
      <w:r>
        <w:rPr>
          <w:rFonts w:ascii="Times New Roman" w:hAnsi="Times New Roman"/>
          <w:sz w:val="24"/>
          <w:szCs w:val="24"/>
        </w:rPr>
        <w:t>-line GSDs are characterized by breeding practices that prioritize performance and utility. These dogs often exhibit straighter backs and more erect hind limbs, traits that enhance their functional ability in demanding situations. Conversely, show-line GSDs are bred primarily to conform to aesthetic standards set forth in dog shows. These dogs typically feature more angulated hindquarters and sloping backs, conformations that align with contemporary show standards. However, this aesthetic focus can sometimes come at the expense of biomechanical efficiency, raising concerns about the long-term health and performance of show-line dogs.</w:t>
      </w:r>
      <w:r>
        <w:rPr>
          <w:rFonts w:ascii="Times New Roman" w:hAnsi="Times New Roman"/>
          <w:sz w:val="24"/>
          <w:szCs w:val="24"/>
          <w:lang w:val="en-US"/>
        </w:rPr>
        <w:t xml:space="preserve"> </w:t>
      </w:r>
      <w:r>
        <w:rPr>
          <w:rFonts w:ascii="Times New Roman" w:hAnsi="Times New Roman"/>
          <w:sz w:val="24"/>
          <w:szCs w:val="24"/>
        </w:rPr>
        <w:t xml:space="preserve">The phenotypic changes observed in these two lines of German Shepherds highlight the importance of systematic morphometric evaluations. Such assessments </w:t>
      </w:r>
      <w:r>
        <w:rPr>
          <w:rFonts w:ascii="Times New Roman" w:hAnsi="Times New Roman"/>
          <w:sz w:val="24"/>
          <w:szCs w:val="24"/>
        </w:rPr>
        <w:lastRenderedPageBreak/>
        <w:t>are vital for a comprehensive understanding of breed development and for guiding ethical breeding practices. Accurate measurements of conformation and skull morphometry at various ages not only assist in veterinary clinical evaluations but also provide foundational data for identifying developmental disorders. In turn, this information supports optimized growth strategies for the breed.</w:t>
      </w:r>
      <w:r>
        <w:rPr>
          <w:rFonts w:ascii="Times New Roman" w:hAnsi="Times New Roman"/>
          <w:sz w:val="24"/>
          <w:szCs w:val="24"/>
          <w:lang w:val="en-US"/>
        </w:rPr>
        <w:t xml:space="preserve"> </w:t>
      </w:r>
      <w:r>
        <w:rPr>
          <w:rFonts w:ascii="Times New Roman" w:hAnsi="Times New Roman"/>
          <w:sz w:val="24"/>
          <w:szCs w:val="24"/>
        </w:rPr>
        <w:t>The present study zeroes in on age-related changes in body conformation and cranial morphometry specifically in female German Shepherds, tracking their development from 1 month to 3 years of age. By utilizing objective measurement techniques and rigorous analysis, this study aims to chart standard developmental pathways, offering valuable reference data for veterinary anatomical studies. Additionally, it serves as a crucial resource for breeders and professionals dedicated to canine welfare and training.</w:t>
      </w:r>
      <w:r>
        <w:rPr>
          <w:rFonts w:ascii="Times New Roman" w:hAnsi="Times New Roman"/>
          <w:sz w:val="24"/>
          <w:szCs w:val="24"/>
          <w:lang w:val="en-US"/>
        </w:rPr>
        <w:t xml:space="preserve"> </w:t>
      </w:r>
      <w:r>
        <w:rPr>
          <w:rFonts w:ascii="Times New Roman" w:hAnsi="Times New Roman"/>
          <w:sz w:val="24"/>
          <w:szCs w:val="24"/>
        </w:rPr>
        <w:t xml:space="preserve">Ultimately, understanding these developmental changes is not merely an academic exercise; it has real-world implications for the health and performance of the German Shepherd Dog. By documenting these standards and variations, the study aims to inform future breeding practices, ensuring the breed's vitality and versatility are preserved while promoting ethical standards within the canine community. As breeders and trainers engage with this knowledge, they can make informed decisions that </w:t>
      </w:r>
      <w:proofErr w:type="spellStart"/>
      <w:r>
        <w:rPr>
          <w:rFonts w:ascii="Times New Roman" w:hAnsi="Times New Roman"/>
          <w:sz w:val="24"/>
          <w:szCs w:val="24"/>
        </w:rPr>
        <w:t>honor</w:t>
      </w:r>
      <w:proofErr w:type="spellEnd"/>
      <w:r>
        <w:rPr>
          <w:rFonts w:ascii="Times New Roman" w:hAnsi="Times New Roman"/>
          <w:sz w:val="24"/>
          <w:szCs w:val="24"/>
        </w:rPr>
        <w:t xml:space="preserve"> the GSD’s heritage while adapting to modern expectations and roles.</w:t>
      </w:r>
    </w:p>
    <w:p w14:paraId="789E2201" w14:textId="77777777" w:rsidR="001518C7" w:rsidRDefault="001518C7">
      <w:pPr>
        <w:pStyle w:val="ListParagraph"/>
        <w:spacing w:after="0" w:line="240" w:lineRule="auto"/>
        <w:ind w:left="0"/>
        <w:jc w:val="both"/>
        <w:rPr>
          <w:rFonts w:ascii="Times New Roman" w:hAnsi="Times New Roman"/>
          <w:sz w:val="24"/>
          <w:szCs w:val="24"/>
        </w:rPr>
      </w:pPr>
    </w:p>
    <w:p w14:paraId="658B8343" w14:textId="77777777" w:rsidR="001518C7" w:rsidRDefault="00000000">
      <w:pPr>
        <w:jc w:val="center"/>
        <w:rPr>
          <w:rFonts w:ascii="Times New Roman" w:hAnsi="Times New Roman"/>
          <w:sz w:val="24"/>
          <w:szCs w:val="24"/>
          <w:lang w:val="en-US"/>
        </w:rPr>
      </w:pPr>
      <w:r>
        <w:rPr>
          <w:rFonts w:ascii="Times New Roman" w:eastAsia="SimSun" w:hAnsi="Times New Roman" w:cs="Times New Roman"/>
          <w:b/>
          <w:bCs/>
          <w:sz w:val="24"/>
          <w:szCs w:val="24"/>
          <w:lang w:val="en-US" w:eastAsia="zh-CN" w:bidi="ar"/>
        </w:rPr>
        <w:t>MATERIALS AND METHOD</w:t>
      </w:r>
    </w:p>
    <w:p w14:paraId="343787C5"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In a structured study, twenty-four German Shepherd females were thoughtfully chosen and divided into four distinct age groups, each containing six dogs. Group I was comprised of energetic puppies that were just 1 month old, while Group II included inquisitive pups at 3 months. Group III consisted of young adults at the age of 1 year, and Group IV highlighted mature dogs that were 3 years old. All participants were carefully screened to ensure they were clinically healthy prior to the study. To evaluate their physical characteristics, researchers employed standard measuring tapes to assess body conformation and precision calipers for detailed skull measurements. Each attribute was measured three times to enhance the reliability of the results. For the statistical analysis of the data collected, descriptive statistics, including the mean and standard error for each measured parameter, were calculated using SPSS software. Comparisons between the different groups regarding the various parameters studied were performed using the </w:t>
      </w:r>
      <w:proofErr w:type="gramStart"/>
      <w:r>
        <w:rPr>
          <w:rFonts w:ascii="Times New Roman" w:hAnsi="Times New Roman"/>
          <w:sz w:val="24"/>
          <w:szCs w:val="24"/>
          <w:lang w:val="en-US"/>
        </w:rPr>
        <w:t>One Way ANOVA</w:t>
      </w:r>
      <w:proofErr w:type="gramEnd"/>
      <w:r>
        <w:rPr>
          <w:rFonts w:ascii="Times New Roman" w:hAnsi="Times New Roman"/>
          <w:sz w:val="24"/>
          <w:szCs w:val="24"/>
          <w:lang w:val="en-US"/>
        </w:rPr>
        <w:t xml:space="preserve"> function of the same software. This rigorous approach aimed to yield insights into the physical development and differences among the age groups of German Shepherds, providing valuable information for breeders and veterinarians </w:t>
      </w:r>
      <w:r>
        <w:rPr>
          <w:rFonts w:ascii="Times New Roman" w:hAnsi="Times New Roman"/>
          <w:sz w:val="24"/>
          <w:szCs w:val="24"/>
          <w:lang w:val="en-US"/>
        </w:rPr>
        <w:lastRenderedPageBreak/>
        <w:t>alike. Overall, the study combined careful selection of participants and meticulous data analysis to explore the characteristics of this popular breed.</w:t>
      </w:r>
    </w:p>
    <w:p w14:paraId="51604FA8" w14:textId="77777777" w:rsidR="001518C7" w:rsidRDefault="001518C7">
      <w:pPr>
        <w:spacing w:after="0" w:line="240" w:lineRule="auto"/>
        <w:jc w:val="both"/>
        <w:rPr>
          <w:rFonts w:ascii="Times New Roman" w:hAnsi="Times New Roman"/>
          <w:b/>
          <w:bCs/>
          <w:sz w:val="24"/>
          <w:szCs w:val="24"/>
          <w:lang w:val="en-US"/>
        </w:rPr>
      </w:pPr>
    </w:p>
    <w:p w14:paraId="76DCB79F" w14:textId="77777777" w:rsidR="001518C7" w:rsidRDefault="00000000">
      <w:pPr>
        <w:spacing w:after="0" w:line="240" w:lineRule="auto"/>
        <w:jc w:val="center"/>
        <w:rPr>
          <w:rFonts w:ascii="Times New Roman" w:hAnsi="Times New Roman"/>
          <w:b/>
          <w:bCs/>
          <w:sz w:val="24"/>
          <w:szCs w:val="24"/>
          <w:lang w:val="en-US"/>
        </w:rPr>
      </w:pPr>
      <w:r>
        <w:rPr>
          <w:rFonts w:ascii="Times New Roman" w:hAnsi="Times New Roman"/>
          <w:b/>
          <w:bCs/>
          <w:sz w:val="24"/>
          <w:szCs w:val="24"/>
          <w:lang w:val="en-US"/>
        </w:rPr>
        <w:t>RESULTS AND DISCUSSION</w:t>
      </w:r>
    </w:p>
    <w:p w14:paraId="0C7D3591" w14:textId="77777777" w:rsidR="001518C7" w:rsidRDefault="001518C7">
      <w:pPr>
        <w:spacing w:after="0" w:line="240" w:lineRule="auto"/>
        <w:jc w:val="both"/>
        <w:rPr>
          <w:rFonts w:ascii="Times New Roman" w:hAnsi="Times New Roman"/>
          <w:sz w:val="24"/>
          <w:szCs w:val="24"/>
          <w:lang w:val="en-US"/>
        </w:rPr>
      </w:pPr>
    </w:p>
    <w:p w14:paraId="3A7CB73F"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Morphometric evaluations serve as a cornerstone in veterinary anatomy, aiding breed development, diagnosis, and comparative anatomical research. The present study assessed age-related changes in morphometric parameters in 24 German Shepherd bitches, divided into four distinct age groups: 1 month, 3 months, 1 year, and 3 years, with six dogs in each group. The study focused on analyzing body conformation and external skull measurements to characterize developmental transitions and provide reference baselines for this breed. Morphometry, the quantitative analysis of form, plays a crucial role in understanding the anatomy of various breeds, particularly in the context of large dog breeds like the German Shepherd. The importance of breed conformation is not merely aesthetic; it impacts functionalities such as movement, health, and behavior. The age-related changes in morphometry allow for a better understanding of developmental patterns, which is vital for veterinarians and breeders alike in ensuring optimal health and performance of specific breeds.</w:t>
      </w:r>
    </w:p>
    <w:p w14:paraId="5D8EAEDF" w14:textId="77777777" w:rsidR="001518C7" w:rsidRDefault="001518C7">
      <w:pPr>
        <w:spacing w:after="0" w:line="360" w:lineRule="auto"/>
        <w:jc w:val="both"/>
        <w:rPr>
          <w:rFonts w:ascii="Times New Roman" w:hAnsi="Times New Roman"/>
          <w:sz w:val="24"/>
          <w:szCs w:val="24"/>
          <w:lang w:val="en-US"/>
        </w:rPr>
      </w:pPr>
    </w:p>
    <w:p w14:paraId="45D789B0" w14:textId="77777777" w:rsidR="001518C7" w:rsidRDefault="001518C7">
      <w:pPr>
        <w:spacing w:after="0" w:line="360" w:lineRule="auto"/>
        <w:jc w:val="both"/>
        <w:rPr>
          <w:rFonts w:ascii="Times New Roman" w:hAnsi="Times New Roman"/>
          <w:sz w:val="24"/>
          <w:szCs w:val="24"/>
          <w:lang w:val="en-US"/>
        </w:rPr>
      </w:pPr>
    </w:p>
    <w:p w14:paraId="78C9F542" w14:textId="77777777" w:rsidR="001518C7" w:rsidRDefault="001518C7">
      <w:pPr>
        <w:spacing w:after="0" w:line="360" w:lineRule="auto"/>
        <w:jc w:val="both"/>
        <w:rPr>
          <w:rFonts w:ascii="Times New Roman" w:hAnsi="Times New Roman"/>
          <w:sz w:val="24"/>
          <w:szCs w:val="24"/>
          <w:lang w:val="en-US"/>
        </w:rPr>
      </w:pPr>
    </w:p>
    <w:p w14:paraId="76D2DA63" w14:textId="77777777" w:rsidR="001518C7" w:rsidRDefault="001518C7">
      <w:pPr>
        <w:spacing w:after="0" w:line="360" w:lineRule="auto"/>
        <w:jc w:val="both"/>
        <w:rPr>
          <w:rFonts w:ascii="Times New Roman" w:hAnsi="Times New Roman"/>
          <w:sz w:val="24"/>
          <w:szCs w:val="24"/>
          <w:lang w:val="en-US"/>
        </w:rPr>
      </w:pPr>
    </w:p>
    <w:p w14:paraId="1210FA15" w14:textId="77777777" w:rsidR="001518C7" w:rsidRDefault="001518C7">
      <w:pPr>
        <w:spacing w:after="0" w:line="360" w:lineRule="auto"/>
        <w:jc w:val="both"/>
        <w:rPr>
          <w:rFonts w:ascii="Times New Roman" w:hAnsi="Times New Roman"/>
          <w:sz w:val="24"/>
          <w:szCs w:val="24"/>
          <w:lang w:val="en-US"/>
        </w:rPr>
      </w:pPr>
    </w:p>
    <w:p w14:paraId="3056C3AF" w14:textId="77777777" w:rsidR="001518C7" w:rsidRDefault="00000000">
      <w:pPr>
        <w:spacing w:after="0" w:line="360" w:lineRule="auto"/>
        <w:jc w:val="both"/>
        <w:rPr>
          <w:rFonts w:ascii="Times New Roman" w:hAnsi="Times New Roman"/>
          <w:b/>
          <w:bCs/>
          <w:sz w:val="24"/>
          <w:szCs w:val="24"/>
          <w:lang w:val="en-US"/>
        </w:rPr>
      </w:pPr>
      <w:r>
        <w:rPr>
          <w:rFonts w:ascii="Times New Roman" w:hAnsi="Times New Roman"/>
          <w:lang w:val="en-US"/>
        </w:rPr>
        <w:t xml:space="preserve"> </w:t>
      </w:r>
      <w:r>
        <w:rPr>
          <w:rFonts w:ascii="Times New Roman" w:hAnsi="Times New Roman"/>
          <w:b/>
          <w:bCs/>
          <w:sz w:val="24"/>
          <w:szCs w:val="24"/>
          <w:lang w:val="en-US"/>
        </w:rPr>
        <w:t>Body Conformation Analysis</w:t>
      </w:r>
    </w:p>
    <w:p w14:paraId="0B9DD211"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1. </w:t>
      </w:r>
      <w:r>
        <w:rPr>
          <w:rFonts w:ascii="Times New Roman" w:hAnsi="Times New Roman"/>
          <w:b/>
          <w:bCs/>
          <w:sz w:val="24"/>
          <w:szCs w:val="24"/>
          <w:lang w:val="en-US"/>
        </w:rPr>
        <w:t>Height at Withers</w:t>
      </w:r>
    </w:p>
    <w:p w14:paraId="40908036"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A marked increase in withers height was observed, transitioning dramatically from approximately 15 cm at 1 month to around 62 cm by 3 years (Fig. 1</w:t>
      </w:r>
      <w:proofErr w:type="gramStart"/>
      <w:r>
        <w:rPr>
          <w:rFonts w:ascii="Times New Roman" w:hAnsi="Times New Roman"/>
          <w:sz w:val="24"/>
          <w:szCs w:val="24"/>
          <w:lang w:val="en-US"/>
        </w:rPr>
        <w:t>) .</w:t>
      </w:r>
      <w:proofErr w:type="gramEnd"/>
      <w:r>
        <w:rPr>
          <w:rFonts w:ascii="Times New Roman" w:hAnsi="Times New Roman"/>
          <w:sz w:val="24"/>
          <w:szCs w:val="24"/>
          <w:lang w:val="en-US"/>
        </w:rPr>
        <w:t xml:space="preserve"> The most rapid growth occurred in the first year, correlating with findings by Zahl (1998) and </w:t>
      </w:r>
      <w:proofErr w:type="spellStart"/>
      <w:r>
        <w:rPr>
          <w:rFonts w:ascii="Times New Roman" w:hAnsi="Times New Roman"/>
          <w:sz w:val="24"/>
          <w:szCs w:val="24"/>
          <w:lang w:val="en-US"/>
        </w:rPr>
        <w:t>Onar</w:t>
      </w:r>
      <w:proofErr w:type="spellEnd"/>
      <w:r>
        <w:rPr>
          <w:rFonts w:ascii="Times New Roman" w:hAnsi="Times New Roman"/>
          <w:sz w:val="24"/>
          <w:szCs w:val="24"/>
          <w:lang w:val="en-US"/>
        </w:rPr>
        <w:t xml:space="preserve"> (1999), who documented accelerated musculoskeletal development in large breed dogs. This rapid phase is crucial as the skeletal maturity achieved by one year aligns well with standard growth curves established in veterinary literature (Evans &amp; de </w:t>
      </w:r>
      <w:proofErr w:type="spellStart"/>
      <w:r>
        <w:rPr>
          <w:rFonts w:ascii="Times New Roman" w:hAnsi="Times New Roman"/>
          <w:sz w:val="24"/>
          <w:szCs w:val="24"/>
          <w:lang w:val="en-US"/>
        </w:rPr>
        <w:t>Lahunta</w:t>
      </w:r>
      <w:proofErr w:type="spellEnd"/>
      <w:r>
        <w:rPr>
          <w:rFonts w:ascii="Times New Roman" w:hAnsi="Times New Roman"/>
          <w:sz w:val="24"/>
          <w:szCs w:val="24"/>
          <w:lang w:val="en-US"/>
        </w:rPr>
        <w:t>, 2013; Wayne, 1986). The significant increase in height at such a young age cements the understanding of the German Shepherd as a breed designed for strength and agility.</w:t>
      </w:r>
    </w:p>
    <w:p w14:paraId="02936DA4" w14:textId="77777777" w:rsidR="001518C7" w:rsidRDefault="001518C7">
      <w:pPr>
        <w:spacing w:after="0" w:line="360" w:lineRule="auto"/>
        <w:jc w:val="both"/>
        <w:rPr>
          <w:rFonts w:ascii="Times New Roman" w:hAnsi="Times New Roman"/>
          <w:sz w:val="24"/>
          <w:szCs w:val="24"/>
          <w:lang w:val="en-US"/>
        </w:rPr>
      </w:pPr>
    </w:p>
    <w:tbl>
      <w:tblPr>
        <w:tblStyle w:val="TableGrid"/>
        <w:tblW w:w="8180" w:type="dxa"/>
        <w:jc w:val="center"/>
        <w:tblLook w:val="04A0" w:firstRow="1" w:lastRow="0" w:firstColumn="1" w:lastColumn="0" w:noHBand="0" w:noVBand="1"/>
      </w:tblPr>
      <w:tblGrid>
        <w:gridCol w:w="8180"/>
      </w:tblGrid>
      <w:tr w:rsidR="001518C7" w14:paraId="1FE47292" w14:textId="77777777">
        <w:trPr>
          <w:trHeight w:val="5457"/>
          <w:jc w:val="center"/>
        </w:trPr>
        <w:tc>
          <w:tcPr>
            <w:tcW w:w="8180" w:type="dxa"/>
          </w:tcPr>
          <w:p w14:paraId="6CE1CDC5"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114300" distR="114300" wp14:anchorId="35212176" wp14:editId="530D8E3F">
                  <wp:extent cx="2869565" cy="2432685"/>
                  <wp:effectExtent l="0" t="0" r="5715" b="6985"/>
                  <wp:docPr id="5" name="Picture 5" descr="20230416_17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30416_171947"/>
                          <pic:cNvPicPr>
                            <a:picLocks noChangeAspect="1"/>
                          </pic:cNvPicPr>
                        </pic:nvPicPr>
                        <pic:blipFill>
                          <a:blip r:embed="rId7"/>
                          <a:srcRect l="26729" t="-437" r="28249"/>
                          <a:stretch>
                            <a:fillRect/>
                          </a:stretch>
                        </pic:blipFill>
                        <pic:spPr>
                          <a:xfrm rot="5400000">
                            <a:off x="0" y="0"/>
                            <a:ext cx="2869565" cy="2432685"/>
                          </a:xfrm>
                          <a:prstGeom prst="rect">
                            <a:avLst/>
                          </a:prstGeom>
                        </pic:spPr>
                      </pic:pic>
                    </a:graphicData>
                  </a:graphic>
                </wp:inline>
              </w:drawing>
            </w:r>
            <w:r>
              <w:rPr>
                <w:rFonts w:ascii="Times New Roman" w:hAnsi="Times New Roman"/>
                <w:sz w:val="24"/>
                <w:szCs w:val="24"/>
                <w:lang w:val="en-US"/>
              </w:rPr>
              <w:t xml:space="preserve">      </w:t>
            </w:r>
            <w:r>
              <w:rPr>
                <w:rFonts w:ascii="Times New Roman" w:hAnsi="Times New Roman"/>
                <w:noProof/>
                <w:sz w:val="24"/>
                <w:szCs w:val="24"/>
                <w:lang w:val="en-US"/>
              </w:rPr>
              <w:drawing>
                <wp:inline distT="0" distB="0" distL="114300" distR="114300" wp14:anchorId="4A16F3AF" wp14:editId="6D8F5085">
                  <wp:extent cx="2876550" cy="2371090"/>
                  <wp:effectExtent l="0" t="0" r="10160" b="0"/>
                  <wp:docPr id="6" name="Picture 6" descr="20230416_17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30416_171434"/>
                          <pic:cNvPicPr>
                            <a:picLocks noChangeAspect="1"/>
                          </pic:cNvPicPr>
                        </pic:nvPicPr>
                        <pic:blipFill>
                          <a:blip r:embed="rId8"/>
                          <a:srcRect l="15562" t="516" r="40829"/>
                          <a:stretch>
                            <a:fillRect/>
                          </a:stretch>
                        </pic:blipFill>
                        <pic:spPr>
                          <a:xfrm rot="5400000">
                            <a:off x="0" y="0"/>
                            <a:ext cx="2876550" cy="2371090"/>
                          </a:xfrm>
                          <a:prstGeom prst="rect">
                            <a:avLst/>
                          </a:prstGeom>
                        </pic:spPr>
                      </pic:pic>
                    </a:graphicData>
                  </a:graphic>
                </wp:inline>
              </w:drawing>
            </w:r>
          </w:p>
          <w:p w14:paraId="2D9FEA51" w14:textId="77777777" w:rsidR="001518C7" w:rsidRDefault="001518C7">
            <w:pPr>
              <w:spacing w:after="0" w:line="360" w:lineRule="auto"/>
              <w:jc w:val="both"/>
              <w:rPr>
                <w:rFonts w:ascii="Times New Roman" w:hAnsi="Times New Roman"/>
                <w:sz w:val="24"/>
                <w:szCs w:val="24"/>
                <w:lang w:val="en-US"/>
              </w:rPr>
            </w:pPr>
          </w:p>
          <w:p w14:paraId="6AECF79F" w14:textId="77777777" w:rsidR="001518C7" w:rsidRDefault="00000000">
            <w:pPr>
              <w:spacing w:after="0" w:line="360" w:lineRule="auto"/>
              <w:jc w:val="center"/>
              <w:rPr>
                <w:rFonts w:ascii="Times New Roman" w:hAnsi="Times New Roman"/>
                <w:sz w:val="24"/>
                <w:szCs w:val="24"/>
                <w:lang w:val="en-US"/>
              </w:rPr>
            </w:pPr>
            <w:r>
              <w:rPr>
                <w:rFonts w:ascii="Times New Roman" w:hAnsi="Times New Roman"/>
                <w:sz w:val="24"/>
                <w:szCs w:val="24"/>
                <w:lang w:val="en-US"/>
              </w:rPr>
              <w:t>Fig 1.  Measurement of height at different age groups</w:t>
            </w:r>
          </w:p>
        </w:tc>
      </w:tr>
    </w:tbl>
    <w:p w14:paraId="1A0BFC6B" w14:textId="77777777" w:rsidR="001518C7" w:rsidRDefault="001518C7">
      <w:pPr>
        <w:spacing w:after="0" w:line="360" w:lineRule="auto"/>
        <w:jc w:val="both"/>
        <w:rPr>
          <w:rFonts w:ascii="Times New Roman" w:hAnsi="Times New Roman"/>
          <w:sz w:val="24"/>
          <w:szCs w:val="24"/>
          <w:lang w:val="en-US"/>
        </w:rPr>
      </w:pPr>
    </w:p>
    <w:p w14:paraId="58DF633F" w14:textId="77777777" w:rsidR="001518C7" w:rsidRDefault="00000000">
      <w:pPr>
        <w:spacing w:after="0" w:line="360" w:lineRule="auto"/>
        <w:jc w:val="center"/>
        <w:rPr>
          <w:rFonts w:ascii="Times New Roman" w:hAnsi="Times New Roman"/>
          <w:b/>
          <w:bCs/>
          <w:sz w:val="24"/>
          <w:szCs w:val="24"/>
          <w:lang w:val="en-US"/>
        </w:rPr>
      </w:pPr>
      <w:r>
        <w:rPr>
          <w:rFonts w:ascii="Times New Roman" w:hAnsi="Times New Roman"/>
          <w:b/>
          <w:bCs/>
          <w:sz w:val="24"/>
          <w:szCs w:val="24"/>
          <w:lang w:val="en-US"/>
        </w:rPr>
        <w:t>Table 1.  Mean ± SE of gross parameters of body conformation</w:t>
      </w:r>
    </w:p>
    <w:tbl>
      <w:tblPr>
        <w:tblStyle w:val="TableGrid"/>
        <w:tblpPr w:leftFromText="180" w:rightFromText="180" w:vertAnchor="text" w:horzAnchor="page" w:tblpX="1533" w:tblpY="257"/>
        <w:tblOverlap w:val="never"/>
        <w:tblW w:w="8996" w:type="dxa"/>
        <w:tblLook w:val="04A0" w:firstRow="1" w:lastRow="0" w:firstColumn="1" w:lastColumn="0" w:noHBand="0" w:noVBand="1"/>
      </w:tblPr>
      <w:tblGrid>
        <w:gridCol w:w="1486"/>
        <w:gridCol w:w="1466"/>
        <w:gridCol w:w="1473"/>
        <w:gridCol w:w="1472"/>
        <w:gridCol w:w="1621"/>
        <w:gridCol w:w="1478"/>
      </w:tblGrid>
      <w:tr w:rsidR="001518C7" w14:paraId="189CE6E3" w14:textId="77777777">
        <w:trPr>
          <w:trHeight w:val="493"/>
        </w:trPr>
        <w:tc>
          <w:tcPr>
            <w:tcW w:w="1486" w:type="dxa"/>
          </w:tcPr>
          <w:p w14:paraId="0CEF4194" w14:textId="77777777" w:rsidR="001518C7" w:rsidRDefault="00000000">
            <w:pPr>
              <w:spacing w:after="0" w:line="360" w:lineRule="auto"/>
              <w:jc w:val="center"/>
              <w:rPr>
                <w:rFonts w:ascii="Times New Roman" w:hAnsi="Times New Roman" w:cs="Times New Roman"/>
                <w:b/>
                <w:bCs/>
              </w:rPr>
            </w:pPr>
            <w:r>
              <w:rPr>
                <w:rFonts w:ascii="Times New Roman" w:hAnsi="Times New Roman" w:cs="Times New Roman"/>
                <w:b/>
                <w:bCs/>
              </w:rPr>
              <w:t>Group</w:t>
            </w:r>
          </w:p>
        </w:tc>
        <w:tc>
          <w:tcPr>
            <w:tcW w:w="1466" w:type="dxa"/>
          </w:tcPr>
          <w:p w14:paraId="51B38E80" w14:textId="77777777" w:rsidR="001518C7" w:rsidRDefault="00000000">
            <w:pPr>
              <w:spacing w:after="0" w:line="360" w:lineRule="auto"/>
              <w:jc w:val="center"/>
              <w:rPr>
                <w:rFonts w:ascii="Times New Roman" w:hAnsi="Times New Roman" w:cs="Times New Roman"/>
                <w:b/>
                <w:bCs/>
              </w:rPr>
            </w:pPr>
            <w:r>
              <w:rPr>
                <w:rFonts w:ascii="Times New Roman" w:hAnsi="Times New Roman" w:cs="Times New Roman"/>
                <w:b/>
                <w:bCs/>
              </w:rPr>
              <w:t>Height</w:t>
            </w:r>
          </w:p>
        </w:tc>
        <w:tc>
          <w:tcPr>
            <w:tcW w:w="1473" w:type="dxa"/>
          </w:tcPr>
          <w:p w14:paraId="706EA621" w14:textId="77777777" w:rsidR="001518C7" w:rsidRDefault="00000000">
            <w:pPr>
              <w:spacing w:after="0" w:line="360" w:lineRule="auto"/>
              <w:jc w:val="center"/>
              <w:rPr>
                <w:rFonts w:ascii="Times New Roman" w:hAnsi="Times New Roman" w:cs="Times New Roman"/>
                <w:b/>
                <w:bCs/>
              </w:rPr>
            </w:pPr>
            <w:r>
              <w:rPr>
                <w:rFonts w:ascii="Times New Roman" w:hAnsi="Times New Roman" w:cs="Times New Roman"/>
                <w:b/>
                <w:bCs/>
              </w:rPr>
              <w:t>Body Length</w:t>
            </w:r>
          </w:p>
        </w:tc>
        <w:tc>
          <w:tcPr>
            <w:tcW w:w="1472" w:type="dxa"/>
          </w:tcPr>
          <w:p w14:paraId="5FE833D3" w14:textId="77777777" w:rsidR="001518C7" w:rsidRDefault="00000000">
            <w:pPr>
              <w:spacing w:after="0" w:line="360" w:lineRule="auto"/>
              <w:jc w:val="center"/>
              <w:rPr>
                <w:rFonts w:ascii="Times New Roman" w:hAnsi="Times New Roman" w:cs="Times New Roman"/>
                <w:b/>
                <w:bCs/>
              </w:rPr>
            </w:pPr>
            <w:r>
              <w:rPr>
                <w:rFonts w:ascii="Times New Roman" w:hAnsi="Times New Roman" w:cs="Times New Roman"/>
                <w:b/>
                <w:bCs/>
              </w:rPr>
              <w:t>Back Length</w:t>
            </w:r>
          </w:p>
        </w:tc>
        <w:tc>
          <w:tcPr>
            <w:tcW w:w="1621" w:type="dxa"/>
          </w:tcPr>
          <w:p w14:paraId="6A191EF6" w14:textId="77777777" w:rsidR="001518C7" w:rsidRDefault="00000000">
            <w:pPr>
              <w:spacing w:after="0" w:line="360" w:lineRule="auto"/>
              <w:jc w:val="center"/>
              <w:rPr>
                <w:rFonts w:ascii="Times New Roman" w:hAnsi="Times New Roman" w:cs="Times New Roman"/>
                <w:b/>
                <w:bCs/>
              </w:rPr>
            </w:pPr>
            <w:r>
              <w:rPr>
                <w:rFonts w:ascii="Times New Roman" w:hAnsi="Times New Roman" w:cs="Times New Roman"/>
                <w:b/>
                <w:bCs/>
              </w:rPr>
              <w:t>Neck Circumference</w:t>
            </w:r>
          </w:p>
        </w:tc>
        <w:tc>
          <w:tcPr>
            <w:tcW w:w="1478" w:type="dxa"/>
          </w:tcPr>
          <w:p w14:paraId="60C5A020" w14:textId="77777777" w:rsidR="001518C7" w:rsidRDefault="00000000">
            <w:pPr>
              <w:spacing w:after="0" w:line="360" w:lineRule="auto"/>
              <w:jc w:val="center"/>
              <w:rPr>
                <w:rFonts w:ascii="Times New Roman" w:hAnsi="Times New Roman" w:cs="Times New Roman"/>
                <w:b/>
                <w:bCs/>
              </w:rPr>
            </w:pPr>
            <w:r>
              <w:rPr>
                <w:rFonts w:ascii="Times New Roman" w:hAnsi="Times New Roman" w:cs="Times New Roman"/>
                <w:b/>
                <w:bCs/>
              </w:rPr>
              <w:t>Heart Girth</w:t>
            </w:r>
          </w:p>
        </w:tc>
      </w:tr>
      <w:tr w:rsidR="001518C7" w14:paraId="4F8B5CDF" w14:textId="77777777">
        <w:trPr>
          <w:trHeight w:val="256"/>
        </w:trPr>
        <w:tc>
          <w:tcPr>
            <w:tcW w:w="1486" w:type="dxa"/>
          </w:tcPr>
          <w:p w14:paraId="56523E39" w14:textId="77777777" w:rsidR="001518C7" w:rsidRDefault="00000000">
            <w:pPr>
              <w:spacing w:after="0" w:line="360" w:lineRule="auto"/>
              <w:rPr>
                <w:rFonts w:ascii="Times New Roman" w:hAnsi="Times New Roman" w:cs="Times New Roman"/>
              </w:rPr>
            </w:pPr>
            <w:r>
              <w:rPr>
                <w:rFonts w:ascii="Times New Roman" w:hAnsi="Times New Roman" w:cs="Times New Roman"/>
              </w:rPr>
              <w:t>1 month</w:t>
            </w:r>
          </w:p>
        </w:tc>
        <w:tc>
          <w:tcPr>
            <w:tcW w:w="1466" w:type="dxa"/>
          </w:tcPr>
          <w:p w14:paraId="2C29ED8B"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18.75</w:t>
            </w:r>
            <m:oMath>
              <m:r>
                <w:rPr>
                  <w:rFonts w:ascii="Cambria Math" w:hAnsi="Cambria Math" w:cs="Times New Roman"/>
                </w:rPr>
                <m:t>±</m:t>
              </m:r>
            </m:oMath>
            <w:r>
              <w:rPr>
                <w:rFonts w:ascii="Times New Roman" w:eastAsiaTheme="minorEastAsia" w:hAnsi="Times New Roman" w:cs="Times New Roman"/>
              </w:rPr>
              <w:t>0.36</w:t>
            </w:r>
            <w:r>
              <w:rPr>
                <w:rFonts w:ascii="Times New Roman" w:eastAsiaTheme="minorEastAsia" w:hAnsi="Times New Roman" w:cs="Times New Roman"/>
                <w:vertAlign w:val="superscript"/>
              </w:rPr>
              <w:t>a</w:t>
            </w:r>
          </w:p>
        </w:tc>
        <w:tc>
          <w:tcPr>
            <w:tcW w:w="1473" w:type="dxa"/>
          </w:tcPr>
          <w:p w14:paraId="5F8AC95B"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23.71</w:t>
            </w:r>
            <m:oMath>
              <m:r>
                <w:rPr>
                  <w:rFonts w:ascii="Cambria Math" w:hAnsi="Cambria Math" w:cs="Times New Roman"/>
                </w:rPr>
                <m:t>±</m:t>
              </m:r>
            </m:oMath>
            <w:r>
              <w:rPr>
                <w:rFonts w:ascii="Times New Roman" w:eastAsiaTheme="minorEastAsia" w:hAnsi="Times New Roman" w:cs="Times New Roman"/>
              </w:rPr>
              <w:t>0.42</w:t>
            </w:r>
            <w:r>
              <w:rPr>
                <w:rFonts w:ascii="Times New Roman" w:eastAsiaTheme="minorEastAsia" w:hAnsi="Times New Roman" w:cs="Times New Roman"/>
                <w:vertAlign w:val="superscript"/>
              </w:rPr>
              <w:t>a</w:t>
            </w:r>
          </w:p>
        </w:tc>
        <w:tc>
          <w:tcPr>
            <w:tcW w:w="1472" w:type="dxa"/>
          </w:tcPr>
          <w:p w14:paraId="6A5B9C6C"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22.56</w:t>
            </w:r>
            <m:oMath>
              <m:r>
                <w:rPr>
                  <w:rFonts w:ascii="Cambria Math" w:hAnsi="Cambria Math" w:cs="Times New Roman"/>
                </w:rPr>
                <m:t>±</m:t>
              </m:r>
            </m:oMath>
            <w:r>
              <w:rPr>
                <w:rFonts w:ascii="Times New Roman" w:eastAsiaTheme="minorEastAsia" w:hAnsi="Times New Roman" w:cs="Times New Roman"/>
              </w:rPr>
              <w:t>0.48</w:t>
            </w:r>
            <w:r>
              <w:rPr>
                <w:rFonts w:ascii="Times New Roman" w:eastAsiaTheme="minorEastAsia" w:hAnsi="Times New Roman" w:cs="Times New Roman"/>
                <w:vertAlign w:val="superscript"/>
              </w:rPr>
              <w:t>a</w:t>
            </w:r>
          </w:p>
        </w:tc>
        <w:tc>
          <w:tcPr>
            <w:tcW w:w="1621" w:type="dxa"/>
          </w:tcPr>
          <w:p w14:paraId="578CB872"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18.43</w:t>
            </w:r>
            <m:oMath>
              <m:r>
                <w:rPr>
                  <w:rFonts w:ascii="Cambria Math" w:hAnsi="Cambria Math" w:cs="Times New Roman"/>
                </w:rPr>
                <m:t>±</m:t>
              </m:r>
            </m:oMath>
            <w:r>
              <w:rPr>
                <w:rFonts w:ascii="Times New Roman" w:eastAsiaTheme="minorEastAsia" w:hAnsi="Times New Roman" w:cs="Times New Roman"/>
              </w:rPr>
              <w:t>0.42</w:t>
            </w:r>
            <w:r>
              <w:rPr>
                <w:rFonts w:ascii="Times New Roman" w:eastAsiaTheme="minorEastAsia" w:hAnsi="Times New Roman" w:cs="Times New Roman"/>
                <w:vertAlign w:val="superscript"/>
              </w:rPr>
              <w:t>a</w:t>
            </w:r>
          </w:p>
        </w:tc>
        <w:tc>
          <w:tcPr>
            <w:tcW w:w="1478" w:type="dxa"/>
          </w:tcPr>
          <w:p w14:paraId="4C8CC5C1"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23.86</w:t>
            </w:r>
            <m:oMath>
              <m:r>
                <w:rPr>
                  <w:rFonts w:ascii="Cambria Math" w:hAnsi="Cambria Math" w:cs="Times New Roman"/>
                </w:rPr>
                <m:t>±0.40</m:t>
              </m:r>
            </m:oMath>
            <w:r>
              <w:rPr>
                <w:rFonts w:ascii="Times New Roman" w:eastAsiaTheme="minorEastAsia" w:hAnsi="Times New Roman" w:cs="Times New Roman"/>
                <w:vertAlign w:val="superscript"/>
              </w:rPr>
              <w:t>a</w:t>
            </w:r>
          </w:p>
        </w:tc>
      </w:tr>
      <w:tr w:rsidR="001518C7" w14:paraId="1809F859" w14:textId="77777777">
        <w:trPr>
          <w:trHeight w:val="256"/>
        </w:trPr>
        <w:tc>
          <w:tcPr>
            <w:tcW w:w="1486" w:type="dxa"/>
          </w:tcPr>
          <w:p w14:paraId="3076B619" w14:textId="77777777" w:rsidR="001518C7" w:rsidRDefault="00000000">
            <w:pPr>
              <w:spacing w:after="0" w:line="360" w:lineRule="auto"/>
              <w:rPr>
                <w:rFonts w:ascii="Times New Roman" w:hAnsi="Times New Roman" w:cs="Times New Roman"/>
              </w:rPr>
            </w:pPr>
            <w:r>
              <w:rPr>
                <w:rFonts w:ascii="Times New Roman" w:hAnsi="Times New Roman" w:cs="Times New Roman"/>
              </w:rPr>
              <w:t>3 months</w:t>
            </w:r>
          </w:p>
        </w:tc>
        <w:tc>
          <w:tcPr>
            <w:tcW w:w="1466" w:type="dxa"/>
          </w:tcPr>
          <w:p w14:paraId="5534A3D0"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33.61</w:t>
            </w:r>
            <m:oMath>
              <m:r>
                <w:rPr>
                  <w:rFonts w:ascii="Cambria Math" w:hAnsi="Cambria Math" w:cs="Times New Roman"/>
                </w:rPr>
                <m:t>±</m:t>
              </m:r>
            </m:oMath>
            <w:r>
              <w:rPr>
                <w:rFonts w:ascii="Times New Roman" w:eastAsiaTheme="minorEastAsia" w:hAnsi="Times New Roman" w:cs="Times New Roman"/>
              </w:rPr>
              <w:t>0.44</w:t>
            </w:r>
            <w:r>
              <w:rPr>
                <w:rFonts w:ascii="Times New Roman" w:eastAsiaTheme="minorEastAsia" w:hAnsi="Times New Roman" w:cs="Times New Roman"/>
                <w:vertAlign w:val="superscript"/>
              </w:rPr>
              <w:t>b</w:t>
            </w:r>
          </w:p>
        </w:tc>
        <w:tc>
          <w:tcPr>
            <w:tcW w:w="1473" w:type="dxa"/>
          </w:tcPr>
          <w:p w14:paraId="5F7D4E62"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38.78</w:t>
            </w:r>
            <m:oMath>
              <m:r>
                <w:rPr>
                  <w:rFonts w:ascii="Cambria Math" w:hAnsi="Cambria Math" w:cs="Times New Roman"/>
                </w:rPr>
                <m:t>±</m:t>
              </m:r>
            </m:oMath>
            <w:r>
              <w:rPr>
                <w:rFonts w:ascii="Times New Roman" w:eastAsiaTheme="minorEastAsia" w:hAnsi="Times New Roman" w:cs="Times New Roman"/>
              </w:rPr>
              <w:t>0.47</w:t>
            </w:r>
            <w:r>
              <w:rPr>
                <w:rFonts w:ascii="Times New Roman" w:eastAsiaTheme="minorEastAsia" w:hAnsi="Times New Roman" w:cs="Times New Roman"/>
                <w:vertAlign w:val="superscript"/>
              </w:rPr>
              <w:t>b</w:t>
            </w:r>
          </w:p>
        </w:tc>
        <w:tc>
          <w:tcPr>
            <w:tcW w:w="1472" w:type="dxa"/>
          </w:tcPr>
          <w:p w14:paraId="6534EE0D"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35.68</w:t>
            </w:r>
            <m:oMath>
              <m:r>
                <w:rPr>
                  <w:rFonts w:ascii="Cambria Math" w:hAnsi="Cambria Math" w:cs="Times New Roman"/>
                </w:rPr>
                <m:t>±</m:t>
              </m:r>
            </m:oMath>
            <w:r>
              <w:rPr>
                <w:rFonts w:ascii="Times New Roman" w:eastAsiaTheme="minorEastAsia" w:hAnsi="Times New Roman" w:cs="Times New Roman"/>
              </w:rPr>
              <w:t>0.48</w:t>
            </w:r>
            <w:r>
              <w:rPr>
                <w:rFonts w:ascii="Times New Roman" w:eastAsiaTheme="minorEastAsia" w:hAnsi="Times New Roman" w:cs="Times New Roman"/>
                <w:vertAlign w:val="superscript"/>
              </w:rPr>
              <w:t>b</w:t>
            </w:r>
          </w:p>
        </w:tc>
        <w:tc>
          <w:tcPr>
            <w:tcW w:w="1621" w:type="dxa"/>
          </w:tcPr>
          <w:p w14:paraId="3A9D4A81"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25.78</w:t>
            </w:r>
            <m:oMath>
              <m:r>
                <w:rPr>
                  <w:rFonts w:ascii="Cambria Math" w:hAnsi="Cambria Math" w:cs="Times New Roman"/>
                </w:rPr>
                <m:t>±</m:t>
              </m:r>
            </m:oMath>
            <w:r>
              <w:rPr>
                <w:rFonts w:ascii="Times New Roman" w:eastAsiaTheme="minorEastAsia" w:hAnsi="Times New Roman" w:cs="Times New Roman"/>
              </w:rPr>
              <w:t>0.42</w:t>
            </w:r>
            <w:r>
              <w:rPr>
                <w:rFonts w:ascii="Times New Roman" w:eastAsiaTheme="minorEastAsia" w:hAnsi="Times New Roman" w:cs="Times New Roman"/>
                <w:vertAlign w:val="superscript"/>
              </w:rPr>
              <w:t>b</w:t>
            </w:r>
          </w:p>
        </w:tc>
        <w:tc>
          <w:tcPr>
            <w:tcW w:w="1478" w:type="dxa"/>
          </w:tcPr>
          <w:p w14:paraId="3F401247"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43.00</w:t>
            </w:r>
            <m:oMath>
              <m:r>
                <w:rPr>
                  <w:rFonts w:ascii="Cambria Math" w:hAnsi="Cambria Math" w:cs="Times New Roman"/>
                </w:rPr>
                <m:t>±</m:t>
              </m:r>
            </m:oMath>
            <w:r>
              <w:rPr>
                <w:rFonts w:ascii="Times New Roman" w:eastAsiaTheme="minorEastAsia" w:hAnsi="Times New Roman" w:cs="Times New Roman"/>
              </w:rPr>
              <w:t>0.67</w:t>
            </w:r>
            <w:r>
              <w:rPr>
                <w:rFonts w:ascii="Times New Roman" w:eastAsiaTheme="minorEastAsia" w:hAnsi="Times New Roman" w:cs="Times New Roman"/>
                <w:vertAlign w:val="superscript"/>
              </w:rPr>
              <w:t>b</w:t>
            </w:r>
          </w:p>
        </w:tc>
      </w:tr>
      <w:tr w:rsidR="001518C7" w14:paraId="5DA5BF1F" w14:textId="77777777">
        <w:trPr>
          <w:trHeight w:val="256"/>
        </w:trPr>
        <w:tc>
          <w:tcPr>
            <w:tcW w:w="1486" w:type="dxa"/>
          </w:tcPr>
          <w:p w14:paraId="51893DE8" w14:textId="77777777" w:rsidR="001518C7" w:rsidRDefault="00000000">
            <w:pPr>
              <w:spacing w:after="0" w:line="360" w:lineRule="auto"/>
              <w:rPr>
                <w:rFonts w:ascii="Times New Roman" w:hAnsi="Times New Roman" w:cs="Times New Roman"/>
              </w:rPr>
            </w:pPr>
            <w:r>
              <w:rPr>
                <w:rFonts w:ascii="Times New Roman" w:hAnsi="Times New Roman" w:cs="Times New Roman"/>
              </w:rPr>
              <w:t>1 year</w:t>
            </w:r>
          </w:p>
        </w:tc>
        <w:tc>
          <w:tcPr>
            <w:tcW w:w="1466" w:type="dxa"/>
          </w:tcPr>
          <w:p w14:paraId="1918C360"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57.40</w:t>
            </w:r>
            <m:oMath>
              <m:r>
                <w:rPr>
                  <w:rFonts w:ascii="Cambria Math" w:hAnsi="Cambria Math" w:cs="Times New Roman"/>
                </w:rPr>
                <m:t>±</m:t>
              </m:r>
            </m:oMath>
            <w:r>
              <w:rPr>
                <w:rFonts w:ascii="Times New Roman" w:eastAsiaTheme="minorEastAsia" w:hAnsi="Times New Roman" w:cs="Times New Roman"/>
              </w:rPr>
              <w:t>0.55</w:t>
            </w:r>
            <w:r>
              <w:rPr>
                <w:rFonts w:ascii="Times New Roman" w:eastAsiaTheme="minorEastAsia" w:hAnsi="Times New Roman" w:cs="Times New Roman"/>
                <w:vertAlign w:val="superscript"/>
              </w:rPr>
              <w:t>c</w:t>
            </w:r>
          </w:p>
        </w:tc>
        <w:tc>
          <w:tcPr>
            <w:tcW w:w="1473" w:type="dxa"/>
          </w:tcPr>
          <w:p w14:paraId="660C0866"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64.78</w:t>
            </w:r>
            <m:oMath>
              <m:r>
                <w:rPr>
                  <w:rFonts w:ascii="Cambria Math" w:hAnsi="Cambria Math" w:cs="Times New Roman"/>
                </w:rPr>
                <m:t>±0.75</m:t>
              </m:r>
            </m:oMath>
            <w:r>
              <w:rPr>
                <w:rFonts w:ascii="Times New Roman" w:eastAsiaTheme="minorEastAsia" w:hAnsi="Times New Roman" w:cs="Times New Roman"/>
                <w:vertAlign w:val="superscript"/>
              </w:rPr>
              <w:t>c</w:t>
            </w:r>
          </w:p>
        </w:tc>
        <w:tc>
          <w:tcPr>
            <w:tcW w:w="1472" w:type="dxa"/>
          </w:tcPr>
          <w:p w14:paraId="76AB18AD"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60.18</w:t>
            </w:r>
            <m:oMath>
              <m:r>
                <w:rPr>
                  <w:rFonts w:ascii="Cambria Math" w:hAnsi="Cambria Math" w:cs="Times New Roman"/>
                </w:rPr>
                <m:t>±</m:t>
              </m:r>
            </m:oMath>
            <w:r>
              <w:rPr>
                <w:rFonts w:ascii="Times New Roman" w:eastAsiaTheme="minorEastAsia" w:hAnsi="Times New Roman" w:cs="Times New Roman"/>
              </w:rPr>
              <w:t>0.87</w:t>
            </w:r>
            <w:r>
              <w:rPr>
                <w:rFonts w:ascii="Times New Roman" w:eastAsiaTheme="minorEastAsia" w:hAnsi="Times New Roman" w:cs="Times New Roman"/>
                <w:vertAlign w:val="superscript"/>
              </w:rPr>
              <w:t>c</w:t>
            </w:r>
          </w:p>
        </w:tc>
        <w:tc>
          <w:tcPr>
            <w:tcW w:w="1621" w:type="dxa"/>
          </w:tcPr>
          <w:p w14:paraId="1CDEAD12" w14:textId="77777777" w:rsidR="001518C7" w:rsidRDefault="00000000">
            <w:pPr>
              <w:spacing w:after="0" w:line="360" w:lineRule="auto"/>
              <w:rPr>
                <w:rFonts w:ascii="Times New Roman" w:eastAsiaTheme="minorEastAsia" w:hAnsi="Times New Roman" w:cs="Times New Roman"/>
                <w:vertAlign w:val="superscript"/>
              </w:rPr>
            </w:pPr>
            <w:r>
              <w:rPr>
                <w:rFonts w:ascii="Times New Roman" w:hAnsi="Times New Roman" w:cs="Times New Roman"/>
              </w:rPr>
              <w:t>39.93</w:t>
            </w:r>
            <m:oMath>
              <m:r>
                <w:rPr>
                  <w:rFonts w:ascii="Cambria Math" w:hAnsi="Cambria Math" w:cs="Times New Roman"/>
                </w:rPr>
                <m:t>±</m:t>
              </m:r>
            </m:oMath>
            <w:r>
              <w:rPr>
                <w:rFonts w:ascii="Times New Roman" w:eastAsiaTheme="minorEastAsia" w:hAnsi="Times New Roman" w:cs="Times New Roman"/>
              </w:rPr>
              <w:t>0.80</w:t>
            </w:r>
            <w:r>
              <w:rPr>
                <w:rFonts w:ascii="Times New Roman" w:eastAsiaTheme="minorEastAsia" w:hAnsi="Times New Roman" w:cs="Times New Roman"/>
                <w:vertAlign w:val="superscript"/>
              </w:rPr>
              <w:t>c</w:t>
            </w:r>
          </w:p>
        </w:tc>
        <w:tc>
          <w:tcPr>
            <w:tcW w:w="1478" w:type="dxa"/>
          </w:tcPr>
          <w:p w14:paraId="25A247B5"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62.33</w:t>
            </w:r>
            <m:oMath>
              <m:r>
                <w:rPr>
                  <w:rFonts w:ascii="Cambria Math" w:hAnsi="Cambria Math" w:cs="Times New Roman"/>
                </w:rPr>
                <m:t>±</m:t>
              </m:r>
            </m:oMath>
            <w:r>
              <w:rPr>
                <w:rFonts w:ascii="Times New Roman" w:eastAsiaTheme="minorEastAsia" w:hAnsi="Times New Roman" w:cs="Times New Roman"/>
              </w:rPr>
              <w:t>0.69</w:t>
            </w:r>
            <w:r>
              <w:rPr>
                <w:rFonts w:ascii="Times New Roman" w:eastAsiaTheme="minorEastAsia" w:hAnsi="Times New Roman" w:cs="Times New Roman"/>
                <w:vertAlign w:val="superscript"/>
              </w:rPr>
              <w:t>c</w:t>
            </w:r>
          </w:p>
        </w:tc>
      </w:tr>
      <w:tr w:rsidR="001518C7" w14:paraId="70084DB1" w14:textId="77777777">
        <w:trPr>
          <w:trHeight w:val="256"/>
        </w:trPr>
        <w:tc>
          <w:tcPr>
            <w:tcW w:w="1486" w:type="dxa"/>
          </w:tcPr>
          <w:p w14:paraId="3AA1F655" w14:textId="77777777" w:rsidR="001518C7" w:rsidRDefault="00000000">
            <w:pPr>
              <w:spacing w:after="0" w:line="360" w:lineRule="auto"/>
              <w:rPr>
                <w:rFonts w:ascii="Times New Roman" w:hAnsi="Times New Roman" w:cs="Times New Roman"/>
              </w:rPr>
            </w:pPr>
            <w:r>
              <w:rPr>
                <w:rFonts w:ascii="Times New Roman" w:hAnsi="Times New Roman" w:cs="Times New Roman"/>
              </w:rPr>
              <w:t>3 years</w:t>
            </w:r>
          </w:p>
        </w:tc>
        <w:tc>
          <w:tcPr>
            <w:tcW w:w="1466" w:type="dxa"/>
          </w:tcPr>
          <w:p w14:paraId="7273EE32"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64.20</w:t>
            </w:r>
            <m:oMath>
              <m:r>
                <w:rPr>
                  <w:rFonts w:ascii="Cambria Math" w:hAnsi="Cambria Math" w:cs="Times New Roman"/>
                </w:rPr>
                <m:t>±</m:t>
              </m:r>
            </m:oMath>
            <w:r>
              <w:rPr>
                <w:rFonts w:ascii="Times New Roman" w:eastAsiaTheme="minorEastAsia" w:hAnsi="Times New Roman" w:cs="Times New Roman"/>
              </w:rPr>
              <w:t>0.80</w:t>
            </w:r>
            <w:r>
              <w:rPr>
                <w:rFonts w:ascii="Times New Roman" w:eastAsiaTheme="minorEastAsia" w:hAnsi="Times New Roman" w:cs="Times New Roman"/>
                <w:vertAlign w:val="superscript"/>
              </w:rPr>
              <w:t>d</w:t>
            </w:r>
          </w:p>
        </w:tc>
        <w:tc>
          <w:tcPr>
            <w:tcW w:w="1473" w:type="dxa"/>
          </w:tcPr>
          <w:p w14:paraId="6485F3C4"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68.73</w:t>
            </w:r>
            <m:oMath>
              <m:r>
                <w:rPr>
                  <w:rFonts w:ascii="Cambria Math" w:hAnsi="Cambria Math" w:cs="Times New Roman"/>
                </w:rPr>
                <m:t>±</m:t>
              </m:r>
            </m:oMath>
            <w:r>
              <w:rPr>
                <w:rFonts w:ascii="Times New Roman" w:eastAsiaTheme="minorEastAsia" w:hAnsi="Times New Roman" w:cs="Times New Roman"/>
              </w:rPr>
              <w:t>0.98</w:t>
            </w:r>
            <w:r>
              <w:rPr>
                <w:rFonts w:ascii="Times New Roman" w:eastAsiaTheme="minorEastAsia" w:hAnsi="Times New Roman" w:cs="Times New Roman"/>
                <w:vertAlign w:val="superscript"/>
              </w:rPr>
              <w:t>d</w:t>
            </w:r>
          </w:p>
        </w:tc>
        <w:tc>
          <w:tcPr>
            <w:tcW w:w="1472" w:type="dxa"/>
          </w:tcPr>
          <w:p w14:paraId="01E58CEF"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65.43</w:t>
            </w:r>
            <m:oMath>
              <m:r>
                <w:rPr>
                  <w:rFonts w:ascii="Cambria Math" w:hAnsi="Cambria Math" w:cs="Times New Roman"/>
                </w:rPr>
                <m:t>±</m:t>
              </m:r>
            </m:oMath>
            <w:r>
              <w:rPr>
                <w:rFonts w:ascii="Times New Roman" w:eastAsiaTheme="minorEastAsia" w:hAnsi="Times New Roman" w:cs="Times New Roman"/>
              </w:rPr>
              <w:t>1.12</w:t>
            </w:r>
            <w:r>
              <w:rPr>
                <w:rFonts w:ascii="Times New Roman" w:eastAsiaTheme="minorEastAsia" w:hAnsi="Times New Roman" w:cs="Times New Roman"/>
                <w:vertAlign w:val="superscript"/>
              </w:rPr>
              <w:t>d</w:t>
            </w:r>
          </w:p>
        </w:tc>
        <w:tc>
          <w:tcPr>
            <w:tcW w:w="1621" w:type="dxa"/>
          </w:tcPr>
          <w:p w14:paraId="5E5C616C"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45.48</w:t>
            </w:r>
            <m:oMath>
              <m:r>
                <w:rPr>
                  <w:rFonts w:ascii="Cambria Math" w:hAnsi="Cambria Math" w:cs="Times New Roman"/>
                </w:rPr>
                <m:t>±</m:t>
              </m:r>
            </m:oMath>
            <w:r>
              <w:rPr>
                <w:rFonts w:ascii="Times New Roman" w:eastAsiaTheme="minorEastAsia" w:hAnsi="Times New Roman" w:cs="Times New Roman"/>
              </w:rPr>
              <w:t>1.34</w:t>
            </w:r>
            <w:r>
              <w:rPr>
                <w:rFonts w:ascii="Times New Roman" w:eastAsiaTheme="minorEastAsia" w:hAnsi="Times New Roman" w:cs="Times New Roman"/>
                <w:vertAlign w:val="superscript"/>
              </w:rPr>
              <w:t>d</w:t>
            </w:r>
          </w:p>
        </w:tc>
        <w:tc>
          <w:tcPr>
            <w:tcW w:w="1478" w:type="dxa"/>
          </w:tcPr>
          <w:p w14:paraId="191259B6" w14:textId="77777777" w:rsidR="001518C7" w:rsidRDefault="00000000">
            <w:pPr>
              <w:spacing w:after="0" w:line="360" w:lineRule="auto"/>
              <w:rPr>
                <w:rFonts w:ascii="Times New Roman" w:hAnsi="Times New Roman" w:cs="Times New Roman"/>
                <w:vertAlign w:val="superscript"/>
              </w:rPr>
            </w:pPr>
            <w:r>
              <w:rPr>
                <w:rFonts w:ascii="Times New Roman" w:hAnsi="Times New Roman" w:cs="Times New Roman"/>
              </w:rPr>
              <w:t>75.51</w:t>
            </w:r>
            <m:oMath>
              <m:r>
                <w:rPr>
                  <w:rFonts w:ascii="Cambria Math" w:hAnsi="Cambria Math" w:cs="Times New Roman"/>
                </w:rPr>
                <m:t>±1.36</m:t>
              </m:r>
            </m:oMath>
            <w:r>
              <w:rPr>
                <w:rFonts w:ascii="Times New Roman" w:eastAsiaTheme="minorEastAsia" w:hAnsi="Times New Roman" w:cs="Times New Roman"/>
                <w:vertAlign w:val="superscript"/>
              </w:rPr>
              <w:t>d</w:t>
            </w:r>
          </w:p>
        </w:tc>
      </w:tr>
    </w:tbl>
    <w:p w14:paraId="09997072" w14:textId="77777777" w:rsidR="001518C7" w:rsidRDefault="001518C7">
      <w:pPr>
        <w:spacing w:after="0" w:line="360" w:lineRule="auto"/>
        <w:jc w:val="both"/>
        <w:rPr>
          <w:rFonts w:ascii="Times New Roman" w:hAnsi="Times New Roman"/>
          <w:sz w:val="24"/>
          <w:szCs w:val="24"/>
          <w:lang w:val="en-US"/>
        </w:rPr>
      </w:pPr>
    </w:p>
    <w:p w14:paraId="5E7B83AE"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2</w:t>
      </w:r>
      <w:r>
        <w:rPr>
          <w:rFonts w:ascii="Times New Roman" w:hAnsi="Times New Roman"/>
          <w:b/>
          <w:bCs/>
          <w:sz w:val="24"/>
          <w:szCs w:val="24"/>
          <w:lang w:val="en-US"/>
        </w:rPr>
        <w:t>. Body and Back Length</w:t>
      </w:r>
    </w:p>
    <w:p w14:paraId="437781E1"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The body length of the German Shepherds expanded from approximately 30 cm during the first month to around 80 cm by the age of 3 years. This significant elongation is essential for the dog's agility and stride length, which are critical for their effectiveness as working dogs (Ellis </w:t>
      </w:r>
      <w:r>
        <w:rPr>
          <w:rFonts w:ascii="Times New Roman" w:hAnsi="Times New Roman"/>
          <w:i/>
          <w:sz w:val="24"/>
          <w:szCs w:val="24"/>
          <w:lang w:val="en-US"/>
        </w:rPr>
        <w:t>et al</w:t>
      </w:r>
      <w:r>
        <w:rPr>
          <w:rFonts w:ascii="Times New Roman" w:hAnsi="Times New Roman"/>
          <w:sz w:val="24"/>
          <w:szCs w:val="24"/>
          <w:lang w:val="en-US"/>
        </w:rPr>
        <w:t xml:space="preserve">., 2009). Similar trends were observed in back length, supporting the idea that lengthening and stability in the spine contribute to locomotor efficiency (Humphries </w:t>
      </w:r>
      <w:r>
        <w:rPr>
          <w:rFonts w:ascii="Times New Roman" w:hAnsi="Times New Roman"/>
          <w:i/>
          <w:sz w:val="24"/>
          <w:szCs w:val="24"/>
          <w:lang w:val="en-US"/>
        </w:rPr>
        <w:t>et al</w:t>
      </w:r>
      <w:r>
        <w:rPr>
          <w:rFonts w:ascii="Times New Roman" w:hAnsi="Times New Roman"/>
          <w:sz w:val="24"/>
          <w:szCs w:val="24"/>
          <w:lang w:val="en-US"/>
        </w:rPr>
        <w:t>., 2020).</w:t>
      </w:r>
    </w:p>
    <w:p w14:paraId="5ABE5C25" w14:textId="77777777" w:rsidR="001518C7" w:rsidRDefault="001518C7">
      <w:pPr>
        <w:spacing w:after="0" w:line="360" w:lineRule="auto"/>
        <w:jc w:val="both"/>
        <w:rPr>
          <w:rFonts w:ascii="Times New Roman" w:hAnsi="Times New Roman"/>
          <w:b/>
          <w:bCs/>
          <w:sz w:val="24"/>
          <w:szCs w:val="24"/>
          <w:lang w:val="en-US"/>
        </w:rPr>
      </w:pPr>
    </w:p>
    <w:tbl>
      <w:tblPr>
        <w:tblStyle w:val="TableGrid"/>
        <w:tblW w:w="8775" w:type="dxa"/>
        <w:jc w:val="center"/>
        <w:tblLook w:val="04A0" w:firstRow="1" w:lastRow="0" w:firstColumn="1" w:lastColumn="0" w:noHBand="0" w:noVBand="1"/>
      </w:tblPr>
      <w:tblGrid>
        <w:gridCol w:w="8775"/>
      </w:tblGrid>
      <w:tr w:rsidR="001518C7" w14:paraId="723B2CC0" w14:textId="77777777">
        <w:trPr>
          <w:trHeight w:val="4700"/>
          <w:jc w:val="center"/>
        </w:trPr>
        <w:tc>
          <w:tcPr>
            <w:tcW w:w="8775" w:type="dxa"/>
          </w:tcPr>
          <w:p w14:paraId="53E1D540" w14:textId="77777777" w:rsidR="001518C7" w:rsidRDefault="00000000">
            <w:pPr>
              <w:spacing w:after="0" w:line="360" w:lineRule="auto"/>
              <w:jc w:val="both"/>
              <w:rPr>
                <w:rFonts w:ascii="Times New Roman" w:hAnsi="Times New Roman"/>
                <w:b/>
                <w:bCs/>
                <w:sz w:val="24"/>
                <w:szCs w:val="24"/>
                <w:lang w:val="en-US"/>
              </w:rPr>
            </w:pPr>
            <w:r>
              <w:rPr>
                <w:rFonts w:ascii="Times New Roman" w:hAnsi="Times New Roman"/>
                <w:b/>
                <w:bCs/>
                <w:noProof/>
                <w:sz w:val="24"/>
                <w:szCs w:val="24"/>
                <w:lang w:val="en-US"/>
              </w:rPr>
              <w:lastRenderedPageBreak/>
              <w:drawing>
                <wp:inline distT="0" distB="0" distL="114300" distR="114300" wp14:anchorId="2E10F741" wp14:editId="5BEA32AE">
                  <wp:extent cx="2609215" cy="2548890"/>
                  <wp:effectExtent l="0" t="0" r="635" b="3810"/>
                  <wp:docPr id="3" name="Picture 3" descr="20230416_17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30416_171953"/>
                          <pic:cNvPicPr>
                            <a:picLocks noChangeAspect="1"/>
                          </pic:cNvPicPr>
                        </pic:nvPicPr>
                        <pic:blipFill>
                          <a:blip r:embed="rId9"/>
                          <a:stretch>
                            <a:fillRect/>
                          </a:stretch>
                        </pic:blipFill>
                        <pic:spPr>
                          <a:xfrm>
                            <a:off x="0" y="0"/>
                            <a:ext cx="2609215" cy="2548890"/>
                          </a:xfrm>
                          <a:prstGeom prst="rect">
                            <a:avLst/>
                          </a:prstGeom>
                        </pic:spPr>
                      </pic:pic>
                    </a:graphicData>
                  </a:graphic>
                </wp:inline>
              </w:drawing>
            </w:r>
            <w:r>
              <w:rPr>
                <w:rFonts w:ascii="Times New Roman" w:hAnsi="Times New Roman"/>
                <w:b/>
                <w:bCs/>
                <w:sz w:val="24"/>
                <w:szCs w:val="24"/>
                <w:lang w:val="en-US"/>
              </w:rPr>
              <w:t xml:space="preserve">   </w:t>
            </w:r>
            <w:r>
              <w:rPr>
                <w:rFonts w:ascii="Times New Roman" w:hAnsi="Times New Roman"/>
                <w:b/>
                <w:bCs/>
                <w:noProof/>
                <w:sz w:val="24"/>
                <w:szCs w:val="24"/>
                <w:lang w:val="en-US"/>
              </w:rPr>
              <w:drawing>
                <wp:inline distT="0" distB="0" distL="114300" distR="114300" wp14:anchorId="42A734A6" wp14:editId="239B8C50">
                  <wp:extent cx="2540635" cy="2630170"/>
                  <wp:effectExtent l="0" t="0" r="17780" b="12065"/>
                  <wp:docPr id="4" name="Picture 4" descr="20230416_17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30416_171452"/>
                          <pic:cNvPicPr>
                            <a:picLocks noChangeAspect="1"/>
                          </pic:cNvPicPr>
                        </pic:nvPicPr>
                        <pic:blipFill>
                          <a:blip r:embed="rId10"/>
                          <a:srcRect l="16501" t="3066" r="44756" b="2698"/>
                          <a:stretch>
                            <a:fillRect/>
                          </a:stretch>
                        </pic:blipFill>
                        <pic:spPr>
                          <a:xfrm rot="5400000">
                            <a:off x="0" y="0"/>
                            <a:ext cx="2540635" cy="2630170"/>
                          </a:xfrm>
                          <a:prstGeom prst="rect">
                            <a:avLst/>
                          </a:prstGeom>
                        </pic:spPr>
                      </pic:pic>
                    </a:graphicData>
                  </a:graphic>
                </wp:inline>
              </w:drawing>
            </w:r>
          </w:p>
          <w:p w14:paraId="19BEE1FA" w14:textId="77777777" w:rsidR="001518C7" w:rsidRDefault="001518C7">
            <w:pPr>
              <w:spacing w:after="0" w:line="360" w:lineRule="auto"/>
              <w:jc w:val="both"/>
              <w:rPr>
                <w:rFonts w:ascii="Times New Roman" w:hAnsi="Times New Roman"/>
                <w:b/>
                <w:bCs/>
                <w:sz w:val="24"/>
                <w:szCs w:val="24"/>
                <w:lang w:val="en-US"/>
              </w:rPr>
            </w:pPr>
          </w:p>
          <w:p w14:paraId="4AEFF29C" w14:textId="77777777" w:rsidR="001518C7" w:rsidRDefault="00000000">
            <w:pPr>
              <w:spacing w:after="0" w:line="360" w:lineRule="auto"/>
              <w:jc w:val="center"/>
              <w:rPr>
                <w:rFonts w:ascii="Times New Roman" w:hAnsi="Times New Roman"/>
                <w:b/>
                <w:bCs/>
                <w:sz w:val="24"/>
                <w:szCs w:val="24"/>
                <w:lang w:val="en-US"/>
              </w:rPr>
            </w:pPr>
            <w:r>
              <w:rPr>
                <w:rFonts w:ascii="Times New Roman" w:hAnsi="Times New Roman"/>
                <w:sz w:val="24"/>
                <w:szCs w:val="24"/>
                <w:lang w:val="en-US"/>
              </w:rPr>
              <w:t>Fig 2.  Measurement of heart girth at different age groups</w:t>
            </w:r>
          </w:p>
        </w:tc>
      </w:tr>
    </w:tbl>
    <w:p w14:paraId="6330B909" w14:textId="77777777" w:rsidR="001518C7" w:rsidRDefault="001518C7">
      <w:pPr>
        <w:spacing w:after="0" w:line="360" w:lineRule="auto"/>
        <w:jc w:val="both"/>
        <w:rPr>
          <w:rFonts w:ascii="Times New Roman" w:hAnsi="Times New Roman"/>
          <w:b/>
          <w:bCs/>
          <w:sz w:val="24"/>
          <w:szCs w:val="24"/>
          <w:lang w:val="en-US"/>
        </w:rPr>
      </w:pPr>
    </w:p>
    <w:p w14:paraId="5F376EB3" w14:textId="77777777" w:rsidR="001518C7" w:rsidRDefault="001518C7">
      <w:pPr>
        <w:spacing w:after="0" w:line="360" w:lineRule="auto"/>
        <w:jc w:val="both"/>
        <w:rPr>
          <w:rFonts w:ascii="Times New Roman" w:hAnsi="Times New Roman"/>
          <w:b/>
          <w:bCs/>
          <w:sz w:val="24"/>
          <w:szCs w:val="24"/>
          <w:lang w:val="en-US"/>
        </w:rPr>
      </w:pPr>
    </w:p>
    <w:p w14:paraId="6C9EC076" w14:textId="77777777" w:rsidR="001518C7" w:rsidRDefault="001518C7">
      <w:pPr>
        <w:spacing w:after="0" w:line="360" w:lineRule="auto"/>
        <w:jc w:val="both"/>
        <w:rPr>
          <w:rFonts w:ascii="Times New Roman" w:hAnsi="Times New Roman"/>
          <w:b/>
          <w:bCs/>
          <w:sz w:val="24"/>
          <w:szCs w:val="24"/>
          <w:lang w:val="en-US"/>
        </w:rPr>
      </w:pPr>
    </w:p>
    <w:p w14:paraId="214A5D3D"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b/>
          <w:bCs/>
          <w:sz w:val="24"/>
          <w:szCs w:val="24"/>
          <w:lang w:val="en-US"/>
        </w:rPr>
        <w:t>3. Heart Girth and Neck Girth</w:t>
      </w:r>
    </w:p>
    <w:p w14:paraId="3CE7B611"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Heart girth, a crucial indicator of cardiopulmonary capacity, showed a substantial increase, expanding from about 35 cm at 1 month to 85 cm by 3 years (Fig 2). This increase not only supports the physical growth of the dog but also indicates its potential performance capabilities in various activities. Additionally, neck girth increased from approximately 20 cm to 38 cm, which is vital for enabling adequate development of head and neck musculature (Coli </w:t>
      </w:r>
      <w:r>
        <w:rPr>
          <w:rFonts w:ascii="Times New Roman" w:hAnsi="Times New Roman"/>
          <w:i/>
          <w:sz w:val="24"/>
          <w:szCs w:val="24"/>
          <w:lang w:val="en-US"/>
        </w:rPr>
        <w:t>et al</w:t>
      </w:r>
      <w:r>
        <w:rPr>
          <w:rFonts w:ascii="Times New Roman" w:hAnsi="Times New Roman"/>
          <w:sz w:val="24"/>
          <w:szCs w:val="24"/>
          <w:lang w:val="en-US"/>
        </w:rPr>
        <w:t xml:space="preserve">., 2023; Simoens </w:t>
      </w:r>
      <w:r>
        <w:rPr>
          <w:rFonts w:ascii="Times New Roman" w:hAnsi="Times New Roman"/>
          <w:i/>
          <w:sz w:val="24"/>
          <w:szCs w:val="24"/>
          <w:lang w:val="en-US"/>
        </w:rPr>
        <w:t>et al</w:t>
      </w:r>
      <w:r>
        <w:rPr>
          <w:rFonts w:ascii="Times New Roman" w:hAnsi="Times New Roman"/>
          <w:sz w:val="24"/>
          <w:szCs w:val="24"/>
          <w:lang w:val="en-US"/>
        </w:rPr>
        <w:t>., 1994). Such development emphasizes the breed's active lifestyle, requiring robust musculature for various physical demands.</w:t>
      </w:r>
    </w:p>
    <w:p w14:paraId="204079E7" w14:textId="77777777" w:rsidR="001518C7" w:rsidRDefault="001518C7">
      <w:pPr>
        <w:spacing w:after="0" w:line="360" w:lineRule="auto"/>
        <w:jc w:val="both"/>
        <w:rPr>
          <w:rFonts w:ascii="Times New Roman" w:hAnsi="Times New Roman"/>
          <w:sz w:val="24"/>
          <w:szCs w:val="24"/>
          <w:lang w:val="en-US"/>
        </w:rPr>
      </w:pPr>
    </w:p>
    <w:p w14:paraId="64915095" w14:textId="77777777" w:rsidR="001518C7" w:rsidRDefault="001518C7">
      <w:pPr>
        <w:spacing w:after="0" w:line="360" w:lineRule="auto"/>
        <w:jc w:val="both"/>
        <w:rPr>
          <w:rFonts w:ascii="Times New Roman" w:hAnsi="Times New Roman"/>
          <w:sz w:val="24"/>
          <w:szCs w:val="24"/>
          <w:lang w:val="en-US"/>
        </w:rPr>
      </w:pPr>
    </w:p>
    <w:p w14:paraId="35CD50C7"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b/>
          <w:bCs/>
          <w:sz w:val="24"/>
          <w:szCs w:val="24"/>
          <w:lang w:val="en-US"/>
        </w:rPr>
        <w:t>4. Rear Height</w:t>
      </w:r>
    </w:p>
    <w:p w14:paraId="20A0A44F"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The rear height measurements were noted to be slightly higher than the withers height at all stages, reflecting the characteristic sloped topline associated with the German Shepherd breed. This angulation is not just a physical trait but plays a role in optimizing gait efficiency, allowing for better propulsion and movement (Geiger </w:t>
      </w:r>
      <w:r>
        <w:rPr>
          <w:rFonts w:ascii="Times New Roman" w:hAnsi="Times New Roman"/>
          <w:i/>
          <w:sz w:val="24"/>
          <w:szCs w:val="24"/>
          <w:lang w:val="en-US"/>
        </w:rPr>
        <w:t>et al</w:t>
      </w:r>
      <w:r>
        <w:rPr>
          <w:rFonts w:ascii="Times New Roman" w:hAnsi="Times New Roman"/>
          <w:sz w:val="24"/>
          <w:szCs w:val="24"/>
          <w:lang w:val="en-US"/>
        </w:rPr>
        <w:t xml:space="preserve">., 2017; </w:t>
      </w:r>
      <w:proofErr w:type="spellStart"/>
      <w:r>
        <w:rPr>
          <w:rFonts w:ascii="Times New Roman" w:hAnsi="Times New Roman"/>
          <w:sz w:val="24"/>
          <w:szCs w:val="24"/>
          <w:lang w:val="en-US"/>
        </w:rPr>
        <w:t>Schoenebeck</w:t>
      </w:r>
      <w:proofErr w:type="spellEnd"/>
      <w:r>
        <w:rPr>
          <w:rFonts w:ascii="Times New Roman" w:hAnsi="Times New Roman"/>
          <w:sz w:val="24"/>
          <w:szCs w:val="24"/>
          <w:lang w:val="en-US"/>
        </w:rPr>
        <w:t xml:space="preserve"> &amp; Ostrander, 2013).</w:t>
      </w:r>
    </w:p>
    <w:p w14:paraId="4DCC1F26" w14:textId="77777777" w:rsidR="001518C7" w:rsidRDefault="001518C7">
      <w:pPr>
        <w:spacing w:after="0" w:line="360" w:lineRule="auto"/>
        <w:jc w:val="both"/>
        <w:rPr>
          <w:rFonts w:ascii="Times New Roman" w:hAnsi="Times New Roman"/>
          <w:sz w:val="24"/>
          <w:szCs w:val="24"/>
          <w:lang w:val="en-US"/>
        </w:rPr>
      </w:pPr>
    </w:p>
    <w:p w14:paraId="2AD3D457" w14:textId="77777777" w:rsidR="001518C7" w:rsidRDefault="00000000">
      <w:pPr>
        <w:spacing w:after="0" w:line="360" w:lineRule="auto"/>
        <w:jc w:val="both"/>
        <w:rPr>
          <w:rFonts w:ascii="Times New Roman" w:hAnsi="Times New Roman"/>
          <w:b/>
          <w:bCs/>
          <w:sz w:val="24"/>
          <w:szCs w:val="24"/>
          <w:lang w:val="en-US"/>
        </w:rPr>
      </w:pPr>
      <w:r>
        <w:rPr>
          <w:rFonts w:ascii="Times New Roman" w:hAnsi="Times New Roman"/>
          <w:b/>
          <w:bCs/>
          <w:sz w:val="24"/>
          <w:szCs w:val="24"/>
          <w:lang w:val="en-US"/>
        </w:rPr>
        <w:t>External Skull Morphometry</w:t>
      </w:r>
    </w:p>
    <w:p w14:paraId="1B85D7C9"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b/>
          <w:bCs/>
          <w:sz w:val="24"/>
          <w:szCs w:val="24"/>
          <w:lang w:val="en-US"/>
        </w:rPr>
        <w:t>1. Skull Length and Width</w:t>
      </w:r>
    </w:p>
    <w:p w14:paraId="78B40D1D"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lastRenderedPageBreak/>
        <w:t>Skull morphometry revealed significant changes, with skull length increasing nearly 3.5 times from 1 month to 3 years, while the skull width showed a 1.8-fold increase. This disproportionate growth resulted in a decreasing skull index, indicating elongation typical of mesocephalic dog breeds (</w:t>
      </w:r>
      <w:proofErr w:type="spellStart"/>
      <w:r>
        <w:rPr>
          <w:rFonts w:ascii="Times New Roman" w:hAnsi="Times New Roman"/>
          <w:sz w:val="24"/>
          <w:szCs w:val="24"/>
          <w:lang w:val="en-US"/>
        </w:rPr>
        <w:t>Onar</w:t>
      </w:r>
      <w:proofErr w:type="spellEnd"/>
      <w:r>
        <w:rPr>
          <w:rFonts w:ascii="Times New Roman" w:hAnsi="Times New Roman"/>
          <w:sz w:val="24"/>
          <w:szCs w:val="24"/>
          <w:lang w:val="en-US"/>
        </w:rPr>
        <w:t>, 2003; Huber, 1947). The findings align with natural cranial development patterns observed in other large breeds, establishing consistent patterns across canine anatomy (</w:t>
      </w:r>
      <w:proofErr w:type="spellStart"/>
      <w:r>
        <w:rPr>
          <w:rFonts w:ascii="Times New Roman" w:hAnsi="Times New Roman"/>
          <w:sz w:val="24"/>
          <w:szCs w:val="24"/>
          <w:lang w:val="en-US"/>
        </w:rPr>
        <w:t>Regodon</w:t>
      </w:r>
      <w:proofErr w:type="spellEnd"/>
      <w:r>
        <w:rPr>
          <w:rFonts w:ascii="Times New Roman" w:hAnsi="Times New Roman"/>
          <w:sz w:val="24"/>
          <w:szCs w:val="24"/>
          <w:lang w:val="en-US"/>
        </w:rPr>
        <w:t xml:space="preserve"> </w:t>
      </w:r>
      <w:r>
        <w:rPr>
          <w:rFonts w:ascii="Times New Roman" w:hAnsi="Times New Roman"/>
          <w:i/>
          <w:sz w:val="24"/>
          <w:szCs w:val="24"/>
          <w:lang w:val="en-US"/>
        </w:rPr>
        <w:t>et al</w:t>
      </w:r>
      <w:r>
        <w:rPr>
          <w:rFonts w:ascii="Times New Roman" w:hAnsi="Times New Roman"/>
          <w:sz w:val="24"/>
          <w:szCs w:val="24"/>
          <w:lang w:val="en-US"/>
        </w:rPr>
        <w:t xml:space="preserve">., 1991; Simoens </w:t>
      </w:r>
      <w:r>
        <w:rPr>
          <w:rFonts w:ascii="Times New Roman" w:hAnsi="Times New Roman"/>
          <w:i/>
          <w:sz w:val="24"/>
          <w:szCs w:val="24"/>
          <w:lang w:val="en-US"/>
        </w:rPr>
        <w:t>et al</w:t>
      </w:r>
      <w:r>
        <w:rPr>
          <w:rFonts w:ascii="Times New Roman" w:hAnsi="Times New Roman"/>
          <w:sz w:val="24"/>
          <w:szCs w:val="24"/>
          <w:lang w:val="en-US"/>
        </w:rPr>
        <w:t>., 1994).</w:t>
      </w:r>
    </w:p>
    <w:p w14:paraId="2E67FC3C" w14:textId="77777777" w:rsidR="001518C7" w:rsidRDefault="001518C7">
      <w:pPr>
        <w:spacing w:after="0" w:line="360" w:lineRule="auto"/>
        <w:jc w:val="both"/>
        <w:rPr>
          <w:rFonts w:ascii="Times New Roman" w:hAnsi="Times New Roman"/>
          <w:sz w:val="24"/>
          <w:szCs w:val="24"/>
          <w:lang w:val="en-US"/>
        </w:rPr>
      </w:pPr>
    </w:p>
    <w:p w14:paraId="66445672"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b/>
          <w:bCs/>
          <w:sz w:val="24"/>
          <w:szCs w:val="24"/>
          <w:lang w:val="en-US"/>
        </w:rPr>
        <w:t>2. Cranial Length and Width</w:t>
      </w:r>
    </w:p>
    <w:p w14:paraId="66B54CA5"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The cranial length exhibited a steady increase, resulting in a decrease in the cranial index from 80% to 75% with age. These developments are in line with previous studies highlighting cranial elongation associated with cerebral development and skull expansion (Stockard, 1941; </w:t>
      </w:r>
      <w:proofErr w:type="spellStart"/>
      <w:r>
        <w:rPr>
          <w:rFonts w:ascii="Times New Roman" w:hAnsi="Times New Roman"/>
          <w:sz w:val="24"/>
          <w:szCs w:val="24"/>
          <w:lang w:val="en-US"/>
        </w:rPr>
        <w:t>Vilà</w:t>
      </w:r>
      <w:proofErr w:type="spellEnd"/>
      <w:r>
        <w:rPr>
          <w:rFonts w:ascii="Times New Roman" w:hAnsi="Times New Roman"/>
          <w:sz w:val="24"/>
          <w:szCs w:val="24"/>
          <w:lang w:val="en-US"/>
        </w:rPr>
        <w:t xml:space="preserve"> </w:t>
      </w:r>
      <w:r>
        <w:rPr>
          <w:rFonts w:ascii="Times New Roman" w:hAnsi="Times New Roman"/>
          <w:i/>
          <w:sz w:val="24"/>
          <w:szCs w:val="24"/>
          <w:lang w:val="en-US"/>
        </w:rPr>
        <w:t>et al</w:t>
      </w:r>
      <w:r>
        <w:rPr>
          <w:rFonts w:ascii="Times New Roman" w:hAnsi="Times New Roman"/>
          <w:sz w:val="24"/>
          <w:szCs w:val="24"/>
          <w:lang w:val="en-US"/>
        </w:rPr>
        <w:t>., 1997). This aspect of growth is significant as it indicates not just changes in head shape but also potential improvements in cognitive abilities and sensory processing capabilities.</w:t>
      </w:r>
    </w:p>
    <w:p w14:paraId="544A5219" w14:textId="77777777" w:rsidR="001518C7" w:rsidRDefault="001518C7">
      <w:pPr>
        <w:spacing w:after="0" w:line="360" w:lineRule="auto"/>
        <w:jc w:val="both"/>
        <w:rPr>
          <w:rFonts w:ascii="Times New Roman" w:hAnsi="Times New Roman"/>
          <w:sz w:val="24"/>
          <w:szCs w:val="24"/>
          <w:lang w:val="en-US"/>
        </w:rPr>
      </w:pPr>
    </w:p>
    <w:p w14:paraId="423C6219"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b/>
          <w:bCs/>
          <w:sz w:val="24"/>
          <w:szCs w:val="24"/>
          <w:lang w:val="en-US"/>
        </w:rPr>
        <w:t>3. Facial Length and Jaw Length</w:t>
      </w:r>
    </w:p>
    <w:p w14:paraId="218C2AD5"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Jaw length exhibited the highest percentage increase—from 5 cm in puppies to nearly 30 cm in adult dogs (Table.2). This remarkable growth showcases significant mandibular development essential for biting force and effective food processing, which can be critical for the breed's working capabilities (Drake &amp; Klingenberg, 2008; Coli </w:t>
      </w:r>
      <w:r>
        <w:rPr>
          <w:rFonts w:ascii="Times New Roman" w:hAnsi="Times New Roman"/>
          <w:i/>
          <w:sz w:val="24"/>
          <w:szCs w:val="24"/>
          <w:lang w:val="en-US"/>
        </w:rPr>
        <w:t>et al</w:t>
      </w:r>
      <w:r>
        <w:rPr>
          <w:rFonts w:ascii="Times New Roman" w:hAnsi="Times New Roman"/>
          <w:sz w:val="24"/>
          <w:szCs w:val="24"/>
          <w:lang w:val="en-US"/>
        </w:rPr>
        <w:t>., 2023). The proportional increase in facial length also enhances the olfactory surface area, vital for a breed known for its keen sense of smell (Wagner &amp; Ruf, 2021).</w:t>
      </w:r>
    </w:p>
    <w:p w14:paraId="1953E760" w14:textId="77777777" w:rsidR="001518C7" w:rsidRDefault="001518C7">
      <w:pPr>
        <w:spacing w:after="0" w:line="360" w:lineRule="auto"/>
        <w:jc w:val="both"/>
        <w:rPr>
          <w:rFonts w:ascii="Times New Roman" w:hAnsi="Times New Roman"/>
          <w:sz w:val="24"/>
          <w:szCs w:val="24"/>
          <w:lang w:val="en-US"/>
        </w:rPr>
      </w:pPr>
    </w:p>
    <w:p w14:paraId="42E017FB" w14:textId="77777777" w:rsidR="001518C7" w:rsidRDefault="001518C7">
      <w:pPr>
        <w:spacing w:after="0" w:line="360" w:lineRule="auto"/>
        <w:jc w:val="both"/>
        <w:rPr>
          <w:rFonts w:ascii="Times New Roman" w:hAnsi="Times New Roman"/>
          <w:b/>
          <w:bCs/>
          <w:sz w:val="24"/>
          <w:szCs w:val="24"/>
          <w:lang w:val="en-US"/>
        </w:rPr>
      </w:pPr>
    </w:p>
    <w:p w14:paraId="2A04C450" w14:textId="77777777" w:rsidR="001518C7" w:rsidRDefault="001518C7">
      <w:pPr>
        <w:spacing w:after="0" w:line="360" w:lineRule="auto"/>
        <w:jc w:val="both"/>
        <w:rPr>
          <w:rFonts w:ascii="Times New Roman" w:hAnsi="Times New Roman"/>
          <w:b/>
          <w:bCs/>
          <w:sz w:val="24"/>
          <w:szCs w:val="24"/>
          <w:lang w:val="en-US"/>
        </w:rPr>
      </w:pPr>
    </w:p>
    <w:p w14:paraId="13EBF985"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b/>
          <w:bCs/>
          <w:sz w:val="24"/>
          <w:szCs w:val="24"/>
          <w:lang w:val="en-US"/>
        </w:rPr>
        <w:t>4. Prosthion, Nasion, and Bregma Lengths</w:t>
      </w:r>
    </w:p>
    <w:p w14:paraId="5ED02F98"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The measurements of the prosthion-to-nasion and nasion-to-bregma lengths indicated elongation of the skull base and braincase expansion which increases significantly two times from 1month to 1 year. These changes not only support neurological development but also play a critical role in the positioning of sensory organs, crucial for the active and instinct-driven nature of the German Shepherd (</w:t>
      </w:r>
      <w:proofErr w:type="spellStart"/>
      <w:r>
        <w:rPr>
          <w:rFonts w:ascii="Times New Roman" w:hAnsi="Times New Roman"/>
          <w:sz w:val="24"/>
          <w:szCs w:val="24"/>
          <w:lang w:val="en-US"/>
        </w:rPr>
        <w:t>Schoenebeck</w:t>
      </w:r>
      <w:proofErr w:type="spellEnd"/>
      <w:r>
        <w:rPr>
          <w:rFonts w:ascii="Times New Roman" w:hAnsi="Times New Roman"/>
          <w:sz w:val="24"/>
          <w:szCs w:val="24"/>
          <w:lang w:val="en-US"/>
        </w:rPr>
        <w:t xml:space="preserve"> &amp; Ostrander, 2013).</w:t>
      </w:r>
    </w:p>
    <w:p w14:paraId="73BEB09C" w14:textId="77777777" w:rsidR="001518C7" w:rsidRDefault="001518C7">
      <w:pPr>
        <w:spacing w:after="0" w:line="360" w:lineRule="auto"/>
        <w:jc w:val="both"/>
        <w:rPr>
          <w:rFonts w:ascii="Times New Roman" w:hAnsi="Times New Roman"/>
          <w:sz w:val="24"/>
          <w:szCs w:val="24"/>
          <w:lang w:val="en-US"/>
        </w:rPr>
      </w:pPr>
    </w:p>
    <w:tbl>
      <w:tblPr>
        <w:tblStyle w:val="TableGrid"/>
        <w:tblpPr w:leftFromText="180" w:rightFromText="180" w:vertAnchor="text" w:horzAnchor="page" w:tblpX="1438" w:tblpY="484"/>
        <w:tblOverlap w:val="never"/>
        <w:tblW w:w="9814" w:type="dxa"/>
        <w:tblLayout w:type="fixed"/>
        <w:tblLook w:val="04A0" w:firstRow="1" w:lastRow="0" w:firstColumn="1" w:lastColumn="0" w:noHBand="0" w:noVBand="1"/>
      </w:tblPr>
      <w:tblGrid>
        <w:gridCol w:w="611"/>
        <w:gridCol w:w="1235"/>
        <w:gridCol w:w="1235"/>
        <w:gridCol w:w="1235"/>
        <w:gridCol w:w="1198"/>
        <w:gridCol w:w="816"/>
        <w:gridCol w:w="946"/>
        <w:gridCol w:w="836"/>
        <w:gridCol w:w="869"/>
        <w:gridCol w:w="833"/>
      </w:tblGrid>
      <w:tr w:rsidR="001518C7" w14:paraId="25828529" w14:textId="77777777">
        <w:trPr>
          <w:trHeight w:val="1486"/>
        </w:trPr>
        <w:tc>
          <w:tcPr>
            <w:tcW w:w="611" w:type="dxa"/>
          </w:tcPr>
          <w:p w14:paraId="758A3B11"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lastRenderedPageBreak/>
              <w:t>Group</w:t>
            </w:r>
          </w:p>
        </w:tc>
        <w:tc>
          <w:tcPr>
            <w:tcW w:w="1235" w:type="dxa"/>
          </w:tcPr>
          <w:p w14:paraId="5308F8AE"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Skull length</w:t>
            </w:r>
          </w:p>
        </w:tc>
        <w:tc>
          <w:tcPr>
            <w:tcW w:w="1235" w:type="dxa"/>
          </w:tcPr>
          <w:p w14:paraId="1A390EA5"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Skull</w:t>
            </w:r>
          </w:p>
          <w:p w14:paraId="19F384D8"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Width</w:t>
            </w:r>
          </w:p>
        </w:tc>
        <w:tc>
          <w:tcPr>
            <w:tcW w:w="1235" w:type="dxa"/>
          </w:tcPr>
          <w:p w14:paraId="2E3C0F16"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Cranial length</w:t>
            </w:r>
          </w:p>
        </w:tc>
        <w:tc>
          <w:tcPr>
            <w:tcW w:w="1198" w:type="dxa"/>
          </w:tcPr>
          <w:p w14:paraId="511B96CF"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Cranial</w:t>
            </w:r>
          </w:p>
          <w:p w14:paraId="2A75588B"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Width</w:t>
            </w:r>
          </w:p>
        </w:tc>
        <w:tc>
          <w:tcPr>
            <w:tcW w:w="816" w:type="dxa"/>
          </w:tcPr>
          <w:p w14:paraId="72D2A210"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Facial length</w:t>
            </w:r>
          </w:p>
        </w:tc>
        <w:tc>
          <w:tcPr>
            <w:tcW w:w="946" w:type="dxa"/>
          </w:tcPr>
          <w:p w14:paraId="15A02A4A"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Prosthion</w:t>
            </w:r>
          </w:p>
        </w:tc>
        <w:tc>
          <w:tcPr>
            <w:tcW w:w="836" w:type="dxa"/>
          </w:tcPr>
          <w:p w14:paraId="3C8310B4"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Nasion</w:t>
            </w:r>
          </w:p>
        </w:tc>
        <w:tc>
          <w:tcPr>
            <w:tcW w:w="869" w:type="dxa"/>
          </w:tcPr>
          <w:p w14:paraId="0B24AF99"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Bregma</w:t>
            </w:r>
          </w:p>
        </w:tc>
        <w:tc>
          <w:tcPr>
            <w:tcW w:w="833" w:type="dxa"/>
          </w:tcPr>
          <w:p w14:paraId="19712AC5"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Length of jaw</w:t>
            </w:r>
          </w:p>
        </w:tc>
      </w:tr>
      <w:tr w:rsidR="001518C7" w14:paraId="5E91AEF9" w14:textId="77777777">
        <w:trPr>
          <w:trHeight w:val="1131"/>
        </w:trPr>
        <w:tc>
          <w:tcPr>
            <w:tcW w:w="611" w:type="dxa"/>
          </w:tcPr>
          <w:p w14:paraId="1B3B3536"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1month</w:t>
            </w:r>
          </w:p>
        </w:tc>
        <w:tc>
          <w:tcPr>
            <w:tcW w:w="1235" w:type="dxa"/>
          </w:tcPr>
          <w:p w14:paraId="49751EC0"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9.93</w:t>
            </w:r>
            <m:oMath>
              <m:r>
                <w:rPr>
                  <w:rFonts w:ascii="Cambria Math" w:hAnsi="Cambria Math" w:cs="Times New Roman"/>
                  <w:sz w:val="20"/>
                  <w:szCs w:val="20"/>
                </w:rPr>
                <m:t>±0.39</m:t>
              </m:r>
            </m:oMath>
            <w:r>
              <w:rPr>
                <w:rFonts w:ascii="Times New Roman" w:eastAsiaTheme="minorEastAsia" w:hAnsi="Times New Roman" w:cs="Times New Roman"/>
                <w:sz w:val="20"/>
                <w:szCs w:val="20"/>
                <w:vertAlign w:val="superscript"/>
              </w:rPr>
              <w:t>a</w:t>
            </w:r>
          </w:p>
        </w:tc>
        <w:tc>
          <w:tcPr>
            <w:tcW w:w="1235" w:type="dxa"/>
          </w:tcPr>
          <w:p w14:paraId="2D298631"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color w:val="010205"/>
                <w:sz w:val="20"/>
                <w:szCs w:val="20"/>
              </w:rPr>
              <w:t>5.48</w:t>
            </w:r>
            <m:oMath>
              <m:r>
                <w:rPr>
                  <w:rFonts w:ascii="Cambria Math" w:hAnsi="Cambria Math" w:cs="Times New Roman"/>
                  <w:sz w:val="20"/>
                  <w:szCs w:val="20"/>
                </w:rPr>
                <m:t>±0.27</m:t>
              </m:r>
            </m:oMath>
            <w:r>
              <w:rPr>
                <w:rFonts w:ascii="Times New Roman" w:eastAsiaTheme="minorEastAsia" w:hAnsi="Times New Roman" w:cs="Times New Roman"/>
                <w:sz w:val="20"/>
                <w:szCs w:val="20"/>
                <w:vertAlign w:val="superscript"/>
              </w:rPr>
              <w:t>a</w:t>
            </w:r>
          </w:p>
        </w:tc>
        <w:tc>
          <w:tcPr>
            <w:tcW w:w="1235" w:type="dxa"/>
          </w:tcPr>
          <w:p w14:paraId="2D0DC27F"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2.86</w:t>
            </w:r>
            <m:oMath>
              <m:r>
                <w:rPr>
                  <w:rFonts w:ascii="Cambria Math" w:hAnsi="Cambria Math" w:cs="Times New Roman"/>
                  <w:sz w:val="20"/>
                  <w:szCs w:val="20"/>
                </w:rPr>
                <m:t>±</m:t>
              </m:r>
            </m:oMath>
            <w:r>
              <w:rPr>
                <w:rFonts w:ascii="Times New Roman" w:eastAsiaTheme="minorEastAsia" w:hAnsi="Times New Roman" w:cs="Times New Roman"/>
                <w:sz w:val="20"/>
                <w:szCs w:val="20"/>
              </w:rPr>
              <w:t>0.18</w:t>
            </w:r>
            <w:r>
              <w:rPr>
                <w:rFonts w:ascii="Times New Roman" w:eastAsiaTheme="minorEastAsia" w:hAnsi="Times New Roman" w:cs="Times New Roman"/>
                <w:sz w:val="20"/>
                <w:szCs w:val="20"/>
                <w:vertAlign w:val="superscript"/>
              </w:rPr>
              <w:t>a</w:t>
            </w:r>
          </w:p>
        </w:tc>
        <w:tc>
          <w:tcPr>
            <w:tcW w:w="1198" w:type="dxa"/>
          </w:tcPr>
          <w:p w14:paraId="03EB3A90"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4.21</w:t>
            </w:r>
            <m:oMath>
              <m:r>
                <w:rPr>
                  <w:rFonts w:ascii="Cambria Math" w:hAnsi="Cambria Math" w:cs="Times New Roman"/>
                  <w:sz w:val="20"/>
                  <w:szCs w:val="20"/>
                </w:rPr>
                <m:t>±</m:t>
              </m:r>
            </m:oMath>
            <w:r>
              <w:rPr>
                <w:rFonts w:ascii="Times New Roman" w:eastAsiaTheme="minorEastAsia" w:hAnsi="Times New Roman" w:cs="Times New Roman"/>
                <w:sz w:val="20"/>
                <w:szCs w:val="20"/>
              </w:rPr>
              <w:t>0.24</w:t>
            </w:r>
            <w:r>
              <w:rPr>
                <w:rFonts w:ascii="Times New Roman" w:eastAsiaTheme="minorEastAsia" w:hAnsi="Times New Roman" w:cs="Times New Roman"/>
                <w:sz w:val="20"/>
                <w:szCs w:val="20"/>
                <w:vertAlign w:val="superscript"/>
              </w:rPr>
              <w:t>a</w:t>
            </w:r>
          </w:p>
        </w:tc>
        <w:tc>
          <w:tcPr>
            <w:tcW w:w="816" w:type="dxa"/>
          </w:tcPr>
          <w:p w14:paraId="7232512B"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2.83</w:t>
            </w:r>
            <m:oMath>
              <m:r>
                <w:rPr>
                  <w:rFonts w:ascii="Cambria Math" w:hAnsi="Cambria Math" w:cs="Times New Roman"/>
                  <w:sz w:val="20"/>
                  <w:szCs w:val="20"/>
                </w:rPr>
                <m:t>±</m:t>
              </m:r>
            </m:oMath>
            <w:r>
              <w:rPr>
                <w:rFonts w:ascii="Times New Roman" w:eastAsiaTheme="minorEastAsia" w:hAnsi="Times New Roman" w:cs="Times New Roman"/>
                <w:sz w:val="20"/>
                <w:szCs w:val="20"/>
              </w:rPr>
              <w:t>0.17</w:t>
            </w:r>
            <w:r>
              <w:rPr>
                <w:rFonts w:ascii="Times New Roman" w:eastAsiaTheme="minorEastAsia" w:hAnsi="Times New Roman" w:cs="Times New Roman"/>
                <w:sz w:val="20"/>
                <w:szCs w:val="20"/>
                <w:vertAlign w:val="superscript"/>
              </w:rPr>
              <w:t>a</w:t>
            </w:r>
          </w:p>
        </w:tc>
        <w:tc>
          <w:tcPr>
            <w:tcW w:w="946" w:type="dxa"/>
          </w:tcPr>
          <w:p w14:paraId="0F60DAEE"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6.61</w:t>
            </w:r>
            <m:oMath>
              <m:r>
                <w:rPr>
                  <w:rFonts w:ascii="Cambria Math" w:hAnsi="Cambria Math" w:cs="Times New Roman"/>
                  <w:sz w:val="20"/>
                  <w:szCs w:val="20"/>
                </w:rPr>
                <m:t>±</m:t>
              </m:r>
            </m:oMath>
            <w:r>
              <w:rPr>
                <w:rFonts w:ascii="Times New Roman" w:eastAsiaTheme="minorEastAsia" w:hAnsi="Times New Roman" w:cs="Times New Roman"/>
                <w:sz w:val="20"/>
                <w:szCs w:val="20"/>
              </w:rPr>
              <w:t>0.23</w:t>
            </w:r>
            <w:r>
              <w:rPr>
                <w:rFonts w:ascii="Times New Roman" w:eastAsiaTheme="minorEastAsia" w:hAnsi="Times New Roman" w:cs="Times New Roman"/>
                <w:sz w:val="20"/>
                <w:szCs w:val="20"/>
                <w:vertAlign w:val="superscript"/>
              </w:rPr>
              <w:t>a</w:t>
            </w:r>
          </w:p>
        </w:tc>
        <w:tc>
          <w:tcPr>
            <w:tcW w:w="836" w:type="dxa"/>
          </w:tcPr>
          <w:p w14:paraId="11BB9D21"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3.83</w:t>
            </w:r>
            <m:oMath>
              <m:r>
                <w:rPr>
                  <w:rFonts w:ascii="Cambria Math" w:hAnsi="Cambria Math" w:cs="Times New Roman"/>
                  <w:sz w:val="20"/>
                  <w:szCs w:val="20"/>
                </w:rPr>
                <m:t>±</m:t>
              </m:r>
            </m:oMath>
            <w:r>
              <w:rPr>
                <w:rFonts w:ascii="Times New Roman" w:eastAsiaTheme="minorEastAsia" w:hAnsi="Times New Roman" w:cs="Times New Roman"/>
                <w:sz w:val="20"/>
                <w:szCs w:val="20"/>
              </w:rPr>
              <w:t>0.20</w:t>
            </w:r>
            <w:r>
              <w:rPr>
                <w:rFonts w:ascii="Times New Roman" w:eastAsiaTheme="minorEastAsia" w:hAnsi="Times New Roman" w:cs="Times New Roman"/>
                <w:sz w:val="20"/>
                <w:szCs w:val="20"/>
                <w:vertAlign w:val="superscript"/>
              </w:rPr>
              <w:t>a</w:t>
            </w:r>
          </w:p>
        </w:tc>
        <w:tc>
          <w:tcPr>
            <w:tcW w:w="869" w:type="dxa"/>
          </w:tcPr>
          <w:p w14:paraId="6587A519"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4.65</w:t>
            </w:r>
            <m:oMath>
              <m:r>
                <w:rPr>
                  <w:rFonts w:ascii="Cambria Math" w:hAnsi="Cambria Math" w:cs="Times New Roman"/>
                  <w:sz w:val="20"/>
                  <w:szCs w:val="20"/>
                </w:rPr>
                <m:t>±0.22</m:t>
              </m:r>
            </m:oMath>
            <w:r>
              <w:rPr>
                <w:rFonts w:ascii="Times New Roman" w:eastAsiaTheme="minorEastAsia" w:hAnsi="Times New Roman" w:cs="Times New Roman"/>
                <w:sz w:val="20"/>
                <w:szCs w:val="20"/>
                <w:vertAlign w:val="superscript"/>
              </w:rPr>
              <w:t>a</w:t>
            </w:r>
          </w:p>
        </w:tc>
        <w:tc>
          <w:tcPr>
            <w:tcW w:w="833" w:type="dxa"/>
          </w:tcPr>
          <w:p w14:paraId="1FD58D12"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3.01</w:t>
            </w:r>
            <m:oMath>
              <m:r>
                <w:rPr>
                  <w:rFonts w:ascii="Cambria Math" w:hAnsi="Cambria Math" w:cs="Times New Roman"/>
                  <w:sz w:val="20"/>
                  <w:szCs w:val="20"/>
                </w:rPr>
                <m:t>±</m:t>
              </m:r>
            </m:oMath>
            <w:r>
              <w:rPr>
                <w:rFonts w:ascii="Times New Roman" w:eastAsiaTheme="minorEastAsia" w:hAnsi="Times New Roman" w:cs="Times New Roman"/>
                <w:sz w:val="20"/>
                <w:szCs w:val="20"/>
              </w:rPr>
              <w:t>0.16</w:t>
            </w:r>
            <w:r>
              <w:rPr>
                <w:rFonts w:ascii="Times New Roman" w:eastAsiaTheme="minorEastAsia" w:hAnsi="Times New Roman" w:cs="Times New Roman"/>
                <w:sz w:val="20"/>
                <w:szCs w:val="20"/>
                <w:vertAlign w:val="superscript"/>
              </w:rPr>
              <w:t>a</w:t>
            </w:r>
          </w:p>
        </w:tc>
      </w:tr>
      <w:tr w:rsidR="001518C7" w14:paraId="4FD213B6" w14:textId="77777777">
        <w:trPr>
          <w:trHeight w:val="1131"/>
        </w:trPr>
        <w:tc>
          <w:tcPr>
            <w:tcW w:w="611" w:type="dxa"/>
          </w:tcPr>
          <w:p w14:paraId="15F27295"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3months</w:t>
            </w:r>
          </w:p>
        </w:tc>
        <w:tc>
          <w:tcPr>
            <w:tcW w:w="1235" w:type="dxa"/>
          </w:tcPr>
          <w:p w14:paraId="112275BB"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21.75</w:t>
            </w:r>
            <m:oMath>
              <m:r>
                <w:rPr>
                  <w:rFonts w:ascii="Cambria Math" w:hAnsi="Cambria Math" w:cs="Times New Roman"/>
                  <w:sz w:val="20"/>
                  <w:szCs w:val="20"/>
                </w:rPr>
                <m:t>±</m:t>
              </m:r>
            </m:oMath>
            <w:r>
              <w:rPr>
                <w:rFonts w:ascii="Times New Roman" w:eastAsiaTheme="minorEastAsia" w:hAnsi="Times New Roman" w:cs="Times New Roman"/>
                <w:sz w:val="20"/>
                <w:szCs w:val="20"/>
              </w:rPr>
              <w:t>0.41</w:t>
            </w:r>
            <w:r>
              <w:rPr>
                <w:rFonts w:ascii="Times New Roman" w:eastAsiaTheme="minorEastAsia" w:hAnsi="Times New Roman" w:cs="Times New Roman"/>
                <w:sz w:val="20"/>
                <w:szCs w:val="20"/>
                <w:vertAlign w:val="superscript"/>
              </w:rPr>
              <w:t>b</w:t>
            </w:r>
          </w:p>
        </w:tc>
        <w:tc>
          <w:tcPr>
            <w:tcW w:w="1235" w:type="dxa"/>
          </w:tcPr>
          <w:p w14:paraId="720B31DD"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color w:val="010205"/>
                <w:sz w:val="20"/>
                <w:szCs w:val="20"/>
              </w:rPr>
              <w:t>14.55</w:t>
            </w:r>
            <m:oMath>
              <m:r>
                <w:rPr>
                  <w:rFonts w:ascii="Cambria Math" w:hAnsi="Cambria Math" w:cs="Times New Roman"/>
                  <w:sz w:val="20"/>
                  <w:szCs w:val="20"/>
                </w:rPr>
                <m:t>±</m:t>
              </m:r>
            </m:oMath>
            <w:r>
              <w:rPr>
                <w:rFonts w:ascii="Times New Roman" w:eastAsiaTheme="minorEastAsia" w:hAnsi="Times New Roman" w:cs="Times New Roman"/>
                <w:sz w:val="20"/>
                <w:szCs w:val="20"/>
              </w:rPr>
              <w:t>0.42</w:t>
            </w:r>
            <w:r>
              <w:rPr>
                <w:rFonts w:ascii="Times New Roman" w:eastAsiaTheme="minorEastAsia" w:hAnsi="Times New Roman" w:cs="Times New Roman"/>
                <w:sz w:val="20"/>
                <w:szCs w:val="20"/>
                <w:vertAlign w:val="superscript"/>
              </w:rPr>
              <w:t>b</w:t>
            </w:r>
          </w:p>
        </w:tc>
        <w:tc>
          <w:tcPr>
            <w:tcW w:w="1235" w:type="dxa"/>
          </w:tcPr>
          <w:p w14:paraId="3284EE90"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7.03</w:t>
            </w:r>
            <m:oMath>
              <m:r>
                <w:rPr>
                  <w:rFonts w:ascii="Cambria Math" w:hAnsi="Cambria Math" w:cs="Times New Roman"/>
                  <w:sz w:val="20"/>
                  <w:szCs w:val="20"/>
                </w:rPr>
                <m:t>±</m:t>
              </m:r>
            </m:oMath>
            <w:r>
              <w:rPr>
                <w:rFonts w:ascii="Times New Roman" w:eastAsiaTheme="minorEastAsia" w:hAnsi="Times New Roman" w:cs="Times New Roman"/>
                <w:sz w:val="20"/>
                <w:szCs w:val="20"/>
              </w:rPr>
              <w:t>0.26</w:t>
            </w:r>
            <w:r>
              <w:rPr>
                <w:rFonts w:ascii="Times New Roman" w:eastAsiaTheme="minorEastAsia" w:hAnsi="Times New Roman" w:cs="Times New Roman"/>
                <w:sz w:val="20"/>
                <w:szCs w:val="20"/>
                <w:vertAlign w:val="superscript"/>
              </w:rPr>
              <w:t>b</w:t>
            </w:r>
          </w:p>
        </w:tc>
        <w:tc>
          <w:tcPr>
            <w:tcW w:w="1198" w:type="dxa"/>
          </w:tcPr>
          <w:p w14:paraId="30C0C6C8"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8.46</w:t>
            </w:r>
            <m:oMath>
              <m:r>
                <w:rPr>
                  <w:rFonts w:ascii="Cambria Math" w:hAnsi="Cambria Math" w:cs="Times New Roman"/>
                  <w:sz w:val="20"/>
                  <w:szCs w:val="20"/>
                </w:rPr>
                <m:t>±</m:t>
              </m:r>
            </m:oMath>
            <w:r>
              <w:rPr>
                <w:rFonts w:ascii="Times New Roman" w:eastAsiaTheme="minorEastAsia" w:hAnsi="Times New Roman" w:cs="Times New Roman"/>
                <w:sz w:val="20"/>
                <w:szCs w:val="20"/>
              </w:rPr>
              <w:t>0.24</w:t>
            </w:r>
            <w:r>
              <w:rPr>
                <w:rFonts w:ascii="Times New Roman" w:eastAsiaTheme="minorEastAsia" w:hAnsi="Times New Roman" w:cs="Times New Roman"/>
                <w:sz w:val="20"/>
                <w:szCs w:val="20"/>
                <w:vertAlign w:val="superscript"/>
              </w:rPr>
              <w:t>b</w:t>
            </w:r>
          </w:p>
        </w:tc>
        <w:tc>
          <w:tcPr>
            <w:tcW w:w="816" w:type="dxa"/>
          </w:tcPr>
          <w:p w14:paraId="6E96B088"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7.38</w:t>
            </w:r>
            <m:oMath>
              <m:r>
                <w:rPr>
                  <w:rFonts w:ascii="Cambria Math" w:hAnsi="Cambria Math" w:cs="Times New Roman"/>
                  <w:sz w:val="20"/>
                  <w:szCs w:val="20"/>
                </w:rPr>
                <m:t>±</m:t>
              </m:r>
            </m:oMath>
            <w:r>
              <w:rPr>
                <w:rFonts w:ascii="Times New Roman" w:eastAsiaTheme="minorEastAsia" w:hAnsi="Times New Roman" w:cs="Times New Roman"/>
                <w:sz w:val="20"/>
                <w:szCs w:val="20"/>
              </w:rPr>
              <w:t>0.28</w:t>
            </w:r>
            <w:r>
              <w:rPr>
                <w:rFonts w:ascii="Times New Roman" w:eastAsiaTheme="minorEastAsia" w:hAnsi="Times New Roman" w:cs="Times New Roman"/>
                <w:sz w:val="20"/>
                <w:szCs w:val="20"/>
                <w:vertAlign w:val="superscript"/>
              </w:rPr>
              <w:t>b</w:t>
            </w:r>
          </w:p>
        </w:tc>
        <w:tc>
          <w:tcPr>
            <w:tcW w:w="946" w:type="dxa"/>
          </w:tcPr>
          <w:p w14:paraId="25FF555B"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10.31</w:t>
            </w:r>
            <m:oMath>
              <m:r>
                <w:rPr>
                  <w:rFonts w:ascii="Cambria Math" w:hAnsi="Cambria Math" w:cs="Times New Roman"/>
                  <w:sz w:val="20"/>
                  <w:szCs w:val="20"/>
                </w:rPr>
                <m:t>±0.29</m:t>
              </m:r>
            </m:oMath>
            <w:r>
              <w:rPr>
                <w:rFonts w:ascii="Times New Roman" w:eastAsiaTheme="minorEastAsia" w:hAnsi="Times New Roman" w:cs="Times New Roman"/>
                <w:sz w:val="20"/>
                <w:szCs w:val="20"/>
                <w:vertAlign w:val="superscript"/>
              </w:rPr>
              <w:t>b</w:t>
            </w:r>
          </w:p>
        </w:tc>
        <w:tc>
          <w:tcPr>
            <w:tcW w:w="836" w:type="dxa"/>
          </w:tcPr>
          <w:p w14:paraId="4F7A58F4"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6.68</w:t>
            </w:r>
            <m:oMath>
              <m:r>
                <w:rPr>
                  <w:rFonts w:ascii="Cambria Math" w:hAnsi="Cambria Math" w:cs="Times New Roman"/>
                  <w:sz w:val="20"/>
                  <w:szCs w:val="20"/>
                </w:rPr>
                <m:t>±</m:t>
              </m:r>
            </m:oMath>
            <w:r>
              <w:rPr>
                <w:rFonts w:ascii="Times New Roman" w:eastAsiaTheme="minorEastAsia" w:hAnsi="Times New Roman" w:cs="Times New Roman"/>
                <w:sz w:val="20"/>
                <w:szCs w:val="20"/>
              </w:rPr>
              <w:t>0.22</w:t>
            </w:r>
            <w:r>
              <w:rPr>
                <w:rFonts w:ascii="Times New Roman" w:eastAsiaTheme="minorEastAsia" w:hAnsi="Times New Roman" w:cs="Times New Roman"/>
                <w:sz w:val="20"/>
                <w:szCs w:val="20"/>
                <w:vertAlign w:val="superscript"/>
              </w:rPr>
              <w:t>b</w:t>
            </w:r>
          </w:p>
        </w:tc>
        <w:tc>
          <w:tcPr>
            <w:tcW w:w="869" w:type="dxa"/>
          </w:tcPr>
          <w:p w14:paraId="23B35AC4"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9.53</w:t>
            </w:r>
            <m:oMath>
              <m:r>
                <w:rPr>
                  <w:rFonts w:ascii="Cambria Math" w:hAnsi="Cambria Math" w:cs="Times New Roman"/>
                  <w:sz w:val="20"/>
                  <w:szCs w:val="20"/>
                </w:rPr>
                <m:t>±</m:t>
              </m:r>
            </m:oMath>
            <w:r>
              <w:rPr>
                <w:rFonts w:ascii="Times New Roman" w:eastAsiaTheme="minorEastAsia" w:hAnsi="Times New Roman" w:cs="Times New Roman"/>
                <w:sz w:val="20"/>
                <w:szCs w:val="20"/>
              </w:rPr>
              <w:t>0.32</w:t>
            </w:r>
            <w:r>
              <w:rPr>
                <w:rFonts w:ascii="Times New Roman" w:eastAsiaTheme="minorEastAsia" w:hAnsi="Times New Roman" w:cs="Times New Roman"/>
                <w:sz w:val="20"/>
                <w:szCs w:val="20"/>
                <w:vertAlign w:val="superscript"/>
              </w:rPr>
              <w:t>b</w:t>
            </w:r>
          </w:p>
        </w:tc>
        <w:tc>
          <w:tcPr>
            <w:tcW w:w="833" w:type="dxa"/>
          </w:tcPr>
          <w:p w14:paraId="32ADC7AD"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7.35</w:t>
            </w:r>
            <m:oMath>
              <m:r>
                <w:rPr>
                  <w:rFonts w:ascii="Cambria Math" w:hAnsi="Cambria Math" w:cs="Times New Roman"/>
                  <w:sz w:val="20"/>
                  <w:szCs w:val="20"/>
                </w:rPr>
                <m:t>±0.33</m:t>
              </m:r>
            </m:oMath>
            <w:r>
              <w:rPr>
                <w:rFonts w:ascii="Times New Roman" w:eastAsiaTheme="minorEastAsia" w:hAnsi="Times New Roman" w:cs="Times New Roman"/>
                <w:sz w:val="20"/>
                <w:szCs w:val="20"/>
                <w:vertAlign w:val="superscript"/>
              </w:rPr>
              <w:t>b</w:t>
            </w:r>
          </w:p>
        </w:tc>
      </w:tr>
      <w:tr w:rsidR="001518C7" w14:paraId="36CAC55B" w14:textId="77777777">
        <w:trPr>
          <w:trHeight w:val="1131"/>
        </w:trPr>
        <w:tc>
          <w:tcPr>
            <w:tcW w:w="611" w:type="dxa"/>
          </w:tcPr>
          <w:p w14:paraId="494AFB1E"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1year</w:t>
            </w:r>
          </w:p>
        </w:tc>
        <w:tc>
          <w:tcPr>
            <w:tcW w:w="1235" w:type="dxa"/>
          </w:tcPr>
          <w:p w14:paraId="5C908B1C"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30.13</w:t>
            </w:r>
            <m:oMath>
              <m:r>
                <w:rPr>
                  <w:rFonts w:ascii="Cambria Math" w:hAnsi="Cambria Math" w:cs="Times New Roman"/>
                  <w:sz w:val="20"/>
                  <w:szCs w:val="20"/>
                </w:rPr>
                <m:t>±0.42</m:t>
              </m:r>
            </m:oMath>
            <w:r>
              <w:rPr>
                <w:rFonts w:ascii="Times New Roman" w:eastAsiaTheme="minorEastAsia" w:hAnsi="Times New Roman" w:cs="Times New Roman"/>
                <w:sz w:val="20"/>
                <w:szCs w:val="20"/>
                <w:vertAlign w:val="superscript"/>
              </w:rPr>
              <w:t>c</w:t>
            </w:r>
          </w:p>
        </w:tc>
        <w:tc>
          <w:tcPr>
            <w:tcW w:w="1235" w:type="dxa"/>
          </w:tcPr>
          <w:p w14:paraId="30358983"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21.13</w:t>
            </w:r>
            <m:oMath>
              <m:r>
                <w:rPr>
                  <w:rFonts w:ascii="Cambria Math" w:hAnsi="Cambria Math" w:cs="Times New Roman"/>
                  <w:sz w:val="20"/>
                  <w:szCs w:val="20"/>
                </w:rPr>
                <m:t>±</m:t>
              </m:r>
            </m:oMath>
            <w:r>
              <w:rPr>
                <w:rFonts w:ascii="Times New Roman" w:eastAsiaTheme="minorEastAsia" w:hAnsi="Times New Roman" w:cs="Times New Roman"/>
                <w:sz w:val="20"/>
                <w:szCs w:val="20"/>
              </w:rPr>
              <w:t>0.63</w:t>
            </w:r>
            <w:r>
              <w:rPr>
                <w:rFonts w:ascii="Times New Roman" w:eastAsiaTheme="minorEastAsia" w:hAnsi="Times New Roman" w:cs="Times New Roman"/>
                <w:sz w:val="20"/>
                <w:szCs w:val="20"/>
                <w:vertAlign w:val="superscript"/>
              </w:rPr>
              <w:t>c</w:t>
            </w:r>
          </w:p>
        </w:tc>
        <w:tc>
          <w:tcPr>
            <w:tcW w:w="1235" w:type="dxa"/>
          </w:tcPr>
          <w:p w14:paraId="10E9465A"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19.23</w:t>
            </w:r>
            <m:oMath>
              <m:r>
                <w:rPr>
                  <w:rFonts w:ascii="Cambria Math" w:hAnsi="Cambria Math" w:cs="Times New Roman"/>
                  <w:sz w:val="20"/>
                  <w:szCs w:val="20"/>
                </w:rPr>
                <m:t>±</m:t>
              </m:r>
            </m:oMath>
            <w:r>
              <w:rPr>
                <w:rFonts w:ascii="Times New Roman" w:eastAsiaTheme="minorEastAsia" w:hAnsi="Times New Roman" w:cs="Times New Roman"/>
                <w:sz w:val="20"/>
                <w:szCs w:val="20"/>
              </w:rPr>
              <w:t>0.79</w:t>
            </w:r>
            <w:r>
              <w:rPr>
                <w:rFonts w:ascii="Times New Roman" w:eastAsiaTheme="minorEastAsia" w:hAnsi="Times New Roman" w:cs="Times New Roman"/>
                <w:sz w:val="20"/>
                <w:szCs w:val="20"/>
                <w:vertAlign w:val="superscript"/>
              </w:rPr>
              <w:t>c</w:t>
            </w:r>
          </w:p>
        </w:tc>
        <w:tc>
          <w:tcPr>
            <w:tcW w:w="1198" w:type="dxa"/>
          </w:tcPr>
          <w:p w14:paraId="603CA36A"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17.36</w:t>
            </w:r>
            <m:oMath>
              <m:r>
                <w:rPr>
                  <w:rFonts w:ascii="Cambria Math" w:hAnsi="Cambria Math" w:cs="Times New Roman"/>
                  <w:sz w:val="20"/>
                  <w:szCs w:val="20"/>
                </w:rPr>
                <m:t>±</m:t>
              </m:r>
            </m:oMath>
            <w:r>
              <w:rPr>
                <w:rFonts w:ascii="Times New Roman" w:eastAsiaTheme="minorEastAsia" w:hAnsi="Times New Roman" w:cs="Times New Roman"/>
                <w:sz w:val="20"/>
                <w:szCs w:val="20"/>
              </w:rPr>
              <w:t>0.54</w:t>
            </w:r>
            <w:r>
              <w:rPr>
                <w:rFonts w:ascii="Times New Roman" w:eastAsiaTheme="minorEastAsia" w:hAnsi="Times New Roman" w:cs="Times New Roman"/>
                <w:sz w:val="20"/>
                <w:szCs w:val="20"/>
                <w:vertAlign w:val="superscript"/>
              </w:rPr>
              <w:t>c</w:t>
            </w:r>
          </w:p>
        </w:tc>
        <w:tc>
          <w:tcPr>
            <w:tcW w:w="816" w:type="dxa"/>
          </w:tcPr>
          <w:p w14:paraId="1156069B"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12.95</w:t>
            </w:r>
            <m:oMath>
              <m:r>
                <w:rPr>
                  <w:rFonts w:ascii="Cambria Math" w:hAnsi="Cambria Math" w:cs="Times New Roman"/>
                  <w:sz w:val="20"/>
                  <w:szCs w:val="20"/>
                </w:rPr>
                <m:t>±0.59</m:t>
              </m:r>
            </m:oMath>
            <w:r>
              <w:rPr>
                <w:rFonts w:ascii="Times New Roman" w:eastAsiaTheme="minorEastAsia" w:hAnsi="Times New Roman" w:cs="Times New Roman"/>
                <w:sz w:val="20"/>
                <w:szCs w:val="20"/>
                <w:vertAlign w:val="superscript"/>
              </w:rPr>
              <w:t>c</w:t>
            </w:r>
          </w:p>
        </w:tc>
        <w:tc>
          <w:tcPr>
            <w:tcW w:w="946" w:type="dxa"/>
          </w:tcPr>
          <w:p w14:paraId="2C482DC5"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18.93</w:t>
            </w:r>
            <m:oMath>
              <m:r>
                <w:rPr>
                  <w:rFonts w:ascii="Cambria Math" w:hAnsi="Cambria Math" w:cs="Times New Roman"/>
                  <w:sz w:val="20"/>
                  <w:szCs w:val="20"/>
                </w:rPr>
                <m:t>±</m:t>
              </m:r>
            </m:oMath>
            <w:r>
              <w:rPr>
                <w:rFonts w:ascii="Times New Roman" w:hAnsi="Times New Roman" w:cs="Times New Roman"/>
                <w:sz w:val="20"/>
                <w:szCs w:val="20"/>
              </w:rPr>
              <w:t>0.42</w:t>
            </w:r>
            <w:r>
              <w:rPr>
                <w:rFonts w:ascii="Times New Roman" w:hAnsi="Times New Roman" w:cs="Times New Roman"/>
                <w:sz w:val="20"/>
                <w:szCs w:val="20"/>
                <w:vertAlign w:val="superscript"/>
              </w:rPr>
              <w:t>c</w:t>
            </w:r>
          </w:p>
        </w:tc>
        <w:tc>
          <w:tcPr>
            <w:tcW w:w="836" w:type="dxa"/>
          </w:tcPr>
          <w:p w14:paraId="6810A0A7"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12.73</w:t>
            </w:r>
            <m:oMath>
              <m:r>
                <w:rPr>
                  <w:rFonts w:ascii="Cambria Math" w:hAnsi="Cambria Math" w:cs="Times New Roman"/>
                  <w:sz w:val="20"/>
                  <w:szCs w:val="20"/>
                </w:rPr>
                <m:t>±</m:t>
              </m:r>
            </m:oMath>
            <w:r>
              <w:rPr>
                <w:rFonts w:ascii="Times New Roman" w:eastAsiaTheme="minorEastAsia" w:hAnsi="Times New Roman" w:cs="Times New Roman"/>
                <w:sz w:val="20"/>
                <w:szCs w:val="20"/>
              </w:rPr>
              <w:t>0.42</w:t>
            </w:r>
            <w:r>
              <w:rPr>
                <w:rFonts w:ascii="Times New Roman" w:eastAsiaTheme="minorEastAsia" w:hAnsi="Times New Roman" w:cs="Times New Roman"/>
                <w:sz w:val="20"/>
                <w:szCs w:val="20"/>
                <w:vertAlign w:val="superscript"/>
              </w:rPr>
              <w:t>c</w:t>
            </w:r>
          </w:p>
        </w:tc>
        <w:tc>
          <w:tcPr>
            <w:tcW w:w="869" w:type="dxa"/>
          </w:tcPr>
          <w:p w14:paraId="60F00873"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14.26</w:t>
            </w:r>
            <m:oMath>
              <m:r>
                <w:rPr>
                  <w:rFonts w:ascii="Cambria Math" w:hAnsi="Cambria Math" w:cs="Times New Roman"/>
                  <w:sz w:val="20"/>
                  <w:szCs w:val="20"/>
                </w:rPr>
                <m:t>±</m:t>
              </m:r>
            </m:oMath>
            <w:r>
              <w:rPr>
                <w:rFonts w:ascii="Times New Roman" w:eastAsiaTheme="minorEastAsia" w:hAnsi="Times New Roman" w:cs="Times New Roman"/>
                <w:sz w:val="20"/>
                <w:szCs w:val="20"/>
              </w:rPr>
              <w:t>0.28</w:t>
            </w:r>
            <w:r>
              <w:rPr>
                <w:rFonts w:ascii="Times New Roman" w:eastAsiaTheme="minorEastAsia" w:hAnsi="Times New Roman" w:cs="Times New Roman"/>
                <w:sz w:val="20"/>
                <w:szCs w:val="20"/>
                <w:vertAlign w:val="superscript"/>
              </w:rPr>
              <w:t>c</w:t>
            </w:r>
          </w:p>
        </w:tc>
        <w:tc>
          <w:tcPr>
            <w:tcW w:w="833" w:type="dxa"/>
          </w:tcPr>
          <w:p w14:paraId="7380FF30"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15.60</w:t>
            </w:r>
            <m:oMath>
              <m:r>
                <w:rPr>
                  <w:rFonts w:ascii="Cambria Math" w:hAnsi="Cambria Math" w:cs="Times New Roman"/>
                  <w:sz w:val="20"/>
                  <w:szCs w:val="20"/>
                </w:rPr>
                <m:t>±0.39</m:t>
              </m:r>
            </m:oMath>
            <w:r>
              <w:rPr>
                <w:rFonts w:ascii="Times New Roman" w:eastAsiaTheme="minorEastAsia" w:hAnsi="Times New Roman" w:cs="Times New Roman"/>
                <w:sz w:val="20"/>
                <w:szCs w:val="20"/>
                <w:vertAlign w:val="superscript"/>
              </w:rPr>
              <w:t>c</w:t>
            </w:r>
          </w:p>
        </w:tc>
      </w:tr>
      <w:tr w:rsidR="001518C7" w14:paraId="6C5B4A3E" w14:textId="77777777">
        <w:trPr>
          <w:trHeight w:val="1168"/>
        </w:trPr>
        <w:tc>
          <w:tcPr>
            <w:tcW w:w="611" w:type="dxa"/>
          </w:tcPr>
          <w:p w14:paraId="1C0203B6" w14:textId="77777777" w:rsidR="001518C7" w:rsidRDefault="00000000">
            <w:pPr>
              <w:spacing w:after="0" w:line="360" w:lineRule="auto"/>
              <w:rPr>
                <w:rFonts w:ascii="Times New Roman" w:hAnsi="Times New Roman" w:cs="Times New Roman"/>
                <w:b/>
                <w:bCs/>
                <w:sz w:val="20"/>
                <w:szCs w:val="20"/>
              </w:rPr>
            </w:pPr>
            <w:r>
              <w:rPr>
                <w:rFonts w:ascii="Times New Roman" w:hAnsi="Times New Roman" w:cs="Times New Roman"/>
                <w:b/>
                <w:bCs/>
                <w:sz w:val="20"/>
                <w:szCs w:val="20"/>
              </w:rPr>
              <w:t>3 years</w:t>
            </w:r>
          </w:p>
        </w:tc>
        <w:tc>
          <w:tcPr>
            <w:tcW w:w="1235" w:type="dxa"/>
          </w:tcPr>
          <w:p w14:paraId="145513D1"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34.11</w:t>
            </w:r>
            <m:oMath>
              <m:r>
                <w:rPr>
                  <w:rFonts w:ascii="Cambria Math" w:hAnsi="Cambria Math" w:cs="Times New Roman"/>
                  <w:sz w:val="20"/>
                  <w:szCs w:val="20"/>
                </w:rPr>
                <m:t>±</m:t>
              </m:r>
            </m:oMath>
            <w:r>
              <w:rPr>
                <w:rFonts w:ascii="Times New Roman" w:eastAsiaTheme="minorEastAsia" w:hAnsi="Times New Roman" w:cs="Times New Roman"/>
                <w:sz w:val="20"/>
                <w:szCs w:val="20"/>
              </w:rPr>
              <w:t>0.51</w:t>
            </w:r>
            <w:r>
              <w:rPr>
                <w:rFonts w:ascii="Times New Roman" w:eastAsiaTheme="minorEastAsia" w:hAnsi="Times New Roman" w:cs="Times New Roman"/>
                <w:sz w:val="20"/>
                <w:szCs w:val="20"/>
                <w:vertAlign w:val="superscript"/>
              </w:rPr>
              <w:t>d</w:t>
            </w:r>
          </w:p>
        </w:tc>
        <w:tc>
          <w:tcPr>
            <w:tcW w:w="1235" w:type="dxa"/>
          </w:tcPr>
          <w:p w14:paraId="1EE60355"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24.38</w:t>
            </w:r>
            <m:oMath>
              <m:r>
                <w:rPr>
                  <w:rFonts w:ascii="Cambria Math" w:hAnsi="Cambria Math" w:cs="Times New Roman"/>
                  <w:sz w:val="20"/>
                  <w:szCs w:val="20"/>
                </w:rPr>
                <m:t>±</m:t>
              </m:r>
            </m:oMath>
            <w:r>
              <w:rPr>
                <w:rFonts w:ascii="Times New Roman" w:eastAsiaTheme="minorEastAsia" w:hAnsi="Times New Roman" w:cs="Times New Roman"/>
                <w:sz w:val="20"/>
                <w:szCs w:val="20"/>
              </w:rPr>
              <w:t>0.46</w:t>
            </w:r>
            <w:r>
              <w:rPr>
                <w:rFonts w:ascii="Times New Roman" w:eastAsiaTheme="minorEastAsia" w:hAnsi="Times New Roman" w:cs="Times New Roman"/>
                <w:sz w:val="20"/>
                <w:szCs w:val="20"/>
                <w:vertAlign w:val="superscript"/>
              </w:rPr>
              <w:t>d</w:t>
            </w:r>
          </w:p>
        </w:tc>
        <w:tc>
          <w:tcPr>
            <w:tcW w:w="1235" w:type="dxa"/>
          </w:tcPr>
          <w:p w14:paraId="791A9583"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25.2</w:t>
            </w:r>
            <w:r>
              <w:rPr>
                <w:rFonts w:ascii="Times New Roman" w:eastAsiaTheme="minorEastAsia" w:hAnsi="Times New Roman" w:cs="Times New Roman"/>
                <w:sz w:val="20"/>
                <w:szCs w:val="20"/>
              </w:rPr>
              <w:t>1</w:t>
            </w:r>
            <m:oMath>
              <m:r>
                <w:rPr>
                  <w:rFonts w:ascii="Cambria Math" w:hAnsi="Cambria Math" w:cs="Times New Roman"/>
                  <w:sz w:val="20"/>
                  <w:szCs w:val="20"/>
                </w:rPr>
                <m:t>±</m:t>
              </m:r>
            </m:oMath>
            <w:r>
              <w:rPr>
                <w:rFonts w:ascii="Times New Roman" w:eastAsiaTheme="minorEastAsia" w:hAnsi="Times New Roman" w:cs="Times New Roman"/>
                <w:sz w:val="20"/>
                <w:szCs w:val="20"/>
              </w:rPr>
              <w:t>0.57</w:t>
            </w:r>
            <w:r>
              <w:rPr>
                <w:rFonts w:ascii="Times New Roman" w:eastAsiaTheme="minorEastAsia" w:hAnsi="Times New Roman" w:cs="Times New Roman"/>
                <w:sz w:val="20"/>
                <w:szCs w:val="20"/>
                <w:vertAlign w:val="superscript"/>
              </w:rPr>
              <w:t>d</w:t>
            </w:r>
          </w:p>
        </w:tc>
        <w:tc>
          <w:tcPr>
            <w:tcW w:w="1198" w:type="dxa"/>
          </w:tcPr>
          <w:p w14:paraId="0BE6C74B"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23.21</w:t>
            </w:r>
            <m:oMath>
              <m:r>
                <w:rPr>
                  <w:rFonts w:ascii="Cambria Math" w:hAnsi="Cambria Math" w:cs="Times New Roman"/>
                  <w:sz w:val="20"/>
                  <w:szCs w:val="20"/>
                </w:rPr>
                <m:t>±</m:t>
              </m:r>
            </m:oMath>
            <w:r>
              <w:rPr>
                <w:rFonts w:ascii="Times New Roman" w:eastAsiaTheme="minorEastAsia" w:hAnsi="Times New Roman" w:cs="Times New Roman"/>
                <w:sz w:val="20"/>
                <w:szCs w:val="20"/>
              </w:rPr>
              <w:t>0.52</w:t>
            </w:r>
            <w:r>
              <w:rPr>
                <w:rFonts w:ascii="Times New Roman" w:eastAsiaTheme="minorEastAsia" w:hAnsi="Times New Roman" w:cs="Times New Roman"/>
                <w:sz w:val="20"/>
                <w:szCs w:val="20"/>
                <w:vertAlign w:val="superscript"/>
              </w:rPr>
              <w:t>d</w:t>
            </w:r>
          </w:p>
        </w:tc>
        <w:tc>
          <w:tcPr>
            <w:tcW w:w="816" w:type="dxa"/>
          </w:tcPr>
          <w:p w14:paraId="2F782FBC"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18.06</w:t>
            </w:r>
            <m:oMath>
              <m:r>
                <w:rPr>
                  <w:rFonts w:ascii="Cambria Math" w:hAnsi="Cambria Math" w:cs="Times New Roman"/>
                  <w:sz w:val="20"/>
                  <w:szCs w:val="20"/>
                </w:rPr>
                <m:t>±0.50</m:t>
              </m:r>
            </m:oMath>
            <w:r>
              <w:rPr>
                <w:rFonts w:ascii="Times New Roman" w:eastAsiaTheme="minorEastAsia" w:hAnsi="Times New Roman" w:cs="Times New Roman"/>
                <w:sz w:val="20"/>
                <w:szCs w:val="20"/>
                <w:vertAlign w:val="superscript"/>
              </w:rPr>
              <w:t>d</w:t>
            </w:r>
          </w:p>
        </w:tc>
        <w:tc>
          <w:tcPr>
            <w:tcW w:w="946" w:type="dxa"/>
          </w:tcPr>
          <w:p w14:paraId="30CC0E92"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21.26</w:t>
            </w:r>
            <m:oMath>
              <m:r>
                <w:rPr>
                  <w:rFonts w:ascii="Cambria Math" w:hAnsi="Cambria Math" w:cs="Times New Roman"/>
                  <w:sz w:val="20"/>
                  <w:szCs w:val="20"/>
                </w:rPr>
                <m:t>±</m:t>
              </m:r>
            </m:oMath>
            <w:r>
              <w:rPr>
                <w:rFonts w:ascii="Times New Roman" w:eastAsiaTheme="minorEastAsia" w:hAnsi="Times New Roman" w:cs="Times New Roman"/>
                <w:sz w:val="20"/>
                <w:szCs w:val="20"/>
              </w:rPr>
              <w:t>0.44</w:t>
            </w:r>
            <w:r>
              <w:rPr>
                <w:rFonts w:ascii="Times New Roman" w:eastAsiaTheme="minorEastAsia" w:hAnsi="Times New Roman" w:cs="Times New Roman"/>
                <w:sz w:val="20"/>
                <w:szCs w:val="20"/>
                <w:vertAlign w:val="superscript"/>
              </w:rPr>
              <w:t>d</w:t>
            </w:r>
          </w:p>
        </w:tc>
        <w:tc>
          <w:tcPr>
            <w:tcW w:w="836" w:type="dxa"/>
          </w:tcPr>
          <w:p w14:paraId="1F57D7A0"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16.3</w:t>
            </w:r>
            <m:oMath>
              <m:r>
                <w:rPr>
                  <w:rFonts w:ascii="Cambria Math" w:hAnsi="Cambria Math" w:cs="Times New Roman"/>
                  <w:sz w:val="20"/>
                  <w:szCs w:val="20"/>
                </w:rPr>
                <m:t>±</m:t>
              </m:r>
            </m:oMath>
            <w:r>
              <w:rPr>
                <w:rFonts w:ascii="Times New Roman" w:eastAsiaTheme="minorEastAsia" w:hAnsi="Times New Roman" w:cs="Times New Roman"/>
                <w:sz w:val="20"/>
                <w:szCs w:val="20"/>
              </w:rPr>
              <w:t>0.39</w:t>
            </w:r>
            <w:r>
              <w:rPr>
                <w:rFonts w:ascii="Times New Roman" w:eastAsiaTheme="minorEastAsia" w:hAnsi="Times New Roman" w:cs="Times New Roman"/>
                <w:sz w:val="20"/>
                <w:szCs w:val="20"/>
                <w:vertAlign w:val="superscript"/>
              </w:rPr>
              <w:t>d</w:t>
            </w:r>
          </w:p>
        </w:tc>
        <w:tc>
          <w:tcPr>
            <w:tcW w:w="869" w:type="dxa"/>
          </w:tcPr>
          <w:p w14:paraId="07F7CDC6"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18.28</w:t>
            </w:r>
            <m:oMath>
              <m:r>
                <w:rPr>
                  <w:rFonts w:ascii="Cambria Math" w:hAnsi="Cambria Math" w:cs="Times New Roman"/>
                  <w:sz w:val="20"/>
                  <w:szCs w:val="20"/>
                </w:rPr>
                <m:t>±</m:t>
              </m:r>
            </m:oMath>
            <w:r>
              <w:rPr>
                <w:rFonts w:ascii="Times New Roman" w:eastAsiaTheme="minorEastAsia" w:hAnsi="Times New Roman" w:cs="Times New Roman"/>
                <w:sz w:val="20"/>
                <w:szCs w:val="20"/>
              </w:rPr>
              <w:t>0.37</w:t>
            </w:r>
            <w:r>
              <w:rPr>
                <w:rFonts w:ascii="Times New Roman" w:eastAsiaTheme="minorEastAsia" w:hAnsi="Times New Roman" w:cs="Times New Roman"/>
                <w:sz w:val="20"/>
                <w:szCs w:val="20"/>
                <w:vertAlign w:val="superscript"/>
              </w:rPr>
              <w:t>d</w:t>
            </w:r>
          </w:p>
        </w:tc>
        <w:tc>
          <w:tcPr>
            <w:tcW w:w="833" w:type="dxa"/>
          </w:tcPr>
          <w:p w14:paraId="489DE4B2" w14:textId="77777777" w:rsidR="001518C7" w:rsidRDefault="00000000">
            <w:pPr>
              <w:spacing w:after="0" w:line="360" w:lineRule="auto"/>
              <w:rPr>
                <w:rFonts w:ascii="Times New Roman" w:hAnsi="Times New Roman" w:cs="Times New Roman"/>
                <w:sz w:val="20"/>
                <w:szCs w:val="20"/>
                <w:vertAlign w:val="superscript"/>
              </w:rPr>
            </w:pPr>
            <w:r>
              <w:rPr>
                <w:rFonts w:ascii="Times New Roman" w:hAnsi="Times New Roman" w:cs="Times New Roman"/>
                <w:sz w:val="20"/>
                <w:szCs w:val="20"/>
              </w:rPr>
              <w:t>19.51</w:t>
            </w:r>
            <m:oMath>
              <m:r>
                <w:rPr>
                  <w:rFonts w:ascii="Cambria Math" w:hAnsi="Cambria Math" w:cs="Times New Roman"/>
                  <w:sz w:val="20"/>
                  <w:szCs w:val="20"/>
                </w:rPr>
                <m:t>±</m:t>
              </m:r>
            </m:oMath>
            <w:r>
              <w:rPr>
                <w:rFonts w:ascii="Times New Roman" w:eastAsiaTheme="minorEastAsia" w:hAnsi="Times New Roman" w:cs="Times New Roman"/>
                <w:sz w:val="20"/>
                <w:szCs w:val="20"/>
              </w:rPr>
              <w:t>0.44</w:t>
            </w:r>
            <w:r>
              <w:rPr>
                <w:rFonts w:ascii="Times New Roman" w:eastAsiaTheme="minorEastAsia" w:hAnsi="Times New Roman" w:cs="Times New Roman"/>
                <w:sz w:val="20"/>
                <w:szCs w:val="20"/>
                <w:vertAlign w:val="superscript"/>
              </w:rPr>
              <w:t>d</w:t>
            </w:r>
          </w:p>
        </w:tc>
      </w:tr>
    </w:tbl>
    <w:p w14:paraId="053C149A" w14:textId="77777777" w:rsidR="001518C7" w:rsidRDefault="00000000">
      <w:pPr>
        <w:spacing w:after="0" w:line="360" w:lineRule="auto"/>
        <w:jc w:val="center"/>
        <w:rPr>
          <w:rFonts w:ascii="Times New Roman" w:hAnsi="Times New Roman"/>
          <w:b/>
          <w:bCs/>
          <w:sz w:val="24"/>
          <w:szCs w:val="24"/>
          <w:lang w:val="en-US"/>
        </w:rPr>
      </w:pPr>
      <w:r>
        <w:rPr>
          <w:rFonts w:ascii="Times New Roman" w:hAnsi="Times New Roman"/>
          <w:b/>
          <w:bCs/>
          <w:sz w:val="24"/>
          <w:szCs w:val="24"/>
          <w:lang w:val="en-US"/>
        </w:rPr>
        <w:t>Table 2.  Mean ± SE of gross parameters of skull morphometry</w:t>
      </w:r>
    </w:p>
    <w:p w14:paraId="6CEF16F5" w14:textId="77777777" w:rsidR="001518C7" w:rsidRDefault="001518C7">
      <w:pPr>
        <w:spacing w:after="0" w:line="360" w:lineRule="auto"/>
        <w:jc w:val="both"/>
        <w:rPr>
          <w:rFonts w:ascii="Times New Roman" w:hAnsi="Times New Roman"/>
          <w:sz w:val="24"/>
          <w:szCs w:val="24"/>
          <w:lang w:val="en-US"/>
        </w:rPr>
      </w:pPr>
    </w:p>
    <w:p w14:paraId="2B50ABFE"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b/>
          <w:bCs/>
          <w:sz w:val="24"/>
          <w:szCs w:val="24"/>
          <w:lang w:val="en-US"/>
        </w:rPr>
        <w:t>5. Zygomatic Width and Mandible Base Width</w:t>
      </w:r>
    </w:p>
    <w:p w14:paraId="50E2F3D5"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Zygomatic width demonstrated an increase, reflecting the expansion of muscle attachment areas, which are essential for controlling jaw movements. Alongside this, the mandible base width tripled, underscoring the functional robustness of the breed, indicating strong evolutionary adaptations to their roles (Wayne, 1986; Geiger </w:t>
      </w:r>
      <w:r>
        <w:rPr>
          <w:rFonts w:ascii="Times New Roman" w:hAnsi="Times New Roman"/>
          <w:i/>
          <w:sz w:val="24"/>
          <w:szCs w:val="24"/>
          <w:lang w:val="en-US"/>
        </w:rPr>
        <w:t>et al</w:t>
      </w:r>
      <w:r>
        <w:rPr>
          <w:rFonts w:ascii="Times New Roman" w:hAnsi="Times New Roman"/>
          <w:sz w:val="24"/>
          <w:szCs w:val="24"/>
          <w:lang w:val="en-US"/>
        </w:rPr>
        <w:t>., 2017).</w:t>
      </w:r>
    </w:p>
    <w:p w14:paraId="2DB113F0" w14:textId="77777777" w:rsidR="001518C7" w:rsidRDefault="001518C7">
      <w:pPr>
        <w:spacing w:after="0" w:line="360" w:lineRule="auto"/>
        <w:jc w:val="both"/>
        <w:rPr>
          <w:rFonts w:ascii="Times New Roman" w:hAnsi="Times New Roman"/>
          <w:sz w:val="24"/>
          <w:szCs w:val="24"/>
          <w:lang w:val="en-US"/>
        </w:rPr>
      </w:pPr>
    </w:p>
    <w:p w14:paraId="7D56A4B1" w14:textId="77777777" w:rsidR="001518C7" w:rsidRDefault="00000000">
      <w:pPr>
        <w:spacing w:after="0" w:line="360" w:lineRule="auto"/>
        <w:jc w:val="both"/>
        <w:rPr>
          <w:rFonts w:ascii="Times New Roman" w:hAnsi="Times New Roman"/>
          <w:b/>
          <w:bCs/>
          <w:sz w:val="24"/>
          <w:szCs w:val="24"/>
          <w:lang w:val="en-US"/>
        </w:rPr>
      </w:pPr>
      <w:r>
        <w:rPr>
          <w:rFonts w:ascii="Times New Roman" w:hAnsi="Times New Roman"/>
          <w:b/>
          <w:bCs/>
          <w:sz w:val="24"/>
          <w:szCs w:val="24"/>
          <w:lang w:val="en-US"/>
        </w:rPr>
        <w:t>Comparative Analysis</w:t>
      </w:r>
    </w:p>
    <w:p w14:paraId="7FF91794"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The developmental trajectory observed in this study aligns with published reports on large dog breeds, with the most significant morphometric changes occurring prior to sexual maturity (Ellis </w:t>
      </w:r>
      <w:r>
        <w:rPr>
          <w:rFonts w:ascii="Times New Roman" w:hAnsi="Times New Roman"/>
          <w:i/>
          <w:sz w:val="24"/>
          <w:szCs w:val="24"/>
          <w:lang w:val="en-US"/>
        </w:rPr>
        <w:t>et al</w:t>
      </w:r>
      <w:r>
        <w:rPr>
          <w:rFonts w:ascii="Times New Roman" w:hAnsi="Times New Roman"/>
          <w:sz w:val="24"/>
          <w:szCs w:val="24"/>
          <w:lang w:val="en-US"/>
        </w:rPr>
        <w:t xml:space="preserve">., 2009; </w:t>
      </w:r>
      <w:proofErr w:type="spellStart"/>
      <w:r>
        <w:rPr>
          <w:rFonts w:ascii="Times New Roman" w:hAnsi="Times New Roman"/>
          <w:sz w:val="24"/>
          <w:szCs w:val="24"/>
          <w:lang w:val="en-US"/>
        </w:rPr>
        <w:t>Onar</w:t>
      </w:r>
      <w:proofErr w:type="spellEnd"/>
      <w:r>
        <w:rPr>
          <w:rFonts w:ascii="Times New Roman" w:hAnsi="Times New Roman"/>
          <w:sz w:val="24"/>
          <w:szCs w:val="24"/>
          <w:lang w:val="en-US"/>
        </w:rPr>
        <w:t xml:space="preserve">, 1999). Changes in mandibular elongation and head proportionality have a direct impact on feeding mechanics and behavioral traits, reinforcing the idea that form closely follows function in evolutionary terms (Evans &amp; de </w:t>
      </w:r>
      <w:proofErr w:type="spellStart"/>
      <w:r>
        <w:rPr>
          <w:rFonts w:ascii="Times New Roman" w:hAnsi="Times New Roman"/>
          <w:sz w:val="24"/>
          <w:szCs w:val="24"/>
          <w:lang w:val="en-US"/>
        </w:rPr>
        <w:t>Lahunta</w:t>
      </w:r>
      <w:proofErr w:type="spellEnd"/>
      <w:r>
        <w:rPr>
          <w:rFonts w:ascii="Times New Roman" w:hAnsi="Times New Roman"/>
          <w:sz w:val="24"/>
          <w:szCs w:val="24"/>
          <w:lang w:val="en-US"/>
        </w:rPr>
        <w:t>, 2013).</w:t>
      </w:r>
    </w:p>
    <w:p w14:paraId="120A7D95"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Moreover, a connection drawn by Simoens </w:t>
      </w:r>
      <w:r>
        <w:rPr>
          <w:rFonts w:ascii="Times New Roman" w:hAnsi="Times New Roman"/>
          <w:i/>
          <w:sz w:val="24"/>
          <w:szCs w:val="24"/>
          <w:lang w:val="en-US"/>
        </w:rPr>
        <w:t>et al</w:t>
      </w:r>
      <w:r>
        <w:rPr>
          <w:rFonts w:ascii="Times New Roman" w:hAnsi="Times New Roman"/>
          <w:sz w:val="24"/>
          <w:szCs w:val="24"/>
          <w:lang w:val="en-US"/>
        </w:rPr>
        <w:t>. (1994) indicates that foramen magnum size is associated with neurological maturation. The current findings support this, as skull base metrics correlated positively with age, emphasizing the interconnectedness of physical development and neurological growth (</w:t>
      </w:r>
      <w:proofErr w:type="spellStart"/>
      <w:r>
        <w:rPr>
          <w:rFonts w:ascii="Times New Roman" w:hAnsi="Times New Roman"/>
          <w:sz w:val="24"/>
          <w:szCs w:val="24"/>
          <w:lang w:val="en-US"/>
        </w:rPr>
        <w:t>Vilà</w:t>
      </w:r>
      <w:proofErr w:type="spellEnd"/>
      <w:r>
        <w:rPr>
          <w:rFonts w:ascii="Times New Roman" w:hAnsi="Times New Roman"/>
          <w:sz w:val="24"/>
          <w:szCs w:val="24"/>
          <w:lang w:val="en-US"/>
        </w:rPr>
        <w:t xml:space="preserve"> </w:t>
      </w:r>
      <w:r>
        <w:rPr>
          <w:rFonts w:ascii="Times New Roman" w:hAnsi="Times New Roman"/>
          <w:i/>
          <w:sz w:val="24"/>
          <w:szCs w:val="24"/>
          <w:lang w:val="en-US"/>
        </w:rPr>
        <w:t>et al</w:t>
      </w:r>
      <w:r>
        <w:rPr>
          <w:rFonts w:ascii="Times New Roman" w:hAnsi="Times New Roman"/>
          <w:sz w:val="24"/>
          <w:szCs w:val="24"/>
          <w:lang w:val="en-US"/>
        </w:rPr>
        <w:t>., 1997</w:t>
      </w:r>
      <w:proofErr w:type="gramStart"/>
      <w:r>
        <w:rPr>
          <w:rFonts w:ascii="Times New Roman" w:hAnsi="Times New Roman"/>
          <w:sz w:val="24"/>
          <w:szCs w:val="24"/>
          <w:lang w:val="en-US"/>
        </w:rPr>
        <w:t>).The</w:t>
      </w:r>
      <w:proofErr w:type="gramEnd"/>
      <w:r>
        <w:rPr>
          <w:rFonts w:ascii="Times New Roman" w:hAnsi="Times New Roman"/>
          <w:sz w:val="24"/>
          <w:szCs w:val="24"/>
          <w:lang w:val="en-US"/>
        </w:rPr>
        <w:t xml:space="preserve"> shifts in skull morphometry reflect underlying selective pressures experienced throughout the breed's history. Drake &amp; </w:t>
      </w:r>
      <w:r>
        <w:rPr>
          <w:rFonts w:ascii="Times New Roman" w:hAnsi="Times New Roman"/>
          <w:sz w:val="24"/>
          <w:szCs w:val="24"/>
          <w:lang w:val="en-US"/>
        </w:rPr>
        <w:lastRenderedPageBreak/>
        <w:t>Klingenberg (2008) discussed skull elongation shaped by selective breeding in breeds like St. Bernards. The moderate yet consistent elongation seen in German Shepherds suggests stabilizing selection that seeks to preserve functional balance, pivotal for a breed known for its versatility in various roles (</w:t>
      </w:r>
      <w:proofErr w:type="spellStart"/>
      <w:r>
        <w:rPr>
          <w:rFonts w:ascii="Times New Roman" w:hAnsi="Times New Roman"/>
          <w:sz w:val="24"/>
          <w:szCs w:val="24"/>
          <w:lang w:val="en-US"/>
        </w:rPr>
        <w:t>Schoenebeck</w:t>
      </w:r>
      <w:proofErr w:type="spellEnd"/>
      <w:r>
        <w:rPr>
          <w:rFonts w:ascii="Times New Roman" w:hAnsi="Times New Roman"/>
          <w:sz w:val="24"/>
          <w:szCs w:val="24"/>
          <w:lang w:val="en-US"/>
        </w:rPr>
        <w:t xml:space="preserve"> &amp; Ostrander, 2013).</w:t>
      </w:r>
    </w:p>
    <w:p w14:paraId="37807780" w14:textId="77777777" w:rsidR="001518C7" w:rsidRDefault="001518C7">
      <w:pPr>
        <w:spacing w:after="0" w:line="360" w:lineRule="auto"/>
        <w:jc w:val="both"/>
        <w:rPr>
          <w:rFonts w:ascii="Times New Roman" w:hAnsi="Times New Roman"/>
          <w:sz w:val="24"/>
          <w:szCs w:val="24"/>
          <w:lang w:val="en-US"/>
        </w:rPr>
      </w:pPr>
    </w:p>
    <w:p w14:paraId="56753015"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b/>
          <w:bCs/>
          <w:sz w:val="24"/>
          <w:szCs w:val="24"/>
          <w:lang w:val="en-US"/>
        </w:rPr>
        <w:t>Application in Clinical and Breeding Practice</w:t>
      </w:r>
    </w:p>
    <w:p w14:paraId="68C27383"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The data generated from this study can serve multiple applied purposes. Morphometric benchmarks are invaluable for breed standardization, aiding in the assessment of breed conformity (Kranenburg </w:t>
      </w:r>
      <w:r>
        <w:rPr>
          <w:rFonts w:ascii="Times New Roman" w:hAnsi="Times New Roman"/>
          <w:i/>
          <w:sz w:val="24"/>
          <w:szCs w:val="24"/>
          <w:lang w:val="en-US"/>
        </w:rPr>
        <w:t>et al</w:t>
      </w:r>
      <w:r>
        <w:rPr>
          <w:rFonts w:ascii="Times New Roman" w:hAnsi="Times New Roman"/>
          <w:sz w:val="24"/>
          <w:szCs w:val="24"/>
          <w:lang w:val="en-US"/>
        </w:rPr>
        <w:t xml:space="preserve">., 2012). Furthermore, establishing growth baselines assists veterinarians in diagnosing developmental disorders in pediatric dogs (Stockard, 1941). In terms of nutritional planning, growth curves derived from this morphometric data can help formulate age-specific feeding protocols, ensuring optimal health and growth during critical development stages (Evans &amp; de </w:t>
      </w:r>
      <w:proofErr w:type="spellStart"/>
      <w:r>
        <w:rPr>
          <w:rFonts w:ascii="Times New Roman" w:hAnsi="Times New Roman"/>
          <w:sz w:val="24"/>
          <w:szCs w:val="24"/>
          <w:lang w:val="en-US"/>
        </w:rPr>
        <w:t>Lahunta</w:t>
      </w:r>
      <w:proofErr w:type="spellEnd"/>
      <w:r>
        <w:rPr>
          <w:rFonts w:ascii="Times New Roman" w:hAnsi="Times New Roman"/>
          <w:sz w:val="24"/>
          <w:szCs w:val="24"/>
          <w:lang w:val="en-US"/>
        </w:rPr>
        <w:t>, 2013). Additionally, morphometric indices have practical applications in forensic investigations, where they can aid in estimating the age and breed of unknown remains (</w:t>
      </w:r>
      <w:proofErr w:type="spellStart"/>
      <w:r>
        <w:rPr>
          <w:rFonts w:ascii="Times New Roman" w:hAnsi="Times New Roman"/>
          <w:sz w:val="24"/>
          <w:szCs w:val="24"/>
          <w:lang w:val="en-US"/>
        </w:rPr>
        <w:t>Onar</w:t>
      </w:r>
      <w:proofErr w:type="spellEnd"/>
      <w:r>
        <w:rPr>
          <w:rFonts w:ascii="Times New Roman" w:hAnsi="Times New Roman"/>
          <w:sz w:val="24"/>
          <w:szCs w:val="24"/>
          <w:lang w:val="en-US"/>
        </w:rPr>
        <w:t>, 2003; Wayne, 1986).</w:t>
      </w:r>
    </w:p>
    <w:p w14:paraId="06D65949" w14:textId="77777777" w:rsidR="001518C7" w:rsidRDefault="001518C7">
      <w:pPr>
        <w:spacing w:after="0" w:line="360" w:lineRule="auto"/>
        <w:jc w:val="both"/>
        <w:rPr>
          <w:rFonts w:ascii="Times New Roman" w:hAnsi="Times New Roman"/>
          <w:sz w:val="24"/>
          <w:szCs w:val="24"/>
          <w:lang w:val="en-US"/>
        </w:rPr>
      </w:pPr>
    </w:p>
    <w:p w14:paraId="682C0030"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b/>
          <w:bCs/>
          <w:sz w:val="24"/>
          <w:szCs w:val="24"/>
          <w:lang w:val="en-US"/>
        </w:rPr>
        <w:t xml:space="preserve"> Limitations and Future Directions</w:t>
      </w:r>
    </w:p>
    <w:p w14:paraId="7B1013E4"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While the present study offers comprehensive insights into morphometric changes in German Shepherd bitches, the sample size limits broad generalizability. The future research endeavors should consider a more extensive sample size that includes both sexes across various breeds. Incorporating imaging technologies, such as 3D modeling and CT scans, could yield even more profound insights into the morphometric variations and their implications in veterinary </w:t>
      </w:r>
      <w:proofErr w:type="spellStart"/>
      <w:proofErr w:type="gramStart"/>
      <w:r>
        <w:rPr>
          <w:rFonts w:ascii="Times New Roman" w:hAnsi="Times New Roman"/>
          <w:sz w:val="24"/>
          <w:szCs w:val="24"/>
          <w:lang w:val="en-US"/>
        </w:rPr>
        <w:t>practice.Ultimately</w:t>
      </w:r>
      <w:proofErr w:type="spellEnd"/>
      <w:proofErr w:type="gramEnd"/>
      <w:r>
        <w:rPr>
          <w:rFonts w:ascii="Times New Roman" w:hAnsi="Times New Roman"/>
          <w:sz w:val="24"/>
          <w:szCs w:val="24"/>
          <w:lang w:val="en-US"/>
        </w:rPr>
        <w:t>, this study underscores the importance of understanding morphometric changes in dogs. As breeds continue to evolve through selective breeding practices, morphometric assessments will remain vital for maintaining the health, performance, and overall quality of life in our canine companions. The integration of morphometric evaluations in veterinary and breeding practices will not only enhance breed standards but also foster a deeper understanding of the anatomical and physiological needs of various dog breeds.</w:t>
      </w:r>
    </w:p>
    <w:p w14:paraId="32D80598" w14:textId="77777777" w:rsidR="001518C7" w:rsidRDefault="001518C7">
      <w:pPr>
        <w:spacing w:after="0" w:line="360" w:lineRule="auto"/>
        <w:jc w:val="both"/>
        <w:rPr>
          <w:rFonts w:ascii="Times New Roman" w:hAnsi="Times New Roman"/>
          <w:b/>
          <w:bCs/>
          <w:sz w:val="24"/>
          <w:szCs w:val="24"/>
          <w:lang w:val="en-US"/>
        </w:rPr>
      </w:pPr>
    </w:p>
    <w:p w14:paraId="245B6420" w14:textId="77777777" w:rsidR="001518C7" w:rsidRDefault="00000000">
      <w:pPr>
        <w:spacing w:after="0" w:line="360" w:lineRule="auto"/>
        <w:jc w:val="center"/>
        <w:rPr>
          <w:rFonts w:ascii="Times New Roman" w:hAnsi="Times New Roman"/>
          <w:sz w:val="24"/>
          <w:szCs w:val="24"/>
          <w:lang w:val="en-US"/>
        </w:rPr>
      </w:pPr>
      <w:r>
        <w:rPr>
          <w:rFonts w:ascii="Times New Roman" w:hAnsi="Times New Roman"/>
          <w:b/>
          <w:bCs/>
          <w:sz w:val="24"/>
          <w:szCs w:val="24"/>
          <w:lang w:val="en-US"/>
        </w:rPr>
        <w:t>CONCLUSION</w:t>
      </w:r>
    </w:p>
    <w:p w14:paraId="611CD32D" w14:textId="77777777" w:rsidR="001518C7" w:rsidRDefault="00000000">
      <w:pPr>
        <w:spacing w:after="0" w:line="360" w:lineRule="auto"/>
        <w:jc w:val="both"/>
        <w:rPr>
          <w:rFonts w:ascii="Times New Roman" w:hAnsi="Times New Roman"/>
          <w:sz w:val="24"/>
          <w:szCs w:val="24"/>
          <w:lang w:val="en-US"/>
        </w:rPr>
      </w:pPr>
      <w:r>
        <w:rPr>
          <w:rFonts w:ascii="Times New Roman" w:hAnsi="Times New Roman"/>
          <w:sz w:val="24"/>
          <w:szCs w:val="24"/>
          <w:lang w:val="en-US"/>
        </w:rPr>
        <w:t>This study detailed significant morphometric changes in body and skull parameters of German Shepherd bitches from infancy to adulthood. The findings confirm breed-specific skeletal and cranial development patterns that align with functional demands and genetic programming. These measurements provide vital reference points for veterinarians, breeders, and researchers.</w:t>
      </w:r>
    </w:p>
    <w:p w14:paraId="788E8691" w14:textId="77777777" w:rsidR="009976A0" w:rsidRDefault="009976A0" w:rsidP="009976A0">
      <w:pPr>
        <w:autoSpaceDE w:val="0"/>
        <w:autoSpaceDN w:val="0"/>
        <w:adjustRightInd w:val="0"/>
        <w:spacing w:after="0" w:line="240" w:lineRule="auto"/>
        <w:jc w:val="both"/>
        <w:rPr>
          <w:rFonts w:ascii="Times New Roman" w:hAnsi="Times New Roman"/>
          <w:b/>
          <w:bCs/>
        </w:rPr>
      </w:pPr>
      <w:r>
        <w:rPr>
          <w:rFonts w:ascii="Times New Roman" w:hAnsi="Times New Roman"/>
          <w:b/>
          <w:bCs/>
        </w:rPr>
        <w:lastRenderedPageBreak/>
        <w:t>Disclaimers</w:t>
      </w:r>
    </w:p>
    <w:p w14:paraId="0ECD6B6E" w14:textId="77777777" w:rsidR="009976A0" w:rsidRDefault="009976A0" w:rsidP="009976A0">
      <w:pPr>
        <w:autoSpaceDE w:val="0"/>
        <w:autoSpaceDN w:val="0"/>
        <w:adjustRightInd w:val="0"/>
        <w:spacing w:after="0" w:line="240" w:lineRule="auto"/>
        <w:jc w:val="both"/>
        <w:rPr>
          <w:rFonts w:ascii="Times New Roman" w:hAnsi="Times New Roman"/>
        </w:rPr>
      </w:pPr>
      <w:r>
        <w:rPr>
          <w:rFonts w:ascii="Times New Roman" w:hAnsi="Times New Roman"/>
        </w:rPr>
        <w:t>The views and conclusions expressed in this article are solely those of the authors and do not necessarily represent the views of their affiliated institutions. The authors are responsible for the accuracy and completeness of the information provided, but do not accept any liability for any direct or indirect losses resulting from the use of this content.</w:t>
      </w:r>
    </w:p>
    <w:p w14:paraId="799F0D16" w14:textId="77777777" w:rsidR="009976A0" w:rsidRDefault="009976A0" w:rsidP="009976A0">
      <w:pPr>
        <w:autoSpaceDE w:val="0"/>
        <w:autoSpaceDN w:val="0"/>
        <w:adjustRightInd w:val="0"/>
        <w:spacing w:after="0" w:line="240" w:lineRule="auto"/>
        <w:jc w:val="both"/>
        <w:rPr>
          <w:rFonts w:ascii="Times New Roman" w:hAnsi="Times New Roman"/>
          <w:b/>
          <w:bCs/>
        </w:rPr>
      </w:pPr>
      <w:r>
        <w:rPr>
          <w:rFonts w:ascii="Times New Roman" w:hAnsi="Times New Roman"/>
          <w:b/>
          <w:bCs/>
        </w:rPr>
        <w:t>Conflict of interest</w:t>
      </w:r>
    </w:p>
    <w:p w14:paraId="65C5F2AF" w14:textId="77777777" w:rsidR="009976A0" w:rsidRDefault="009976A0" w:rsidP="009976A0">
      <w:pPr>
        <w:autoSpaceDE w:val="0"/>
        <w:autoSpaceDN w:val="0"/>
        <w:adjustRightInd w:val="0"/>
        <w:spacing w:after="0" w:line="240" w:lineRule="auto"/>
        <w:jc w:val="both"/>
        <w:rPr>
          <w:rFonts w:ascii="Times New Roman" w:hAnsi="Times New Roman"/>
        </w:rPr>
      </w:pPr>
      <w:r>
        <w:rPr>
          <w:rFonts w:ascii="Times New Roman" w:hAnsi="Times New Roman"/>
        </w:rPr>
        <w:t>The authors declare that there are no conflicts of interest regarding the publication of this article. No funding or sponsorship influenced the design of the study, data collection, analysis, decision to publish,</w:t>
      </w:r>
    </w:p>
    <w:p w14:paraId="75FC20C7" w14:textId="77777777" w:rsidR="009976A0" w:rsidRDefault="009976A0" w:rsidP="009976A0">
      <w:pPr>
        <w:autoSpaceDE w:val="0"/>
        <w:autoSpaceDN w:val="0"/>
        <w:adjustRightInd w:val="0"/>
        <w:spacing w:after="0" w:line="240" w:lineRule="auto"/>
        <w:jc w:val="both"/>
        <w:rPr>
          <w:rFonts w:ascii="Times New Roman" w:hAnsi="Times New Roman"/>
        </w:rPr>
      </w:pPr>
      <w:r>
        <w:rPr>
          <w:rFonts w:ascii="Times New Roman" w:hAnsi="Times New Roman"/>
        </w:rPr>
        <w:t>or preparation of the manuscript.</w:t>
      </w:r>
    </w:p>
    <w:p w14:paraId="64826023" w14:textId="77777777" w:rsidR="009976A0" w:rsidRDefault="009976A0" w:rsidP="009976A0">
      <w:pPr>
        <w:autoSpaceDE w:val="0"/>
        <w:autoSpaceDN w:val="0"/>
        <w:adjustRightInd w:val="0"/>
        <w:spacing w:after="0" w:line="240" w:lineRule="auto"/>
        <w:jc w:val="both"/>
        <w:rPr>
          <w:rFonts w:ascii="Times New Roman" w:hAnsi="Times New Roman"/>
          <w:b/>
          <w:bCs/>
        </w:rPr>
      </w:pPr>
      <w:r>
        <w:rPr>
          <w:rFonts w:ascii="Times New Roman" w:hAnsi="Times New Roman"/>
          <w:b/>
          <w:bCs/>
        </w:rPr>
        <w:t>Informed consent</w:t>
      </w:r>
    </w:p>
    <w:p w14:paraId="78AF03A4" w14:textId="77777777" w:rsidR="009976A0" w:rsidRDefault="009976A0" w:rsidP="009976A0">
      <w:pPr>
        <w:autoSpaceDE w:val="0"/>
        <w:autoSpaceDN w:val="0"/>
        <w:adjustRightInd w:val="0"/>
        <w:spacing w:after="0" w:line="240" w:lineRule="auto"/>
        <w:jc w:val="both"/>
        <w:rPr>
          <w:rFonts w:ascii="Times New Roman" w:hAnsi="Times New Roman"/>
        </w:rPr>
      </w:pPr>
      <w:r>
        <w:rPr>
          <w:rFonts w:ascii="Times New Roman" w:hAnsi="Times New Roman"/>
        </w:rPr>
        <w:t xml:space="preserve">All animal procedures and handling techniques for experiments were approved by the Institutional Animal </w:t>
      </w:r>
    </w:p>
    <w:p w14:paraId="1B47F961" w14:textId="77777777" w:rsidR="009976A0" w:rsidRDefault="009976A0">
      <w:pPr>
        <w:spacing w:after="0" w:line="360" w:lineRule="auto"/>
        <w:jc w:val="both"/>
        <w:rPr>
          <w:rFonts w:ascii="Times New Roman" w:hAnsi="Times New Roman"/>
          <w:sz w:val="24"/>
          <w:szCs w:val="24"/>
          <w:lang w:val="en-US"/>
        </w:rPr>
      </w:pPr>
    </w:p>
    <w:p w14:paraId="29DE3DFD" w14:textId="77777777" w:rsidR="001518C7" w:rsidRDefault="001518C7">
      <w:pPr>
        <w:spacing w:after="0" w:line="360" w:lineRule="auto"/>
        <w:jc w:val="both"/>
        <w:rPr>
          <w:rFonts w:ascii="Times New Roman" w:hAnsi="Times New Roman"/>
          <w:sz w:val="24"/>
          <w:szCs w:val="24"/>
          <w:lang w:val="en-US"/>
        </w:rPr>
      </w:pPr>
    </w:p>
    <w:p w14:paraId="4DFCE82E" w14:textId="77777777" w:rsidR="001518C7" w:rsidRDefault="00000000">
      <w:pPr>
        <w:spacing w:after="0" w:line="240" w:lineRule="auto"/>
        <w:ind w:firstLine="720"/>
        <w:jc w:val="center"/>
        <w:rPr>
          <w:rFonts w:ascii="Times New Roman" w:hAnsi="Times New Roman"/>
          <w:b/>
          <w:bCs/>
          <w:sz w:val="24"/>
          <w:szCs w:val="24"/>
          <w:lang w:val="en-US"/>
        </w:rPr>
      </w:pPr>
      <w:r>
        <w:rPr>
          <w:rFonts w:ascii="Times New Roman" w:hAnsi="Times New Roman"/>
          <w:b/>
          <w:bCs/>
          <w:sz w:val="24"/>
          <w:szCs w:val="24"/>
          <w:lang w:val="en-US"/>
        </w:rPr>
        <w:t>REFERENCES</w:t>
      </w:r>
    </w:p>
    <w:p w14:paraId="7A63FB4F" w14:textId="77777777" w:rsidR="001518C7" w:rsidRDefault="001518C7">
      <w:pPr>
        <w:spacing w:after="0" w:line="240" w:lineRule="auto"/>
        <w:ind w:firstLine="720"/>
        <w:jc w:val="center"/>
        <w:rPr>
          <w:rFonts w:ascii="Times New Roman" w:hAnsi="Times New Roman"/>
          <w:b/>
          <w:bCs/>
          <w:sz w:val="24"/>
          <w:szCs w:val="24"/>
          <w:lang w:val="en-US"/>
        </w:rPr>
      </w:pPr>
    </w:p>
    <w:p w14:paraId="68ACF44B" w14:textId="77777777" w:rsidR="001518C7" w:rsidRDefault="001518C7">
      <w:pPr>
        <w:spacing w:after="0" w:line="360" w:lineRule="auto"/>
        <w:jc w:val="both"/>
        <w:rPr>
          <w:rFonts w:ascii="Times New Roman" w:hAnsi="Times New Roman"/>
          <w:sz w:val="24"/>
          <w:szCs w:val="24"/>
          <w:lang w:val="en-US"/>
        </w:rPr>
      </w:pPr>
    </w:p>
    <w:p w14:paraId="4E24BEFB"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Academia.edu. (2021). MRI mensuration of canine head structures.</w:t>
      </w:r>
    </w:p>
    <w:p w14:paraId="72BF85F0"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Brown, C. J., </w:t>
      </w:r>
      <w:r>
        <w:rPr>
          <w:rFonts w:ascii="Times New Roman" w:hAnsi="Times New Roman"/>
          <w:i/>
          <w:sz w:val="24"/>
          <w:szCs w:val="24"/>
          <w:lang w:val="en-US"/>
        </w:rPr>
        <w:t>et al</w:t>
      </w:r>
      <w:r>
        <w:rPr>
          <w:rFonts w:ascii="Times New Roman" w:hAnsi="Times New Roman"/>
          <w:sz w:val="24"/>
          <w:szCs w:val="24"/>
          <w:lang w:val="en-US"/>
        </w:rPr>
        <w:t>. (2008). Canine morphometrics and breed relationships. Vet J, 175(2), 276–287.</w:t>
      </w:r>
    </w:p>
    <w:p w14:paraId="38823176"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Butler, P. M. (1995). Comparative anatomy of skulls. J </w:t>
      </w:r>
      <w:proofErr w:type="spellStart"/>
      <w:r>
        <w:rPr>
          <w:rFonts w:ascii="Times New Roman" w:hAnsi="Times New Roman"/>
          <w:sz w:val="24"/>
          <w:szCs w:val="24"/>
          <w:lang w:val="en-US"/>
        </w:rPr>
        <w:t>Zool</w:t>
      </w:r>
      <w:proofErr w:type="spellEnd"/>
      <w:r>
        <w:rPr>
          <w:rFonts w:ascii="Times New Roman" w:hAnsi="Times New Roman"/>
          <w:sz w:val="24"/>
          <w:szCs w:val="24"/>
          <w:lang w:val="en-US"/>
        </w:rPr>
        <w:t>, 236(3), 493–512.</w:t>
      </w:r>
    </w:p>
    <w:p w14:paraId="75B05DA5"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Clutton-Brock, J. (1995). Origins of the dog. In Dogs: Archaeology and Molecular Biology, Cambridge Univ. Press.</w:t>
      </w:r>
    </w:p>
    <w:p w14:paraId="0A0584B9"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Coli, A., </w:t>
      </w:r>
      <w:r>
        <w:rPr>
          <w:rFonts w:ascii="Times New Roman" w:hAnsi="Times New Roman"/>
          <w:i/>
          <w:sz w:val="24"/>
          <w:szCs w:val="24"/>
          <w:lang w:val="en-US"/>
        </w:rPr>
        <w:t>et al</w:t>
      </w:r>
      <w:r>
        <w:rPr>
          <w:rFonts w:ascii="Times New Roman" w:hAnsi="Times New Roman"/>
          <w:sz w:val="24"/>
          <w:szCs w:val="24"/>
          <w:lang w:val="en-US"/>
        </w:rPr>
        <w:t>. (2023). Skull morphology in German Shepherds vs wolves. Dog Behavior, 6(1), 45–53.</w:t>
      </w:r>
    </w:p>
    <w:p w14:paraId="10C15167"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Drake, A. G., &amp; Klingenberg, C. P. (2008). Skull shape </w:t>
      </w:r>
      <w:proofErr w:type="gramStart"/>
      <w:r>
        <w:rPr>
          <w:rFonts w:ascii="Times New Roman" w:hAnsi="Times New Roman"/>
          <w:sz w:val="24"/>
          <w:szCs w:val="24"/>
          <w:lang w:val="en-US"/>
        </w:rPr>
        <w:t>change</w:t>
      </w:r>
      <w:proofErr w:type="gramEnd"/>
      <w:r>
        <w:rPr>
          <w:rFonts w:ascii="Times New Roman" w:hAnsi="Times New Roman"/>
          <w:sz w:val="24"/>
          <w:szCs w:val="24"/>
          <w:lang w:val="en-US"/>
        </w:rPr>
        <w:t xml:space="preserve"> in St Bernard dogs. Proc R Soc B, 275(1630), 71–76.</w:t>
      </w:r>
    </w:p>
    <w:p w14:paraId="635C85A0"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Ellis, J. L., </w:t>
      </w:r>
      <w:r>
        <w:rPr>
          <w:rFonts w:ascii="Times New Roman" w:hAnsi="Times New Roman"/>
          <w:i/>
          <w:sz w:val="24"/>
          <w:szCs w:val="24"/>
          <w:lang w:val="en-US"/>
        </w:rPr>
        <w:t>et al</w:t>
      </w:r>
      <w:r>
        <w:rPr>
          <w:rFonts w:ascii="Times New Roman" w:hAnsi="Times New Roman"/>
          <w:sz w:val="24"/>
          <w:szCs w:val="24"/>
          <w:lang w:val="en-US"/>
        </w:rPr>
        <w:t>. (2009). Cranial dimensions and forces of biting in domestic dogs. J Anat, 214(3), 362–373.</w:t>
      </w:r>
    </w:p>
    <w:p w14:paraId="6F7F4794"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Evans, H. E., &amp; de </w:t>
      </w:r>
      <w:proofErr w:type="spellStart"/>
      <w:r>
        <w:rPr>
          <w:rFonts w:ascii="Times New Roman" w:hAnsi="Times New Roman"/>
          <w:sz w:val="24"/>
          <w:szCs w:val="24"/>
          <w:lang w:val="en-US"/>
        </w:rPr>
        <w:t>Lahunta</w:t>
      </w:r>
      <w:proofErr w:type="spellEnd"/>
      <w:r>
        <w:rPr>
          <w:rFonts w:ascii="Times New Roman" w:hAnsi="Times New Roman"/>
          <w:sz w:val="24"/>
          <w:szCs w:val="24"/>
          <w:lang w:val="en-US"/>
        </w:rPr>
        <w:t>, A. (2013). Miller’s Anatomy of the Dog. Saunders.</w:t>
      </w:r>
    </w:p>
    <w:p w14:paraId="00E9EDA8"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Fischer, M. S., &amp; Lilje, K. E. (2011). Dogs in Motion. VDH Service GmbH.</w:t>
      </w:r>
    </w:p>
    <w:p w14:paraId="294F074C"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Fondon, J. W., &amp; Garner, H. R. (2004). Skull variation in dogs. Proc Natl </w:t>
      </w:r>
      <w:proofErr w:type="spellStart"/>
      <w:r>
        <w:rPr>
          <w:rFonts w:ascii="Times New Roman" w:hAnsi="Times New Roman"/>
          <w:sz w:val="24"/>
          <w:szCs w:val="24"/>
          <w:lang w:val="en-US"/>
        </w:rPr>
        <w:t>Acad</w:t>
      </w:r>
      <w:proofErr w:type="spellEnd"/>
      <w:r>
        <w:rPr>
          <w:rFonts w:ascii="Times New Roman" w:hAnsi="Times New Roman"/>
          <w:sz w:val="24"/>
          <w:szCs w:val="24"/>
          <w:lang w:val="en-US"/>
        </w:rPr>
        <w:t xml:space="preserve"> Sci USA, 101(45), 15628–15633.</w:t>
      </w:r>
    </w:p>
    <w:p w14:paraId="57D7AA1A"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Geiger, M., </w:t>
      </w:r>
      <w:r>
        <w:rPr>
          <w:rFonts w:ascii="Times New Roman" w:hAnsi="Times New Roman"/>
          <w:i/>
          <w:sz w:val="24"/>
          <w:szCs w:val="24"/>
          <w:lang w:val="en-US"/>
        </w:rPr>
        <w:t>et al</w:t>
      </w:r>
      <w:r>
        <w:rPr>
          <w:rFonts w:ascii="Times New Roman" w:hAnsi="Times New Roman"/>
          <w:sz w:val="24"/>
          <w:szCs w:val="24"/>
          <w:lang w:val="en-US"/>
        </w:rPr>
        <w:t>. (2017). Skull shape in dog domestication. Sci Rep, 7, 13443.</w:t>
      </w:r>
    </w:p>
    <w:p w14:paraId="07A59555"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Harcourt, R. (1974). Dog skeleton changes post-puberty. J </w:t>
      </w:r>
      <w:proofErr w:type="spellStart"/>
      <w:r>
        <w:rPr>
          <w:rFonts w:ascii="Times New Roman" w:hAnsi="Times New Roman"/>
          <w:sz w:val="24"/>
          <w:szCs w:val="24"/>
          <w:lang w:val="en-US"/>
        </w:rPr>
        <w:t>Zool</w:t>
      </w:r>
      <w:proofErr w:type="spellEnd"/>
      <w:r>
        <w:rPr>
          <w:rFonts w:ascii="Times New Roman" w:hAnsi="Times New Roman"/>
          <w:sz w:val="24"/>
          <w:szCs w:val="24"/>
          <w:lang w:val="en-US"/>
        </w:rPr>
        <w:t>, 172(1), 67–80.</w:t>
      </w:r>
    </w:p>
    <w:p w14:paraId="765E8CA2"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Hedhammar</w:t>
      </w:r>
      <w:proofErr w:type="spellEnd"/>
      <w:r>
        <w:rPr>
          <w:rFonts w:ascii="Times New Roman" w:hAnsi="Times New Roman"/>
          <w:sz w:val="24"/>
          <w:szCs w:val="24"/>
          <w:lang w:val="en-US"/>
        </w:rPr>
        <w:t xml:space="preserve">, Å. (2007). Breed predispositions to disease. Vet Clin North Am Small Anim </w:t>
      </w:r>
      <w:proofErr w:type="spellStart"/>
      <w:r>
        <w:rPr>
          <w:rFonts w:ascii="Times New Roman" w:hAnsi="Times New Roman"/>
          <w:sz w:val="24"/>
          <w:szCs w:val="24"/>
          <w:lang w:val="en-US"/>
        </w:rPr>
        <w:t>Pract</w:t>
      </w:r>
      <w:proofErr w:type="spellEnd"/>
      <w:r>
        <w:rPr>
          <w:rFonts w:ascii="Times New Roman" w:hAnsi="Times New Roman"/>
          <w:sz w:val="24"/>
          <w:szCs w:val="24"/>
          <w:lang w:val="en-US"/>
        </w:rPr>
        <w:t>, 37(5), 819–828.</w:t>
      </w:r>
    </w:p>
    <w:p w14:paraId="244609E1"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Huber, G. C. (1947). Evolution of the dog skull. J </w:t>
      </w:r>
      <w:proofErr w:type="spellStart"/>
      <w:r>
        <w:rPr>
          <w:rFonts w:ascii="Times New Roman" w:hAnsi="Times New Roman"/>
          <w:sz w:val="24"/>
          <w:szCs w:val="24"/>
          <w:lang w:val="en-US"/>
        </w:rPr>
        <w:t>Morphol</w:t>
      </w:r>
      <w:proofErr w:type="spellEnd"/>
      <w:r>
        <w:rPr>
          <w:rFonts w:ascii="Times New Roman" w:hAnsi="Times New Roman"/>
          <w:sz w:val="24"/>
          <w:szCs w:val="24"/>
          <w:lang w:val="en-US"/>
        </w:rPr>
        <w:t>, 81(1), 1–38.</w:t>
      </w:r>
    </w:p>
    <w:p w14:paraId="2DF5CD4A"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Humphries, A., </w:t>
      </w:r>
      <w:r>
        <w:rPr>
          <w:rFonts w:ascii="Times New Roman" w:hAnsi="Times New Roman"/>
          <w:i/>
          <w:sz w:val="24"/>
          <w:szCs w:val="24"/>
          <w:lang w:val="en-US"/>
        </w:rPr>
        <w:t>et al</w:t>
      </w:r>
      <w:r>
        <w:rPr>
          <w:rFonts w:ascii="Times New Roman" w:hAnsi="Times New Roman"/>
          <w:sz w:val="24"/>
          <w:szCs w:val="24"/>
          <w:lang w:val="en-US"/>
        </w:rPr>
        <w:t>. (2020). Posture in German Shepherds. Sci Rep, 10, 16924.</w:t>
      </w:r>
    </w:p>
    <w:p w14:paraId="49D14D79"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lastRenderedPageBreak/>
        <w:t xml:space="preserve">    Kranenburg, H. C., </w:t>
      </w:r>
      <w:r>
        <w:rPr>
          <w:rFonts w:ascii="Times New Roman" w:hAnsi="Times New Roman"/>
          <w:i/>
          <w:sz w:val="24"/>
          <w:szCs w:val="24"/>
          <w:lang w:val="en-US"/>
        </w:rPr>
        <w:t>et al</w:t>
      </w:r>
      <w:r>
        <w:rPr>
          <w:rFonts w:ascii="Times New Roman" w:hAnsi="Times New Roman"/>
          <w:sz w:val="24"/>
          <w:szCs w:val="24"/>
          <w:lang w:val="en-US"/>
        </w:rPr>
        <w:t xml:space="preserve">. (2012). Radiographic analysis of skulls. Vet </w:t>
      </w:r>
      <w:proofErr w:type="spellStart"/>
      <w:r>
        <w:rPr>
          <w:rFonts w:ascii="Times New Roman" w:hAnsi="Times New Roman"/>
          <w:sz w:val="24"/>
          <w:szCs w:val="24"/>
          <w:lang w:val="en-US"/>
        </w:rPr>
        <w:t>Radiol</w:t>
      </w:r>
      <w:proofErr w:type="spellEnd"/>
      <w:r>
        <w:rPr>
          <w:rFonts w:ascii="Times New Roman" w:hAnsi="Times New Roman"/>
          <w:sz w:val="24"/>
          <w:szCs w:val="24"/>
          <w:lang w:val="en-US"/>
        </w:rPr>
        <w:t xml:space="preserve"> Ultrasound, 53(6), 612–620.</w:t>
      </w:r>
    </w:p>
    <w:p w14:paraId="7D9600A2"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Onar</w:t>
      </w:r>
      <w:proofErr w:type="spellEnd"/>
      <w:r>
        <w:rPr>
          <w:rFonts w:ascii="Times New Roman" w:hAnsi="Times New Roman"/>
          <w:sz w:val="24"/>
          <w:szCs w:val="24"/>
          <w:lang w:val="en-US"/>
        </w:rPr>
        <w:t xml:space="preserve">, V. (1999). A morphometric study on the skull of the German Shepherd dog. Anat </w:t>
      </w:r>
      <w:proofErr w:type="spellStart"/>
      <w:r>
        <w:rPr>
          <w:rFonts w:ascii="Times New Roman" w:hAnsi="Times New Roman"/>
          <w:sz w:val="24"/>
          <w:szCs w:val="24"/>
          <w:lang w:val="en-US"/>
        </w:rPr>
        <w:t>Histol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Embryol</w:t>
      </w:r>
      <w:proofErr w:type="spellEnd"/>
      <w:r>
        <w:rPr>
          <w:rFonts w:ascii="Times New Roman" w:hAnsi="Times New Roman"/>
          <w:sz w:val="24"/>
          <w:szCs w:val="24"/>
          <w:lang w:val="en-US"/>
        </w:rPr>
        <w:t>, 28(4), 253–256.</w:t>
      </w:r>
    </w:p>
    <w:p w14:paraId="7EA33358"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Onar</w:t>
      </w:r>
      <w:proofErr w:type="spellEnd"/>
      <w:r>
        <w:rPr>
          <w:rFonts w:ascii="Times New Roman" w:hAnsi="Times New Roman"/>
          <w:sz w:val="24"/>
          <w:szCs w:val="24"/>
          <w:lang w:val="en-US"/>
        </w:rPr>
        <w:t>, V. (2003). Skull shape variability in German Shepherds. Anat Rec A, 274</w:t>
      </w:r>
      <w:proofErr w:type="gramStart"/>
      <w:r>
        <w:rPr>
          <w:rFonts w:ascii="Times New Roman" w:hAnsi="Times New Roman"/>
          <w:sz w:val="24"/>
          <w:szCs w:val="24"/>
          <w:lang w:val="en-US"/>
        </w:rPr>
        <w:t>A(</w:t>
      </w:r>
      <w:proofErr w:type="gramEnd"/>
      <w:r>
        <w:rPr>
          <w:rFonts w:ascii="Times New Roman" w:hAnsi="Times New Roman"/>
          <w:sz w:val="24"/>
          <w:szCs w:val="24"/>
          <w:lang w:val="en-US"/>
        </w:rPr>
        <w:t>1), 784–791.</w:t>
      </w:r>
    </w:p>
    <w:p w14:paraId="55F5B7C5"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Regodon</w:t>
      </w:r>
      <w:proofErr w:type="spellEnd"/>
      <w:r>
        <w:rPr>
          <w:rFonts w:ascii="Times New Roman" w:hAnsi="Times New Roman"/>
          <w:sz w:val="24"/>
          <w:szCs w:val="24"/>
          <w:lang w:val="en-US"/>
        </w:rPr>
        <w:t xml:space="preserve">, S., </w:t>
      </w:r>
      <w:r>
        <w:rPr>
          <w:rFonts w:ascii="Times New Roman" w:hAnsi="Times New Roman"/>
          <w:i/>
          <w:sz w:val="24"/>
          <w:szCs w:val="24"/>
          <w:lang w:val="en-US"/>
        </w:rPr>
        <w:t>et al</w:t>
      </w:r>
      <w:r>
        <w:rPr>
          <w:rFonts w:ascii="Times New Roman" w:hAnsi="Times New Roman"/>
          <w:sz w:val="24"/>
          <w:szCs w:val="24"/>
          <w:lang w:val="en-US"/>
        </w:rPr>
        <w:t xml:space="preserve">. (1991). Morphometry of dog skull. Anat </w:t>
      </w:r>
      <w:proofErr w:type="spellStart"/>
      <w:r>
        <w:rPr>
          <w:rFonts w:ascii="Times New Roman" w:hAnsi="Times New Roman"/>
          <w:sz w:val="24"/>
          <w:szCs w:val="24"/>
          <w:lang w:val="en-US"/>
        </w:rPr>
        <w:t>Histol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Embryol</w:t>
      </w:r>
      <w:proofErr w:type="spellEnd"/>
      <w:r>
        <w:rPr>
          <w:rFonts w:ascii="Times New Roman" w:hAnsi="Times New Roman"/>
          <w:sz w:val="24"/>
          <w:szCs w:val="24"/>
          <w:lang w:val="en-US"/>
        </w:rPr>
        <w:t>, 20(1), 51–60.</w:t>
      </w:r>
    </w:p>
    <w:p w14:paraId="4E97E3B2"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Sacks, B. N., </w:t>
      </w:r>
      <w:r>
        <w:rPr>
          <w:rFonts w:ascii="Times New Roman" w:hAnsi="Times New Roman"/>
          <w:i/>
          <w:sz w:val="24"/>
          <w:szCs w:val="24"/>
          <w:lang w:val="en-US"/>
        </w:rPr>
        <w:t>et al</w:t>
      </w:r>
      <w:r>
        <w:rPr>
          <w:rFonts w:ascii="Times New Roman" w:hAnsi="Times New Roman"/>
          <w:sz w:val="24"/>
          <w:szCs w:val="24"/>
          <w:lang w:val="en-US"/>
        </w:rPr>
        <w:t>. (2004). Dog skull and body morphology. J Mammal, 85(3), 544–552.</w:t>
      </w:r>
    </w:p>
    <w:p w14:paraId="3407096B"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Schoenebeck</w:t>
      </w:r>
      <w:proofErr w:type="spellEnd"/>
      <w:r>
        <w:rPr>
          <w:rFonts w:ascii="Times New Roman" w:hAnsi="Times New Roman"/>
          <w:sz w:val="24"/>
          <w:szCs w:val="24"/>
          <w:lang w:val="en-US"/>
        </w:rPr>
        <w:t>, J. J., &amp; Ostrander, E. A. (2013). Canine skull shape genetics. Genetics, 193(2), 317–325.</w:t>
      </w:r>
    </w:p>
    <w:p w14:paraId="0D011AFA"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Simoens, P., </w:t>
      </w:r>
      <w:r>
        <w:rPr>
          <w:rFonts w:ascii="Times New Roman" w:hAnsi="Times New Roman"/>
          <w:i/>
          <w:sz w:val="24"/>
          <w:szCs w:val="24"/>
          <w:lang w:val="en-US"/>
        </w:rPr>
        <w:t>et al</w:t>
      </w:r>
      <w:r>
        <w:rPr>
          <w:rFonts w:ascii="Times New Roman" w:hAnsi="Times New Roman"/>
          <w:sz w:val="24"/>
          <w:szCs w:val="24"/>
          <w:lang w:val="en-US"/>
        </w:rPr>
        <w:t>. (1994). Morphometry of the foramen magnum. Am J Vet Res, 55(1), 34–39.</w:t>
      </w:r>
    </w:p>
    <w:p w14:paraId="7E7498C5"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Smith, B. J. (2009). Dog anatomy and functional implications. Vet Clin Small Anim, 39(1), 45–67.</w:t>
      </w:r>
    </w:p>
    <w:p w14:paraId="5A15C75C"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Stockard, C. R. (1941). Genetics and behavior differences. Am Nat, 75(758), 1–28.</w:t>
      </w:r>
    </w:p>
    <w:p w14:paraId="108DEFC3"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Uehlinger</w:t>
      </w:r>
      <w:proofErr w:type="spellEnd"/>
      <w:r>
        <w:rPr>
          <w:rFonts w:ascii="Times New Roman" w:hAnsi="Times New Roman"/>
          <w:sz w:val="24"/>
          <w:szCs w:val="24"/>
          <w:lang w:val="en-US"/>
        </w:rPr>
        <w:t xml:space="preserve">, F. D., </w:t>
      </w:r>
      <w:r>
        <w:rPr>
          <w:rFonts w:ascii="Times New Roman" w:hAnsi="Times New Roman"/>
          <w:i/>
          <w:sz w:val="24"/>
          <w:szCs w:val="24"/>
          <w:lang w:val="en-US"/>
        </w:rPr>
        <w:t>et al</w:t>
      </w:r>
      <w:r>
        <w:rPr>
          <w:rFonts w:ascii="Times New Roman" w:hAnsi="Times New Roman"/>
          <w:sz w:val="24"/>
          <w:szCs w:val="24"/>
          <w:lang w:val="en-US"/>
        </w:rPr>
        <w:t>. (2010). Canine radiographic morphometry. J Vet Intern Med, 24(2), 291–296.</w:t>
      </w:r>
    </w:p>
    <w:p w14:paraId="3033CF6D"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Vilà</w:t>
      </w:r>
      <w:proofErr w:type="spellEnd"/>
      <w:r>
        <w:rPr>
          <w:rFonts w:ascii="Times New Roman" w:hAnsi="Times New Roman"/>
          <w:sz w:val="24"/>
          <w:szCs w:val="24"/>
          <w:lang w:val="en-US"/>
        </w:rPr>
        <w:t xml:space="preserve">, C., </w:t>
      </w:r>
      <w:r>
        <w:rPr>
          <w:rFonts w:ascii="Times New Roman" w:hAnsi="Times New Roman"/>
          <w:i/>
          <w:sz w:val="24"/>
          <w:szCs w:val="24"/>
          <w:lang w:val="en-US"/>
        </w:rPr>
        <w:t>et al</w:t>
      </w:r>
      <w:r>
        <w:rPr>
          <w:rFonts w:ascii="Times New Roman" w:hAnsi="Times New Roman"/>
          <w:sz w:val="24"/>
          <w:szCs w:val="24"/>
          <w:lang w:val="en-US"/>
        </w:rPr>
        <w:t>. (1997). Multiple domestication of dogs. Science, 276(5319), 1687–1689.</w:t>
      </w:r>
    </w:p>
    <w:p w14:paraId="4EA95C4B"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Wagner, H., &amp; Ruf, I. (2021). Postnatal growth inhibition in brachycephalic breeds. Anat Rec, 304(2), 276–290.</w:t>
      </w:r>
    </w:p>
    <w:p w14:paraId="52467EF7"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Wayne, R. K. (1986). Cranial morphology of domestic and wild canids. Evolution, 40(2), 243–261.</w:t>
      </w:r>
    </w:p>
    <w:p w14:paraId="75819BC6"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Wolpe, J. (1972). Breed and behavior correlations. Comp Psychol Monograph, 29, 141–156.</w:t>
      </w:r>
    </w:p>
    <w:p w14:paraId="0841F72A" w14:textId="77777777" w:rsidR="001518C7" w:rsidRDefault="00000000">
      <w:pPr>
        <w:spacing w:after="0" w:line="360" w:lineRule="auto"/>
        <w:ind w:leftChars="100" w:left="1098" w:hangingChars="366" w:hanging="878"/>
        <w:jc w:val="both"/>
        <w:rPr>
          <w:rFonts w:ascii="Times New Roman" w:hAnsi="Times New Roman"/>
          <w:sz w:val="24"/>
          <w:szCs w:val="24"/>
          <w:lang w:val="en-US"/>
        </w:rPr>
      </w:pPr>
      <w:r>
        <w:rPr>
          <w:rFonts w:ascii="Times New Roman" w:hAnsi="Times New Roman"/>
          <w:sz w:val="24"/>
          <w:szCs w:val="24"/>
          <w:lang w:val="en-US"/>
        </w:rPr>
        <w:t xml:space="preserve">    Zahl, P. A. (1998). Bone growth in domestic animals. Veterinary Orthopedic Journal, 33(2), 87–94.</w:t>
      </w:r>
    </w:p>
    <w:p w14:paraId="65B3C007" w14:textId="77777777" w:rsidR="001518C7" w:rsidRDefault="001518C7">
      <w:pPr>
        <w:spacing w:after="0" w:line="240" w:lineRule="auto"/>
        <w:jc w:val="both"/>
        <w:rPr>
          <w:rFonts w:ascii="Calibri" w:eastAsia="Times New Roman" w:hAnsi="Calibri" w:cs="Calibri"/>
          <w:color w:val="000000"/>
          <w:lang w:eastAsia="en-IN"/>
        </w:rPr>
      </w:pPr>
    </w:p>
    <w:p w14:paraId="3BDAA81B" w14:textId="77777777" w:rsidR="001518C7" w:rsidRDefault="001518C7">
      <w:pPr>
        <w:rPr>
          <w:sz w:val="24"/>
          <w:szCs w:val="24"/>
        </w:rPr>
      </w:pPr>
    </w:p>
    <w:p w14:paraId="4E6FEC4C" w14:textId="77777777" w:rsidR="001518C7" w:rsidRDefault="001518C7">
      <w:pPr>
        <w:jc w:val="both"/>
      </w:pPr>
    </w:p>
    <w:p w14:paraId="36C90D4E" w14:textId="77777777" w:rsidR="001518C7" w:rsidRDefault="001518C7">
      <w:pPr>
        <w:jc w:val="both"/>
      </w:pPr>
    </w:p>
    <w:p w14:paraId="5A10402D" w14:textId="77777777" w:rsidR="001518C7" w:rsidRDefault="001518C7">
      <w:pPr>
        <w:jc w:val="both"/>
      </w:pPr>
    </w:p>
    <w:p w14:paraId="3C7AEC31" w14:textId="77777777" w:rsidR="001518C7" w:rsidRDefault="001518C7">
      <w:pPr>
        <w:jc w:val="both"/>
      </w:pPr>
    </w:p>
    <w:p w14:paraId="52C3F894" w14:textId="77777777" w:rsidR="001518C7" w:rsidRDefault="001518C7">
      <w:pPr>
        <w:jc w:val="both"/>
      </w:pPr>
    </w:p>
    <w:p w14:paraId="43242B5E" w14:textId="77777777" w:rsidR="001518C7" w:rsidRDefault="001518C7">
      <w:pPr>
        <w:jc w:val="both"/>
      </w:pPr>
    </w:p>
    <w:p w14:paraId="5DA09AAD" w14:textId="77777777" w:rsidR="001518C7" w:rsidRDefault="001518C7">
      <w:pPr>
        <w:jc w:val="both"/>
      </w:pPr>
    </w:p>
    <w:p w14:paraId="755ABD67" w14:textId="77777777" w:rsidR="001518C7" w:rsidRDefault="001518C7">
      <w:pPr>
        <w:jc w:val="both"/>
      </w:pPr>
    </w:p>
    <w:sectPr w:rsidR="001518C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6E6AE" w14:textId="77777777" w:rsidR="00BE6C2C" w:rsidRDefault="00BE6C2C">
      <w:pPr>
        <w:spacing w:line="240" w:lineRule="auto"/>
      </w:pPr>
      <w:r>
        <w:separator/>
      </w:r>
    </w:p>
  </w:endnote>
  <w:endnote w:type="continuationSeparator" w:id="0">
    <w:p w14:paraId="645B7576" w14:textId="77777777" w:rsidR="00BE6C2C" w:rsidRDefault="00BE6C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EBCA3" w14:textId="77777777" w:rsidR="008A5F1E" w:rsidRDefault="008A5F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68491" w14:textId="77777777" w:rsidR="008A5F1E" w:rsidRDefault="008A5F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0096B" w14:textId="77777777" w:rsidR="008A5F1E" w:rsidRDefault="008A5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C1A58" w14:textId="77777777" w:rsidR="00BE6C2C" w:rsidRDefault="00BE6C2C">
      <w:pPr>
        <w:spacing w:after="0"/>
      </w:pPr>
      <w:r>
        <w:separator/>
      </w:r>
    </w:p>
  </w:footnote>
  <w:footnote w:type="continuationSeparator" w:id="0">
    <w:p w14:paraId="56802990" w14:textId="77777777" w:rsidR="00BE6C2C" w:rsidRDefault="00BE6C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AB468" w14:textId="2D091059" w:rsidR="008A5F1E" w:rsidRDefault="008A5F1E">
    <w:pPr>
      <w:pStyle w:val="Header"/>
    </w:pPr>
    <w:r>
      <w:rPr>
        <w:noProof/>
      </w:rPr>
      <w:pict w14:anchorId="41F347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45820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9DC78" w14:textId="76079CA8" w:rsidR="008A5F1E" w:rsidRDefault="008A5F1E">
    <w:pPr>
      <w:pStyle w:val="Header"/>
    </w:pPr>
    <w:r>
      <w:rPr>
        <w:noProof/>
      </w:rPr>
      <w:pict w14:anchorId="163B25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45820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7FF8F" w14:textId="7547FA50" w:rsidR="008A5F1E" w:rsidRDefault="008A5F1E">
    <w:pPr>
      <w:pStyle w:val="Header"/>
    </w:pPr>
    <w:r>
      <w:rPr>
        <w:noProof/>
      </w:rPr>
      <w:pict w14:anchorId="6885E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45820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799D4"/>
    <w:multiLevelType w:val="singleLevel"/>
    <w:tmpl w:val="12D799D4"/>
    <w:lvl w:ilvl="0">
      <w:start w:val="1"/>
      <w:numFmt w:val="upperLetter"/>
      <w:suff w:val="space"/>
      <w:lvlText w:val="%1."/>
      <w:lvlJc w:val="left"/>
    </w:lvl>
  </w:abstractNum>
  <w:num w:numId="1" w16cid:durableId="911620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BB7"/>
    <w:rsid w:val="00016F67"/>
    <w:rsid w:val="001518C7"/>
    <w:rsid w:val="00185DB2"/>
    <w:rsid w:val="001E54DD"/>
    <w:rsid w:val="0020228E"/>
    <w:rsid w:val="0043088F"/>
    <w:rsid w:val="004D3114"/>
    <w:rsid w:val="005E3191"/>
    <w:rsid w:val="006530E5"/>
    <w:rsid w:val="006D4BB7"/>
    <w:rsid w:val="00774196"/>
    <w:rsid w:val="007806F5"/>
    <w:rsid w:val="00796129"/>
    <w:rsid w:val="007A28A8"/>
    <w:rsid w:val="007B5EFE"/>
    <w:rsid w:val="008A5F1E"/>
    <w:rsid w:val="008E730F"/>
    <w:rsid w:val="009573D5"/>
    <w:rsid w:val="009976A0"/>
    <w:rsid w:val="009A14C2"/>
    <w:rsid w:val="009B3D84"/>
    <w:rsid w:val="00A06BC1"/>
    <w:rsid w:val="00A10041"/>
    <w:rsid w:val="00A52A07"/>
    <w:rsid w:val="00A559C9"/>
    <w:rsid w:val="00A70866"/>
    <w:rsid w:val="00A74BAF"/>
    <w:rsid w:val="00AA3B29"/>
    <w:rsid w:val="00AD1ACC"/>
    <w:rsid w:val="00BE6C2C"/>
    <w:rsid w:val="00C125BA"/>
    <w:rsid w:val="00C167A2"/>
    <w:rsid w:val="00C51A78"/>
    <w:rsid w:val="00CA7752"/>
    <w:rsid w:val="00CB00B2"/>
    <w:rsid w:val="00CD1D4F"/>
    <w:rsid w:val="00CD3B29"/>
    <w:rsid w:val="00CD6707"/>
    <w:rsid w:val="00CF1272"/>
    <w:rsid w:val="00D349FD"/>
    <w:rsid w:val="00DC2C9E"/>
    <w:rsid w:val="00DE7427"/>
    <w:rsid w:val="00E44E79"/>
    <w:rsid w:val="00E5682D"/>
    <w:rsid w:val="00EF7F82"/>
    <w:rsid w:val="00F203D5"/>
    <w:rsid w:val="2A0F1F33"/>
    <w:rsid w:val="3AB153BF"/>
    <w:rsid w:val="6E1F3350"/>
    <w:rsid w:val="7F021603"/>
    <w:rsid w:val="7F1804A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4EF0B"/>
  <w15:docId w15:val="{B3814071-0AB6-49C3-9702-C3F62CE18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I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185DB2"/>
    <w:rPr>
      <w:color w:val="605E5C"/>
      <w:shd w:val="clear" w:color="auto" w:fill="E1DFDD"/>
    </w:rPr>
  </w:style>
  <w:style w:type="paragraph" w:styleId="Header">
    <w:name w:val="header"/>
    <w:basedOn w:val="Normal"/>
    <w:link w:val="HeaderChar"/>
    <w:uiPriority w:val="99"/>
    <w:unhideWhenUsed/>
    <w:rsid w:val="008A5F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F1E"/>
    <w:rPr>
      <w:rFonts w:asciiTheme="minorHAnsi" w:eastAsiaTheme="minorHAnsi" w:hAnsiTheme="minorHAnsi" w:cstheme="minorBidi"/>
      <w:sz w:val="22"/>
      <w:szCs w:val="22"/>
      <w:lang w:val="en-IN" w:eastAsia="en-US"/>
    </w:rPr>
  </w:style>
  <w:style w:type="paragraph" w:styleId="Footer">
    <w:name w:val="footer"/>
    <w:basedOn w:val="Normal"/>
    <w:link w:val="FooterChar"/>
    <w:uiPriority w:val="99"/>
    <w:unhideWhenUsed/>
    <w:rsid w:val="008A5F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F1E"/>
    <w:rPr>
      <w:rFonts w:asciiTheme="minorHAnsi" w:eastAsiaTheme="minorHAnsi" w:hAnsiTheme="minorHAnsi" w:cstheme="minorBidi"/>
      <w:sz w:val="22"/>
      <w:szCs w:val="22"/>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3349</Words>
  <Characters>19095</Characters>
  <Application>Microsoft Office Word</Application>
  <DocSecurity>0</DocSecurity>
  <Lines>159</Lines>
  <Paragraphs>44</Paragraphs>
  <ScaleCrop>false</ScaleCrop>
  <Company/>
  <LinksUpToDate>false</LinksUpToDate>
  <CharactersWithSpaces>22400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Rajput</dc:creator>
  <cp:lastModifiedBy>Editor-22</cp:lastModifiedBy>
  <cp:revision>10</cp:revision>
  <dcterms:created xsi:type="dcterms:W3CDTF">2023-08-30T14:21:00Z</dcterms:created>
  <dcterms:modified xsi:type="dcterms:W3CDTF">2025-06-07T13:06:00Z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6A8BC1C3C0BB48E3BBD2DFF49F58DC7F_12</vt:lpwstr>
  </property>
</Properties>
</file>