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9C8FA" w14:textId="215A28CC" w:rsidR="003D7718" w:rsidRDefault="003D7718" w:rsidP="00A338F1">
      <w:pPr>
        <w:pStyle w:val="Author"/>
        <w:spacing w:line="240" w:lineRule="auto"/>
        <w:rPr>
          <w:rFonts w:ascii="Arial" w:hAnsi="Arial" w:cs="Arial"/>
          <w:bCs/>
          <w:i/>
          <w:iCs/>
          <w:kern w:val="28"/>
          <w:sz w:val="36"/>
          <w:u w:val="single"/>
          <w:lang w:val="en-US"/>
        </w:rPr>
      </w:pPr>
      <w:bookmarkStart w:id="0" w:name="_Hlk199599316"/>
      <w:r w:rsidRPr="003D7718">
        <w:rPr>
          <w:rFonts w:ascii="Arial" w:hAnsi="Arial" w:cs="Arial"/>
          <w:bCs/>
          <w:i/>
          <w:iCs/>
          <w:kern w:val="28"/>
          <w:sz w:val="36"/>
          <w:u w:val="single"/>
          <w:lang w:val="en-US"/>
        </w:rPr>
        <w:t>Original Research Article</w:t>
      </w:r>
    </w:p>
    <w:p w14:paraId="33AFE9E6" w14:textId="77777777" w:rsidR="003D7718" w:rsidRDefault="003D7718" w:rsidP="00A338F1">
      <w:pPr>
        <w:pStyle w:val="Author"/>
        <w:spacing w:line="240" w:lineRule="auto"/>
        <w:rPr>
          <w:rFonts w:ascii="Arial" w:hAnsi="Arial" w:cs="Arial"/>
          <w:bCs/>
          <w:iCs/>
          <w:kern w:val="28"/>
          <w:sz w:val="36"/>
        </w:rPr>
      </w:pPr>
    </w:p>
    <w:p w14:paraId="46456F25" w14:textId="5D8EF27F" w:rsidR="00A258C3" w:rsidRPr="007734BA" w:rsidRDefault="00A338F1" w:rsidP="00A338F1">
      <w:pPr>
        <w:pStyle w:val="Author"/>
        <w:spacing w:line="240" w:lineRule="auto"/>
        <w:rPr>
          <w:rFonts w:ascii="Arial" w:hAnsi="Arial" w:cs="Arial"/>
          <w:sz w:val="36"/>
        </w:rPr>
      </w:pPr>
      <w:r w:rsidRPr="007734BA">
        <w:rPr>
          <w:rFonts w:ascii="Arial" w:hAnsi="Arial" w:cs="Arial"/>
          <w:bCs/>
          <w:iCs/>
          <w:kern w:val="28"/>
          <w:sz w:val="36"/>
        </w:rPr>
        <w:t xml:space="preserve">Assessment of Biogas Yield Potential Based on Physicochemical and Biodegradability Characteristics </w:t>
      </w:r>
      <w:r w:rsidR="007734BA">
        <w:rPr>
          <w:rFonts w:ascii="Arial" w:hAnsi="Arial" w:cs="Arial"/>
          <w:bCs/>
          <w:iCs/>
          <w:kern w:val="28"/>
          <w:sz w:val="36"/>
        </w:rPr>
        <w:t>o</w:t>
      </w:r>
      <w:r w:rsidRPr="007734BA">
        <w:rPr>
          <w:rFonts w:ascii="Arial" w:hAnsi="Arial" w:cs="Arial"/>
          <w:bCs/>
          <w:iCs/>
          <w:kern w:val="28"/>
          <w:sz w:val="36"/>
        </w:rPr>
        <w:t xml:space="preserve">f Mushroom Substrates </w:t>
      </w:r>
    </w:p>
    <w:p w14:paraId="533F8F43" w14:textId="7ECA9BDE" w:rsidR="00B01FCD" w:rsidRPr="005C3B36" w:rsidRDefault="00FB0998" w:rsidP="00441B6F">
      <w:pPr>
        <w:pStyle w:val="Copyright"/>
        <w:spacing w:after="0" w:line="240" w:lineRule="auto"/>
        <w:jc w:val="both"/>
        <w:rPr>
          <w:rFonts w:ascii="Arial" w:hAnsi="Arial" w:cs="Arial"/>
        </w:rPr>
        <w:sectPr w:rsidR="00B01FCD" w:rsidRPr="005C3B36" w:rsidSect="004979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C3B36">
        <w:rPr>
          <w:rFonts w:ascii="Arial" w:hAnsi="Arial" w:cs="Arial"/>
          <w:noProof/>
        </w:rPr>
        <mc:AlternateContent>
          <mc:Choice Requires="wps">
            <w:drawing>
              <wp:inline distT="0" distB="0" distL="0" distR="0" wp14:anchorId="17E304B7" wp14:editId="663AF4B4">
                <wp:extent cx="5303520" cy="635"/>
                <wp:effectExtent l="9525" t="9525" r="11430" b="9525"/>
                <wp:docPr id="4325497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D402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C3B36">
        <w:rPr>
          <w:rFonts w:ascii="Arial" w:hAnsi="Arial" w:cs="Arial"/>
        </w:rPr>
        <w:t>.</w:t>
      </w:r>
    </w:p>
    <w:p w14:paraId="4867DC33" w14:textId="3CC6B662" w:rsidR="00B01FCD" w:rsidRPr="005C3B36" w:rsidRDefault="00B01FCD" w:rsidP="00441B6F">
      <w:pPr>
        <w:pStyle w:val="AbstHead"/>
        <w:spacing w:after="0"/>
        <w:jc w:val="both"/>
        <w:rPr>
          <w:rFonts w:ascii="Arial" w:hAnsi="Arial" w:cs="Arial"/>
        </w:rPr>
      </w:pPr>
      <w:r w:rsidRPr="005C3B36">
        <w:rPr>
          <w:rFonts w:ascii="Arial" w:hAnsi="Arial" w:cs="Arial"/>
        </w:rPr>
        <w:t>ABSTRACT</w:t>
      </w:r>
    </w:p>
    <w:p w14:paraId="537768B8" w14:textId="77777777" w:rsidR="00790ADA" w:rsidRPr="005C3B3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C3B36" w14:paraId="126572DE" w14:textId="77777777" w:rsidTr="001E44FE">
        <w:tc>
          <w:tcPr>
            <w:tcW w:w="9576" w:type="dxa"/>
            <w:shd w:val="clear" w:color="auto" w:fill="F2F2F2"/>
          </w:tcPr>
          <w:p w14:paraId="1F6512B2" w14:textId="027FFE59" w:rsidR="00020EC4" w:rsidRPr="005C3B36" w:rsidRDefault="00020EC4" w:rsidP="00020EC4">
            <w:pPr>
              <w:pStyle w:val="Body"/>
              <w:spacing w:after="0"/>
              <w:rPr>
                <w:rFonts w:ascii="Arial" w:eastAsia="Calibri" w:hAnsi="Arial" w:cs="Arial"/>
                <w:szCs w:val="22"/>
                <w:lang w:bidi="ar-SA"/>
              </w:rPr>
            </w:pPr>
            <w:r w:rsidRPr="005C3B36">
              <w:rPr>
                <w:rFonts w:ascii="Arial" w:eastAsia="Calibri" w:hAnsi="Arial" w:cs="Arial"/>
                <w:sz w:val="22"/>
                <w:szCs w:val="20"/>
                <w:lang w:bidi="ar-SA"/>
              </w:rPr>
              <w:t>The growing global demand for sustainable and renewable energy has underscored the significance of biogas as an alternative to fossil fuels. Anaerobic digestion (AD), a microbial process that decomposes organic matter in the absence of oxygen, is a viable method for both energy production and organic waste management. This study evaluates the biogas production potential of four organic substrates: Button mushroom spent</w:t>
            </w:r>
            <w:r w:rsidRPr="005C3B36">
              <w:rPr>
                <w:rFonts w:ascii="Arial" w:eastAsia="Calibri" w:hAnsi="Arial" w:cs="Arial"/>
                <w:sz w:val="22"/>
                <w:szCs w:val="20"/>
              </w:rPr>
              <w:t xml:space="preserve"> substrate</w:t>
            </w:r>
            <w:r w:rsidRPr="005C3B36">
              <w:rPr>
                <w:rFonts w:ascii="Arial" w:eastAsia="Calibri" w:hAnsi="Arial" w:cs="Arial"/>
                <w:sz w:val="22"/>
                <w:szCs w:val="20"/>
                <w:lang w:bidi="ar-SA"/>
              </w:rPr>
              <w:t xml:space="preserve"> (BMS), Oyster mushroom spent</w:t>
            </w:r>
            <w:r w:rsidRPr="005C3B36">
              <w:rPr>
                <w:rFonts w:ascii="Arial" w:eastAsia="Calibri" w:hAnsi="Arial" w:cs="Arial"/>
                <w:sz w:val="22"/>
                <w:szCs w:val="20"/>
              </w:rPr>
              <w:t xml:space="preserve"> substrate</w:t>
            </w:r>
            <w:r w:rsidRPr="005C3B36">
              <w:rPr>
                <w:rFonts w:ascii="Arial" w:eastAsia="Calibri" w:hAnsi="Arial" w:cs="Arial"/>
                <w:sz w:val="22"/>
                <w:szCs w:val="20"/>
                <w:lang w:bidi="ar-SA"/>
              </w:rPr>
              <w:t xml:space="preserve"> (OMS), Wheat compost (WC) and Paddy compost (PC), with a focus on their physicochemical and biochemical characteristics. Standard protocols (APHA, 2022) were employed to </w:t>
            </w:r>
            <w:proofErr w:type="spellStart"/>
            <w:r w:rsidRPr="005C3B36">
              <w:rPr>
                <w:rFonts w:ascii="Arial" w:eastAsia="Calibri" w:hAnsi="Arial" w:cs="Arial"/>
                <w:sz w:val="22"/>
                <w:szCs w:val="20"/>
                <w:lang w:bidi="ar-SA"/>
              </w:rPr>
              <w:t>analyze</w:t>
            </w:r>
            <w:proofErr w:type="spellEnd"/>
            <w:r w:rsidRPr="005C3B36">
              <w:rPr>
                <w:rFonts w:ascii="Arial" w:eastAsia="Calibri" w:hAnsi="Arial" w:cs="Arial"/>
                <w:sz w:val="22"/>
                <w:szCs w:val="20"/>
                <w:lang w:bidi="ar-SA"/>
              </w:rPr>
              <w:t xml:space="preserve"> parameters including total solids (TS), volatile solids (VS), pH, alkalinity, biochemical oxygen demand (BOD), chemical oxygen demand (COD), nitrogen (N), phosphorus (P), potassium (K) and organic carbon (C). Results revealed that BMS and OMS had superior nutrient pro</w:t>
            </w:r>
            <w:bookmarkStart w:id="1" w:name="_GoBack"/>
            <w:bookmarkEnd w:id="1"/>
            <w:r w:rsidRPr="005C3B36">
              <w:rPr>
                <w:rFonts w:ascii="Arial" w:eastAsia="Calibri" w:hAnsi="Arial" w:cs="Arial"/>
                <w:sz w:val="22"/>
                <w:szCs w:val="20"/>
                <w:lang w:bidi="ar-SA"/>
              </w:rPr>
              <w:t xml:space="preserve">files with higher concentrations of N, P and K and </w:t>
            </w:r>
            <w:r w:rsidRPr="005C3B36">
              <w:rPr>
                <w:rFonts w:ascii="Arial" w:eastAsia="Calibri" w:hAnsi="Arial" w:cs="Arial"/>
                <w:sz w:val="22"/>
                <w:szCs w:val="20"/>
              </w:rPr>
              <w:t>favourable</w:t>
            </w:r>
            <w:r w:rsidRPr="005C3B36">
              <w:rPr>
                <w:rFonts w:ascii="Arial" w:eastAsia="Calibri" w:hAnsi="Arial" w:cs="Arial"/>
                <w:sz w:val="22"/>
                <w:szCs w:val="20"/>
                <w:lang w:bidi="ar-SA"/>
              </w:rPr>
              <w:t xml:space="preserve"> C:N ratios of 32.6:1 and 34.2:1 respectively, within the ideal range for anaerobic digestion. BMS showed the highest BOD (1024.3 mgL</w:t>
            </w:r>
            <w:r w:rsidRPr="005C3B36">
              <w:rPr>
                <w:rFonts w:ascii="Arial" w:eastAsia="Calibri" w:hAnsi="Arial" w:cs="Arial"/>
                <w:sz w:val="22"/>
                <w:szCs w:val="20"/>
                <w:vertAlign w:val="superscript"/>
              </w:rPr>
              <w:t>-1</w:t>
            </w:r>
            <w:r w:rsidRPr="005C3B36">
              <w:rPr>
                <w:rFonts w:ascii="Arial" w:eastAsia="Calibri" w:hAnsi="Arial" w:cs="Arial"/>
                <w:sz w:val="22"/>
                <w:szCs w:val="20"/>
                <w:lang w:bidi="ar-SA"/>
              </w:rPr>
              <w:t>) and COD (2976.67 mgL</w:t>
            </w:r>
            <w:r w:rsidRPr="005C3B36">
              <w:rPr>
                <w:rFonts w:ascii="Arial" w:eastAsia="Calibri" w:hAnsi="Arial" w:cs="Arial"/>
                <w:sz w:val="22"/>
                <w:szCs w:val="20"/>
                <w:vertAlign w:val="superscript"/>
              </w:rPr>
              <w:t>-1</w:t>
            </w:r>
            <w:r w:rsidRPr="005C3B36">
              <w:rPr>
                <w:rFonts w:ascii="Arial" w:eastAsia="Calibri" w:hAnsi="Arial" w:cs="Arial"/>
                <w:sz w:val="22"/>
                <w:szCs w:val="20"/>
                <w:lang w:bidi="ar-SA"/>
              </w:rPr>
              <w:t>), indicating high biodegradability and methane-generating potential. OMS exhibited the highest VS (66.83%) and VS/TS ratio (</w:t>
            </w:r>
            <w:r w:rsidR="005200AC" w:rsidRPr="005C3B36">
              <w:rPr>
                <w:rFonts w:ascii="Arial" w:eastAsia="Calibri" w:hAnsi="Arial" w:cs="Arial"/>
                <w:sz w:val="22"/>
                <w:szCs w:val="20"/>
                <w:lang w:bidi="ar-SA"/>
              </w:rPr>
              <w:t>0.</w:t>
            </w:r>
            <w:r w:rsidRPr="005C3B36">
              <w:rPr>
                <w:rFonts w:ascii="Arial" w:eastAsia="Calibri" w:hAnsi="Arial" w:cs="Arial"/>
                <w:sz w:val="22"/>
                <w:szCs w:val="20"/>
                <w:lang w:bidi="ar-SA"/>
              </w:rPr>
              <w:t>77), suggesting an abundant fraction of biodegradable organic matter. Although PC displayed the highest carbon content (32.98%), its high C:N ratio (57:1) indicated nitrogen deficiency and poor microbial degradation potential unless co-digested with nitrogen-rich substrates. WC and PC also demonstrated higher alkalinity but lower overall biogas potential. Statistical analysis (One-way ANOVA, Tukey b test, p&lt;0.05) confirmed significant differences among substrates in key parameters influencing biogas yield. In conclusion, BMS emerged as the most promising substrate for biogas production, owing to its balanced pH, high organic load and ideal nutrient composition. OMS also showed excellent potential but may require pH correction or co-digestion strategies. Further research on kinetic mode</w:t>
            </w:r>
            <w:r w:rsidR="00AD5384">
              <w:rPr>
                <w:rFonts w:ascii="Arial" w:eastAsia="Calibri" w:hAnsi="Arial" w:cs="Arial"/>
                <w:sz w:val="22"/>
                <w:szCs w:val="20"/>
                <w:lang w:bidi="ar-SA"/>
              </w:rPr>
              <w:t>l</w:t>
            </w:r>
            <w:r w:rsidRPr="005C3B36">
              <w:rPr>
                <w:rFonts w:ascii="Arial" w:eastAsia="Calibri" w:hAnsi="Arial" w:cs="Arial"/>
                <w:sz w:val="22"/>
                <w:szCs w:val="20"/>
                <w:lang w:bidi="ar-SA"/>
              </w:rPr>
              <w:t>ling and reactor-scale validation is required to optimize substrate mixtures and improve energy recovery efficiency in anaerobic digesters.</w:t>
            </w:r>
          </w:p>
          <w:p w14:paraId="01FE4338" w14:textId="1054C70E" w:rsidR="00505F06" w:rsidRPr="005C3B36" w:rsidRDefault="00505F06" w:rsidP="00441B6F">
            <w:pPr>
              <w:pStyle w:val="Body"/>
              <w:spacing w:after="0"/>
              <w:rPr>
                <w:rFonts w:ascii="Arial" w:eastAsia="Calibri" w:hAnsi="Arial" w:cs="Arial"/>
                <w:szCs w:val="22"/>
              </w:rPr>
            </w:pPr>
          </w:p>
        </w:tc>
      </w:tr>
    </w:tbl>
    <w:p w14:paraId="182208BD" w14:textId="2461D341" w:rsidR="00020EC4" w:rsidRPr="005C3B36" w:rsidRDefault="00A24E7E" w:rsidP="00020EC4">
      <w:pPr>
        <w:pStyle w:val="Body"/>
        <w:spacing w:before="240" w:after="0"/>
        <w:rPr>
          <w:rFonts w:ascii="Arial" w:hAnsi="Arial" w:cs="Arial"/>
          <w:i/>
        </w:rPr>
      </w:pPr>
      <w:r w:rsidRPr="005C3B36">
        <w:rPr>
          <w:rFonts w:ascii="Arial" w:hAnsi="Arial" w:cs="Arial"/>
          <w:i/>
        </w:rPr>
        <w:t xml:space="preserve">Keywords: </w:t>
      </w:r>
      <w:r w:rsidR="00020EC4" w:rsidRPr="005C3B36">
        <w:rPr>
          <w:rFonts w:ascii="Arial" w:hAnsi="Arial" w:cs="Arial"/>
          <w:i/>
        </w:rPr>
        <w:t xml:space="preserve">Biogas, </w:t>
      </w:r>
      <w:r w:rsidR="005200AC" w:rsidRPr="005C3B36">
        <w:rPr>
          <w:rFonts w:ascii="Arial" w:hAnsi="Arial" w:cs="Arial"/>
          <w:i/>
        </w:rPr>
        <w:t>Button Mushroom, Oyster Mushroom, Organic matter</w:t>
      </w:r>
    </w:p>
    <w:p w14:paraId="1A21A248" w14:textId="00BC40EA" w:rsidR="007F7B32" w:rsidRPr="005C3B36" w:rsidRDefault="00902823" w:rsidP="00020EC4">
      <w:pPr>
        <w:pStyle w:val="AbstHead"/>
        <w:spacing w:before="240" w:after="0"/>
        <w:jc w:val="both"/>
        <w:rPr>
          <w:rFonts w:ascii="Arial" w:hAnsi="Arial" w:cs="Arial"/>
        </w:rPr>
      </w:pPr>
      <w:r w:rsidRPr="005C3B36">
        <w:rPr>
          <w:rFonts w:ascii="Arial" w:hAnsi="Arial" w:cs="Arial"/>
        </w:rPr>
        <w:t xml:space="preserve">1. </w:t>
      </w:r>
      <w:r w:rsidR="00B01FCD" w:rsidRPr="005C3B36">
        <w:rPr>
          <w:rFonts w:ascii="Arial" w:hAnsi="Arial" w:cs="Arial"/>
        </w:rPr>
        <w:t>INTRODUCTION</w:t>
      </w:r>
      <w:r w:rsidR="007F7B32" w:rsidRPr="005C3B36">
        <w:rPr>
          <w:rFonts w:ascii="Arial" w:hAnsi="Arial" w:cs="Arial"/>
        </w:rPr>
        <w:t xml:space="preserve"> </w:t>
      </w:r>
    </w:p>
    <w:p w14:paraId="412FDFF2" w14:textId="7A3E8A73" w:rsidR="00020EC4" w:rsidRPr="005C3B36" w:rsidRDefault="00020EC4" w:rsidP="00A338F1">
      <w:pPr>
        <w:pStyle w:val="Body"/>
        <w:spacing w:before="240" w:after="0"/>
        <w:rPr>
          <w:rFonts w:ascii="Arial" w:hAnsi="Arial" w:cs="Arial"/>
          <w:sz w:val="22"/>
          <w:szCs w:val="22"/>
          <w:lang w:bidi="ar-SA"/>
        </w:rPr>
      </w:pPr>
      <w:r w:rsidRPr="005C3B36">
        <w:rPr>
          <w:rFonts w:ascii="Arial" w:hAnsi="Arial" w:cs="Arial"/>
          <w:sz w:val="22"/>
          <w:szCs w:val="22"/>
          <w:lang w:bidi="ar-SA"/>
        </w:rPr>
        <w:t xml:space="preserve">The need for sustainable energy sources is growing worldwide and biogas is already a leading renewable energy source. Anaerobic digestion of organic matter produces biogas, which has the twin benefits of generating energy and managing waste. </w:t>
      </w:r>
      <w:r w:rsidRPr="005C3B36">
        <w:rPr>
          <w:rFonts w:ascii="Arial" w:hAnsi="Arial" w:cs="Arial"/>
          <w:sz w:val="22"/>
          <w:szCs w:val="22"/>
          <w:lang w:bidi="ar-SA"/>
        </w:rPr>
        <w:lastRenderedPageBreak/>
        <w:t>Livestock manure, agricultural wastes and organic urban garbage are examples of traditional anaerobic digestion substrates. However, because feedstocks vary in terms of nutrient composition, biodegradability and chemical stability, the choice of feedstock has a substantial impact on the efficiency of methane production</w:t>
      </w:r>
      <w:r w:rsidR="00D93277" w:rsidRPr="00A338F1">
        <w:rPr>
          <w:rFonts w:ascii="Arial" w:hAnsi="Arial" w:cs="Arial"/>
          <w:sz w:val="20"/>
          <w:szCs w:val="20"/>
          <w:lang w:bidi="ar-SA"/>
        </w:rPr>
        <w:t xml:space="preserve"> (</w:t>
      </w:r>
      <w:proofErr w:type="spellStart"/>
      <w:r w:rsidR="00D93277" w:rsidRPr="00A338F1">
        <w:rPr>
          <w:rFonts w:ascii="Arial" w:hAnsi="Arial" w:cs="Arial"/>
          <w:sz w:val="22"/>
          <w:szCs w:val="22"/>
        </w:rPr>
        <w:t>Obileke</w:t>
      </w:r>
      <w:proofErr w:type="spellEnd"/>
      <w:r w:rsidR="00D93277" w:rsidRPr="00A338F1">
        <w:rPr>
          <w:rFonts w:ascii="Arial" w:hAnsi="Arial" w:cs="Arial"/>
          <w:sz w:val="22"/>
          <w:szCs w:val="22"/>
        </w:rPr>
        <w:t xml:space="preserve"> et al., 2023</w:t>
      </w:r>
      <w:r w:rsidR="00D93277" w:rsidRPr="005C3B36">
        <w:rPr>
          <w:rFonts w:ascii="Arial" w:hAnsi="Arial" w:cs="Arial"/>
        </w:rPr>
        <w:t>).</w:t>
      </w:r>
    </w:p>
    <w:p w14:paraId="64AF24B9" w14:textId="77777777"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Bioenergy, particularly biogas, is gaining popularity as a wonderful alternative to fossil fuels, all thanks to the increasing global demand for clean and renewable energy. Biogas mainly consists of methane (CH</w:t>
      </w:r>
      <w:r w:rsidRPr="005C3B36">
        <w:rPr>
          <w:rFonts w:ascii="Cambria Math" w:hAnsi="Cambria Math" w:cs="Cambria Math"/>
          <w:sz w:val="22"/>
          <w:szCs w:val="22"/>
          <w:lang w:bidi="ar-SA"/>
        </w:rPr>
        <w:t>₄</w:t>
      </w:r>
      <w:r w:rsidRPr="005C3B36">
        <w:rPr>
          <w:rFonts w:ascii="Arial" w:hAnsi="Arial" w:cs="Arial"/>
          <w:sz w:val="22"/>
          <w:szCs w:val="22"/>
          <w:lang w:bidi="ar-SA"/>
        </w:rPr>
        <w:t>) and carbon dioxide (CO</w:t>
      </w:r>
      <w:r w:rsidRPr="005C3B36">
        <w:rPr>
          <w:rFonts w:ascii="Cambria Math" w:hAnsi="Cambria Math" w:cs="Cambria Math"/>
          <w:sz w:val="22"/>
          <w:szCs w:val="22"/>
          <w:lang w:bidi="ar-SA"/>
        </w:rPr>
        <w:t>₂</w:t>
      </w:r>
      <w:r w:rsidRPr="005C3B36">
        <w:rPr>
          <w:rFonts w:ascii="Arial" w:hAnsi="Arial" w:cs="Arial"/>
          <w:sz w:val="22"/>
          <w:szCs w:val="22"/>
          <w:lang w:bidi="ar-SA"/>
        </w:rPr>
        <w:t>) and it is produced when certain bacteria break down organic materials without oxygen in a process called anaerobic digestion (AD). This natural method not only helps in managing and utilizing organic waste but also plays a key role in generating electricity sustainably</w:t>
      </w:r>
    </w:p>
    <w:p w14:paraId="2E20B6EF" w14:textId="75744804"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The spent mushroom substrates (SMS) left after growing mushroom are generally thrown away as garbage. Because of the high organic load these substrates are an excellent choice for bioenergy applications</w:t>
      </w:r>
      <w:r w:rsidR="00D93277" w:rsidRPr="005C3B36">
        <w:rPr>
          <w:rFonts w:ascii="Arial" w:hAnsi="Arial" w:cs="Arial"/>
        </w:rPr>
        <w:t xml:space="preserve"> </w:t>
      </w:r>
      <w:r w:rsidR="00D93277" w:rsidRPr="007734BA">
        <w:rPr>
          <w:rFonts w:ascii="Arial" w:hAnsi="Arial" w:cs="Arial"/>
          <w:sz w:val="22"/>
          <w:szCs w:val="22"/>
        </w:rPr>
        <w:t>(</w:t>
      </w:r>
      <w:proofErr w:type="spellStart"/>
      <w:r w:rsidR="00D93277" w:rsidRPr="007734BA">
        <w:rPr>
          <w:rFonts w:ascii="Arial" w:hAnsi="Arial" w:cs="Arial"/>
          <w:sz w:val="22"/>
          <w:szCs w:val="22"/>
        </w:rPr>
        <w:t>Ravlikovsky</w:t>
      </w:r>
      <w:proofErr w:type="spellEnd"/>
      <w:r w:rsidR="00D93277" w:rsidRPr="007734BA">
        <w:rPr>
          <w:rFonts w:ascii="Arial" w:hAnsi="Arial" w:cs="Arial"/>
          <w:sz w:val="22"/>
          <w:szCs w:val="22"/>
        </w:rPr>
        <w:t xml:space="preserve"> et al., 2025)</w:t>
      </w:r>
      <w:r w:rsidRPr="007734BA">
        <w:rPr>
          <w:rFonts w:ascii="Arial" w:hAnsi="Arial" w:cs="Arial"/>
          <w:sz w:val="22"/>
          <w:szCs w:val="22"/>
          <w:lang w:bidi="ar-SA"/>
        </w:rPr>
        <w:t>.</w:t>
      </w:r>
      <w:r w:rsidRPr="005C3B36">
        <w:rPr>
          <w:rFonts w:ascii="Arial" w:hAnsi="Arial" w:cs="Arial"/>
          <w:sz w:val="22"/>
          <w:szCs w:val="22"/>
          <w:lang w:bidi="ar-SA"/>
        </w:rPr>
        <w:t xml:space="preserve"> Likewise, biodegradable organic matter is abundant in agricultural composts, including paddy and wheat composts. Optimising anaerobic digestion procedures and raising methane yield can be achieved by being aware of the physicochemical characteristics of each substrate.</w:t>
      </w:r>
    </w:p>
    <w:p w14:paraId="3816AD9D" w14:textId="69B78A34"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Getting to know the physicochemical and biochemical characteristics of these substrates is really important for making the anaerobic digestion process work better and for boosting methane production. Factors like total solids (TS), volatile solids (VS), biochemical oxygen demand (BOD), chemical oxygen demand (COD), total nitrogen (N), phosphorus (P), potassium (K) and organic carbon content are key in figuring out how well organic materials can break down and their energy potential</w:t>
      </w:r>
      <w:r w:rsidR="00663E0A" w:rsidRPr="005C3B36">
        <w:rPr>
          <w:rFonts w:ascii="Arial" w:hAnsi="Arial" w:cs="Arial"/>
          <w:sz w:val="22"/>
          <w:szCs w:val="22"/>
          <w:lang w:bidi="ar-SA"/>
        </w:rPr>
        <w:t xml:space="preserve"> </w:t>
      </w:r>
      <w:r w:rsidR="00663E0A" w:rsidRPr="007734BA">
        <w:rPr>
          <w:rFonts w:ascii="Arial" w:hAnsi="Arial" w:cs="Arial"/>
          <w:sz w:val="22"/>
          <w:szCs w:val="22"/>
          <w:lang w:bidi="ar-SA"/>
        </w:rPr>
        <w:t>(</w:t>
      </w:r>
      <w:proofErr w:type="spellStart"/>
      <w:r w:rsidR="00663E0A" w:rsidRPr="007734BA">
        <w:rPr>
          <w:rFonts w:ascii="Arial" w:hAnsi="Arial" w:cs="Arial"/>
          <w:sz w:val="22"/>
          <w:szCs w:val="22"/>
        </w:rPr>
        <w:t>Meegoda</w:t>
      </w:r>
      <w:proofErr w:type="spellEnd"/>
      <w:r w:rsidR="00663E0A" w:rsidRPr="007734BA">
        <w:rPr>
          <w:rFonts w:ascii="Arial" w:hAnsi="Arial" w:cs="Arial"/>
          <w:sz w:val="22"/>
          <w:szCs w:val="22"/>
        </w:rPr>
        <w:t xml:space="preserve"> et al., 2018).</w:t>
      </w:r>
    </w:p>
    <w:p w14:paraId="590F421D" w14:textId="77777777"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 xml:space="preserve">The purpose of this research is to evaluate the comparative potential for biogas production of button mushroom spent substrate (BMS), oyster mushroom spent substrate (OMS), wheat compost (WC) and paddy compost (PC). The study makes the hypothesis that SMS perform better than conventional composts in terms of biogas yield because of their high volatile </w:t>
      </w:r>
      <w:proofErr w:type="gramStart"/>
      <w:r w:rsidRPr="005C3B36">
        <w:rPr>
          <w:rFonts w:ascii="Arial" w:hAnsi="Arial" w:cs="Arial"/>
          <w:sz w:val="22"/>
          <w:szCs w:val="22"/>
          <w:lang w:bidi="ar-SA"/>
        </w:rPr>
        <w:t>solids</w:t>
      </w:r>
      <w:proofErr w:type="gramEnd"/>
      <w:r w:rsidRPr="005C3B36">
        <w:rPr>
          <w:rFonts w:ascii="Arial" w:hAnsi="Arial" w:cs="Arial"/>
          <w:sz w:val="22"/>
          <w:szCs w:val="22"/>
          <w:lang w:bidi="ar-SA"/>
        </w:rPr>
        <w:t xml:space="preserve"> concentration and nutrient-rich profile. For the following purpose various biochemical parameters like Nitrogen, Phosphorus, Potassium, Carbon, BOD, COD, TS and VS were determined.</w:t>
      </w:r>
    </w:p>
    <w:p w14:paraId="59376182" w14:textId="222F1DC9" w:rsidR="007F7B32" w:rsidRPr="005C3B36" w:rsidRDefault="00902823" w:rsidP="005200AC">
      <w:pPr>
        <w:pStyle w:val="AbstHead"/>
        <w:spacing w:before="240" w:after="0"/>
        <w:jc w:val="both"/>
        <w:rPr>
          <w:rFonts w:ascii="Arial" w:hAnsi="Arial" w:cs="Arial"/>
        </w:rPr>
      </w:pPr>
      <w:r w:rsidRPr="005C3B36">
        <w:rPr>
          <w:rFonts w:ascii="Arial" w:hAnsi="Arial" w:cs="Arial"/>
        </w:rPr>
        <w:t>2. material and method</w:t>
      </w:r>
      <w:r w:rsidR="00000F8F" w:rsidRPr="005C3B36">
        <w:rPr>
          <w:rFonts w:ascii="Arial" w:hAnsi="Arial" w:cs="Arial"/>
        </w:rPr>
        <w:t xml:space="preserve">s </w:t>
      </w:r>
    </w:p>
    <w:p w14:paraId="432837BE" w14:textId="443E7D31" w:rsidR="00FB0998" w:rsidRPr="005C3B36" w:rsidRDefault="00FB0998" w:rsidP="00663E0A">
      <w:pPr>
        <w:pStyle w:val="Body"/>
        <w:spacing w:before="240" w:after="0"/>
        <w:rPr>
          <w:rFonts w:ascii="Arial" w:hAnsi="Arial" w:cs="Arial"/>
          <w:b/>
          <w:bCs/>
          <w:sz w:val="22"/>
          <w:szCs w:val="22"/>
          <w:lang w:bidi="ar-SA"/>
        </w:rPr>
      </w:pPr>
      <w:r w:rsidRPr="005C3B36">
        <w:rPr>
          <w:rFonts w:ascii="Arial" w:hAnsi="Arial" w:cs="Arial"/>
          <w:b/>
          <w:bCs/>
          <w:sz w:val="22"/>
          <w:szCs w:val="22"/>
          <w:lang w:bidi="ar-SA"/>
        </w:rPr>
        <w:t>2.1 Sample Collection and Preparation</w:t>
      </w:r>
    </w:p>
    <w:p w14:paraId="78EF3967" w14:textId="371EAE53" w:rsidR="00FB0998" w:rsidRPr="005C3B36" w:rsidRDefault="00FB0998" w:rsidP="00FB0998">
      <w:pPr>
        <w:pStyle w:val="Body"/>
        <w:spacing w:after="0"/>
        <w:rPr>
          <w:rFonts w:ascii="Arial" w:hAnsi="Arial" w:cs="Arial"/>
          <w:b/>
          <w:bCs/>
          <w:sz w:val="22"/>
          <w:szCs w:val="22"/>
          <w:lang w:bidi="ar-SA"/>
        </w:rPr>
      </w:pPr>
      <w:r w:rsidRPr="005C3B36">
        <w:rPr>
          <w:rFonts w:ascii="Arial" w:hAnsi="Arial" w:cs="Arial"/>
          <w:sz w:val="22"/>
          <w:szCs w:val="22"/>
          <w:lang w:bidi="ar-SA"/>
        </w:rPr>
        <w:t xml:space="preserve">Four different organic substrates were selected to evaluate their biogas potential: </w:t>
      </w:r>
      <w:r w:rsidR="00AF0C06">
        <w:rPr>
          <w:rFonts w:ascii="Arial" w:hAnsi="Arial" w:cs="Arial"/>
          <w:sz w:val="22"/>
          <w:szCs w:val="22"/>
          <w:lang w:bidi="ar-SA"/>
        </w:rPr>
        <w:t>treated substrates (</w:t>
      </w:r>
      <w:r w:rsidRPr="005C3B36">
        <w:rPr>
          <w:rFonts w:ascii="Arial" w:hAnsi="Arial" w:cs="Arial"/>
          <w:sz w:val="22"/>
          <w:szCs w:val="22"/>
          <w:lang w:bidi="ar-SA"/>
        </w:rPr>
        <w:t>BMS</w:t>
      </w:r>
      <w:r w:rsidR="00A338F1">
        <w:rPr>
          <w:rFonts w:ascii="Arial" w:hAnsi="Arial" w:cs="Arial"/>
          <w:sz w:val="22"/>
          <w:szCs w:val="22"/>
          <w:lang w:bidi="ar-SA"/>
        </w:rPr>
        <w:t xml:space="preserve"> and</w:t>
      </w:r>
      <w:r w:rsidRPr="005C3B36">
        <w:rPr>
          <w:rFonts w:ascii="Arial" w:hAnsi="Arial" w:cs="Arial"/>
          <w:sz w:val="22"/>
          <w:szCs w:val="22"/>
          <w:lang w:bidi="ar-SA"/>
        </w:rPr>
        <w:t xml:space="preserve"> OMS</w:t>
      </w:r>
      <w:r w:rsidR="00AF0C06">
        <w:rPr>
          <w:rFonts w:ascii="Arial" w:hAnsi="Arial" w:cs="Arial"/>
          <w:sz w:val="22"/>
          <w:szCs w:val="22"/>
          <w:lang w:bidi="ar-SA"/>
        </w:rPr>
        <w:t>)</w:t>
      </w:r>
      <w:r w:rsidR="00A338F1">
        <w:rPr>
          <w:rFonts w:ascii="Arial" w:hAnsi="Arial" w:cs="Arial"/>
          <w:sz w:val="22"/>
          <w:szCs w:val="22"/>
          <w:lang w:bidi="ar-SA"/>
        </w:rPr>
        <w:t xml:space="preserve"> </w:t>
      </w:r>
      <w:r w:rsidR="00AF0C06">
        <w:rPr>
          <w:rFonts w:ascii="Arial" w:hAnsi="Arial" w:cs="Arial"/>
          <w:sz w:val="22"/>
          <w:szCs w:val="22"/>
          <w:lang w:bidi="ar-SA"/>
        </w:rPr>
        <w:t>and untreated substrates</w:t>
      </w:r>
      <w:r w:rsidRPr="005C3B36">
        <w:rPr>
          <w:rFonts w:ascii="Arial" w:hAnsi="Arial" w:cs="Arial"/>
          <w:sz w:val="22"/>
          <w:szCs w:val="22"/>
          <w:lang w:bidi="ar-SA"/>
        </w:rPr>
        <w:t xml:space="preserve"> </w:t>
      </w:r>
      <w:r w:rsidR="00AF0C06">
        <w:rPr>
          <w:rFonts w:ascii="Arial" w:hAnsi="Arial" w:cs="Arial"/>
          <w:sz w:val="22"/>
          <w:szCs w:val="22"/>
          <w:lang w:bidi="ar-SA"/>
        </w:rPr>
        <w:t>(</w:t>
      </w:r>
      <w:r w:rsidRPr="005C3B36">
        <w:rPr>
          <w:rFonts w:ascii="Arial" w:hAnsi="Arial" w:cs="Arial"/>
          <w:sz w:val="22"/>
          <w:szCs w:val="22"/>
          <w:lang w:bidi="ar-SA"/>
        </w:rPr>
        <w:t>WC and PC</w:t>
      </w:r>
      <w:r w:rsidR="00AF0C06">
        <w:rPr>
          <w:rFonts w:ascii="Arial" w:hAnsi="Arial" w:cs="Arial"/>
          <w:sz w:val="22"/>
          <w:szCs w:val="22"/>
          <w:lang w:bidi="ar-SA"/>
        </w:rPr>
        <w:t>)</w:t>
      </w:r>
      <w:r w:rsidRPr="005C3B36">
        <w:rPr>
          <w:rFonts w:ascii="Arial" w:hAnsi="Arial" w:cs="Arial"/>
          <w:sz w:val="22"/>
          <w:szCs w:val="22"/>
          <w:lang w:bidi="ar-SA"/>
        </w:rPr>
        <w:t>. Samples were collected</w:t>
      </w:r>
      <w:r w:rsidR="00D658D1" w:rsidRPr="005C3B36">
        <w:rPr>
          <w:rFonts w:ascii="Arial" w:hAnsi="Arial" w:cs="Arial"/>
          <w:sz w:val="22"/>
          <w:szCs w:val="22"/>
          <w:lang w:bidi="ar-SA"/>
        </w:rPr>
        <w:t xml:space="preserve"> after harvest of mushroom</w:t>
      </w:r>
      <w:r w:rsidRPr="005C3B36">
        <w:rPr>
          <w:rFonts w:ascii="Arial" w:hAnsi="Arial" w:cs="Arial"/>
          <w:sz w:val="22"/>
          <w:szCs w:val="22"/>
          <w:lang w:bidi="ar-SA"/>
        </w:rPr>
        <w:t xml:space="preserve"> from</w:t>
      </w:r>
      <w:r w:rsidRPr="005C3B36">
        <w:rPr>
          <w:rFonts w:ascii="Arial" w:hAnsi="Arial" w:cs="Arial"/>
          <w:b/>
          <w:bCs/>
          <w:sz w:val="22"/>
          <w:szCs w:val="22"/>
          <w:lang w:bidi="ar-SA"/>
        </w:rPr>
        <w:t xml:space="preserve"> </w:t>
      </w:r>
      <w:r w:rsidRPr="005C3B36">
        <w:rPr>
          <w:rFonts w:ascii="Arial" w:hAnsi="Arial" w:cs="Arial"/>
          <w:sz w:val="22"/>
          <w:szCs w:val="22"/>
          <w:lang w:bidi="ar-SA"/>
        </w:rPr>
        <w:t xml:space="preserve">Mushroom Research and Training Centre, G.B. Pant University of Agriculture and Technology, </w:t>
      </w:r>
      <w:proofErr w:type="spellStart"/>
      <w:r w:rsidRPr="005C3B36">
        <w:rPr>
          <w:rFonts w:ascii="Arial" w:hAnsi="Arial" w:cs="Arial"/>
          <w:sz w:val="22"/>
          <w:szCs w:val="22"/>
          <w:lang w:bidi="ar-SA"/>
        </w:rPr>
        <w:t>Pantnagar</w:t>
      </w:r>
      <w:proofErr w:type="spellEnd"/>
      <w:r w:rsidRPr="005C3B36">
        <w:rPr>
          <w:rFonts w:ascii="Arial" w:hAnsi="Arial" w:cs="Arial"/>
          <w:sz w:val="22"/>
          <w:szCs w:val="22"/>
          <w:lang w:bidi="ar-SA"/>
        </w:rPr>
        <w:t>.</w:t>
      </w:r>
    </w:p>
    <w:p w14:paraId="0C7A2C44" w14:textId="77777777" w:rsidR="00FB0998" w:rsidRPr="005C3B36" w:rsidRDefault="00FB0998" w:rsidP="00FB0998">
      <w:pPr>
        <w:pStyle w:val="Body"/>
        <w:spacing w:after="0"/>
        <w:rPr>
          <w:rFonts w:ascii="Arial" w:hAnsi="Arial" w:cs="Arial"/>
          <w:sz w:val="22"/>
          <w:szCs w:val="22"/>
          <w:lang w:bidi="ar-SA"/>
        </w:rPr>
      </w:pPr>
      <w:r w:rsidRPr="005C3B36">
        <w:rPr>
          <w:rFonts w:ascii="Arial" w:hAnsi="Arial" w:cs="Arial"/>
          <w:sz w:val="22"/>
          <w:szCs w:val="22"/>
          <w:lang w:bidi="ar-SA"/>
        </w:rPr>
        <w:t>Samples were homogenized, air-dried, ground and sieved through a 2 mm mesh before analysis to ensure that the particle size was uniform for accurate physicochemical assessment.</w:t>
      </w:r>
    </w:p>
    <w:p w14:paraId="1FADFDB5" w14:textId="77777777" w:rsidR="004618DA" w:rsidRPr="005C3B36" w:rsidRDefault="00FB0998" w:rsidP="00663E0A">
      <w:pPr>
        <w:pStyle w:val="Body"/>
        <w:spacing w:before="240" w:after="0"/>
        <w:rPr>
          <w:rFonts w:ascii="Arial" w:hAnsi="Arial" w:cs="Arial"/>
          <w:b/>
          <w:bCs/>
          <w:sz w:val="22"/>
          <w:szCs w:val="22"/>
        </w:rPr>
      </w:pPr>
      <w:bookmarkStart w:id="2" w:name="_Hlk199409627"/>
      <w:r w:rsidRPr="005C3B36">
        <w:rPr>
          <w:rFonts w:ascii="Arial" w:hAnsi="Arial" w:cs="Arial"/>
          <w:b/>
          <w:bCs/>
          <w:sz w:val="22"/>
          <w:szCs w:val="22"/>
          <w:lang w:bidi="ar-SA"/>
        </w:rPr>
        <w:t>2.2 Analytical Methods</w:t>
      </w:r>
    </w:p>
    <w:p w14:paraId="4600EC51" w14:textId="27F290E9" w:rsidR="00FB0998" w:rsidRPr="005C3B36" w:rsidRDefault="00FB0998" w:rsidP="00FB0998">
      <w:pPr>
        <w:pStyle w:val="Body"/>
        <w:spacing w:after="0"/>
        <w:rPr>
          <w:rFonts w:ascii="Arial" w:hAnsi="Arial" w:cs="Arial"/>
          <w:sz w:val="22"/>
          <w:szCs w:val="22"/>
          <w:lang w:bidi="ar-SA"/>
        </w:rPr>
      </w:pPr>
      <w:r w:rsidRPr="005C3B36">
        <w:rPr>
          <w:rFonts w:ascii="Arial" w:hAnsi="Arial" w:cs="Arial"/>
          <w:sz w:val="22"/>
          <w:szCs w:val="22"/>
          <w:lang w:bidi="ar-SA"/>
        </w:rPr>
        <w:t>Analyses were conducted in triplicate following standard protocols (APHA, 2022):</w:t>
      </w:r>
    </w:p>
    <w:bookmarkEnd w:id="2"/>
    <w:p w14:paraId="7E465C43" w14:textId="77777777" w:rsidR="007734BA" w:rsidRPr="005C3B36" w:rsidRDefault="007734BA" w:rsidP="007734BA">
      <w:pPr>
        <w:pStyle w:val="Body"/>
        <w:numPr>
          <w:ilvl w:val="2"/>
          <w:numId w:val="32"/>
        </w:numPr>
        <w:spacing w:before="240" w:line="240" w:lineRule="atLeast"/>
        <w:ind w:left="0" w:firstLine="0"/>
        <w:rPr>
          <w:rFonts w:ascii="Arial" w:hAnsi="Arial" w:cs="Arial"/>
          <w:sz w:val="20"/>
          <w:szCs w:val="20"/>
        </w:rPr>
      </w:pPr>
      <w:r w:rsidRPr="005C3B36">
        <w:rPr>
          <w:rFonts w:ascii="Arial" w:hAnsi="Arial" w:cs="Arial"/>
          <w:b/>
          <w:bCs/>
          <w:sz w:val="20"/>
          <w:szCs w:val="20"/>
          <w:u w:val="single"/>
        </w:rPr>
        <w:lastRenderedPageBreak/>
        <w:t>Nitrogen (N):</w:t>
      </w:r>
      <w:r w:rsidRPr="005C3B36">
        <w:rPr>
          <w:rFonts w:ascii="Arial" w:hAnsi="Arial" w:cs="Arial"/>
          <w:sz w:val="20"/>
          <w:szCs w:val="20"/>
        </w:rPr>
        <w:t xml:space="preserve"> The Kjeldahl digestion method was used to determine the nitrogen content. Concentrated sulphuric acid and a catalyst mixture (K</w:t>
      </w:r>
      <w:r w:rsidRPr="005C3B36">
        <w:rPr>
          <w:rFonts w:ascii="Cambria Math" w:hAnsi="Cambria Math" w:cs="Cambria Math"/>
          <w:sz w:val="20"/>
          <w:szCs w:val="20"/>
        </w:rPr>
        <w:t>₂</w:t>
      </w:r>
      <w:r w:rsidRPr="005C3B36">
        <w:rPr>
          <w:rFonts w:ascii="Arial" w:hAnsi="Arial" w:cs="Arial"/>
          <w:sz w:val="20"/>
          <w:szCs w:val="20"/>
        </w:rPr>
        <w:t>SO</w:t>
      </w:r>
      <w:r w:rsidRPr="005C3B36">
        <w:rPr>
          <w:rFonts w:ascii="Cambria Math" w:hAnsi="Cambria Math" w:cs="Cambria Math"/>
          <w:sz w:val="20"/>
          <w:szCs w:val="20"/>
        </w:rPr>
        <w:t>₄</w:t>
      </w:r>
      <w:r w:rsidRPr="005C3B36">
        <w:rPr>
          <w:rFonts w:ascii="Arial" w:hAnsi="Arial" w:cs="Arial"/>
          <w:sz w:val="20"/>
          <w:szCs w:val="20"/>
        </w:rPr>
        <w:t xml:space="preserve"> and </w:t>
      </w:r>
      <w:proofErr w:type="spellStart"/>
      <w:r w:rsidRPr="005C3B36">
        <w:rPr>
          <w:rFonts w:ascii="Arial" w:hAnsi="Arial" w:cs="Arial"/>
          <w:sz w:val="20"/>
          <w:szCs w:val="20"/>
        </w:rPr>
        <w:t>CuSO</w:t>
      </w:r>
      <w:proofErr w:type="spellEnd"/>
      <w:r w:rsidRPr="005C3B36">
        <w:rPr>
          <w:rFonts w:ascii="Cambria Math" w:hAnsi="Cambria Math" w:cs="Cambria Math"/>
          <w:sz w:val="20"/>
          <w:szCs w:val="20"/>
        </w:rPr>
        <w:t>₄</w:t>
      </w:r>
      <w:r w:rsidRPr="005C3B36">
        <w:rPr>
          <w:rFonts w:ascii="Arial" w:hAnsi="Arial" w:cs="Arial"/>
          <w:sz w:val="20"/>
          <w:szCs w:val="20"/>
        </w:rPr>
        <w:t xml:space="preserve">) were used to digest the samples. They were then distilled with NaOH (40%) and titrated with 0.1 N HCl. </w:t>
      </w:r>
    </w:p>
    <w:p w14:paraId="79D3FB12" w14:textId="07941058" w:rsidR="00C305D2" w:rsidRDefault="007734BA" w:rsidP="00C305D2">
      <w:pPr>
        <w:pStyle w:val="Body"/>
        <w:spacing w:before="240" w:line="240" w:lineRule="atLeast"/>
        <w:jc w:val="center"/>
        <w:rPr>
          <w:rFonts w:ascii="Arial" w:hAnsi="Arial" w:cs="Arial"/>
          <w:sz w:val="20"/>
          <w:szCs w:val="20"/>
        </w:rPr>
      </w:pPr>
      <w:proofErr w:type="gramStart"/>
      <w:r w:rsidRPr="005C3B36">
        <w:rPr>
          <w:rFonts w:ascii="Arial" w:hAnsi="Arial" w:cs="Arial"/>
          <w:sz w:val="20"/>
          <w:szCs w:val="20"/>
        </w:rPr>
        <w:t>N(</w:t>
      </w:r>
      <w:proofErr w:type="gramEnd"/>
      <w:r w:rsidRPr="005C3B36">
        <w:rPr>
          <w:rFonts w:ascii="Arial" w:hAnsi="Arial" w:cs="Arial"/>
          <w:sz w:val="20"/>
          <w:szCs w:val="20"/>
        </w:rPr>
        <w:t xml:space="preserve">%)= </w:t>
      </w:r>
      <m:oMath>
        <m:f>
          <m:fPr>
            <m:ctrlPr>
              <w:rPr>
                <w:rFonts w:ascii="Cambria Math" w:hAnsi="Cambria Math" w:cs="Arial"/>
                <w:i/>
              </w:rPr>
            </m:ctrlPr>
          </m:fPr>
          <m:num>
            <m:r>
              <m:rPr>
                <m:sty m:val="p"/>
              </m:rPr>
              <w:rPr>
                <w:rFonts w:ascii="Cambria Math" w:hAnsi="Cambria Math" w:cs="Arial"/>
              </w:rPr>
              <m:t>((R-B)×14×0.1×100)</m:t>
            </m:r>
          </m:num>
          <m:den>
            <m:r>
              <m:rPr>
                <m:sty m:val="p"/>
              </m:rPr>
              <w:rPr>
                <w:rFonts w:ascii="Cambria Math" w:hAnsi="Cambria Math" w:cs="Arial"/>
              </w:rPr>
              <m:t>1000×sample weight (g)</m:t>
            </m:r>
          </m:den>
        </m:f>
      </m:oMath>
    </w:p>
    <w:p w14:paraId="24B4B495" w14:textId="77777777" w:rsidR="00C305D2" w:rsidRDefault="00C305D2" w:rsidP="00C305D2">
      <w:pPr>
        <w:pStyle w:val="Body"/>
        <w:spacing w:after="0" w:line="240" w:lineRule="atLeast"/>
        <w:jc w:val="left"/>
        <w:rPr>
          <w:rFonts w:ascii="Arial" w:hAnsi="Arial" w:cs="Arial"/>
          <w:sz w:val="20"/>
          <w:szCs w:val="20"/>
        </w:rPr>
      </w:pPr>
      <w:r>
        <w:rPr>
          <w:rFonts w:ascii="Arial" w:hAnsi="Arial" w:cs="Arial"/>
          <w:sz w:val="20"/>
          <w:szCs w:val="20"/>
        </w:rPr>
        <w:t>Where,</w:t>
      </w:r>
    </w:p>
    <w:p w14:paraId="184C0E13" w14:textId="0BADC6EA" w:rsidR="007734BA" w:rsidRPr="00233E41" w:rsidRDefault="007734BA" w:rsidP="00C305D2">
      <w:pPr>
        <w:pStyle w:val="Body"/>
        <w:spacing w:after="0" w:line="240" w:lineRule="atLeast"/>
        <w:jc w:val="left"/>
        <w:rPr>
          <w:rFonts w:ascii="Arial" w:hAnsi="Arial" w:cs="Arial"/>
          <w:sz w:val="20"/>
          <w:szCs w:val="20"/>
        </w:rPr>
      </w:pPr>
      <w:r w:rsidRPr="00233E41">
        <w:rPr>
          <w:rFonts w:ascii="Arial" w:hAnsi="Arial" w:cs="Arial"/>
          <w:sz w:val="20"/>
          <w:szCs w:val="20"/>
        </w:rPr>
        <w:t>R= H</w:t>
      </w:r>
      <w:r w:rsidRPr="00233E41">
        <w:rPr>
          <w:rFonts w:ascii="Arial" w:hAnsi="Arial" w:cs="Arial"/>
          <w:sz w:val="20"/>
          <w:szCs w:val="20"/>
          <w:vertAlign w:val="subscript"/>
        </w:rPr>
        <w:t>2</w:t>
      </w:r>
      <w:r w:rsidRPr="00233E41">
        <w:rPr>
          <w:rFonts w:ascii="Arial" w:hAnsi="Arial" w:cs="Arial"/>
          <w:sz w:val="20"/>
          <w:szCs w:val="20"/>
        </w:rPr>
        <w:t>SO</w:t>
      </w:r>
      <w:r w:rsidRPr="00233E41">
        <w:rPr>
          <w:rFonts w:ascii="Arial" w:hAnsi="Arial" w:cs="Arial"/>
          <w:sz w:val="20"/>
          <w:szCs w:val="20"/>
          <w:vertAlign w:val="subscript"/>
        </w:rPr>
        <w:t>4</w:t>
      </w:r>
      <w:r w:rsidRPr="00233E41">
        <w:rPr>
          <w:rFonts w:ascii="Arial" w:hAnsi="Arial" w:cs="Arial"/>
          <w:sz w:val="20"/>
          <w:szCs w:val="20"/>
        </w:rPr>
        <w:t xml:space="preserve"> used in sample</w:t>
      </w:r>
      <w:r w:rsidR="00AD5384">
        <w:rPr>
          <w:rFonts w:ascii="Arial" w:hAnsi="Arial" w:cs="Arial"/>
          <w:sz w:val="20"/>
          <w:szCs w:val="20"/>
        </w:rPr>
        <w:t xml:space="preserve"> (mL)</w:t>
      </w:r>
    </w:p>
    <w:p w14:paraId="38C4AF44" w14:textId="39833221" w:rsidR="007734BA" w:rsidRPr="00233E41" w:rsidRDefault="007734BA" w:rsidP="00C305D2">
      <w:pPr>
        <w:pStyle w:val="Body"/>
        <w:spacing w:after="0" w:line="240" w:lineRule="atLeast"/>
        <w:jc w:val="left"/>
        <w:rPr>
          <w:rFonts w:ascii="Arial" w:hAnsi="Arial" w:cs="Arial"/>
          <w:sz w:val="20"/>
          <w:szCs w:val="20"/>
        </w:rPr>
      </w:pPr>
      <w:r w:rsidRPr="00233E41">
        <w:rPr>
          <w:rFonts w:ascii="Arial" w:hAnsi="Arial" w:cs="Arial"/>
          <w:sz w:val="20"/>
          <w:szCs w:val="20"/>
        </w:rPr>
        <w:t>B=H</w:t>
      </w:r>
      <w:r w:rsidRPr="00233E41">
        <w:rPr>
          <w:rFonts w:ascii="Arial" w:hAnsi="Arial" w:cs="Arial"/>
          <w:sz w:val="20"/>
          <w:szCs w:val="20"/>
          <w:vertAlign w:val="subscript"/>
        </w:rPr>
        <w:t>2</w:t>
      </w:r>
      <w:r w:rsidRPr="00233E41">
        <w:rPr>
          <w:rFonts w:ascii="Arial" w:hAnsi="Arial" w:cs="Arial"/>
          <w:sz w:val="20"/>
          <w:szCs w:val="20"/>
        </w:rPr>
        <w:t>SO</w:t>
      </w:r>
      <w:r w:rsidRPr="00233E41">
        <w:rPr>
          <w:rFonts w:ascii="Arial" w:hAnsi="Arial" w:cs="Arial"/>
          <w:sz w:val="20"/>
          <w:szCs w:val="20"/>
          <w:vertAlign w:val="subscript"/>
        </w:rPr>
        <w:t>4</w:t>
      </w:r>
      <w:r w:rsidRPr="00233E41">
        <w:rPr>
          <w:rFonts w:ascii="Arial" w:hAnsi="Arial" w:cs="Arial"/>
          <w:sz w:val="20"/>
          <w:szCs w:val="20"/>
        </w:rPr>
        <w:t xml:space="preserve"> used in blank</w:t>
      </w:r>
      <w:r w:rsidR="00AD5384">
        <w:rPr>
          <w:rFonts w:ascii="Arial" w:hAnsi="Arial" w:cs="Arial"/>
          <w:sz w:val="20"/>
          <w:szCs w:val="20"/>
        </w:rPr>
        <w:t xml:space="preserve"> (mL)</w:t>
      </w:r>
    </w:p>
    <w:p w14:paraId="6C849EAA" w14:textId="77777777" w:rsidR="007734BA" w:rsidRPr="005C3B36" w:rsidRDefault="007734BA" w:rsidP="007734BA">
      <w:pPr>
        <w:pStyle w:val="Body"/>
        <w:numPr>
          <w:ilvl w:val="2"/>
          <w:numId w:val="32"/>
        </w:numPr>
        <w:spacing w:before="240" w:line="240" w:lineRule="atLeast"/>
        <w:ind w:left="0" w:firstLine="0"/>
        <w:rPr>
          <w:rFonts w:ascii="Arial" w:hAnsi="Arial" w:cs="Arial"/>
          <w:sz w:val="20"/>
          <w:szCs w:val="20"/>
        </w:rPr>
      </w:pPr>
      <w:r w:rsidRPr="005C3B36">
        <w:rPr>
          <w:rFonts w:ascii="Arial" w:hAnsi="Arial" w:cs="Arial"/>
          <w:b/>
          <w:bCs/>
          <w:sz w:val="20"/>
          <w:szCs w:val="20"/>
          <w:u w:val="single"/>
        </w:rPr>
        <w:t>Phosphorus (P)</w:t>
      </w:r>
      <w:r w:rsidRPr="005C3B36">
        <w:rPr>
          <w:rFonts w:ascii="Arial" w:hAnsi="Arial" w:cs="Arial"/>
          <w:b/>
          <w:bCs/>
          <w:sz w:val="20"/>
          <w:szCs w:val="20"/>
        </w:rPr>
        <w:t>:</w:t>
      </w:r>
      <w:r w:rsidRPr="005C3B36">
        <w:rPr>
          <w:rFonts w:ascii="Arial" w:hAnsi="Arial" w:cs="Arial"/>
          <w:sz w:val="20"/>
          <w:szCs w:val="20"/>
        </w:rPr>
        <w:t xml:space="preserve"> It was measured </w:t>
      </w:r>
      <w:proofErr w:type="spellStart"/>
      <w:r w:rsidRPr="005C3B36">
        <w:rPr>
          <w:rFonts w:ascii="Arial" w:hAnsi="Arial" w:cs="Arial"/>
          <w:sz w:val="20"/>
          <w:szCs w:val="20"/>
        </w:rPr>
        <w:t>colorimetrically</w:t>
      </w:r>
      <w:proofErr w:type="spellEnd"/>
      <w:r w:rsidRPr="005C3B36">
        <w:rPr>
          <w:rFonts w:ascii="Arial" w:hAnsi="Arial" w:cs="Arial"/>
          <w:sz w:val="20"/>
          <w:szCs w:val="20"/>
        </w:rPr>
        <w:t xml:space="preserve"> (</w:t>
      </w:r>
      <w:proofErr w:type="spellStart"/>
      <w:r w:rsidRPr="005C3B36">
        <w:rPr>
          <w:rFonts w:ascii="Arial" w:hAnsi="Arial" w:cs="Arial"/>
          <w:sz w:val="20"/>
          <w:szCs w:val="20"/>
        </w:rPr>
        <w:t>Systronics</w:t>
      </w:r>
      <w:proofErr w:type="spellEnd"/>
      <w:r w:rsidRPr="005C3B36">
        <w:rPr>
          <w:rFonts w:ascii="Arial" w:hAnsi="Arial" w:cs="Arial"/>
          <w:sz w:val="20"/>
          <w:szCs w:val="20"/>
        </w:rPr>
        <w:t xml:space="preserve"> Double Beam Spectrophotometer 2202) using the yellow colour method. Diacid mixture was used for digestion and a standard graph was prepared. The observed optical density was used to obtain the phosphorus concentration in the sample.</w:t>
      </w:r>
    </w:p>
    <w:p w14:paraId="36C7CD3B" w14:textId="1886047D" w:rsidR="007734BA" w:rsidRPr="005C3B36" w:rsidRDefault="007734BA" w:rsidP="007734BA">
      <w:pPr>
        <w:pStyle w:val="Body"/>
        <w:spacing w:before="240" w:line="240" w:lineRule="atLeast"/>
        <w:jc w:val="center"/>
        <w:rPr>
          <w:rFonts w:ascii="Arial" w:hAnsi="Arial" w:cs="Arial"/>
          <w:sz w:val="20"/>
          <w:szCs w:val="20"/>
        </w:rPr>
      </w:pPr>
      <w:proofErr w:type="gramStart"/>
      <w:r w:rsidRPr="005C3B36">
        <w:rPr>
          <w:rFonts w:ascii="Arial" w:hAnsi="Arial" w:cs="Arial"/>
          <w:sz w:val="20"/>
          <w:szCs w:val="20"/>
        </w:rPr>
        <w:t>P(</w:t>
      </w:r>
      <w:proofErr w:type="gramEnd"/>
      <w:r w:rsidRPr="005C3B36">
        <w:rPr>
          <w:rFonts w:ascii="Arial" w:hAnsi="Arial" w:cs="Arial"/>
          <w:sz w:val="20"/>
          <w:szCs w:val="20"/>
        </w:rPr>
        <w:t xml:space="preserve">%)= </w:t>
      </w:r>
      <m:oMath>
        <m:f>
          <m:fPr>
            <m:ctrlPr>
              <w:rPr>
                <w:rFonts w:ascii="Cambria Math" w:hAnsi="Cambria Math" w:cs="Arial"/>
                <w:i/>
              </w:rPr>
            </m:ctrlPr>
          </m:fPr>
          <m:num>
            <m:r>
              <w:rPr>
                <w:rFonts w:ascii="Cambria Math" w:hAnsi="Cambria Math" w:cs="Arial"/>
              </w:rPr>
              <m:t>R</m:t>
            </m:r>
          </m:num>
          <m:den>
            <m:r>
              <w:rPr>
                <w:rFonts w:ascii="Cambria Math" w:hAnsi="Cambria Math" w:cs="Arial"/>
              </w:rPr>
              <m:t>20</m:t>
            </m:r>
          </m:den>
        </m:f>
      </m:oMath>
    </w:p>
    <w:p w14:paraId="2765555C" w14:textId="6B9D7325" w:rsidR="00DD0469" w:rsidRDefault="00DD0469" w:rsidP="00DD0469">
      <w:pPr>
        <w:pStyle w:val="Body"/>
        <w:spacing w:after="0" w:line="240" w:lineRule="atLeast"/>
        <w:jc w:val="left"/>
        <w:rPr>
          <w:rFonts w:ascii="Arial" w:hAnsi="Arial" w:cs="Arial"/>
          <w:sz w:val="20"/>
          <w:szCs w:val="20"/>
        </w:rPr>
      </w:pPr>
      <w:r>
        <w:rPr>
          <w:rFonts w:ascii="Arial" w:hAnsi="Arial" w:cs="Arial"/>
          <w:sz w:val="20"/>
          <w:szCs w:val="20"/>
        </w:rPr>
        <w:t>Where,</w:t>
      </w:r>
    </w:p>
    <w:p w14:paraId="2A191272" w14:textId="641C2932" w:rsidR="007734BA" w:rsidRPr="005C3B36" w:rsidRDefault="007734BA" w:rsidP="00DD0469">
      <w:pPr>
        <w:pStyle w:val="Body"/>
        <w:spacing w:after="0" w:line="240" w:lineRule="atLeast"/>
        <w:jc w:val="left"/>
        <w:rPr>
          <w:rFonts w:ascii="Arial" w:hAnsi="Arial" w:cs="Arial"/>
          <w:sz w:val="20"/>
          <w:szCs w:val="20"/>
        </w:rPr>
      </w:pPr>
      <w:r w:rsidRPr="005C3B36">
        <w:rPr>
          <w:rFonts w:ascii="Arial" w:hAnsi="Arial" w:cs="Arial"/>
          <w:sz w:val="20"/>
          <w:szCs w:val="20"/>
        </w:rPr>
        <w:t>R= Concentration of phosphorus (ppm)</w:t>
      </w:r>
    </w:p>
    <w:p w14:paraId="1EE57A3B" w14:textId="77777777" w:rsidR="007734BA" w:rsidRPr="005C3B36" w:rsidRDefault="007734BA" w:rsidP="007734BA">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Potassium (K)</w:t>
      </w:r>
      <w:r w:rsidRPr="005C3B36">
        <w:rPr>
          <w:rFonts w:ascii="Arial" w:hAnsi="Arial" w:cs="Arial"/>
          <w:sz w:val="20"/>
          <w:szCs w:val="20"/>
          <w:u w:val="single"/>
          <w:lang w:bidi="ar-SA"/>
        </w:rPr>
        <w:t>:</w:t>
      </w:r>
      <w:r w:rsidRPr="005C3B36">
        <w:rPr>
          <w:rFonts w:ascii="Arial" w:hAnsi="Arial" w:cs="Arial"/>
          <w:sz w:val="20"/>
          <w:szCs w:val="20"/>
          <w:lang w:bidi="ar-SA"/>
        </w:rPr>
        <w:t xml:space="preserve"> It was measured using flame photometer (</w:t>
      </w:r>
      <w:proofErr w:type="spellStart"/>
      <w:r w:rsidRPr="005C3B36">
        <w:rPr>
          <w:rFonts w:ascii="Arial" w:hAnsi="Arial" w:cs="Arial"/>
          <w:sz w:val="20"/>
          <w:szCs w:val="20"/>
          <w:lang w:bidi="ar-SA"/>
        </w:rPr>
        <w:t>Systronics</w:t>
      </w:r>
      <w:proofErr w:type="spellEnd"/>
      <w:r w:rsidRPr="005C3B36">
        <w:rPr>
          <w:rFonts w:ascii="Arial" w:hAnsi="Arial" w:cs="Arial"/>
          <w:sz w:val="20"/>
          <w:szCs w:val="20"/>
          <w:lang w:bidi="ar-SA"/>
        </w:rPr>
        <w:t xml:space="preserve"> Flame Photometer 128). Standard graph was prepared using working standards.</w:t>
      </w:r>
    </w:p>
    <w:p w14:paraId="648EE29A" w14:textId="62710D1E" w:rsidR="007734BA" w:rsidRPr="005C3B36" w:rsidRDefault="007734BA" w:rsidP="007734BA">
      <w:pPr>
        <w:pStyle w:val="Body"/>
        <w:spacing w:before="240"/>
        <w:jc w:val="center"/>
        <w:rPr>
          <w:rFonts w:ascii="Arial" w:hAnsi="Arial" w:cs="Arial"/>
          <w:b/>
          <w:bCs/>
          <w:sz w:val="20"/>
          <w:szCs w:val="20"/>
          <w:lang w:bidi="ar-SA"/>
        </w:rPr>
      </w:pPr>
      <w:proofErr w:type="gramStart"/>
      <w:r w:rsidRPr="005C3B36">
        <w:rPr>
          <w:rFonts w:ascii="Arial" w:hAnsi="Arial" w:cs="Arial"/>
          <w:sz w:val="20"/>
          <w:szCs w:val="20"/>
          <w:lang w:bidi="ar-SA"/>
        </w:rPr>
        <w:t>K(</w:t>
      </w:r>
      <w:proofErr w:type="gramEnd"/>
      <w:r w:rsidRPr="005C3B36">
        <w:rPr>
          <w:rFonts w:ascii="Arial" w:hAnsi="Arial" w:cs="Arial"/>
          <w:sz w:val="20"/>
          <w:szCs w:val="20"/>
          <w:lang w:bidi="ar-SA"/>
        </w:rPr>
        <w:t>%)=</w:t>
      </w:r>
      <w:r w:rsidRPr="005C3B36">
        <w:rPr>
          <w:rFonts w:ascii="Arial" w:hAnsi="Arial" w:cs="Arial"/>
          <w:b/>
          <w:bCs/>
          <w:sz w:val="20"/>
          <w:szCs w:val="20"/>
          <w:lang w:bidi="ar-SA"/>
        </w:rPr>
        <w:t xml:space="preserve"> </w:t>
      </w:r>
      <m:oMath>
        <m:f>
          <m:fPr>
            <m:ctrlPr>
              <w:rPr>
                <w:rFonts w:ascii="Cambria Math" w:hAnsi="Cambria Math" w:cs="Arial"/>
                <w:i/>
                <w:lang w:bidi="ar-SA"/>
              </w:rPr>
            </m:ctrlPr>
          </m:fPr>
          <m:num>
            <m:r>
              <w:rPr>
                <w:rFonts w:ascii="Cambria Math" w:hAnsi="Cambria Math" w:cs="Arial"/>
              </w:rPr>
              <m:t>R×50×Dilution</m:t>
            </m:r>
          </m:num>
          <m:den>
            <m:r>
              <w:rPr>
                <w:rFonts w:ascii="Cambria Math" w:hAnsi="Cambria Math" w:cs="Arial"/>
              </w:rPr>
              <m:t>1000×sample weight(g)</m:t>
            </m:r>
          </m:den>
        </m:f>
      </m:oMath>
    </w:p>
    <w:p w14:paraId="7A8FA27E" w14:textId="5711CAB7" w:rsidR="00DD0469" w:rsidRDefault="00DD0469" w:rsidP="00DD0469">
      <w:pPr>
        <w:pStyle w:val="Body"/>
        <w:spacing w:after="0"/>
        <w:jc w:val="left"/>
        <w:rPr>
          <w:rFonts w:ascii="Arial" w:hAnsi="Arial" w:cs="Arial"/>
          <w:sz w:val="20"/>
          <w:szCs w:val="20"/>
          <w:lang w:bidi="ar-SA"/>
        </w:rPr>
      </w:pPr>
      <w:r>
        <w:rPr>
          <w:rFonts w:ascii="Arial" w:hAnsi="Arial" w:cs="Arial"/>
          <w:sz w:val="20"/>
          <w:szCs w:val="20"/>
          <w:lang w:bidi="ar-SA"/>
        </w:rPr>
        <w:t xml:space="preserve">Where, </w:t>
      </w:r>
    </w:p>
    <w:p w14:paraId="58981E7D" w14:textId="2E57D4E8" w:rsidR="007734BA" w:rsidRPr="005C3B36" w:rsidRDefault="007734BA" w:rsidP="00DD0469">
      <w:pPr>
        <w:pStyle w:val="Body"/>
        <w:spacing w:after="0"/>
        <w:jc w:val="left"/>
        <w:rPr>
          <w:rFonts w:ascii="Arial" w:hAnsi="Arial" w:cs="Arial"/>
          <w:sz w:val="20"/>
          <w:szCs w:val="20"/>
        </w:rPr>
      </w:pPr>
      <w:r w:rsidRPr="005C3B36">
        <w:rPr>
          <w:rFonts w:ascii="Arial" w:hAnsi="Arial" w:cs="Arial"/>
          <w:sz w:val="20"/>
          <w:szCs w:val="20"/>
          <w:lang w:bidi="ar-SA"/>
        </w:rPr>
        <w:t>R= Reading from flame photometer (ppm)</w:t>
      </w:r>
    </w:p>
    <w:p w14:paraId="2B3E477A" w14:textId="49836FEE" w:rsidR="00DD0469" w:rsidRPr="00DD0469" w:rsidRDefault="007734BA" w:rsidP="00DD0469">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Carbon (C)</w:t>
      </w:r>
      <w:r w:rsidRPr="005C3B36">
        <w:rPr>
          <w:rFonts w:ascii="Arial" w:hAnsi="Arial" w:cs="Arial"/>
          <w:sz w:val="20"/>
          <w:szCs w:val="20"/>
          <w:u w:val="single"/>
          <w:lang w:bidi="ar-SA"/>
        </w:rPr>
        <w:t>:</w:t>
      </w:r>
      <w:r w:rsidRPr="005C3B36">
        <w:rPr>
          <w:rFonts w:ascii="Arial" w:hAnsi="Arial" w:cs="Arial"/>
          <w:sz w:val="20"/>
          <w:szCs w:val="20"/>
          <w:lang w:bidi="ar-SA"/>
        </w:rPr>
        <w:t xml:space="preserve"> Estimated by the Walkley-Black method. Potassium dichromate and concentrated sulphuric acid were used to oxidise organic carbon. To determine the carbon content, unreacted dichromate was titrated with ferrous ammonium sulphate. Methanogens use organic carbon as their main energy source and it is essential to the synthesis of methan</w:t>
      </w:r>
      <w:r w:rsidR="00DD0469">
        <w:rPr>
          <w:rFonts w:ascii="Arial" w:hAnsi="Arial" w:cs="Arial"/>
          <w:sz w:val="20"/>
          <w:szCs w:val="20"/>
          <w:lang w:bidi="ar-SA"/>
        </w:rPr>
        <w:t>e.</w:t>
      </w:r>
    </w:p>
    <w:p w14:paraId="2C449C10" w14:textId="77777777" w:rsidR="00DD0469" w:rsidRDefault="00DD0469" w:rsidP="00DD0469">
      <w:pPr>
        <w:pStyle w:val="Body"/>
        <w:spacing w:before="240" w:after="0" w:line="240" w:lineRule="atLeast"/>
        <w:rPr>
          <w:rFonts w:ascii="Arial" w:hAnsi="Arial" w:cs="Arial"/>
          <w:sz w:val="20"/>
          <w:szCs w:val="20"/>
          <w:lang w:bidi="ar-SA"/>
        </w:rPr>
      </w:pPr>
    </w:p>
    <w:p w14:paraId="30899604" w14:textId="029E47B0" w:rsidR="00DD0469" w:rsidRPr="00DD0469" w:rsidRDefault="00DD0469" w:rsidP="00DD0469">
      <w:pPr>
        <w:pStyle w:val="Body"/>
        <w:spacing w:before="240" w:after="0" w:line="240" w:lineRule="atLeast"/>
        <w:jc w:val="center"/>
        <w:rPr>
          <w:rFonts w:ascii="Arial" w:hAnsi="Arial" w:cs="Arial"/>
          <w:sz w:val="20"/>
          <w:szCs w:val="20"/>
          <w:u w:val="single"/>
        </w:rPr>
      </w:pPr>
      <w:proofErr w:type="gramStart"/>
      <w:r w:rsidRPr="00DD0469">
        <w:rPr>
          <w:rFonts w:ascii="Arial" w:hAnsi="Arial" w:cs="Arial"/>
          <w:sz w:val="20"/>
          <w:szCs w:val="20"/>
          <w:lang w:bidi="ar-SA"/>
        </w:rPr>
        <w:t>Carbon(</w:t>
      </w:r>
      <w:proofErr w:type="gramEnd"/>
      <w:r w:rsidRPr="00DD0469">
        <w:rPr>
          <w:rFonts w:ascii="Arial" w:hAnsi="Arial" w:cs="Arial"/>
          <w:sz w:val="20"/>
          <w:szCs w:val="20"/>
          <w:lang w:bidi="ar-SA"/>
        </w:rPr>
        <w:t>%</w:t>
      </w:r>
      <w:r w:rsidRPr="00DD0469">
        <w:rPr>
          <w:rFonts w:ascii="Arial" w:hAnsi="Arial" w:cs="Arial"/>
          <w:lang w:bidi="ar-SA"/>
        </w:rPr>
        <w:t>)=</w:t>
      </w:r>
      <m:oMath>
        <m:f>
          <m:fPr>
            <m:ctrlPr>
              <w:rPr>
                <w:rFonts w:ascii="Cambria Math" w:hAnsi="Cambria Math" w:cs="Arial"/>
                <w:i/>
                <w:lang w:bidi="ar-SA"/>
              </w:rPr>
            </m:ctrlPr>
          </m:fPr>
          <m:num>
            <m:r>
              <w:rPr>
                <w:rFonts w:ascii="Cambria Math" w:hAnsi="Cambria Math" w:cs="Arial"/>
                <w:lang w:bidi="ar-SA"/>
              </w:rPr>
              <m:t>10×(B-T)×0.003×100</m:t>
            </m:r>
          </m:num>
          <m:den>
            <m:r>
              <w:rPr>
                <w:rFonts w:ascii="Cambria Math" w:hAnsi="Cambria Math" w:cs="Arial"/>
                <w:lang w:bidi="ar-SA"/>
              </w:rPr>
              <m:t>B×sample weight(g)</m:t>
            </m:r>
          </m:den>
        </m:f>
      </m:oMath>
      <w:r w:rsidR="0006487C">
        <w:rPr>
          <w:rFonts w:ascii="Arial" w:hAnsi="Arial" w:cs="Arial"/>
          <w:sz w:val="20"/>
          <w:szCs w:val="20"/>
          <w:u w:val="single"/>
        </w:rPr>
        <w:t xml:space="preserve"> </w:t>
      </w:r>
    </w:p>
    <w:p w14:paraId="04EDE9E0" w14:textId="3A7AAC3B" w:rsidR="0006487C" w:rsidRDefault="0006487C" w:rsidP="0006487C">
      <w:pPr>
        <w:pStyle w:val="Body"/>
        <w:spacing w:after="0" w:line="240" w:lineRule="atLeast"/>
        <w:rPr>
          <w:rFonts w:ascii="Arial" w:hAnsi="Arial" w:cs="Arial"/>
          <w:sz w:val="20"/>
          <w:szCs w:val="20"/>
        </w:rPr>
      </w:pPr>
      <w:r>
        <w:rPr>
          <w:rFonts w:ascii="Arial" w:hAnsi="Arial" w:cs="Arial"/>
          <w:sz w:val="20"/>
          <w:szCs w:val="20"/>
        </w:rPr>
        <w:t>Where,</w:t>
      </w:r>
    </w:p>
    <w:p w14:paraId="33E47258" w14:textId="2A04C076" w:rsidR="0006487C" w:rsidRDefault="0006487C" w:rsidP="0006487C">
      <w:pPr>
        <w:pStyle w:val="Body"/>
        <w:spacing w:after="0" w:line="240" w:lineRule="atLeast"/>
        <w:rPr>
          <w:rFonts w:ascii="Arial" w:hAnsi="Arial" w:cs="Arial"/>
          <w:sz w:val="20"/>
          <w:szCs w:val="20"/>
        </w:rPr>
      </w:pPr>
      <w:r>
        <w:rPr>
          <w:rFonts w:ascii="Arial" w:hAnsi="Arial" w:cs="Arial"/>
          <w:sz w:val="20"/>
          <w:szCs w:val="20"/>
        </w:rPr>
        <w:t>B= volume of FAS used in blank (mL)</w:t>
      </w:r>
    </w:p>
    <w:p w14:paraId="2FB719A2" w14:textId="244BD46B" w:rsidR="0006487C" w:rsidRPr="0006487C" w:rsidRDefault="0006487C" w:rsidP="0006487C">
      <w:pPr>
        <w:pStyle w:val="Body"/>
        <w:spacing w:after="0" w:line="240" w:lineRule="atLeast"/>
        <w:rPr>
          <w:rFonts w:ascii="Arial" w:hAnsi="Arial" w:cs="Arial"/>
          <w:sz w:val="20"/>
          <w:szCs w:val="20"/>
        </w:rPr>
      </w:pPr>
      <w:r>
        <w:rPr>
          <w:rFonts w:ascii="Arial" w:hAnsi="Arial" w:cs="Arial"/>
          <w:sz w:val="20"/>
          <w:szCs w:val="20"/>
        </w:rPr>
        <w:t>T= Volume of FAS used in sample (mL)</w:t>
      </w:r>
    </w:p>
    <w:p w14:paraId="487A8285" w14:textId="443A2017" w:rsidR="007734BA" w:rsidRPr="005C3B36" w:rsidRDefault="007734BA" w:rsidP="007734BA">
      <w:pPr>
        <w:pStyle w:val="Body"/>
        <w:numPr>
          <w:ilvl w:val="2"/>
          <w:numId w:val="32"/>
        </w:numPr>
        <w:spacing w:before="240" w:after="0" w:line="240" w:lineRule="atLeast"/>
        <w:ind w:left="0" w:firstLine="0"/>
        <w:rPr>
          <w:rFonts w:ascii="Arial" w:hAnsi="Arial" w:cs="Arial"/>
          <w:sz w:val="20"/>
          <w:szCs w:val="20"/>
        </w:rPr>
      </w:pPr>
      <w:r w:rsidRPr="005C3B36">
        <w:rPr>
          <w:rFonts w:ascii="Arial" w:hAnsi="Arial" w:cs="Arial"/>
          <w:b/>
          <w:bCs/>
          <w:sz w:val="20"/>
          <w:szCs w:val="20"/>
          <w:u w:val="single"/>
          <w:lang w:bidi="ar-SA"/>
        </w:rPr>
        <w:t>pH</w:t>
      </w:r>
      <w:r w:rsidRPr="005C3B36">
        <w:rPr>
          <w:rFonts w:ascii="Arial" w:hAnsi="Arial" w:cs="Arial"/>
          <w:sz w:val="20"/>
          <w:szCs w:val="20"/>
          <w:u w:val="single"/>
          <w:lang w:bidi="ar-SA"/>
        </w:rPr>
        <w:t>:</w:t>
      </w:r>
      <w:r w:rsidRPr="005C3B36">
        <w:rPr>
          <w:rFonts w:ascii="Arial" w:hAnsi="Arial" w:cs="Arial"/>
          <w:sz w:val="20"/>
          <w:szCs w:val="20"/>
          <w:lang w:bidi="ar-SA"/>
        </w:rPr>
        <w:t xml:space="preserve"> Measured using a calibrated digital pH meter (</w:t>
      </w:r>
      <w:proofErr w:type="spellStart"/>
      <w:r w:rsidRPr="005C3B36">
        <w:rPr>
          <w:rFonts w:ascii="Arial" w:hAnsi="Arial" w:cs="Arial"/>
          <w:sz w:val="20"/>
          <w:szCs w:val="20"/>
          <w:lang w:bidi="ar-SA"/>
        </w:rPr>
        <w:t>Systronics</w:t>
      </w:r>
      <w:proofErr w:type="spellEnd"/>
      <w:r w:rsidRPr="005C3B36">
        <w:rPr>
          <w:rFonts w:ascii="Arial" w:hAnsi="Arial" w:cs="Arial"/>
          <w:sz w:val="20"/>
          <w:szCs w:val="20"/>
          <w:lang w:bidi="ar-SA"/>
        </w:rPr>
        <w:t>, Model 372) (1:10 w/v sample to distilled water). pH affects microbial activity in anaerobic digestion and the ideal range for methanogenesis is usually between 6.5 and 7.8.</w:t>
      </w:r>
    </w:p>
    <w:p w14:paraId="1EEE1244" w14:textId="77777777" w:rsidR="007734BA" w:rsidRPr="00502AC9" w:rsidRDefault="007734BA" w:rsidP="007734BA">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Alkalinity</w:t>
      </w:r>
      <w:r w:rsidRPr="005C3B36">
        <w:rPr>
          <w:rFonts w:ascii="Arial" w:hAnsi="Arial" w:cs="Arial"/>
          <w:sz w:val="20"/>
          <w:szCs w:val="20"/>
          <w:lang w:bidi="ar-SA"/>
        </w:rPr>
        <w:t>:</w:t>
      </w:r>
      <w:r w:rsidRPr="005C3B36">
        <w:rPr>
          <w:rFonts w:ascii="Arial" w:hAnsi="Arial" w:cs="Arial"/>
          <w:sz w:val="20"/>
          <w:szCs w:val="20"/>
        </w:rPr>
        <w:t xml:space="preserve"> </w:t>
      </w:r>
      <w:r w:rsidRPr="005C3B36">
        <w:rPr>
          <w:rFonts w:ascii="Arial" w:hAnsi="Arial" w:cs="Arial"/>
          <w:sz w:val="20"/>
          <w:szCs w:val="20"/>
          <w:lang w:bidi="ar-SA"/>
        </w:rPr>
        <w:t>The alkalinity was measured using standard APHA (2022) method. The 5 g of sample was diluted ten times and filtered sample were then titrated with 0.1 sulphuric acid to bring pH of sample to 4.3 as the endpoint.</w:t>
      </w:r>
    </w:p>
    <w:p w14:paraId="32A1C3E7" w14:textId="6524AF1A" w:rsidR="00502AC9" w:rsidRDefault="00502AC9" w:rsidP="00C305D2">
      <w:pPr>
        <w:pStyle w:val="Body"/>
        <w:spacing w:before="240" w:after="0" w:line="240" w:lineRule="atLeast"/>
        <w:jc w:val="center"/>
        <w:rPr>
          <w:rFonts w:ascii="Arial" w:hAnsi="Arial" w:cs="Arial"/>
          <w:lang w:bidi="ar-SA"/>
        </w:rPr>
      </w:pPr>
      <w:r w:rsidRPr="00502AC9">
        <w:rPr>
          <w:rFonts w:ascii="Arial" w:hAnsi="Arial" w:cs="Arial"/>
          <w:sz w:val="20"/>
          <w:szCs w:val="20"/>
          <w:lang w:bidi="ar-SA"/>
        </w:rPr>
        <w:lastRenderedPageBreak/>
        <w:t xml:space="preserve">Total Alkalinity= </w:t>
      </w:r>
      <m:oMath>
        <m:f>
          <m:fPr>
            <m:ctrlPr>
              <w:rPr>
                <w:rFonts w:ascii="Cambria Math" w:hAnsi="Cambria Math" w:cs="Arial"/>
                <w:i/>
                <w:lang w:bidi="ar-SA"/>
              </w:rPr>
            </m:ctrlPr>
          </m:fPr>
          <m:num>
            <m:r>
              <w:rPr>
                <w:rFonts w:ascii="Cambria Math" w:hAnsi="Cambria Math" w:cs="Arial"/>
                <w:lang w:bidi="ar-SA"/>
              </w:rPr>
              <m:t>50000×A×N×Dilution Factor</m:t>
            </m:r>
          </m:num>
          <m:den>
            <m:r>
              <w:rPr>
                <w:rFonts w:ascii="Cambria Math" w:hAnsi="Cambria Math" w:cs="Arial"/>
                <w:lang w:bidi="ar-SA"/>
              </w:rPr>
              <m:t>V</m:t>
            </m:r>
          </m:den>
        </m:f>
      </m:oMath>
    </w:p>
    <w:p w14:paraId="39FFFE5F" w14:textId="721D0E2C" w:rsidR="00C305D2" w:rsidRDefault="00DD0469" w:rsidP="00C305D2">
      <w:pPr>
        <w:pStyle w:val="Body"/>
        <w:spacing w:after="0" w:line="240" w:lineRule="atLeast"/>
        <w:rPr>
          <w:rFonts w:ascii="Arial" w:hAnsi="Arial" w:cs="Arial"/>
          <w:sz w:val="20"/>
          <w:szCs w:val="20"/>
        </w:rPr>
      </w:pPr>
      <w:r>
        <w:rPr>
          <w:rFonts w:ascii="Arial" w:hAnsi="Arial" w:cs="Arial"/>
          <w:sz w:val="20"/>
          <w:szCs w:val="20"/>
        </w:rPr>
        <w:t>W</w:t>
      </w:r>
      <w:r w:rsidR="00C305D2">
        <w:rPr>
          <w:rFonts w:ascii="Arial" w:hAnsi="Arial" w:cs="Arial"/>
          <w:sz w:val="20"/>
          <w:szCs w:val="20"/>
        </w:rPr>
        <w:t xml:space="preserve">here, </w:t>
      </w:r>
    </w:p>
    <w:p w14:paraId="0B7D1634" w14:textId="394F8076" w:rsidR="00C305D2" w:rsidRDefault="00C305D2" w:rsidP="00C305D2">
      <w:pPr>
        <w:pStyle w:val="Body"/>
        <w:spacing w:after="0" w:line="240" w:lineRule="atLeast"/>
        <w:rPr>
          <w:rFonts w:ascii="Arial" w:hAnsi="Arial" w:cs="Arial"/>
          <w:sz w:val="20"/>
          <w:szCs w:val="20"/>
        </w:rPr>
      </w:pPr>
      <w:r>
        <w:rPr>
          <w:rFonts w:ascii="Arial" w:hAnsi="Arial" w:cs="Arial"/>
          <w:sz w:val="20"/>
          <w:szCs w:val="20"/>
        </w:rPr>
        <w:t>A= Volume of standard acid used</w:t>
      </w:r>
    </w:p>
    <w:p w14:paraId="328B4B1D" w14:textId="083ED868" w:rsidR="00C305D2" w:rsidRDefault="00C305D2" w:rsidP="00C305D2">
      <w:pPr>
        <w:pStyle w:val="Body"/>
        <w:spacing w:after="0" w:line="240" w:lineRule="atLeast"/>
        <w:rPr>
          <w:rFonts w:ascii="Arial" w:hAnsi="Arial" w:cs="Arial"/>
          <w:sz w:val="20"/>
          <w:szCs w:val="20"/>
        </w:rPr>
      </w:pPr>
      <w:r>
        <w:rPr>
          <w:rFonts w:ascii="Arial" w:hAnsi="Arial" w:cs="Arial"/>
          <w:sz w:val="20"/>
          <w:szCs w:val="20"/>
        </w:rPr>
        <w:t>N= Normality of acid used</w:t>
      </w:r>
    </w:p>
    <w:p w14:paraId="7061BFB4" w14:textId="282B2CAE" w:rsidR="00C305D2" w:rsidRPr="00502AC9" w:rsidRDefault="00C305D2" w:rsidP="00C305D2">
      <w:pPr>
        <w:pStyle w:val="Body"/>
        <w:spacing w:after="0" w:line="240" w:lineRule="atLeast"/>
        <w:rPr>
          <w:rFonts w:ascii="Arial" w:hAnsi="Arial" w:cs="Arial"/>
          <w:sz w:val="20"/>
          <w:szCs w:val="20"/>
        </w:rPr>
      </w:pPr>
      <w:r>
        <w:rPr>
          <w:rFonts w:ascii="Arial" w:hAnsi="Arial" w:cs="Arial"/>
          <w:sz w:val="20"/>
          <w:szCs w:val="20"/>
        </w:rPr>
        <w:t>V=Volume of sample (mL)</w:t>
      </w:r>
    </w:p>
    <w:p w14:paraId="2E3F8E66" w14:textId="77777777" w:rsidR="007734BA" w:rsidRPr="005C3B36" w:rsidRDefault="007734BA" w:rsidP="007734BA">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BOD</w:t>
      </w:r>
      <w:r w:rsidRPr="005C3B36">
        <w:rPr>
          <w:rFonts w:ascii="Arial" w:hAnsi="Arial" w:cs="Arial"/>
          <w:sz w:val="20"/>
          <w:szCs w:val="20"/>
          <w:lang w:bidi="ar-SA"/>
        </w:rPr>
        <w:t>: BOD was measured via 5-day incubation method (APHA, 2022). Sample was diluted (1:50 v/v sample to distilled water) and DO was measured initially using Winkler method (D</w:t>
      </w:r>
      <w:r w:rsidRPr="005C3B36">
        <w:rPr>
          <w:rFonts w:ascii="Arial" w:hAnsi="Arial" w:cs="Arial"/>
          <w:sz w:val="20"/>
          <w:szCs w:val="20"/>
          <w:vertAlign w:val="subscript"/>
          <w:lang w:bidi="ar-SA"/>
        </w:rPr>
        <w:t>0</w:t>
      </w:r>
      <w:r w:rsidRPr="005C3B36">
        <w:rPr>
          <w:rFonts w:ascii="Arial" w:hAnsi="Arial" w:cs="Arial"/>
          <w:sz w:val="20"/>
          <w:szCs w:val="20"/>
          <w:lang w:bidi="ar-SA"/>
        </w:rPr>
        <w:t>). Also, same sample was incubated in BOD bottles at 20°C for five days (D</w:t>
      </w:r>
      <w:r w:rsidRPr="005C3B36">
        <w:rPr>
          <w:rFonts w:ascii="Arial" w:hAnsi="Arial" w:cs="Arial"/>
          <w:sz w:val="20"/>
          <w:szCs w:val="20"/>
          <w:vertAlign w:val="subscript"/>
          <w:lang w:bidi="ar-SA"/>
        </w:rPr>
        <w:t>5</w:t>
      </w:r>
      <w:r w:rsidRPr="005C3B36">
        <w:rPr>
          <w:rFonts w:ascii="Arial" w:hAnsi="Arial" w:cs="Arial"/>
          <w:sz w:val="20"/>
          <w:szCs w:val="20"/>
          <w:lang w:bidi="ar-SA"/>
        </w:rPr>
        <w:t>) after which DO was measured again. Following formula was used to calculate BOD:</w:t>
      </w:r>
      <w:r w:rsidRPr="005C3B36">
        <w:rPr>
          <w:rFonts w:ascii="Arial" w:hAnsi="Arial" w:cs="Arial"/>
          <w:sz w:val="20"/>
          <w:szCs w:val="20"/>
        </w:rPr>
        <w:t xml:space="preserve"> </w:t>
      </w:r>
    </w:p>
    <w:p w14:paraId="5746B4C6" w14:textId="77777777" w:rsidR="007734BA" w:rsidRPr="005C3B36" w:rsidRDefault="007734BA" w:rsidP="007734BA">
      <w:pPr>
        <w:pStyle w:val="Body"/>
        <w:spacing w:before="240" w:line="240" w:lineRule="atLeast"/>
        <w:jc w:val="center"/>
        <w:rPr>
          <w:rFonts w:ascii="Arial" w:hAnsi="Arial" w:cs="Arial"/>
          <w:sz w:val="20"/>
          <w:szCs w:val="20"/>
        </w:rPr>
      </w:pPr>
      <w:r w:rsidRPr="005C3B36">
        <w:rPr>
          <w:rFonts w:ascii="Arial" w:hAnsi="Arial" w:cs="Arial"/>
          <w:sz w:val="20"/>
          <w:szCs w:val="20"/>
        </w:rPr>
        <w:t>BOD (mgL</w:t>
      </w:r>
      <w:r w:rsidRPr="005C3B36">
        <w:rPr>
          <w:rFonts w:ascii="Arial" w:hAnsi="Arial" w:cs="Arial"/>
          <w:sz w:val="20"/>
          <w:szCs w:val="20"/>
          <w:vertAlign w:val="superscript"/>
        </w:rPr>
        <w:t>-</w:t>
      </w:r>
      <w:proofErr w:type="gramStart"/>
      <w:r w:rsidRPr="005C3B36">
        <w:rPr>
          <w:rFonts w:ascii="Arial" w:hAnsi="Arial" w:cs="Arial"/>
          <w:sz w:val="20"/>
          <w:szCs w:val="20"/>
          <w:vertAlign w:val="superscript"/>
        </w:rPr>
        <w:t>1</w:t>
      </w:r>
      <w:r w:rsidRPr="005C3B36">
        <w:rPr>
          <w:rFonts w:ascii="Arial" w:hAnsi="Arial" w:cs="Arial"/>
          <w:sz w:val="20"/>
          <w:szCs w:val="20"/>
        </w:rPr>
        <w:t>)=</w:t>
      </w:r>
      <w:proofErr w:type="gramEnd"/>
      <w:r w:rsidRPr="005C3B36">
        <w:rPr>
          <w:rFonts w:ascii="Arial" w:hAnsi="Arial" w:cs="Arial"/>
          <w:sz w:val="20"/>
          <w:szCs w:val="20"/>
        </w:rPr>
        <w:t xml:space="preserve"> (D</w:t>
      </w:r>
      <w:r w:rsidRPr="005C3B36">
        <w:rPr>
          <w:rFonts w:ascii="Arial" w:hAnsi="Arial" w:cs="Arial"/>
          <w:sz w:val="20"/>
          <w:szCs w:val="20"/>
          <w:vertAlign w:val="subscript"/>
        </w:rPr>
        <w:t>0</w:t>
      </w:r>
      <w:r w:rsidRPr="005C3B36">
        <w:rPr>
          <w:rFonts w:ascii="Arial" w:hAnsi="Arial" w:cs="Arial"/>
          <w:sz w:val="20"/>
          <w:szCs w:val="20"/>
        </w:rPr>
        <w:t>-D</w:t>
      </w:r>
      <w:r w:rsidRPr="005C3B36">
        <w:rPr>
          <w:rFonts w:ascii="Arial" w:hAnsi="Arial" w:cs="Arial"/>
          <w:sz w:val="20"/>
          <w:szCs w:val="20"/>
          <w:vertAlign w:val="subscript"/>
        </w:rPr>
        <w:t>5</w:t>
      </w:r>
      <w:r w:rsidRPr="005C3B36">
        <w:rPr>
          <w:rFonts w:ascii="Arial" w:hAnsi="Arial" w:cs="Arial"/>
          <w:sz w:val="20"/>
          <w:szCs w:val="20"/>
        </w:rPr>
        <w:t>)×Dilution factor</w:t>
      </w:r>
    </w:p>
    <w:p w14:paraId="4E91E1FA" w14:textId="77777777" w:rsidR="007734BA" w:rsidRPr="005C3B36" w:rsidRDefault="007734BA" w:rsidP="007734BA">
      <w:pPr>
        <w:pStyle w:val="Body"/>
        <w:numPr>
          <w:ilvl w:val="2"/>
          <w:numId w:val="32"/>
        </w:numPr>
        <w:spacing w:before="240" w:line="240" w:lineRule="atLeast"/>
        <w:ind w:left="0" w:firstLine="0"/>
        <w:rPr>
          <w:rFonts w:ascii="Arial" w:hAnsi="Arial" w:cs="Arial"/>
          <w:sz w:val="20"/>
          <w:szCs w:val="20"/>
        </w:rPr>
      </w:pPr>
      <w:r w:rsidRPr="005C3B36">
        <w:rPr>
          <w:rFonts w:ascii="Arial" w:hAnsi="Arial" w:cs="Arial"/>
          <w:b/>
          <w:bCs/>
          <w:sz w:val="20"/>
          <w:szCs w:val="20"/>
          <w:u w:val="single"/>
        </w:rPr>
        <w:t>COD</w:t>
      </w:r>
      <w:r w:rsidRPr="005C3B36">
        <w:rPr>
          <w:rFonts w:ascii="Arial" w:hAnsi="Arial" w:cs="Arial"/>
          <w:sz w:val="20"/>
          <w:szCs w:val="20"/>
        </w:rPr>
        <w:t xml:space="preserve">: COD was measured using closed reflux titrimetric method (APHA, 2022). Potassium dichromate and concentrated sulphuric acid were used to digest the samples in sealed tubes at high temperatures. Using ferroin indicator, the remaining dichromate was titrated against ferrous ammonium sulphate. </w:t>
      </w:r>
    </w:p>
    <w:p w14:paraId="4D9709B0" w14:textId="29F1D345" w:rsidR="007734BA" w:rsidRPr="005C3B36" w:rsidRDefault="007734BA" w:rsidP="007734BA">
      <w:pPr>
        <w:pStyle w:val="Body"/>
        <w:spacing w:before="240" w:line="240" w:lineRule="atLeast"/>
        <w:jc w:val="center"/>
        <w:rPr>
          <w:rFonts w:ascii="Arial" w:hAnsi="Arial" w:cs="Arial"/>
          <w:sz w:val="20"/>
          <w:szCs w:val="20"/>
        </w:rPr>
      </w:pPr>
      <w:r w:rsidRPr="005C3B36">
        <w:rPr>
          <w:rFonts w:ascii="Arial" w:hAnsi="Arial" w:cs="Arial"/>
          <w:sz w:val="20"/>
          <w:szCs w:val="20"/>
        </w:rPr>
        <w:t>COD (mgL</w:t>
      </w:r>
      <w:r w:rsidRPr="005C3B36">
        <w:rPr>
          <w:rFonts w:ascii="Arial" w:hAnsi="Arial" w:cs="Arial"/>
          <w:sz w:val="20"/>
          <w:szCs w:val="20"/>
          <w:vertAlign w:val="superscript"/>
        </w:rPr>
        <w:t>-</w:t>
      </w:r>
      <w:proofErr w:type="gramStart"/>
      <w:r w:rsidRPr="005C3B36">
        <w:rPr>
          <w:rFonts w:ascii="Arial" w:hAnsi="Arial" w:cs="Arial"/>
          <w:sz w:val="20"/>
          <w:szCs w:val="20"/>
          <w:vertAlign w:val="superscript"/>
        </w:rPr>
        <w:t>1</w:t>
      </w:r>
      <w:r w:rsidRPr="005C3B36">
        <w:rPr>
          <w:rFonts w:ascii="Arial" w:hAnsi="Arial" w:cs="Arial"/>
          <w:sz w:val="20"/>
          <w:szCs w:val="20"/>
        </w:rPr>
        <w:t>)=</w:t>
      </w:r>
      <w:proofErr w:type="gramEnd"/>
      <w:r w:rsidRPr="005C3B36">
        <w:rPr>
          <w:rFonts w:ascii="Arial" w:hAnsi="Arial" w:cs="Arial"/>
          <w:sz w:val="20"/>
          <w:szCs w:val="20"/>
        </w:rPr>
        <w:t xml:space="preserve"> </w:t>
      </w:r>
      <m:oMath>
        <m:f>
          <m:fPr>
            <m:ctrlPr>
              <w:rPr>
                <w:rFonts w:ascii="Cambria Math" w:hAnsi="Cambria Math" w:cs="Arial"/>
                <w:i/>
                <w:sz w:val="22"/>
                <w:szCs w:val="22"/>
              </w:rPr>
            </m:ctrlPr>
          </m:fPr>
          <m:num>
            <m:r>
              <m:rPr>
                <m:sty m:val="p"/>
              </m:rPr>
              <w:rPr>
                <w:rFonts w:ascii="Cambria Math" w:hAnsi="Cambria Math" w:cs="Arial"/>
                <w:sz w:val="22"/>
                <w:szCs w:val="22"/>
              </w:rPr>
              <m:t>(b-a)×N ×1000×8×Dilution factor</m:t>
            </m:r>
          </m:num>
          <m:den>
            <m:r>
              <m:rPr>
                <m:sty m:val="p"/>
              </m:rPr>
              <w:rPr>
                <w:rFonts w:ascii="Cambria Math" w:hAnsi="Cambria Math" w:cs="Arial"/>
                <w:sz w:val="22"/>
                <w:szCs w:val="22"/>
              </w:rPr>
              <m:t>mL of sample</m:t>
            </m:r>
          </m:den>
        </m:f>
      </m:oMath>
    </w:p>
    <w:p w14:paraId="66533F50" w14:textId="5862AF99" w:rsidR="00DD0469" w:rsidRDefault="00DD0469" w:rsidP="00DD0469">
      <w:pPr>
        <w:pStyle w:val="Body"/>
        <w:spacing w:after="0" w:line="240" w:lineRule="atLeast"/>
        <w:jc w:val="left"/>
        <w:rPr>
          <w:rFonts w:ascii="Arial" w:hAnsi="Arial" w:cs="Arial"/>
          <w:sz w:val="20"/>
          <w:szCs w:val="20"/>
        </w:rPr>
      </w:pPr>
      <w:r>
        <w:rPr>
          <w:rFonts w:ascii="Arial" w:hAnsi="Arial" w:cs="Arial"/>
          <w:sz w:val="20"/>
          <w:szCs w:val="20"/>
        </w:rPr>
        <w:t>Where,</w:t>
      </w:r>
    </w:p>
    <w:p w14:paraId="365B84EC" w14:textId="644F1816" w:rsidR="007734BA" w:rsidRPr="005C3B36" w:rsidRDefault="007734BA" w:rsidP="00DD0469">
      <w:pPr>
        <w:pStyle w:val="Body"/>
        <w:spacing w:after="0" w:line="240" w:lineRule="atLeast"/>
        <w:jc w:val="left"/>
        <w:rPr>
          <w:rFonts w:ascii="Arial" w:hAnsi="Arial" w:cs="Arial"/>
          <w:sz w:val="20"/>
          <w:szCs w:val="20"/>
        </w:rPr>
      </w:pPr>
      <w:r w:rsidRPr="005C3B36">
        <w:rPr>
          <w:rFonts w:ascii="Arial" w:hAnsi="Arial" w:cs="Arial"/>
          <w:sz w:val="20"/>
          <w:szCs w:val="20"/>
        </w:rPr>
        <w:t xml:space="preserve">b= FAS used in blank </w:t>
      </w:r>
      <w:r w:rsidR="00124A1A">
        <w:rPr>
          <w:rFonts w:ascii="Arial" w:hAnsi="Arial" w:cs="Arial"/>
          <w:sz w:val="20"/>
          <w:szCs w:val="20"/>
        </w:rPr>
        <w:t>(mL)</w:t>
      </w:r>
    </w:p>
    <w:p w14:paraId="70071F5C" w14:textId="47743A84" w:rsidR="007734BA" w:rsidRPr="005C3B36" w:rsidRDefault="007734BA" w:rsidP="00DD0469">
      <w:pPr>
        <w:pStyle w:val="Body"/>
        <w:spacing w:after="0" w:line="240" w:lineRule="atLeast"/>
        <w:jc w:val="left"/>
        <w:rPr>
          <w:rFonts w:ascii="Arial" w:hAnsi="Arial" w:cs="Arial"/>
          <w:sz w:val="20"/>
          <w:szCs w:val="20"/>
        </w:rPr>
      </w:pPr>
      <w:r w:rsidRPr="005C3B36">
        <w:rPr>
          <w:rFonts w:ascii="Arial" w:hAnsi="Arial" w:cs="Arial"/>
          <w:sz w:val="20"/>
          <w:szCs w:val="20"/>
        </w:rPr>
        <w:t>a= FAS used in treatment sample</w:t>
      </w:r>
      <w:r w:rsidR="00124A1A">
        <w:rPr>
          <w:rFonts w:ascii="Arial" w:hAnsi="Arial" w:cs="Arial"/>
          <w:sz w:val="20"/>
          <w:szCs w:val="20"/>
        </w:rPr>
        <w:t xml:space="preserve"> (mL)</w:t>
      </w:r>
    </w:p>
    <w:p w14:paraId="5C4AED27" w14:textId="77777777" w:rsidR="007734BA" w:rsidRPr="005C3B36" w:rsidRDefault="007734BA" w:rsidP="00DD0469">
      <w:pPr>
        <w:pStyle w:val="Body"/>
        <w:spacing w:line="240" w:lineRule="atLeast"/>
        <w:jc w:val="left"/>
        <w:rPr>
          <w:rFonts w:ascii="Arial" w:hAnsi="Arial" w:cs="Arial"/>
          <w:sz w:val="20"/>
          <w:szCs w:val="20"/>
          <w:vertAlign w:val="subscript"/>
        </w:rPr>
      </w:pPr>
      <w:r w:rsidRPr="005C3B36">
        <w:rPr>
          <w:rFonts w:ascii="Arial" w:hAnsi="Arial" w:cs="Arial"/>
          <w:sz w:val="20"/>
          <w:szCs w:val="20"/>
        </w:rPr>
        <w:t>N= Normality of K</w:t>
      </w:r>
      <w:r w:rsidRPr="005C3B36">
        <w:rPr>
          <w:rFonts w:ascii="Arial" w:hAnsi="Arial" w:cs="Arial"/>
          <w:sz w:val="20"/>
          <w:szCs w:val="20"/>
          <w:vertAlign w:val="subscript"/>
        </w:rPr>
        <w:t>2</w:t>
      </w:r>
      <w:r w:rsidRPr="005C3B36">
        <w:rPr>
          <w:rFonts w:ascii="Arial" w:hAnsi="Arial" w:cs="Arial"/>
          <w:sz w:val="20"/>
          <w:szCs w:val="20"/>
        </w:rPr>
        <w:t>Cr</w:t>
      </w:r>
      <w:r w:rsidRPr="005C3B36">
        <w:rPr>
          <w:rFonts w:ascii="Arial" w:hAnsi="Arial" w:cs="Arial"/>
          <w:sz w:val="20"/>
          <w:szCs w:val="20"/>
          <w:vertAlign w:val="subscript"/>
        </w:rPr>
        <w:t>2</w:t>
      </w:r>
      <w:r w:rsidRPr="005C3B36">
        <w:rPr>
          <w:rFonts w:ascii="Arial" w:hAnsi="Arial" w:cs="Arial"/>
          <w:sz w:val="20"/>
          <w:szCs w:val="20"/>
        </w:rPr>
        <w:t>O</w:t>
      </w:r>
      <w:r w:rsidRPr="005C3B36">
        <w:rPr>
          <w:rFonts w:ascii="Arial" w:hAnsi="Arial" w:cs="Arial"/>
          <w:sz w:val="20"/>
          <w:szCs w:val="20"/>
          <w:vertAlign w:val="subscript"/>
        </w:rPr>
        <w:t>7</w:t>
      </w:r>
    </w:p>
    <w:p w14:paraId="2C76C16F" w14:textId="5BF5E1CF" w:rsidR="00FB0998" w:rsidRPr="007734BA" w:rsidRDefault="00FB0998" w:rsidP="007734BA">
      <w:pPr>
        <w:pStyle w:val="Body"/>
        <w:numPr>
          <w:ilvl w:val="2"/>
          <w:numId w:val="32"/>
        </w:numPr>
        <w:spacing w:before="240" w:line="240" w:lineRule="atLeast"/>
        <w:ind w:left="0" w:firstLine="0"/>
        <w:rPr>
          <w:rFonts w:ascii="Arial" w:hAnsi="Arial" w:cs="Arial"/>
          <w:sz w:val="20"/>
          <w:szCs w:val="20"/>
        </w:rPr>
      </w:pPr>
      <w:r w:rsidRPr="007734BA">
        <w:rPr>
          <w:rFonts w:ascii="Arial" w:hAnsi="Arial" w:cs="Arial"/>
          <w:b/>
          <w:bCs/>
          <w:sz w:val="20"/>
          <w:szCs w:val="20"/>
          <w:u w:val="single"/>
          <w:lang w:bidi="ar-SA"/>
        </w:rPr>
        <w:t>Total Solids (TS) and Volatile Solids (VS)</w:t>
      </w:r>
      <w:r w:rsidR="004618DA" w:rsidRPr="007734BA">
        <w:rPr>
          <w:rFonts w:ascii="Arial" w:hAnsi="Arial" w:cs="Arial"/>
          <w:sz w:val="20"/>
          <w:szCs w:val="20"/>
        </w:rPr>
        <w:t xml:space="preserve">: </w:t>
      </w:r>
      <w:r w:rsidRPr="007734BA">
        <w:rPr>
          <w:rFonts w:ascii="Arial" w:hAnsi="Arial" w:cs="Arial"/>
          <w:sz w:val="20"/>
          <w:szCs w:val="20"/>
          <w:lang w:bidi="ar-SA"/>
        </w:rPr>
        <w:t xml:space="preserve">The TS and VS were </w:t>
      </w:r>
      <w:proofErr w:type="spellStart"/>
      <w:r w:rsidRPr="007734BA">
        <w:rPr>
          <w:rFonts w:ascii="Arial" w:hAnsi="Arial" w:cs="Arial"/>
          <w:sz w:val="20"/>
          <w:szCs w:val="20"/>
          <w:lang w:bidi="ar-SA"/>
        </w:rPr>
        <w:t>analyzed</w:t>
      </w:r>
      <w:proofErr w:type="spellEnd"/>
      <w:r w:rsidRPr="007734BA">
        <w:rPr>
          <w:rFonts w:ascii="Arial" w:hAnsi="Arial" w:cs="Arial"/>
          <w:sz w:val="20"/>
          <w:szCs w:val="20"/>
          <w:lang w:bidi="ar-SA"/>
        </w:rPr>
        <w:t xml:space="preserve"> using the Standard Methods (APHA, 2022). To assess the TS content</w:t>
      </w:r>
      <w:r w:rsidR="00502AC9">
        <w:rPr>
          <w:rFonts w:ascii="Arial" w:hAnsi="Arial" w:cs="Arial"/>
          <w:sz w:val="20"/>
          <w:szCs w:val="20"/>
          <w:lang w:bidi="ar-SA"/>
        </w:rPr>
        <w:t>,</w:t>
      </w:r>
      <w:r w:rsidRPr="007734BA">
        <w:rPr>
          <w:rFonts w:ascii="Arial" w:hAnsi="Arial" w:cs="Arial"/>
          <w:sz w:val="20"/>
          <w:szCs w:val="20"/>
          <w:lang w:bidi="ar-SA"/>
        </w:rPr>
        <w:t xml:space="preserve"> sample was dried in an oven at 105°C for 24 hours. Afterward, the dried residue was combusted in a muffle furnace at 550°C for 4 hours to ascertain the VS.</w:t>
      </w:r>
    </w:p>
    <w:p w14:paraId="509047F4" w14:textId="77777777" w:rsidR="00490749" w:rsidRPr="005C3B36" w:rsidRDefault="00490749" w:rsidP="00490749">
      <w:pPr>
        <w:pStyle w:val="Body"/>
        <w:spacing w:after="0" w:line="240" w:lineRule="atLeast"/>
        <w:jc w:val="center"/>
        <w:rPr>
          <w:rFonts w:ascii="Arial" w:hAnsi="Arial" w:cs="Arial"/>
          <w:lang w:bidi="ar-SA"/>
        </w:rPr>
      </w:pPr>
      <w:r w:rsidRPr="005C3B36">
        <w:rPr>
          <w:rFonts w:ascii="Arial" w:hAnsi="Arial" w:cs="Arial"/>
          <w:lang w:bidi="ar-SA"/>
        </w:rPr>
        <w:t xml:space="preserve">TS%= </w:t>
      </w:r>
      <m:oMath>
        <m:f>
          <m:fPr>
            <m:ctrlPr>
              <w:rPr>
                <w:rFonts w:ascii="Cambria Math" w:hAnsi="Cambria Math" w:cs="Arial"/>
                <w:i/>
                <w:lang w:bidi="ar-SA"/>
              </w:rPr>
            </m:ctrlPr>
          </m:fPr>
          <m:num>
            <m:r>
              <w:rPr>
                <w:rFonts w:ascii="Cambria Math" w:hAnsi="Cambria Math" w:cs="Arial"/>
              </w:rPr>
              <m:t xml:space="preserve">Dry Weight </m:t>
            </m:r>
          </m:num>
          <m:den>
            <m:r>
              <w:rPr>
                <w:rFonts w:ascii="Cambria Math" w:hAnsi="Cambria Math" w:cs="Arial"/>
              </w:rPr>
              <m:t>Wet Weight</m:t>
            </m:r>
          </m:den>
        </m:f>
      </m:oMath>
      <w:r w:rsidRPr="005C3B36">
        <w:rPr>
          <w:rFonts w:ascii="Arial" w:hAnsi="Arial" w:cs="Arial"/>
          <w:lang w:bidi="ar-SA"/>
        </w:rPr>
        <w:t>×100</w:t>
      </w:r>
    </w:p>
    <w:p w14:paraId="4A252A17" w14:textId="77777777" w:rsidR="00490749" w:rsidRPr="005C3B36" w:rsidRDefault="00490749" w:rsidP="005200AC">
      <w:pPr>
        <w:pStyle w:val="Body"/>
        <w:spacing w:before="240" w:line="240" w:lineRule="atLeast"/>
        <w:jc w:val="center"/>
        <w:rPr>
          <w:rFonts w:ascii="Arial" w:hAnsi="Arial" w:cs="Arial"/>
          <w:lang w:bidi="ar-SA"/>
        </w:rPr>
      </w:pPr>
      <w:r w:rsidRPr="005C3B36">
        <w:rPr>
          <w:rFonts w:ascii="Arial" w:hAnsi="Arial" w:cs="Arial"/>
          <w:lang w:bidi="ar-SA"/>
        </w:rPr>
        <w:t xml:space="preserve">VS%= </w:t>
      </w:r>
      <m:oMath>
        <m:f>
          <m:fPr>
            <m:ctrlPr>
              <w:rPr>
                <w:rFonts w:ascii="Cambria Math" w:hAnsi="Cambria Math" w:cs="Arial"/>
                <w:i/>
                <w:lang w:bidi="ar-SA"/>
              </w:rPr>
            </m:ctrlPr>
          </m:fPr>
          <m:num>
            <m:r>
              <w:rPr>
                <w:rFonts w:ascii="Cambria Math" w:hAnsi="Cambria Math" w:cs="Arial"/>
              </w:rPr>
              <m:t>Weight loss at 550°C</m:t>
            </m:r>
          </m:num>
          <m:den>
            <m:r>
              <w:rPr>
                <w:rFonts w:ascii="Cambria Math" w:hAnsi="Cambria Math" w:cs="Arial"/>
              </w:rPr>
              <m:t>Dry Weight</m:t>
            </m:r>
          </m:den>
        </m:f>
      </m:oMath>
      <w:r w:rsidRPr="005C3B36">
        <w:rPr>
          <w:rFonts w:ascii="Arial" w:hAnsi="Arial" w:cs="Arial"/>
          <w:lang w:bidi="ar-SA"/>
        </w:rPr>
        <w:t>×100</w:t>
      </w:r>
    </w:p>
    <w:p w14:paraId="1FA0220B" w14:textId="6ED0F3B6" w:rsidR="00490749" w:rsidRPr="005C3B36" w:rsidRDefault="00490749" w:rsidP="00490749">
      <w:pPr>
        <w:pStyle w:val="Body"/>
        <w:spacing w:line="240" w:lineRule="atLeast"/>
        <w:rPr>
          <w:rFonts w:ascii="Arial" w:hAnsi="Arial" w:cs="Arial"/>
          <w:sz w:val="20"/>
          <w:szCs w:val="20"/>
        </w:rPr>
      </w:pPr>
      <w:r w:rsidRPr="005C3B36">
        <w:rPr>
          <w:rFonts w:ascii="Arial" w:hAnsi="Arial" w:cs="Arial"/>
          <w:sz w:val="20"/>
          <w:szCs w:val="20"/>
          <w:lang w:bidi="ar-SA"/>
        </w:rPr>
        <w:t>These values are crucial indicators of the biodegradability of substrate and methane-producing capacity since they display both the total and organic components of the sample.</w:t>
      </w:r>
    </w:p>
    <w:p w14:paraId="54F686E6" w14:textId="25D5B52F" w:rsidR="00790ADA" w:rsidRPr="005C3B36" w:rsidRDefault="00FB0998" w:rsidP="0098324B">
      <w:pPr>
        <w:pStyle w:val="Body"/>
        <w:numPr>
          <w:ilvl w:val="1"/>
          <w:numId w:val="32"/>
        </w:numPr>
        <w:spacing w:before="240" w:line="240" w:lineRule="atLeast"/>
        <w:rPr>
          <w:rFonts w:ascii="Arial" w:hAnsi="Arial" w:cs="Arial"/>
          <w:sz w:val="22"/>
          <w:szCs w:val="22"/>
          <w:u w:val="single"/>
        </w:rPr>
      </w:pPr>
      <w:r w:rsidRPr="007734BA">
        <w:rPr>
          <w:rFonts w:ascii="Arial" w:hAnsi="Arial" w:cs="Arial"/>
          <w:b/>
          <w:bCs/>
          <w:sz w:val="22"/>
          <w:szCs w:val="22"/>
          <w:lang w:bidi="ar-SA"/>
        </w:rPr>
        <w:t xml:space="preserve">Statistical </w:t>
      </w:r>
      <w:proofErr w:type="gramStart"/>
      <w:r w:rsidRPr="007734BA">
        <w:rPr>
          <w:rFonts w:ascii="Arial" w:hAnsi="Arial" w:cs="Arial"/>
          <w:b/>
          <w:bCs/>
          <w:sz w:val="22"/>
          <w:szCs w:val="22"/>
          <w:lang w:bidi="ar-SA"/>
        </w:rPr>
        <w:t>Analysis :</w:t>
      </w:r>
      <w:proofErr w:type="gramEnd"/>
      <w:r w:rsidRPr="007734BA">
        <w:rPr>
          <w:rFonts w:ascii="Arial" w:hAnsi="Arial" w:cs="Arial"/>
          <w:b/>
          <w:bCs/>
          <w:sz w:val="22"/>
          <w:szCs w:val="22"/>
          <w:lang w:bidi="ar-SA"/>
        </w:rPr>
        <w:t xml:space="preserve"> </w:t>
      </w:r>
      <w:r w:rsidRPr="007734BA">
        <w:rPr>
          <w:rFonts w:ascii="Arial" w:hAnsi="Arial" w:cs="Arial"/>
          <w:sz w:val="22"/>
          <w:szCs w:val="22"/>
          <w:lang w:bidi="ar-SA"/>
        </w:rPr>
        <w:t>One-way ANOVA and Tukey b test (</w:t>
      </w:r>
      <w:r w:rsidR="00D97D5A">
        <w:rPr>
          <w:rFonts w:ascii="Arial" w:hAnsi="Arial" w:cs="Arial"/>
          <w:sz w:val="22"/>
          <w:szCs w:val="22"/>
          <w:lang w:bidi="ar-SA"/>
        </w:rPr>
        <w:t>P≤</w:t>
      </w:r>
      <w:r w:rsidRPr="007734BA">
        <w:rPr>
          <w:rFonts w:ascii="Arial" w:hAnsi="Arial" w:cs="Arial"/>
          <w:sz w:val="22"/>
          <w:szCs w:val="22"/>
          <w:lang w:bidi="ar-SA"/>
        </w:rPr>
        <w:t xml:space="preserve">0.05) were used to analyse the data and identify significant differences between treatments using IBM SPSS </w:t>
      </w:r>
      <w:r w:rsidRPr="00AD5384">
        <w:rPr>
          <w:rFonts w:ascii="Arial" w:hAnsi="Arial" w:cs="Arial"/>
          <w:sz w:val="22"/>
          <w:szCs w:val="22"/>
          <w:lang w:bidi="ar-SA"/>
        </w:rPr>
        <w:t>Statistics 22</w:t>
      </w:r>
      <w:r w:rsidR="00AD5384" w:rsidRPr="00AD5384">
        <w:rPr>
          <w:rFonts w:ascii="Arial" w:hAnsi="Arial" w:cs="Arial"/>
          <w:sz w:val="22"/>
          <w:szCs w:val="22"/>
          <w:lang w:bidi="ar-SA"/>
        </w:rPr>
        <w:t xml:space="preserve"> and Origin 2025 software</w:t>
      </w:r>
      <w:r w:rsidR="00AD5384">
        <w:rPr>
          <w:rFonts w:ascii="Arial" w:hAnsi="Arial" w:cs="Arial"/>
          <w:sz w:val="22"/>
          <w:szCs w:val="22"/>
          <w:lang w:bidi="ar-SA"/>
        </w:rPr>
        <w:t xml:space="preserve"> was used to plot the graphs</w:t>
      </w:r>
      <w:r w:rsidR="00AD5384" w:rsidRPr="00AD5384">
        <w:rPr>
          <w:rFonts w:ascii="Arial" w:hAnsi="Arial" w:cs="Arial"/>
          <w:sz w:val="22"/>
          <w:szCs w:val="22"/>
          <w:lang w:bidi="ar-SA"/>
        </w:rPr>
        <w:t>.</w:t>
      </w:r>
    </w:p>
    <w:p w14:paraId="32C10C80" w14:textId="377F55C5" w:rsidR="00790ADA" w:rsidRPr="005C3B36" w:rsidRDefault="00016491" w:rsidP="00441B6F">
      <w:pPr>
        <w:pStyle w:val="Head1"/>
        <w:spacing w:after="0"/>
        <w:jc w:val="both"/>
        <w:rPr>
          <w:rFonts w:ascii="Arial" w:hAnsi="Arial" w:cs="Arial"/>
        </w:rPr>
      </w:pPr>
      <w:r w:rsidRPr="005C3B36">
        <w:rPr>
          <w:rFonts w:ascii="Arial" w:hAnsi="Arial" w:cs="Arial"/>
        </w:rPr>
        <w:t xml:space="preserve">3.0 </w:t>
      </w:r>
      <w:r w:rsidR="00000F8F" w:rsidRPr="005C3B36">
        <w:rPr>
          <w:rFonts w:ascii="Arial" w:hAnsi="Arial" w:cs="Arial"/>
        </w:rPr>
        <w:t>results and discussion</w:t>
      </w:r>
    </w:p>
    <w:p w14:paraId="6357305B" w14:textId="77777777" w:rsidR="004618DA" w:rsidRPr="007734BA" w:rsidRDefault="004618DA" w:rsidP="005B75D9">
      <w:pPr>
        <w:spacing w:before="240"/>
        <w:rPr>
          <w:rFonts w:ascii="Arial" w:hAnsi="Arial" w:cs="Arial"/>
          <w:color w:val="000000" w:themeColor="text1"/>
          <w:sz w:val="22"/>
          <w:szCs w:val="22"/>
        </w:rPr>
      </w:pPr>
      <w:r w:rsidRPr="007734BA">
        <w:rPr>
          <w:rFonts w:ascii="Arial" w:hAnsi="Arial" w:cs="Arial"/>
          <w:b/>
          <w:bCs/>
          <w:color w:val="000000" w:themeColor="text1"/>
          <w:sz w:val="22"/>
          <w:szCs w:val="22"/>
        </w:rPr>
        <w:t xml:space="preserve">3.1 Nutrient Composition: </w:t>
      </w:r>
    </w:p>
    <w:p w14:paraId="22E7112A" w14:textId="77777777" w:rsidR="004618DA" w:rsidRPr="007734BA" w:rsidRDefault="004618DA" w:rsidP="0098324B">
      <w:pPr>
        <w:spacing w:after="240"/>
        <w:rPr>
          <w:rFonts w:ascii="Arial" w:hAnsi="Arial" w:cs="Arial"/>
          <w:color w:val="000000" w:themeColor="text1"/>
          <w:sz w:val="22"/>
          <w:szCs w:val="22"/>
        </w:rPr>
      </w:pPr>
      <w:r w:rsidRPr="007734BA">
        <w:rPr>
          <w:rFonts w:ascii="Arial" w:hAnsi="Arial" w:cs="Arial"/>
          <w:color w:val="000000" w:themeColor="text1"/>
          <w:sz w:val="22"/>
          <w:szCs w:val="22"/>
        </w:rPr>
        <w:t>The physicochemical characterization of the four substrates (WC, PC, BMS and OMS) is summarized below:</w:t>
      </w:r>
    </w:p>
    <w:p w14:paraId="158A46A3" w14:textId="5495CEAB" w:rsidR="004618DA" w:rsidRPr="005C3B36" w:rsidRDefault="00016491" w:rsidP="0098324B">
      <w:pPr>
        <w:jc w:val="both"/>
        <w:rPr>
          <w:rFonts w:ascii="Arial" w:hAnsi="Arial" w:cs="Arial"/>
          <w:b/>
          <w:bCs/>
          <w:color w:val="000000" w:themeColor="text1"/>
          <w:sz w:val="20"/>
          <w:szCs w:val="20"/>
        </w:rPr>
      </w:pPr>
      <w:r w:rsidRPr="005C3B36">
        <w:rPr>
          <w:rFonts w:ascii="Arial" w:hAnsi="Arial" w:cs="Arial"/>
          <w:b/>
          <w:bCs/>
          <w:color w:val="000000" w:themeColor="text1"/>
          <w:sz w:val="20"/>
          <w:szCs w:val="20"/>
        </w:rPr>
        <w:t>3.1.1</w:t>
      </w:r>
      <w:r w:rsidR="004618DA" w:rsidRPr="005C3B36">
        <w:rPr>
          <w:rFonts w:ascii="Arial" w:hAnsi="Arial" w:cs="Arial"/>
          <w:b/>
          <w:bCs/>
          <w:color w:val="000000" w:themeColor="text1"/>
          <w:sz w:val="20"/>
          <w:szCs w:val="20"/>
        </w:rPr>
        <w:t xml:space="preserve"> </w:t>
      </w:r>
      <w:r w:rsidR="004618DA" w:rsidRPr="005C3B36">
        <w:rPr>
          <w:rFonts w:ascii="Arial" w:hAnsi="Arial" w:cs="Arial"/>
          <w:b/>
          <w:bCs/>
          <w:color w:val="000000" w:themeColor="text1"/>
          <w:sz w:val="20"/>
          <w:szCs w:val="20"/>
          <w:u w:val="single"/>
        </w:rPr>
        <w:t>Macronutrient Composition</w:t>
      </w:r>
      <w:r w:rsidR="00233E41">
        <w:rPr>
          <w:rFonts w:ascii="Arial" w:hAnsi="Arial" w:cs="Arial"/>
          <w:b/>
          <w:bCs/>
          <w:color w:val="000000" w:themeColor="text1"/>
          <w:sz w:val="20"/>
          <w:szCs w:val="20"/>
          <w:u w:val="single"/>
        </w:rPr>
        <w:t xml:space="preserve"> (N, P, K)</w:t>
      </w:r>
    </w:p>
    <w:p w14:paraId="5293A2AF" w14:textId="0268AF29" w:rsidR="00124A1A" w:rsidRPr="00C54DF2" w:rsidRDefault="00A328F4" w:rsidP="00124A1A">
      <w:pPr>
        <w:spacing w:after="240"/>
        <w:jc w:val="both"/>
        <w:rPr>
          <w:rFonts w:ascii="Arial" w:hAnsi="Arial" w:cs="Arial"/>
          <w:sz w:val="20"/>
          <w:szCs w:val="22"/>
        </w:rPr>
      </w:pPr>
      <w:r w:rsidRPr="005C3B36">
        <w:rPr>
          <w:rFonts w:ascii="Arial" w:hAnsi="Arial" w:cs="Arial"/>
          <w:color w:val="000000" w:themeColor="text1"/>
          <w:sz w:val="20"/>
          <w:szCs w:val="20"/>
        </w:rPr>
        <w:lastRenderedPageBreak/>
        <w:t>Figure 1 indicates t</w:t>
      </w:r>
      <w:r w:rsidR="004618DA" w:rsidRPr="005C3B36">
        <w:rPr>
          <w:rFonts w:ascii="Arial" w:hAnsi="Arial" w:cs="Arial"/>
          <w:color w:val="000000" w:themeColor="text1"/>
          <w:sz w:val="20"/>
          <w:szCs w:val="20"/>
        </w:rPr>
        <w:t xml:space="preserve">he </w:t>
      </w:r>
      <w:r w:rsidRPr="005C3B36">
        <w:rPr>
          <w:rFonts w:ascii="Arial" w:hAnsi="Arial" w:cs="Arial"/>
          <w:color w:val="000000" w:themeColor="text1"/>
          <w:sz w:val="20"/>
          <w:szCs w:val="20"/>
        </w:rPr>
        <w:t xml:space="preserve">higher </w:t>
      </w:r>
      <w:r w:rsidR="004618DA" w:rsidRPr="005C3B36">
        <w:rPr>
          <w:rFonts w:ascii="Arial" w:hAnsi="Arial" w:cs="Arial"/>
          <w:color w:val="000000" w:themeColor="text1"/>
          <w:sz w:val="20"/>
          <w:szCs w:val="20"/>
        </w:rPr>
        <w:t>nitrogen content in OMS and BMS as compared to WC and PC. Phosphorus and potassium levels were also notably higher in OMS and BMS</w:t>
      </w:r>
      <w:r w:rsidR="001A40B3" w:rsidRPr="005C3B36">
        <w:rPr>
          <w:rFonts w:ascii="Arial" w:hAnsi="Arial" w:cs="Arial"/>
          <w:color w:val="000000" w:themeColor="text1"/>
          <w:sz w:val="20"/>
          <w:szCs w:val="20"/>
        </w:rPr>
        <w:t xml:space="preserve"> (</w:t>
      </w:r>
      <w:r w:rsidR="00D97D5A">
        <w:rPr>
          <w:rFonts w:ascii="Arial" w:hAnsi="Arial" w:cs="Arial"/>
          <w:color w:val="000000" w:themeColor="text1"/>
          <w:sz w:val="20"/>
          <w:szCs w:val="20"/>
        </w:rPr>
        <w:t>P</w:t>
      </w:r>
      <w:r w:rsidR="001A40B3" w:rsidRPr="005C3B36">
        <w:rPr>
          <w:rFonts w:ascii="Arial" w:hAnsi="Arial" w:cs="Arial"/>
          <w:color w:val="000000" w:themeColor="text1"/>
          <w:sz w:val="20"/>
          <w:szCs w:val="20"/>
        </w:rPr>
        <w:t>=0.05)</w:t>
      </w:r>
      <w:r w:rsidR="004618DA" w:rsidRPr="005C3B36">
        <w:rPr>
          <w:rFonts w:ascii="Arial" w:hAnsi="Arial" w:cs="Arial"/>
          <w:color w:val="000000" w:themeColor="text1"/>
          <w:sz w:val="20"/>
          <w:szCs w:val="20"/>
        </w:rPr>
        <w:t xml:space="preserve">, indicating that the macronutrient profile is more balanced. The availability of potassium and phosphorus is essential for microbial enzymatic activity. When combined with BMS or OMS, high potassium (2.03%) and low nitrogen content in PC can help balance nutrients and maximise microbial metabolism </w:t>
      </w:r>
      <w:r w:rsidR="004618DA" w:rsidRPr="00D97D5A">
        <w:rPr>
          <w:rFonts w:ascii="Arial" w:hAnsi="Arial" w:cs="Arial"/>
          <w:color w:val="000000" w:themeColor="text1"/>
          <w:sz w:val="20"/>
          <w:szCs w:val="20"/>
        </w:rPr>
        <w:t>(</w:t>
      </w:r>
      <w:proofErr w:type="spellStart"/>
      <w:r w:rsidR="00F7222B" w:rsidRPr="00D97D5A">
        <w:rPr>
          <w:rFonts w:ascii="Arial" w:hAnsi="Arial" w:cs="Arial"/>
          <w:sz w:val="20"/>
          <w:szCs w:val="20"/>
        </w:rPr>
        <w:t>Duguma</w:t>
      </w:r>
      <w:proofErr w:type="spellEnd"/>
      <w:r w:rsidR="00F7222B" w:rsidRPr="00D97D5A">
        <w:rPr>
          <w:rFonts w:ascii="Arial" w:hAnsi="Arial" w:cs="Arial"/>
          <w:sz w:val="20"/>
          <w:szCs w:val="20"/>
        </w:rPr>
        <w:t xml:space="preserve"> et al., 2024</w:t>
      </w:r>
      <w:r w:rsidR="004618DA" w:rsidRPr="00D97D5A">
        <w:rPr>
          <w:rFonts w:ascii="Arial" w:hAnsi="Arial" w:cs="Arial"/>
          <w:color w:val="000000" w:themeColor="text1"/>
          <w:sz w:val="20"/>
          <w:szCs w:val="20"/>
        </w:rPr>
        <w:t>).</w:t>
      </w:r>
      <w:r w:rsidR="004618DA" w:rsidRPr="00D97D5A">
        <w:rPr>
          <w:rFonts w:ascii="Arial" w:hAnsi="Arial" w:cs="Arial"/>
          <w:color w:val="000000" w:themeColor="text1"/>
          <w:sz w:val="18"/>
          <w:szCs w:val="18"/>
        </w:rPr>
        <w:t xml:space="preserve"> </w:t>
      </w:r>
      <w:r w:rsidR="004618DA" w:rsidRPr="005C3B36">
        <w:rPr>
          <w:rFonts w:ascii="Arial" w:hAnsi="Arial" w:cs="Arial"/>
          <w:color w:val="000000" w:themeColor="text1"/>
          <w:sz w:val="20"/>
          <w:szCs w:val="20"/>
        </w:rPr>
        <w:t>Gas quality and digestion efficiency can both be enhanced by such synergistic blending.</w:t>
      </w:r>
      <w:r w:rsidR="00124A1A" w:rsidRPr="00C54DF2">
        <w:rPr>
          <w:rFonts w:ascii="Arial" w:hAnsi="Arial" w:cs="Arial"/>
          <w:sz w:val="20"/>
          <w:szCs w:val="22"/>
        </w:rPr>
        <w:t xml:space="preserve"> </w:t>
      </w:r>
      <w:r w:rsidR="00C54DF2" w:rsidRPr="00C54DF2">
        <w:rPr>
          <w:rFonts w:ascii="Arial" w:hAnsi="Arial" w:cs="Arial"/>
          <w:sz w:val="20"/>
          <w:szCs w:val="22"/>
        </w:rPr>
        <w:t>The</w:t>
      </w:r>
      <w:r w:rsidR="00C54DF2">
        <w:rPr>
          <w:rFonts w:ascii="Arial" w:hAnsi="Arial" w:cs="Arial"/>
          <w:sz w:val="20"/>
          <w:szCs w:val="22"/>
        </w:rPr>
        <w:t xml:space="preserve"> variation in the values is depicted in Table 1.</w:t>
      </w:r>
      <w:r w:rsidR="00C54DF2" w:rsidRPr="00C54DF2">
        <w:rPr>
          <w:rFonts w:ascii="Arial" w:hAnsi="Arial" w:cs="Arial"/>
          <w:sz w:val="20"/>
          <w:szCs w:val="22"/>
        </w:rPr>
        <w:t xml:space="preserve"> </w:t>
      </w:r>
    </w:p>
    <w:p w14:paraId="085EEED8" w14:textId="5DB79798" w:rsidR="00124A1A" w:rsidRPr="00841A0F" w:rsidRDefault="00124A1A" w:rsidP="00841A0F">
      <w:pPr>
        <w:spacing w:after="240"/>
        <w:jc w:val="center"/>
        <w:rPr>
          <w:rFonts w:ascii="Arial" w:hAnsi="Arial" w:cs="Arial"/>
          <w:b/>
          <w:color w:val="000000" w:themeColor="text1"/>
          <w:sz w:val="20"/>
          <w:szCs w:val="20"/>
        </w:rPr>
      </w:pPr>
      <w:r w:rsidRPr="00124A1A">
        <w:rPr>
          <w:rFonts w:ascii="Arial" w:hAnsi="Arial" w:cs="Arial"/>
          <w:b/>
          <w:color w:val="000000" w:themeColor="text1"/>
          <w:sz w:val="20"/>
          <w:szCs w:val="20"/>
        </w:rPr>
        <w:t xml:space="preserve">Table </w:t>
      </w:r>
      <w:r w:rsidR="00C54DF2">
        <w:rPr>
          <w:rFonts w:ascii="Arial" w:hAnsi="Arial" w:cs="Arial"/>
          <w:b/>
          <w:color w:val="000000" w:themeColor="text1"/>
          <w:sz w:val="20"/>
          <w:szCs w:val="20"/>
        </w:rPr>
        <w:t>1</w:t>
      </w:r>
      <w:r w:rsidRPr="00124A1A">
        <w:rPr>
          <w:rFonts w:ascii="Arial" w:hAnsi="Arial" w:cs="Arial"/>
          <w:b/>
          <w:color w:val="000000" w:themeColor="text1"/>
          <w:sz w:val="20"/>
          <w:szCs w:val="20"/>
        </w:rPr>
        <w:t>. Physicochemical properties of treated and untreated mushroom substrates</w:t>
      </w:r>
    </w:p>
    <w:tbl>
      <w:tblPr>
        <w:tblW w:w="8553" w:type="dxa"/>
        <w:jc w:val="center"/>
        <w:tblBorders>
          <w:top w:val="single" w:sz="4" w:space="0" w:color="auto"/>
          <w:bottom w:val="single" w:sz="4" w:space="0" w:color="auto"/>
        </w:tblBorders>
        <w:tblLook w:val="04A0" w:firstRow="1" w:lastRow="0" w:firstColumn="1" w:lastColumn="0" w:noHBand="0" w:noVBand="1"/>
      </w:tblPr>
      <w:tblGrid>
        <w:gridCol w:w="1123"/>
        <w:gridCol w:w="161"/>
        <w:gridCol w:w="1088"/>
        <w:gridCol w:w="1383"/>
        <w:gridCol w:w="1288"/>
        <w:gridCol w:w="1288"/>
        <w:gridCol w:w="1177"/>
        <w:gridCol w:w="1511"/>
      </w:tblGrid>
      <w:tr w:rsidR="00124A1A" w:rsidRPr="00124A1A" w14:paraId="1F384A44" w14:textId="77777777" w:rsidTr="0003493F">
        <w:trPr>
          <w:trHeight w:val="334"/>
          <w:jc w:val="center"/>
        </w:trPr>
        <w:tc>
          <w:tcPr>
            <w:tcW w:w="1277" w:type="dxa"/>
            <w:gridSpan w:val="2"/>
            <w:tcBorders>
              <w:top w:val="single" w:sz="4" w:space="0" w:color="auto"/>
              <w:bottom w:val="single" w:sz="4" w:space="0" w:color="auto"/>
            </w:tcBorders>
            <w:shd w:val="clear" w:color="auto" w:fill="auto"/>
            <w:noWrap/>
            <w:vAlign w:val="bottom"/>
            <w:hideMark/>
          </w:tcPr>
          <w:p w14:paraId="3CFD9881" w14:textId="77777777" w:rsidR="00124A1A" w:rsidRPr="00124A1A" w:rsidRDefault="00124A1A" w:rsidP="00124A1A">
            <w:pPr>
              <w:spacing w:after="240"/>
              <w:jc w:val="both"/>
              <w:rPr>
                <w:rFonts w:ascii="Arial" w:hAnsi="Arial" w:cs="Arial"/>
                <w:color w:val="000000" w:themeColor="text1"/>
                <w:sz w:val="20"/>
                <w:szCs w:val="20"/>
              </w:rPr>
            </w:pPr>
          </w:p>
        </w:tc>
        <w:tc>
          <w:tcPr>
            <w:tcW w:w="1022" w:type="dxa"/>
            <w:tcBorders>
              <w:top w:val="single" w:sz="4" w:space="0" w:color="auto"/>
              <w:bottom w:val="single" w:sz="4" w:space="0" w:color="auto"/>
            </w:tcBorders>
            <w:shd w:val="clear" w:color="auto" w:fill="auto"/>
            <w:noWrap/>
            <w:vAlign w:val="bottom"/>
            <w:hideMark/>
          </w:tcPr>
          <w:p w14:paraId="67D06401"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Nitrogen (%)</w:t>
            </w:r>
          </w:p>
        </w:tc>
        <w:tc>
          <w:tcPr>
            <w:tcW w:w="1301" w:type="dxa"/>
            <w:tcBorders>
              <w:top w:val="single" w:sz="4" w:space="0" w:color="auto"/>
              <w:bottom w:val="single" w:sz="4" w:space="0" w:color="auto"/>
            </w:tcBorders>
            <w:shd w:val="clear" w:color="auto" w:fill="auto"/>
            <w:noWrap/>
            <w:vAlign w:val="bottom"/>
            <w:hideMark/>
          </w:tcPr>
          <w:p w14:paraId="40995DB8"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Phosphorus (%)</w:t>
            </w:r>
          </w:p>
        </w:tc>
        <w:tc>
          <w:tcPr>
            <w:tcW w:w="1212" w:type="dxa"/>
            <w:tcBorders>
              <w:top w:val="single" w:sz="4" w:space="0" w:color="auto"/>
              <w:bottom w:val="single" w:sz="4" w:space="0" w:color="auto"/>
            </w:tcBorders>
            <w:shd w:val="clear" w:color="auto" w:fill="auto"/>
            <w:noWrap/>
            <w:vAlign w:val="bottom"/>
            <w:hideMark/>
          </w:tcPr>
          <w:p w14:paraId="56AD3023"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Potassium (%)</w:t>
            </w:r>
          </w:p>
        </w:tc>
        <w:tc>
          <w:tcPr>
            <w:tcW w:w="1212" w:type="dxa"/>
            <w:tcBorders>
              <w:top w:val="single" w:sz="4" w:space="0" w:color="auto"/>
              <w:bottom w:val="single" w:sz="4" w:space="0" w:color="auto"/>
            </w:tcBorders>
            <w:shd w:val="clear" w:color="auto" w:fill="auto"/>
            <w:noWrap/>
            <w:vAlign w:val="bottom"/>
            <w:hideMark/>
          </w:tcPr>
          <w:p w14:paraId="4D1C95D1"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Carbon (%)</w:t>
            </w:r>
          </w:p>
        </w:tc>
        <w:tc>
          <w:tcPr>
            <w:tcW w:w="1107" w:type="dxa"/>
            <w:tcBorders>
              <w:top w:val="single" w:sz="4" w:space="0" w:color="auto"/>
              <w:bottom w:val="single" w:sz="4" w:space="0" w:color="auto"/>
            </w:tcBorders>
            <w:shd w:val="clear" w:color="auto" w:fill="auto"/>
            <w:noWrap/>
            <w:vAlign w:val="bottom"/>
            <w:hideMark/>
          </w:tcPr>
          <w:p w14:paraId="5CAC4A5E"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pH</w:t>
            </w:r>
          </w:p>
        </w:tc>
        <w:tc>
          <w:tcPr>
            <w:tcW w:w="1422" w:type="dxa"/>
            <w:tcBorders>
              <w:top w:val="single" w:sz="4" w:space="0" w:color="auto"/>
              <w:bottom w:val="single" w:sz="4" w:space="0" w:color="auto"/>
            </w:tcBorders>
            <w:shd w:val="clear" w:color="auto" w:fill="auto"/>
            <w:noWrap/>
            <w:vAlign w:val="bottom"/>
            <w:hideMark/>
          </w:tcPr>
          <w:p w14:paraId="58ADD103"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Alkalinity (mgL</w:t>
            </w:r>
            <w:r w:rsidRPr="00124A1A">
              <w:rPr>
                <w:rFonts w:ascii="Arial" w:hAnsi="Arial" w:cs="Arial"/>
                <w:b/>
                <w:bCs/>
                <w:color w:val="000000" w:themeColor="text1"/>
                <w:sz w:val="20"/>
                <w:szCs w:val="20"/>
                <w:vertAlign w:val="superscript"/>
              </w:rPr>
              <w:t>-</w:t>
            </w:r>
            <w:proofErr w:type="gramStart"/>
            <w:r w:rsidRPr="00124A1A">
              <w:rPr>
                <w:rFonts w:ascii="Arial" w:hAnsi="Arial" w:cs="Arial"/>
                <w:b/>
                <w:bCs/>
                <w:color w:val="000000" w:themeColor="text1"/>
                <w:sz w:val="20"/>
                <w:szCs w:val="20"/>
                <w:vertAlign w:val="superscript"/>
              </w:rPr>
              <w:t xml:space="preserve">1 </w:t>
            </w:r>
            <w:r w:rsidRPr="00124A1A">
              <w:rPr>
                <w:rFonts w:ascii="Arial" w:hAnsi="Arial" w:cs="Arial"/>
                <w:b/>
                <w:bCs/>
                <w:color w:val="000000" w:themeColor="text1"/>
                <w:sz w:val="20"/>
                <w:szCs w:val="20"/>
              </w:rPr>
              <w:t>)</w:t>
            </w:r>
            <w:proofErr w:type="gramEnd"/>
          </w:p>
        </w:tc>
      </w:tr>
      <w:tr w:rsidR="00124A1A" w:rsidRPr="00124A1A" w14:paraId="3621B32E" w14:textId="77777777" w:rsidTr="0003493F">
        <w:trPr>
          <w:trHeight w:val="334"/>
          <w:jc w:val="center"/>
        </w:trPr>
        <w:tc>
          <w:tcPr>
            <w:tcW w:w="1123" w:type="dxa"/>
            <w:tcBorders>
              <w:top w:val="single" w:sz="4" w:space="0" w:color="auto"/>
            </w:tcBorders>
            <w:shd w:val="clear" w:color="auto" w:fill="auto"/>
            <w:noWrap/>
            <w:vAlign w:val="bottom"/>
            <w:hideMark/>
          </w:tcPr>
          <w:p w14:paraId="4D85D4F0"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Wheat compost</w:t>
            </w:r>
          </w:p>
        </w:tc>
        <w:tc>
          <w:tcPr>
            <w:tcW w:w="1175" w:type="dxa"/>
            <w:gridSpan w:val="2"/>
            <w:tcBorders>
              <w:top w:val="single" w:sz="4" w:space="0" w:color="auto"/>
            </w:tcBorders>
            <w:shd w:val="clear" w:color="auto" w:fill="auto"/>
            <w:noWrap/>
            <w:vAlign w:val="bottom"/>
            <w:hideMark/>
          </w:tcPr>
          <w:p w14:paraId="2246EAE8"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0.66</w:t>
            </w:r>
            <w:r w:rsidRPr="00124A1A">
              <w:rPr>
                <w:rFonts w:ascii="Arial" w:hAnsi="Arial" w:cs="Arial"/>
                <w:color w:val="000000" w:themeColor="text1"/>
                <w:sz w:val="20"/>
                <w:szCs w:val="20"/>
                <w:vertAlign w:val="superscript"/>
              </w:rPr>
              <w:t>bc</w:t>
            </w:r>
            <w:r w:rsidRPr="00124A1A">
              <w:rPr>
                <w:rFonts w:ascii="Arial" w:hAnsi="Arial" w:cs="Arial"/>
                <w:color w:val="000000" w:themeColor="text1"/>
                <w:sz w:val="20"/>
                <w:szCs w:val="20"/>
              </w:rPr>
              <w:t>±0.14</w:t>
            </w:r>
          </w:p>
        </w:tc>
        <w:tc>
          <w:tcPr>
            <w:tcW w:w="1301" w:type="dxa"/>
            <w:tcBorders>
              <w:top w:val="single" w:sz="4" w:space="0" w:color="auto"/>
            </w:tcBorders>
            <w:shd w:val="clear" w:color="auto" w:fill="auto"/>
            <w:noWrap/>
            <w:vAlign w:val="bottom"/>
            <w:hideMark/>
          </w:tcPr>
          <w:p w14:paraId="15AE9974"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0.21</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±0.003</w:t>
            </w:r>
          </w:p>
        </w:tc>
        <w:tc>
          <w:tcPr>
            <w:tcW w:w="1212" w:type="dxa"/>
            <w:tcBorders>
              <w:top w:val="single" w:sz="4" w:space="0" w:color="auto"/>
            </w:tcBorders>
            <w:shd w:val="clear" w:color="auto" w:fill="auto"/>
            <w:noWrap/>
            <w:vAlign w:val="bottom"/>
            <w:hideMark/>
          </w:tcPr>
          <w:p w14:paraId="6641C271"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0.54</w:t>
            </w:r>
            <w:r w:rsidRPr="00124A1A">
              <w:rPr>
                <w:rFonts w:ascii="Arial" w:hAnsi="Arial" w:cs="Arial"/>
                <w:color w:val="000000" w:themeColor="text1"/>
                <w:sz w:val="20"/>
                <w:szCs w:val="20"/>
                <w:vertAlign w:val="superscript"/>
              </w:rPr>
              <w:t>c</w:t>
            </w:r>
            <w:r w:rsidRPr="00124A1A">
              <w:rPr>
                <w:rFonts w:ascii="Arial" w:hAnsi="Arial" w:cs="Arial"/>
                <w:color w:val="000000" w:themeColor="text1"/>
                <w:sz w:val="20"/>
                <w:szCs w:val="20"/>
              </w:rPr>
              <w:t>±0.014</w:t>
            </w:r>
          </w:p>
        </w:tc>
        <w:tc>
          <w:tcPr>
            <w:tcW w:w="1212" w:type="dxa"/>
            <w:tcBorders>
              <w:top w:val="single" w:sz="4" w:space="0" w:color="auto"/>
            </w:tcBorders>
            <w:shd w:val="clear" w:color="auto" w:fill="auto"/>
            <w:noWrap/>
            <w:vAlign w:val="bottom"/>
            <w:hideMark/>
          </w:tcPr>
          <w:p w14:paraId="03CD57F3"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28.41</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±0.86</w:t>
            </w:r>
          </w:p>
        </w:tc>
        <w:tc>
          <w:tcPr>
            <w:tcW w:w="1107" w:type="dxa"/>
            <w:tcBorders>
              <w:top w:val="single" w:sz="4" w:space="0" w:color="auto"/>
            </w:tcBorders>
            <w:shd w:val="clear" w:color="auto" w:fill="auto"/>
            <w:noWrap/>
            <w:vAlign w:val="bottom"/>
            <w:hideMark/>
          </w:tcPr>
          <w:p w14:paraId="77B3B228"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8.3</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±0.03</w:t>
            </w:r>
          </w:p>
        </w:tc>
        <w:tc>
          <w:tcPr>
            <w:tcW w:w="1422" w:type="dxa"/>
            <w:tcBorders>
              <w:top w:val="single" w:sz="4" w:space="0" w:color="auto"/>
            </w:tcBorders>
            <w:shd w:val="clear" w:color="auto" w:fill="auto"/>
            <w:noWrap/>
            <w:vAlign w:val="bottom"/>
            <w:hideMark/>
          </w:tcPr>
          <w:p w14:paraId="43C6A12A"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541.67</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±10.14</w:t>
            </w:r>
          </w:p>
        </w:tc>
      </w:tr>
      <w:tr w:rsidR="00124A1A" w:rsidRPr="00124A1A" w14:paraId="6E64780D" w14:textId="77777777" w:rsidTr="0003493F">
        <w:trPr>
          <w:trHeight w:val="334"/>
          <w:jc w:val="center"/>
        </w:trPr>
        <w:tc>
          <w:tcPr>
            <w:tcW w:w="1123" w:type="dxa"/>
            <w:shd w:val="clear" w:color="auto" w:fill="auto"/>
            <w:noWrap/>
            <w:vAlign w:val="bottom"/>
            <w:hideMark/>
          </w:tcPr>
          <w:p w14:paraId="45E3CD44"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Paddy compost</w:t>
            </w:r>
          </w:p>
        </w:tc>
        <w:tc>
          <w:tcPr>
            <w:tcW w:w="1175" w:type="dxa"/>
            <w:gridSpan w:val="2"/>
            <w:shd w:val="clear" w:color="auto" w:fill="auto"/>
            <w:noWrap/>
            <w:vAlign w:val="bottom"/>
            <w:hideMark/>
          </w:tcPr>
          <w:p w14:paraId="4F469693"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0.58</w:t>
            </w:r>
            <w:r w:rsidRPr="00124A1A">
              <w:rPr>
                <w:rFonts w:ascii="Arial" w:hAnsi="Arial" w:cs="Arial"/>
                <w:color w:val="000000" w:themeColor="text1"/>
                <w:sz w:val="20"/>
                <w:szCs w:val="20"/>
                <w:vertAlign w:val="superscript"/>
              </w:rPr>
              <w:t>c</w:t>
            </w:r>
            <w:r w:rsidRPr="00124A1A">
              <w:rPr>
                <w:rFonts w:ascii="Arial" w:hAnsi="Arial" w:cs="Arial"/>
                <w:color w:val="000000" w:themeColor="text1"/>
                <w:sz w:val="20"/>
                <w:szCs w:val="20"/>
              </w:rPr>
              <w:t>±0.02</w:t>
            </w:r>
          </w:p>
        </w:tc>
        <w:tc>
          <w:tcPr>
            <w:tcW w:w="1301" w:type="dxa"/>
            <w:shd w:val="clear" w:color="auto" w:fill="auto"/>
            <w:noWrap/>
            <w:vAlign w:val="bottom"/>
            <w:hideMark/>
          </w:tcPr>
          <w:p w14:paraId="620B5C51"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0.2</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±0.006</w:t>
            </w:r>
          </w:p>
        </w:tc>
        <w:tc>
          <w:tcPr>
            <w:tcW w:w="1212" w:type="dxa"/>
            <w:shd w:val="clear" w:color="auto" w:fill="auto"/>
            <w:noWrap/>
            <w:vAlign w:val="bottom"/>
            <w:hideMark/>
          </w:tcPr>
          <w:p w14:paraId="68E1843D"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2.03</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±0.025</w:t>
            </w:r>
          </w:p>
        </w:tc>
        <w:tc>
          <w:tcPr>
            <w:tcW w:w="1212" w:type="dxa"/>
            <w:shd w:val="clear" w:color="auto" w:fill="auto"/>
            <w:noWrap/>
            <w:vAlign w:val="bottom"/>
            <w:hideMark/>
          </w:tcPr>
          <w:p w14:paraId="2E9AF8D2"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32.98</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±0.23</w:t>
            </w:r>
          </w:p>
        </w:tc>
        <w:tc>
          <w:tcPr>
            <w:tcW w:w="1107" w:type="dxa"/>
            <w:shd w:val="clear" w:color="auto" w:fill="auto"/>
            <w:noWrap/>
            <w:vAlign w:val="bottom"/>
            <w:hideMark/>
          </w:tcPr>
          <w:p w14:paraId="0A484FE8"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8.23</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±0.02</w:t>
            </w:r>
          </w:p>
        </w:tc>
        <w:tc>
          <w:tcPr>
            <w:tcW w:w="1422" w:type="dxa"/>
            <w:shd w:val="clear" w:color="auto" w:fill="auto"/>
            <w:noWrap/>
            <w:vAlign w:val="bottom"/>
            <w:hideMark/>
          </w:tcPr>
          <w:p w14:paraId="132E32ED"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381</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±7.81</w:t>
            </w:r>
          </w:p>
        </w:tc>
      </w:tr>
      <w:tr w:rsidR="00124A1A" w:rsidRPr="00124A1A" w14:paraId="49A1F588" w14:textId="77777777" w:rsidTr="0003493F">
        <w:trPr>
          <w:trHeight w:val="334"/>
          <w:jc w:val="center"/>
        </w:trPr>
        <w:tc>
          <w:tcPr>
            <w:tcW w:w="1123" w:type="dxa"/>
            <w:shd w:val="clear" w:color="auto" w:fill="auto"/>
            <w:noWrap/>
            <w:vAlign w:val="bottom"/>
            <w:hideMark/>
          </w:tcPr>
          <w:p w14:paraId="1F5E6F47"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Button spent</w:t>
            </w:r>
          </w:p>
        </w:tc>
        <w:tc>
          <w:tcPr>
            <w:tcW w:w="1175" w:type="dxa"/>
            <w:gridSpan w:val="2"/>
            <w:shd w:val="clear" w:color="auto" w:fill="auto"/>
            <w:noWrap/>
            <w:vAlign w:val="bottom"/>
            <w:hideMark/>
          </w:tcPr>
          <w:p w14:paraId="04DFC7A5"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0.82</w:t>
            </w:r>
            <w:r w:rsidRPr="00124A1A">
              <w:rPr>
                <w:rFonts w:ascii="Arial" w:hAnsi="Arial" w:cs="Arial"/>
                <w:color w:val="000000" w:themeColor="text1"/>
                <w:sz w:val="20"/>
                <w:szCs w:val="20"/>
                <w:vertAlign w:val="superscript"/>
              </w:rPr>
              <w:t>ab</w:t>
            </w:r>
            <w:r w:rsidRPr="00124A1A">
              <w:rPr>
                <w:rFonts w:ascii="Arial" w:hAnsi="Arial" w:cs="Arial"/>
                <w:color w:val="000000" w:themeColor="text1"/>
                <w:sz w:val="20"/>
                <w:szCs w:val="20"/>
              </w:rPr>
              <w:t>±0.02</w:t>
            </w:r>
          </w:p>
        </w:tc>
        <w:tc>
          <w:tcPr>
            <w:tcW w:w="1301" w:type="dxa"/>
            <w:shd w:val="clear" w:color="auto" w:fill="auto"/>
            <w:noWrap/>
            <w:vAlign w:val="bottom"/>
            <w:hideMark/>
          </w:tcPr>
          <w:p w14:paraId="17FAB80C"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0.03</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±0.00</w:t>
            </w:r>
          </w:p>
        </w:tc>
        <w:tc>
          <w:tcPr>
            <w:tcW w:w="1212" w:type="dxa"/>
            <w:shd w:val="clear" w:color="auto" w:fill="auto"/>
            <w:noWrap/>
            <w:vAlign w:val="bottom"/>
            <w:hideMark/>
          </w:tcPr>
          <w:p w14:paraId="08735331"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0.31</w:t>
            </w:r>
            <w:r w:rsidRPr="00124A1A">
              <w:rPr>
                <w:rFonts w:ascii="Arial" w:hAnsi="Arial" w:cs="Arial"/>
                <w:color w:val="000000" w:themeColor="text1"/>
                <w:sz w:val="20"/>
                <w:szCs w:val="20"/>
                <w:vertAlign w:val="superscript"/>
              </w:rPr>
              <w:t>d</w:t>
            </w:r>
            <w:r w:rsidRPr="00124A1A">
              <w:rPr>
                <w:rFonts w:ascii="Arial" w:hAnsi="Arial" w:cs="Arial"/>
                <w:color w:val="000000" w:themeColor="text1"/>
                <w:sz w:val="20"/>
                <w:szCs w:val="20"/>
              </w:rPr>
              <w:t>±0.003</w:t>
            </w:r>
          </w:p>
        </w:tc>
        <w:tc>
          <w:tcPr>
            <w:tcW w:w="1212" w:type="dxa"/>
            <w:shd w:val="clear" w:color="auto" w:fill="auto"/>
            <w:noWrap/>
            <w:vAlign w:val="bottom"/>
            <w:hideMark/>
          </w:tcPr>
          <w:p w14:paraId="4B4B466F"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26.62</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±0.26</w:t>
            </w:r>
          </w:p>
        </w:tc>
        <w:tc>
          <w:tcPr>
            <w:tcW w:w="1107" w:type="dxa"/>
            <w:shd w:val="clear" w:color="auto" w:fill="auto"/>
            <w:noWrap/>
            <w:vAlign w:val="bottom"/>
            <w:hideMark/>
          </w:tcPr>
          <w:p w14:paraId="21D9DCAE"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7.25</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±0.03</w:t>
            </w:r>
          </w:p>
        </w:tc>
        <w:tc>
          <w:tcPr>
            <w:tcW w:w="1422" w:type="dxa"/>
            <w:shd w:val="clear" w:color="auto" w:fill="auto"/>
            <w:noWrap/>
            <w:vAlign w:val="bottom"/>
            <w:hideMark/>
          </w:tcPr>
          <w:p w14:paraId="3DF3B635"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449</w:t>
            </w:r>
            <w:r w:rsidRPr="00124A1A">
              <w:rPr>
                <w:rFonts w:ascii="Arial" w:hAnsi="Arial" w:cs="Arial"/>
                <w:color w:val="000000" w:themeColor="text1"/>
                <w:sz w:val="20"/>
                <w:szCs w:val="20"/>
                <w:vertAlign w:val="superscript"/>
              </w:rPr>
              <w:t>c</w:t>
            </w:r>
            <w:r w:rsidRPr="00124A1A">
              <w:rPr>
                <w:rFonts w:ascii="Arial" w:hAnsi="Arial" w:cs="Arial"/>
                <w:color w:val="000000" w:themeColor="text1"/>
                <w:sz w:val="20"/>
                <w:szCs w:val="20"/>
              </w:rPr>
              <w:t>±11.84</w:t>
            </w:r>
          </w:p>
        </w:tc>
      </w:tr>
      <w:tr w:rsidR="00124A1A" w:rsidRPr="00124A1A" w14:paraId="171F9F1C" w14:textId="77777777" w:rsidTr="0003493F">
        <w:trPr>
          <w:trHeight w:val="334"/>
          <w:jc w:val="center"/>
        </w:trPr>
        <w:tc>
          <w:tcPr>
            <w:tcW w:w="1123" w:type="dxa"/>
            <w:shd w:val="clear" w:color="auto" w:fill="auto"/>
            <w:noWrap/>
            <w:vAlign w:val="bottom"/>
            <w:hideMark/>
          </w:tcPr>
          <w:p w14:paraId="655539EC" w14:textId="77777777" w:rsidR="00124A1A" w:rsidRPr="00124A1A" w:rsidRDefault="00124A1A"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Oyster spent</w:t>
            </w:r>
          </w:p>
        </w:tc>
        <w:tc>
          <w:tcPr>
            <w:tcW w:w="1175" w:type="dxa"/>
            <w:gridSpan w:val="2"/>
            <w:shd w:val="clear" w:color="auto" w:fill="auto"/>
            <w:noWrap/>
            <w:vAlign w:val="bottom"/>
            <w:hideMark/>
          </w:tcPr>
          <w:p w14:paraId="119BF292"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0.92</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±0.08</w:t>
            </w:r>
          </w:p>
        </w:tc>
        <w:tc>
          <w:tcPr>
            <w:tcW w:w="1301" w:type="dxa"/>
            <w:shd w:val="clear" w:color="auto" w:fill="auto"/>
            <w:noWrap/>
            <w:vAlign w:val="bottom"/>
            <w:hideMark/>
          </w:tcPr>
          <w:p w14:paraId="26B58ABB"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0.3</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±0.065</w:t>
            </w:r>
          </w:p>
        </w:tc>
        <w:tc>
          <w:tcPr>
            <w:tcW w:w="1212" w:type="dxa"/>
            <w:shd w:val="clear" w:color="auto" w:fill="auto"/>
            <w:noWrap/>
            <w:vAlign w:val="bottom"/>
            <w:hideMark/>
          </w:tcPr>
          <w:p w14:paraId="1D97EA8C"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0.71</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±0.02</w:t>
            </w:r>
          </w:p>
        </w:tc>
        <w:tc>
          <w:tcPr>
            <w:tcW w:w="1212" w:type="dxa"/>
            <w:shd w:val="clear" w:color="auto" w:fill="auto"/>
            <w:noWrap/>
            <w:vAlign w:val="bottom"/>
            <w:hideMark/>
          </w:tcPr>
          <w:p w14:paraId="680DC2B1"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31.39</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±0.82</w:t>
            </w:r>
          </w:p>
        </w:tc>
        <w:tc>
          <w:tcPr>
            <w:tcW w:w="1107" w:type="dxa"/>
            <w:shd w:val="clear" w:color="auto" w:fill="auto"/>
            <w:noWrap/>
            <w:vAlign w:val="bottom"/>
            <w:hideMark/>
          </w:tcPr>
          <w:p w14:paraId="72F2E53A"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6.45</w:t>
            </w:r>
            <w:r w:rsidRPr="00124A1A">
              <w:rPr>
                <w:rFonts w:ascii="Arial" w:hAnsi="Arial" w:cs="Arial"/>
                <w:color w:val="000000" w:themeColor="text1"/>
                <w:sz w:val="20"/>
                <w:szCs w:val="20"/>
                <w:vertAlign w:val="superscript"/>
              </w:rPr>
              <w:t>c</w:t>
            </w:r>
            <w:r w:rsidRPr="00124A1A">
              <w:rPr>
                <w:rFonts w:ascii="Arial" w:hAnsi="Arial" w:cs="Arial"/>
                <w:color w:val="000000" w:themeColor="text1"/>
                <w:sz w:val="20"/>
                <w:szCs w:val="20"/>
              </w:rPr>
              <w:t>±0.03</w:t>
            </w:r>
          </w:p>
        </w:tc>
        <w:tc>
          <w:tcPr>
            <w:tcW w:w="1422" w:type="dxa"/>
            <w:shd w:val="clear" w:color="auto" w:fill="auto"/>
            <w:noWrap/>
            <w:vAlign w:val="bottom"/>
            <w:hideMark/>
          </w:tcPr>
          <w:p w14:paraId="6B50D59C" w14:textId="77777777" w:rsidR="00124A1A" w:rsidRPr="00124A1A" w:rsidRDefault="00124A1A" w:rsidP="00124A1A">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121.67</w:t>
            </w:r>
            <w:r w:rsidRPr="00124A1A">
              <w:rPr>
                <w:rFonts w:ascii="Arial" w:hAnsi="Arial" w:cs="Arial"/>
                <w:color w:val="000000" w:themeColor="text1"/>
                <w:sz w:val="20"/>
                <w:szCs w:val="20"/>
                <w:vertAlign w:val="superscript"/>
              </w:rPr>
              <w:t>d</w:t>
            </w:r>
            <w:r w:rsidRPr="00124A1A">
              <w:rPr>
                <w:rFonts w:ascii="Arial" w:hAnsi="Arial" w:cs="Arial"/>
                <w:color w:val="000000" w:themeColor="text1"/>
                <w:sz w:val="20"/>
                <w:szCs w:val="20"/>
              </w:rPr>
              <w:t>±4.4</w:t>
            </w:r>
          </w:p>
        </w:tc>
      </w:tr>
    </w:tbl>
    <w:p w14:paraId="3327BC21" w14:textId="77777777" w:rsidR="00124A1A" w:rsidRPr="00124A1A" w:rsidRDefault="00124A1A" w:rsidP="00124A1A">
      <w:pPr>
        <w:spacing w:after="240"/>
        <w:jc w:val="both"/>
        <w:rPr>
          <w:rFonts w:ascii="Arial" w:hAnsi="Arial" w:cs="Arial"/>
          <w:b/>
          <w:i/>
          <w:iCs/>
          <w:color w:val="000000" w:themeColor="text1"/>
          <w:sz w:val="20"/>
          <w:szCs w:val="20"/>
        </w:rPr>
      </w:pPr>
    </w:p>
    <w:p w14:paraId="1669185B" w14:textId="05855D26" w:rsidR="00124A1A" w:rsidRPr="00124A1A" w:rsidRDefault="00124A1A" w:rsidP="00124A1A">
      <w:pPr>
        <w:numPr>
          <w:ilvl w:val="0"/>
          <w:numId w:val="41"/>
        </w:numPr>
        <w:spacing w:after="240"/>
        <w:jc w:val="both"/>
        <w:rPr>
          <w:rFonts w:ascii="Arial" w:hAnsi="Arial" w:cs="Arial"/>
          <w:i/>
          <w:iCs/>
          <w:color w:val="000000" w:themeColor="text1"/>
          <w:sz w:val="20"/>
          <w:szCs w:val="20"/>
        </w:rPr>
      </w:pPr>
      <w:r w:rsidRPr="00124A1A">
        <w:rPr>
          <w:rFonts w:ascii="Arial" w:hAnsi="Arial" w:cs="Arial"/>
          <w:i/>
          <w:iCs/>
          <w:color w:val="000000" w:themeColor="text1"/>
          <w:sz w:val="20"/>
          <w:szCs w:val="20"/>
        </w:rPr>
        <w:t xml:space="preserve">Values represent mean ± standard error. Parameters </w:t>
      </w:r>
      <w:proofErr w:type="spellStart"/>
      <w:r w:rsidRPr="00124A1A">
        <w:rPr>
          <w:rFonts w:ascii="Arial" w:hAnsi="Arial" w:cs="Arial"/>
          <w:i/>
          <w:iCs/>
          <w:color w:val="000000" w:themeColor="text1"/>
          <w:sz w:val="20"/>
          <w:szCs w:val="20"/>
        </w:rPr>
        <w:t>analyzed</w:t>
      </w:r>
      <w:proofErr w:type="spellEnd"/>
      <w:r w:rsidRPr="00124A1A">
        <w:rPr>
          <w:rFonts w:ascii="Arial" w:hAnsi="Arial" w:cs="Arial"/>
          <w:i/>
          <w:iCs/>
          <w:color w:val="000000" w:themeColor="text1"/>
          <w:sz w:val="20"/>
          <w:szCs w:val="20"/>
        </w:rPr>
        <w:t xml:space="preserve"> include macronutrient content (Nitrogen, Phosphorus, Potassium, Carbon), pH and alkalinity. Superscript letters (a–d) indicate significant differences (</w:t>
      </w:r>
      <w:r w:rsidR="00C54DF2">
        <w:rPr>
          <w:rFonts w:ascii="Arial" w:hAnsi="Arial" w:cs="Arial"/>
          <w:i/>
          <w:iCs/>
          <w:color w:val="000000" w:themeColor="text1"/>
          <w:sz w:val="20"/>
          <w:szCs w:val="20"/>
        </w:rPr>
        <w:t>P</w:t>
      </w:r>
      <w:r w:rsidRPr="00124A1A">
        <w:rPr>
          <w:rFonts w:ascii="Arial" w:hAnsi="Arial" w:cs="Arial"/>
          <w:i/>
          <w:iCs/>
          <w:color w:val="000000" w:themeColor="text1"/>
          <w:sz w:val="20"/>
          <w:szCs w:val="20"/>
        </w:rPr>
        <w:t xml:space="preserve"> ≤ 0.05) among means within columns</w:t>
      </w:r>
    </w:p>
    <w:p w14:paraId="4E197EC3" w14:textId="44C8E78B" w:rsidR="00124A1A" w:rsidRPr="00124A1A" w:rsidRDefault="00124A1A" w:rsidP="001A40B3">
      <w:pPr>
        <w:spacing w:after="240"/>
        <w:jc w:val="both"/>
        <w:rPr>
          <w:rFonts w:ascii="Arial" w:hAnsi="Arial" w:cs="Arial"/>
          <w:color w:val="000000" w:themeColor="text1"/>
          <w:sz w:val="20"/>
          <w:szCs w:val="20"/>
        </w:rPr>
      </w:pPr>
      <w:r w:rsidRPr="005C3B36">
        <w:rPr>
          <w:rFonts w:ascii="Arial" w:hAnsi="Arial" w:cs="Arial"/>
          <w:noProof/>
          <w:color w:val="000000" w:themeColor="text1"/>
        </w:rPr>
        <w:drawing>
          <wp:inline distT="0" distB="0" distL="0" distR="0" wp14:anchorId="721CDFB9" wp14:editId="7823E20A">
            <wp:extent cx="3725545" cy="2818765"/>
            <wp:effectExtent l="0" t="0" r="8255" b="635"/>
            <wp:docPr id="19427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266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5545" cy="2818765"/>
                    </a:xfrm>
                    <a:prstGeom prst="rect">
                      <a:avLst/>
                    </a:prstGeom>
                  </pic:spPr>
                </pic:pic>
              </a:graphicData>
            </a:graphic>
          </wp:inline>
        </w:drawing>
      </w:r>
    </w:p>
    <w:p w14:paraId="60F91424" w14:textId="763E0814" w:rsidR="00864C6F" w:rsidRPr="005C3B36" w:rsidRDefault="00864C6F" w:rsidP="00F7222B">
      <w:pPr>
        <w:pStyle w:val="ListParagraph"/>
        <w:spacing w:before="240" w:after="0"/>
        <w:jc w:val="center"/>
        <w:rPr>
          <w:rFonts w:ascii="Arial" w:hAnsi="Arial" w:cs="Arial"/>
          <w:b/>
          <w:bCs/>
          <w:color w:val="000000" w:themeColor="text1"/>
          <w:sz w:val="20"/>
          <w:szCs w:val="24"/>
        </w:rPr>
      </w:pPr>
      <w:r w:rsidRPr="005C3B36">
        <w:rPr>
          <w:rFonts w:ascii="Arial" w:hAnsi="Arial" w:cs="Arial"/>
          <w:b/>
          <w:bCs/>
          <w:color w:val="000000" w:themeColor="text1"/>
          <w:sz w:val="20"/>
          <w:szCs w:val="24"/>
        </w:rPr>
        <w:lastRenderedPageBreak/>
        <w:t>Figure 1. Macronutrients composition (</w:t>
      </w:r>
      <w:proofErr w:type="gramStart"/>
      <w:r w:rsidRPr="005C3B36">
        <w:rPr>
          <w:rFonts w:ascii="Arial" w:hAnsi="Arial" w:cs="Arial"/>
          <w:b/>
          <w:bCs/>
          <w:color w:val="000000" w:themeColor="text1"/>
          <w:sz w:val="20"/>
          <w:szCs w:val="24"/>
        </w:rPr>
        <w:t>N,P</w:t>
      </w:r>
      <w:proofErr w:type="gramEnd"/>
      <w:r w:rsidRPr="005C3B36">
        <w:rPr>
          <w:rFonts w:ascii="Arial" w:hAnsi="Arial" w:cs="Arial"/>
          <w:b/>
          <w:bCs/>
          <w:color w:val="000000" w:themeColor="text1"/>
          <w:sz w:val="20"/>
          <w:szCs w:val="24"/>
        </w:rPr>
        <w:t>,K) of treated and untreated mushroom substrates</w:t>
      </w:r>
      <w:r w:rsidR="00261174">
        <w:rPr>
          <w:rFonts w:ascii="Arial" w:hAnsi="Arial" w:cs="Arial"/>
          <w:b/>
          <w:bCs/>
          <w:color w:val="000000" w:themeColor="text1"/>
          <w:sz w:val="20"/>
          <w:szCs w:val="24"/>
        </w:rPr>
        <w:t xml:space="preserve"> </w:t>
      </w:r>
      <w:r w:rsidR="00261174">
        <w:rPr>
          <w:rFonts w:ascii="Arial" w:hAnsi="Arial" w:cs="Arial"/>
          <w:b/>
          <w:bCs/>
          <w:color w:val="000000" w:themeColor="text1"/>
          <w:sz w:val="20"/>
          <w:szCs w:val="20"/>
        </w:rPr>
        <w:t>(mean ± SE)</w:t>
      </w:r>
    </w:p>
    <w:p w14:paraId="44292055" w14:textId="4AE9EB2C" w:rsidR="005B75D9" w:rsidRPr="005C3B36" w:rsidRDefault="005B75D9" w:rsidP="005B75D9">
      <w:pPr>
        <w:pStyle w:val="ListParagraph"/>
        <w:spacing w:before="240" w:after="0"/>
        <w:jc w:val="both"/>
        <w:rPr>
          <w:rFonts w:ascii="Arial" w:hAnsi="Arial" w:cs="Arial"/>
          <w:color w:val="000000" w:themeColor="text1"/>
        </w:rPr>
      </w:pPr>
    </w:p>
    <w:p w14:paraId="0D9156F3" w14:textId="5455906E" w:rsidR="0098324B" w:rsidRPr="005C3B36" w:rsidRDefault="004618DA" w:rsidP="0069155A">
      <w:pPr>
        <w:pStyle w:val="ListParagraph"/>
        <w:numPr>
          <w:ilvl w:val="2"/>
          <w:numId w:val="39"/>
        </w:numPr>
        <w:spacing w:before="240"/>
        <w:jc w:val="both"/>
        <w:rPr>
          <w:rFonts w:ascii="Arial" w:hAnsi="Arial" w:cs="Arial"/>
          <w:b/>
          <w:bCs/>
          <w:color w:val="000000" w:themeColor="text1"/>
          <w:sz w:val="20"/>
          <w:szCs w:val="20"/>
          <w:u w:val="single"/>
        </w:rPr>
      </w:pPr>
      <w:r w:rsidRPr="005C3B36">
        <w:rPr>
          <w:rFonts w:ascii="Arial" w:hAnsi="Arial" w:cs="Arial"/>
          <w:b/>
          <w:bCs/>
          <w:color w:val="000000" w:themeColor="text1"/>
          <w:sz w:val="20"/>
          <w:szCs w:val="20"/>
          <w:u w:val="single"/>
        </w:rPr>
        <w:t xml:space="preserve">Organic Carbon and </w:t>
      </w:r>
      <w:proofErr w:type="gramStart"/>
      <w:r w:rsidRPr="005C3B36">
        <w:rPr>
          <w:rFonts w:ascii="Arial" w:hAnsi="Arial" w:cs="Arial"/>
          <w:b/>
          <w:bCs/>
          <w:color w:val="000000" w:themeColor="text1"/>
          <w:sz w:val="20"/>
          <w:szCs w:val="20"/>
          <w:u w:val="single"/>
        </w:rPr>
        <w:t>C:N</w:t>
      </w:r>
      <w:proofErr w:type="gramEnd"/>
      <w:r w:rsidRPr="005C3B36">
        <w:rPr>
          <w:rFonts w:ascii="Arial" w:hAnsi="Arial" w:cs="Arial"/>
          <w:b/>
          <w:bCs/>
          <w:color w:val="000000" w:themeColor="text1"/>
          <w:sz w:val="20"/>
          <w:szCs w:val="20"/>
          <w:u w:val="single"/>
        </w:rPr>
        <w:t xml:space="preserve"> Ratio</w:t>
      </w:r>
    </w:p>
    <w:p w14:paraId="43945577" w14:textId="1DBB17D4" w:rsidR="004618DA" w:rsidRPr="005C3B36" w:rsidRDefault="004618DA" w:rsidP="0098324B">
      <w:pPr>
        <w:spacing w:after="240"/>
        <w:jc w:val="both"/>
        <w:rPr>
          <w:rFonts w:ascii="Arial" w:hAnsi="Arial" w:cs="Arial"/>
          <w:color w:val="000000" w:themeColor="text1"/>
          <w:sz w:val="20"/>
          <w:szCs w:val="20"/>
        </w:rPr>
      </w:pPr>
      <w:r w:rsidRPr="005C3B36">
        <w:rPr>
          <w:rFonts w:ascii="Arial" w:hAnsi="Arial" w:cs="Arial"/>
          <w:color w:val="000000" w:themeColor="text1"/>
          <w:sz w:val="20"/>
          <w:szCs w:val="20"/>
        </w:rPr>
        <w:t>PC has the highest carbon content (32.98%), whereas OMC was similarly abundant (31.39%)</w:t>
      </w:r>
      <w:r w:rsidR="0098324B" w:rsidRPr="005C3B36">
        <w:rPr>
          <w:rFonts w:ascii="Arial" w:hAnsi="Arial" w:cs="Arial"/>
          <w:color w:val="000000" w:themeColor="text1"/>
          <w:sz w:val="20"/>
          <w:szCs w:val="20"/>
        </w:rPr>
        <w:t>.</w:t>
      </w:r>
      <w:r w:rsidR="00A328F4" w:rsidRPr="005C3B36">
        <w:rPr>
          <w:rFonts w:ascii="Arial" w:hAnsi="Arial" w:cs="Arial"/>
          <w:color w:val="000000" w:themeColor="text1"/>
          <w:sz w:val="20"/>
          <w:szCs w:val="20"/>
        </w:rPr>
        <w:t xml:space="preserve"> </w:t>
      </w:r>
      <w:r w:rsidRPr="005C3B36">
        <w:rPr>
          <w:rFonts w:ascii="Arial" w:hAnsi="Arial" w:cs="Arial"/>
          <w:color w:val="000000" w:themeColor="text1"/>
          <w:sz w:val="20"/>
          <w:szCs w:val="20"/>
        </w:rPr>
        <w:t>In anaerobic digestion (AD), the C:N ratio is a crucial metric. Anaerobic digestion, which is directly linked to biogas production, works best with C:N ratios between 20:1 and 3</w:t>
      </w:r>
      <w:r w:rsidR="005B75D9" w:rsidRPr="005C3B36">
        <w:rPr>
          <w:rFonts w:ascii="Arial" w:hAnsi="Arial" w:cs="Arial"/>
          <w:color w:val="000000" w:themeColor="text1"/>
          <w:sz w:val="20"/>
          <w:szCs w:val="20"/>
        </w:rPr>
        <w:t>0</w:t>
      </w:r>
      <w:r w:rsidRPr="005C3B36">
        <w:rPr>
          <w:rFonts w:ascii="Arial" w:hAnsi="Arial" w:cs="Arial"/>
          <w:color w:val="000000" w:themeColor="text1"/>
          <w:sz w:val="20"/>
          <w:szCs w:val="20"/>
        </w:rPr>
        <w:t xml:space="preserve">:1 </w:t>
      </w:r>
      <w:r w:rsidR="005B75D9" w:rsidRPr="005C3B36">
        <w:rPr>
          <w:rFonts w:ascii="Arial" w:hAnsi="Arial" w:cs="Arial"/>
          <w:color w:val="000000" w:themeColor="text1"/>
          <w:sz w:val="20"/>
          <w:szCs w:val="20"/>
        </w:rPr>
        <w:t>(</w:t>
      </w:r>
      <w:proofErr w:type="spellStart"/>
      <w:r w:rsidR="005B75D9" w:rsidRPr="00E85521">
        <w:rPr>
          <w:rFonts w:ascii="Arial" w:hAnsi="Arial" w:cs="Arial"/>
          <w:sz w:val="20"/>
          <w:szCs w:val="20"/>
        </w:rPr>
        <w:t>Gebreegziabher</w:t>
      </w:r>
      <w:proofErr w:type="spellEnd"/>
      <w:r w:rsidR="005B75D9" w:rsidRPr="00E85521">
        <w:rPr>
          <w:rFonts w:ascii="Arial" w:hAnsi="Arial" w:cs="Arial"/>
          <w:sz w:val="18"/>
          <w:szCs w:val="18"/>
        </w:rPr>
        <w:t xml:space="preserve"> </w:t>
      </w:r>
      <w:r w:rsidR="005B75D9" w:rsidRPr="005C3B36">
        <w:rPr>
          <w:rFonts w:ascii="Arial" w:hAnsi="Arial" w:cs="Arial"/>
          <w:sz w:val="20"/>
          <w:szCs w:val="20"/>
        </w:rPr>
        <w:t>et al., 2025).</w:t>
      </w:r>
      <w:r w:rsidRPr="005C3B36">
        <w:rPr>
          <w:rFonts w:ascii="Arial" w:hAnsi="Arial" w:cs="Arial"/>
          <w:color w:val="000000" w:themeColor="text1"/>
          <w:sz w:val="20"/>
          <w:szCs w:val="20"/>
        </w:rPr>
        <w:t xml:space="preserve"> BMS (32.6:1) and OMS (34.2:1) were within ideal ranges, while PC had an excessively high ratio</w:t>
      </w:r>
      <w:r w:rsidR="0040172F" w:rsidRPr="005C3B36">
        <w:rPr>
          <w:rFonts w:ascii="Arial" w:hAnsi="Arial" w:cs="Arial"/>
          <w:color w:val="000000" w:themeColor="text1"/>
          <w:sz w:val="20"/>
          <w:szCs w:val="20"/>
        </w:rPr>
        <w:t xml:space="preserve">, as mentioned in Table </w:t>
      </w:r>
      <w:r w:rsidR="00C54DF2">
        <w:rPr>
          <w:rFonts w:ascii="Arial" w:hAnsi="Arial" w:cs="Arial"/>
          <w:color w:val="000000" w:themeColor="text1"/>
          <w:sz w:val="20"/>
          <w:szCs w:val="20"/>
        </w:rPr>
        <w:t>2</w:t>
      </w:r>
      <w:r w:rsidRPr="005C3B36">
        <w:rPr>
          <w:rFonts w:ascii="Arial" w:hAnsi="Arial" w:cs="Arial"/>
          <w:color w:val="000000" w:themeColor="text1"/>
          <w:sz w:val="20"/>
          <w:szCs w:val="20"/>
        </w:rPr>
        <w:t xml:space="preserve">. </w:t>
      </w:r>
      <w:r w:rsidR="0040172F" w:rsidRPr="005C3B36">
        <w:rPr>
          <w:rFonts w:ascii="Arial" w:hAnsi="Arial" w:cs="Arial"/>
          <w:color w:val="000000" w:themeColor="text1"/>
          <w:sz w:val="20"/>
          <w:szCs w:val="20"/>
        </w:rPr>
        <w:t xml:space="preserve">Figure 2 represents the variation in carbon content present in different substrates. </w:t>
      </w:r>
      <w:r w:rsidRPr="005C3B36">
        <w:rPr>
          <w:rFonts w:ascii="Arial" w:hAnsi="Arial" w:cs="Arial"/>
          <w:color w:val="000000" w:themeColor="text1"/>
          <w:sz w:val="20"/>
          <w:szCs w:val="20"/>
        </w:rPr>
        <w:t>Although paddy compost had the highest carbon content (32.98%)</w:t>
      </w:r>
      <w:r w:rsidR="0040172F" w:rsidRPr="005C3B36">
        <w:rPr>
          <w:rFonts w:ascii="Arial" w:hAnsi="Arial" w:cs="Arial"/>
          <w:color w:val="000000" w:themeColor="text1"/>
          <w:sz w:val="20"/>
          <w:szCs w:val="20"/>
        </w:rPr>
        <w:t xml:space="preserve">, </w:t>
      </w:r>
      <w:r w:rsidRPr="005C3B36">
        <w:rPr>
          <w:rFonts w:ascii="Arial" w:hAnsi="Arial" w:cs="Arial"/>
          <w:color w:val="000000" w:themeColor="text1"/>
          <w:sz w:val="20"/>
          <w:szCs w:val="20"/>
        </w:rPr>
        <w:t>it also had the highest C:N ratio (57:1), indicating slower microbial decomposition. Its C:N ratio</w:t>
      </w:r>
      <w:r w:rsidR="0040172F" w:rsidRPr="005C3B36">
        <w:rPr>
          <w:rFonts w:ascii="Arial" w:hAnsi="Arial" w:cs="Arial"/>
          <w:color w:val="000000" w:themeColor="text1"/>
          <w:sz w:val="20"/>
          <w:szCs w:val="20"/>
        </w:rPr>
        <w:t xml:space="preserve"> </w:t>
      </w:r>
      <w:r w:rsidRPr="005C3B36">
        <w:rPr>
          <w:rFonts w:ascii="Arial" w:hAnsi="Arial" w:cs="Arial"/>
          <w:color w:val="000000" w:themeColor="text1"/>
          <w:sz w:val="20"/>
          <w:szCs w:val="20"/>
        </w:rPr>
        <w:t xml:space="preserve">suggests a nitrogen shortage, which may prevent methane from being produced unless it is co-digested with nitrogen-rich substrates. </w:t>
      </w:r>
      <w:r w:rsidR="00634D0E" w:rsidRPr="005C3B36">
        <w:rPr>
          <w:rFonts w:ascii="Arial" w:hAnsi="Arial" w:cs="Arial"/>
          <w:color w:val="000000" w:themeColor="text1"/>
          <w:sz w:val="20"/>
          <w:szCs w:val="20"/>
        </w:rPr>
        <w:t>Organic Carbon was</w:t>
      </w:r>
      <w:r w:rsidR="0040172F" w:rsidRPr="005C3B36">
        <w:rPr>
          <w:rFonts w:ascii="Arial" w:hAnsi="Arial" w:cs="Arial"/>
          <w:color w:val="000000" w:themeColor="text1"/>
          <w:sz w:val="20"/>
          <w:szCs w:val="20"/>
        </w:rPr>
        <w:t xml:space="preserve"> found to be significantly different (</w:t>
      </w:r>
      <w:r w:rsidR="00D97D5A">
        <w:rPr>
          <w:rFonts w:ascii="Arial" w:hAnsi="Arial" w:cs="Arial"/>
          <w:color w:val="000000" w:themeColor="text1"/>
          <w:sz w:val="20"/>
          <w:szCs w:val="20"/>
        </w:rPr>
        <w:t>P</w:t>
      </w:r>
      <w:r w:rsidR="0040172F" w:rsidRPr="005C3B36">
        <w:rPr>
          <w:rFonts w:ascii="Arial" w:hAnsi="Arial" w:cs="Arial"/>
          <w:color w:val="000000" w:themeColor="text1"/>
          <w:sz w:val="20"/>
          <w:szCs w:val="20"/>
        </w:rPr>
        <w:t xml:space="preserve">=0.05) as shown in Table </w:t>
      </w:r>
      <w:r w:rsidR="00C54DF2">
        <w:rPr>
          <w:rFonts w:ascii="Arial" w:hAnsi="Arial" w:cs="Arial"/>
          <w:color w:val="000000" w:themeColor="text1"/>
          <w:sz w:val="20"/>
          <w:szCs w:val="20"/>
        </w:rPr>
        <w:t>1</w:t>
      </w:r>
      <w:r w:rsidR="00634D0E" w:rsidRPr="005C3B36">
        <w:rPr>
          <w:rFonts w:ascii="Arial" w:hAnsi="Arial" w:cs="Arial"/>
          <w:color w:val="000000" w:themeColor="text1"/>
          <w:sz w:val="20"/>
          <w:szCs w:val="20"/>
        </w:rPr>
        <w:t>.</w:t>
      </w:r>
      <w:r w:rsidR="00D97D5A">
        <w:rPr>
          <w:rFonts w:ascii="Arial" w:hAnsi="Arial" w:cs="Arial"/>
          <w:color w:val="000000" w:themeColor="text1"/>
          <w:sz w:val="20"/>
          <w:szCs w:val="20"/>
        </w:rPr>
        <w:t xml:space="preserve"> </w:t>
      </w:r>
      <w:r w:rsidR="00D97D5A" w:rsidRPr="00D97D5A">
        <w:rPr>
          <w:rFonts w:ascii="Arial" w:hAnsi="Arial" w:cs="Arial"/>
          <w:color w:val="000000" w:themeColor="text1"/>
          <w:sz w:val="20"/>
          <w:szCs w:val="20"/>
        </w:rPr>
        <w:t xml:space="preserve">Assuming sufficient biodegradability, oyster spent and paddy compost have a much greater carbon content and are more appropriate for producing </w:t>
      </w:r>
      <w:r w:rsidR="00502AC9" w:rsidRPr="00D97D5A">
        <w:rPr>
          <w:rFonts w:ascii="Arial" w:hAnsi="Arial" w:cs="Arial"/>
          <w:color w:val="000000" w:themeColor="text1"/>
          <w:sz w:val="20"/>
          <w:szCs w:val="20"/>
        </w:rPr>
        <w:t>biogas. The</w:t>
      </w:r>
      <w:r w:rsidR="00D97D5A" w:rsidRPr="00D97D5A">
        <w:rPr>
          <w:rFonts w:ascii="Arial" w:hAnsi="Arial" w:cs="Arial"/>
          <w:color w:val="000000" w:themeColor="text1"/>
          <w:sz w:val="20"/>
          <w:szCs w:val="20"/>
        </w:rPr>
        <w:t xml:space="preserve"> low carbon and high nitrogen content of button mushrooms can impair their ability to produce methane unless they are counterbalanced with carbon-rich additions.</w:t>
      </w:r>
      <w:r w:rsidR="00D97D5A">
        <w:rPr>
          <w:rFonts w:ascii="Arial" w:hAnsi="Arial" w:cs="Arial"/>
          <w:color w:val="000000" w:themeColor="text1"/>
          <w:sz w:val="20"/>
          <w:szCs w:val="20"/>
        </w:rPr>
        <w:t xml:space="preserve"> </w:t>
      </w:r>
      <w:r w:rsidR="00D97D5A" w:rsidRPr="00D97D5A">
        <w:rPr>
          <w:rFonts w:ascii="Arial" w:hAnsi="Arial" w:cs="Arial"/>
          <w:color w:val="000000" w:themeColor="text1"/>
          <w:sz w:val="20"/>
          <w:szCs w:val="20"/>
        </w:rPr>
        <w:t>Although carbon content by itself is a good predictor of biogas potential, reactor conditions, degradability and total nutritional balance all affect the best yields of feedstocks</w:t>
      </w:r>
      <w:r w:rsidR="00B814A3">
        <w:rPr>
          <w:rFonts w:ascii="Arial" w:hAnsi="Arial" w:cs="Arial"/>
          <w:color w:val="000000" w:themeColor="text1"/>
          <w:sz w:val="20"/>
          <w:szCs w:val="20"/>
        </w:rPr>
        <w:t xml:space="preserve"> (Ibro et al., 2022).</w:t>
      </w:r>
    </w:p>
    <w:p w14:paraId="025DEA72" w14:textId="2C14FF31" w:rsidR="00D658D1" w:rsidRPr="005C3B36" w:rsidRDefault="00D658D1" w:rsidP="00261174">
      <w:pPr>
        <w:spacing w:after="240"/>
        <w:jc w:val="center"/>
        <w:rPr>
          <w:rFonts w:ascii="Arial" w:hAnsi="Arial" w:cs="Arial"/>
          <w:b/>
          <w:bCs/>
          <w:color w:val="000000" w:themeColor="text1"/>
          <w:sz w:val="20"/>
          <w:szCs w:val="20"/>
        </w:rPr>
      </w:pPr>
      <w:r w:rsidRPr="005C3B36">
        <w:rPr>
          <w:rFonts w:ascii="Arial" w:hAnsi="Arial" w:cs="Arial"/>
          <w:b/>
          <w:bCs/>
          <w:color w:val="000000" w:themeColor="text1"/>
          <w:sz w:val="20"/>
          <w:szCs w:val="20"/>
        </w:rPr>
        <w:t xml:space="preserve">Table </w:t>
      </w:r>
      <w:r w:rsidR="00C54DF2">
        <w:rPr>
          <w:rFonts w:ascii="Arial" w:hAnsi="Arial" w:cs="Arial"/>
          <w:b/>
          <w:bCs/>
          <w:color w:val="000000" w:themeColor="text1"/>
          <w:sz w:val="20"/>
          <w:szCs w:val="20"/>
        </w:rPr>
        <w:t>2</w:t>
      </w:r>
      <w:r w:rsidRPr="005C3B36">
        <w:rPr>
          <w:rFonts w:ascii="Arial" w:hAnsi="Arial" w:cs="Arial"/>
          <w:b/>
          <w:bCs/>
          <w:color w:val="000000" w:themeColor="text1"/>
          <w:sz w:val="20"/>
          <w:szCs w:val="20"/>
        </w:rPr>
        <w:t>. Nutrient Composition and Elemental Ratios (N</w:t>
      </w:r>
      <w:proofErr w:type="gramStart"/>
      <w:r w:rsidRPr="005C3B36">
        <w:rPr>
          <w:rFonts w:ascii="Arial" w:hAnsi="Arial" w:cs="Arial"/>
          <w:b/>
          <w:bCs/>
          <w:color w:val="000000" w:themeColor="text1"/>
          <w:sz w:val="20"/>
          <w:szCs w:val="20"/>
        </w:rPr>
        <w:t>:P:K</w:t>
      </w:r>
      <w:proofErr w:type="gramEnd"/>
      <w:r w:rsidRPr="005C3B36">
        <w:rPr>
          <w:rFonts w:ascii="Arial" w:hAnsi="Arial" w:cs="Arial"/>
          <w:b/>
          <w:bCs/>
          <w:color w:val="000000" w:themeColor="text1"/>
          <w:sz w:val="20"/>
          <w:szCs w:val="20"/>
        </w:rPr>
        <w:t xml:space="preserve"> and C:N) of</w:t>
      </w:r>
      <w:r w:rsidR="00A328F4" w:rsidRPr="005C3B36">
        <w:rPr>
          <w:rFonts w:ascii="Arial" w:hAnsi="Arial" w:cs="Arial"/>
          <w:b/>
          <w:bCs/>
          <w:color w:val="000000" w:themeColor="text1"/>
          <w:sz w:val="20"/>
          <w:szCs w:val="20"/>
        </w:rPr>
        <w:t xml:space="preserve"> treated and untreated mushroom substrates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161"/>
        <w:gridCol w:w="1832"/>
      </w:tblGrid>
      <w:tr w:rsidR="004C52D6" w:rsidRPr="005C3B36" w14:paraId="0E8A00F8" w14:textId="77777777" w:rsidTr="00124A1A">
        <w:trPr>
          <w:trHeight w:val="258"/>
        </w:trPr>
        <w:tc>
          <w:tcPr>
            <w:tcW w:w="3076" w:type="dxa"/>
            <w:tcBorders>
              <w:top w:val="single" w:sz="4" w:space="0" w:color="auto"/>
              <w:bottom w:val="single" w:sz="4" w:space="0" w:color="auto"/>
            </w:tcBorders>
            <w:noWrap/>
            <w:hideMark/>
          </w:tcPr>
          <w:p w14:paraId="7AE171CA" w14:textId="45944966" w:rsidR="004C52D6" w:rsidRPr="005C3B36" w:rsidRDefault="004C52D6" w:rsidP="004C52D6">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Substrates</w:t>
            </w:r>
          </w:p>
        </w:tc>
        <w:tc>
          <w:tcPr>
            <w:tcW w:w="2161" w:type="dxa"/>
            <w:tcBorders>
              <w:top w:val="single" w:sz="4" w:space="0" w:color="auto"/>
              <w:bottom w:val="single" w:sz="4" w:space="0" w:color="auto"/>
            </w:tcBorders>
            <w:noWrap/>
            <w:hideMark/>
          </w:tcPr>
          <w:p w14:paraId="35D73F2E" w14:textId="77777777" w:rsidR="004C52D6" w:rsidRPr="005C3B36" w:rsidRDefault="004C52D6" w:rsidP="004C52D6">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N</w:t>
            </w:r>
            <w:proofErr w:type="gramStart"/>
            <w:r w:rsidRPr="005C3B36">
              <w:rPr>
                <w:rFonts w:ascii="Arial" w:eastAsiaTheme="minorHAnsi" w:hAnsi="Arial" w:cs="Arial"/>
                <w:b/>
                <w:bCs/>
                <w:color w:val="000000" w:themeColor="text1"/>
                <w:kern w:val="2"/>
                <w:sz w:val="20"/>
                <w:szCs w:val="20"/>
                <w:lang w:eastAsia="en-US" w:bidi="th-TH"/>
                <w14:ligatures w14:val="standardContextual"/>
              </w:rPr>
              <w:t>:P:K</w:t>
            </w:r>
            <w:proofErr w:type="gramEnd"/>
          </w:p>
        </w:tc>
        <w:tc>
          <w:tcPr>
            <w:tcW w:w="1832" w:type="dxa"/>
            <w:tcBorders>
              <w:top w:val="single" w:sz="4" w:space="0" w:color="auto"/>
              <w:bottom w:val="single" w:sz="4" w:space="0" w:color="auto"/>
            </w:tcBorders>
            <w:noWrap/>
            <w:hideMark/>
          </w:tcPr>
          <w:p w14:paraId="1D9F97A9" w14:textId="77777777" w:rsidR="004C52D6" w:rsidRPr="005C3B36" w:rsidRDefault="004C52D6" w:rsidP="004C52D6">
            <w:pPr>
              <w:spacing w:after="240"/>
              <w:jc w:val="both"/>
              <w:rPr>
                <w:rFonts w:ascii="Arial" w:eastAsiaTheme="minorHAnsi" w:hAnsi="Arial" w:cs="Arial"/>
                <w:b/>
                <w:bCs/>
                <w:color w:val="000000" w:themeColor="text1"/>
                <w:kern w:val="2"/>
                <w:sz w:val="20"/>
                <w:szCs w:val="20"/>
                <w:lang w:eastAsia="en-US" w:bidi="th-TH"/>
                <w14:ligatures w14:val="standardContextual"/>
              </w:rPr>
            </w:pPr>
            <w:proofErr w:type="gramStart"/>
            <w:r w:rsidRPr="005C3B36">
              <w:rPr>
                <w:rFonts w:ascii="Arial" w:eastAsiaTheme="minorHAnsi" w:hAnsi="Arial" w:cs="Arial"/>
                <w:b/>
                <w:bCs/>
                <w:color w:val="000000" w:themeColor="text1"/>
                <w:kern w:val="2"/>
                <w:sz w:val="20"/>
                <w:szCs w:val="20"/>
                <w:lang w:eastAsia="en-US" w:bidi="th-TH"/>
                <w14:ligatures w14:val="standardContextual"/>
              </w:rPr>
              <w:t>C:N</w:t>
            </w:r>
            <w:proofErr w:type="gramEnd"/>
          </w:p>
        </w:tc>
      </w:tr>
      <w:tr w:rsidR="004C52D6" w:rsidRPr="005C3B36" w14:paraId="4AE390E4" w14:textId="77777777" w:rsidTr="00124A1A">
        <w:trPr>
          <w:trHeight w:val="258"/>
        </w:trPr>
        <w:tc>
          <w:tcPr>
            <w:tcW w:w="3076" w:type="dxa"/>
            <w:tcBorders>
              <w:top w:val="single" w:sz="4" w:space="0" w:color="auto"/>
            </w:tcBorders>
            <w:noWrap/>
            <w:hideMark/>
          </w:tcPr>
          <w:p w14:paraId="5F53E403" w14:textId="77777777" w:rsidR="004C52D6" w:rsidRPr="005C3B36" w:rsidRDefault="004C52D6" w:rsidP="004C52D6">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Wheat Compost</w:t>
            </w:r>
          </w:p>
        </w:tc>
        <w:tc>
          <w:tcPr>
            <w:tcW w:w="2161" w:type="dxa"/>
            <w:tcBorders>
              <w:top w:val="single" w:sz="4" w:space="0" w:color="auto"/>
            </w:tcBorders>
            <w:noWrap/>
            <w:hideMark/>
          </w:tcPr>
          <w:p w14:paraId="305F3097"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3.17:1:2.6</w:t>
            </w:r>
          </w:p>
        </w:tc>
        <w:tc>
          <w:tcPr>
            <w:tcW w:w="1832" w:type="dxa"/>
            <w:tcBorders>
              <w:top w:val="single" w:sz="4" w:space="0" w:color="auto"/>
            </w:tcBorders>
            <w:noWrap/>
            <w:hideMark/>
          </w:tcPr>
          <w:p w14:paraId="4ED7E11A"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43.3:1</w:t>
            </w:r>
          </w:p>
        </w:tc>
      </w:tr>
      <w:tr w:rsidR="004C52D6" w:rsidRPr="005C3B36" w14:paraId="6F757FC4" w14:textId="77777777" w:rsidTr="00124A1A">
        <w:trPr>
          <w:trHeight w:val="258"/>
        </w:trPr>
        <w:tc>
          <w:tcPr>
            <w:tcW w:w="3076" w:type="dxa"/>
            <w:noWrap/>
            <w:hideMark/>
          </w:tcPr>
          <w:p w14:paraId="173A4AA1" w14:textId="77777777" w:rsidR="004C52D6" w:rsidRPr="005C3B36" w:rsidRDefault="004C52D6" w:rsidP="004C52D6">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Paddy Compost</w:t>
            </w:r>
          </w:p>
        </w:tc>
        <w:tc>
          <w:tcPr>
            <w:tcW w:w="2161" w:type="dxa"/>
            <w:noWrap/>
            <w:hideMark/>
          </w:tcPr>
          <w:p w14:paraId="324DC720"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2.86:1:10.03</w:t>
            </w:r>
          </w:p>
        </w:tc>
        <w:tc>
          <w:tcPr>
            <w:tcW w:w="1832" w:type="dxa"/>
            <w:noWrap/>
            <w:hideMark/>
          </w:tcPr>
          <w:p w14:paraId="6CDCD8C9"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57:1</w:t>
            </w:r>
          </w:p>
        </w:tc>
      </w:tr>
      <w:tr w:rsidR="004C52D6" w:rsidRPr="005C3B36" w14:paraId="25046B09" w14:textId="77777777" w:rsidTr="00124A1A">
        <w:trPr>
          <w:trHeight w:val="258"/>
        </w:trPr>
        <w:tc>
          <w:tcPr>
            <w:tcW w:w="3076" w:type="dxa"/>
            <w:noWrap/>
            <w:hideMark/>
          </w:tcPr>
          <w:p w14:paraId="09B38003" w14:textId="77777777" w:rsidR="004C52D6" w:rsidRPr="005C3B36" w:rsidRDefault="004C52D6" w:rsidP="004C52D6">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Button Mushroom Spent</w:t>
            </w:r>
          </w:p>
        </w:tc>
        <w:tc>
          <w:tcPr>
            <w:tcW w:w="2161" w:type="dxa"/>
            <w:noWrap/>
            <w:hideMark/>
          </w:tcPr>
          <w:p w14:paraId="4642A5AB"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27.66:1:10.64</w:t>
            </w:r>
          </w:p>
        </w:tc>
        <w:tc>
          <w:tcPr>
            <w:tcW w:w="1832" w:type="dxa"/>
            <w:noWrap/>
            <w:hideMark/>
          </w:tcPr>
          <w:p w14:paraId="05DA5BE7"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32.6:1</w:t>
            </w:r>
          </w:p>
        </w:tc>
      </w:tr>
      <w:tr w:rsidR="004C52D6" w:rsidRPr="005C3B36" w14:paraId="00071A8E" w14:textId="77777777" w:rsidTr="00124A1A">
        <w:trPr>
          <w:trHeight w:val="258"/>
        </w:trPr>
        <w:tc>
          <w:tcPr>
            <w:tcW w:w="3076" w:type="dxa"/>
            <w:noWrap/>
            <w:hideMark/>
          </w:tcPr>
          <w:p w14:paraId="358B0200" w14:textId="19279461" w:rsidR="004C52D6" w:rsidRPr="005C3B36" w:rsidRDefault="004C52D6" w:rsidP="004C52D6">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Oyster Mushroom spent</w:t>
            </w:r>
          </w:p>
        </w:tc>
        <w:tc>
          <w:tcPr>
            <w:tcW w:w="2161" w:type="dxa"/>
            <w:noWrap/>
            <w:hideMark/>
          </w:tcPr>
          <w:p w14:paraId="30D889A6"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3.03:1:2.36</w:t>
            </w:r>
          </w:p>
        </w:tc>
        <w:tc>
          <w:tcPr>
            <w:tcW w:w="1832" w:type="dxa"/>
            <w:noWrap/>
            <w:hideMark/>
          </w:tcPr>
          <w:p w14:paraId="7E25825D" w14:textId="77777777" w:rsidR="004C52D6" w:rsidRPr="005C3B36" w:rsidRDefault="004C52D6" w:rsidP="004C52D6">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34.2:1</w:t>
            </w:r>
          </w:p>
        </w:tc>
      </w:tr>
    </w:tbl>
    <w:p w14:paraId="03E9C436" w14:textId="0788FE31" w:rsidR="004C52D6" w:rsidRPr="005C3B36" w:rsidRDefault="003E29C8" w:rsidP="00864C6F">
      <w:pPr>
        <w:pStyle w:val="ListParagraph"/>
        <w:numPr>
          <w:ilvl w:val="0"/>
          <w:numId w:val="40"/>
        </w:numPr>
        <w:spacing w:after="240"/>
        <w:jc w:val="both"/>
        <w:rPr>
          <w:rFonts w:ascii="Arial" w:hAnsi="Arial" w:cs="Arial"/>
          <w:i/>
          <w:iCs/>
          <w:color w:val="000000" w:themeColor="text1"/>
          <w:sz w:val="18"/>
          <w:szCs w:val="18"/>
        </w:rPr>
      </w:pPr>
      <w:r w:rsidRPr="005C3B36">
        <w:rPr>
          <w:rFonts w:ascii="Arial" w:hAnsi="Arial" w:cs="Arial"/>
          <w:i/>
          <w:iCs/>
          <w:color w:val="000000" w:themeColor="text1"/>
          <w:sz w:val="18"/>
          <w:szCs w:val="18"/>
        </w:rPr>
        <w:t xml:space="preserve">Abbreviations: </w:t>
      </w:r>
      <w:r w:rsidR="00864C6F" w:rsidRPr="005C3B36">
        <w:rPr>
          <w:rFonts w:ascii="Arial" w:hAnsi="Arial" w:cs="Arial"/>
          <w:i/>
          <w:iCs/>
          <w:color w:val="000000" w:themeColor="text1"/>
          <w:sz w:val="18"/>
          <w:szCs w:val="18"/>
        </w:rPr>
        <w:t>N</w:t>
      </w:r>
      <w:proofErr w:type="gramStart"/>
      <w:r w:rsidR="00864C6F" w:rsidRPr="005C3B36">
        <w:rPr>
          <w:rFonts w:ascii="Arial" w:hAnsi="Arial" w:cs="Arial"/>
          <w:i/>
          <w:iCs/>
          <w:color w:val="000000" w:themeColor="text1"/>
          <w:sz w:val="18"/>
          <w:szCs w:val="18"/>
        </w:rPr>
        <w:t>:P:K</w:t>
      </w:r>
      <w:proofErr w:type="gramEnd"/>
      <w:r w:rsidRPr="005C3B36">
        <w:rPr>
          <w:rFonts w:ascii="Arial" w:hAnsi="Arial" w:cs="Arial"/>
          <w:i/>
          <w:iCs/>
          <w:color w:val="000000" w:themeColor="text1"/>
          <w:sz w:val="18"/>
          <w:szCs w:val="18"/>
        </w:rPr>
        <w:t>, Nitrogen: Phosphorus: Potassium; C:N, Carbon: Nitrogen</w:t>
      </w:r>
    </w:p>
    <w:p w14:paraId="2022FC90" w14:textId="5F8B4B0A" w:rsidR="001D7363" w:rsidRPr="005C3B36" w:rsidRDefault="001D7363" w:rsidP="003F35A5">
      <w:pPr>
        <w:jc w:val="center"/>
        <w:rPr>
          <w:rFonts w:ascii="Arial" w:hAnsi="Arial" w:cs="Arial"/>
          <w:b/>
          <w:bCs/>
          <w:color w:val="000000" w:themeColor="text1"/>
          <w:sz w:val="20"/>
          <w:szCs w:val="20"/>
        </w:rPr>
      </w:pPr>
      <w:r w:rsidRPr="005C3B36">
        <w:rPr>
          <w:rFonts w:ascii="Arial" w:hAnsi="Arial" w:cs="Arial"/>
          <w:b/>
          <w:bCs/>
          <w:noProof/>
          <w:color w:val="000000" w:themeColor="text1"/>
          <w:sz w:val="20"/>
          <w:szCs w:val="20"/>
        </w:rPr>
        <w:lastRenderedPageBreak/>
        <w:drawing>
          <wp:anchor distT="0" distB="0" distL="114300" distR="114300" simplePos="0" relativeHeight="251659264" behindDoc="0" locked="0" layoutInCell="1" allowOverlap="1" wp14:anchorId="4A72F3EC" wp14:editId="4FF7F837">
            <wp:simplePos x="0" y="0"/>
            <wp:positionH relativeFrom="margin">
              <wp:posOffset>677943</wp:posOffset>
            </wp:positionH>
            <wp:positionV relativeFrom="paragraph">
              <wp:posOffset>0</wp:posOffset>
            </wp:positionV>
            <wp:extent cx="3850640" cy="2947670"/>
            <wp:effectExtent l="0" t="0" r="0" b="5080"/>
            <wp:wrapTopAndBottom/>
            <wp:docPr id="621256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5624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50640" cy="2947670"/>
                    </a:xfrm>
                    <a:prstGeom prst="rect">
                      <a:avLst/>
                    </a:prstGeom>
                  </pic:spPr>
                </pic:pic>
              </a:graphicData>
            </a:graphic>
            <wp14:sizeRelH relativeFrom="margin">
              <wp14:pctWidth>0</wp14:pctWidth>
            </wp14:sizeRelH>
            <wp14:sizeRelV relativeFrom="margin">
              <wp14:pctHeight>0</wp14:pctHeight>
            </wp14:sizeRelV>
          </wp:anchor>
        </w:drawing>
      </w:r>
      <w:r w:rsidR="003F35A5" w:rsidRPr="005C3B36">
        <w:rPr>
          <w:rFonts w:ascii="Arial" w:hAnsi="Arial" w:cs="Arial"/>
          <w:b/>
          <w:bCs/>
          <w:color w:val="000000" w:themeColor="text1"/>
          <w:sz w:val="20"/>
          <w:szCs w:val="20"/>
        </w:rPr>
        <w:t>Figure 2. Carbon content in treated and untreated mushroom substrates</w:t>
      </w:r>
      <w:r w:rsidR="00261174">
        <w:rPr>
          <w:rFonts w:ascii="Arial" w:hAnsi="Arial" w:cs="Arial"/>
          <w:b/>
          <w:bCs/>
          <w:color w:val="000000" w:themeColor="text1"/>
          <w:sz w:val="20"/>
          <w:szCs w:val="20"/>
        </w:rPr>
        <w:t xml:space="preserve"> (mean ± SE)</w:t>
      </w:r>
    </w:p>
    <w:p w14:paraId="2C9F850E" w14:textId="2E020FC0" w:rsidR="004618DA" w:rsidRPr="005C3B36" w:rsidRDefault="004618DA" w:rsidP="003F35A5">
      <w:pPr>
        <w:spacing w:before="240"/>
        <w:jc w:val="both"/>
        <w:rPr>
          <w:rFonts w:ascii="Arial" w:hAnsi="Arial" w:cs="Arial"/>
          <w:b/>
          <w:bCs/>
          <w:color w:val="000000" w:themeColor="text1"/>
          <w:sz w:val="20"/>
          <w:szCs w:val="20"/>
        </w:rPr>
      </w:pPr>
      <w:r w:rsidRPr="005C3B36">
        <w:rPr>
          <w:rFonts w:ascii="Arial" w:hAnsi="Arial" w:cs="Arial"/>
          <w:b/>
          <w:bCs/>
          <w:color w:val="000000" w:themeColor="text1"/>
          <w:sz w:val="20"/>
          <w:szCs w:val="20"/>
        </w:rPr>
        <w:t>3</w:t>
      </w:r>
      <w:r w:rsidR="00016491" w:rsidRPr="005C3B36">
        <w:rPr>
          <w:rFonts w:ascii="Arial" w:hAnsi="Arial" w:cs="Arial"/>
          <w:b/>
          <w:bCs/>
          <w:color w:val="000000" w:themeColor="text1"/>
          <w:sz w:val="20"/>
          <w:szCs w:val="20"/>
        </w:rPr>
        <w:t>.2</w:t>
      </w:r>
      <w:r w:rsidRPr="005C3B36">
        <w:rPr>
          <w:rFonts w:ascii="Arial" w:hAnsi="Arial" w:cs="Arial"/>
          <w:b/>
          <w:bCs/>
          <w:color w:val="000000" w:themeColor="text1"/>
          <w:sz w:val="20"/>
          <w:szCs w:val="20"/>
        </w:rPr>
        <w:t xml:space="preserve"> pH and Alkalinity</w:t>
      </w:r>
    </w:p>
    <w:p w14:paraId="7EC04738" w14:textId="71212B0E" w:rsidR="004618DA" w:rsidRPr="005C3B36" w:rsidRDefault="00C54DF2" w:rsidP="0098324B">
      <w:pPr>
        <w:spacing w:after="240"/>
        <w:jc w:val="both"/>
        <w:rPr>
          <w:rFonts w:ascii="Arial" w:hAnsi="Arial" w:cs="Arial"/>
        </w:rPr>
      </w:pPr>
      <w:r w:rsidRPr="005C3B36">
        <w:rPr>
          <w:rFonts w:ascii="Arial" w:hAnsi="Arial" w:cs="Arial"/>
          <w:noProof/>
          <w:color w:val="000000" w:themeColor="text1"/>
        </w:rPr>
        <w:drawing>
          <wp:anchor distT="0" distB="0" distL="114300" distR="114300" simplePos="0" relativeHeight="251664384" behindDoc="0" locked="0" layoutInCell="1" allowOverlap="1" wp14:anchorId="239559E1" wp14:editId="0604E66A">
            <wp:simplePos x="0" y="0"/>
            <wp:positionH relativeFrom="margin">
              <wp:align>center</wp:align>
            </wp:positionH>
            <wp:positionV relativeFrom="paragraph">
              <wp:posOffset>1078206</wp:posOffset>
            </wp:positionV>
            <wp:extent cx="3445510" cy="2161540"/>
            <wp:effectExtent l="0" t="0" r="0" b="0"/>
            <wp:wrapTopAndBottom/>
            <wp:docPr id="2" name="Picture 1" descr="Project Path: &#10;PE Folder: /UNTITLED/Folder1/&#10;Short Name: Graph2">
              <a:extLst xmlns:a="http://schemas.openxmlformats.org/drawingml/2006/main">
                <a:ext uri="{FF2B5EF4-FFF2-40B4-BE49-F238E27FC236}">
                  <a16:creationId xmlns:a16="http://schemas.microsoft.com/office/drawing/2014/main" id="{2BFB29D9-67B8-1082-F922-48ADB0B91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roject Path: &#10;PE Folder: /UNTITLED/Folder1/&#10;Short Name: Graph2">
                      <a:extLst>
                        <a:ext uri="{FF2B5EF4-FFF2-40B4-BE49-F238E27FC236}">
                          <a16:creationId xmlns:a16="http://schemas.microsoft.com/office/drawing/2014/main" id="{2BFB29D9-67B8-1082-F922-48ADB0B91900}"/>
                        </a:ext>
                      </a:extLst>
                    </pic:cNvPr>
                    <pic:cNvPicPr>
                      <a:picLocks noChangeAspect="1"/>
                    </pic:cNvPicPr>
                  </pic:nvPicPr>
                  <pic:blipFill>
                    <a:blip r:embed="rId16"/>
                    <a:stretch>
                      <a:fillRect/>
                    </a:stretch>
                  </pic:blipFill>
                  <pic:spPr>
                    <a:xfrm>
                      <a:off x="0" y="0"/>
                      <a:ext cx="3445510" cy="2161540"/>
                    </a:xfrm>
                    <a:prstGeom prst="rect">
                      <a:avLst/>
                    </a:prstGeom>
                  </pic:spPr>
                </pic:pic>
              </a:graphicData>
            </a:graphic>
            <wp14:sizeRelH relativeFrom="margin">
              <wp14:pctWidth>0</wp14:pctWidth>
            </wp14:sizeRelH>
          </wp:anchor>
        </w:drawing>
      </w:r>
      <w:r w:rsidR="0040172F" w:rsidRPr="005C3B36">
        <w:rPr>
          <w:rFonts w:ascii="Arial" w:hAnsi="Arial" w:cs="Arial"/>
          <w:color w:val="000000" w:themeColor="text1"/>
          <w:sz w:val="20"/>
          <w:szCs w:val="20"/>
        </w:rPr>
        <w:t xml:space="preserve">The variation in pH and alkalinity is presented in Figure 3. </w:t>
      </w:r>
      <w:r w:rsidR="004618DA" w:rsidRPr="005C3B36">
        <w:rPr>
          <w:rFonts w:ascii="Arial" w:hAnsi="Arial" w:cs="Arial"/>
          <w:color w:val="000000" w:themeColor="text1"/>
          <w:sz w:val="20"/>
          <w:szCs w:val="20"/>
        </w:rPr>
        <w:t>WC and PC were found to be alkaline, BMS was neutral (7.25) and OMS was slightly acidic (6.45). WC and PC demonstrated a steady buffering capability for anaerobic microorganisms with high alkalinity (541.67 mgL</w:t>
      </w:r>
      <w:r w:rsidR="00D97D5A">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and 381 </w:t>
      </w:r>
      <w:r w:rsidR="00D97D5A" w:rsidRPr="005C3B36">
        <w:rPr>
          <w:rFonts w:ascii="Arial" w:hAnsi="Arial" w:cs="Arial"/>
          <w:color w:val="000000" w:themeColor="text1"/>
          <w:sz w:val="20"/>
          <w:szCs w:val="20"/>
        </w:rPr>
        <w:t>mgL</w:t>
      </w:r>
      <w:r w:rsidR="00D97D5A">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and neutral to slightly alkaline pH (8.3 and 8.23).</w:t>
      </w:r>
      <w:r w:rsidR="00634D0E" w:rsidRPr="005C3B36">
        <w:rPr>
          <w:rFonts w:ascii="Arial" w:hAnsi="Arial" w:cs="Arial"/>
          <w:color w:val="000000" w:themeColor="text1"/>
          <w:sz w:val="20"/>
          <w:szCs w:val="20"/>
        </w:rPr>
        <w:t xml:space="preserve"> pH and alkalinity of untreated and treated substrates showed </w:t>
      </w:r>
      <w:r w:rsidR="003051BA" w:rsidRPr="005C3B36">
        <w:rPr>
          <w:rFonts w:ascii="Arial" w:hAnsi="Arial" w:cs="Arial"/>
          <w:color w:val="000000" w:themeColor="text1"/>
          <w:sz w:val="20"/>
          <w:szCs w:val="20"/>
        </w:rPr>
        <w:t xml:space="preserve">a </w:t>
      </w:r>
      <w:r w:rsidR="00634D0E" w:rsidRPr="005C3B36">
        <w:rPr>
          <w:rFonts w:ascii="Arial" w:hAnsi="Arial" w:cs="Arial"/>
          <w:color w:val="000000" w:themeColor="text1"/>
          <w:sz w:val="20"/>
          <w:szCs w:val="20"/>
        </w:rPr>
        <w:t>significant difference</w:t>
      </w:r>
      <w:r w:rsidR="00D97D5A">
        <w:rPr>
          <w:rFonts w:ascii="Arial" w:hAnsi="Arial" w:cs="Arial"/>
          <w:color w:val="000000" w:themeColor="text1"/>
          <w:sz w:val="20"/>
          <w:szCs w:val="20"/>
        </w:rPr>
        <w:t xml:space="preserve"> </w:t>
      </w:r>
      <w:r w:rsidR="00634D0E" w:rsidRPr="005C3B36">
        <w:rPr>
          <w:rFonts w:ascii="Arial" w:hAnsi="Arial" w:cs="Arial"/>
          <w:color w:val="000000" w:themeColor="text1"/>
          <w:sz w:val="20"/>
          <w:szCs w:val="20"/>
        </w:rPr>
        <w:t>(</w:t>
      </w:r>
      <w:r w:rsidR="00D97D5A">
        <w:rPr>
          <w:rFonts w:ascii="Arial" w:hAnsi="Arial" w:cs="Arial"/>
          <w:color w:val="000000" w:themeColor="text1"/>
          <w:sz w:val="20"/>
          <w:szCs w:val="20"/>
        </w:rPr>
        <w:t>P</w:t>
      </w:r>
      <w:r w:rsidR="00634D0E" w:rsidRPr="005C3B36">
        <w:rPr>
          <w:rFonts w:ascii="Arial" w:hAnsi="Arial" w:cs="Arial"/>
          <w:color w:val="000000" w:themeColor="text1"/>
          <w:sz w:val="20"/>
          <w:szCs w:val="20"/>
        </w:rPr>
        <w:t xml:space="preserve">=0.05) as mentioned in Table </w:t>
      </w:r>
      <w:r>
        <w:rPr>
          <w:rFonts w:ascii="Arial" w:hAnsi="Arial" w:cs="Arial"/>
          <w:color w:val="000000" w:themeColor="text1"/>
          <w:sz w:val="20"/>
          <w:szCs w:val="20"/>
        </w:rPr>
        <w:t>1</w:t>
      </w:r>
      <w:r w:rsidR="00634D0E" w:rsidRPr="005C3B36">
        <w:rPr>
          <w:rFonts w:ascii="Arial" w:hAnsi="Arial" w:cs="Arial"/>
          <w:color w:val="000000" w:themeColor="text1"/>
          <w:sz w:val="20"/>
          <w:szCs w:val="20"/>
        </w:rPr>
        <w:t xml:space="preserve">. </w:t>
      </w:r>
      <w:r w:rsidR="004618DA" w:rsidRPr="005C3B36">
        <w:rPr>
          <w:rFonts w:ascii="Arial" w:hAnsi="Arial" w:cs="Arial"/>
          <w:color w:val="000000" w:themeColor="text1"/>
          <w:sz w:val="20"/>
          <w:szCs w:val="20"/>
        </w:rPr>
        <w:t xml:space="preserve"> Low alkalinity and slightly acidic pH of OM</w:t>
      </w:r>
      <w:r w:rsidR="00634D0E" w:rsidRPr="005C3B36">
        <w:rPr>
          <w:rFonts w:ascii="Arial" w:hAnsi="Arial" w:cs="Arial"/>
          <w:color w:val="000000" w:themeColor="text1"/>
          <w:sz w:val="20"/>
          <w:szCs w:val="20"/>
        </w:rPr>
        <w:t>S</w:t>
      </w:r>
      <w:r w:rsidR="004618DA" w:rsidRPr="005C3B36">
        <w:rPr>
          <w:rFonts w:ascii="Arial" w:hAnsi="Arial" w:cs="Arial"/>
          <w:color w:val="000000" w:themeColor="text1"/>
          <w:sz w:val="20"/>
          <w:szCs w:val="20"/>
        </w:rPr>
        <w:t xml:space="preserve"> may cause acid buildup, requiring co-digestion techniques or pH correction </w:t>
      </w:r>
      <w:r w:rsidR="004618DA" w:rsidRPr="00D97D5A">
        <w:rPr>
          <w:rFonts w:ascii="Arial" w:hAnsi="Arial" w:cs="Arial"/>
          <w:color w:val="000000" w:themeColor="text1"/>
          <w:sz w:val="20"/>
          <w:szCs w:val="20"/>
        </w:rPr>
        <w:t>(</w:t>
      </w:r>
      <w:r w:rsidR="000567C8" w:rsidRPr="00D97D5A">
        <w:rPr>
          <w:rFonts w:ascii="Arial" w:hAnsi="Arial" w:cs="Arial"/>
          <w:sz w:val="20"/>
          <w:szCs w:val="20"/>
        </w:rPr>
        <w:t>Pan et al., 2021).</w:t>
      </w:r>
    </w:p>
    <w:p w14:paraId="03DBB850" w14:textId="5FF842B1" w:rsidR="003F35A5" w:rsidRPr="00C54DF2" w:rsidRDefault="00C54DF2" w:rsidP="00C54DF2">
      <w:pPr>
        <w:spacing w:after="240"/>
        <w:jc w:val="center"/>
        <w:rPr>
          <w:rFonts w:ascii="Arial" w:hAnsi="Arial" w:cs="Arial"/>
          <w:b/>
          <w:bCs/>
          <w:color w:val="000000" w:themeColor="text1"/>
          <w:sz w:val="20"/>
          <w:szCs w:val="20"/>
        </w:rPr>
      </w:pPr>
      <w:r w:rsidRPr="005C3B36">
        <w:rPr>
          <w:rFonts w:ascii="Arial" w:hAnsi="Arial" w:cs="Arial"/>
          <w:b/>
          <w:bCs/>
          <w:color w:val="000000" w:themeColor="text1"/>
          <w:sz w:val="20"/>
          <w:szCs w:val="20"/>
        </w:rPr>
        <w:t>Figure 3. pH and alkalinity of treated and untreated mushroom substrates</w:t>
      </w:r>
      <w:r>
        <w:rPr>
          <w:rFonts w:ascii="Arial" w:hAnsi="Arial" w:cs="Arial"/>
          <w:b/>
          <w:bCs/>
          <w:color w:val="000000" w:themeColor="text1"/>
          <w:sz w:val="20"/>
          <w:szCs w:val="20"/>
        </w:rPr>
        <w:t xml:space="preserve"> (mean ± SE)</w:t>
      </w:r>
    </w:p>
    <w:p w14:paraId="31792715" w14:textId="4CD028B6" w:rsidR="004618DA" w:rsidRPr="005C3B36" w:rsidRDefault="00016491" w:rsidP="003E29C8">
      <w:pPr>
        <w:spacing w:after="240"/>
        <w:jc w:val="both"/>
        <w:rPr>
          <w:rFonts w:ascii="Arial" w:hAnsi="Arial" w:cs="Arial"/>
          <w:color w:val="000000" w:themeColor="text1"/>
          <w:sz w:val="20"/>
          <w:szCs w:val="20"/>
        </w:rPr>
      </w:pPr>
      <w:r w:rsidRPr="005C3B36">
        <w:rPr>
          <w:rFonts w:ascii="Arial" w:hAnsi="Arial" w:cs="Arial"/>
          <w:b/>
          <w:bCs/>
          <w:color w:val="000000" w:themeColor="text1"/>
          <w:sz w:val="20"/>
          <w:szCs w:val="20"/>
        </w:rPr>
        <w:t>3.3</w:t>
      </w:r>
      <w:r w:rsidR="004618DA" w:rsidRPr="005C3B36">
        <w:rPr>
          <w:rFonts w:ascii="Arial" w:hAnsi="Arial" w:cs="Arial"/>
          <w:b/>
          <w:bCs/>
          <w:color w:val="000000" w:themeColor="text1"/>
          <w:sz w:val="20"/>
          <w:szCs w:val="20"/>
        </w:rPr>
        <w:t xml:space="preserve"> Biodegradability Indicators (BOD &amp; COD)</w:t>
      </w:r>
    </w:p>
    <w:p w14:paraId="07DC8132" w14:textId="00502CD1" w:rsidR="003051BA" w:rsidRPr="005C3B36" w:rsidRDefault="004351EC" w:rsidP="003051BA">
      <w:pPr>
        <w:spacing w:before="240"/>
        <w:jc w:val="both"/>
        <w:rPr>
          <w:rFonts w:ascii="Arial" w:hAnsi="Arial" w:cs="Arial"/>
          <w:color w:val="000000" w:themeColor="text1"/>
          <w:sz w:val="22"/>
          <w:szCs w:val="22"/>
        </w:rPr>
      </w:pPr>
      <w:r w:rsidRPr="005C3B36">
        <w:rPr>
          <w:rFonts w:ascii="Arial" w:hAnsi="Arial" w:cs="Arial"/>
          <w:color w:val="000000" w:themeColor="text1"/>
          <w:sz w:val="20"/>
          <w:szCs w:val="20"/>
        </w:rPr>
        <w:t xml:space="preserve">The variation in BOD and COD values of different substrates is graphically presented in Figure 4. </w:t>
      </w:r>
      <w:r w:rsidR="004618DA" w:rsidRPr="005C3B36">
        <w:rPr>
          <w:rFonts w:ascii="Arial" w:hAnsi="Arial" w:cs="Arial"/>
          <w:color w:val="000000" w:themeColor="text1"/>
          <w:sz w:val="20"/>
          <w:szCs w:val="20"/>
        </w:rPr>
        <w:t xml:space="preserve">BMS had extremely high BOD (1024.3 </w:t>
      </w:r>
      <w:r w:rsidR="00502AC9" w:rsidRPr="005C3B36">
        <w:rPr>
          <w:rFonts w:ascii="Arial" w:hAnsi="Arial" w:cs="Arial"/>
          <w:color w:val="000000" w:themeColor="text1"/>
          <w:sz w:val="20"/>
          <w:szCs w:val="20"/>
        </w:rPr>
        <w:t>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and COD (2976.67 </w:t>
      </w:r>
      <w:r w:rsidR="00502AC9" w:rsidRPr="005C3B36">
        <w:rPr>
          <w:rFonts w:ascii="Arial" w:hAnsi="Arial" w:cs="Arial"/>
          <w:color w:val="000000" w:themeColor="text1"/>
          <w:sz w:val="20"/>
          <w:szCs w:val="20"/>
        </w:rPr>
        <w:t>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followed by OMS (582.77 </w:t>
      </w:r>
      <w:r w:rsidR="00502AC9" w:rsidRPr="005C3B36">
        <w:rPr>
          <w:rFonts w:ascii="Arial" w:hAnsi="Arial" w:cs="Arial"/>
          <w:color w:val="000000" w:themeColor="text1"/>
          <w:sz w:val="20"/>
          <w:szCs w:val="20"/>
        </w:rPr>
        <w:t>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1288.33 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w:t>
      </w:r>
      <w:r w:rsidRPr="005C3B36">
        <w:rPr>
          <w:rFonts w:ascii="Arial" w:hAnsi="Arial" w:cs="Arial"/>
          <w:color w:val="000000" w:themeColor="text1"/>
          <w:sz w:val="20"/>
          <w:szCs w:val="20"/>
        </w:rPr>
        <w:t>The BOD and COD of treated mushroom substrates were found to be significantly different (</w:t>
      </w:r>
      <w:r w:rsidR="00C54DF2">
        <w:rPr>
          <w:rFonts w:ascii="Arial" w:hAnsi="Arial" w:cs="Arial"/>
          <w:color w:val="000000" w:themeColor="text1"/>
          <w:sz w:val="20"/>
          <w:szCs w:val="20"/>
        </w:rPr>
        <w:t>P</w:t>
      </w:r>
      <w:r w:rsidRPr="005C3B36">
        <w:rPr>
          <w:rFonts w:ascii="Arial" w:hAnsi="Arial" w:cs="Arial"/>
          <w:color w:val="000000" w:themeColor="text1"/>
          <w:sz w:val="20"/>
          <w:szCs w:val="20"/>
        </w:rPr>
        <w:t>=0.05) as compared to the untreated mushroom substrates</w:t>
      </w:r>
      <w:r w:rsidR="00C54DF2">
        <w:rPr>
          <w:rFonts w:ascii="Arial" w:hAnsi="Arial" w:cs="Arial"/>
          <w:color w:val="000000" w:themeColor="text1"/>
          <w:sz w:val="20"/>
          <w:szCs w:val="20"/>
        </w:rPr>
        <w:t xml:space="preserve"> </w:t>
      </w:r>
      <w:r w:rsidR="00C54DF2">
        <w:rPr>
          <w:rFonts w:ascii="Arial" w:hAnsi="Arial" w:cs="Arial"/>
          <w:color w:val="000000" w:themeColor="text1"/>
          <w:sz w:val="20"/>
          <w:szCs w:val="20"/>
        </w:rPr>
        <w:lastRenderedPageBreak/>
        <w:t>(Table 3)</w:t>
      </w:r>
      <w:r w:rsidRPr="005C3B36">
        <w:rPr>
          <w:rFonts w:ascii="Arial" w:hAnsi="Arial" w:cs="Arial"/>
          <w:color w:val="000000" w:themeColor="text1"/>
          <w:sz w:val="20"/>
          <w:szCs w:val="20"/>
        </w:rPr>
        <w:t xml:space="preserve">. </w:t>
      </w:r>
      <w:r w:rsidR="004618DA" w:rsidRPr="005C3B36">
        <w:rPr>
          <w:rFonts w:ascii="Arial" w:hAnsi="Arial" w:cs="Arial"/>
          <w:color w:val="000000" w:themeColor="text1"/>
          <w:sz w:val="20"/>
          <w:szCs w:val="20"/>
        </w:rPr>
        <w:t>The</w:t>
      </w:r>
      <w:r w:rsidRPr="005C3B36">
        <w:rPr>
          <w:rFonts w:ascii="Arial" w:hAnsi="Arial" w:cs="Arial"/>
          <w:color w:val="000000" w:themeColor="text1"/>
          <w:sz w:val="20"/>
          <w:szCs w:val="20"/>
        </w:rPr>
        <w:t xml:space="preserve"> high values of BOD and COD in BMS and OMS</w:t>
      </w:r>
      <w:r w:rsidR="004618DA" w:rsidRPr="005C3B36">
        <w:rPr>
          <w:rFonts w:ascii="Arial" w:hAnsi="Arial" w:cs="Arial"/>
          <w:color w:val="000000" w:themeColor="text1"/>
          <w:sz w:val="20"/>
          <w:szCs w:val="20"/>
        </w:rPr>
        <w:t xml:space="preserve"> indicate a high biodegradable organic load. BMS has a significant amount of easily digestible organic materials, as indicated by its greatest BOD and COD. Given that higher microbial activity is correlated with more oxidisable organics, this is essential for a high methane output. BMS contains protein, cellulose and hemicellulose residues that support anaerobic microbial activity (</w:t>
      </w:r>
      <w:r w:rsidR="00EC0ADB" w:rsidRPr="005C3B36">
        <w:rPr>
          <w:rFonts w:ascii="Arial" w:hAnsi="Arial" w:cs="Arial"/>
          <w:color w:val="000000" w:themeColor="text1"/>
          <w:sz w:val="20"/>
          <w:szCs w:val="20"/>
        </w:rPr>
        <w:t>Toufexis et al., 2024</w:t>
      </w:r>
      <w:r w:rsidR="004618DA" w:rsidRPr="005C3B36">
        <w:rPr>
          <w:rFonts w:ascii="Arial" w:hAnsi="Arial" w:cs="Arial"/>
          <w:color w:val="000000" w:themeColor="text1"/>
          <w:sz w:val="20"/>
          <w:szCs w:val="20"/>
        </w:rPr>
        <w:t>).</w:t>
      </w:r>
      <w:r w:rsidR="002E5BDF" w:rsidRPr="005C3B36">
        <w:rPr>
          <w:rFonts w:ascii="Arial" w:hAnsi="Arial" w:cs="Arial"/>
          <w:color w:val="000000" w:themeColor="text1"/>
          <w:sz w:val="20"/>
          <w:szCs w:val="20"/>
        </w:rPr>
        <w:t xml:space="preserve"> </w:t>
      </w:r>
      <w:r w:rsidR="004618DA" w:rsidRPr="005C3B36">
        <w:rPr>
          <w:rFonts w:ascii="Arial" w:hAnsi="Arial" w:cs="Arial"/>
          <w:color w:val="000000" w:themeColor="text1"/>
          <w:sz w:val="20"/>
          <w:szCs w:val="20"/>
        </w:rPr>
        <w:t>Biodegradability index (BI) of BMS was 0.34, indicating good biodegradability. For methane generation, a BI</w:t>
      </w:r>
      <w:r w:rsidR="002E5BDF" w:rsidRPr="005C3B36">
        <w:rPr>
          <w:rFonts w:ascii="Arial" w:hAnsi="Arial" w:cs="Arial"/>
          <w:color w:val="000000" w:themeColor="text1"/>
          <w:sz w:val="20"/>
          <w:szCs w:val="20"/>
        </w:rPr>
        <w:t xml:space="preserve"> greater than 0.3 is usually seen as advantageou</w:t>
      </w:r>
      <w:r w:rsidR="003051BA" w:rsidRPr="005C3B36">
        <w:rPr>
          <w:rFonts w:ascii="Arial" w:hAnsi="Arial" w:cs="Arial"/>
          <w:color w:val="000000" w:themeColor="text1"/>
          <w:sz w:val="20"/>
          <w:szCs w:val="20"/>
        </w:rPr>
        <w:t>s.</w:t>
      </w:r>
      <w:r w:rsidR="003051BA" w:rsidRPr="005C3B36">
        <w:rPr>
          <w:rFonts w:ascii="Arial" w:hAnsi="Arial" w:cs="Arial"/>
          <w:color w:val="000000" w:themeColor="text1"/>
          <w:sz w:val="22"/>
          <w:szCs w:val="22"/>
        </w:rPr>
        <w:t xml:space="preserve"> </w:t>
      </w:r>
    </w:p>
    <w:p w14:paraId="11466DB9" w14:textId="70229528" w:rsidR="003051BA" w:rsidRPr="005C3B36" w:rsidRDefault="003051BA" w:rsidP="00261174">
      <w:pPr>
        <w:spacing w:before="240"/>
        <w:jc w:val="center"/>
        <w:rPr>
          <w:rFonts w:ascii="Arial" w:hAnsi="Arial" w:cs="Arial"/>
          <w:b/>
          <w:bCs/>
          <w:color w:val="000000" w:themeColor="text1"/>
          <w:sz w:val="20"/>
          <w:szCs w:val="20"/>
        </w:rPr>
      </w:pPr>
      <w:r w:rsidRPr="005C3B36">
        <w:rPr>
          <w:rFonts w:ascii="Arial" w:hAnsi="Arial" w:cs="Arial"/>
          <w:b/>
          <w:bCs/>
          <w:color w:val="000000" w:themeColor="text1"/>
          <w:sz w:val="20"/>
          <w:szCs w:val="20"/>
        </w:rPr>
        <w:t>Table</w:t>
      </w:r>
      <w:r w:rsidR="004351EC" w:rsidRPr="005C3B36">
        <w:rPr>
          <w:rFonts w:ascii="Arial" w:hAnsi="Arial" w:cs="Arial"/>
          <w:b/>
          <w:bCs/>
          <w:color w:val="000000" w:themeColor="text1"/>
          <w:sz w:val="20"/>
          <w:szCs w:val="20"/>
        </w:rPr>
        <w:t xml:space="preserve"> </w:t>
      </w:r>
      <w:r w:rsidRPr="005C3B36">
        <w:rPr>
          <w:rFonts w:ascii="Arial" w:hAnsi="Arial" w:cs="Arial"/>
          <w:b/>
          <w:bCs/>
          <w:color w:val="000000" w:themeColor="text1"/>
          <w:sz w:val="20"/>
          <w:szCs w:val="20"/>
        </w:rPr>
        <w:t>3. Biodegradability indices and solid content in untreated and treated mushroom substrates</w:t>
      </w:r>
    </w:p>
    <w:tbl>
      <w:tblPr>
        <w:tblStyle w:val="TableGrid"/>
        <w:tblpPr w:leftFromText="180" w:rightFromText="180" w:vertAnchor="text" w:horzAnchor="margin" w:tblpY="13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1344"/>
        <w:gridCol w:w="1440"/>
        <w:gridCol w:w="1320"/>
        <w:gridCol w:w="1215"/>
        <w:gridCol w:w="1215"/>
      </w:tblGrid>
      <w:tr w:rsidR="00F7222B" w:rsidRPr="005C3B36" w14:paraId="167B7169" w14:textId="77777777" w:rsidTr="00F7222B">
        <w:trPr>
          <w:trHeight w:val="315"/>
        </w:trPr>
        <w:tc>
          <w:tcPr>
            <w:tcW w:w="1725" w:type="dxa"/>
            <w:tcBorders>
              <w:top w:val="single" w:sz="4" w:space="0" w:color="auto"/>
              <w:bottom w:val="single" w:sz="4" w:space="0" w:color="auto"/>
            </w:tcBorders>
            <w:noWrap/>
            <w:hideMark/>
          </w:tcPr>
          <w:p w14:paraId="05B9E3FD" w14:textId="77777777" w:rsidR="00F7222B" w:rsidRPr="005C3B36" w:rsidRDefault="00F7222B" w:rsidP="00F7222B">
            <w:pPr>
              <w:jc w:val="both"/>
              <w:rPr>
                <w:rFonts w:ascii="Arial" w:hAnsi="Arial" w:cs="Arial"/>
                <w:color w:val="000000" w:themeColor="text1"/>
                <w:sz w:val="18"/>
                <w:szCs w:val="18"/>
              </w:rPr>
            </w:pPr>
          </w:p>
        </w:tc>
        <w:tc>
          <w:tcPr>
            <w:tcW w:w="1308" w:type="dxa"/>
            <w:tcBorders>
              <w:top w:val="single" w:sz="4" w:space="0" w:color="auto"/>
              <w:bottom w:val="single" w:sz="4" w:space="0" w:color="auto"/>
            </w:tcBorders>
            <w:noWrap/>
            <w:hideMark/>
          </w:tcPr>
          <w:p w14:paraId="476C13C9"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BOD (mgL</w:t>
            </w:r>
            <w:r w:rsidRPr="005C3B36">
              <w:rPr>
                <w:rFonts w:ascii="Arial" w:hAnsi="Arial" w:cs="Arial"/>
                <w:b/>
                <w:bCs/>
                <w:color w:val="000000" w:themeColor="text1"/>
                <w:sz w:val="18"/>
                <w:szCs w:val="18"/>
                <w:vertAlign w:val="superscript"/>
              </w:rPr>
              <w:t>-</w:t>
            </w:r>
            <w:proofErr w:type="gramStart"/>
            <w:r w:rsidRPr="005C3B36">
              <w:rPr>
                <w:rFonts w:ascii="Arial" w:hAnsi="Arial" w:cs="Arial"/>
                <w:b/>
                <w:bCs/>
                <w:color w:val="000000" w:themeColor="text1"/>
                <w:sz w:val="18"/>
                <w:szCs w:val="18"/>
                <w:vertAlign w:val="superscript"/>
              </w:rPr>
              <w:t>1</w:t>
            </w:r>
            <w:r w:rsidRPr="005C3B36">
              <w:rPr>
                <w:rFonts w:ascii="Arial" w:hAnsi="Arial" w:cs="Arial"/>
                <w:b/>
                <w:bCs/>
                <w:color w:val="000000" w:themeColor="text1"/>
                <w:sz w:val="18"/>
                <w:szCs w:val="18"/>
              </w:rPr>
              <w:t xml:space="preserve"> )</w:t>
            </w:r>
            <w:proofErr w:type="gramEnd"/>
          </w:p>
        </w:tc>
        <w:tc>
          <w:tcPr>
            <w:tcW w:w="1401" w:type="dxa"/>
            <w:tcBorders>
              <w:top w:val="single" w:sz="4" w:space="0" w:color="auto"/>
              <w:bottom w:val="single" w:sz="4" w:space="0" w:color="auto"/>
            </w:tcBorders>
            <w:noWrap/>
            <w:hideMark/>
          </w:tcPr>
          <w:p w14:paraId="183FECAD"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COD (mgL</w:t>
            </w:r>
            <w:r w:rsidRPr="005C3B36">
              <w:rPr>
                <w:rFonts w:ascii="Arial" w:hAnsi="Arial" w:cs="Arial"/>
                <w:b/>
                <w:bCs/>
                <w:color w:val="000000" w:themeColor="text1"/>
                <w:sz w:val="18"/>
                <w:szCs w:val="18"/>
                <w:vertAlign w:val="superscript"/>
              </w:rPr>
              <w:t>-</w:t>
            </w:r>
            <w:proofErr w:type="gramStart"/>
            <w:r w:rsidRPr="005C3B36">
              <w:rPr>
                <w:rFonts w:ascii="Arial" w:hAnsi="Arial" w:cs="Arial"/>
                <w:b/>
                <w:bCs/>
                <w:color w:val="000000" w:themeColor="text1"/>
                <w:sz w:val="18"/>
                <w:szCs w:val="18"/>
                <w:vertAlign w:val="superscript"/>
              </w:rPr>
              <w:t>1</w:t>
            </w:r>
            <w:r w:rsidRPr="005C3B36">
              <w:rPr>
                <w:rFonts w:ascii="Arial" w:hAnsi="Arial" w:cs="Arial"/>
                <w:b/>
                <w:bCs/>
                <w:color w:val="000000" w:themeColor="text1"/>
                <w:sz w:val="18"/>
                <w:szCs w:val="18"/>
              </w:rPr>
              <w:t xml:space="preserve"> )</w:t>
            </w:r>
            <w:proofErr w:type="gramEnd"/>
          </w:p>
        </w:tc>
        <w:tc>
          <w:tcPr>
            <w:tcW w:w="1359" w:type="dxa"/>
            <w:tcBorders>
              <w:top w:val="single" w:sz="4" w:space="0" w:color="auto"/>
              <w:bottom w:val="single" w:sz="4" w:space="0" w:color="auto"/>
            </w:tcBorders>
            <w:noWrap/>
            <w:hideMark/>
          </w:tcPr>
          <w:p w14:paraId="6767567A"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TS (%)</w:t>
            </w:r>
          </w:p>
        </w:tc>
        <w:tc>
          <w:tcPr>
            <w:tcW w:w="1226" w:type="dxa"/>
            <w:tcBorders>
              <w:top w:val="single" w:sz="4" w:space="0" w:color="auto"/>
              <w:bottom w:val="single" w:sz="4" w:space="0" w:color="auto"/>
            </w:tcBorders>
            <w:noWrap/>
            <w:hideMark/>
          </w:tcPr>
          <w:p w14:paraId="026D77EA"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VS (%)</w:t>
            </w:r>
          </w:p>
        </w:tc>
        <w:tc>
          <w:tcPr>
            <w:tcW w:w="1183" w:type="dxa"/>
            <w:tcBorders>
              <w:top w:val="single" w:sz="4" w:space="0" w:color="auto"/>
              <w:bottom w:val="single" w:sz="4" w:space="0" w:color="auto"/>
            </w:tcBorders>
            <w:noWrap/>
            <w:hideMark/>
          </w:tcPr>
          <w:p w14:paraId="3C9E0D92"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 of VS in TS (%)</w:t>
            </w:r>
          </w:p>
        </w:tc>
      </w:tr>
      <w:tr w:rsidR="00F7222B" w:rsidRPr="005C3B36" w14:paraId="313042D2" w14:textId="77777777" w:rsidTr="00F7222B">
        <w:trPr>
          <w:trHeight w:val="315"/>
        </w:trPr>
        <w:tc>
          <w:tcPr>
            <w:tcW w:w="1725" w:type="dxa"/>
            <w:tcBorders>
              <w:top w:val="single" w:sz="4" w:space="0" w:color="auto"/>
            </w:tcBorders>
            <w:noWrap/>
            <w:hideMark/>
          </w:tcPr>
          <w:p w14:paraId="18BA8BAF"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Wheat Compost</w:t>
            </w:r>
          </w:p>
        </w:tc>
        <w:tc>
          <w:tcPr>
            <w:tcW w:w="1308" w:type="dxa"/>
            <w:tcBorders>
              <w:top w:val="single" w:sz="4" w:space="0" w:color="auto"/>
            </w:tcBorders>
            <w:noWrap/>
            <w:hideMark/>
          </w:tcPr>
          <w:p w14:paraId="478D7770"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349.3</w:t>
            </w:r>
            <w:r w:rsidRPr="005C3B36">
              <w:rPr>
                <w:rFonts w:ascii="Arial" w:hAnsi="Arial" w:cs="Arial"/>
                <w:color w:val="000000" w:themeColor="text1"/>
                <w:sz w:val="18"/>
                <w:szCs w:val="18"/>
                <w:vertAlign w:val="superscript"/>
              </w:rPr>
              <w:t>c</w:t>
            </w:r>
            <w:r w:rsidRPr="005C3B36">
              <w:rPr>
                <w:rFonts w:ascii="Arial" w:hAnsi="Arial" w:cs="Arial"/>
                <w:color w:val="000000" w:themeColor="text1"/>
                <w:sz w:val="18"/>
                <w:szCs w:val="18"/>
              </w:rPr>
              <w:t>±6.36</w:t>
            </w:r>
          </w:p>
        </w:tc>
        <w:tc>
          <w:tcPr>
            <w:tcW w:w="1401" w:type="dxa"/>
            <w:tcBorders>
              <w:top w:val="single" w:sz="4" w:space="0" w:color="auto"/>
            </w:tcBorders>
            <w:noWrap/>
            <w:hideMark/>
          </w:tcPr>
          <w:p w14:paraId="192BECBD"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751.67</w:t>
            </w:r>
            <w:r w:rsidRPr="005C3B36">
              <w:rPr>
                <w:rFonts w:ascii="Arial" w:hAnsi="Arial" w:cs="Arial"/>
                <w:color w:val="000000" w:themeColor="text1"/>
                <w:sz w:val="18"/>
                <w:szCs w:val="18"/>
                <w:vertAlign w:val="superscript"/>
              </w:rPr>
              <w:t>d</w:t>
            </w:r>
            <w:r w:rsidRPr="005C3B36">
              <w:rPr>
                <w:rFonts w:ascii="Arial" w:hAnsi="Arial" w:cs="Arial"/>
                <w:color w:val="000000" w:themeColor="text1"/>
                <w:sz w:val="18"/>
                <w:szCs w:val="18"/>
              </w:rPr>
              <w:t>±13.02</w:t>
            </w:r>
          </w:p>
        </w:tc>
        <w:tc>
          <w:tcPr>
            <w:tcW w:w="1359" w:type="dxa"/>
            <w:tcBorders>
              <w:top w:val="single" w:sz="4" w:space="0" w:color="auto"/>
            </w:tcBorders>
            <w:noWrap/>
            <w:hideMark/>
          </w:tcPr>
          <w:p w14:paraId="4525DB76"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85.4</w:t>
            </w:r>
            <w:r w:rsidRPr="005C3B36">
              <w:rPr>
                <w:rFonts w:ascii="Arial" w:hAnsi="Arial" w:cs="Arial"/>
                <w:color w:val="000000" w:themeColor="text1"/>
                <w:sz w:val="18"/>
                <w:szCs w:val="18"/>
                <w:vertAlign w:val="superscript"/>
              </w:rPr>
              <w:t>b</w:t>
            </w:r>
            <w:r w:rsidRPr="005C3B36">
              <w:rPr>
                <w:rFonts w:ascii="Arial" w:hAnsi="Arial" w:cs="Arial"/>
                <w:color w:val="000000" w:themeColor="text1"/>
                <w:sz w:val="18"/>
                <w:szCs w:val="18"/>
              </w:rPr>
              <w:t>±0.25</w:t>
            </w:r>
          </w:p>
        </w:tc>
        <w:tc>
          <w:tcPr>
            <w:tcW w:w="1226" w:type="dxa"/>
            <w:tcBorders>
              <w:top w:val="single" w:sz="4" w:space="0" w:color="auto"/>
            </w:tcBorders>
            <w:noWrap/>
            <w:hideMark/>
          </w:tcPr>
          <w:p w14:paraId="58611EAC"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51.34</w:t>
            </w:r>
            <w:r w:rsidRPr="005C3B36">
              <w:rPr>
                <w:rFonts w:ascii="Arial" w:hAnsi="Arial" w:cs="Arial"/>
                <w:color w:val="000000" w:themeColor="text1"/>
                <w:sz w:val="18"/>
                <w:szCs w:val="18"/>
                <w:vertAlign w:val="superscript"/>
              </w:rPr>
              <w:t>b</w:t>
            </w:r>
            <w:r w:rsidRPr="005C3B36">
              <w:rPr>
                <w:rFonts w:ascii="Arial" w:hAnsi="Arial" w:cs="Arial"/>
                <w:color w:val="000000" w:themeColor="text1"/>
                <w:sz w:val="18"/>
                <w:szCs w:val="18"/>
              </w:rPr>
              <w:t>±0.59</w:t>
            </w:r>
          </w:p>
        </w:tc>
        <w:tc>
          <w:tcPr>
            <w:tcW w:w="1183" w:type="dxa"/>
            <w:tcBorders>
              <w:top w:val="single" w:sz="4" w:space="0" w:color="auto"/>
            </w:tcBorders>
            <w:noWrap/>
            <w:hideMark/>
          </w:tcPr>
          <w:p w14:paraId="20E2A067"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60.11</w:t>
            </w:r>
            <w:r w:rsidRPr="005C3B36">
              <w:rPr>
                <w:rFonts w:ascii="Arial" w:hAnsi="Arial" w:cs="Arial"/>
                <w:color w:val="000000" w:themeColor="text1"/>
                <w:sz w:val="18"/>
                <w:szCs w:val="18"/>
                <w:vertAlign w:val="superscript"/>
              </w:rPr>
              <w:t>ab</w:t>
            </w:r>
            <w:r w:rsidRPr="005C3B36">
              <w:rPr>
                <w:rFonts w:ascii="Arial" w:hAnsi="Arial" w:cs="Arial"/>
                <w:color w:val="000000" w:themeColor="text1"/>
                <w:sz w:val="18"/>
                <w:szCs w:val="18"/>
              </w:rPr>
              <w:t>±0.59</w:t>
            </w:r>
          </w:p>
        </w:tc>
      </w:tr>
      <w:tr w:rsidR="00F7222B" w:rsidRPr="005C3B36" w14:paraId="1BFD8824" w14:textId="77777777" w:rsidTr="00F7222B">
        <w:trPr>
          <w:trHeight w:val="315"/>
        </w:trPr>
        <w:tc>
          <w:tcPr>
            <w:tcW w:w="1725" w:type="dxa"/>
            <w:noWrap/>
            <w:hideMark/>
          </w:tcPr>
          <w:p w14:paraId="23803CFF"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Paddy Compost</w:t>
            </w:r>
          </w:p>
        </w:tc>
        <w:tc>
          <w:tcPr>
            <w:tcW w:w="1308" w:type="dxa"/>
            <w:noWrap/>
            <w:hideMark/>
          </w:tcPr>
          <w:p w14:paraId="09B0B9CA"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366.2</w:t>
            </w:r>
            <w:r w:rsidRPr="005C3B36">
              <w:rPr>
                <w:rFonts w:ascii="Arial" w:hAnsi="Arial" w:cs="Arial"/>
                <w:color w:val="000000" w:themeColor="text1"/>
                <w:sz w:val="18"/>
                <w:szCs w:val="18"/>
                <w:vertAlign w:val="superscript"/>
              </w:rPr>
              <w:t>c</w:t>
            </w:r>
            <w:r w:rsidRPr="005C3B36">
              <w:rPr>
                <w:rFonts w:ascii="Arial" w:hAnsi="Arial" w:cs="Arial"/>
                <w:color w:val="000000" w:themeColor="text1"/>
                <w:sz w:val="18"/>
                <w:szCs w:val="18"/>
              </w:rPr>
              <w:t>±9.24</w:t>
            </w:r>
          </w:p>
        </w:tc>
        <w:tc>
          <w:tcPr>
            <w:tcW w:w="1401" w:type="dxa"/>
            <w:noWrap/>
            <w:hideMark/>
          </w:tcPr>
          <w:p w14:paraId="5BD421DE"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881.67</w:t>
            </w:r>
            <w:r w:rsidRPr="005C3B36">
              <w:rPr>
                <w:rFonts w:ascii="Arial" w:hAnsi="Arial" w:cs="Arial"/>
                <w:color w:val="000000" w:themeColor="text1"/>
                <w:sz w:val="18"/>
                <w:szCs w:val="18"/>
                <w:vertAlign w:val="superscript"/>
              </w:rPr>
              <w:t>c</w:t>
            </w:r>
            <w:r w:rsidRPr="005C3B36">
              <w:rPr>
                <w:rFonts w:ascii="Arial" w:hAnsi="Arial" w:cs="Arial"/>
                <w:color w:val="000000" w:themeColor="text1"/>
                <w:sz w:val="18"/>
                <w:szCs w:val="18"/>
              </w:rPr>
              <w:t>±7.26</w:t>
            </w:r>
          </w:p>
        </w:tc>
        <w:tc>
          <w:tcPr>
            <w:tcW w:w="1359" w:type="dxa"/>
            <w:noWrap/>
            <w:hideMark/>
          </w:tcPr>
          <w:p w14:paraId="74243748"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81.59</w:t>
            </w:r>
            <w:r w:rsidRPr="005C3B36">
              <w:rPr>
                <w:rFonts w:ascii="Arial" w:hAnsi="Arial" w:cs="Arial"/>
                <w:color w:val="000000" w:themeColor="text1"/>
                <w:sz w:val="18"/>
                <w:szCs w:val="18"/>
                <w:vertAlign w:val="superscript"/>
              </w:rPr>
              <w:t>c</w:t>
            </w:r>
            <w:r w:rsidRPr="005C3B36">
              <w:rPr>
                <w:rFonts w:ascii="Arial" w:hAnsi="Arial" w:cs="Arial"/>
                <w:color w:val="000000" w:themeColor="text1"/>
                <w:sz w:val="18"/>
                <w:szCs w:val="18"/>
              </w:rPr>
              <w:t>±1.09</w:t>
            </w:r>
          </w:p>
        </w:tc>
        <w:tc>
          <w:tcPr>
            <w:tcW w:w="1226" w:type="dxa"/>
            <w:noWrap/>
            <w:hideMark/>
          </w:tcPr>
          <w:p w14:paraId="2C69CC1B"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42.45</w:t>
            </w:r>
            <w:r w:rsidRPr="005C3B36">
              <w:rPr>
                <w:rFonts w:ascii="Arial" w:hAnsi="Arial" w:cs="Arial"/>
                <w:color w:val="000000" w:themeColor="text1"/>
                <w:sz w:val="18"/>
                <w:szCs w:val="18"/>
                <w:vertAlign w:val="superscript"/>
              </w:rPr>
              <w:t>ab</w:t>
            </w:r>
            <w:r w:rsidRPr="005C3B36">
              <w:rPr>
                <w:rFonts w:ascii="Arial" w:hAnsi="Arial" w:cs="Arial"/>
                <w:color w:val="000000" w:themeColor="text1"/>
                <w:sz w:val="18"/>
                <w:szCs w:val="18"/>
              </w:rPr>
              <w:t>±0.62</w:t>
            </w:r>
          </w:p>
        </w:tc>
        <w:tc>
          <w:tcPr>
            <w:tcW w:w="1183" w:type="dxa"/>
            <w:noWrap/>
            <w:hideMark/>
          </w:tcPr>
          <w:p w14:paraId="71C7E087"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52.06</w:t>
            </w:r>
            <w:r w:rsidRPr="005C3B36">
              <w:rPr>
                <w:rFonts w:ascii="Arial" w:hAnsi="Arial" w:cs="Arial"/>
                <w:color w:val="000000" w:themeColor="text1"/>
                <w:sz w:val="18"/>
                <w:szCs w:val="18"/>
                <w:vertAlign w:val="superscript"/>
              </w:rPr>
              <w:t>b</w:t>
            </w:r>
            <w:r w:rsidRPr="005C3B36">
              <w:rPr>
                <w:rFonts w:ascii="Arial" w:hAnsi="Arial" w:cs="Arial"/>
                <w:color w:val="000000" w:themeColor="text1"/>
                <w:sz w:val="18"/>
                <w:szCs w:val="18"/>
              </w:rPr>
              <w:t>±1.33</w:t>
            </w:r>
          </w:p>
        </w:tc>
      </w:tr>
      <w:tr w:rsidR="00F7222B" w:rsidRPr="005C3B36" w14:paraId="5A891B55" w14:textId="77777777" w:rsidTr="00F7222B">
        <w:trPr>
          <w:trHeight w:val="315"/>
        </w:trPr>
        <w:tc>
          <w:tcPr>
            <w:tcW w:w="1725" w:type="dxa"/>
            <w:noWrap/>
            <w:hideMark/>
          </w:tcPr>
          <w:p w14:paraId="685C9289"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Button Mushroom Spent</w:t>
            </w:r>
          </w:p>
        </w:tc>
        <w:tc>
          <w:tcPr>
            <w:tcW w:w="1308" w:type="dxa"/>
            <w:noWrap/>
            <w:hideMark/>
          </w:tcPr>
          <w:p w14:paraId="426E7A38"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1024.3</w:t>
            </w:r>
            <w:r w:rsidRPr="005C3B36">
              <w:rPr>
                <w:rFonts w:ascii="Arial" w:hAnsi="Arial" w:cs="Arial"/>
                <w:color w:val="000000" w:themeColor="text1"/>
                <w:sz w:val="18"/>
                <w:szCs w:val="18"/>
                <w:vertAlign w:val="superscript"/>
              </w:rPr>
              <w:t>a</w:t>
            </w:r>
            <w:r w:rsidRPr="005C3B36">
              <w:rPr>
                <w:rFonts w:ascii="Arial" w:hAnsi="Arial" w:cs="Arial"/>
                <w:color w:val="000000" w:themeColor="text1"/>
                <w:sz w:val="18"/>
                <w:szCs w:val="18"/>
              </w:rPr>
              <w:t>±14.45</w:t>
            </w:r>
          </w:p>
        </w:tc>
        <w:tc>
          <w:tcPr>
            <w:tcW w:w="1401" w:type="dxa"/>
            <w:noWrap/>
            <w:hideMark/>
          </w:tcPr>
          <w:p w14:paraId="23539821"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2976.67</w:t>
            </w:r>
            <w:r w:rsidRPr="005C3B36">
              <w:rPr>
                <w:rFonts w:ascii="Arial" w:hAnsi="Arial" w:cs="Arial"/>
                <w:color w:val="000000" w:themeColor="text1"/>
                <w:sz w:val="18"/>
                <w:szCs w:val="18"/>
                <w:vertAlign w:val="superscript"/>
              </w:rPr>
              <w:t>a</w:t>
            </w:r>
            <w:r w:rsidRPr="005C3B36">
              <w:rPr>
                <w:rFonts w:ascii="Arial" w:hAnsi="Arial" w:cs="Arial"/>
                <w:color w:val="000000" w:themeColor="text1"/>
                <w:sz w:val="18"/>
                <w:szCs w:val="18"/>
              </w:rPr>
              <w:t>±14.53</w:t>
            </w:r>
          </w:p>
        </w:tc>
        <w:tc>
          <w:tcPr>
            <w:tcW w:w="1359" w:type="dxa"/>
            <w:noWrap/>
            <w:hideMark/>
          </w:tcPr>
          <w:p w14:paraId="58FFDF09"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89.91</w:t>
            </w:r>
            <w:r w:rsidRPr="005C3B36">
              <w:rPr>
                <w:rFonts w:ascii="Arial" w:hAnsi="Arial" w:cs="Arial"/>
                <w:color w:val="000000" w:themeColor="text1"/>
                <w:sz w:val="18"/>
                <w:szCs w:val="18"/>
                <w:vertAlign w:val="superscript"/>
              </w:rPr>
              <w:t>a</w:t>
            </w:r>
            <w:r w:rsidRPr="005C3B36">
              <w:rPr>
                <w:rFonts w:ascii="Arial" w:hAnsi="Arial" w:cs="Arial"/>
                <w:color w:val="000000" w:themeColor="text1"/>
                <w:sz w:val="18"/>
                <w:szCs w:val="18"/>
              </w:rPr>
              <w:t>±0.17</w:t>
            </w:r>
          </w:p>
        </w:tc>
        <w:tc>
          <w:tcPr>
            <w:tcW w:w="1226" w:type="dxa"/>
            <w:noWrap/>
            <w:hideMark/>
          </w:tcPr>
          <w:p w14:paraId="6B1C4D2F"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52.32</w:t>
            </w:r>
            <w:r w:rsidRPr="005C3B36">
              <w:rPr>
                <w:rFonts w:ascii="Arial" w:hAnsi="Arial" w:cs="Arial"/>
                <w:color w:val="000000" w:themeColor="text1"/>
                <w:sz w:val="18"/>
                <w:szCs w:val="18"/>
                <w:vertAlign w:val="superscript"/>
              </w:rPr>
              <w:t>ab</w:t>
            </w:r>
            <w:r w:rsidRPr="005C3B36">
              <w:rPr>
                <w:rFonts w:ascii="Arial" w:hAnsi="Arial" w:cs="Arial"/>
                <w:color w:val="000000" w:themeColor="text1"/>
                <w:sz w:val="18"/>
                <w:szCs w:val="18"/>
              </w:rPr>
              <w:t>±2.21</w:t>
            </w:r>
          </w:p>
        </w:tc>
        <w:tc>
          <w:tcPr>
            <w:tcW w:w="1183" w:type="dxa"/>
            <w:noWrap/>
            <w:hideMark/>
          </w:tcPr>
          <w:p w14:paraId="37C9FA03"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58.18</w:t>
            </w:r>
            <w:r w:rsidRPr="005C3B36">
              <w:rPr>
                <w:rFonts w:ascii="Arial" w:hAnsi="Arial" w:cs="Arial"/>
                <w:color w:val="000000" w:themeColor="text1"/>
                <w:sz w:val="18"/>
                <w:szCs w:val="18"/>
                <w:vertAlign w:val="superscript"/>
              </w:rPr>
              <w:t>ab</w:t>
            </w:r>
            <w:r w:rsidRPr="005C3B36">
              <w:rPr>
                <w:rFonts w:ascii="Arial" w:hAnsi="Arial" w:cs="Arial"/>
                <w:color w:val="000000" w:themeColor="text1"/>
                <w:sz w:val="18"/>
                <w:szCs w:val="18"/>
              </w:rPr>
              <w:t>±2.39</w:t>
            </w:r>
          </w:p>
        </w:tc>
      </w:tr>
      <w:tr w:rsidR="00F7222B" w:rsidRPr="005C3B36" w14:paraId="19CABC9F" w14:textId="77777777" w:rsidTr="00F7222B">
        <w:trPr>
          <w:trHeight w:val="315"/>
        </w:trPr>
        <w:tc>
          <w:tcPr>
            <w:tcW w:w="1725" w:type="dxa"/>
            <w:noWrap/>
            <w:hideMark/>
          </w:tcPr>
          <w:p w14:paraId="58EA6857" w14:textId="77777777" w:rsidR="00F7222B" w:rsidRPr="005C3B36" w:rsidRDefault="00F7222B" w:rsidP="00F7222B">
            <w:pPr>
              <w:jc w:val="both"/>
              <w:rPr>
                <w:rFonts w:ascii="Arial" w:hAnsi="Arial" w:cs="Arial"/>
                <w:b/>
                <w:bCs/>
                <w:color w:val="000000" w:themeColor="text1"/>
                <w:sz w:val="18"/>
                <w:szCs w:val="18"/>
              </w:rPr>
            </w:pPr>
            <w:r w:rsidRPr="005C3B36">
              <w:rPr>
                <w:rFonts w:ascii="Arial" w:hAnsi="Arial" w:cs="Arial"/>
                <w:b/>
                <w:bCs/>
                <w:color w:val="000000" w:themeColor="text1"/>
                <w:sz w:val="18"/>
                <w:szCs w:val="18"/>
              </w:rPr>
              <w:t>Oyster Mushroom spent</w:t>
            </w:r>
          </w:p>
        </w:tc>
        <w:tc>
          <w:tcPr>
            <w:tcW w:w="1308" w:type="dxa"/>
            <w:noWrap/>
            <w:hideMark/>
          </w:tcPr>
          <w:p w14:paraId="33B1B0FE"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582.77</w:t>
            </w:r>
            <w:r w:rsidRPr="005C3B36">
              <w:rPr>
                <w:rFonts w:ascii="Arial" w:hAnsi="Arial" w:cs="Arial"/>
                <w:color w:val="000000" w:themeColor="text1"/>
                <w:sz w:val="18"/>
                <w:szCs w:val="18"/>
                <w:vertAlign w:val="superscript"/>
              </w:rPr>
              <w:t>b</w:t>
            </w:r>
            <w:r w:rsidRPr="005C3B36">
              <w:rPr>
                <w:rFonts w:ascii="Arial" w:hAnsi="Arial" w:cs="Arial"/>
                <w:color w:val="000000" w:themeColor="text1"/>
                <w:sz w:val="18"/>
                <w:szCs w:val="18"/>
              </w:rPr>
              <w:t>±7.22</w:t>
            </w:r>
          </w:p>
        </w:tc>
        <w:tc>
          <w:tcPr>
            <w:tcW w:w="1401" w:type="dxa"/>
            <w:noWrap/>
            <w:hideMark/>
          </w:tcPr>
          <w:p w14:paraId="42DFBC84"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1288.33</w:t>
            </w:r>
            <w:r w:rsidRPr="005C3B36">
              <w:rPr>
                <w:rFonts w:ascii="Arial" w:hAnsi="Arial" w:cs="Arial"/>
                <w:color w:val="000000" w:themeColor="text1"/>
                <w:sz w:val="18"/>
                <w:szCs w:val="18"/>
                <w:vertAlign w:val="superscript"/>
              </w:rPr>
              <w:t>b</w:t>
            </w:r>
            <w:r w:rsidRPr="005C3B36">
              <w:rPr>
                <w:rFonts w:ascii="Arial" w:hAnsi="Arial" w:cs="Arial"/>
                <w:color w:val="000000" w:themeColor="text1"/>
                <w:sz w:val="18"/>
                <w:szCs w:val="18"/>
              </w:rPr>
              <w:t>±7.26</w:t>
            </w:r>
          </w:p>
        </w:tc>
        <w:tc>
          <w:tcPr>
            <w:tcW w:w="1359" w:type="dxa"/>
            <w:noWrap/>
            <w:hideMark/>
          </w:tcPr>
          <w:p w14:paraId="1C4FEF4B"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86.57</w:t>
            </w:r>
            <w:r w:rsidRPr="005C3B36">
              <w:rPr>
                <w:rFonts w:ascii="Arial" w:hAnsi="Arial" w:cs="Arial"/>
                <w:color w:val="000000" w:themeColor="text1"/>
                <w:sz w:val="18"/>
                <w:szCs w:val="18"/>
                <w:vertAlign w:val="superscript"/>
              </w:rPr>
              <w:t>b</w:t>
            </w:r>
            <w:r w:rsidRPr="005C3B36">
              <w:rPr>
                <w:rFonts w:ascii="Arial" w:hAnsi="Arial" w:cs="Arial"/>
                <w:color w:val="000000" w:themeColor="text1"/>
                <w:sz w:val="18"/>
                <w:szCs w:val="18"/>
              </w:rPr>
              <w:t>±0.59</w:t>
            </w:r>
          </w:p>
        </w:tc>
        <w:tc>
          <w:tcPr>
            <w:tcW w:w="1226" w:type="dxa"/>
            <w:noWrap/>
            <w:hideMark/>
          </w:tcPr>
          <w:p w14:paraId="419BD3D5"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66.83</w:t>
            </w:r>
            <w:r w:rsidRPr="005C3B36">
              <w:rPr>
                <w:rFonts w:ascii="Arial" w:hAnsi="Arial" w:cs="Arial"/>
                <w:color w:val="000000" w:themeColor="text1"/>
                <w:sz w:val="18"/>
                <w:szCs w:val="18"/>
                <w:vertAlign w:val="superscript"/>
              </w:rPr>
              <w:t>a</w:t>
            </w:r>
            <w:r w:rsidRPr="005C3B36">
              <w:rPr>
                <w:rFonts w:ascii="Arial" w:hAnsi="Arial" w:cs="Arial"/>
                <w:color w:val="000000" w:themeColor="text1"/>
                <w:sz w:val="18"/>
                <w:szCs w:val="18"/>
              </w:rPr>
              <w:t>±7.14</w:t>
            </w:r>
          </w:p>
        </w:tc>
        <w:tc>
          <w:tcPr>
            <w:tcW w:w="1183" w:type="dxa"/>
            <w:noWrap/>
            <w:hideMark/>
          </w:tcPr>
          <w:p w14:paraId="121A6614" w14:textId="77777777" w:rsidR="00F7222B" w:rsidRPr="005C3B36" w:rsidRDefault="00F7222B" w:rsidP="00F7222B">
            <w:pPr>
              <w:jc w:val="both"/>
              <w:rPr>
                <w:rFonts w:ascii="Arial" w:hAnsi="Arial" w:cs="Arial"/>
                <w:color w:val="000000" w:themeColor="text1"/>
                <w:sz w:val="18"/>
                <w:szCs w:val="18"/>
              </w:rPr>
            </w:pPr>
            <w:r w:rsidRPr="005C3B36">
              <w:rPr>
                <w:rFonts w:ascii="Arial" w:hAnsi="Arial" w:cs="Arial"/>
                <w:color w:val="000000" w:themeColor="text1"/>
                <w:sz w:val="18"/>
                <w:szCs w:val="18"/>
              </w:rPr>
              <w:t>77.26</w:t>
            </w:r>
            <w:r w:rsidRPr="005C3B36">
              <w:rPr>
                <w:rFonts w:ascii="Arial" w:hAnsi="Arial" w:cs="Arial"/>
                <w:color w:val="000000" w:themeColor="text1"/>
                <w:sz w:val="18"/>
                <w:szCs w:val="18"/>
                <w:vertAlign w:val="superscript"/>
              </w:rPr>
              <w:t>a</w:t>
            </w:r>
            <w:r w:rsidRPr="005C3B36">
              <w:rPr>
                <w:rFonts w:ascii="Arial" w:hAnsi="Arial" w:cs="Arial"/>
                <w:color w:val="000000" w:themeColor="text1"/>
                <w:sz w:val="18"/>
                <w:szCs w:val="18"/>
              </w:rPr>
              <w:t>±8.54</w:t>
            </w:r>
          </w:p>
        </w:tc>
      </w:tr>
    </w:tbl>
    <w:p w14:paraId="00B6730F" w14:textId="61233BE5" w:rsidR="003051BA" w:rsidRPr="005C3B36" w:rsidRDefault="003051BA" w:rsidP="003051BA">
      <w:pPr>
        <w:jc w:val="both"/>
        <w:rPr>
          <w:rFonts w:ascii="Arial" w:hAnsi="Arial" w:cs="Arial"/>
          <w:color w:val="000000" w:themeColor="text1"/>
          <w:sz w:val="22"/>
          <w:szCs w:val="22"/>
        </w:rPr>
      </w:pPr>
    </w:p>
    <w:p w14:paraId="5CE60BAA" w14:textId="09ACEB01" w:rsidR="003051BA" w:rsidRPr="005C3B36" w:rsidRDefault="003051BA" w:rsidP="003051BA">
      <w:pPr>
        <w:pStyle w:val="ListParagraph"/>
        <w:numPr>
          <w:ilvl w:val="0"/>
          <w:numId w:val="41"/>
        </w:numPr>
        <w:rPr>
          <w:rFonts w:ascii="Arial" w:hAnsi="Arial" w:cs="Arial"/>
          <w:i/>
          <w:iCs/>
          <w:sz w:val="18"/>
          <w:szCs w:val="18"/>
        </w:rPr>
      </w:pPr>
      <w:r w:rsidRPr="005C3B36">
        <w:rPr>
          <w:rFonts w:ascii="Arial" w:hAnsi="Arial" w:cs="Arial"/>
          <w:i/>
          <w:iCs/>
          <w:sz w:val="18"/>
          <w:szCs w:val="18"/>
        </w:rPr>
        <w:t xml:space="preserve">Values represent mean ± standard error. Parameters </w:t>
      </w:r>
      <w:proofErr w:type="spellStart"/>
      <w:r w:rsidRPr="005C3B36">
        <w:rPr>
          <w:rFonts w:ascii="Arial" w:hAnsi="Arial" w:cs="Arial"/>
          <w:i/>
          <w:iCs/>
          <w:sz w:val="18"/>
          <w:szCs w:val="18"/>
        </w:rPr>
        <w:t>analyzed</w:t>
      </w:r>
      <w:proofErr w:type="spellEnd"/>
      <w:r w:rsidRPr="005C3B36">
        <w:rPr>
          <w:rFonts w:ascii="Arial" w:hAnsi="Arial" w:cs="Arial"/>
          <w:i/>
          <w:iCs/>
          <w:sz w:val="18"/>
          <w:szCs w:val="18"/>
        </w:rPr>
        <w:t xml:space="preserve"> include biochemical oxygen demand (BOD), chemical oxygen demand (COD), total solids (TS), volatile solids (VS) and percentage of volatile solids in TS. Superscript letters (a–d) indicate significant differences (</w:t>
      </w:r>
      <w:r w:rsidR="00C54DF2">
        <w:rPr>
          <w:rFonts w:ascii="Arial" w:hAnsi="Arial" w:cs="Arial"/>
          <w:i/>
          <w:iCs/>
          <w:sz w:val="18"/>
          <w:szCs w:val="18"/>
        </w:rPr>
        <w:t>P≤</w:t>
      </w:r>
      <w:r w:rsidRPr="005C3B36">
        <w:rPr>
          <w:rFonts w:ascii="Arial" w:hAnsi="Arial" w:cs="Arial"/>
          <w:i/>
          <w:iCs/>
          <w:sz w:val="18"/>
          <w:szCs w:val="18"/>
        </w:rPr>
        <w:t xml:space="preserve"> 0.05) among means within columns</w:t>
      </w:r>
    </w:p>
    <w:p w14:paraId="47C07C54" w14:textId="20BCC900" w:rsidR="003051BA" w:rsidRPr="005C3B36" w:rsidRDefault="003051BA" w:rsidP="003051BA">
      <w:pPr>
        <w:spacing w:before="240"/>
        <w:ind w:left="360"/>
        <w:rPr>
          <w:rFonts w:ascii="Arial" w:hAnsi="Arial" w:cs="Arial"/>
          <w:color w:val="000000" w:themeColor="text1"/>
          <w:sz w:val="22"/>
          <w:szCs w:val="22"/>
        </w:rPr>
      </w:pPr>
      <w:r w:rsidRPr="005C3B36">
        <w:rPr>
          <w:rFonts w:ascii="Arial" w:hAnsi="Arial" w:cs="Arial"/>
          <w:noProof/>
        </w:rPr>
        <w:drawing>
          <wp:anchor distT="0" distB="0" distL="114300" distR="114300" simplePos="0" relativeHeight="251660288" behindDoc="0" locked="0" layoutInCell="1" allowOverlap="1" wp14:anchorId="6612F4A9" wp14:editId="153FB25C">
            <wp:simplePos x="0" y="0"/>
            <wp:positionH relativeFrom="margin">
              <wp:posOffset>455936</wp:posOffset>
            </wp:positionH>
            <wp:positionV relativeFrom="paragraph">
              <wp:posOffset>-334</wp:posOffset>
            </wp:positionV>
            <wp:extent cx="3738245" cy="2466340"/>
            <wp:effectExtent l="0" t="0" r="0" b="0"/>
            <wp:wrapTopAndBottom/>
            <wp:docPr id="18466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3579"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38245" cy="2466340"/>
                    </a:xfrm>
                    <a:prstGeom prst="rect">
                      <a:avLst/>
                    </a:prstGeom>
                  </pic:spPr>
                </pic:pic>
              </a:graphicData>
            </a:graphic>
            <wp14:sizeRelV relativeFrom="margin">
              <wp14:pctHeight>0</wp14:pctHeight>
            </wp14:sizeRelV>
          </wp:anchor>
        </w:drawing>
      </w:r>
    </w:p>
    <w:p w14:paraId="3AD01654" w14:textId="3144D5AA" w:rsidR="003E29C8" w:rsidRPr="005C3B36" w:rsidRDefault="003E29C8" w:rsidP="002E5BDF">
      <w:pPr>
        <w:spacing w:after="160" w:line="259" w:lineRule="auto"/>
        <w:jc w:val="center"/>
        <w:rPr>
          <w:rFonts w:ascii="Arial" w:hAnsi="Arial" w:cs="Arial"/>
          <w:b/>
          <w:bCs/>
          <w:color w:val="000000" w:themeColor="text1"/>
          <w:sz w:val="20"/>
          <w:szCs w:val="20"/>
        </w:rPr>
      </w:pPr>
      <w:r w:rsidRPr="005C3B36">
        <w:rPr>
          <w:rFonts w:ascii="Arial" w:hAnsi="Arial" w:cs="Arial"/>
          <w:b/>
          <w:bCs/>
          <w:color w:val="000000" w:themeColor="text1"/>
          <w:sz w:val="20"/>
          <w:szCs w:val="20"/>
        </w:rPr>
        <w:t xml:space="preserve">Figure </w:t>
      </w:r>
      <w:r w:rsidR="003F35A5" w:rsidRPr="005C3B36">
        <w:rPr>
          <w:rFonts w:ascii="Arial" w:hAnsi="Arial" w:cs="Arial"/>
          <w:b/>
          <w:bCs/>
          <w:color w:val="000000" w:themeColor="text1"/>
          <w:sz w:val="20"/>
          <w:szCs w:val="20"/>
        </w:rPr>
        <w:t>4</w:t>
      </w:r>
      <w:r w:rsidRPr="005C3B36">
        <w:rPr>
          <w:rFonts w:ascii="Arial" w:hAnsi="Arial" w:cs="Arial"/>
          <w:b/>
          <w:bCs/>
          <w:color w:val="000000" w:themeColor="text1"/>
          <w:sz w:val="20"/>
          <w:szCs w:val="20"/>
        </w:rPr>
        <w:t>. Biodegradability Indices</w:t>
      </w:r>
      <w:r w:rsidR="003F35A5" w:rsidRPr="005C3B36">
        <w:rPr>
          <w:rFonts w:ascii="Arial" w:hAnsi="Arial" w:cs="Arial"/>
          <w:b/>
          <w:bCs/>
          <w:color w:val="000000" w:themeColor="text1"/>
          <w:sz w:val="20"/>
          <w:szCs w:val="20"/>
        </w:rPr>
        <w:t xml:space="preserve"> (BOD and COD)</w:t>
      </w:r>
      <w:r w:rsidRPr="005C3B36">
        <w:rPr>
          <w:rFonts w:ascii="Arial" w:hAnsi="Arial" w:cs="Arial"/>
          <w:b/>
          <w:bCs/>
          <w:color w:val="000000" w:themeColor="text1"/>
          <w:sz w:val="20"/>
          <w:szCs w:val="20"/>
        </w:rPr>
        <w:t xml:space="preserve"> of untreated and treated mushroom substrates</w:t>
      </w:r>
      <w:r w:rsidR="00261174">
        <w:rPr>
          <w:rFonts w:ascii="Arial" w:hAnsi="Arial" w:cs="Arial"/>
          <w:b/>
          <w:bCs/>
          <w:color w:val="000000" w:themeColor="text1"/>
          <w:sz w:val="20"/>
          <w:szCs w:val="20"/>
        </w:rPr>
        <w:t xml:space="preserve"> (mean ± SE)</w:t>
      </w:r>
    </w:p>
    <w:p w14:paraId="2337B8E2" w14:textId="5D7F1324" w:rsidR="0098324B" w:rsidRDefault="004618DA" w:rsidP="003E29C8">
      <w:pPr>
        <w:pStyle w:val="ListParagraph"/>
        <w:numPr>
          <w:ilvl w:val="1"/>
          <w:numId w:val="38"/>
        </w:numPr>
        <w:spacing w:before="240" w:after="0"/>
        <w:jc w:val="both"/>
        <w:rPr>
          <w:rFonts w:ascii="Arial" w:eastAsia="Times New Roman" w:hAnsi="Arial" w:cs="Arial"/>
          <w:color w:val="000000" w:themeColor="text1"/>
          <w:kern w:val="0"/>
          <w:sz w:val="20"/>
          <w:szCs w:val="20"/>
          <w:lang w:bidi="hi-IN"/>
          <w14:ligatures w14:val="none"/>
        </w:rPr>
      </w:pPr>
      <w:r w:rsidRPr="005C3B36">
        <w:rPr>
          <w:rFonts w:ascii="Arial" w:hAnsi="Arial" w:cs="Arial"/>
          <w:b/>
          <w:bCs/>
          <w:color w:val="000000" w:themeColor="text1"/>
          <w:sz w:val="20"/>
          <w:szCs w:val="20"/>
        </w:rPr>
        <w:t>TS &amp; VS</w:t>
      </w:r>
      <w:r w:rsidRPr="005C3B36">
        <w:rPr>
          <w:rFonts w:ascii="Arial" w:eastAsia="Times New Roman" w:hAnsi="Arial" w:cs="Arial"/>
          <w:color w:val="000000" w:themeColor="text1"/>
          <w:kern w:val="0"/>
          <w:sz w:val="20"/>
          <w:szCs w:val="20"/>
          <w:lang w:bidi="hi-IN"/>
          <w14:ligatures w14:val="none"/>
        </w:rPr>
        <w:t xml:space="preserve"> </w:t>
      </w:r>
    </w:p>
    <w:p w14:paraId="2C411EB9" w14:textId="425CBC06" w:rsidR="00124A1A" w:rsidRDefault="00124A1A" w:rsidP="00124A1A">
      <w:pPr>
        <w:spacing w:before="240"/>
        <w:jc w:val="both"/>
        <w:rPr>
          <w:rFonts w:ascii="Arial" w:hAnsi="Arial" w:cs="Arial"/>
          <w:color w:val="000000" w:themeColor="text1"/>
          <w:sz w:val="20"/>
          <w:szCs w:val="20"/>
        </w:rPr>
      </w:pPr>
      <w:r w:rsidRPr="005C3B36">
        <w:rPr>
          <w:rFonts w:ascii="Arial" w:hAnsi="Arial" w:cs="Arial"/>
          <w:color w:val="000000" w:themeColor="text1"/>
          <w:sz w:val="22"/>
          <w:szCs w:val="22"/>
        </w:rPr>
        <w:t xml:space="preserve">BMS displayed good VS (52.32%) and the greatest TS (89.91%). The variation in values is presented in Figure 5. OMS demonstrated the high potential for biogas with the highest VS (66.83%) and high VS/TS ratio (0.77) indicating a strong potential for methane. As mentioned in Table 3, significantly high (P=0.05) volatile solids (VS) in </w:t>
      </w:r>
      <w:r w:rsidRPr="005C3B36">
        <w:rPr>
          <w:rFonts w:ascii="Arial" w:hAnsi="Arial" w:cs="Arial"/>
          <w:color w:val="000000" w:themeColor="text1"/>
          <w:sz w:val="22"/>
          <w:szCs w:val="22"/>
        </w:rPr>
        <w:lastRenderedPageBreak/>
        <w:t>BMS and OMS indicate more biodegradable material, which is consistent with the BOD and COD results. According to literature, high VS content and high percentage of VS in TS of OMS demonstrate exceptional energy potential (</w:t>
      </w:r>
      <w:r w:rsidRPr="005C3B36">
        <w:rPr>
          <w:rFonts w:ascii="Arial" w:hAnsi="Arial" w:cs="Arial"/>
          <w:sz w:val="22"/>
          <w:szCs w:val="22"/>
        </w:rPr>
        <w:t>Vasilakis et al., 2023)</w:t>
      </w:r>
      <w:r w:rsidRPr="005C3B36">
        <w:rPr>
          <w:rFonts w:ascii="Arial" w:hAnsi="Arial" w:cs="Arial"/>
          <w:color w:val="000000" w:themeColor="text1"/>
          <w:sz w:val="22"/>
          <w:szCs w:val="22"/>
        </w:rPr>
        <w:t>. The loading rate of the digester is controlled by the TS and VS contents. The biogas potential per unit mass was expected to be higher for BMS and OMS due to their high TS and VS.</w:t>
      </w:r>
    </w:p>
    <w:p w14:paraId="1BE612FC" w14:textId="70F891F8" w:rsidR="00790ADA" w:rsidRPr="00124A1A" w:rsidRDefault="00124A1A" w:rsidP="00AD5384">
      <w:pPr>
        <w:jc w:val="both"/>
        <w:rPr>
          <w:rFonts w:ascii="Arial" w:hAnsi="Arial" w:cs="Arial"/>
          <w:color w:val="000000" w:themeColor="text1"/>
          <w:sz w:val="20"/>
          <w:szCs w:val="20"/>
        </w:rPr>
      </w:pPr>
      <w:r w:rsidRPr="005C3B36">
        <w:rPr>
          <w:rFonts w:ascii="Arial" w:hAnsi="Arial" w:cs="Arial"/>
          <w:noProof/>
          <w:color w:val="000000" w:themeColor="text1"/>
        </w:rPr>
        <w:drawing>
          <wp:anchor distT="0" distB="0" distL="114300" distR="114300" simplePos="0" relativeHeight="251661312" behindDoc="0" locked="0" layoutInCell="1" allowOverlap="1" wp14:anchorId="006ADA8E" wp14:editId="6AFA7F6D">
            <wp:simplePos x="0" y="0"/>
            <wp:positionH relativeFrom="column">
              <wp:posOffset>1140102</wp:posOffset>
            </wp:positionH>
            <wp:positionV relativeFrom="paragraph">
              <wp:posOffset>56</wp:posOffset>
            </wp:positionV>
            <wp:extent cx="3086100" cy="2362200"/>
            <wp:effectExtent l="0" t="0" r="0" b="0"/>
            <wp:wrapTopAndBottom/>
            <wp:docPr id="608828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2856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100" cy="2362200"/>
                    </a:xfrm>
                    <a:prstGeom prst="rect">
                      <a:avLst/>
                    </a:prstGeom>
                  </pic:spPr>
                </pic:pic>
              </a:graphicData>
            </a:graphic>
          </wp:anchor>
        </w:drawing>
      </w:r>
    </w:p>
    <w:p w14:paraId="5D9D2D0C" w14:textId="11E7AFAD" w:rsidR="00F268BE" w:rsidRPr="005C3B36" w:rsidRDefault="002E5BDF" w:rsidP="0069155A">
      <w:pPr>
        <w:tabs>
          <w:tab w:val="left" w:pos="3478"/>
        </w:tabs>
        <w:jc w:val="center"/>
        <w:rPr>
          <w:rFonts w:ascii="Arial" w:hAnsi="Arial" w:cs="Arial"/>
          <w:b/>
          <w:bCs/>
          <w:sz w:val="20"/>
          <w:szCs w:val="20"/>
        </w:rPr>
      </w:pPr>
      <w:r w:rsidRPr="005C3B36">
        <w:rPr>
          <w:rFonts w:ascii="Arial" w:hAnsi="Arial" w:cs="Arial"/>
          <w:b/>
          <w:bCs/>
          <w:sz w:val="20"/>
          <w:szCs w:val="20"/>
        </w:rPr>
        <w:t xml:space="preserve">Figure </w:t>
      </w:r>
      <w:r w:rsidR="00E10C44" w:rsidRPr="005C3B36">
        <w:rPr>
          <w:rFonts w:ascii="Arial" w:hAnsi="Arial" w:cs="Arial"/>
          <w:b/>
          <w:bCs/>
          <w:sz w:val="20"/>
          <w:szCs w:val="20"/>
        </w:rPr>
        <w:t>5</w:t>
      </w:r>
      <w:r w:rsidRPr="005C3B36">
        <w:rPr>
          <w:rFonts w:ascii="Arial" w:hAnsi="Arial" w:cs="Arial"/>
          <w:b/>
          <w:bCs/>
          <w:sz w:val="20"/>
          <w:szCs w:val="20"/>
        </w:rPr>
        <w:t>. Total solids (TS), Volatile solids (VS) and VS in TS (%) of treated and untreated mushroom substrate</w:t>
      </w:r>
      <w:r w:rsidR="00261174">
        <w:rPr>
          <w:rFonts w:ascii="Arial" w:hAnsi="Arial" w:cs="Arial"/>
          <w:b/>
          <w:bCs/>
          <w:sz w:val="20"/>
          <w:szCs w:val="20"/>
        </w:rPr>
        <w:t xml:space="preserve"> (mean ± SE)</w:t>
      </w:r>
    </w:p>
    <w:p w14:paraId="01647C01" w14:textId="77777777" w:rsidR="005200AC" w:rsidRPr="005C3B36" w:rsidRDefault="005200AC" w:rsidP="005200AC">
      <w:pPr>
        <w:pStyle w:val="ConcHead"/>
        <w:spacing w:before="240"/>
        <w:jc w:val="both"/>
        <w:rPr>
          <w:rFonts w:ascii="Arial" w:hAnsi="Arial" w:cs="Arial"/>
        </w:rPr>
      </w:pPr>
      <w:r w:rsidRPr="005C3B36">
        <w:rPr>
          <w:rFonts w:ascii="Arial" w:hAnsi="Arial" w:cs="Arial"/>
        </w:rPr>
        <w:t>4. Conclusion</w:t>
      </w:r>
    </w:p>
    <w:p w14:paraId="06F5D6C8" w14:textId="62AD6672" w:rsidR="005200AC" w:rsidRPr="005C3B36" w:rsidRDefault="005200AC" w:rsidP="005200AC">
      <w:pPr>
        <w:pStyle w:val="Body"/>
        <w:spacing w:after="0"/>
        <w:rPr>
          <w:rFonts w:ascii="Arial" w:hAnsi="Arial" w:cs="Arial"/>
          <w:color w:val="000000" w:themeColor="text1"/>
          <w:sz w:val="22"/>
          <w:szCs w:val="22"/>
        </w:rPr>
      </w:pPr>
      <w:r w:rsidRPr="005C3B36">
        <w:rPr>
          <w:rFonts w:ascii="Arial" w:hAnsi="Arial" w:cs="Arial"/>
          <w:color w:val="000000" w:themeColor="text1"/>
          <w:sz w:val="22"/>
          <w:szCs w:val="22"/>
          <w:lang w:bidi="th-TH"/>
        </w:rPr>
        <w:t>The physicochemical examination of WC</w:t>
      </w:r>
      <w:r w:rsidRPr="005C3B36">
        <w:rPr>
          <w:rFonts w:ascii="Arial" w:hAnsi="Arial" w:cs="Arial"/>
          <w:color w:val="000000" w:themeColor="text1"/>
          <w:sz w:val="22"/>
          <w:szCs w:val="22"/>
        </w:rPr>
        <w:t>,</w:t>
      </w:r>
      <w:r w:rsidRPr="005C3B36">
        <w:rPr>
          <w:rFonts w:ascii="Arial" w:hAnsi="Arial" w:cs="Arial"/>
          <w:color w:val="000000" w:themeColor="text1"/>
          <w:sz w:val="22"/>
          <w:szCs w:val="22"/>
          <w:lang w:bidi="th-TH"/>
        </w:rPr>
        <w:t xml:space="preserve"> PC</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BMS</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and</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OMS shows a great variation in their potential for the production of biogas and anaerobic digestion. The most advantageous profiles of the examined substrates are shown by</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 xml:space="preserve">BMS and OMS, which have balanced macronutrient composition, ideal C:N ratios (32.6:1 and 34.2:1, respectively) and </w:t>
      </w:r>
      <w:r w:rsidRPr="005C3B36">
        <w:rPr>
          <w:rFonts w:ascii="Arial" w:hAnsi="Arial" w:cs="Arial"/>
          <w:color w:val="000000" w:themeColor="text1"/>
          <w:sz w:val="22"/>
          <w:szCs w:val="22"/>
        </w:rPr>
        <w:t>good</w:t>
      </w:r>
      <w:r w:rsidRPr="005C3B36">
        <w:rPr>
          <w:rFonts w:ascii="Arial" w:hAnsi="Arial" w:cs="Arial"/>
          <w:color w:val="000000" w:themeColor="text1"/>
          <w:sz w:val="22"/>
          <w:szCs w:val="22"/>
          <w:lang w:bidi="th-TH"/>
        </w:rPr>
        <w:t xml:space="preserve"> biodegradability indicators, such as high volatile solids content, BOD and COD. </w:t>
      </w:r>
      <w:r w:rsidRPr="005C3B36">
        <w:rPr>
          <w:rFonts w:ascii="Arial" w:hAnsi="Arial" w:cs="Arial"/>
          <w:color w:val="000000" w:themeColor="text1"/>
          <w:sz w:val="22"/>
          <w:szCs w:val="22"/>
        </w:rPr>
        <w:t xml:space="preserve">BMS is especially well-suited for high-yield anaerobic digestion due to its moderate C:N ratio and increased COD. </w:t>
      </w:r>
      <w:r w:rsidRPr="005C3B36">
        <w:rPr>
          <w:rFonts w:ascii="Arial" w:hAnsi="Arial" w:cs="Arial"/>
          <w:color w:val="000000" w:themeColor="text1"/>
          <w:sz w:val="22"/>
          <w:szCs w:val="22"/>
          <w:lang w:bidi="th-TH"/>
        </w:rPr>
        <w:t>Th</w:t>
      </w:r>
      <w:r w:rsidRPr="005C3B36">
        <w:rPr>
          <w:rFonts w:ascii="Arial" w:hAnsi="Arial" w:cs="Arial"/>
          <w:color w:val="000000" w:themeColor="text1"/>
          <w:sz w:val="22"/>
          <w:szCs w:val="22"/>
        </w:rPr>
        <w:t>is</w:t>
      </w:r>
      <w:r w:rsidRPr="005C3B36">
        <w:rPr>
          <w:rFonts w:ascii="Arial" w:hAnsi="Arial" w:cs="Arial"/>
          <w:color w:val="000000" w:themeColor="text1"/>
          <w:sz w:val="22"/>
          <w:szCs w:val="22"/>
          <w:lang w:bidi="th-TH"/>
        </w:rPr>
        <w:t xml:space="preserve"> suggest</w:t>
      </w:r>
      <w:r w:rsidRPr="005C3B36">
        <w:rPr>
          <w:rFonts w:ascii="Arial" w:hAnsi="Arial" w:cs="Arial"/>
          <w:color w:val="000000" w:themeColor="text1"/>
          <w:sz w:val="22"/>
          <w:szCs w:val="22"/>
        </w:rPr>
        <w:t>s</w:t>
      </w:r>
      <w:r w:rsidRPr="005C3B36">
        <w:rPr>
          <w:rFonts w:ascii="Arial" w:hAnsi="Arial" w:cs="Arial"/>
          <w:color w:val="000000" w:themeColor="text1"/>
          <w:sz w:val="22"/>
          <w:szCs w:val="22"/>
          <w:lang w:bidi="th-TH"/>
        </w:rPr>
        <w:t xml:space="preserve"> a significant likelihood of methane production and microbial activity. VS/TS ratio</w:t>
      </w:r>
      <w:r w:rsidRPr="005C3B36">
        <w:rPr>
          <w:rFonts w:ascii="Arial" w:hAnsi="Arial" w:cs="Arial"/>
          <w:color w:val="000000" w:themeColor="text1"/>
          <w:sz w:val="22"/>
          <w:szCs w:val="22"/>
        </w:rPr>
        <w:t xml:space="preserve"> of OMS</w:t>
      </w:r>
      <w:r w:rsidRPr="005C3B36">
        <w:rPr>
          <w:rFonts w:ascii="Arial" w:hAnsi="Arial" w:cs="Arial"/>
          <w:color w:val="000000" w:themeColor="text1"/>
          <w:sz w:val="22"/>
          <w:szCs w:val="22"/>
          <w:lang w:bidi="th-TH"/>
        </w:rPr>
        <w:t xml:space="preserve"> (77.26%) and high COD (2976.67 mg</w:t>
      </w:r>
      <w:r w:rsidR="00B814A3">
        <w:rPr>
          <w:rFonts w:ascii="Arial" w:hAnsi="Arial" w:cs="Arial"/>
          <w:color w:val="000000" w:themeColor="text1"/>
          <w:sz w:val="22"/>
          <w:szCs w:val="22"/>
          <w:lang w:bidi="th-TH"/>
        </w:rPr>
        <w:t>L</w:t>
      </w:r>
      <w:r w:rsidR="00B814A3">
        <w:rPr>
          <w:rFonts w:ascii="Arial" w:hAnsi="Arial" w:cs="Arial"/>
          <w:color w:val="000000" w:themeColor="text1"/>
          <w:sz w:val="22"/>
          <w:szCs w:val="22"/>
          <w:vertAlign w:val="superscript"/>
          <w:lang w:bidi="th-TH"/>
        </w:rPr>
        <w:t>-1</w:t>
      </w:r>
      <w:r w:rsidR="00B814A3">
        <w:rPr>
          <w:rFonts w:ascii="Arial" w:hAnsi="Arial" w:cs="Arial"/>
          <w:color w:val="000000" w:themeColor="text1"/>
          <w:sz w:val="22"/>
          <w:szCs w:val="22"/>
          <w:lang w:bidi="th-TH"/>
        </w:rPr>
        <w:t>)</w:t>
      </w:r>
      <w:r w:rsidRPr="005C3B36">
        <w:rPr>
          <w:rFonts w:ascii="Arial" w:hAnsi="Arial" w:cs="Arial"/>
          <w:color w:val="000000" w:themeColor="text1"/>
          <w:sz w:val="22"/>
          <w:szCs w:val="22"/>
          <w:lang w:bidi="th-TH"/>
        </w:rPr>
        <w:t xml:space="preserve"> </w:t>
      </w:r>
      <w:r w:rsidRPr="005C3B36">
        <w:rPr>
          <w:rFonts w:ascii="Arial" w:hAnsi="Arial" w:cs="Arial"/>
          <w:color w:val="000000" w:themeColor="text1"/>
          <w:sz w:val="22"/>
          <w:szCs w:val="22"/>
        </w:rPr>
        <w:t xml:space="preserve">of BMS </w:t>
      </w:r>
      <w:r w:rsidRPr="005C3B36">
        <w:rPr>
          <w:rFonts w:ascii="Arial" w:hAnsi="Arial" w:cs="Arial"/>
          <w:color w:val="000000" w:themeColor="text1"/>
          <w:sz w:val="22"/>
          <w:szCs w:val="22"/>
          <w:lang w:bidi="th-TH"/>
        </w:rPr>
        <w:t>in particular demonstrate the quantity of digestible organic matter that supports effective biogas production.</w:t>
      </w:r>
      <w:r w:rsidRPr="005C3B36">
        <w:rPr>
          <w:rFonts w:ascii="Arial" w:hAnsi="Arial" w:cs="Arial"/>
          <w:color w:val="000000" w:themeColor="text1"/>
          <w:sz w:val="22"/>
          <w:szCs w:val="22"/>
        </w:rPr>
        <w:t xml:space="preserve"> Collectively, Button spent emerges as the best single substrate due to ideal C:N ratio, highest BOD and COD, balanced pH and moderate alkalinity. OMS makes up for its lower alkalinity and pH with high VS and nutrient availability, though pre-treatment or co-digestion techniques might be helpful for improvement. Paddy and wheat composts, on the other hand, showed less balanced nutritional profiles and a lower organic load. Unless co-digested with nitrogen-rich substrates, the high C:N ratio of paddy compost may limit methanogenesis. In order to optimise substrate ratios and loading rates for maximal energy recovery, future research should concentrate on kinetic modelling and reactor-scale validations.</w:t>
      </w:r>
    </w:p>
    <w:p w14:paraId="6536DFBA" w14:textId="77777777" w:rsidR="005200AC" w:rsidRPr="005C3B36" w:rsidRDefault="005200AC" w:rsidP="005200AC">
      <w:pPr>
        <w:pStyle w:val="ReferHead"/>
        <w:spacing w:after="0"/>
        <w:jc w:val="both"/>
        <w:rPr>
          <w:rFonts w:ascii="Arial" w:hAnsi="Arial" w:cs="Arial"/>
        </w:rPr>
      </w:pPr>
      <w:r w:rsidRPr="005C3B36">
        <w:rPr>
          <w:rFonts w:ascii="Arial" w:hAnsi="Arial" w:cs="Arial"/>
        </w:rPr>
        <w:lastRenderedPageBreak/>
        <w:t>References</w:t>
      </w:r>
    </w:p>
    <w:p w14:paraId="0531D7FD" w14:textId="77777777" w:rsidR="005200AC" w:rsidRPr="005C3B36" w:rsidRDefault="005200AC" w:rsidP="005200AC">
      <w:pPr>
        <w:pStyle w:val="ReferHead"/>
        <w:spacing w:after="0"/>
        <w:jc w:val="both"/>
        <w:rPr>
          <w:rFonts w:ascii="Arial" w:hAnsi="Arial" w:cs="Arial"/>
        </w:rPr>
      </w:pPr>
    </w:p>
    <w:p w14:paraId="2DED63A4" w14:textId="000CA55C" w:rsidR="00F7222B" w:rsidRPr="00261174" w:rsidRDefault="00F7222B" w:rsidP="00261174">
      <w:pPr>
        <w:pStyle w:val="ListParagraph"/>
        <w:numPr>
          <w:ilvl w:val="0"/>
          <w:numId w:val="45"/>
        </w:numPr>
        <w:tabs>
          <w:tab w:val="left" w:pos="3478"/>
        </w:tabs>
        <w:jc w:val="both"/>
        <w:rPr>
          <w:rFonts w:ascii="Arial" w:hAnsi="Arial" w:cs="Arial"/>
          <w:szCs w:val="22"/>
        </w:rPr>
      </w:pPr>
      <w:r w:rsidRPr="00261174">
        <w:rPr>
          <w:rFonts w:ascii="Arial" w:hAnsi="Arial" w:cs="Arial"/>
          <w:szCs w:val="22"/>
        </w:rPr>
        <w:t>APHA-American Public Health Association (2022). Standard method for the examination of water and wastewater. American Public Health Association (APHA), American Water Works Association (AWWA) and Water Environment Federation (WEF)</w:t>
      </w:r>
      <w:r w:rsidR="00E24BD5" w:rsidRPr="00261174">
        <w:rPr>
          <w:rFonts w:ascii="Arial" w:hAnsi="Arial" w:cs="Arial"/>
          <w:szCs w:val="22"/>
        </w:rPr>
        <w:t>, Washington DC, USA. 1546p.</w:t>
      </w:r>
    </w:p>
    <w:p w14:paraId="7C54CCE1" w14:textId="77777777" w:rsidR="00261174" w:rsidRPr="00261174" w:rsidRDefault="00F7222B" w:rsidP="00261174">
      <w:pPr>
        <w:pStyle w:val="ListParagraph"/>
        <w:numPr>
          <w:ilvl w:val="0"/>
          <w:numId w:val="45"/>
        </w:numPr>
        <w:tabs>
          <w:tab w:val="left" w:pos="3478"/>
        </w:tabs>
        <w:jc w:val="both"/>
        <w:rPr>
          <w:rFonts w:ascii="Arial" w:eastAsia="Times New Roman" w:hAnsi="Arial" w:cs="Arial"/>
          <w:kern w:val="0"/>
          <w:szCs w:val="22"/>
          <w:lang w:bidi="hi-IN"/>
          <w14:ligatures w14:val="none"/>
        </w:rPr>
      </w:pPr>
      <w:proofErr w:type="spellStart"/>
      <w:r w:rsidRPr="00261174">
        <w:rPr>
          <w:rFonts w:ascii="Arial" w:hAnsi="Arial" w:cs="Arial"/>
          <w:szCs w:val="22"/>
        </w:rPr>
        <w:t>Duguma</w:t>
      </w:r>
      <w:proofErr w:type="spellEnd"/>
      <w:r w:rsidRPr="00261174">
        <w:rPr>
          <w:rFonts w:ascii="Arial" w:hAnsi="Arial" w:cs="Arial"/>
          <w:szCs w:val="22"/>
        </w:rPr>
        <w:t xml:space="preserve">, A., Bekele, T., &amp; Geda, A. (2024). Biogas production through anaerobic </w:t>
      </w:r>
      <w:proofErr w:type="spellStart"/>
      <w:r w:rsidRPr="00261174">
        <w:rPr>
          <w:rFonts w:ascii="Arial" w:hAnsi="Arial" w:cs="Arial"/>
          <w:szCs w:val="22"/>
        </w:rPr>
        <w:t>codigestion</w:t>
      </w:r>
      <w:proofErr w:type="spellEnd"/>
      <w:r w:rsidRPr="00261174">
        <w:rPr>
          <w:rFonts w:ascii="Arial" w:hAnsi="Arial" w:cs="Arial"/>
          <w:szCs w:val="22"/>
        </w:rPr>
        <w:t xml:space="preserve"> of distillery wastewater sludge and disposable spent yeast. </w:t>
      </w:r>
      <w:r w:rsidRPr="00261174">
        <w:rPr>
          <w:rFonts w:ascii="Arial" w:hAnsi="Arial" w:cs="Arial"/>
          <w:i/>
          <w:iCs/>
          <w:szCs w:val="22"/>
        </w:rPr>
        <w:t>International Journal of Chemical Engineering</w:t>
      </w:r>
      <w:r w:rsidRPr="00261174">
        <w:rPr>
          <w:rFonts w:ascii="Arial" w:hAnsi="Arial" w:cs="Arial"/>
          <w:szCs w:val="22"/>
        </w:rPr>
        <w:t>, </w:t>
      </w:r>
      <w:r w:rsidRPr="00261174">
        <w:rPr>
          <w:rFonts w:ascii="Arial" w:hAnsi="Arial" w:cs="Arial"/>
          <w:i/>
          <w:iCs/>
          <w:szCs w:val="22"/>
        </w:rPr>
        <w:t>2024</w:t>
      </w:r>
      <w:r w:rsidRPr="00261174">
        <w:rPr>
          <w:rFonts w:ascii="Arial" w:hAnsi="Arial" w:cs="Arial"/>
          <w:szCs w:val="22"/>
        </w:rPr>
        <w:t>(1), 5510471.</w:t>
      </w:r>
      <w:r w:rsidRPr="00261174">
        <w:rPr>
          <w:rFonts w:ascii="Arial" w:hAnsi="Arial" w:cs="Arial"/>
          <w:color w:val="767676"/>
          <w:szCs w:val="22"/>
          <w:shd w:val="clear" w:color="auto" w:fill="FFFFFF"/>
        </w:rPr>
        <w:t xml:space="preserve"> </w:t>
      </w:r>
      <w:hyperlink r:id="rId19" w:history="1">
        <w:r w:rsidRPr="00261174">
          <w:rPr>
            <w:rStyle w:val="Hyperlink"/>
            <w:rFonts w:ascii="Arial" w:hAnsi="Arial" w:cs="Arial"/>
            <w:szCs w:val="22"/>
          </w:rPr>
          <w:t>https://doi.org/10.1155/2024/5510471</w:t>
        </w:r>
      </w:hyperlink>
    </w:p>
    <w:p w14:paraId="033EAE38" w14:textId="77777777" w:rsidR="00261174" w:rsidRPr="00B814A3" w:rsidRDefault="00261174" w:rsidP="00B814A3">
      <w:pPr>
        <w:pStyle w:val="ListParagraph"/>
        <w:numPr>
          <w:ilvl w:val="0"/>
          <w:numId w:val="45"/>
        </w:numPr>
        <w:tabs>
          <w:tab w:val="left" w:pos="3478"/>
        </w:tabs>
        <w:spacing w:after="0"/>
        <w:jc w:val="both"/>
        <w:rPr>
          <w:rFonts w:ascii="Arial" w:eastAsia="Times New Roman" w:hAnsi="Arial" w:cs="Arial"/>
          <w:kern w:val="0"/>
          <w:szCs w:val="22"/>
          <w:lang w:bidi="hi-IN"/>
          <w14:ligatures w14:val="none"/>
        </w:rPr>
      </w:pPr>
      <w:proofErr w:type="spellStart"/>
      <w:r w:rsidRPr="00261174">
        <w:rPr>
          <w:rFonts w:ascii="Arial" w:hAnsi="Arial" w:cs="Arial"/>
          <w:szCs w:val="22"/>
        </w:rPr>
        <w:t>Gebreegziabher</w:t>
      </w:r>
      <w:proofErr w:type="spellEnd"/>
      <w:r w:rsidRPr="00261174">
        <w:rPr>
          <w:rFonts w:ascii="Arial" w:hAnsi="Arial" w:cs="Arial"/>
          <w:szCs w:val="22"/>
        </w:rPr>
        <w:t xml:space="preserve">, B. W., </w:t>
      </w:r>
      <w:proofErr w:type="spellStart"/>
      <w:r w:rsidRPr="00261174">
        <w:rPr>
          <w:rFonts w:ascii="Arial" w:hAnsi="Arial" w:cs="Arial"/>
          <w:szCs w:val="22"/>
        </w:rPr>
        <w:t>Dubale</w:t>
      </w:r>
      <w:proofErr w:type="spellEnd"/>
      <w:r w:rsidRPr="00261174">
        <w:rPr>
          <w:rFonts w:ascii="Arial" w:hAnsi="Arial" w:cs="Arial"/>
          <w:szCs w:val="22"/>
        </w:rPr>
        <w:t xml:space="preserve">, A. A., </w:t>
      </w:r>
      <w:proofErr w:type="spellStart"/>
      <w:r w:rsidRPr="00261174">
        <w:rPr>
          <w:rFonts w:ascii="Arial" w:hAnsi="Arial" w:cs="Arial"/>
          <w:szCs w:val="22"/>
        </w:rPr>
        <w:t>Adaramola</w:t>
      </w:r>
      <w:proofErr w:type="spellEnd"/>
      <w:r w:rsidRPr="00261174">
        <w:rPr>
          <w:rFonts w:ascii="Arial" w:hAnsi="Arial" w:cs="Arial"/>
          <w:szCs w:val="22"/>
        </w:rPr>
        <w:t>, M. S., &amp; Morken, J. (2025). Advancing Anaerobic Digestion of Biodiesel Byproducts: A Comprehensive Review. </w:t>
      </w:r>
      <w:proofErr w:type="spellStart"/>
      <w:r w:rsidRPr="00261174">
        <w:rPr>
          <w:rFonts w:ascii="Arial" w:hAnsi="Arial" w:cs="Arial"/>
          <w:i/>
          <w:iCs/>
          <w:szCs w:val="22"/>
        </w:rPr>
        <w:t>BioEnergy</w:t>
      </w:r>
      <w:proofErr w:type="spellEnd"/>
      <w:r w:rsidRPr="00261174">
        <w:rPr>
          <w:rFonts w:ascii="Arial" w:hAnsi="Arial" w:cs="Arial"/>
          <w:i/>
          <w:iCs/>
          <w:szCs w:val="22"/>
        </w:rPr>
        <w:t xml:space="preserve"> Research</w:t>
      </w:r>
      <w:r w:rsidRPr="00261174">
        <w:rPr>
          <w:rFonts w:ascii="Arial" w:hAnsi="Arial" w:cs="Arial"/>
          <w:szCs w:val="22"/>
        </w:rPr>
        <w:t>, </w:t>
      </w:r>
      <w:r w:rsidRPr="00261174">
        <w:rPr>
          <w:rFonts w:ascii="Arial" w:hAnsi="Arial" w:cs="Arial"/>
          <w:i/>
          <w:iCs/>
          <w:szCs w:val="22"/>
        </w:rPr>
        <w:t>18</w:t>
      </w:r>
      <w:r w:rsidRPr="00261174">
        <w:rPr>
          <w:rFonts w:ascii="Arial" w:hAnsi="Arial" w:cs="Arial"/>
          <w:szCs w:val="22"/>
        </w:rPr>
        <w:t xml:space="preserve">(1), 15. </w:t>
      </w:r>
      <w:hyperlink r:id="rId20" w:history="1">
        <w:r w:rsidRPr="00261174">
          <w:rPr>
            <w:rStyle w:val="Hyperlink"/>
            <w:rFonts w:ascii="Arial" w:hAnsi="Arial" w:cs="Arial"/>
            <w:szCs w:val="22"/>
          </w:rPr>
          <w:t>https://doi.org/10.1007/s12155-025-10820-4</w:t>
        </w:r>
      </w:hyperlink>
    </w:p>
    <w:p w14:paraId="4748E0B8" w14:textId="12C9741D" w:rsidR="00B814A3" w:rsidRPr="00B814A3" w:rsidRDefault="00B814A3" w:rsidP="00B814A3">
      <w:pPr>
        <w:pStyle w:val="Body"/>
        <w:numPr>
          <w:ilvl w:val="0"/>
          <w:numId w:val="45"/>
        </w:numPr>
        <w:spacing w:after="0"/>
        <w:rPr>
          <w:rFonts w:ascii="Arial" w:hAnsi="Arial" w:cs="Arial"/>
          <w:sz w:val="22"/>
          <w:szCs w:val="22"/>
        </w:rPr>
      </w:pPr>
      <w:r w:rsidRPr="00B814A3">
        <w:rPr>
          <w:rFonts w:ascii="Arial" w:hAnsi="Arial" w:cs="Arial"/>
          <w:sz w:val="22"/>
          <w:szCs w:val="22"/>
        </w:rPr>
        <w:t>Ibro, M. K., Ancha, V. R., &amp; Lemma, D. B. (2022). Impacts of Anaerobic Co-Digestion on Different Influencing Parameters: A Critical Review. </w:t>
      </w:r>
      <w:r w:rsidRPr="00B814A3">
        <w:rPr>
          <w:rFonts w:ascii="Arial" w:hAnsi="Arial" w:cs="Arial"/>
          <w:i/>
          <w:iCs/>
          <w:sz w:val="22"/>
          <w:szCs w:val="22"/>
        </w:rPr>
        <w:t>Sustainability</w:t>
      </w:r>
      <w:r w:rsidRPr="00B814A3">
        <w:rPr>
          <w:rFonts w:ascii="Arial" w:hAnsi="Arial" w:cs="Arial"/>
          <w:sz w:val="22"/>
          <w:szCs w:val="22"/>
        </w:rPr>
        <w:t>, </w:t>
      </w:r>
      <w:r w:rsidRPr="00B814A3">
        <w:rPr>
          <w:rFonts w:ascii="Arial" w:hAnsi="Arial" w:cs="Arial"/>
          <w:i/>
          <w:iCs/>
          <w:sz w:val="22"/>
          <w:szCs w:val="22"/>
        </w:rPr>
        <w:t>14</w:t>
      </w:r>
      <w:r w:rsidRPr="00B814A3">
        <w:rPr>
          <w:rFonts w:ascii="Arial" w:hAnsi="Arial" w:cs="Arial"/>
          <w:sz w:val="22"/>
          <w:szCs w:val="22"/>
        </w:rPr>
        <w:t xml:space="preserve">(15), 9387. </w:t>
      </w:r>
      <w:hyperlink r:id="rId21" w:history="1">
        <w:r w:rsidRPr="005F650B">
          <w:rPr>
            <w:rStyle w:val="Hyperlink"/>
            <w:rFonts w:ascii="Arial" w:hAnsi="Arial" w:cs="Arial"/>
            <w:sz w:val="22"/>
            <w:szCs w:val="22"/>
          </w:rPr>
          <w:t>https://doi.org/10.3390/su14159387</w:t>
        </w:r>
      </w:hyperlink>
    </w:p>
    <w:p w14:paraId="7FA5DF78" w14:textId="4C2D5C67" w:rsidR="00261174" w:rsidRPr="00261174" w:rsidRDefault="00261174" w:rsidP="00261174">
      <w:pPr>
        <w:pStyle w:val="ListParagraph"/>
        <w:numPr>
          <w:ilvl w:val="0"/>
          <w:numId w:val="45"/>
        </w:numPr>
        <w:tabs>
          <w:tab w:val="left" w:pos="3478"/>
        </w:tabs>
        <w:jc w:val="both"/>
        <w:rPr>
          <w:rFonts w:ascii="Arial" w:eastAsia="Times New Roman" w:hAnsi="Arial" w:cs="Arial"/>
          <w:kern w:val="0"/>
          <w:szCs w:val="22"/>
          <w:lang w:bidi="hi-IN"/>
          <w14:ligatures w14:val="none"/>
        </w:rPr>
      </w:pPr>
      <w:proofErr w:type="spellStart"/>
      <w:r w:rsidRPr="00261174">
        <w:rPr>
          <w:rFonts w:ascii="Arial" w:hAnsi="Arial" w:cs="Arial"/>
          <w:szCs w:val="22"/>
        </w:rPr>
        <w:t>Meegoda</w:t>
      </w:r>
      <w:proofErr w:type="spellEnd"/>
      <w:r w:rsidRPr="00261174">
        <w:rPr>
          <w:rFonts w:ascii="Arial" w:hAnsi="Arial" w:cs="Arial"/>
          <w:szCs w:val="22"/>
        </w:rPr>
        <w:t>, J. N., Li, B., Patel, K., &amp; Wang, L. B. (2018). A Review of the Processes, Parameters, and Optimization of Anaerobic Digestion. </w:t>
      </w:r>
      <w:r w:rsidRPr="00261174">
        <w:rPr>
          <w:rFonts w:ascii="Arial" w:hAnsi="Arial" w:cs="Arial"/>
          <w:i/>
          <w:iCs/>
          <w:szCs w:val="22"/>
        </w:rPr>
        <w:t>International Journal of Environmental Research and Public Health</w:t>
      </w:r>
      <w:r w:rsidRPr="00261174">
        <w:rPr>
          <w:rFonts w:ascii="Arial" w:hAnsi="Arial" w:cs="Arial"/>
          <w:szCs w:val="22"/>
        </w:rPr>
        <w:t>, </w:t>
      </w:r>
      <w:r w:rsidRPr="00261174">
        <w:rPr>
          <w:rFonts w:ascii="Arial" w:hAnsi="Arial" w:cs="Arial"/>
          <w:i/>
          <w:iCs/>
          <w:szCs w:val="22"/>
        </w:rPr>
        <w:t>15</w:t>
      </w:r>
      <w:r w:rsidRPr="00261174">
        <w:rPr>
          <w:rFonts w:ascii="Arial" w:hAnsi="Arial" w:cs="Arial"/>
          <w:szCs w:val="22"/>
        </w:rPr>
        <w:t xml:space="preserve">(10), 2224. </w:t>
      </w:r>
      <w:hyperlink r:id="rId22" w:history="1">
        <w:r w:rsidRPr="00261174">
          <w:rPr>
            <w:rStyle w:val="Hyperlink"/>
            <w:rFonts w:ascii="Arial" w:hAnsi="Arial" w:cs="Arial"/>
            <w:szCs w:val="22"/>
          </w:rPr>
          <w:t>https://doi.org/10.3390/ijerph15102224</w:t>
        </w:r>
      </w:hyperlink>
    </w:p>
    <w:p w14:paraId="197B047E" w14:textId="77777777" w:rsidR="00261174" w:rsidRPr="00261174" w:rsidRDefault="00261174" w:rsidP="00261174">
      <w:pPr>
        <w:pStyle w:val="Body"/>
        <w:numPr>
          <w:ilvl w:val="0"/>
          <w:numId w:val="45"/>
        </w:numPr>
        <w:spacing w:after="0"/>
        <w:rPr>
          <w:rFonts w:ascii="Arial" w:hAnsi="Arial" w:cs="Arial"/>
          <w:sz w:val="22"/>
          <w:szCs w:val="22"/>
        </w:rPr>
      </w:pPr>
      <w:proofErr w:type="spellStart"/>
      <w:r w:rsidRPr="00261174">
        <w:rPr>
          <w:rFonts w:ascii="Arial" w:hAnsi="Arial" w:cs="Arial"/>
          <w:sz w:val="22"/>
          <w:szCs w:val="22"/>
        </w:rPr>
        <w:t>Obileke</w:t>
      </w:r>
      <w:proofErr w:type="spellEnd"/>
      <w:r w:rsidRPr="00261174">
        <w:rPr>
          <w:rFonts w:ascii="Arial" w:hAnsi="Arial" w:cs="Arial"/>
          <w:sz w:val="22"/>
          <w:szCs w:val="22"/>
        </w:rPr>
        <w:t xml:space="preserve">, K., </w:t>
      </w:r>
      <w:proofErr w:type="spellStart"/>
      <w:r w:rsidRPr="00261174">
        <w:rPr>
          <w:rFonts w:ascii="Arial" w:hAnsi="Arial" w:cs="Arial"/>
          <w:sz w:val="22"/>
          <w:szCs w:val="22"/>
        </w:rPr>
        <w:t>Makaka</w:t>
      </w:r>
      <w:proofErr w:type="spellEnd"/>
      <w:r w:rsidRPr="00261174">
        <w:rPr>
          <w:rFonts w:ascii="Arial" w:hAnsi="Arial" w:cs="Arial"/>
          <w:sz w:val="22"/>
          <w:szCs w:val="22"/>
        </w:rPr>
        <w:t>, G., &amp; Nwokolo, N. (2023). Recent Advancements in Anaerobic Digestion and Gasification Technology. </w:t>
      </w:r>
      <w:r w:rsidRPr="00261174">
        <w:rPr>
          <w:rFonts w:ascii="Arial" w:hAnsi="Arial" w:cs="Arial"/>
          <w:i/>
          <w:iCs/>
          <w:sz w:val="22"/>
          <w:szCs w:val="22"/>
        </w:rPr>
        <w:t>Applied Sciences</w:t>
      </w:r>
      <w:r w:rsidRPr="00261174">
        <w:rPr>
          <w:rFonts w:ascii="Arial" w:hAnsi="Arial" w:cs="Arial"/>
          <w:sz w:val="22"/>
          <w:szCs w:val="22"/>
        </w:rPr>
        <w:t>, </w:t>
      </w:r>
      <w:r w:rsidRPr="00261174">
        <w:rPr>
          <w:rFonts w:ascii="Arial" w:hAnsi="Arial" w:cs="Arial"/>
          <w:i/>
          <w:iCs/>
          <w:sz w:val="22"/>
          <w:szCs w:val="22"/>
        </w:rPr>
        <w:t>13</w:t>
      </w:r>
      <w:r w:rsidRPr="00261174">
        <w:rPr>
          <w:rFonts w:ascii="Arial" w:hAnsi="Arial" w:cs="Arial"/>
          <w:sz w:val="22"/>
          <w:szCs w:val="22"/>
        </w:rPr>
        <w:t xml:space="preserve">(9), 5597. </w:t>
      </w:r>
      <w:hyperlink r:id="rId23" w:history="1">
        <w:r w:rsidRPr="00261174">
          <w:rPr>
            <w:rStyle w:val="Hyperlink"/>
            <w:rFonts w:ascii="Arial" w:hAnsi="Arial" w:cs="Arial"/>
            <w:sz w:val="22"/>
            <w:szCs w:val="22"/>
          </w:rPr>
          <w:t>https://doi.org/10.3390/app13095597</w:t>
        </w:r>
      </w:hyperlink>
    </w:p>
    <w:p w14:paraId="1F682008" w14:textId="77777777" w:rsidR="00261174" w:rsidRPr="00261174" w:rsidRDefault="00261174" w:rsidP="00261174">
      <w:pPr>
        <w:pStyle w:val="Body"/>
        <w:numPr>
          <w:ilvl w:val="0"/>
          <w:numId w:val="45"/>
        </w:numPr>
        <w:spacing w:after="0"/>
        <w:rPr>
          <w:rFonts w:ascii="Arial" w:hAnsi="Arial" w:cs="Arial"/>
          <w:sz w:val="22"/>
          <w:szCs w:val="22"/>
        </w:rPr>
      </w:pPr>
      <w:r w:rsidRPr="00261174">
        <w:rPr>
          <w:rFonts w:ascii="Arial" w:hAnsi="Arial" w:cs="Arial"/>
          <w:sz w:val="22"/>
          <w:szCs w:val="22"/>
        </w:rPr>
        <w:t>Pan, S. Y., Tsai, C. Y., Liu, C. W., Wang, S. W., Kim, H., &amp; Fan, C. (2021). Anaerobic co-digestion of agricultural wastes toward circular bioeconomy. </w:t>
      </w:r>
      <w:proofErr w:type="spellStart"/>
      <w:r w:rsidRPr="00261174">
        <w:rPr>
          <w:rFonts w:ascii="Arial" w:hAnsi="Arial" w:cs="Arial"/>
          <w:i/>
          <w:iCs/>
          <w:sz w:val="22"/>
          <w:szCs w:val="22"/>
        </w:rPr>
        <w:t>iScience</w:t>
      </w:r>
      <w:proofErr w:type="spellEnd"/>
      <w:r w:rsidRPr="00261174">
        <w:rPr>
          <w:rFonts w:ascii="Arial" w:hAnsi="Arial" w:cs="Arial"/>
          <w:sz w:val="22"/>
          <w:szCs w:val="22"/>
        </w:rPr>
        <w:t>, </w:t>
      </w:r>
      <w:r w:rsidRPr="00261174">
        <w:rPr>
          <w:rFonts w:ascii="Arial" w:hAnsi="Arial" w:cs="Arial"/>
          <w:i/>
          <w:iCs/>
          <w:sz w:val="22"/>
          <w:szCs w:val="22"/>
        </w:rPr>
        <w:t>24</w:t>
      </w:r>
      <w:r w:rsidRPr="00261174">
        <w:rPr>
          <w:rFonts w:ascii="Arial" w:hAnsi="Arial" w:cs="Arial"/>
          <w:sz w:val="22"/>
          <w:szCs w:val="22"/>
        </w:rPr>
        <w:t xml:space="preserve">(7), 102704. </w:t>
      </w:r>
      <w:hyperlink r:id="rId24" w:history="1">
        <w:r w:rsidRPr="00261174">
          <w:rPr>
            <w:rStyle w:val="Hyperlink"/>
            <w:rFonts w:ascii="Arial" w:hAnsi="Arial" w:cs="Arial"/>
            <w:sz w:val="22"/>
            <w:szCs w:val="22"/>
          </w:rPr>
          <w:t>https://doi.org/10.1016/j.isci.2021.102704</w:t>
        </w:r>
      </w:hyperlink>
    </w:p>
    <w:p w14:paraId="78A1869B" w14:textId="77777777" w:rsidR="00261174" w:rsidRPr="00261174" w:rsidRDefault="00261174" w:rsidP="00261174">
      <w:pPr>
        <w:pStyle w:val="Body"/>
        <w:numPr>
          <w:ilvl w:val="0"/>
          <w:numId w:val="45"/>
        </w:numPr>
        <w:spacing w:after="0"/>
        <w:rPr>
          <w:rFonts w:ascii="Arial" w:hAnsi="Arial" w:cs="Arial"/>
          <w:sz w:val="22"/>
          <w:szCs w:val="22"/>
        </w:rPr>
      </w:pPr>
      <w:proofErr w:type="spellStart"/>
      <w:r w:rsidRPr="00261174">
        <w:rPr>
          <w:rFonts w:ascii="Arial" w:hAnsi="Arial" w:cs="Arial"/>
          <w:sz w:val="22"/>
          <w:szCs w:val="22"/>
        </w:rPr>
        <w:t>Ravlikovsky</w:t>
      </w:r>
      <w:proofErr w:type="spellEnd"/>
      <w:r w:rsidRPr="00261174">
        <w:rPr>
          <w:rFonts w:ascii="Arial" w:hAnsi="Arial" w:cs="Arial"/>
          <w:sz w:val="22"/>
          <w:szCs w:val="22"/>
        </w:rPr>
        <w:t xml:space="preserve">, A., Pinheiro, M. N. C., </w:t>
      </w:r>
      <w:proofErr w:type="spellStart"/>
      <w:r w:rsidRPr="00261174">
        <w:rPr>
          <w:rFonts w:ascii="Arial" w:hAnsi="Arial" w:cs="Arial"/>
          <w:sz w:val="22"/>
          <w:szCs w:val="22"/>
        </w:rPr>
        <w:t>Kucheruk</w:t>
      </w:r>
      <w:proofErr w:type="spellEnd"/>
      <w:r w:rsidRPr="00261174">
        <w:rPr>
          <w:rFonts w:ascii="Arial" w:hAnsi="Arial" w:cs="Arial"/>
          <w:sz w:val="22"/>
          <w:szCs w:val="22"/>
        </w:rPr>
        <w:t xml:space="preserve">, P., &amp; </w:t>
      </w:r>
      <w:proofErr w:type="spellStart"/>
      <w:r w:rsidRPr="00261174">
        <w:rPr>
          <w:rFonts w:ascii="Arial" w:hAnsi="Arial" w:cs="Arial"/>
          <w:sz w:val="22"/>
          <w:szCs w:val="22"/>
        </w:rPr>
        <w:t>Symochko</w:t>
      </w:r>
      <w:proofErr w:type="spellEnd"/>
      <w:r w:rsidRPr="00261174">
        <w:rPr>
          <w:rFonts w:ascii="Arial" w:hAnsi="Arial" w:cs="Arial"/>
          <w:sz w:val="22"/>
          <w:szCs w:val="22"/>
        </w:rPr>
        <w:t>, L. (2025). Spent Mushroom Substrate as a Renewable Energy Resource: Evaluating Its Biogas Production Potential. </w:t>
      </w:r>
      <w:r w:rsidRPr="00261174">
        <w:rPr>
          <w:rFonts w:ascii="Arial" w:hAnsi="Arial" w:cs="Arial"/>
          <w:i/>
          <w:iCs/>
          <w:sz w:val="22"/>
          <w:szCs w:val="22"/>
        </w:rPr>
        <w:t>Sustainability</w:t>
      </w:r>
      <w:r w:rsidRPr="00261174">
        <w:rPr>
          <w:rFonts w:ascii="Arial" w:hAnsi="Arial" w:cs="Arial"/>
          <w:sz w:val="22"/>
          <w:szCs w:val="22"/>
        </w:rPr>
        <w:t>, </w:t>
      </w:r>
      <w:r w:rsidRPr="00261174">
        <w:rPr>
          <w:rFonts w:ascii="Arial" w:hAnsi="Arial" w:cs="Arial"/>
          <w:i/>
          <w:iCs/>
          <w:sz w:val="22"/>
          <w:szCs w:val="22"/>
        </w:rPr>
        <w:t>17</w:t>
      </w:r>
      <w:r w:rsidRPr="00261174">
        <w:rPr>
          <w:rFonts w:ascii="Arial" w:hAnsi="Arial" w:cs="Arial"/>
          <w:sz w:val="22"/>
          <w:szCs w:val="22"/>
        </w:rPr>
        <w:t xml:space="preserve">(5), 1800. </w:t>
      </w:r>
      <w:hyperlink r:id="rId25" w:history="1">
        <w:r w:rsidRPr="00261174">
          <w:rPr>
            <w:rStyle w:val="Hyperlink"/>
            <w:rFonts w:ascii="Arial" w:hAnsi="Arial" w:cs="Arial"/>
            <w:sz w:val="22"/>
            <w:szCs w:val="22"/>
          </w:rPr>
          <w:t>https://doi.org/10.3390/su17051800</w:t>
        </w:r>
      </w:hyperlink>
    </w:p>
    <w:p w14:paraId="67B5CEE2" w14:textId="77777777" w:rsidR="00261174" w:rsidRPr="00261174" w:rsidRDefault="00261174" w:rsidP="00261174">
      <w:pPr>
        <w:pStyle w:val="Body"/>
        <w:numPr>
          <w:ilvl w:val="0"/>
          <w:numId w:val="45"/>
        </w:numPr>
        <w:spacing w:after="0"/>
        <w:rPr>
          <w:rFonts w:ascii="Arial" w:hAnsi="Arial" w:cs="Arial"/>
          <w:sz w:val="22"/>
          <w:szCs w:val="22"/>
        </w:rPr>
      </w:pPr>
      <w:r w:rsidRPr="00261174">
        <w:rPr>
          <w:rFonts w:ascii="Arial" w:hAnsi="Arial" w:cs="Arial"/>
          <w:sz w:val="22"/>
          <w:szCs w:val="22"/>
        </w:rPr>
        <w:t xml:space="preserve">Toufexis, C., Makris, D. O., </w:t>
      </w:r>
      <w:proofErr w:type="spellStart"/>
      <w:r w:rsidRPr="00261174">
        <w:rPr>
          <w:rFonts w:ascii="Arial" w:hAnsi="Arial" w:cs="Arial"/>
          <w:sz w:val="22"/>
          <w:szCs w:val="22"/>
        </w:rPr>
        <w:t>Vlachokostas</w:t>
      </w:r>
      <w:proofErr w:type="spellEnd"/>
      <w:r w:rsidRPr="00261174">
        <w:rPr>
          <w:rFonts w:ascii="Arial" w:hAnsi="Arial" w:cs="Arial"/>
          <w:sz w:val="22"/>
          <w:szCs w:val="22"/>
        </w:rPr>
        <w:t xml:space="preserve">, C., Michailidou, A. V., </w:t>
      </w:r>
      <w:proofErr w:type="spellStart"/>
      <w:r w:rsidRPr="00261174">
        <w:rPr>
          <w:rFonts w:ascii="Arial" w:hAnsi="Arial" w:cs="Arial"/>
          <w:sz w:val="22"/>
          <w:szCs w:val="22"/>
        </w:rPr>
        <w:t>Mertzanakis</w:t>
      </w:r>
      <w:proofErr w:type="spellEnd"/>
      <w:r w:rsidRPr="00261174">
        <w:rPr>
          <w:rFonts w:ascii="Arial" w:hAnsi="Arial" w:cs="Arial"/>
          <w:sz w:val="22"/>
          <w:szCs w:val="22"/>
        </w:rPr>
        <w:t xml:space="preserve">, C., &amp; </w:t>
      </w:r>
      <w:proofErr w:type="spellStart"/>
      <w:r w:rsidRPr="00261174">
        <w:rPr>
          <w:rFonts w:ascii="Arial" w:hAnsi="Arial" w:cs="Arial"/>
          <w:sz w:val="22"/>
          <w:szCs w:val="22"/>
        </w:rPr>
        <w:t>Vachtsiavanou</w:t>
      </w:r>
      <w:proofErr w:type="spellEnd"/>
      <w:r w:rsidRPr="00261174">
        <w:rPr>
          <w:rFonts w:ascii="Arial" w:hAnsi="Arial" w:cs="Arial"/>
          <w:sz w:val="22"/>
          <w:szCs w:val="22"/>
        </w:rPr>
        <w:t xml:space="preserve">, A. (2024). Bridging the Gap between Biowaste and Biomethane Production: A Systematic Review Meta-Analysis Methodological Approach. Sustainability (2071-1050), 16(15). </w:t>
      </w:r>
      <w:hyperlink r:id="rId26" w:history="1">
        <w:r w:rsidRPr="00261174">
          <w:rPr>
            <w:rStyle w:val="Hyperlink"/>
            <w:rFonts w:ascii="Arial" w:hAnsi="Arial" w:cs="Arial"/>
            <w:sz w:val="22"/>
            <w:szCs w:val="22"/>
          </w:rPr>
          <w:t>https://doi.org/10.3390/su16156433</w:t>
        </w:r>
      </w:hyperlink>
    </w:p>
    <w:p w14:paraId="11F462F9" w14:textId="77777777" w:rsidR="00261174" w:rsidRDefault="00261174" w:rsidP="00261174">
      <w:pPr>
        <w:pStyle w:val="Body"/>
        <w:numPr>
          <w:ilvl w:val="0"/>
          <w:numId w:val="45"/>
        </w:numPr>
        <w:spacing w:after="0"/>
        <w:rPr>
          <w:rFonts w:ascii="Arial" w:hAnsi="Arial" w:cs="Arial"/>
          <w:sz w:val="22"/>
          <w:szCs w:val="22"/>
        </w:rPr>
      </w:pPr>
      <w:r w:rsidRPr="00261174">
        <w:rPr>
          <w:rFonts w:ascii="Arial" w:hAnsi="Arial" w:cs="Arial"/>
          <w:sz w:val="22"/>
          <w:szCs w:val="22"/>
        </w:rPr>
        <w:t>Vasilakis, G., Rigos, E.-M., Giannakis, N., Diamantopoulou, P., &amp; Papanikolaou, S. (2023). Spent Mushroom Substrate Hydrolysis and Utilization as Potential Alternative Feedstock for Anaerobic Co-Digestion. </w:t>
      </w:r>
      <w:r w:rsidRPr="00261174">
        <w:rPr>
          <w:rFonts w:ascii="Arial" w:hAnsi="Arial" w:cs="Arial"/>
          <w:i/>
          <w:iCs/>
          <w:sz w:val="22"/>
          <w:szCs w:val="22"/>
        </w:rPr>
        <w:t>Microorganisms</w:t>
      </w:r>
      <w:r w:rsidRPr="00261174">
        <w:rPr>
          <w:rFonts w:ascii="Arial" w:hAnsi="Arial" w:cs="Arial"/>
          <w:sz w:val="22"/>
          <w:szCs w:val="22"/>
        </w:rPr>
        <w:t>, </w:t>
      </w:r>
      <w:r w:rsidRPr="00261174">
        <w:rPr>
          <w:rFonts w:ascii="Arial" w:hAnsi="Arial" w:cs="Arial"/>
          <w:i/>
          <w:iCs/>
          <w:sz w:val="22"/>
          <w:szCs w:val="22"/>
        </w:rPr>
        <w:t>11</w:t>
      </w:r>
      <w:r w:rsidRPr="00261174">
        <w:rPr>
          <w:rFonts w:ascii="Arial" w:hAnsi="Arial" w:cs="Arial"/>
          <w:sz w:val="22"/>
          <w:szCs w:val="22"/>
        </w:rPr>
        <w:t xml:space="preserve">(2), 532. </w:t>
      </w:r>
      <w:hyperlink r:id="rId27" w:history="1">
        <w:r w:rsidRPr="00261174">
          <w:rPr>
            <w:rStyle w:val="Hyperlink"/>
            <w:rFonts w:ascii="Arial" w:hAnsi="Arial" w:cs="Arial"/>
            <w:sz w:val="22"/>
            <w:szCs w:val="22"/>
          </w:rPr>
          <w:t>https://doi.org/10.3390/microorganisms11020532</w:t>
        </w:r>
      </w:hyperlink>
    </w:p>
    <w:p w14:paraId="1F283D40" w14:textId="77777777" w:rsidR="00B814A3" w:rsidRDefault="00B814A3" w:rsidP="00B814A3">
      <w:pPr>
        <w:pStyle w:val="Body"/>
        <w:spacing w:after="0"/>
        <w:rPr>
          <w:rFonts w:ascii="Arial" w:hAnsi="Arial" w:cs="Arial"/>
          <w:sz w:val="22"/>
          <w:szCs w:val="22"/>
        </w:rPr>
      </w:pPr>
    </w:p>
    <w:p w14:paraId="718CD593" w14:textId="77777777" w:rsidR="00B814A3" w:rsidRDefault="00B814A3" w:rsidP="00B814A3">
      <w:pPr>
        <w:pStyle w:val="Body"/>
        <w:spacing w:after="0"/>
        <w:rPr>
          <w:rFonts w:ascii="Arial" w:hAnsi="Arial" w:cs="Arial"/>
          <w:sz w:val="22"/>
          <w:szCs w:val="22"/>
        </w:rPr>
      </w:pPr>
    </w:p>
    <w:p w14:paraId="44CEA791" w14:textId="4C059BFF" w:rsidR="00B814A3" w:rsidRPr="00261174" w:rsidRDefault="00B814A3" w:rsidP="00B814A3">
      <w:pPr>
        <w:pStyle w:val="Body"/>
        <w:spacing w:after="0"/>
        <w:rPr>
          <w:rFonts w:ascii="Arial" w:hAnsi="Arial" w:cs="Arial"/>
          <w:sz w:val="22"/>
          <w:szCs w:val="22"/>
        </w:rPr>
        <w:sectPr w:rsidR="00B814A3" w:rsidRPr="00261174" w:rsidSect="00497969">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bookmarkEnd w:id="0"/>
    <w:p w14:paraId="3FE20678" w14:textId="77777777" w:rsidR="0069155A" w:rsidRPr="005C3B36" w:rsidRDefault="0069155A" w:rsidP="00E24BD5">
      <w:pPr>
        <w:pStyle w:val="Appendix"/>
        <w:spacing w:after="0"/>
        <w:jc w:val="both"/>
        <w:rPr>
          <w:rFonts w:ascii="Arial" w:hAnsi="Arial" w:cs="Arial"/>
          <w:b w:val="0"/>
        </w:rPr>
      </w:pPr>
    </w:p>
    <w:sectPr w:rsidR="0069155A" w:rsidRPr="005C3B36" w:rsidSect="00497969">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2D8CF" w14:textId="77777777" w:rsidR="005319D2" w:rsidRDefault="005319D2" w:rsidP="00C37E61">
      <w:r>
        <w:separator/>
      </w:r>
    </w:p>
  </w:endnote>
  <w:endnote w:type="continuationSeparator" w:id="0">
    <w:p w14:paraId="0F187F81" w14:textId="77777777" w:rsidR="005319D2" w:rsidRDefault="005319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4B26" w14:textId="77777777" w:rsidR="002A4167" w:rsidRDefault="002A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1916" w14:textId="5FE9544B" w:rsidR="00C37E61" w:rsidRPr="0003305E" w:rsidRDefault="00C37E61" w:rsidP="00033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E506" w14:textId="77777777" w:rsidR="009E048A" w:rsidRDefault="009E048A">
    <w:pPr>
      <w:pStyle w:val="Footer"/>
      <w:rPr>
        <w:rFonts w:ascii="Arial" w:hAnsi="Arial" w:cs="Arial"/>
        <w:sz w:val="16"/>
      </w:rPr>
    </w:pPr>
  </w:p>
  <w:p w14:paraId="5017C9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9862C6" w14:textId="77777777" w:rsidR="009E048A" w:rsidRDefault="009E048A">
    <w:pPr>
      <w:pStyle w:val="Footer"/>
      <w:rPr>
        <w:rFonts w:ascii="Arial" w:hAnsi="Arial" w:cs="Arial"/>
        <w:sz w:val="16"/>
      </w:rPr>
    </w:pPr>
  </w:p>
  <w:p w14:paraId="6012148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3BFE" w14:textId="77777777" w:rsidR="00261174" w:rsidRPr="00C37E61" w:rsidRDefault="0026117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E3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F2265" w14:textId="77777777" w:rsidR="005319D2" w:rsidRDefault="005319D2" w:rsidP="00C37E61">
      <w:r>
        <w:separator/>
      </w:r>
    </w:p>
  </w:footnote>
  <w:footnote w:type="continuationSeparator" w:id="0">
    <w:p w14:paraId="461E9347" w14:textId="77777777" w:rsidR="005319D2" w:rsidRDefault="005319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FC1E" w14:textId="55B540F3" w:rsidR="002A4167" w:rsidRDefault="002A4167">
    <w:pPr>
      <w:pStyle w:val="Header"/>
    </w:pPr>
    <w:r>
      <w:rPr>
        <w:noProof/>
      </w:rPr>
      <w:pict w14:anchorId="00EB1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59D0" w14:textId="248624C1" w:rsidR="002A4167" w:rsidRDefault="002A4167">
    <w:pPr>
      <w:pStyle w:val="Header"/>
    </w:pPr>
    <w:r>
      <w:rPr>
        <w:noProof/>
      </w:rPr>
      <w:pict w14:anchorId="3A853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EB638" w14:textId="1BD8D05C" w:rsidR="00296529" w:rsidRPr="00296529" w:rsidRDefault="002A4167" w:rsidP="00296529">
    <w:pPr>
      <w:ind w:left="2160"/>
      <w:jc w:val="center"/>
      <w:rPr>
        <w:rFonts w:eastAsia="Calibri"/>
        <w:i/>
        <w:sz w:val="18"/>
        <w:szCs w:val="22"/>
      </w:rPr>
    </w:pPr>
    <w:r>
      <w:rPr>
        <w:noProof/>
      </w:rPr>
      <w:pict w14:anchorId="602F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E716A1E"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000F0C4" w14:textId="77777777" w:rsidR="00296529" w:rsidRPr="00296529" w:rsidRDefault="00754C9A" w:rsidP="00296529">
    <w:pPr>
      <w:jc w:val="center"/>
      <w:rPr>
        <w:rFonts w:eastAsia="Calibri"/>
        <w:i/>
        <w:sz w:val="18"/>
        <w:szCs w:val="22"/>
      </w:rPr>
    </w:pPr>
    <w:r>
      <w:rPr>
        <w:rFonts w:eastAsia="Calibri"/>
        <w:i/>
        <w:sz w:val="18"/>
        <w:szCs w:val="22"/>
      </w:rPr>
      <w:t>.</w:t>
    </w:r>
  </w:p>
  <w:p w14:paraId="1F217063"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60E14FFE"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3EC6AECC"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672C94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C14D" w14:textId="15C6DCFD" w:rsidR="002A4167" w:rsidRDefault="002A4167">
    <w:pPr>
      <w:pStyle w:val="Header"/>
    </w:pPr>
    <w:r>
      <w:rPr>
        <w:noProof/>
      </w:rPr>
      <w:pict w14:anchorId="021FB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D36C" w14:textId="163B96DC" w:rsidR="002A4167" w:rsidRDefault="002A4167">
    <w:pPr>
      <w:pStyle w:val="Header"/>
    </w:pPr>
    <w:r>
      <w:rPr>
        <w:noProof/>
      </w:rPr>
      <w:pict w14:anchorId="08F76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A0F5" w14:textId="310EF58C" w:rsidR="002A4167" w:rsidRDefault="002A4167">
    <w:pPr>
      <w:pStyle w:val="Header"/>
    </w:pPr>
    <w:r>
      <w:rPr>
        <w:noProof/>
      </w:rPr>
      <w:pict w14:anchorId="0F72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059D" w14:textId="648912F0" w:rsidR="002A4167" w:rsidRDefault="002A4167">
    <w:pPr>
      <w:pStyle w:val="Header"/>
    </w:pPr>
    <w:r>
      <w:rPr>
        <w:noProof/>
      </w:rPr>
      <w:pict w14:anchorId="096E3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5"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89B9" w14:textId="3F57D801" w:rsidR="002A4167" w:rsidRDefault="002A4167">
    <w:pPr>
      <w:pStyle w:val="Header"/>
    </w:pPr>
    <w:r>
      <w:rPr>
        <w:noProof/>
      </w:rPr>
      <w:pict w14:anchorId="0C5B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6"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6A04" w14:textId="66AD8008" w:rsidR="002A4167" w:rsidRDefault="002A4167">
    <w:pPr>
      <w:pStyle w:val="Header"/>
    </w:pPr>
    <w:r>
      <w:rPr>
        <w:noProof/>
      </w:rPr>
      <w:pict w14:anchorId="621BF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4"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87E53"/>
    <w:multiLevelType w:val="multilevel"/>
    <w:tmpl w:val="114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6D4248"/>
    <w:multiLevelType w:val="multilevel"/>
    <w:tmpl w:val="F7B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4747E"/>
    <w:multiLevelType w:val="hybridMultilevel"/>
    <w:tmpl w:val="11A092DE"/>
    <w:lvl w:ilvl="0" w:tplc="207EC8F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BC370C"/>
    <w:multiLevelType w:val="multilevel"/>
    <w:tmpl w:val="17185E60"/>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24A4DB8"/>
    <w:multiLevelType w:val="hybridMultilevel"/>
    <w:tmpl w:val="84D448B8"/>
    <w:lvl w:ilvl="0" w:tplc="FFFFFFF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18121D3F"/>
    <w:multiLevelType w:val="multilevel"/>
    <w:tmpl w:val="7F0C644E"/>
    <w:lvl w:ilvl="0">
      <w:start w:val="2"/>
      <w:numFmt w:val="decimal"/>
      <w:lvlText w:val="%1"/>
      <w:lvlJc w:val="left"/>
      <w:pPr>
        <w:ind w:left="458" w:hanging="458"/>
      </w:pPr>
      <w:rPr>
        <w:rFonts w:hint="default"/>
        <w:b/>
      </w:rPr>
    </w:lvl>
    <w:lvl w:ilvl="1">
      <w:start w:val="2"/>
      <w:numFmt w:val="decimal"/>
      <w:lvlText w:val="%1.%2"/>
      <w:lvlJc w:val="left"/>
      <w:pPr>
        <w:ind w:left="458" w:hanging="45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F053535"/>
    <w:multiLevelType w:val="multilevel"/>
    <w:tmpl w:val="DBB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C54957"/>
    <w:multiLevelType w:val="hybridMultilevel"/>
    <w:tmpl w:val="BAA6E6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8D540DA"/>
    <w:multiLevelType w:val="multilevel"/>
    <w:tmpl w:val="53484D72"/>
    <w:lvl w:ilvl="0">
      <w:start w:val="3"/>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E7395"/>
    <w:multiLevelType w:val="hybridMultilevel"/>
    <w:tmpl w:val="2E6EA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6551A8"/>
    <w:multiLevelType w:val="hybridMultilevel"/>
    <w:tmpl w:val="0C5C75B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BEC056D"/>
    <w:multiLevelType w:val="hybridMultilevel"/>
    <w:tmpl w:val="59C2C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34C7F"/>
    <w:multiLevelType w:val="hybridMultilevel"/>
    <w:tmpl w:val="BAA6E6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3DB6649"/>
    <w:multiLevelType w:val="hybridMultilevel"/>
    <w:tmpl w:val="73F4CC7C"/>
    <w:lvl w:ilvl="0" w:tplc="FFFFFFF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001353"/>
    <w:multiLevelType w:val="hybridMultilevel"/>
    <w:tmpl w:val="07628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CE72CE"/>
    <w:multiLevelType w:val="hybridMultilevel"/>
    <w:tmpl w:val="4B6A8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9"/>
  </w:num>
  <w:num w:numId="7">
    <w:abstractNumId w:val="2"/>
  </w:num>
  <w:num w:numId="8">
    <w:abstractNumId w:val="21"/>
  </w:num>
  <w:num w:numId="9">
    <w:abstractNumId w:val="40"/>
  </w:num>
  <w:num w:numId="10">
    <w:abstractNumId w:val="3"/>
  </w:num>
  <w:num w:numId="11">
    <w:abstractNumId w:val="29"/>
  </w:num>
  <w:num w:numId="12">
    <w:abstractNumId w:val="6"/>
  </w:num>
  <w:num w:numId="13">
    <w:abstractNumId w:val="28"/>
  </w:num>
  <w:num w:numId="14">
    <w:abstractNumId w:val="14"/>
  </w:num>
  <w:num w:numId="15">
    <w:abstractNumId w:val="34"/>
  </w:num>
  <w:num w:numId="16">
    <w:abstractNumId w:val="8"/>
  </w:num>
  <w:num w:numId="17">
    <w:abstractNumId w:val="36"/>
  </w:num>
  <w:num w:numId="18">
    <w:abstractNumId w:val="23"/>
  </w:num>
  <w:num w:numId="19">
    <w:abstractNumId w:val="44"/>
  </w:num>
  <w:num w:numId="20">
    <w:abstractNumId w:val="19"/>
  </w:num>
  <w:num w:numId="21">
    <w:abstractNumId w:val="16"/>
  </w:num>
  <w:num w:numId="22">
    <w:abstractNumId w:val="22"/>
  </w:num>
  <w:num w:numId="23">
    <w:abstractNumId w:val="31"/>
  </w:num>
  <w:num w:numId="24">
    <w:abstractNumId w:val="41"/>
  </w:num>
  <w:num w:numId="25">
    <w:abstractNumId w:val="7"/>
  </w:num>
  <w:num w:numId="26">
    <w:abstractNumId w:val="25"/>
  </w:num>
  <w:num w:numId="27">
    <w:abstractNumId w:val="32"/>
  </w:num>
  <w:num w:numId="28">
    <w:abstractNumId w:val="42"/>
  </w:num>
  <w:num w:numId="29">
    <w:abstractNumId w:val="39"/>
  </w:num>
  <w:num w:numId="30">
    <w:abstractNumId w:val="18"/>
  </w:num>
  <w:num w:numId="31">
    <w:abstractNumId w:val="4"/>
  </w:num>
  <w:num w:numId="32">
    <w:abstractNumId w:val="12"/>
  </w:num>
  <w:num w:numId="33">
    <w:abstractNumId w:val="1"/>
  </w:num>
  <w:num w:numId="34">
    <w:abstractNumId w:val="15"/>
  </w:num>
  <w:num w:numId="35">
    <w:abstractNumId w:val="26"/>
  </w:num>
  <w:num w:numId="36">
    <w:abstractNumId w:val="30"/>
  </w:num>
  <w:num w:numId="37">
    <w:abstractNumId w:val="43"/>
  </w:num>
  <w:num w:numId="38">
    <w:abstractNumId w:val="10"/>
  </w:num>
  <w:num w:numId="39">
    <w:abstractNumId w:val="20"/>
  </w:num>
  <w:num w:numId="40">
    <w:abstractNumId w:val="38"/>
  </w:num>
  <w:num w:numId="41">
    <w:abstractNumId w:val="5"/>
  </w:num>
  <w:num w:numId="42">
    <w:abstractNumId w:val="33"/>
  </w:num>
  <w:num w:numId="43">
    <w:abstractNumId w:val="17"/>
  </w:num>
  <w:num w:numId="44">
    <w:abstractNumId w:val="35"/>
  </w:num>
  <w:num w:numId="45">
    <w:abstractNumId w:val="1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491"/>
    <w:rsid w:val="00020EC4"/>
    <w:rsid w:val="00030174"/>
    <w:rsid w:val="0003305E"/>
    <w:rsid w:val="0003493F"/>
    <w:rsid w:val="0004579C"/>
    <w:rsid w:val="00046D3F"/>
    <w:rsid w:val="000506FB"/>
    <w:rsid w:val="000567C8"/>
    <w:rsid w:val="0006487C"/>
    <w:rsid w:val="000819C0"/>
    <w:rsid w:val="0009075F"/>
    <w:rsid w:val="000A47FA"/>
    <w:rsid w:val="000A65D3"/>
    <w:rsid w:val="000B1E33"/>
    <w:rsid w:val="000C7156"/>
    <w:rsid w:val="000D689F"/>
    <w:rsid w:val="000E7B7B"/>
    <w:rsid w:val="000E7D62"/>
    <w:rsid w:val="000F0A43"/>
    <w:rsid w:val="00102AFF"/>
    <w:rsid w:val="00103357"/>
    <w:rsid w:val="00123C9F"/>
    <w:rsid w:val="00124A1A"/>
    <w:rsid w:val="00126190"/>
    <w:rsid w:val="00130F17"/>
    <w:rsid w:val="001320BF"/>
    <w:rsid w:val="00163BC4"/>
    <w:rsid w:val="00191062"/>
    <w:rsid w:val="00192B72"/>
    <w:rsid w:val="001A29D8"/>
    <w:rsid w:val="001A40B3"/>
    <w:rsid w:val="001A5CAA"/>
    <w:rsid w:val="001B0427"/>
    <w:rsid w:val="001D072F"/>
    <w:rsid w:val="001D3A51"/>
    <w:rsid w:val="001D7363"/>
    <w:rsid w:val="001E10D2"/>
    <w:rsid w:val="001E25B4"/>
    <w:rsid w:val="001E44FE"/>
    <w:rsid w:val="00200595"/>
    <w:rsid w:val="00204835"/>
    <w:rsid w:val="00231920"/>
    <w:rsid w:val="0023195C"/>
    <w:rsid w:val="00233E41"/>
    <w:rsid w:val="002411F4"/>
    <w:rsid w:val="0024282C"/>
    <w:rsid w:val="002460DC"/>
    <w:rsid w:val="00247DB1"/>
    <w:rsid w:val="00250985"/>
    <w:rsid w:val="00254FF7"/>
    <w:rsid w:val="002556F6"/>
    <w:rsid w:val="00260639"/>
    <w:rsid w:val="00261174"/>
    <w:rsid w:val="00283105"/>
    <w:rsid w:val="00284C4C"/>
    <w:rsid w:val="00287A26"/>
    <w:rsid w:val="00287E68"/>
    <w:rsid w:val="00296529"/>
    <w:rsid w:val="002A4167"/>
    <w:rsid w:val="002B27FB"/>
    <w:rsid w:val="002B4D95"/>
    <w:rsid w:val="002B685A"/>
    <w:rsid w:val="002C57D2"/>
    <w:rsid w:val="002D0238"/>
    <w:rsid w:val="002E0D56"/>
    <w:rsid w:val="002E5BDF"/>
    <w:rsid w:val="003051BA"/>
    <w:rsid w:val="00315186"/>
    <w:rsid w:val="0033206A"/>
    <w:rsid w:val="0033343E"/>
    <w:rsid w:val="003512C2"/>
    <w:rsid w:val="00371FB6"/>
    <w:rsid w:val="003763C1"/>
    <w:rsid w:val="00376BBE"/>
    <w:rsid w:val="0038677C"/>
    <w:rsid w:val="0039224F"/>
    <w:rsid w:val="003A43A4"/>
    <w:rsid w:val="003A7E18"/>
    <w:rsid w:val="003B2EE1"/>
    <w:rsid w:val="003C4C86"/>
    <w:rsid w:val="003C6258"/>
    <w:rsid w:val="003D7718"/>
    <w:rsid w:val="003E2904"/>
    <w:rsid w:val="003E29C8"/>
    <w:rsid w:val="003F35A5"/>
    <w:rsid w:val="0040172F"/>
    <w:rsid w:val="00401927"/>
    <w:rsid w:val="0041027F"/>
    <w:rsid w:val="00412475"/>
    <w:rsid w:val="00423789"/>
    <w:rsid w:val="004313BC"/>
    <w:rsid w:val="004351EC"/>
    <w:rsid w:val="00440F43"/>
    <w:rsid w:val="00441B6F"/>
    <w:rsid w:val="00446221"/>
    <w:rsid w:val="00447DBA"/>
    <w:rsid w:val="00450E62"/>
    <w:rsid w:val="004539DB"/>
    <w:rsid w:val="004618DA"/>
    <w:rsid w:val="00471A80"/>
    <w:rsid w:val="00490749"/>
    <w:rsid w:val="00497969"/>
    <w:rsid w:val="004C52D6"/>
    <w:rsid w:val="004D305E"/>
    <w:rsid w:val="004D4277"/>
    <w:rsid w:val="00502516"/>
    <w:rsid w:val="00502AC9"/>
    <w:rsid w:val="00505F06"/>
    <w:rsid w:val="00506828"/>
    <w:rsid w:val="00517425"/>
    <w:rsid w:val="005200AC"/>
    <w:rsid w:val="0053056E"/>
    <w:rsid w:val="005319D2"/>
    <w:rsid w:val="00543714"/>
    <w:rsid w:val="00554FDA"/>
    <w:rsid w:val="00584FA2"/>
    <w:rsid w:val="00585825"/>
    <w:rsid w:val="005A6FEB"/>
    <w:rsid w:val="005B75D9"/>
    <w:rsid w:val="005C3B36"/>
    <w:rsid w:val="005C784C"/>
    <w:rsid w:val="005D17F6"/>
    <w:rsid w:val="005E5539"/>
    <w:rsid w:val="00602BF5"/>
    <w:rsid w:val="00617FDD"/>
    <w:rsid w:val="0062506A"/>
    <w:rsid w:val="00633614"/>
    <w:rsid w:val="00633F68"/>
    <w:rsid w:val="00634D0E"/>
    <w:rsid w:val="00636EB2"/>
    <w:rsid w:val="006375B8"/>
    <w:rsid w:val="00652131"/>
    <w:rsid w:val="00656EA8"/>
    <w:rsid w:val="00663E0A"/>
    <w:rsid w:val="0066510A"/>
    <w:rsid w:val="00673F9F"/>
    <w:rsid w:val="00686953"/>
    <w:rsid w:val="00687DEA"/>
    <w:rsid w:val="00687E67"/>
    <w:rsid w:val="0069155A"/>
    <w:rsid w:val="006967F7"/>
    <w:rsid w:val="006A250C"/>
    <w:rsid w:val="006A7981"/>
    <w:rsid w:val="006B21D3"/>
    <w:rsid w:val="006B2689"/>
    <w:rsid w:val="006B57D0"/>
    <w:rsid w:val="006D30FF"/>
    <w:rsid w:val="006D6940"/>
    <w:rsid w:val="006E53E9"/>
    <w:rsid w:val="006F11EC"/>
    <w:rsid w:val="0070082C"/>
    <w:rsid w:val="0070351D"/>
    <w:rsid w:val="007207A8"/>
    <w:rsid w:val="007369E6"/>
    <w:rsid w:val="00746E59"/>
    <w:rsid w:val="00754C9A"/>
    <w:rsid w:val="0075599A"/>
    <w:rsid w:val="00761D52"/>
    <w:rsid w:val="007660E7"/>
    <w:rsid w:val="00767D6F"/>
    <w:rsid w:val="007734BA"/>
    <w:rsid w:val="0077749E"/>
    <w:rsid w:val="00790ADA"/>
    <w:rsid w:val="007D2288"/>
    <w:rsid w:val="007E088F"/>
    <w:rsid w:val="007F4BA0"/>
    <w:rsid w:val="007F7B32"/>
    <w:rsid w:val="00804BC2"/>
    <w:rsid w:val="008111DC"/>
    <w:rsid w:val="0081431A"/>
    <w:rsid w:val="0083216F"/>
    <w:rsid w:val="00841A0F"/>
    <w:rsid w:val="008552AD"/>
    <w:rsid w:val="00860000"/>
    <w:rsid w:val="00863BD3"/>
    <w:rsid w:val="008641ED"/>
    <w:rsid w:val="00864C6F"/>
    <w:rsid w:val="00866D66"/>
    <w:rsid w:val="008671C6"/>
    <w:rsid w:val="00875803"/>
    <w:rsid w:val="008B459E"/>
    <w:rsid w:val="008E13AE"/>
    <w:rsid w:val="008E1506"/>
    <w:rsid w:val="008E710C"/>
    <w:rsid w:val="008F69D6"/>
    <w:rsid w:val="00902823"/>
    <w:rsid w:val="00912C61"/>
    <w:rsid w:val="00915CA6"/>
    <w:rsid w:val="00922ED3"/>
    <w:rsid w:val="00927834"/>
    <w:rsid w:val="009500A6"/>
    <w:rsid w:val="00957C18"/>
    <w:rsid w:val="009659BA"/>
    <w:rsid w:val="00983040"/>
    <w:rsid w:val="0098324B"/>
    <w:rsid w:val="009B3FB9"/>
    <w:rsid w:val="009C2465"/>
    <w:rsid w:val="009D35A0"/>
    <w:rsid w:val="009D7EB7"/>
    <w:rsid w:val="009E048A"/>
    <w:rsid w:val="009E08E9"/>
    <w:rsid w:val="009E3DB9"/>
    <w:rsid w:val="009E6E35"/>
    <w:rsid w:val="009F0EDA"/>
    <w:rsid w:val="009F203D"/>
    <w:rsid w:val="00A03B96"/>
    <w:rsid w:val="00A05B19"/>
    <w:rsid w:val="00A1134E"/>
    <w:rsid w:val="00A2153A"/>
    <w:rsid w:val="00A24E7E"/>
    <w:rsid w:val="00A258C3"/>
    <w:rsid w:val="00A328F4"/>
    <w:rsid w:val="00A338F1"/>
    <w:rsid w:val="00A347C0"/>
    <w:rsid w:val="00A51431"/>
    <w:rsid w:val="00A539AD"/>
    <w:rsid w:val="00A94063"/>
    <w:rsid w:val="00AA6219"/>
    <w:rsid w:val="00AA74E0"/>
    <w:rsid w:val="00AB703F"/>
    <w:rsid w:val="00AC2E47"/>
    <w:rsid w:val="00AC6BB8"/>
    <w:rsid w:val="00AD5384"/>
    <w:rsid w:val="00AE008F"/>
    <w:rsid w:val="00AE0F9A"/>
    <w:rsid w:val="00AF0C06"/>
    <w:rsid w:val="00B01FCD"/>
    <w:rsid w:val="00B1776C"/>
    <w:rsid w:val="00B52583"/>
    <w:rsid w:val="00B52896"/>
    <w:rsid w:val="00B814A3"/>
    <w:rsid w:val="00B95236"/>
    <w:rsid w:val="00B96BD9"/>
    <w:rsid w:val="00BA1B01"/>
    <w:rsid w:val="00BA2641"/>
    <w:rsid w:val="00BB25A5"/>
    <w:rsid w:val="00BB37AA"/>
    <w:rsid w:val="00BB6256"/>
    <w:rsid w:val="00BC53A0"/>
    <w:rsid w:val="00BC7FC2"/>
    <w:rsid w:val="00BE62AD"/>
    <w:rsid w:val="00BF121F"/>
    <w:rsid w:val="00BF1F80"/>
    <w:rsid w:val="00C1578E"/>
    <w:rsid w:val="00C166EF"/>
    <w:rsid w:val="00C17EB0"/>
    <w:rsid w:val="00C27F5F"/>
    <w:rsid w:val="00C305D2"/>
    <w:rsid w:val="00C30A0F"/>
    <w:rsid w:val="00C37E61"/>
    <w:rsid w:val="00C54DF2"/>
    <w:rsid w:val="00C70F1B"/>
    <w:rsid w:val="00C71225"/>
    <w:rsid w:val="00C71A47"/>
    <w:rsid w:val="00C7464C"/>
    <w:rsid w:val="00C85588"/>
    <w:rsid w:val="00CD6755"/>
    <w:rsid w:val="00CD6856"/>
    <w:rsid w:val="00CE0089"/>
    <w:rsid w:val="00CE793C"/>
    <w:rsid w:val="00CF193C"/>
    <w:rsid w:val="00D173F1"/>
    <w:rsid w:val="00D658D1"/>
    <w:rsid w:val="00D72BD4"/>
    <w:rsid w:val="00D74CB0"/>
    <w:rsid w:val="00D8295D"/>
    <w:rsid w:val="00D853C0"/>
    <w:rsid w:val="00D92C81"/>
    <w:rsid w:val="00D93277"/>
    <w:rsid w:val="00D97D5A"/>
    <w:rsid w:val="00DC2A65"/>
    <w:rsid w:val="00DD0469"/>
    <w:rsid w:val="00DD19D1"/>
    <w:rsid w:val="00DE15F0"/>
    <w:rsid w:val="00DE5663"/>
    <w:rsid w:val="00DE78AA"/>
    <w:rsid w:val="00E053D0"/>
    <w:rsid w:val="00E10C44"/>
    <w:rsid w:val="00E15994"/>
    <w:rsid w:val="00E24BD5"/>
    <w:rsid w:val="00E3114E"/>
    <w:rsid w:val="00E31A70"/>
    <w:rsid w:val="00E35B02"/>
    <w:rsid w:val="00E64490"/>
    <w:rsid w:val="00E66496"/>
    <w:rsid w:val="00E66B35"/>
    <w:rsid w:val="00E66E10"/>
    <w:rsid w:val="00E7141B"/>
    <w:rsid w:val="00E769F6"/>
    <w:rsid w:val="00E8407C"/>
    <w:rsid w:val="00E84F3C"/>
    <w:rsid w:val="00E85521"/>
    <w:rsid w:val="00EA012C"/>
    <w:rsid w:val="00EC0ADB"/>
    <w:rsid w:val="00EC6A55"/>
    <w:rsid w:val="00ED0288"/>
    <w:rsid w:val="00EE52CB"/>
    <w:rsid w:val="00EF581D"/>
    <w:rsid w:val="00EF7FD8"/>
    <w:rsid w:val="00F06F59"/>
    <w:rsid w:val="00F17988"/>
    <w:rsid w:val="00F268BE"/>
    <w:rsid w:val="00F347BD"/>
    <w:rsid w:val="00F469F0"/>
    <w:rsid w:val="00F53273"/>
    <w:rsid w:val="00F57DB7"/>
    <w:rsid w:val="00F7222B"/>
    <w:rsid w:val="00F755E4"/>
    <w:rsid w:val="00F77D02"/>
    <w:rsid w:val="00FB047A"/>
    <w:rsid w:val="00FB099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6989B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52D6"/>
    <w:rPr>
      <w:sz w:val="24"/>
      <w:szCs w:val="24"/>
      <w:lang w:val="en-IN" w:eastAsia="en-IN" w:bidi="hi-IN"/>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618DA"/>
    <w:pPr>
      <w:spacing w:after="160" w:line="259" w:lineRule="auto"/>
      <w:ind w:left="720"/>
      <w:contextualSpacing/>
    </w:pPr>
    <w:rPr>
      <w:rFonts w:asciiTheme="minorHAnsi" w:eastAsiaTheme="minorHAnsi" w:hAnsiTheme="minorHAnsi" w:cstheme="minorBidi"/>
      <w:kern w:val="2"/>
      <w:sz w:val="22"/>
      <w:szCs w:val="28"/>
      <w:lang w:bidi="th-TH"/>
      <w14:ligatures w14:val="standardContextual"/>
    </w:rPr>
  </w:style>
  <w:style w:type="character" w:styleId="PlaceholderText">
    <w:name w:val="Placeholder Text"/>
    <w:basedOn w:val="DefaultParagraphFont"/>
    <w:uiPriority w:val="99"/>
    <w:semiHidden/>
    <w:rsid w:val="00663E0A"/>
    <w:rPr>
      <w:color w:val="666666"/>
    </w:rPr>
  </w:style>
  <w:style w:type="paragraph" w:styleId="NormalWeb">
    <w:name w:val="Normal (Web)"/>
    <w:basedOn w:val="Normal"/>
    <w:semiHidden/>
    <w:unhideWhenUsed/>
    <w:rsid w:val="00233E4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355380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91930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8967297">
      <w:bodyDiv w:val="1"/>
      <w:marLeft w:val="0"/>
      <w:marRight w:val="0"/>
      <w:marTop w:val="0"/>
      <w:marBottom w:val="0"/>
      <w:divBdr>
        <w:top w:val="none" w:sz="0" w:space="0" w:color="auto"/>
        <w:left w:val="none" w:sz="0" w:space="0" w:color="auto"/>
        <w:bottom w:val="none" w:sz="0" w:space="0" w:color="auto"/>
        <w:right w:val="none" w:sz="0" w:space="0" w:color="auto"/>
      </w:divBdr>
    </w:div>
    <w:div w:id="3896965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383263">
      <w:bodyDiv w:val="1"/>
      <w:marLeft w:val="0"/>
      <w:marRight w:val="0"/>
      <w:marTop w:val="0"/>
      <w:marBottom w:val="0"/>
      <w:divBdr>
        <w:top w:val="none" w:sz="0" w:space="0" w:color="auto"/>
        <w:left w:val="none" w:sz="0" w:space="0" w:color="auto"/>
        <w:bottom w:val="none" w:sz="0" w:space="0" w:color="auto"/>
        <w:right w:val="none" w:sz="0" w:space="0" w:color="auto"/>
      </w:divBdr>
      <w:divsChild>
        <w:div w:id="1838302164">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91047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692709">
      <w:bodyDiv w:val="1"/>
      <w:marLeft w:val="0"/>
      <w:marRight w:val="0"/>
      <w:marTop w:val="0"/>
      <w:marBottom w:val="0"/>
      <w:divBdr>
        <w:top w:val="none" w:sz="0" w:space="0" w:color="auto"/>
        <w:left w:val="none" w:sz="0" w:space="0" w:color="auto"/>
        <w:bottom w:val="none" w:sz="0" w:space="0" w:color="auto"/>
        <w:right w:val="none" w:sz="0" w:space="0" w:color="auto"/>
      </w:divBdr>
    </w:div>
    <w:div w:id="1301109611">
      <w:bodyDiv w:val="1"/>
      <w:marLeft w:val="0"/>
      <w:marRight w:val="0"/>
      <w:marTop w:val="0"/>
      <w:marBottom w:val="0"/>
      <w:divBdr>
        <w:top w:val="none" w:sz="0" w:space="0" w:color="auto"/>
        <w:left w:val="none" w:sz="0" w:space="0" w:color="auto"/>
        <w:bottom w:val="none" w:sz="0" w:space="0" w:color="auto"/>
        <w:right w:val="none" w:sz="0" w:space="0" w:color="auto"/>
      </w:divBdr>
    </w:div>
    <w:div w:id="1353340503">
      <w:bodyDiv w:val="1"/>
      <w:marLeft w:val="0"/>
      <w:marRight w:val="0"/>
      <w:marTop w:val="0"/>
      <w:marBottom w:val="0"/>
      <w:divBdr>
        <w:top w:val="none" w:sz="0" w:space="0" w:color="auto"/>
        <w:left w:val="none" w:sz="0" w:space="0" w:color="auto"/>
        <w:bottom w:val="none" w:sz="0" w:space="0" w:color="auto"/>
        <w:right w:val="none" w:sz="0" w:space="0" w:color="auto"/>
      </w:divBdr>
      <w:divsChild>
        <w:div w:id="949707715">
          <w:marLeft w:val="0"/>
          <w:marRight w:val="0"/>
          <w:marTop w:val="0"/>
          <w:marBottom w:val="0"/>
          <w:divBdr>
            <w:top w:val="none" w:sz="0" w:space="0" w:color="auto"/>
            <w:left w:val="none" w:sz="0" w:space="0" w:color="auto"/>
            <w:bottom w:val="none" w:sz="0" w:space="0" w:color="auto"/>
            <w:right w:val="none" w:sz="0" w:space="0" w:color="auto"/>
          </w:divBdr>
        </w:div>
      </w:divsChild>
    </w:div>
    <w:div w:id="1407922018">
      <w:bodyDiv w:val="1"/>
      <w:marLeft w:val="0"/>
      <w:marRight w:val="0"/>
      <w:marTop w:val="0"/>
      <w:marBottom w:val="0"/>
      <w:divBdr>
        <w:top w:val="none" w:sz="0" w:space="0" w:color="auto"/>
        <w:left w:val="none" w:sz="0" w:space="0" w:color="auto"/>
        <w:bottom w:val="none" w:sz="0" w:space="0" w:color="auto"/>
        <w:right w:val="none" w:sz="0" w:space="0" w:color="auto"/>
      </w:divBdr>
    </w:div>
    <w:div w:id="16741395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71781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3390/su16156433" TargetMode="External"/><Relationship Id="rId21" Type="http://schemas.openxmlformats.org/officeDocument/2006/relationships/hyperlink" Target="https://doi.org/10.3390/su14159387"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su17051800"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1007/s12155-025-10820-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sci.2021.102704"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app13095597"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55/2024/5510471"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ijerph15102224" TargetMode="External"/><Relationship Id="rId27" Type="http://schemas.openxmlformats.org/officeDocument/2006/relationships/hyperlink" Target="https://doi.org/10.3390/microorganisms11020532" TargetMode="Externa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4F55-E647-4CAC-92B5-62FA0A0B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1453</TotalTime>
  <Pages>10</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2025-05-30T07:07:00Z</dcterms:created>
  <dcterms:modified xsi:type="dcterms:W3CDTF">2025-06-03T08:09:00Z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0cefa14e-eca4-4b07-83c7-ccef6ca4e0af</vt:lpwstr>
  </property>
</Properties>
</file>