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22AF" w14:textId="320E6C9E" w:rsidR="0020566E" w:rsidRDefault="00AB1B2A" w:rsidP="004010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w:t>
      </w:r>
      <w:r w:rsidR="002A381E">
        <w:rPr>
          <w:rFonts w:ascii="Times New Roman" w:hAnsi="Times New Roman" w:cs="Times New Roman"/>
          <w:b/>
          <w:bCs/>
          <w:color w:val="000000" w:themeColor="text1"/>
          <w:sz w:val="24"/>
          <w:szCs w:val="24"/>
        </w:rPr>
        <w:t>ffect of Rhizobium, Nano N</w:t>
      </w:r>
      <w:r w:rsidRPr="00853B64">
        <w:rPr>
          <w:rFonts w:ascii="Times New Roman" w:hAnsi="Times New Roman" w:cs="Times New Roman"/>
          <w:b/>
          <w:bCs/>
          <w:color w:val="000000" w:themeColor="text1"/>
          <w:sz w:val="24"/>
          <w:szCs w:val="24"/>
        </w:rPr>
        <w:t>utrients</w:t>
      </w:r>
      <w:r w:rsidR="002A381E">
        <w:rPr>
          <w:rFonts w:ascii="Times New Roman" w:hAnsi="Times New Roman" w:cs="Times New Roman"/>
          <w:b/>
          <w:bCs/>
          <w:color w:val="000000" w:themeColor="text1"/>
          <w:sz w:val="24"/>
          <w:szCs w:val="24"/>
        </w:rPr>
        <w:t xml:space="preserve"> (NPK)</w:t>
      </w:r>
      <w:r w:rsidR="00123A92">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2A381E">
        <w:rPr>
          <w:rFonts w:ascii="Times New Roman" w:hAnsi="Times New Roman" w:cs="Times New Roman"/>
          <w:b/>
          <w:bCs/>
          <w:color w:val="000000" w:themeColor="text1"/>
          <w:sz w:val="24"/>
          <w:szCs w:val="24"/>
        </w:rPr>
        <w:t>and O</w:t>
      </w:r>
      <w:r w:rsidRPr="00853B64">
        <w:rPr>
          <w:rFonts w:ascii="Times New Roman" w:hAnsi="Times New Roman" w:cs="Times New Roman"/>
          <w:b/>
          <w:bCs/>
          <w:color w:val="000000" w:themeColor="text1"/>
          <w:sz w:val="24"/>
          <w:szCs w:val="24"/>
        </w:rPr>
        <w:t>rganic manures on the growth of pea (</w:t>
      </w:r>
      <w:r w:rsidR="00123A92">
        <w:rPr>
          <w:rFonts w:ascii="Times New Roman" w:hAnsi="Times New Roman" w:cs="Times New Roman"/>
          <w:b/>
          <w:bCs/>
          <w:i/>
          <w:iCs/>
          <w:color w:val="000000" w:themeColor="text1"/>
          <w:sz w:val="24"/>
          <w:szCs w:val="24"/>
        </w:rPr>
        <w:t>Pisum</w:t>
      </w:r>
      <w:r w:rsidRPr="00853B64">
        <w:rPr>
          <w:rFonts w:ascii="Times New Roman" w:hAnsi="Times New Roman" w:cs="Times New Roman"/>
          <w:b/>
          <w:bCs/>
          <w:i/>
          <w:iCs/>
          <w:color w:val="000000" w:themeColor="text1"/>
          <w:sz w:val="24"/>
          <w:szCs w:val="24"/>
        </w:rPr>
        <w:t xml:space="preserve"> sativum </w:t>
      </w:r>
      <w:r w:rsidR="00123A92">
        <w:rPr>
          <w:rFonts w:ascii="Times New Roman" w:hAnsi="Times New Roman" w:cs="Times New Roman"/>
          <w:b/>
          <w:bCs/>
          <w:color w:val="000000" w:themeColor="text1"/>
          <w:sz w:val="24"/>
          <w:szCs w:val="24"/>
        </w:rPr>
        <w:t>L</w:t>
      </w:r>
      <w:r w:rsidRPr="00853B64">
        <w:rPr>
          <w:rFonts w:ascii="Times New Roman" w:hAnsi="Times New Roman" w:cs="Times New Roman"/>
          <w:b/>
          <w:bCs/>
          <w:color w:val="000000" w:themeColor="text1"/>
          <w:sz w:val="24"/>
          <w:szCs w:val="24"/>
        </w:rPr>
        <w:t>)</w:t>
      </w:r>
    </w:p>
    <w:p w14:paraId="5D28C2A9" w14:textId="77777777" w:rsidR="004010B8" w:rsidRPr="00853B64" w:rsidRDefault="004010B8" w:rsidP="004010B8">
      <w:pPr>
        <w:jc w:val="center"/>
        <w:rPr>
          <w:rFonts w:ascii="Times New Roman" w:hAnsi="Times New Roman" w:cs="Times New Roman"/>
          <w:b/>
          <w:bCs/>
          <w:color w:val="000000" w:themeColor="text1"/>
          <w:sz w:val="24"/>
          <w:szCs w:val="24"/>
        </w:rPr>
      </w:pPr>
    </w:p>
    <w:p w14:paraId="475571D5" w14:textId="77777777" w:rsidR="0020566E" w:rsidRPr="00853B64" w:rsidRDefault="0020566E" w:rsidP="0020566E">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Abstract</w:t>
      </w:r>
    </w:p>
    <w:p w14:paraId="33FCE58D" w14:textId="11269B76" w:rsidR="0020566E" w:rsidRPr="00853B64" w:rsidRDefault="0020566E" w:rsidP="0020566E">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The present study evaluated the effects of Rhizobium inoculation, nano</w:t>
      </w:r>
      <w:r w:rsidR="002A381E">
        <w:rPr>
          <w:rFonts w:ascii="Times New Roman" w:eastAsia="Times New Roman" w:hAnsi="Times New Roman" w:cs="Times New Roman"/>
          <w:kern w:val="0"/>
          <w:sz w:val="24"/>
          <w:szCs w:val="24"/>
        </w:rPr>
        <w:t>-nutrients</w:t>
      </w:r>
      <w:r w:rsidR="00123A92">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 xml:space="preserve">(NPK 19:19:19), and organic manure on the growth, chlorophyll content, and yield of </w:t>
      </w:r>
      <w:r w:rsidRPr="00853B64">
        <w:rPr>
          <w:rFonts w:ascii="Times New Roman" w:eastAsia="Times New Roman" w:hAnsi="Times New Roman" w:cs="Times New Roman"/>
          <w:i/>
          <w:iCs/>
          <w:kern w:val="0"/>
          <w:sz w:val="24"/>
          <w:szCs w:val="24"/>
        </w:rPr>
        <w:t>Pisum sativum</w:t>
      </w:r>
      <w:r w:rsidRPr="00853B64">
        <w:rPr>
          <w:rFonts w:ascii="Times New Roman" w:eastAsia="Times New Roman" w:hAnsi="Times New Roman" w:cs="Times New Roman"/>
          <w:kern w:val="0"/>
          <w:sz w:val="24"/>
          <w:szCs w:val="24"/>
        </w:rPr>
        <w:t xml:space="preserve"> L. during the 2024</w:t>
      </w:r>
      <w:r w:rsidR="00515819">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Rabi season under subtropical conditions. Six treatments were tested using a randomized block design, including control, nano-nutrients, Rhizobium</w:t>
      </w:r>
      <w:r w:rsidR="002A381E">
        <w:rPr>
          <w:rFonts w:ascii="Times New Roman" w:eastAsia="Times New Roman" w:hAnsi="Times New Roman" w:cs="Times New Roman"/>
          <w:kern w:val="0"/>
          <w:sz w:val="24"/>
          <w:szCs w:val="24"/>
        </w:rPr>
        <w:t xml:space="preserve"> inoculation</w:t>
      </w:r>
      <w:r w:rsidRPr="00853B64">
        <w:rPr>
          <w:rFonts w:ascii="Times New Roman" w:eastAsia="Times New Roman" w:hAnsi="Times New Roman" w:cs="Times New Roman"/>
          <w:kern w:val="0"/>
          <w:sz w:val="24"/>
          <w:szCs w:val="24"/>
        </w:rPr>
        <w:t>, their combinations, and organic manure. Plant height, leaf number, and branches were significantly enhanced in treatments involving integrated nutrient management, particularly T</w:t>
      </w:r>
      <w:r w:rsidRPr="00853B64">
        <w:rPr>
          <w:rFonts w:ascii="Times New Roman" w:eastAsia="Times New Roman" w:hAnsi="Times New Roman" w:cs="Times New Roman"/>
          <w:kern w:val="0"/>
          <w:sz w:val="24"/>
          <w:szCs w:val="24"/>
          <w:vertAlign w:val="subscript"/>
        </w:rPr>
        <w:t>5</w:t>
      </w:r>
      <w:r w:rsidRPr="00853B64">
        <w:rPr>
          <w:rFonts w:ascii="Times New Roman" w:eastAsia="Times New Roman" w:hAnsi="Times New Roman" w:cs="Times New Roman"/>
          <w:kern w:val="0"/>
          <w:sz w:val="24"/>
          <w:szCs w:val="24"/>
        </w:rPr>
        <w:t xml:space="preserve"> (Rhizobium</w:t>
      </w:r>
      <w:r w:rsidR="002A381E">
        <w:rPr>
          <w:rFonts w:ascii="Times New Roman" w:eastAsia="Times New Roman" w:hAnsi="Times New Roman" w:cs="Times New Roman"/>
          <w:kern w:val="0"/>
          <w:sz w:val="24"/>
          <w:szCs w:val="24"/>
        </w:rPr>
        <w:t xml:space="preserve"> inoculation</w:t>
      </w:r>
      <w:r w:rsidRPr="00853B64">
        <w:rPr>
          <w:rFonts w:ascii="Times New Roman" w:eastAsia="Times New Roman" w:hAnsi="Times New Roman" w:cs="Times New Roman"/>
          <w:kern w:val="0"/>
          <w:sz w:val="24"/>
          <w:szCs w:val="24"/>
        </w:rPr>
        <w:t xml:space="preserve"> + Nano nutrients</w:t>
      </w:r>
      <w:r w:rsidR="002A381E">
        <w:rPr>
          <w:rFonts w:ascii="Times New Roman" w:eastAsia="Times New Roman" w:hAnsi="Times New Roman" w:cs="Times New Roman"/>
          <w:kern w:val="0"/>
          <w:sz w:val="24"/>
          <w:szCs w:val="24"/>
        </w:rPr>
        <w:t>-(NPK)</w:t>
      </w:r>
      <w:r w:rsidRPr="00853B64">
        <w:rPr>
          <w:rFonts w:ascii="Times New Roman" w:eastAsia="Times New Roman" w:hAnsi="Times New Roman" w:cs="Times New Roman"/>
          <w:kern w:val="0"/>
          <w:sz w:val="24"/>
          <w:szCs w:val="24"/>
        </w:rPr>
        <w:t xml:space="preserve"> + Organic manure) and T</w:t>
      </w:r>
      <w:r w:rsidRPr="00853B64">
        <w:rPr>
          <w:rFonts w:ascii="Times New Roman" w:eastAsia="Times New Roman" w:hAnsi="Times New Roman" w:cs="Times New Roman"/>
          <w:kern w:val="0"/>
          <w:sz w:val="24"/>
          <w:szCs w:val="24"/>
          <w:vertAlign w:val="subscript"/>
        </w:rPr>
        <w:t>6</w:t>
      </w:r>
      <w:r w:rsidRPr="00853B64">
        <w:rPr>
          <w:rFonts w:ascii="Times New Roman" w:eastAsia="Times New Roman" w:hAnsi="Times New Roman" w:cs="Times New Roman"/>
          <w:kern w:val="0"/>
          <w:sz w:val="24"/>
          <w:szCs w:val="24"/>
        </w:rPr>
        <w:t xml:space="preserve"> (Rhizobium</w:t>
      </w:r>
      <w:r w:rsidR="002A381E">
        <w:rPr>
          <w:rFonts w:ascii="Times New Roman" w:eastAsia="Times New Roman" w:hAnsi="Times New Roman" w:cs="Times New Roman"/>
          <w:kern w:val="0"/>
          <w:sz w:val="24"/>
          <w:szCs w:val="24"/>
        </w:rPr>
        <w:t xml:space="preserve"> inoculation</w:t>
      </w:r>
      <w:r w:rsidRPr="00853B64">
        <w:rPr>
          <w:rFonts w:ascii="Times New Roman" w:eastAsia="Times New Roman" w:hAnsi="Times New Roman" w:cs="Times New Roman"/>
          <w:kern w:val="0"/>
          <w:sz w:val="24"/>
          <w:szCs w:val="24"/>
        </w:rPr>
        <w:t xml:space="preserve"> + Organic manure), with T</w:t>
      </w:r>
      <w:r w:rsidRPr="00853B64">
        <w:rPr>
          <w:rFonts w:ascii="Times New Roman" w:eastAsia="Times New Roman" w:hAnsi="Times New Roman" w:cs="Times New Roman"/>
          <w:kern w:val="0"/>
          <w:sz w:val="24"/>
          <w:szCs w:val="24"/>
          <w:vertAlign w:val="subscript"/>
        </w:rPr>
        <w:t>6</w:t>
      </w:r>
      <w:r w:rsidRPr="00853B64">
        <w:rPr>
          <w:rFonts w:ascii="Times New Roman" w:eastAsia="Times New Roman" w:hAnsi="Times New Roman" w:cs="Times New Roman"/>
          <w:kern w:val="0"/>
          <w:sz w:val="24"/>
          <w:szCs w:val="24"/>
        </w:rPr>
        <w:t xml:space="preserve"> recording the highest early growth metrics. Chlorophyll content was maximized in T</w:t>
      </w:r>
      <w:r w:rsidRPr="00853B64">
        <w:rPr>
          <w:rFonts w:ascii="Times New Roman" w:eastAsia="Times New Roman" w:hAnsi="Times New Roman" w:cs="Times New Roman"/>
          <w:kern w:val="0"/>
          <w:sz w:val="24"/>
          <w:szCs w:val="24"/>
          <w:vertAlign w:val="subscript"/>
        </w:rPr>
        <w:t>5</w:t>
      </w:r>
      <w:r w:rsidRPr="00853B64">
        <w:rPr>
          <w:rFonts w:ascii="Times New Roman" w:eastAsia="Times New Roman" w:hAnsi="Times New Roman" w:cs="Times New Roman"/>
          <w:kern w:val="0"/>
          <w:sz w:val="24"/>
          <w:szCs w:val="24"/>
        </w:rPr>
        <w:t>, indicating improved photosynthetic efficiency. Yield parameters such as number of pods per plant, pod length, seeds per pod, and seed yield per plant were also superior in T</w:t>
      </w:r>
      <w:r w:rsidRPr="00853B64">
        <w:rPr>
          <w:rFonts w:ascii="Times New Roman" w:eastAsia="Times New Roman" w:hAnsi="Times New Roman" w:cs="Times New Roman"/>
          <w:kern w:val="0"/>
          <w:sz w:val="24"/>
          <w:szCs w:val="24"/>
          <w:vertAlign w:val="subscript"/>
        </w:rPr>
        <w:t>5</w:t>
      </w:r>
      <w:r w:rsidRPr="00853B64">
        <w:rPr>
          <w:rFonts w:ascii="Times New Roman" w:eastAsia="Times New Roman" w:hAnsi="Times New Roman" w:cs="Times New Roman"/>
          <w:kern w:val="0"/>
          <w:sz w:val="24"/>
          <w:szCs w:val="24"/>
        </w:rPr>
        <w:t xml:space="preserve"> and T</w:t>
      </w:r>
      <w:r w:rsidRPr="00853B64">
        <w:rPr>
          <w:rFonts w:ascii="Times New Roman" w:eastAsia="Times New Roman" w:hAnsi="Times New Roman" w:cs="Times New Roman"/>
          <w:kern w:val="0"/>
          <w:sz w:val="24"/>
          <w:szCs w:val="24"/>
          <w:vertAlign w:val="subscript"/>
        </w:rPr>
        <w:t>6</w:t>
      </w:r>
      <w:r w:rsidRPr="00853B64">
        <w:rPr>
          <w:rFonts w:ascii="Times New Roman" w:eastAsia="Times New Roman" w:hAnsi="Times New Roman" w:cs="Times New Roman"/>
          <w:kern w:val="0"/>
          <w:sz w:val="24"/>
          <w:szCs w:val="24"/>
        </w:rPr>
        <w:t xml:space="preserve"> with T</w:t>
      </w:r>
      <w:r w:rsidRPr="00853B64">
        <w:rPr>
          <w:rFonts w:ascii="Times New Roman" w:eastAsia="Times New Roman" w:hAnsi="Times New Roman" w:cs="Times New Roman"/>
          <w:kern w:val="0"/>
          <w:sz w:val="24"/>
          <w:szCs w:val="24"/>
          <w:vertAlign w:val="subscript"/>
        </w:rPr>
        <w:t xml:space="preserve">5 </w:t>
      </w:r>
      <w:r w:rsidRPr="00853B64">
        <w:rPr>
          <w:rFonts w:ascii="Times New Roman" w:eastAsia="Times New Roman" w:hAnsi="Times New Roman" w:cs="Times New Roman"/>
          <w:kern w:val="0"/>
          <w:sz w:val="24"/>
          <w:szCs w:val="24"/>
        </w:rPr>
        <w:t>yielding the highest total seed weight (23.0 g per plant). The control treatment consistently showed the lowest growth and yield values. The results demonstrate that the combined application of Rhizobium, nano-nutrients, and organic manure synergistically promotes physiological development and productivity in pea, suggesting an effective strategy for sustainable and high-yield pea cultivation.</w:t>
      </w:r>
    </w:p>
    <w:p w14:paraId="07FF1EA7" w14:textId="77777777" w:rsidR="00AB4C94" w:rsidRPr="00853B64" w:rsidRDefault="007D360F" w:rsidP="007D360F">
      <w:pPr>
        <w:pStyle w:val="NormalWeb"/>
        <w:jc w:val="both"/>
      </w:pPr>
      <w:r w:rsidRPr="00853B64">
        <w:rPr>
          <w:rStyle w:val="Strong"/>
        </w:rPr>
        <w:t xml:space="preserve">1. </w:t>
      </w:r>
      <w:r w:rsidR="00AB4C94" w:rsidRPr="00853B64">
        <w:rPr>
          <w:rStyle w:val="Strong"/>
        </w:rPr>
        <w:t>Introduction</w:t>
      </w:r>
    </w:p>
    <w:p w14:paraId="6147AAA2" w14:textId="77777777" w:rsidR="00AB4C94" w:rsidRPr="00853B64" w:rsidRDefault="00AB4C94" w:rsidP="007D360F">
      <w:pPr>
        <w:pStyle w:val="NormalWeb"/>
        <w:jc w:val="both"/>
      </w:pPr>
      <w:r w:rsidRPr="00853B64">
        <w:t xml:space="preserve">   Pea (</w:t>
      </w:r>
      <w:r w:rsidRPr="00853B64">
        <w:rPr>
          <w:rStyle w:val="Emphasis"/>
        </w:rPr>
        <w:t>Pisum sativum</w:t>
      </w:r>
      <w:r w:rsidRPr="00853B64">
        <w:t xml:space="preserve"> L.) is a cool-season leguminous crop of significant agronomic and nutritional importance. It serves as a major source of plant-based protein (20–25%), making it especially valuable in vegetarian and plant-based diets. Furthermore, peas are rich in dietary fiber (5–7%), aiding in digestive health and glycemic control, and are an excellent source of essential vitamins such as A, B-complex, and C, thereby contributing to food and nutritional security. The carbohydrate content, which ranges between 60–70%, mainly comprises starch, offering a sustained energy source. Additionally, peas contain minimal fat (1–2%), mostly composed of unsaturated fatty acids, further enhancing their nutritional value.</w:t>
      </w:r>
    </w:p>
    <w:p w14:paraId="1569EB03" w14:textId="06DE5E16" w:rsidR="00AB4C94" w:rsidRPr="00853B64" w:rsidRDefault="00AB4C94" w:rsidP="007D360F">
      <w:pPr>
        <w:pStyle w:val="NormalWeb"/>
        <w:jc w:val="both"/>
      </w:pPr>
      <w:r w:rsidRPr="00853B64">
        <w:t xml:space="preserve">Globally, pea cultivation plays an important role in food systems. According to the Food and Agriculture Organization (FAO), the global production of dry peas is around 10.5 million </w:t>
      </w:r>
      <w:proofErr w:type="spellStart"/>
      <w:r w:rsidRPr="00853B64">
        <w:t>tonnes</w:t>
      </w:r>
      <w:proofErr w:type="spellEnd"/>
      <w:r w:rsidRPr="00853B64">
        <w:t xml:space="preserve">, while fresh peas account for approximately 7 million </w:t>
      </w:r>
      <w:proofErr w:type="spellStart"/>
      <w:r w:rsidRPr="00853B64">
        <w:t>tonnes</w:t>
      </w:r>
      <w:proofErr w:type="spellEnd"/>
      <w:r w:rsidRPr="00853B64">
        <w:t xml:space="preserve"> (FAO, 2024). Peas are best suited to temperate and subtropical regions, performing optimally under moderate climatic conditions with temperatures between 18°C and 25°C. However, the crop is sensitive to abiotic stresses such as excessive heat, which can significantly impair flowering, pod setting, and yield. Adequate moisture is critical during the early vegetative and flowering stages, but waterlogging during sensitive growth periods can severely affect productivity. Key developmental stages—germinatio</w:t>
      </w:r>
      <w:r w:rsidR="002A381E">
        <w:t xml:space="preserve">n, flowering, and pod formation </w:t>
      </w:r>
      <w:r w:rsidRPr="00853B64">
        <w:t>are especially vulnerable, and stress during these phases often results in reduced biomass and lower grain yield (Kumar et al.</w:t>
      </w:r>
      <w:r w:rsidR="00123A92">
        <w:t>,</w:t>
      </w:r>
      <w:r w:rsidRPr="00853B64">
        <w:t xml:space="preserve"> 2023; Singh et al., 2024).</w:t>
      </w:r>
    </w:p>
    <w:p w14:paraId="1B69839F" w14:textId="77777777" w:rsidR="00AB4C94" w:rsidRPr="00853B64" w:rsidRDefault="00AB4C94" w:rsidP="007D360F">
      <w:pPr>
        <w:pStyle w:val="NormalWeb"/>
        <w:jc w:val="both"/>
      </w:pPr>
      <w:r w:rsidRPr="00853B64">
        <w:lastRenderedPageBreak/>
        <w:t xml:space="preserve">From an ecological and agronomic perspective, </w:t>
      </w:r>
      <w:r w:rsidRPr="00853B64">
        <w:rPr>
          <w:rStyle w:val="Emphasis"/>
        </w:rPr>
        <w:t>Pisum sativum</w:t>
      </w:r>
      <w:r w:rsidRPr="00853B64">
        <w:t xml:space="preserve"> offers several benefits beyond nutrition. As a leguminous crop, it forms a symbiotic association with </w:t>
      </w:r>
      <w:r w:rsidRPr="002A381E">
        <w:rPr>
          <w:rStyle w:val="Emphasis"/>
          <w:i w:val="0"/>
          <w:iCs w:val="0"/>
        </w:rPr>
        <w:t>Rhizobium</w:t>
      </w:r>
      <w:r w:rsidRPr="00853B64">
        <w:t xml:space="preserve"> bacteria, which colonize the root system and form nodules. These nodules harbor nitrogenase enzymes that convert atmospheric nitrogen into ammonia, a plant-usable form of nitrogen. This biological nitrogen fixation enhances soil fertility, reduces the need for chemical nitrogen fertilizers, and supports environmentally sustainable practices. The incorporation of </w:t>
      </w:r>
      <w:r w:rsidRPr="00853B64">
        <w:rPr>
          <w:rStyle w:val="Emphasis"/>
        </w:rPr>
        <w:t>Rhizobium</w:t>
      </w:r>
      <w:r w:rsidRPr="00853B64">
        <w:t xml:space="preserve"> inoculants in pea cultivation has been shown to promote root development, improve nitrogen uptake, and increase both vegetative and reproductive growth parameters (Patel et al., 2023).</w:t>
      </w:r>
    </w:p>
    <w:p w14:paraId="39EB20B6" w14:textId="61526610" w:rsidR="00AB4C94" w:rsidRPr="002A381E" w:rsidRDefault="00AB4C94" w:rsidP="002A381E">
      <w:pPr>
        <w:pStyle w:val="NormalWeb"/>
        <w:spacing w:before="0" w:beforeAutospacing="0" w:after="0" w:afterAutospacing="0"/>
        <w:jc w:val="both"/>
        <w:rPr>
          <w:color w:val="0E101A"/>
          <w:sz w:val="20"/>
          <w:szCs w:val="20"/>
        </w:rPr>
      </w:pPr>
      <w:r w:rsidRPr="00853B64">
        <w:t>Recent innovations in sustainab</w:t>
      </w:r>
      <w:r w:rsidR="002A381E">
        <w:t xml:space="preserve">le agriculture have introduced Nano </w:t>
      </w:r>
      <w:r w:rsidR="00123A92">
        <w:t>n</w:t>
      </w:r>
      <w:r w:rsidRPr="00853B64">
        <w:t>utrient</w:t>
      </w:r>
      <w:r w:rsidR="00123A92">
        <w:t xml:space="preserve"> </w:t>
      </w:r>
      <w:r w:rsidR="002A381E">
        <w:t>(NPK)</w:t>
      </w:r>
      <w:r w:rsidRPr="00853B64">
        <w:t xml:space="preserve"> formulations as efficient nutrient delivery systems. Nano-sized particles of essential nutrients—nitrogen (N), phosphor</w:t>
      </w:r>
      <w:r w:rsidR="002A381E">
        <w:t xml:space="preserve">us (P), and potassium (K) </w:t>
      </w:r>
      <w:r w:rsidRPr="00853B64">
        <w:t>possess a larger surface area and enhanced reactivity, allowing for improved absorption and reduced nutrient losses. These characteristics enable a more controlled and efficient nutrient release, supporting healthy plant growth and</w:t>
      </w:r>
      <w:r w:rsidR="002A381E">
        <w:t xml:space="preserve"> optimizing resource use. Nano </w:t>
      </w:r>
      <w:r w:rsidR="00123A92">
        <w:t>n</w:t>
      </w:r>
      <w:r w:rsidR="002A381E">
        <w:t>utrients</w:t>
      </w:r>
      <w:r w:rsidR="00123A92">
        <w:t xml:space="preserve"> </w:t>
      </w:r>
      <w:r w:rsidR="002A381E">
        <w:t>(NPK)</w:t>
      </w:r>
      <w:r w:rsidRPr="00853B64">
        <w:t xml:space="preserve"> have been observed to enhance chlorophyll content, root proliferation, and biomass accumulation, ultimately leading to higher yields (Sharma &amp; Yadav, 2024).</w:t>
      </w:r>
    </w:p>
    <w:p w14:paraId="0C52B791" w14:textId="7DA444F9" w:rsidR="00AB4C94" w:rsidRPr="00853B64" w:rsidRDefault="00AB4C94" w:rsidP="007D360F">
      <w:pPr>
        <w:pStyle w:val="NormalWeb"/>
        <w:jc w:val="both"/>
      </w:pPr>
      <w:r w:rsidRPr="00853B64">
        <w:t xml:space="preserve">Organic manures, such as farmyard manure and compost, also play a crucial role in sustainable crop production. They contribute to soil organic matter content, enhance microbial activity, and improve soil structure, water-holding capacity, and nutrient availability. When used in combination with </w:t>
      </w:r>
      <w:r w:rsidRPr="002A381E">
        <w:rPr>
          <w:rStyle w:val="Emphasis"/>
          <w:i w:val="0"/>
          <w:iCs w:val="0"/>
        </w:rPr>
        <w:t>Rhizobium</w:t>
      </w:r>
      <w:r w:rsidRPr="002A381E">
        <w:rPr>
          <w:i/>
          <w:iCs/>
        </w:rPr>
        <w:t xml:space="preserve"> </w:t>
      </w:r>
      <w:r w:rsidRPr="00853B64">
        <w:t>inocula</w:t>
      </w:r>
      <w:r w:rsidR="002A381E">
        <w:t xml:space="preserve">tion and Nano </w:t>
      </w:r>
      <w:r w:rsidR="00123A92">
        <w:t>n</w:t>
      </w:r>
      <w:r w:rsidRPr="00853B64">
        <w:t>utrient</w:t>
      </w:r>
      <w:r w:rsidR="00123A92">
        <w:t xml:space="preserve"> </w:t>
      </w:r>
      <w:r w:rsidR="002A381E">
        <w:t>(NPK)</w:t>
      </w:r>
      <w:r w:rsidRPr="00853B64">
        <w:t xml:space="preserve"> applications, organic manures create a synergistic effect, significantly boosting plant physiological processes and agronomic performance. The integration of these inputs results in a balanced nutrient supply, improved soil health, and reduced environmental impact compared to conventional high-input systems (Choudhary et al., 2025).</w:t>
      </w:r>
    </w:p>
    <w:p w14:paraId="5C58FA29" w14:textId="65A7DF8B" w:rsidR="00BA43D4" w:rsidRPr="00853B64" w:rsidRDefault="00AB4C94" w:rsidP="007D360F">
      <w:pPr>
        <w:pStyle w:val="NormalWeb"/>
        <w:jc w:val="both"/>
      </w:pPr>
      <w:r w:rsidRPr="00853B64">
        <w:t xml:space="preserve">The combined application of </w:t>
      </w:r>
      <w:r w:rsidRPr="002A381E">
        <w:rPr>
          <w:rStyle w:val="Emphasis"/>
          <w:i w:val="0"/>
          <w:iCs w:val="0"/>
        </w:rPr>
        <w:t>Rhizobium</w:t>
      </w:r>
      <w:r w:rsidRPr="00853B64">
        <w:t xml:space="preserve">, nano-nutrients, and organic manures has emerged as a promising strategy for enhancing the growth and productivity of pea crops. This integrated nutrient management approach not only supports vigorous plant development but also contributes to long-term soil fertility and sustainability. Investigating the interactive effects of these </w:t>
      </w:r>
      <w:r w:rsidR="002A381E">
        <w:t xml:space="preserve">inputs on pea growth parameters </w:t>
      </w:r>
      <w:r w:rsidRPr="00853B64">
        <w:t xml:space="preserve">such as germination percentage, shoot and root length, leaf number, dry matter accumulation, and yield </w:t>
      </w:r>
      <w:r w:rsidR="00123A92">
        <w:t>provides</w:t>
      </w:r>
      <w:r w:rsidRPr="00853B64">
        <w:t xml:space="preserve"> valuable insights into optimizing resource-efficient, eco-friendly cultivation practices for </w:t>
      </w:r>
      <w:r w:rsidRPr="00853B64">
        <w:rPr>
          <w:rStyle w:val="Emphasis"/>
        </w:rPr>
        <w:t>Pisum sativum</w:t>
      </w:r>
      <w:r w:rsidRPr="00853B64">
        <w:t xml:space="preserve"> L.</w:t>
      </w:r>
    </w:p>
    <w:p w14:paraId="5C81D17B" w14:textId="77777777" w:rsidR="00AB4C94" w:rsidRPr="00853B6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2. </w:t>
      </w:r>
      <w:r w:rsidR="00AB4C94" w:rsidRPr="00853B64">
        <w:rPr>
          <w:rFonts w:ascii="Times New Roman" w:eastAsia="Times New Roman" w:hAnsi="Times New Roman" w:cs="Times New Roman"/>
          <w:b/>
          <w:bCs/>
          <w:kern w:val="0"/>
          <w:sz w:val="24"/>
          <w:szCs w:val="24"/>
        </w:rPr>
        <w:t>Materials and Methods</w:t>
      </w:r>
    </w:p>
    <w:p w14:paraId="7B4E4CAC" w14:textId="48CE1BE1" w:rsidR="00853B6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The present investigation was conducted during the Rabi season of 2024</w:t>
      </w:r>
      <w:r w:rsidR="00513EE6">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at the research farm of the Amity Institute of Organic Agriculture, affiliated with Amity University, Noida. The experimental site is geographically located at 28.544°N latitude and 77.3330°E longitude, with an elevation of 200 meters above mean sea level. The region experiences a tropical to subtropical climate, with average temperatures during the cropping season ranging between 18°C and 25°C, providing favorable conditions for pea cultivation. The experimental field was characterized by loamy soil with good drainage and moderate fertility.</w:t>
      </w:r>
      <w:r w:rsidR="002A381E">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 xml:space="preserve">A Randomized Block Design (RBD) was employed to ensure statistical validity, comprising six treatments with three replications each. Individual plots were sized at 7 meters by 3 meters, and the spacing maintained was 30 cm </w:t>
      </w:r>
      <w:r w:rsidRPr="00853B64">
        <w:rPr>
          <w:rFonts w:ascii="Times New Roman" w:eastAsia="Times New Roman" w:hAnsi="Times New Roman" w:cs="Times New Roman"/>
          <w:kern w:val="0"/>
          <w:sz w:val="24"/>
          <w:szCs w:val="24"/>
        </w:rPr>
        <w:lastRenderedPageBreak/>
        <w:t xml:space="preserve">between rows and 10 cm between plants within each row. The pea variety selected for this study was IPFD-12-2, known for its adaptability and yield potential. For treatments involving Rhizobium inoculation, seeds were treated with a slurry of </w:t>
      </w:r>
      <w:r w:rsidR="00123A92">
        <w:rPr>
          <w:rFonts w:ascii="Times New Roman" w:eastAsia="Times New Roman" w:hAnsi="Times New Roman" w:cs="Times New Roman"/>
          <w:kern w:val="0"/>
          <w:sz w:val="24"/>
          <w:szCs w:val="24"/>
        </w:rPr>
        <w:t xml:space="preserve">100 g of </w:t>
      </w:r>
      <w:r w:rsidRPr="00853B64">
        <w:rPr>
          <w:rFonts w:ascii="Times New Roman" w:eastAsia="Times New Roman" w:hAnsi="Times New Roman" w:cs="Times New Roman"/>
          <w:kern w:val="0"/>
          <w:sz w:val="24"/>
          <w:szCs w:val="24"/>
        </w:rPr>
        <w:t xml:space="preserve">Rhizobium culture </w:t>
      </w:r>
      <w:r w:rsidR="00123A92">
        <w:rPr>
          <w:rFonts w:ascii="Times New Roman" w:eastAsia="Times New Roman" w:hAnsi="Times New Roman" w:cs="Times New Roman"/>
          <w:kern w:val="0"/>
          <w:sz w:val="24"/>
          <w:szCs w:val="24"/>
        </w:rPr>
        <w:t xml:space="preserve">per </w:t>
      </w:r>
      <w:r w:rsidRPr="00853B64">
        <w:rPr>
          <w:rFonts w:ascii="Times New Roman" w:eastAsia="Times New Roman" w:hAnsi="Times New Roman" w:cs="Times New Roman"/>
          <w:kern w:val="0"/>
          <w:sz w:val="24"/>
          <w:szCs w:val="24"/>
        </w:rPr>
        <w:t>500</w:t>
      </w:r>
      <w:r w:rsidR="00853B64" w:rsidRPr="00853B64">
        <w:rPr>
          <w:rFonts w:ascii="Times New Roman" w:eastAsia="Times New Roman" w:hAnsi="Times New Roman" w:cs="Times New Roman"/>
          <w:kern w:val="0"/>
          <w:sz w:val="24"/>
          <w:szCs w:val="24"/>
        </w:rPr>
        <w:t xml:space="preserve">g </w:t>
      </w:r>
      <w:r w:rsidR="00123A92">
        <w:rPr>
          <w:rFonts w:ascii="Times New Roman" w:eastAsia="Times New Roman" w:hAnsi="Times New Roman" w:cs="Times New Roman"/>
          <w:kern w:val="0"/>
          <w:sz w:val="24"/>
          <w:szCs w:val="24"/>
        </w:rPr>
        <w:t xml:space="preserve">of </w:t>
      </w:r>
      <w:r w:rsidR="00853B64" w:rsidRPr="00853B64">
        <w:rPr>
          <w:rFonts w:ascii="Times New Roman" w:eastAsia="Times New Roman" w:hAnsi="Times New Roman" w:cs="Times New Roman"/>
          <w:kern w:val="0"/>
          <w:sz w:val="24"/>
          <w:szCs w:val="24"/>
        </w:rPr>
        <w:t>seed</w:t>
      </w:r>
      <w:r w:rsidR="00123A92">
        <w:rPr>
          <w:rFonts w:ascii="Times New Roman" w:eastAsia="Times New Roman" w:hAnsi="Times New Roman" w:cs="Times New Roman"/>
          <w:kern w:val="0"/>
          <w:sz w:val="24"/>
          <w:szCs w:val="24"/>
        </w:rPr>
        <w:t>s. Thereafter, the seeds were</w:t>
      </w:r>
      <w:r w:rsidRPr="00853B64">
        <w:rPr>
          <w:rFonts w:ascii="Times New Roman" w:eastAsia="Times New Roman" w:hAnsi="Times New Roman" w:cs="Times New Roman"/>
          <w:kern w:val="0"/>
          <w:sz w:val="24"/>
          <w:szCs w:val="24"/>
        </w:rPr>
        <w:t xml:space="preserve"> thoroughly mixed and allowed to shade-dry </w:t>
      </w:r>
      <w:r w:rsidR="00123A92">
        <w:rPr>
          <w:rFonts w:ascii="Times New Roman" w:eastAsia="Times New Roman" w:hAnsi="Times New Roman" w:cs="Times New Roman"/>
          <w:kern w:val="0"/>
          <w:sz w:val="24"/>
          <w:szCs w:val="24"/>
        </w:rPr>
        <w:t>before</w:t>
      </w:r>
      <w:r w:rsidRPr="00853B64">
        <w:rPr>
          <w:rFonts w:ascii="Times New Roman" w:eastAsia="Times New Roman" w:hAnsi="Times New Roman" w:cs="Times New Roman"/>
          <w:kern w:val="0"/>
          <w:sz w:val="24"/>
          <w:szCs w:val="24"/>
        </w:rPr>
        <w:t xml:space="preserve"> sowing. Manual sowing was carried out in well-prepared plots, adhering strictly to recommended agronomic practices throughout the crop cycle. Organic manure was applied at the rate of 10.5 kg per plot, incorporated into the soil 15 days before sowing to enhance </w:t>
      </w:r>
      <w:r w:rsidR="00123A92">
        <w:rPr>
          <w:rFonts w:ascii="Times New Roman" w:eastAsia="Times New Roman" w:hAnsi="Times New Roman" w:cs="Times New Roman"/>
          <w:kern w:val="0"/>
          <w:sz w:val="24"/>
          <w:szCs w:val="24"/>
        </w:rPr>
        <w:t>the n</w:t>
      </w:r>
      <w:r w:rsidRPr="00853B64">
        <w:rPr>
          <w:rFonts w:ascii="Times New Roman" w:eastAsia="Times New Roman" w:hAnsi="Times New Roman" w:cs="Times New Roman"/>
          <w:kern w:val="0"/>
          <w:sz w:val="24"/>
          <w:szCs w:val="24"/>
        </w:rPr>
        <w:t xml:space="preserve">utrient availability. Nano-nutrient formulations of </w:t>
      </w:r>
      <w:r w:rsidR="002A381E">
        <w:rPr>
          <w:rFonts w:ascii="Times New Roman" w:eastAsia="Times New Roman" w:hAnsi="Times New Roman" w:cs="Times New Roman"/>
          <w:kern w:val="0"/>
          <w:sz w:val="24"/>
          <w:szCs w:val="24"/>
        </w:rPr>
        <w:t xml:space="preserve">Nano </w:t>
      </w:r>
      <w:proofErr w:type="gramStart"/>
      <w:r w:rsidR="002A381E">
        <w:rPr>
          <w:rFonts w:ascii="Times New Roman" w:eastAsia="Times New Roman" w:hAnsi="Times New Roman" w:cs="Times New Roman"/>
          <w:kern w:val="0"/>
          <w:sz w:val="24"/>
          <w:szCs w:val="24"/>
        </w:rPr>
        <w:t>Nutrients(</w:t>
      </w:r>
      <w:proofErr w:type="gramEnd"/>
      <w:r w:rsidRPr="00853B64">
        <w:rPr>
          <w:rFonts w:ascii="Times New Roman" w:eastAsia="Times New Roman" w:hAnsi="Times New Roman" w:cs="Times New Roman"/>
          <w:kern w:val="0"/>
          <w:sz w:val="24"/>
          <w:szCs w:val="24"/>
        </w:rPr>
        <w:t>NPK</w:t>
      </w:r>
      <w:r w:rsidR="002A381E">
        <w:rPr>
          <w:rFonts w:ascii="Times New Roman" w:eastAsia="Times New Roman" w:hAnsi="Times New Roman" w:cs="Times New Roman"/>
          <w:kern w:val="0"/>
          <w:sz w:val="24"/>
          <w:szCs w:val="24"/>
        </w:rPr>
        <w:t>)-</w:t>
      </w:r>
      <w:r w:rsidRPr="00853B64">
        <w:rPr>
          <w:rFonts w:ascii="Times New Roman" w:eastAsia="Times New Roman" w:hAnsi="Times New Roman" w:cs="Times New Roman"/>
          <w:kern w:val="0"/>
          <w:sz w:val="24"/>
          <w:szCs w:val="24"/>
        </w:rPr>
        <w:t>(</w:t>
      </w:r>
      <w:proofErr w:type="gramStart"/>
      <w:r w:rsidRPr="00853B64">
        <w:rPr>
          <w:rFonts w:ascii="Times New Roman" w:eastAsia="Times New Roman" w:hAnsi="Times New Roman" w:cs="Times New Roman"/>
          <w:kern w:val="0"/>
          <w:sz w:val="24"/>
          <w:szCs w:val="24"/>
        </w:rPr>
        <w:t>19:19:19)</w:t>
      </w:r>
      <w:r w:rsidR="00853B64" w:rsidRPr="00853B64">
        <w:rPr>
          <w:rFonts w:ascii="Times New Roman" w:eastAsia="Times New Roman" w:hAnsi="Times New Roman" w:cs="Times New Roman"/>
          <w:kern w:val="0"/>
          <w:sz w:val="24"/>
          <w:szCs w:val="24"/>
        </w:rPr>
        <w:t>@</w:t>
      </w:r>
      <w:proofErr w:type="gramEnd"/>
      <w:r w:rsidR="00853B64" w:rsidRPr="00853B64">
        <w:rPr>
          <w:rFonts w:ascii="Times New Roman" w:eastAsia="Times New Roman" w:hAnsi="Times New Roman" w:cs="Times New Roman"/>
          <w:kern w:val="0"/>
          <w:sz w:val="24"/>
          <w:szCs w:val="24"/>
        </w:rPr>
        <w:t>1 % concentration</w:t>
      </w:r>
      <w:r w:rsidRPr="00853B64">
        <w:rPr>
          <w:rFonts w:ascii="Times New Roman" w:eastAsia="Times New Roman" w:hAnsi="Times New Roman" w:cs="Times New Roman"/>
          <w:kern w:val="0"/>
          <w:sz w:val="24"/>
          <w:szCs w:val="24"/>
        </w:rPr>
        <w:t xml:space="preserve"> were applied as foliar sprays at 25 and 45 days after sowing (DAS), us</w:t>
      </w:r>
      <w:r w:rsidR="002A381E">
        <w:rPr>
          <w:rFonts w:ascii="Times New Roman" w:eastAsia="Times New Roman" w:hAnsi="Times New Roman" w:cs="Times New Roman"/>
          <w:kern w:val="0"/>
          <w:sz w:val="24"/>
          <w:szCs w:val="24"/>
        </w:rPr>
        <w:t xml:space="preserve">ing commercially available Nano </w:t>
      </w:r>
      <w:proofErr w:type="gramStart"/>
      <w:r w:rsidR="002A381E">
        <w:rPr>
          <w:rFonts w:ascii="Times New Roman" w:eastAsia="Times New Roman" w:hAnsi="Times New Roman" w:cs="Times New Roman"/>
          <w:kern w:val="0"/>
          <w:sz w:val="24"/>
          <w:szCs w:val="24"/>
        </w:rPr>
        <w:t>Nutrients(</w:t>
      </w:r>
      <w:proofErr w:type="gramEnd"/>
      <w:r w:rsidR="00853B64" w:rsidRPr="00853B64">
        <w:rPr>
          <w:rFonts w:ascii="Times New Roman" w:eastAsia="Times New Roman" w:hAnsi="Times New Roman" w:cs="Times New Roman"/>
          <w:kern w:val="0"/>
          <w:sz w:val="24"/>
          <w:szCs w:val="24"/>
        </w:rPr>
        <w:t>NPK</w:t>
      </w:r>
      <w:r w:rsidR="002A381E">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at the recommended concentration of 1%. These nano-nutrients were intended to enhance nutrient uptake efficiency and stimulate plant physiological processes</w:t>
      </w:r>
      <w:r w:rsidR="00AB1B2A">
        <w:rPr>
          <w:rFonts w:ascii="Times New Roman" w:eastAsia="Times New Roman" w:hAnsi="Times New Roman" w:cs="Times New Roman"/>
          <w:kern w:val="0"/>
          <w:sz w:val="24"/>
          <w:szCs w:val="24"/>
        </w:rPr>
        <w:t>.</w:t>
      </w:r>
    </w:p>
    <w:p w14:paraId="05E05F65" w14:textId="77777777" w:rsidR="00AB4C9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2.1 </w:t>
      </w:r>
      <w:r w:rsidR="00AB4C94" w:rsidRPr="00853B64">
        <w:rPr>
          <w:rFonts w:ascii="Times New Roman" w:eastAsia="Times New Roman" w:hAnsi="Times New Roman" w:cs="Times New Roman"/>
          <w:b/>
          <w:bCs/>
          <w:kern w:val="0"/>
          <w:sz w:val="24"/>
          <w:szCs w:val="24"/>
        </w:rPr>
        <w:t>Treatment Details</w:t>
      </w:r>
    </w:p>
    <w:p w14:paraId="3B297534" w14:textId="67BB4593" w:rsidR="005E2285" w:rsidRPr="00853B64" w:rsidRDefault="005E2285"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List </w:t>
      </w:r>
      <w:proofErr w:type="gramStart"/>
      <w:r>
        <w:rPr>
          <w:rFonts w:ascii="Times New Roman" w:eastAsia="Times New Roman" w:hAnsi="Times New Roman" w:cs="Times New Roman"/>
          <w:b/>
          <w:bCs/>
          <w:kern w:val="0"/>
          <w:sz w:val="24"/>
          <w:szCs w:val="24"/>
        </w:rPr>
        <w:t>1 :</w:t>
      </w:r>
      <w:proofErr w:type="gramEnd"/>
      <w:r>
        <w:rPr>
          <w:rFonts w:ascii="Times New Roman" w:eastAsia="Times New Roman" w:hAnsi="Times New Roman" w:cs="Times New Roman"/>
          <w:b/>
          <w:bCs/>
          <w:kern w:val="0"/>
          <w:sz w:val="24"/>
          <w:szCs w:val="24"/>
        </w:rPr>
        <w:t xml:space="preserve"> </w:t>
      </w:r>
      <w:r w:rsidRPr="005E2285">
        <w:rPr>
          <w:rFonts w:ascii="Times New Roman" w:eastAsia="Times New Roman" w:hAnsi="Times New Roman" w:cs="Times New Roman"/>
          <w:b/>
          <w:bCs/>
          <w:kern w:val="0"/>
          <w:sz w:val="24"/>
          <w:szCs w:val="24"/>
        </w:rPr>
        <w:t>Treatment Details</w:t>
      </w:r>
    </w:p>
    <w:tbl>
      <w:tblPr>
        <w:tblStyle w:val="TableGrid"/>
        <w:tblW w:w="0" w:type="auto"/>
        <w:tblLook w:val="04A0" w:firstRow="1" w:lastRow="0" w:firstColumn="1" w:lastColumn="0" w:noHBand="0" w:noVBand="1"/>
      </w:tblPr>
      <w:tblGrid>
        <w:gridCol w:w="930"/>
        <w:gridCol w:w="3138"/>
        <w:gridCol w:w="5400"/>
      </w:tblGrid>
      <w:tr w:rsidR="00AB4C94" w:rsidRPr="00853B64" w14:paraId="6F3DE96D" w14:textId="77777777" w:rsidTr="00AB4C94">
        <w:tc>
          <w:tcPr>
            <w:tcW w:w="0" w:type="auto"/>
            <w:hideMark/>
          </w:tcPr>
          <w:p w14:paraId="0BB85161" w14:textId="77777777" w:rsidR="00AB4C94" w:rsidRPr="00853B64" w:rsidRDefault="00AB4C94" w:rsidP="00853B64">
            <w:pPr>
              <w:jc w:val="center"/>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Sr. No.</w:t>
            </w:r>
          </w:p>
        </w:tc>
        <w:tc>
          <w:tcPr>
            <w:tcW w:w="3138" w:type="dxa"/>
            <w:hideMark/>
          </w:tcPr>
          <w:p w14:paraId="3916A5BE" w14:textId="77777777" w:rsidR="00AB4C94" w:rsidRPr="00853B64" w:rsidRDefault="00AB4C94" w:rsidP="00853B64">
            <w:pPr>
              <w:jc w:val="center"/>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Treatment </w:t>
            </w:r>
          </w:p>
        </w:tc>
        <w:tc>
          <w:tcPr>
            <w:tcW w:w="5400" w:type="dxa"/>
            <w:hideMark/>
          </w:tcPr>
          <w:p w14:paraId="34E14A02" w14:textId="77777777" w:rsidR="00853B64" w:rsidRPr="00853B64" w:rsidRDefault="00853B64" w:rsidP="00853B64">
            <w:pPr>
              <w:jc w:val="center"/>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Treatment Details</w:t>
            </w:r>
          </w:p>
          <w:p w14:paraId="41E0FC5A" w14:textId="77777777" w:rsidR="00853B64" w:rsidRPr="00853B64" w:rsidRDefault="00853B64" w:rsidP="00853B64">
            <w:pPr>
              <w:jc w:val="center"/>
              <w:rPr>
                <w:rFonts w:ascii="Times New Roman" w:eastAsia="Times New Roman" w:hAnsi="Times New Roman" w:cs="Times New Roman"/>
                <w:b/>
                <w:bCs/>
                <w:kern w:val="0"/>
                <w:sz w:val="24"/>
                <w:szCs w:val="24"/>
              </w:rPr>
            </w:pPr>
          </w:p>
        </w:tc>
      </w:tr>
      <w:tr w:rsidR="00AB4C94" w:rsidRPr="00853B64" w14:paraId="1979F5A3" w14:textId="77777777" w:rsidTr="00AB4C94">
        <w:tc>
          <w:tcPr>
            <w:tcW w:w="0" w:type="auto"/>
            <w:hideMark/>
          </w:tcPr>
          <w:p w14:paraId="3530E78B"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1</w:t>
            </w:r>
          </w:p>
        </w:tc>
        <w:tc>
          <w:tcPr>
            <w:tcW w:w="3138" w:type="dxa"/>
            <w:hideMark/>
          </w:tcPr>
          <w:p w14:paraId="302F9D88"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1</w:t>
            </w:r>
          </w:p>
        </w:tc>
        <w:tc>
          <w:tcPr>
            <w:tcW w:w="5400" w:type="dxa"/>
            <w:hideMark/>
          </w:tcPr>
          <w:p w14:paraId="2DBB42AC"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Control</w:t>
            </w:r>
          </w:p>
          <w:p w14:paraId="03F99947"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4F1FDBF8" w14:textId="77777777" w:rsidTr="00AB4C94">
        <w:tc>
          <w:tcPr>
            <w:tcW w:w="0" w:type="auto"/>
            <w:hideMark/>
          </w:tcPr>
          <w:p w14:paraId="76D13492"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2</w:t>
            </w:r>
          </w:p>
        </w:tc>
        <w:tc>
          <w:tcPr>
            <w:tcW w:w="3138" w:type="dxa"/>
            <w:hideMark/>
          </w:tcPr>
          <w:p w14:paraId="52DAB462"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2</w:t>
            </w:r>
          </w:p>
        </w:tc>
        <w:tc>
          <w:tcPr>
            <w:tcW w:w="5400" w:type="dxa"/>
            <w:hideMark/>
          </w:tcPr>
          <w:p w14:paraId="2B46EA72"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AB4C94" w:rsidRPr="00853B64">
              <w:rPr>
                <w:rFonts w:ascii="Times New Roman" w:eastAsia="Times New Roman" w:hAnsi="Times New Roman" w:cs="Times New Roman"/>
                <w:kern w:val="0"/>
                <w:sz w:val="24"/>
                <w:szCs w:val="24"/>
              </w:rPr>
              <w:t>Nano nutrients (NPK)-19:19:19 @ 1% (foliar spray)</w:t>
            </w:r>
            <w:r w:rsidRPr="00853B64">
              <w:rPr>
                <w:rFonts w:ascii="Times New Roman" w:eastAsia="Times New Roman" w:hAnsi="Times New Roman" w:cs="Times New Roman"/>
                <w:kern w:val="0"/>
                <w:sz w:val="24"/>
                <w:szCs w:val="24"/>
              </w:rPr>
              <w:t>]</w:t>
            </w:r>
          </w:p>
          <w:p w14:paraId="5A9CDEE5"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611A417E" w14:textId="77777777" w:rsidTr="00AB4C94">
        <w:tc>
          <w:tcPr>
            <w:tcW w:w="0" w:type="auto"/>
            <w:hideMark/>
          </w:tcPr>
          <w:p w14:paraId="14469EB3"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3</w:t>
            </w:r>
          </w:p>
        </w:tc>
        <w:tc>
          <w:tcPr>
            <w:tcW w:w="3138" w:type="dxa"/>
            <w:hideMark/>
          </w:tcPr>
          <w:p w14:paraId="7442F830"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3</w:t>
            </w:r>
          </w:p>
        </w:tc>
        <w:tc>
          <w:tcPr>
            <w:tcW w:w="5400" w:type="dxa"/>
            <w:hideMark/>
          </w:tcPr>
          <w:p w14:paraId="48384E5C"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AB4C94" w:rsidRPr="00853B64">
              <w:rPr>
                <w:rFonts w:ascii="Times New Roman" w:eastAsia="Times New Roman" w:hAnsi="Times New Roman" w:cs="Times New Roman"/>
                <w:kern w:val="0"/>
                <w:sz w:val="24"/>
                <w:szCs w:val="24"/>
              </w:rPr>
              <w:t xml:space="preserve">Rhizobium inoculation </w:t>
            </w:r>
            <w:r w:rsidRPr="00853B64">
              <w:rPr>
                <w:rFonts w:ascii="Times New Roman" w:eastAsia="Times New Roman" w:hAnsi="Times New Roman" w:cs="Times New Roman"/>
                <w:kern w:val="0"/>
                <w:sz w:val="24"/>
                <w:szCs w:val="24"/>
              </w:rPr>
              <w:t>(100 g per 500 g seeds)]</w:t>
            </w:r>
          </w:p>
          <w:p w14:paraId="33230241"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2A4CE253" w14:textId="77777777" w:rsidTr="00AB4C94">
        <w:tc>
          <w:tcPr>
            <w:tcW w:w="0" w:type="auto"/>
            <w:hideMark/>
          </w:tcPr>
          <w:p w14:paraId="474F5C5C"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4</w:t>
            </w:r>
          </w:p>
        </w:tc>
        <w:tc>
          <w:tcPr>
            <w:tcW w:w="3138" w:type="dxa"/>
            <w:hideMark/>
          </w:tcPr>
          <w:p w14:paraId="4A970A3E"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4</w:t>
            </w:r>
          </w:p>
        </w:tc>
        <w:tc>
          <w:tcPr>
            <w:tcW w:w="5400" w:type="dxa"/>
            <w:hideMark/>
          </w:tcPr>
          <w:p w14:paraId="1F70B7AE"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2A381E">
              <w:rPr>
                <w:rFonts w:ascii="Times New Roman" w:eastAsia="Times New Roman" w:hAnsi="Times New Roman" w:cs="Times New Roman"/>
                <w:kern w:val="0"/>
                <w:sz w:val="24"/>
                <w:szCs w:val="24"/>
              </w:rPr>
              <w:t xml:space="preserve">Nano </w:t>
            </w:r>
            <w:proofErr w:type="gramStart"/>
            <w:r w:rsidR="002A381E">
              <w:rPr>
                <w:rFonts w:ascii="Times New Roman" w:eastAsia="Times New Roman" w:hAnsi="Times New Roman" w:cs="Times New Roman"/>
                <w:kern w:val="0"/>
                <w:sz w:val="24"/>
                <w:szCs w:val="24"/>
              </w:rPr>
              <w:t>Nutrients(</w:t>
            </w:r>
            <w:proofErr w:type="gramEnd"/>
            <w:r w:rsidRPr="00853B64">
              <w:rPr>
                <w:rFonts w:ascii="Times New Roman" w:eastAsia="Times New Roman" w:hAnsi="Times New Roman" w:cs="Times New Roman"/>
                <w:kern w:val="0"/>
                <w:sz w:val="24"/>
                <w:szCs w:val="24"/>
              </w:rPr>
              <w:t>NPK</w:t>
            </w:r>
            <w:r w:rsidR="002A381E">
              <w:rPr>
                <w:rFonts w:ascii="Times New Roman" w:eastAsia="Times New Roman" w:hAnsi="Times New Roman" w:cs="Times New Roman"/>
                <w:kern w:val="0"/>
                <w:sz w:val="24"/>
                <w:szCs w:val="24"/>
              </w:rPr>
              <w:t>)</w:t>
            </w:r>
            <w:r w:rsidRPr="00853B64">
              <w:rPr>
                <w:rFonts w:ascii="Times New Roman" w:eastAsia="Times New Roman" w:hAnsi="Times New Roman" w:cs="Times New Roman"/>
                <w:kern w:val="0"/>
                <w:sz w:val="24"/>
                <w:szCs w:val="24"/>
              </w:rPr>
              <w:t xml:space="preserve">-(19:19:19) @ 1% </w:t>
            </w:r>
            <w:r w:rsidR="00AB4C94" w:rsidRPr="00853B64">
              <w:rPr>
                <w:rFonts w:ascii="Times New Roman" w:eastAsia="Times New Roman" w:hAnsi="Times New Roman" w:cs="Times New Roman"/>
                <w:kern w:val="0"/>
                <w:sz w:val="24"/>
                <w:szCs w:val="24"/>
              </w:rPr>
              <w:t>+ Rhizobium</w:t>
            </w:r>
            <w:r w:rsidRPr="00853B64">
              <w:rPr>
                <w:rFonts w:ascii="Times New Roman" w:eastAsia="Times New Roman" w:hAnsi="Times New Roman" w:cs="Times New Roman"/>
                <w:kern w:val="0"/>
                <w:sz w:val="24"/>
                <w:szCs w:val="24"/>
              </w:rPr>
              <w:t xml:space="preserve"> </w:t>
            </w:r>
            <w:proofErr w:type="gramStart"/>
            <w:r w:rsidRPr="00853B64">
              <w:rPr>
                <w:rFonts w:ascii="Times New Roman" w:eastAsia="Times New Roman" w:hAnsi="Times New Roman" w:cs="Times New Roman"/>
                <w:kern w:val="0"/>
                <w:sz w:val="24"/>
                <w:szCs w:val="24"/>
              </w:rPr>
              <w:t>inoculation(</w:t>
            </w:r>
            <w:proofErr w:type="gramEnd"/>
            <w:r w:rsidRPr="00853B64">
              <w:rPr>
                <w:rFonts w:ascii="Times New Roman" w:eastAsia="Times New Roman" w:hAnsi="Times New Roman" w:cs="Times New Roman"/>
                <w:kern w:val="0"/>
                <w:sz w:val="24"/>
                <w:szCs w:val="24"/>
              </w:rPr>
              <w:t>100 g per 500 g seeds)]</w:t>
            </w:r>
          </w:p>
          <w:p w14:paraId="424348CE"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56E6C11B" w14:textId="77777777" w:rsidTr="00AB4C94">
        <w:tc>
          <w:tcPr>
            <w:tcW w:w="0" w:type="auto"/>
            <w:hideMark/>
          </w:tcPr>
          <w:p w14:paraId="62935BAC"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5</w:t>
            </w:r>
          </w:p>
        </w:tc>
        <w:tc>
          <w:tcPr>
            <w:tcW w:w="3138" w:type="dxa"/>
            <w:hideMark/>
          </w:tcPr>
          <w:p w14:paraId="4A30C74D"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5</w:t>
            </w:r>
          </w:p>
        </w:tc>
        <w:tc>
          <w:tcPr>
            <w:tcW w:w="5400" w:type="dxa"/>
            <w:hideMark/>
          </w:tcPr>
          <w:p w14:paraId="4C5AAB71"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AB4C94" w:rsidRPr="00853B64">
              <w:rPr>
                <w:rFonts w:ascii="Times New Roman" w:eastAsia="Times New Roman" w:hAnsi="Times New Roman" w:cs="Times New Roman"/>
                <w:kern w:val="0"/>
                <w:sz w:val="24"/>
                <w:szCs w:val="24"/>
              </w:rPr>
              <w:t>Rhizobium</w:t>
            </w:r>
            <w:r w:rsidRPr="00853B64">
              <w:rPr>
                <w:rFonts w:ascii="Times New Roman" w:eastAsia="Times New Roman" w:hAnsi="Times New Roman" w:cs="Times New Roman"/>
                <w:kern w:val="0"/>
                <w:sz w:val="24"/>
                <w:szCs w:val="24"/>
              </w:rPr>
              <w:t xml:space="preserve"> inoculation-(100 g per 500 g seeds)</w:t>
            </w:r>
            <w:r w:rsidR="00AB4C94" w:rsidRPr="00853B64">
              <w:rPr>
                <w:rFonts w:ascii="Times New Roman" w:eastAsia="Times New Roman" w:hAnsi="Times New Roman" w:cs="Times New Roman"/>
                <w:kern w:val="0"/>
                <w:sz w:val="24"/>
                <w:szCs w:val="24"/>
              </w:rPr>
              <w:t xml:space="preserve"> + Nano</w:t>
            </w:r>
            <w:r w:rsidR="002A381E">
              <w:rPr>
                <w:rFonts w:ascii="Times New Roman" w:eastAsia="Times New Roman" w:hAnsi="Times New Roman" w:cs="Times New Roman"/>
                <w:kern w:val="0"/>
                <w:sz w:val="24"/>
                <w:szCs w:val="24"/>
              </w:rPr>
              <w:t xml:space="preserve"> </w:t>
            </w:r>
            <w:proofErr w:type="gramStart"/>
            <w:r w:rsidR="002A381E">
              <w:rPr>
                <w:rFonts w:ascii="Times New Roman" w:eastAsia="Times New Roman" w:hAnsi="Times New Roman" w:cs="Times New Roman"/>
                <w:kern w:val="0"/>
                <w:sz w:val="24"/>
                <w:szCs w:val="24"/>
              </w:rPr>
              <w:t>Nutrients(</w:t>
            </w:r>
            <w:proofErr w:type="gramEnd"/>
            <w:r w:rsidRPr="00853B64">
              <w:rPr>
                <w:rFonts w:ascii="Times New Roman" w:eastAsia="Times New Roman" w:hAnsi="Times New Roman" w:cs="Times New Roman"/>
                <w:kern w:val="0"/>
                <w:sz w:val="24"/>
                <w:szCs w:val="24"/>
              </w:rPr>
              <w:t>NPK</w:t>
            </w:r>
            <w:r w:rsidR="002A381E">
              <w:rPr>
                <w:rFonts w:ascii="Times New Roman" w:eastAsia="Times New Roman" w:hAnsi="Times New Roman" w:cs="Times New Roman"/>
                <w:kern w:val="0"/>
                <w:sz w:val="24"/>
                <w:szCs w:val="24"/>
              </w:rPr>
              <w:t>)</w:t>
            </w:r>
            <w:r w:rsidRPr="00853B64">
              <w:rPr>
                <w:rFonts w:ascii="Times New Roman" w:eastAsia="Times New Roman" w:hAnsi="Times New Roman" w:cs="Times New Roman"/>
                <w:kern w:val="0"/>
                <w:sz w:val="24"/>
                <w:szCs w:val="24"/>
              </w:rPr>
              <w:t>-(19:19:19) @ 1</w:t>
            </w:r>
            <w:proofErr w:type="gramStart"/>
            <w:r w:rsidRPr="00853B64">
              <w:rPr>
                <w:rFonts w:ascii="Times New Roman" w:eastAsia="Times New Roman" w:hAnsi="Times New Roman" w:cs="Times New Roman"/>
                <w:kern w:val="0"/>
                <w:sz w:val="24"/>
                <w:szCs w:val="24"/>
              </w:rPr>
              <w:t xml:space="preserve">% </w:t>
            </w:r>
            <w:r w:rsidR="00AB4C94" w:rsidRPr="00853B64">
              <w:rPr>
                <w:rFonts w:ascii="Times New Roman" w:eastAsia="Times New Roman" w:hAnsi="Times New Roman" w:cs="Times New Roman"/>
                <w:kern w:val="0"/>
                <w:sz w:val="24"/>
                <w:szCs w:val="24"/>
              </w:rPr>
              <w:t xml:space="preserve"> +</w:t>
            </w:r>
            <w:proofErr w:type="gramEnd"/>
            <w:r w:rsidR="00AB4C94" w:rsidRPr="00853B64">
              <w:rPr>
                <w:rFonts w:ascii="Times New Roman" w:eastAsia="Times New Roman" w:hAnsi="Times New Roman" w:cs="Times New Roman"/>
                <w:kern w:val="0"/>
                <w:sz w:val="24"/>
                <w:szCs w:val="24"/>
              </w:rPr>
              <w:t xml:space="preserve"> Organic </w:t>
            </w:r>
            <w:proofErr w:type="gramStart"/>
            <w:r w:rsidR="00AB4C94" w:rsidRPr="00853B64">
              <w:rPr>
                <w:rFonts w:ascii="Times New Roman" w:eastAsia="Times New Roman" w:hAnsi="Times New Roman" w:cs="Times New Roman"/>
                <w:kern w:val="0"/>
                <w:sz w:val="24"/>
                <w:szCs w:val="24"/>
              </w:rPr>
              <w:t>manure(</w:t>
            </w:r>
            <w:proofErr w:type="gramEnd"/>
            <w:r w:rsidR="00AB4C94" w:rsidRPr="00853B64">
              <w:rPr>
                <w:rFonts w:ascii="Times New Roman" w:eastAsia="Times New Roman" w:hAnsi="Times New Roman" w:cs="Times New Roman"/>
                <w:kern w:val="0"/>
                <w:sz w:val="24"/>
                <w:szCs w:val="24"/>
              </w:rPr>
              <w:t>FYM)-</w:t>
            </w:r>
            <w:r w:rsidRPr="00853B64">
              <w:rPr>
                <w:rFonts w:ascii="Times New Roman" w:eastAsia="Times New Roman" w:hAnsi="Times New Roman" w:cs="Times New Roman"/>
                <w:kern w:val="0"/>
                <w:sz w:val="24"/>
                <w:szCs w:val="24"/>
              </w:rPr>
              <w:t>10.</w:t>
            </w:r>
            <w:r w:rsidR="00AB4C94" w:rsidRPr="00853B64">
              <w:rPr>
                <w:rFonts w:ascii="Times New Roman" w:eastAsia="Times New Roman" w:hAnsi="Times New Roman" w:cs="Times New Roman"/>
                <w:kern w:val="0"/>
                <w:sz w:val="24"/>
                <w:szCs w:val="24"/>
              </w:rPr>
              <w:t>5kg</w:t>
            </w:r>
            <w:r w:rsidRPr="00853B64">
              <w:rPr>
                <w:rFonts w:ascii="Times New Roman" w:eastAsia="Times New Roman" w:hAnsi="Times New Roman" w:cs="Times New Roman"/>
                <w:kern w:val="0"/>
                <w:sz w:val="24"/>
                <w:szCs w:val="24"/>
              </w:rPr>
              <w:t xml:space="preserve"> per plot]</w:t>
            </w:r>
          </w:p>
          <w:p w14:paraId="4D6FD90E"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7C1E22B5" w14:textId="77777777" w:rsidTr="00AB4C94">
        <w:tc>
          <w:tcPr>
            <w:tcW w:w="0" w:type="auto"/>
            <w:hideMark/>
          </w:tcPr>
          <w:p w14:paraId="6D8B0C89"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6</w:t>
            </w:r>
          </w:p>
        </w:tc>
        <w:tc>
          <w:tcPr>
            <w:tcW w:w="3138" w:type="dxa"/>
            <w:hideMark/>
          </w:tcPr>
          <w:p w14:paraId="0A6CDAE9" w14:textId="77777777" w:rsidR="00AB4C94" w:rsidRPr="00853B64" w:rsidRDefault="00AB4C9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w:t>
            </w:r>
            <w:r w:rsidRPr="00853B64">
              <w:rPr>
                <w:rFonts w:ascii="Times New Roman" w:eastAsia="Times New Roman" w:hAnsi="Times New Roman" w:cs="Times New Roman"/>
                <w:kern w:val="0"/>
                <w:sz w:val="24"/>
                <w:szCs w:val="24"/>
                <w:vertAlign w:val="subscript"/>
              </w:rPr>
              <w:t>6</w:t>
            </w:r>
          </w:p>
        </w:tc>
        <w:tc>
          <w:tcPr>
            <w:tcW w:w="5400" w:type="dxa"/>
            <w:hideMark/>
          </w:tcPr>
          <w:p w14:paraId="0D16C8EE" w14:textId="77777777" w:rsidR="00AB4C94" w:rsidRPr="00853B64" w:rsidRDefault="00853B64" w:rsidP="00853B64">
            <w:pPr>
              <w:jc w:val="center"/>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w:t>
            </w:r>
            <w:r w:rsidR="00AB4C94" w:rsidRPr="00853B64">
              <w:rPr>
                <w:rFonts w:ascii="Times New Roman" w:eastAsia="Times New Roman" w:hAnsi="Times New Roman" w:cs="Times New Roman"/>
                <w:kern w:val="0"/>
                <w:sz w:val="24"/>
                <w:szCs w:val="24"/>
              </w:rPr>
              <w:t>Rhizobium</w:t>
            </w:r>
            <w:r w:rsidRPr="00853B64">
              <w:rPr>
                <w:rFonts w:ascii="Times New Roman" w:eastAsia="Times New Roman" w:hAnsi="Times New Roman" w:cs="Times New Roman"/>
                <w:kern w:val="0"/>
                <w:sz w:val="24"/>
                <w:szCs w:val="24"/>
              </w:rPr>
              <w:t xml:space="preserve"> inoculation-(100 g per 500 g seeds)</w:t>
            </w:r>
            <w:r w:rsidR="00AB4C94" w:rsidRPr="00853B64">
              <w:rPr>
                <w:rFonts w:ascii="Times New Roman" w:eastAsia="Times New Roman" w:hAnsi="Times New Roman" w:cs="Times New Roman"/>
                <w:kern w:val="0"/>
                <w:sz w:val="24"/>
                <w:szCs w:val="24"/>
              </w:rPr>
              <w:t xml:space="preserve"> + Organic </w:t>
            </w:r>
            <w:proofErr w:type="gramStart"/>
            <w:r w:rsidR="00AB4C94" w:rsidRPr="00853B64">
              <w:rPr>
                <w:rFonts w:ascii="Times New Roman" w:eastAsia="Times New Roman" w:hAnsi="Times New Roman" w:cs="Times New Roman"/>
                <w:kern w:val="0"/>
                <w:sz w:val="24"/>
                <w:szCs w:val="24"/>
              </w:rPr>
              <w:t>manure</w:t>
            </w:r>
            <w:r w:rsidRPr="00853B64">
              <w:rPr>
                <w:rFonts w:ascii="Times New Roman" w:eastAsia="Times New Roman" w:hAnsi="Times New Roman" w:cs="Times New Roman"/>
                <w:kern w:val="0"/>
                <w:sz w:val="24"/>
                <w:szCs w:val="24"/>
              </w:rPr>
              <w:t>(</w:t>
            </w:r>
            <w:proofErr w:type="gramEnd"/>
            <w:r w:rsidRPr="00853B64">
              <w:rPr>
                <w:rFonts w:ascii="Times New Roman" w:eastAsia="Times New Roman" w:hAnsi="Times New Roman" w:cs="Times New Roman"/>
                <w:kern w:val="0"/>
                <w:sz w:val="24"/>
                <w:szCs w:val="24"/>
              </w:rPr>
              <w:t>FYM)-10.5kg per plot]</w:t>
            </w:r>
          </w:p>
          <w:p w14:paraId="3E271359" w14:textId="77777777" w:rsidR="00853B64" w:rsidRPr="00853B64" w:rsidRDefault="00853B64" w:rsidP="00853B64">
            <w:pPr>
              <w:jc w:val="center"/>
              <w:rPr>
                <w:rFonts w:ascii="Times New Roman" w:eastAsia="Times New Roman" w:hAnsi="Times New Roman" w:cs="Times New Roman"/>
                <w:kern w:val="0"/>
                <w:sz w:val="24"/>
                <w:szCs w:val="24"/>
              </w:rPr>
            </w:pPr>
          </w:p>
        </w:tc>
      </w:tr>
      <w:tr w:rsidR="00AB4C94" w:rsidRPr="00853B64" w14:paraId="28797C99" w14:textId="77777777" w:rsidTr="00AB4C94">
        <w:tc>
          <w:tcPr>
            <w:tcW w:w="0" w:type="auto"/>
            <w:hideMark/>
          </w:tcPr>
          <w:p w14:paraId="2B2670BE" w14:textId="77777777" w:rsidR="00AB4C94" w:rsidRPr="00853B64" w:rsidRDefault="00AB4C94" w:rsidP="007D360F">
            <w:pPr>
              <w:jc w:val="both"/>
              <w:rPr>
                <w:rFonts w:ascii="Times New Roman" w:eastAsia="Times New Roman" w:hAnsi="Times New Roman" w:cs="Times New Roman"/>
                <w:kern w:val="0"/>
                <w:sz w:val="24"/>
                <w:szCs w:val="24"/>
              </w:rPr>
            </w:pPr>
          </w:p>
        </w:tc>
        <w:tc>
          <w:tcPr>
            <w:tcW w:w="3138" w:type="dxa"/>
            <w:hideMark/>
          </w:tcPr>
          <w:p w14:paraId="7CBFED94" w14:textId="77777777" w:rsidR="00AB4C94" w:rsidRPr="00853B64" w:rsidRDefault="00AB4C94" w:rsidP="007D360F">
            <w:pPr>
              <w:jc w:val="both"/>
              <w:rPr>
                <w:rFonts w:ascii="Times New Roman" w:eastAsia="Times New Roman" w:hAnsi="Times New Roman" w:cs="Times New Roman"/>
                <w:kern w:val="0"/>
                <w:sz w:val="24"/>
                <w:szCs w:val="24"/>
              </w:rPr>
            </w:pPr>
          </w:p>
        </w:tc>
        <w:tc>
          <w:tcPr>
            <w:tcW w:w="5400" w:type="dxa"/>
            <w:hideMark/>
          </w:tcPr>
          <w:p w14:paraId="6A0A4EAF" w14:textId="77777777" w:rsidR="00AB4C94" w:rsidRPr="00853B64" w:rsidRDefault="00AB4C94" w:rsidP="007D360F">
            <w:pPr>
              <w:jc w:val="both"/>
              <w:rPr>
                <w:rFonts w:ascii="Times New Roman" w:eastAsia="Times New Roman" w:hAnsi="Times New Roman" w:cs="Times New Roman"/>
                <w:kern w:val="0"/>
                <w:sz w:val="24"/>
                <w:szCs w:val="24"/>
              </w:rPr>
            </w:pPr>
          </w:p>
        </w:tc>
      </w:tr>
    </w:tbl>
    <w:p w14:paraId="57ADB812" w14:textId="77777777" w:rsidR="00AB4C94" w:rsidRPr="00853B64" w:rsidRDefault="00AB4C94" w:rsidP="007D360F">
      <w:pPr>
        <w:spacing w:line="240" w:lineRule="auto"/>
        <w:jc w:val="both"/>
        <w:rPr>
          <w:rFonts w:ascii="Times New Roman" w:hAnsi="Times New Roman" w:cs="Times New Roman"/>
          <w:sz w:val="24"/>
          <w:szCs w:val="24"/>
        </w:rPr>
      </w:pPr>
    </w:p>
    <w:p w14:paraId="3E7B771C" w14:textId="77777777" w:rsidR="00AB4C94" w:rsidRPr="00853B6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2.2 </w:t>
      </w:r>
      <w:r w:rsidR="00AB4C94" w:rsidRPr="00853B64">
        <w:rPr>
          <w:rFonts w:ascii="Times New Roman" w:eastAsia="Times New Roman" w:hAnsi="Times New Roman" w:cs="Times New Roman"/>
          <w:b/>
          <w:bCs/>
          <w:kern w:val="0"/>
          <w:sz w:val="24"/>
          <w:szCs w:val="24"/>
        </w:rPr>
        <w:t>Field Parameters</w:t>
      </w:r>
    </w:p>
    <w:p w14:paraId="21954E95" w14:textId="71E940CC" w:rsidR="00AB4C9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 xml:space="preserve">Growth and yield parameters were recorded at 15, 30, </w:t>
      </w:r>
      <w:r w:rsidR="008F6800">
        <w:rPr>
          <w:rFonts w:ascii="Times New Roman" w:eastAsia="Times New Roman" w:hAnsi="Times New Roman" w:cs="Times New Roman"/>
          <w:kern w:val="0"/>
          <w:sz w:val="24"/>
          <w:szCs w:val="24"/>
        </w:rPr>
        <w:t xml:space="preserve">and </w:t>
      </w:r>
      <w:r w:rsidRPr="00853B64">
        <w:rPr>
          <w:rFonts w:ascii="Times New Roman" w:eastAsia="Times New Roman" w:hAnsi="Times New Roman" w:cs="Times New Roman"/>
          <w:kern w:val="0"/>
          <w:sz w:val="24"/>
          <w:szCs w:val="24"/>
        </w:rPr>
        <w:t>45</w:t>
      </w:r>
      <w:r w:rsidR="008F6800">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days after sowing (DAS) to evaluate the developmental progress of the pea plants under different treatment conditions. Plant height (in c</w:t>
      </w:r>
      <w:r w:rsidR="00123A92">
        <w:rPr>
          <w:rFonts w:ascii="Times New Roman" w:eastAsia="Times New Roman" w:hAnsi="Times New Roman" w:cs="Times New Roman"/>
          <w:kern w:val="0"/>
          <w:sz w:val="24"/>
          <w:szCs w:val="24"/>
        </w:rPr>
        <w:t>m</w:t>
      </w:r>
      <w:r w:rsidRPr="00853B64">
        <w:rPr>
          <w:rFonts w:ascii="Times New Roman" w:eastAsia="Times New Roman" w:hAnsi="Times New Roman" w:cs="Times New Roman"/>
          <w:kern w:val="0"/>
          <w:sz w:val="24"/>
          <w:szCs w:val="24"/>
        </w:rPr>
        <w:t xml:space="preserve">) was measured using a standard measuring scale from the base to the apex of the main stem. Simultaneously, observations were made on the number of leaves and </w:t>
      </w:r>
      <w:r w:rsidR="00123A92">
        <w:rPr>
          <w:rFonts w:ascii="Times New Roman" w:eastAsia="Times New Roman" w:hAnsi="Times New Roman" w:cs="Times New Roman"/>
          <w:kern w:val="0"/>
          <w:sz w:val="24"/>
          <w:szCs w:val="24"/>
        </w:rPr>
        <w:t xml:space="preserve">the </w:t>
      </w:r>
      <w:r w:rsidRPr="00853B64">
        <w:rPr>
          <w:rFonts w:ascii="Times New Roman" w:eastAsia="Times New Roman" w:hAnsi="Times New Roman" w:cs="Times New Roman"/>
          <w:kern w:val="0"/>
          <w:sz w:val="24"/>
          <w:szCs w:val="24"/>
        </w:rPr>
        <w:t>number of branches per plant to assess vegetative vigor.</w:t>
      </w:r>
      <w:r w:rsidR="008C6D1C" w:rsidRPr="00853B64">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 xml:space="preserve">To further evaluate plant growth and biomass accumulation, measurements of shoot and root lengths were taken, and the respective fresh and dry weights were recorded for biomass estimation. For yield assessment, </w:t>
      </w:r>
      <w:r w:rsidR="00123A92">
        <w:rPr>
          <w:rFonts w:ascii="Times New Roman" w:eastAsia="Times New Roman" w:hAnsi="Times New Roman" w:cs="Times New Roman"/>
          <w:kern w:val="0"/>
          <w:sz w:val="24"/>
          <w:szCs w:val="24"/>
        </w:rPr>
        <w:t xml:space="preserve">parameters include the </w:t>
      </w:r>
      <w:r w:rsidRPr="00853B64">
        <w:rPr>
          <w:rFonts w:ascii="Times New Roman" w:eastAsia="Times New Roman" w:hAnsi="Times New Roman" w:cs="Times New Roman"/>
          <w:kern w:val="0"/>
          <w:sz w:val="24"/>
          <w:szCs w:val="24"/>
        </w:rPr>
        <w:t xml:space="preserve">number of pods per plant, </w:t>
      </w:r>
      <w:r w:rsidR="00123A92">
        <w:rPr>
          <w:rFonts w:ascii="Times New Roman" w:eastAsia="Times New Roman" w:hAnsi="Times New Roman" w:cs="Times New Roman"/>
          <w:kern w:val="0"/>
          <w:sz w:val="24"/>
          <w:szCs w:val="24"/>
        </w:rPr>
        <w:t xml:space="preserve">the </w:t>
      </w:r>
      <w:r w:rsidRPr="00853B64">
        <w:rPr>
          <w:rFonts w:ascii="Times New Roman" w:eastAsia="Times New Roman" w:hAnsi="Times New Roman" w:cs="Times New Roman"/>
          <w:kern w:val="0"/>
          <w:sz w:val="24"/>
          <w:szCs w:val="24"/>
        </w:rPr>
        <w:t xml:space="preserve">number of seeds per pod, and </w:t>
      </w:r>
      <w:r w:rsidR="00123A92">
        <w:rPr>
          <w:rFonts w:ascii="Times New Roman" w:eastAsia="Times New Roman" w:hAnsi="Times New Roman" w:cs="Times New Roman"/>
          <w:kern w:val="0"/>
          <w:sz w:val="24"/>
          <w:szCs w:val="24"/>
        </w:rPr>
        <w:t xml:space="preserve">test weight. </w:t>
      </w:r>
      <w:r w:rsidRPr="00853B64">
        <w:rPr>
          <w:rFonts w:ascii="Times New Roman" w:eastAsia="Times New Roman" w:hAnsi="Times New Roman" w:cs="Times New Roman"/>
          <w:kern w:val="0"/>
          <w:sz w:val="24"/>
          <w:szCs w:val="24"/>
        </w:rPr>
        <w:t>Additionally, the total grain yield per plot was calculated and expressed in kilograms per hectare to determine the impact of treatments on crop productivity.</w:t>
      </w:r>
    </w:p>
    <w:p w14:paraId="77F462B2" w14:textId="77777777" w:rsidR="00AB4C94" w:rsidRPr="00853B6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 xml:space="preserve">2.3 </w:t>
      </w:r>
      <w:r w:rsidR="00AB4C94" w:rsidRPr="00853B64">
        <w:rPr>
          <w:rFonts w:ascii="Times New Roman" w:eastAsia="Times New Roman" w:hAnsi="Times New Roman" w:cs="Times New Roman"/>
          <w:b/>
          <w:bCs/>
          <w:kern w:val="0"/>
          <w:sz w:val="24"/>
          <w:szCs w:val="24"/>
        </w:rPr>
        <w:t>Chlorophyll Content Estimation</w:t>
      </w:r>
    </w:p>
    <w:p w14:paraId="757B4C2F" w14:textId="60926385" w:rsidR="00AB4C9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lastRenderedPageBreak/>
        <w:t xml:space="preserve">Chlorophyll content in pea leaves </w:t>
      </w:r>
      <w:r w:rsidR="008F6800">
        <w:rPr>
          <w:rFonts w:ascii="Times New Roman" w:eastAsia="Times New Roman" w:hAnsi="Times New Roman" w:cs="Times New Roman"/>
          <w:kern w:val="0"/>
          <w:sz w:val="24"/>
          <w:szCs w:val="24"/>
        </w:rPr>
        <w:t>was</w:t>
      </w:r>
      <w:r w:rsidRPr="00853B64">
        <w:rPr>
          <w:rFonts w:ascii="Times New Roman" w:eastAsia="Times New Roman" w:hAnsi="Times New Roman" w:cs="Times New Roman"/>
          <w:kern w:val="0"/>
          <w:sz w:val="24"/>
          <w:szCs w:val="24"/>
        </w:rPr>
        <w:t xml:space="preserve"> analyzed during the vegetative stage using a standardized laboratory procedure. Fresh, healthy leaf samples were collected from each treatment plot and promptly transferred to the laboratory. To remove any adhering dust and contaminants, the leaves were thoroughly washed with distilled water.</w:t>
      </w:r>
      <w:r w:rsidR="008C6D1C" w:rsidRPr="00853B64">
        <w:rPr>
          <w:rFonts w:ascii="Times New Roman" w:eastAsia="Times New Roman" w:hAnsi="Times New Roman" w:cs="Times New Roman"/>
          <w:kern w:val="0"/>
          <w:sz w:val="24"/>
          <w:szCs w:val="24"/>
        </w:rPr>
        <w:t xml:space="preserve"> A </w:t>
      </w:r>
      <w:r w:rsidRPr="00853B64">
        <w:rPr>
          <w:rFonts w:ascii="Times New Roman" w:eastAsia="Times New Roman" w:hAnsi="Times New Roman" w:cs="Times New Roman"/>
          <w:kern w:val="0"/>
          <w:sz w:val="24"/>
          <w:szCs w:val="24"/>
        </w:rPr>
        <w:t>sample of 0.5 grams of leaf tissue was weighed and homogenized using 80% acetone to extract chlorophyll pigments. The homogenate was then centrifuged to separate the supernatant, which was used for spectrophotometer analysis. Absorbance readings were taken at 645 nm</w:t>
      </w:r>
      <w:r w:rsidR="008F6800">
        <w:rPr>
          <w:rFonts w:ascii="Times New Roman" w:eastAsia="Times New Roman" w:hAnsi="Times New Roman" w:cs="Times New Roman"/>
          <w:kern w:val="0"/>
          <w:sz w:val="24"/>
          <w:szCs w:val="24"/>
        </w:rPr>
        <w:t xml:space="preserve"> and </w:t>
      </w:r>
      <w:r w:rsidRPr="00853B64">
        <w:rPr>
          <w:rFonts w:ascii="Times New Roman" w:eastAsia="Times New Roman" w:hAnsi="Times New Roman" w:cs="Times New Roman"/>
          <w:kern w:val="0"/>
          <w:sz w:val="24"/>
          <w:szCs w:val="24"/>
        </w:rPr>
        <w:t>663 nm</w:t>
      </w:r>
      <w:r w:rsidR="008F6800">
        <w:rPr>
          <w:rFonts w:ascii="Times New Roman" w:eastAsia="Times New Roman" w:hAnsi="Times New Roman" w:cs="Times New Roman"/>
          <w:kern w:val="0"/>
          <w:sz w:val="24"/>
          <w:szCs w:val="24"/>
        </w:rPr>
        <w:t xml:space="preserve"> </w:t>
      </w:r>
      <w:r w:rsidRPr="00853B64">
        <w:rPr>
          <w:rFonts w:ascii="Times New Roman" w:eastAsia="Times New Roman" w:hAnsi="Times New Roman" w:cs="Times New Roman"/>
          <w:kern w:val="0"/>
          <w:sz w:val="24"/>
          <w:szCs w:val="24"/>
        </w:rPr>
        <w:t>using a UV-visible spectrophotometer.</w:t>
      </w:r>
    </w:p>
    <w:p w14:paraId="16269B4A" w14:textId="6B00DED9" w:rsidR="00AB4C9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The total chlorophyll content was calculated using Arnon’s modified formula (1949) as follows:</w:t>
      </w:r>
    </w:p>
    <w:p w14:paraId="6220353B" w14:textId="77777777" w:rsidR="00AB4C94" w:rsidRPr="00853B64" w:rsidRDefault="00AB4C94" w:rsidP="007D360F">
      <w:pPr>
        <w:spacing w:before="100" w:beforeAutospacing="1" w:after="100" w:afterAutospacing="1" w:line="240" w:lineRule="auto"/>
        <w:jc w:val="both"/>
        <w:rPr>
          <w:rFonts w:ascii="Times New Roman" w:eastAsia="Times New Roman" w:hAnsi="Times New Roman" w:cs="Times New Roman"/>
          <w:kern w:val="0"/>
          <w:sz w:val="24"/>
          <w:szCs w:val="24"/>
        </w:rPr>
      </w:pPr>
      <w:r w:rsidRPr="00853B64">
        <w:rPr>
          <w:rFonts w:ascii="Times New Roman" w:eastAsia="Times New Roman" w:hAnsi="Times New Roman" w:cs="Times New Roman"/>
          <w:kern w:val="0"/>
          <w:sz w:val="24"/>
          <w:szCs w:val="24"/>
        </w:rPr>
        <w:t>Total Chlorophyll (mg/g FW) = [(22.2 × A</w:t>
      </w:r>
      <w:r w:rsidRPr="008F6800">
        <w:rPr>
          <w:rFonts w:ascii="Times New Roman" w:eastAsia="Times New Roman" w:hAnsi="Times New Roman" w:cs="Times New Roman"/>
          <w:kern w:val="0"/>
          <w:sz w:val="24"/>
          <w:szCs w:val="24"/>
          <w:vertAlign w:val="subscript"/>
        </w:rPr>
        <w:t>645</w:t>
      </w:r>
      <w:r w:rsidRPr="00853B64">
        <w:rPr>
          <w:rFonts w:ascii="Times New Roman" w:eastAsia="Times New Roman" w:hAnsi="Times New Roman" w:cs="Times New Roman"/>
          <w:kern w:val="0"/>
          <w:sz w:val="24"/>
          <w:szCs w:val="24"/>
        </w:rPr>
        <w:t>) + (8.02 × A</w:t>
      </w:r>
      <w:r w:rsidRPr="008F6800">
        <w:rPr>
          <w:rFonts w:ascii="Times New Roman" w:eastAsia="Times New Roman" w:hAnsi="Times New Roman" w:cs="Times New Roman"/>
          <w:kern w:val="0"/>
          <w:sz w:val="24"/>
          <w:szCs w:val="24"/>
          <w:vertAlign w:val="subscript"/>
        </w:rPr>
        <w:t>663</w:t>
      </w:r>
      <w:r w:rsidRPr="00853B64">
        <w:rPr>
          <w:rFonts w:ascii="Times New Roman" w:eastAsia="Times New Roman" w:hAnsi="Times New Roman" w:cs="Times New Roman"/>
          <w:kern w:val="0"/>
          <w:sz w:val="24"/>
          <w:szCs w:val="24"/>
        </w:rPr>
        <w:t>)] × V / (W × 1000)</w:t>
      </w:r>
    </w:p>
    <w:p w14:paraId="08A6FFFD" w14:textId="77777777" w:rsidR="00AB4C94" w:rsidRPr="00853B64" w:rsidRDefault="00AB4C94" w:rsidP="007D360F">
      <w:pPr>
        <w:pStyle w:val="NormalWeb"/>
        <w:jc w:val="both"/>
      </w:pPr>
      <w:r w:rsidRPr="00853B64">
        <w:t>Where:</w:t>
      </w:r>
    </w:p>
    <w:p w14:paraId="09B74170" w14:textId="77777777" w:rsidR="00AB4C94" w:rsidRPr="00853B64" w:rsidRDefault="00AB4C94" w:rsidP="007D360F">
      <w:pPr>
        <w:pStyle w:val="NormalWeb"/>
        <w:numPr>
          <w:ilvl w:val="0"/>
          <w:numId w:val="1"/>
        </w:numPr>
        <w:jc w:val="both"/>
      </w:pPr>
      <w:r w:rsidRPr="00853B64">
        <w:rPr>
          <w:rStyle w:val="Emphasis"/>
          <w:i w:val="0"/>
          <w:iCs w:val="0"/>
        </w:rPr>
        <w:t>A</w:t>
      </w:r>
      <w:r w:rsidRPr="008F6800">
        <w:rPr>
          <w:rStyle w:val="Emphasis"/>
          <w:i w:val="0"/>
          <w:iCs w:val="0"/>
          <w:vertAlign w:val="subscript"/>
        </w:rPr>
        <w:t>645</w:t>
      </w:r>
      <w:r w:rsidRPr="00853B64">
        <w:rPr>
          <w:i/>
          <w:iCs/>
        </w:rPr>
        <w:t xml:space="preserve"> </w:t>
      </w:r>
      <w:r w:rsidRPr="00853B64">
        <w:t xml:space="preserve">and </w:t>
      </w:r>
      <w:r w:rsidRPr="00853B64">
        <w:rPr>
          <w:rStyle w:val="Emphasis"/>
          <w:i w:val="0"/>
          <w:iCs w:val="0"/>
        </w:rPr>
        <w:t>A</w:t>
      </w:r>
      <w:r w:rsidRPr="008F6800">
        <w:rPr>
          <w:rStyle w:val="Emphasis"/>
          <w:i w:val="0"/>
          <w:iCs w:val="0"/>
          <w:vertAlign w:val="subscript"/>
        </w:rPr>
        <w:t>663</w:t>
      </w:r>
      <w:r w:rsidRPr="00853B64">
        <w:rPr>
          <w:i/>
          <w:iCs/>
        </w:rPr>
        <w:t xml:space="preserve"> </w:t>
      </w:r>
      <w:r w:rsidRPr="00853B64">
        <w:t>represent absorbance values at 645 nm and 663 nm, respectively,</w:t>
      </w:r>
    </w:p>
    <w:p w14:paraId="565625D3" w14:textId="77777777" w:rsidR="00AB4C94" w:rsidRPr="00853B64" w:rsidRDefault="00AB4C94" w:rsidP="007D360F">
      <w:pPr>
        <w:pStyle w:val="NormalWeb"/>
        <w:numPr>
          <w:ilvl w:val="0"/>
          <w:numId w:val="1"/>
        </w:numPr>
        <w:jc w:val="both"/>
      </w:pPr>
      <w:r w:rsidRPr="00853B64">
        <w:rPr>
          <w:rStyle w:val="Emphasis"/>
          <w:i w:val="0"/>
          <w:iCs w:val="0"/>
        </w:rPr>
        <w:t>V</w:t>
      </w:r>
      <w:r w:rsidRPr="00853B64">
        <w:rPr>
          <w:i/>
          <w:iCs/>
        </w:rPr>
        <w:t xml:space="preserve"> </w:t>
      </w:r>
      <w:r w:rsidRPr="00853B64">
        <w:t>is the volume of the extract in milliliters,</w:t>
      </w:r>
    </w:p>
    <w:p w14:paraId="41F5FC13" w14:textId="47376294" w:rsidR="00AB4C94" w:rsidRPr="00853B64" w:rsidRDefault="00AB4C94" w:rsidP="007D360F">
      <w:pPr>
        <w:pStyle w:val="NormalWeb"/>
        <w:numPr>
          <w:ilvl w:val="0"/>
          <w:numId w:val="1"/>
        </w:numPr>
        <w:jc w:val="both"/>
      </w:pPr>
      <w:r w:rsidRPr="00853B64">
        <w:rPr>
          <w:rStyle w:val="Emphasis"/>
          <w:i w:val="0"/>
          <w:iCs w:val="0"/>
        </w:rPr>
        <w:t>W</w:t>
      </w:r>
      <w:r w:rsidRPr="00853B64">
        <w:t xml:space="preserve"> is the fresh weight of the leaf tissue </w:t>
      </w:r>
      <w:r w:rsidR="008F6800">
        <w:t>(</w:t>
      </w:r>
      <w:r w:rsidRPr="00853B64">
        <w:t>g</w:t>
      </w:r>
      <w:r w:rsidR="008F6800">
        <w:t>)</w:t>
      </w:r>
      <w:r w:rsidRPr="00853B64">
        <w:t>.</w:t>
      </w:r>
    </w:p>
    <w:p w14:paraId="14D43860" w14:textId="77777777" w:rsidR="00E618EF" w:rsidRPr="00853B64" w:rsidRDefault="00E618EF" w:rsidP="007D360F">
      <w:pPr>
        <w:pStyle w:val="NormalWeb"/>
        <w:spacing w:before="0" w:beforeAutospacing="0" w:after="0" w:afterAutospacing="0"/>
        <w:jc w:val="both"/>
        <w:rPr>
          <w:rStyle w:val="Strong"/>
          <w:color w:val="0E101A"/>
        </w:rPr>
      </w:pPr>
    </w:p>
    <w:p w14:paraId="2C837BB1" w14:textId="77777777" w:rsidR="00E618EF" w:rsidRPr="00853B64" w:rsidRDefault="00E618EF" w:rsidP="007D360F">
      <w:pPr>
        <w:pStyle w:val="NormalWeb"/>
        <w:spacing w:before="0" w:beforeAutospacing="0" w:after="0" w:afterAutospacing="0"/>
        <w:jc w:val="both"/>
        <w:rPr>
          <w:rStyle w:val="Strong"/>
          <w:color w:val="0E101A"/>
        </w:rPr>
      </w:pPr>
      <w:r w:rsidRPr="00853B64">
        <w:rPr>
          <w:rStyle w:val="Strong"/>
          <w:color w:val="0E101A"/>
        </w:rPr>
        <w:t>3. Results</w:t>
      </w:r>
      <w:r w:rsidR="0020566E" w:rsidRPr="00853B64">
        <w:rPr>
          <w:rStyle w:val="Strong"/>
          <w:color w:val="0E101A"/>
        </w:rPr>
        <w:t xml:space="preserve"> and discussion</w:t>
      </w:r>
      <w:r w:rsidRPr="00853B64">
        <w:rPr>
          <w:rStyle w:val="Strong"/>
          <w:color w:val="0E101A"/>
        </w:rPr>
        <w:t>:</w:t>
      </w:r>
    </w:p>
    <w:p w14:paraId="4B2CED59" w14:textId="77777777" w:rsidR="00E618EF" w:rsidRPr="00853B64" w:rsidRDefault="00E618EF" w:rsidP="007D360F">
      <w:pPr>
        <w:pStyle w:val="NormalWeb"/>
        <w:spacing w:before="0" w:beforeAutospacing="0" w:after="0" w:afterAutospacing="0"/>
        <w:jc w:val="both"/>
        <w:rPr>
          <w:b/>
          <w:bCs/>
          <w:color w:val="0E101A"/>
        </w:rPr>
      </w:pPr>
    </w:p>
    <w:p w14:paraId="159A4414" w14:textId="77777777" w:rsidR="00AB4C94" w:rsidRPr="00853B64" w:rsidRDefault="00E618EF" w:rsidP="007D360F">
      <w:pPr>
        <w:pStyle w:val="NormalWeb"/>
        <w:spacing w:before="0" w:beforeAutospacing="0" w:after="0" w:afterAutospacing="0"/>
        <w:jc w:val="both"/>
        <w:rPr>
          <w:b/>
          <w:bCs/>
          <w:color w:val="0E101A"/>
        </w:rPr>
      </w:pPr>
      <w:r w:rsidRPr="00853B64">
        <w:rPr>
          <w:rStyle w:val="Strong"/>
          <w:color w:val="0E101A"/>
        </w:rPr>
        <w:t>3.1. Growth Parameter:</w:t>
      </w:r>
    </w:p>
    <w:p w14:paraId="5A327773" w14:textId="629E3A79" w:rsidR="00E618EF" w:rsidRPr="00853B64" w:rsidRDefault="00E618EF" w:rsidP="007D360F">
      <w:pPr>
        <w:pStyle w:val="NormalWeb"/>
        <w:jc w:val="both"/>
      </w:pPr>
      <w:r w:rsidRPr="00853B64">
        <w:t xml:space="preserve">   Plant height in </w:t>
      </w:r>
      <w:r w:rsidRPr="00853B64">
        <w:rPr>
          <w:rStyle w:val="Emphasis"/>
        </w:rPr>
        <w:t>Pisum sativum</w:t>
      </w:r>
      <w:r w:rsidRPr="00853B64">
        <w:t xml:space="preserve"> L. showed significant variation among the six treatments from 15 to 45 DAS, reflecting the impact of different nutrient management practices during the early vegetative phase. At 15 DAS, treatment T</w:t>
      </w:r>
      <w:r w:rsidRPr="00853B64">
        <w:rPr>
          <w:vertAlign w:val="subscript"/>
        </w:rPr>
        <w:t>6</w:t>
      </w:r>
      <w:r w:rsidRPr="00853B64">
        <w:t>, which combined Rhizobium inoculation, nano nutrients, and organic manure, recorded the highest plant height (12.0 cm), followed by T</w:t>
      </w:r>
      <w:r w:rsidRPr="00853B64">
        <w:rPr>
          <w:vertAlign w:val="subscript"/>
        </w:rPr>
        <w:t>5</w:t>
      </w:r>
      <w:r w:rsidRPr="00853B64">
        <w:t xml:space="preserve"> (9.5 cm), T</w:t>
      </w:r>
      <w:r w:rsidRPr="00853B64">
        <w:rPr>
          <w:vertAlign w:val="subscript"/>
        </w:rPr>
        <w:t>4</w:t>
      </w:r>
      <w:r w:rsidRPr="00853B64">
        <w:t xml:space="preserve"> (9.0 cm), T</w:t>
      </w:r>
      <w:r w:rsidRPr="00853B64">
        <w:rPr>
          <w:vertAlign w:val="subscript"/>
        </w:rPr>
        <w:t xml:space="preserve">2 </w:t>
      </w:r>
      <w:r w:rsidRPr="00853B64">
        <w:t>(8.0 cm), and T</w:t>
      </w:r>
      <w:r w:rsidRPr="00853B64">
        <w:rPr>
          <w:vertAlign w:val="subscript"/>
        </w:rPr>
        <w:t xml:space="preserve">1 </w:t>
      </w:r>
      <w:r w:rsidRPr="00853B64">
        <w:t>(6.0 cm). The lowest height was observed in T</w:t>
      </w:r>
      <w:r w:rsidRPr="00853B64">
        <w:rPr>
          <w:vertAlign w:val="subscript"/>
        </w:rPr>
        <w:t>3</w:t>
      </w:r>
      <w:r w:rsidRPr="00853B64">
        <w:t xml:space="preserve"> (5.0 cm). The early vigor in T</w:t>
      </w:r>
      <w:r w:rsidRPr="00853B64">
        <w:rPr>
          <w:vertAlign w:val="subscript"/>
        </w:rPr>
        <w:t xml:space="preserve">6 </w:t>
      </w:r>
      <w:r w:rsidRPr="00853B64">
        <w:t>is likely due to enhanced nitrogen fixation by Rhizobium, improved micronutrient availability from nano fertilizers, and better soil conditions provided by organic manure (Sharma et al., 2024; Verma &amp; Singh, 2023). By 30 DAS, plant height increased</w:t>
      </w:r>
      <w:r w:rsidRPr="00853B64">
        <w:rPr>
          <w:vertAlign w:val="subscript"/>
        </w:rPr>
        <w:t xml:space="preserve"> </w:t>
      </w:r>
      <w:r w:rsidRPr="00853B64">
        <w:t>across all treatments, with T</w:t>
      </w:r>
      <w:r w:rsidRPr="00853B64">
        <w:rPr>
          <w:vertAlign w:val="subscript"/>
        </w:rPr>
        <w:t xml:space="preserve">6 </w:t>
      </w:r>
      <w:r w:rsidRPr="00853B64">
        <w:t>maintaining the lead at 15.0 cm, followed by T</w:t>
      </w:r>
      <w:r w:rsidRPr="00853B64">
        <w:rPr>
          <w:vertAlign w:val="subscript"/>
        </w:rPr>
        <w:t xml:space="preserve">5 </w:t>
      </w:r>
      <w:r w:rsidRPr="00853B64">
        <w:t>(13.0 cm), and T</w:t>
      </w:r>
      <w:r w:rsidRPr="00853B64">
        <w:rPr>
          <w:vertAlign w:val="subscript"/>
        </w:rPr>
        <w:t>4</w:t>
      </w:r>
      <w:r w:rsidRPr="00853B64">
        <w:t xml:space="preserve"> and T</w:t>
      </w:r>
      <w:r w:rsidRPr="00853B64">
        <w:rPr>
          <w:vertAlign w:val="subscript"/>
        </w:rPr>
        <w:t>2</w:t>
      </w:r>
      <w:r w:rsidRPr="00853B64">
        <w:t xml:space="preserve"> (12.0 cm each). T</w:t>
      </w:r>
      <w:r w:rsidRPr="00853B64">
        <w:rPr>
          <w:vertAlign w:val="subscript"/>
        </w:rPr>
        <w:t>1</w:t>
      </w:r>
      <w:r w:rsidRPr="00853B64">
        <w:t xml:space="preserve"> and T</w:t>
      </w:r>
      <w:r w:rsidRPr="00853B64">
        <w:rPr>
          <w:vertAlign w:val="subscript"/>
        </w:rPr>
        <w:t>3</w:t>
      </w:r>
      <w:r w:rsidRPr="00853B64">
        <w:t xml:space="preserve"> showed comparatively lower growth (8.0 cm and 7.0 cm). The enhanced growth in treatments involving nano nutrients supports essential physiological functions such as chlorophyll synthesis and cell division, leading to faster elongation and leaf expansion (Verma &amp; Singh, 2023). At 45 DAS, T</w:t>
      </w:r>
      <w:r w:rsidRPr="00853B64">
        <w:rPr>
          <w:vertAlign w:val="subscript"/>
        </w:rPr>
        <w:t xml:space="preserve">6 </w:t>
      </w:r>
      <w:r w:rsidRPr="00853B64">
        <w:t>continued to exhibit the highest plant height (30.0 cm), while T</w:t>
      </w:r>
      <w:r w:rsidRPr="00853B64">
        <w:rPr>
          <w:vertAlign w:val="subscript"/>
        </w:rPr>
        <w:t>1</w:t>
      </w:r>
      <w:r w:rsidRPr="00853B64">
        <w:t xml:space="preserve"> showed the lowest (20.0 cm). The superior performance of T</w:t>
      </w:r>
      <w:r w:rsidRPr="00853B64">
        <w:rPr>
          <w:vertAlign w:val="subscript"/>
        </w:rPr>
        <w:t>6</w:t>
      </w:r>
      <w:r w:rsidRPr="00853B64">
        <w:t xml:space="preserve"> indicates sustained nutrient availability and improved soil microbial activity, facilitating continuous growth during this stage (Patel et al., 2023). The synergy between biological nitrogen fixation, nano nutrient supplementation, and organic amendments is crucial for maximizing early vegetative growth in pea plants, consistent with the findings of Kumar et al. (2025).</w:t>
      </w:r>
    </w:p>
    <w:p w14:paraId="5D1D5BDB" w14:textId="77777777" w:rsidR="00E618EF" w:rsidRPr="00853B64" w:rsidRDefault="00E618EF" w:rsidP="007D360F">
      <w:pPr>
        <w:pStyle w:val="NormalWeb"/>
        <w:jc w:val="center"/>
      </w:pPr>
      <w:r w:rsidRPr="00853B64">
        <w:rPr>
          <w:noProof/>
        </w:rPr>
        <w:lastRenderedPageBreak/>
        <w:drawing>
          <wp:inline distT="0" distB="0" distL="0" distR="0" wp14:anchorId="378C5639" wp14:editId="1DD49330">
            <wp:extent cx="5760649" cy="2743200"/>
            <wp:effectExtent l="19050" t="0" r="1150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59BBAC" w14:textId="77777777" w:rsidR="00FB108E" w:rsidRPr="00853B64" w:rsidRDefault="00FB108E" w:rsidP="007D360F">
      <w:pPr>
        <w:pStyle w:val="NormalWeb"/>
        <w:jc w:val="center"/>
      </w:pPr>
      <w:r w:rsidRPr="00853B64">
        <w:t>Fig.1 (a). Effect of different treatments on plant height (cm).</w:t>
      </w:r>
    </w:p>
    <w:p w14:paraId="6F818A87" w14:textId="77777777" w:rsidR="00E618EF" w:rsidRPr="00853B64" w:rsidRDefault="00E618EF" w:rsidP="007D360F">
      <w:pPr>
        <w:pStyle w:val="NormalWeb"/>
        <w:jc w:val="both"/>
      </w:pPr>
      <w:r w:rsidRPr="00853B64">
        <w:t xml:space="preserve">   The number of leaves per plant in </w:t>
      </w:r>
      <w:r w:rsidRPr="00853B64">
        <w:rPr>
          <w:i/>
          <w:iCs/>
        </w:rPr>
        <w:t>Pisum sativum</w:t>
      </w:r>
      <w:r w:rsidRPr="00853B64">
        <w:t xml:space="preserve"> L. showed clear differences among treatments from 15 to 45 days after sowing (DAS). At 15 DAS, treatment T</w:t>
      </w:r>
      <w:r w:rsidRPr="00853B64">
        <w:rPr>
          <w:vertAlign w:val="subscript"/>
        </w:rPr>
        <w:t>6</w:t>
      </w:r>
      <w:r w:rsidRPr="00853B64">
        <w:t xml:space="preserve"> recorded the highest leaf count (19 leaves), followed by T</w:t>
      </w:r>
      <w:r w:rsidRPr="00853B64">
        <w:rPr>
          <w:vertAlign w:val="subscript"/>
        </w:rPr>
        <w:t>5</w:t>
      </w:r>
      <w:r w:rsidRPr="00853B64">
        <w:t xml:space="preserve"> (15), T</w:t>
      </w:r>
      <w:r w:rsidRPr="00853B64">
        <w:rPr>
          <w:vertAlign w:val="subscript"/>
        </w:rPr>
        <w:t xml:space="preserve">4 </w:t>
      </w:r>
      <w:r w:rsidRPr="00853B64">
        <w:t>(14), T</w:t>
      </w:r>
      <w:r w:rsidRPr="00853B64">
        <w:rPr>
          <w:vertAlign w:val="subscript"/>
        </w:rPr>
        <w:t>2</w:t>
      </w:r>
      <w:r w:rsidRPr="00853B64">
        <w:t xml:space="preserve"> (13), and T</w:t>
      </w:r>
      <w:r w:rsidRPr="00853B64">
        <w:rPr>
          <w:vertAlign w:val="subscript"/>
        </w:rPr>
        <w:t xml:space="preserve">1 </w:t>
      </w:r>
      <w:r w:rsidRPr="00853B64">
        <w:t>(11), with T</w:t>
      </w:r>
      <w:r w:rsidRPr="00853B64">
        <w:rPr>
          <w:vertAlign w:val="subscript"/>
        </w:rPr>
        <w:t>3</w:t>
      </w:r>
      <w:r w:rsidRPr="00853B64">
        <w:t xml:space="preserve"> showing the lowest (10). This early advantage in T</w:t>
      </w:r>
      <w:r w:rsidRPr="00853B64">
        <w:rPr>
          <w:vertAlign w:val="subscript"/>
        </w:rPr>
        <w:t>6</w:t>
      </w:r>
      <w:r w:rsidRPr="00853B64">
        <w:t xml:space="preserve"> is likely due to the combined effects of Rhizobium inoculation, nano nutrients, and organic manure enhancing early leaf development. By 30 DAS, the number of leaves increased significantly, with T</w:t>
      </w:r>
      <w:r w:rsidRPr="00853B64">
        <w:rPr>
          <w:vertAlign w:val="subscript"/>
        </w:rPr>
        <w:t xml:space="preserve">6 </w:t>
      </w:r>
      <w:r w:rsidRPr="00853B64">
        <w:t>maintaining the lead at 26 leaves, followed by T</w:t>
      </w:r>
      <w:r w:rsidRPr="00853B64">
        <w:rPr>
          <w:vertAlign w:val="subscript"/>
        </w:rPr>
        <w:t>5</w:t>
      </w:r>
      <w:r w:rsidRPr="00853B64">
        <w:t xml:space="preserve"> (24). T</w:t>
      </w:r>
      <w:r w:rsidRPr="00853B64">
        <w:rPr>
          <w:vertAlign w:val="subscript"/>
        </w:rPr>
        <w:t>2</w:t>
      </w:r>
      <w:r w:rsidRPr="00853B64">
        <w:t xml:space="preserve"> and T</w:t>
      </w:r>
      <w:r w:rsidRPr="00853B64">
        <w:rPr>
          <w:vertAlign w:val="subscript"/>
        </w:rPr>
        <w:t xml:space="preserve">4 </w:t>
      </w:r>
      <w:r w:rsidRPr="00853B64">
        <w:t>showed moderate growth with 21 and 22 leaves, respectively, while T</w:t>
      </w:r>
      <w:r w:rsidRPr="00853B64">
        <w:rPr>
          <w:vertAlign w:val="subscript"/>
        </w:rPr>
        <w:t xml:space="preserve">1 </w:t>
      </w:r>
      <w:r w:rsidRPr="00853B64">
        <w:t>and T3 recorded similar counts of 21 leaves. The improved leaf production under nano nutrient treatments suggests enhanced photosynthetic capacity and nutrient assimilation, supporting overall plant growth (Verma &amp; Singh, 2023). At 45 DAS, T</w:t>
      </w:r>
      <w:r w:rsidRPr="00853B64">
        <w:rPr>
          <w:vertAlign w:val="subscript"/>
        </w:rPr>
        <w:t xml:space="preserve">6 </w:t>
      </w:r>
      <w:r w:rsidRPr="00853B64">
        <w:t>again exhibited the highest leaf number (34), demonstrating sustained vegetative vigor. T</w:t>
      </w:r>
      <w:r w:rsidRPr="00853B64">
        <w:rPr>
          <w:vertAlign w:val="subscript"/>
        </w:rPr>
        <w:t xml:space="preserve">5 </w:t>
      </w:r>
      <w:r w:rsidRPr="00853B64">
        <w:t>followed with 31 leaves, while T</w:t>
      </w:r>
      <w:r w:rsidRPr="00853B64">
        <w:rPr>
          <w:vertAlign w:val="subscript"/>
        </w:rPr>
        <w:t>2</w:t>
      </w:r>
      <w:r w:rsidRPr="00853B64">
        <w:t xml:space="preserve"> and T</w:t>
      </w:r>
      <w:r w:rsidRPr="00853B64">
        <w:rPr>
          <w:vertAlign w:val="subscript"/>
        </w:rPr>
        <w:t xml:space="preserve">4 </w:t>
      </w:r>
      <w:r w:rsidRPr="00853B64">
        <w:t>each had 28 leaves. T</w:t>
      </w:r>
      <w:r w:rsidRPr="00853B64">
        <w:rPr>
          <w:vertAlign w:val="subscript"/>
        </w:rPr>
        <w:t>1</w:t>
      </w:r>
      <w:r w:rsidRPr="00853B64">
        <w:t xml:space="preserve"> recorded the lowest leaf count (25), reflecting the limited nutrient availability in this treatment. The superior leaf production in T</w:t>
      </w:r>
      <w:r w:rsidRPr="00853B64">
        <w:rPr>
          <w:vertAlign w:val="subscript"/>
        </w:rPr>
        <w:t>6</w:t>
      </w:r>
      <w:r w:rsidRPr="00853B64">
        <w:t xml:space="preserve"> and related treatments likely results from better nutrient cycling, microbial activity, and hormonal regulation promoting leaf expansion and development (Patel et al., 2023)</w:t>
      </w:r>
      <w:r w:rsidR="00FB108E" w:rsidRPr="00853B64">
        <w:t>.</w:t>
      </w:r>
    </w:p>
    <w:p w14:paraId="57AC3D1A" w14:textId="77777777" w:rsidR="00E618EF" w:rsidRPr="00853B64" w:rsidRDefault="00FB108E" w:rsidP="007D360F">
      <w:pPr>
        <w:pStyle w:val="NormalWeb"/>
        <w:jc w:val="center"/>
      </w:pPr>
      <w:r w:rsidRPr="00853B64">
        <w:rPr>
          <w:noProof/>
        </w:rPr>
        <w:lastRenderedPageBreak/>
        <w:drawing>
          <wp:inline distT="0" distB="0" distL="0" distR="0" wp14:anchorId="7F1F610A" wp14:editId="71DABD35">
            <wp:extent cx="5915924" cy="2743200"/>
            <wp:effectExtent l="19050" t="0" r="27676"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B0E331" w14:textId="7C67053C" w:rsidR="00FB108E" w:rsidRPr="00853B64" w:rsidRDefault="00FB108E" w:rsidP="00BF69DD">
      <w:pPr>
        <w:pStyle w:val="NormalWeb"/>
        <w:jc w:val="center"/>
      </w:pPr>
      <w:r w:rsidRPr="00853B64">
        <w:t xml:space="preserve">Fig.1 (b). Effect of different treatments on </w:t>
      </w:r>
      <w:r w:rsidR="008F6800">
        <w:t>the n</w:t>
      </w:r>
      <w:r w:rsidRPr="00853B64">
        <w:t>umber of leaves</w:t>
      </w:r>
      <w:r w:rsidR="007D360F" w:rsidRPr="00853B64">
        <w:t xml:space="preserve"> per plant</w:t>
      </w:r>
      <w:r w:rsidRPr="00853B64">
        <w:t>.</w:t>
      </w:r>
    </w:p>
    <w:p w14:paraId="6E0892FC" w14:textId="4060E2C8" w:rsidR="00853CA5" w:rsidRDefault="00853CA5" w:rsidP="007D360F">
      <w:pPr>
        <w:pStyle w:val="NormalWeb"/>
        <w:jc w:val="both"/>
      </w:pPr>
      <w:r w:rsidRPr="00853B64">
        <w:t xml:space="preserve">The number of branches per plant in </w:t>
      </w:r>
      <w:r w:rsidRPr="00853B64">
        <w:rPr>
          <w:rStyle w:val="Emphasis"/>
        </w:rPr>
        <w:t>Pisum sativum</w:t>
      </w:r>
      <w:r w:rsidRPr="00853B64">
        <w:t xml:space="preserve"> L. varied significantly across treatments from 15 to 45 days after sowing (DAS). At 15 DAS, treatments T</w:t>
      </w:r>
      <w:r w:rsidRPr="00853B64">
        <w:rPr>
          <w:vertAlign w:val="subscript"/>
        </w:rPr>
        <w:t xml:space="preserve">6 </w:t>
      </w:r>
      <w:r w:rsidRPr="00853B64">
        <w:t>and T</w:t>
      </w:r>
      <w:r w:rsidRPr="00853B64">
        <w:rPr>
          <w:vertAlign w:val="subscript"/>
        </w:rPr>
        <w:t>5</w:t>
      </w:r>
      <w:r w:rsidRPr="00853B64">
        <w:t xml:space="preserve"> recorded the highest number of branches (5 each), followed by T</w:t>
      </w:r>
      <w:r w:rsidRPr="00853B64">
        <w:rPr>
          <w:vertAlign w:val="subscript"/>
        </w:rPr>
        <w:t>4</w:t>
      </w:r>
      <w:r w:rsidRPr="00853B64">
        <w:t>, T</w:t>
      </w:r>
      <w:r w:rsidRPr="00853B64">
        <w:rPr>
          <w:vertAlign w:val="subscript"/>
        </w:rPr>
        <w:t>3</w:t>
      </w:r>
      <w:r w:rsidRPr="00853B64">
        <w:t>, and T</w:t>
      </w:r>
      <w:r w:rsidRPr="00853B64">
        <w:rPr>
          <w:vertAlign w:val="subscript"/>
        </w:rPr>
        <w:t>2</w:t>
      </w:r>
      <w:r w:rsidRPr="00853B64">
        <w:t xml:space="preserve"> with 4 branches each, while T</w:t>
      </w:r>
      <w:r w:rsidRPr="00853B64">
        <w:rPr>
          <w:vertAlign w:val="subscript"/>
        </w:rPr>
        <w:t>1</w:t>
      </w:r>
      <w:r w:rsidRPr="00853B64">
        <w:t xml:space="preserve"> had the lowest count (2). By 30 DAS, T6 maintained the lead with 6 branches, followed by T</w:t>
      </w:r>
      <w:r w:rsidRPr="00853B64">
        <w:rPr>
          <w:vertAlign w:val="subscript"/>
        </w:rPr>
        <w:t xml:space="preserve">5 </w:t>
      </w:r>
      <w:r w:rsidRPr="00853B64">
        <w:t>with 4 branches. Treatments T</w:t>
      </w:r>
      <w:r w:rsidRPr="00853B64">
        <w:rPr>
          <w:vertAlign w:val="subscript"/>
        </w:rPr>
        <w:t>4</w:t>
      </w:r>
      <w:r w:rsidRPr="00853B64">
        <w:t xml:space="preserve"> and T</w:t>
      </w:r>
      <w:r w:rsidRPr="00853B64">
        <w:rPr>
          <w:vertAlign w:val="subscript"/>
        </w:rPr>
        <w:t>2</w:t>
      </w:r>
      <w:r w:rsidRPr="00853B64">
        <w:t xml:space="preserve"> recorded 3 branches each, T</w:t>
      </w:r>
      <w:r w:rsidRPr="00853B64">
        <w:rPr>
          <w:vertAlign w:val="subscript"/>
        </w:rPr>
        <w:t>1</w:t>
      </w:r>
      <w:r w:rsidRPr="00853B64">
        <w:t xml:space="preserve"> had 2, and T</w:t>
      </w:r>
      <w:r w:rsidRPr="00853B64">
        <w:rPr>
          <w:vertAlign w:val="subscript"/>
        </w:rPr>
        <w:t>3</w:t>
      </w:r>
      <w:r w:rsidRPr="00853B64">
        <w:t xml:space="preserve"> showed the lowest number (1). At 45 DAS, T</w:t>
      </w:r>
      <w:r w:rsidRPr="00853B64">
        <w:rPr>
          <w:vertAlign w:val="subscript"/>
        </w:rPr>
        <w:t>6</w:t>
      </w:r>
      <w:r w:rsidRPr="00853B64">
        <w:t xml:space="preserve"> again showed the maximum number of branches (8), followed by T</w:t>
      </w:r>
      <w:r w:rsidRPr="00853B64">
        <w:rPr>
          <w:vertAlign w:val="subscript"/>
        </w:rPr>
        <w:t>5</w:t>
      </w:r>
      <w:r w:rsidRPr="00853B64">
        <w:t xml:space="preserve"> (7). Treatments T</w:t>
      </w:r>
      <w:r w:rsidRPr="00853B64">
        <w:rPr>
          <w:vertAlign w:val="subscript"/>
        </w:rPr>
        <w:t>4</w:t>
      </w:r>
      <w:r w:rsidRPr="00853B64">
        <w:t>, T</w:t>
      </w:r>
      <w:r w:rsidRPr="00853B64">
        <w:rPr>
          <w:vertAlign w:val="subscript"/>
        </w:rPr>
        <w:t>3</w:t>
      </w:r>
      <w:r w:rsidRPr="00853B64">
        <w:t>, and T</w:t>
      </w:r>
      <w:r w:rsidRPr="00853B64">
        <w:rPr>
          <w:vertAlign w:val="subscript"/>
        </w:rPr>
        <w:t>2</w:t>
      </w:r>
      <w:r w:rsidRPr="00853B64">
        <w:t xml:space="preserve"> each had 6 branches, while T</w:t>
      </w:r>
      <w:r w:rsidRPr="00853B64">
        <w:rPr>
          <w:vertAlign w:val="subscript"/>
        </w:rPr>
        <w:t xml:space="preserve">1 </w:t>
      </w:r>
      <w:r w:rsidRPr="00853B64">
        <w:t>had the lowest count (5). The higher branching under T</w:t>
      </w:r>
      <w:r w:rsidRPr="00853B64">
        <w:rPr>
          <w:vertAlign w:val="subscript"/>
        </w:rPr>
        <w:t>6</w:t>
      </w:r>
      <w:r w:rsidRPr="00853B64">
        <w:t xml:space="preserve"> and T</w:t>
      </w:r>
      <w:r w:rsidRPr="00853B64">
        <w:rPr>
          <w:vertAlign w:val="subscript"/>
        </w:rPr>
        <w:t xml:space="preserve">5 </w:t>
      </w:r>
      <w:r w:rsidRPr="00853B64">
        <w:t xml:space="preserve">treatments could be attributed to better nutrient availability through </w:t>
      </w:r>
      <w:r w:rsidR="008F6800">
        <w:t>r</w:t>
      </w:r>
      <w:r w:rsidRPr="00853B64">
        <w:t xml:space="preserve">hizobium inoculation, nano nutrients, and organic manure, which promote enhanced cell division and shoot development (Patel et al., 2023). Lower branch numbers in T1 and T3 indicate </w:t>
      </w:r>
      <w:r w:rsidR="008F6800">
        <w:t xml:space="preserve">a </w:t>
      </w:r>
      <w:r w:rsidRPr="00853B64">
        <w:t>limited nutrient supply restricting vegetative growth.</w:t>
      </w:r>
    </w:p>
    <w:p w14:paraId="59FBB2A0" w14:textId="77777777" w:rsidR="002A381E" w:rsidRPr="00853B64" w:rsidRDefault="002A381E" w:rsidP="007D360F">
      <w:pPr>
        <w:pStyle w:val="NormalWeb"/>
        <w:jc w:val="both"/>
      </w:pPr>
    </w:p>
    <w:p w14:paraId="28007F51" w14:textId="77777777" w:rsidR="00E618EF" w:rsidRPr="00853B64" w:rsidRDefault="007D360F" w:rsidP="007D360F">
      <w:pPr>
        <w:pStyle w:val="NormalWeb"/>
        <w:jc w:val="center"/>
      </w:pPr>
      <w:r w:rsidRPr="00853B64">
        <w:rPr>
          <w:noProof/>
        </w:rPr>
        <w:lastRenderedPageBreak/>
        <w:drawing>
          <wp:inline distT="0" distB="0" distL="0" distR="0" wp14:anchorId="6F998EC4" wp14:editId="7106E06C">
            <wp:extent cx="5914498" cy="2743200"/>
            <wp:effectExtent l="19050" t="0" r="10052"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20FC13" w14:textId="77777777" w:rsidR="007D360F" w:rsidRPr="00853B64" w:rsidRDefault="007D360F" w:rsidP="00BF69DD">
      <w:pPr>
        <w:pStyle w:val="NormalWeb"/>
        <w:jc w:val="center"/>
      </w:pPr>
      <w:r w:rsidRPr="00853B64">
        <w:t>Fig.1 (c). Effect of different treatments on Number of branches per plant.</w:t>
      </w:r>
    </w:p>
    <w:p w14:paraId="2A7340D7" w14:textId="77777777" w:rsidR="007D360F" w:rsidRPr="00853B64" w:rsidRDefault="007D360F" w:rsidP="007D360F">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sidRPr="00853B64">
        <w:rPr>
          <w:rFonts w:ascii="Times New Roman" w:eastAsia="Times New Roman" w:hAnsi="Times New Roman" w:cs="Times New Roman"/>
          <w:b/>
          <w:bCs/>
          <w:kern w:val="0"/>
          <w:sz w:val="24"/>
          <w:szCs w:val="24"/>
        </w:rPr>
        <w:t>2.2 Chlorophyll Content Estimation</w:t>
      </w:r>
    </w:p>
    <w:p w14:paraId="228B4D14" w14:textId="7EEC1EAB" w:rsidR="00BF69DD" w:rsidRPr="00853B64" w:rsidRDefault="00BF69DD" w:rsidP="00BF69DD">
      <w:pPr>
        <w:pStyle w:val="NormalWeb"/>
        <w:jc w:val="both"/>
      </w:pPr>
      <w:r w:rsidRPr="00853B64">
        <w:t xml:space="preserve">Chlorophyll content in </w:t>
      </w:r>
      <w:r w:rsidRPr="00853B64">
        <w:rPr>
          <w:rStyle w:val="Emphasis"/>
        </w:rPr>
        <w:t>Pisum sativum</w:t>
      </w:r>
      <w:r w:rsidRPr="00853B64">
        <w:t xml:space="preserve"> L. leaves varied significantly across the six treatments (T</w:t>
      </w:r>
      <w:r w:rsidRPr="00853B64">
        <w:rPr>
          <w:vertAlign w:val="subscript"/>
        </w:rPr>
        <w:t>1</w:t>
      </w:r>
      <w:r w:rsidRPr="00853B64">
        <w:t xml:space="preserve"> to T</w:t>
      </w:r>
      <w:r w:rsidRPr="00853B64">
        <w:rPr>
          <w:vertAlign w:val="subscript"/>
        </w:rPr>
        <w:t>6</w:t>
      </w:r>
      <w:r w:rsidRPr="00853B64">
        <w:t xml:space="preserve">). Chlorophyll </w:t>
      </w:r>
      <w:r w:rsidRPr="00853B64">
        <w:rPr>
          <w:rStyle w:val="Emphasis"/>
          <w:i w:val="0"/>
          <w:iCs w:val="0"/>
        </w:rPr>
        <w:t>a</w:t>
      </w:r>
      <w:r w:rsidRPr="00853B64">
        <w:t xml:space="preserve"> content was highest in T</w:t>
      </w:r>
      <w:r w:rsidRPr="00853B64">
        <w:rPr>
          <w:vertAlign w:val="subscript"/>
        </w:rPr>
        <w:t>5</w:t>
      </w:r>
      <w:r w:rsidRPr="00853B64">
        <w:t xml:space="preserve"> (0.76 mg/g), followed by T</w:t>
      </w:r>
      <w:r w:rsidRPr="00853B64">
        <w:rPr>
          <w:vertAlign w:val="subscript"/>
        </w:rPr>
        <w:t xml:space="preserve">4 </w:t>
      </w:r>
      <w:r w:rsidRPr="00853B64">
        <w:t>(0.65 mg/g), T</w:t>
      </w:r>
      <w:r w:rsidRPr="00853B64">
        <w:rPr>
          <w:vertAlign w:val="subscript"/>
        </w:rPr>
        <w:t>3</w:t>
      </w:r>
      <w:r w:rsidRPr="00853B64">
        <w:t xml:space="preserve"> (0.63 mg/g), and T</w:t>
      </w:r>
      <w:r w:rsidRPr="00853B64">
        <w:rPr>
          <w:vertAlign w:val="subscript"/>
        </w:rPr>
        <w:t>6</w:t>
      </w:r>
      <w:r w:rsidRPr="00853B64">
        <w:t xml:space="preserve"> (0.60 mg/g). Moderate levels were observed in T</w:t>
      </w:r>
      <w:r w:rsidRPr="00853B64">
        <w:rPr>
          <w:vertAlign w:val="subscript"/>
        </w:rPr>
        <w:t>2</w:t>
      </w:r>
      <w:r w:rsidRPr="00853B64">
        <w:t xml:space="preserve"> (0.56 mg/g), with the lowest content in the control treatment T</w:t>
      </w:r>
      <w:r w:rsidRPr="00853B64">
        <w:rPr>
          <w:vertAlign w:val="subscript"/>
        </w:rPr>
        <w:t>1</w:t>
      </w:r>
      <w:r w:rsidRPr="00853B64">
        <w:t xml:space="preserve"> (0.50 mg/g). Similarly, chlorophyll </w:t>
      </w:r>
      <w:r w:rsidRPr="00853B64">
        <w:rPr>
          <w:rStyle w:val="Emphasis"/>
          <w:i w:val="0"/>
          <w:iCs w:val="0"/>
        </w:rPr>
        <w:t>b</w:t>
      </w:r>
      <w:r w:rsidRPr="00853B64">
        <w:t xml:space="preserve"> content peaked in T</w:t>
      </w:r>
      <w:r w:rsidRPr="00853B64">
        <w:rPr>
          <w:vertAlign w:val="subscript"/>
        </w:rPr>
        <w:t>5</w:t>
      </w:r>
      <w:r w:rsidRPr="00853B64">
        <w:t xml:space="preserve"> (0.87 mg/g), followed by T</w:t>
      </w:r>
      <w:r w:rsidRPr="00853B64">
        <w:rPr>
          <w:vertAlign w:val="subscript"/>
        </w:rPr>
        <w:t>4</w:t>
      </w:r>
      <w:r w:rsidRPr="00853B64">
        <w:t xml:space="preserve"> (0.75 mg/g), T</w:t>
      </w:r>
      <w:r w:rsidRPr="00853B64">
        <w:rPr>
          <w:vertAlign w:val="subscript"/>
        </w:rPr>
        <w:t>3</w:t>
      </w:r>
      <w:r w:rsidRPr="00853B64">
        <w:t xml:space="preserve"> (0.71 mg/g), and T</w:t>
      </w:r>
      <w:r w:rsidRPr="00853B64">
        <w:rPr>
          <w:vertAlign w:val="subscript"/>
        </w:rPr>
        <w:t>6</w:t>
      </w:r>
      <w:r w:rsidRPr="00853B64">
        <w:t xml:space="preserve"> (0.61 mg/g). Treatments T</w:t>
      </w:r>
      <w:r w:rsidRPr="00853B64">
        <w:rPr>
          <w:vertAlign w:val="subscript"/>
        </w:rPr>
        <w:t>2</w:t>
      </w:r>
      <w:r w:rsidRPr="00853B64">
        <w:t xml:space="preserve"> and T</w:t>
      </w:r>
      <w:r w:rsidRPr="00853B64">
        <w:rPr>
          <w:vertAlign w:val="subscript"/>
        </w:rPr>
        <w:t>1</w:t>
      </w:r>
      <w:r w:rsidRPr="00853B64">
        <w:t xml:space="preserve"> showed comparatively lower values of 0.65 mg/g and 0.60 mg/g, respectively. Total chlorophyll content was also highest in T</w:t>
      </w:r>
      <w:r w:rsidRPr="00853B64">
        <w:rPr>
          <w:vertAlign w:val="subscript"/>
        </w:rPr>
        <w:t xml:space="preserve">5 </w:t>
      </w:r>
      <w:r w:rsidRPr="00853B64">
        <w:t>(1.61 mg/g),</w:t>
      </w:r>
      <w:r w:rsidR="008F6800">
        <w:t xml:space="preserve"> followed by</w:t>
      </w:r>
      <w:r w:rsidRPr="00853B64">
        <w:t xml:space="preserve"> T</w:t>
      </w:r>
      <w:r w:rsidRPr="00853B64">
        <w:rPr>
          <w:vertAlign w:val="subscript"/>
        </w:rPr>
        <w:t>4</w:t>
      </w:r>
      <w:r w:rsidRPr="00853B64">
        <w:t xml:space="preserve"> (1.45 mg/g), T</w:t>
      </w:r>
      <w:r w:rsidRPr="00853B64">
        <w:rPr>
          <w:vertAlign w:val="subscript"/>
        </w:rPr>
        <w:t xml:space="preserve">3 </w:t>
      </w:r>
      <w:r w:rsidRPr="00853B64">
        <w:t>(1.34 mg/g), and T</w:t>
      </w:r>
      <w:r w:rsidRPr="00853B64">
        <w:rPr>
          <w:vertAlign w:val="subscript"/>
        </w:rPr>
        <w:t>6</w:t>
      </w:r>
      <w:r w:rsidRPr="00853B64">
        <w:t xml:space="preserve"> (1.31 mg/g). Lower total chlorophyll content was recorded in T</w:t>
      </w:r>
      <w:r w:rsidRPr="00853B64">
        <w:rPr>
          <w:vertAlign w:val="subscript"/>
        </w:rPr>
        <w:t>2</w:t>
      </w:r>
      <w:r w:rsidRPr="00853B64">
        <w:t xml:space="preserve"> (1.25 mg/g) and T</w:t>
      </w:r>
      <w:r w:rsidRPr="00853B64">
        <w:rPr>
          <w:vertAlign w:val="subscript"/>
        </w:rPr>
        <w:t>1</w:t>
      </w:r>
      <w:r w:rsidRPr="00853B64">
        <w:t xml:space="preserve"> (1.15 mg/g). The superior chlorophyll content in treatments involving nano nutrients and organic manure (especially T</w:t>
      </w:r>
      <w:r w:rsidRPr="00853B64">
        <w:rPr>
          <w:vertAlign w:val="subscript"/>
        </w:rPr>
        <w:t>5</w:t>
      </w:r>
      <w:r w:rsidRPr="00853B64">
        <w:t xml:space="preserve"> and T</w:t>
      </w:r>
      <w:r w:rsidRPr="00853B64">
        <w:rPr>
          <w:vertAlign w:val="subscript"/>
        </w:rPr>
        <w:t>4</w:t>
      </w:r>
      <w:r w:rsidRPr="00853B64">
        <w:t>) suggests enhanced nutrient availability, which supports chlorophyll synthesis and photosynthetic efficiency (Verma &amp; Singh, 2023). The slightly lower chlorophyll in T</w:t>
      </w:r>
      <w:r w:rsidRPr="00853B64">
        <w:rPr>
          <w:vertAlign w:val="subscript"/>
        </w:rPr>
        <w:t>6</w:t>
      </w:r>
      <w:r w:rsidRPr="00853B64">
        <w:t xml:space="preserve"> compared to T</w:t>
      </w:r>
      <w:r w:rsidRPr="00853B64">
        <w:rPr>
          <w:vertAlign w:val="subscript"/>
        </w:rPr>
        <w:t>5</w:t>
      </w:r>
      <w:r w:rsidRPr="00853B64">
        <w:t xml:space="preserve"> may reflect treatment composition differences, but both outperformed control and single-factor treatments, highlighting the importance of integrated nutrient management in improving photosynthetic pigments and overall plant health (Patel et al., 2023).</w:t>
      </w:r>
    </w:p>
    <w:p w14:paraId="5518AAFE" w14:textId="77777777" w:rsidR="00BF69DD" w:rsidRPr="00853B64" w:rsidRDefault="00BF69DD" w:rsidP="00BF69DD">
      <w:pPr>
        <w:spacing w:before="100" w:beforeAutospacing="1" w:after="100" w:afterAutospacing="1" w:line="240" w:lineRule="auto"/>
        <w:jc w:val="both"/>
        <w:outlineLvl w:val="2"/>
        <w:rPr>
          <w:rFonts w:ascii="Times New Roman" w:eastAsia="Times New Roman" w:hAnsi="Times New Roman" w:cs="Times New Roman"/>
          <w:kern w:val="0"/>
          <w:sz w:val="24"/>
          <w:szCs w:val="24"/>
        </w:rPr>
      </w:pPr>
      <w:r w:rsidRPr="00853B64">
        <w:rPr>
          <w:rFonts w:ascii="Times New Roman" w:eastAsia="Times New Roman" w:hAnsi="Times New Roman" w:cs="Times New Roman"/>
          <w:noProof/>
          <w:kern w:val="0"/>
          <w:sz w:val="24"/>
          <w:szCs w:val="24"/>
        </w:rPr>
        <w:lastRenderedPageBreak/>
        <w:drawing>
          <wp:inline distT="0" distB="0" distL="0" distR="0" wp14:anchorId="2FDC8CBE" wp14:editId="3B101217">
            <wp:extent cx="5993561" cy="2743200"/>
            <wp:effectExtent l="19050" t="0" r="26239"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73E449" w14:textId="3F92E1DE" w:rsidR="002A381E" w:rsidRDefault="00BF69DD" w:rsidP="004010B8">
      <w:pPr>
        <w:pStyle w:val="NormalWeb"/>
        <w:spacing w:before="0" w:beforeAutospacing="0" w:after="0" w:afterAutospacing="0"/>
        <w:rPr>
          <w:rStyle w:val="Strong"/>
          <w:color w:val="0E101A"/>
        </w:rPr>
      </w:pPr>
      <w:r w:rsidRPr="00853B64">
        <w:rPr>
          <w:rStyle w:val="Strong"/>
          <w:b w:val="0"/>
          <w:bCs w:val="0"/>
          <w:color w:val="0E101A"/>
        </w:rPr>
        <w:t>Fig.2.</w:t>
      </w:r>
      <w:r w:rsidR="004010B8">
        <w:rPr>
          <w:rStyle w:val="Strong"/>
          <w:b w:val="0"/>
          <w:bCs w:val="0"/>
          <w:color w:val="0E101A"/>
        </w:rPr>
        <w:t xml:space="preserve"> Effect of treatments on</w:t>
      </w:r>
      <w:r w:rsidRPr="00853B64">
        <w:rPr>
          <w:rStyle w:val="Strong"/>
          <w:b w:val="0"/>
          <w:bCs w:val="0"/>
          <w:color w:val="0E101A"/>
        </w:rPr>
        <w:t xml:space="preserve"> </w:t>
      </w:r>
      <w:proofErr w:type="spellStart"/>
      <w:r w:rsidR="008F6800" w:rsidRPr="00853B64">
        <w:rPr>
          <w:rStyle w:val="Strong"/>
          <w:b w:val="0"/>
          <w:bCs w:val="0"/>
          <w:color w:val="0E101A"/>
        </w:rPr>
        <w:t>Chl</w:t>
      </w:r>
      <w:proofErr w:type="spellEnd"/>
      <w:r w:rsidR="008F6800" w:rsidRPr="00853B64">
        <w:rPr>
          <w:rStyle w:val="Strong"/>
          <w:b w:val="0"/>
          <w:bCs w:val="0"/>
          <w:color w:val="0E101A"/>
        </w:rPr>
        <w:t>-a (mg g</w:t>
      </w:r>
      <w:r w:rsidR="008F6800" w:rsidRPr="00853B64">
        <w:rPr>
          <w:rStyle w:val="Strong"/>
          <w:b w:val="0"/>
          <w:bCs w:val="0"/>
          <w:color w:val="0E101A"/>
          <w:vertAlign w:val="superscript"/>
        </w:rPr>
        <w:t>-1</w:t>
      </w:r>
      <w:r w:rsidR="008F6800" w:rsidRPr="00853B64">
        <w:rPr>
          <w:rStyle w:val="Strong"/>
          <w:b w:val="0"/>
          <w:bCs w:val="0"/>
          <w:color w:val="0E101A"/>
        </w:rPr>
        <w:t xml:space="preserve">), </w:t>
      </w:r>
      <w:proofErr w:type="spellStart"/>
      <w:r w:rsidR="008F6800" w:rsidRPr="00853B64">
        <w:rPr>
          <w:rStyle w:val="Strong"/>
          <w:b w:val="0"/>
          <w:bCs w:val="0"/>
          <w:color w:val="0E101A"/>
        </w:rPr>
        <w:t>Chl</w:t>
      </w:r>
      <w:proofErr w:type="spellEnd"/>
      <w:r w:rsidR="008F6800" w:rsidRPr="00853B64">
        <w:rPr>
          <w:rStyle w:val="Strong"/>
          <w:b w:val="0"/>
          <w:bCs w:val="0"/>
          <w:color w:val="0E101A"/>
        </w:rPr>
        <w:t>-b (mg g</w:t>
      </w:r>
      <w:r w:rsidR="008F6800" w:rsidRPr="00853B64">
        <w:rPr>
          <w:rStyle w:val="Strong"/>
          <w:b w:val="0"/>
          <w:bCs w:val="0"/>
          <w:color w:val="0E101A"/>
          <w:vertAlign w:val="superscript"/>
        </w:rPr>
        <w:t>-1</w:t>
      </w:r>
      <w:r w:rsidR="008F6800" w:rsidRPr="00853B64">
        <w:rPr>
          <w:rStyle w:val="Strong"/>
          <w:b w:val="0"/>
          <w:bCs w:val="0"/>
          <w:color w:val="0E101A"/>
        </w:rPr>
        <w:t>), and Total-</w:t>
      </w:r>
      <w:proofErr w:type="spellStart"/>
      <w:r w:rsidR="008F6800" w:rsidRPr="00853B64">
        <w:rPr>
          <w:rStyle w:val="Strong"/>
          <w:b w:val="0"/>
          <w:bCs w:val="0"/>
          <w:color w:val="0E101A"/>
        </w:rPr>
        <w:t>Chl</w:t>
      </w:r>
      <w:proofErr w:type="spellEnd"/>
      <w:r w:rsidR="008F6800" w:rsidRPr="00853B64">
        <w:rPr>
          <w:rStyle w:val="Strong"/>
          <w:b w:val="0"/>
          <w:bCs w:val="0"/>
          <w:color w:val="0E101A"/>
        </w:rPr>
        <w:t xml:space="preserve"> (mg g</w:t>
      </w:r>
      <w:r w:rsidR="008F6800" w:rsidRPr="00853B64">
        <w:rPr>
          <w:rStyle w:val="Strong"/>
          <w:b w:val="0"/>
          <w:bCs w:val="0"/>
          <w:color w:val="0E101A"/>
          <w:vertAlign w:val="superscript"/>
        </w:rPr>
        <w:t>-1</w:t>
      </w:r>
      <w:r w:rsidR="008F6800" w:rsidRPr="00853B64">
        <w:rPr>
          <w:rStyle w:val="Strong"/>
          <w:b w:val="0"/>
          <w:bCs w:val="0"/>
          <w:color w:val="0E101A"/>
        </w:rPr>
        <w:t>)</w:t>
      </w:r>
      <w:r w:rsidR="004010B8">
        <w:rPr>
          <w:rStyle w:val="Strong"/>
          <w:b w:val="0"/>
          <w:bCs w:val="0"/>
          <w:color w:val="0E101A"/>
        </w:rPr>
        <w:t xml:space="preserve"> content </w:t>
      </w:r>
    </w:p>
    <w:p w14:paraId="640BAAEF" w14:textId="77777777" w:rsidR="004010B8" w:rsidRDefault="004010B8" w:rsidP="004010B8">
      <w:pPr>
        <w:pStyle w:val="NormalWeb"/>
        <w:spacing w:before="0" w:beforeAutospacing="0" w:after="0" w:afterAutospacing="0"/>
        <w:rPr>
          <w:rStyle w:val="Strong"/>
          <w:color w:val="0E101A"/>
        </w:rPr>
      </w:pPr>
    </w:p>
    <w:p w14:paraId="1278B8AD" w14:textId="77777777" w:rsidR="004010B8" w:rsidRDefault="00BF69DD" w:rsidP="004010B8">
      <w:pPr>
        <w:pStyle w:val="NormalWeb"/>
        <w:spacing w:before="0" w:beforeAutospacing="0" w:after="0" w:afterAutospacing="0"/>
        <w:jc w:val="both"/>
        <w:rPr>
          <w:rStyle w:val="Strong"/>
          <w:color w:val="0E101A"/>
        </w:rPr>
      </w:pPr>
      <w:r w:rsidRPr="00853B64">
        <w:rPr>
          <w:rStyle w:val="Strong"/>
          <w:color w:val="0E101A"/>
        </w:rPr>
        <w:t>3.3. Yield Parameter</w:t>
      </w:r>
    </w:p>
    <w:p w14:paraId="59ACAC41" w14:textId="261C8ED4" w:rsidR="00BF69DD" w:rsidRPr="004010B8" w:rsidRDefault="00BF69DD" w:rsidP="004010B8">
      <w:pPr>
        <w:pStyle w:val="NormalWeb"/>
        <w:spacing w:before="0" w:beforeAutospacing="0" w:after="0" w:afterAutospacing="0"/>
        <w:jc w:val="both"/>
        <w:rPr>
          <w:b/>
          <w:bCs/>
          <w:color w:val="0E101A"/>
        </w:rPr>
      </w:pPr>
      <w:r w:rsidRPr="00853B64">
        <w:t xml:space="preserve">The number of pods per plant varied significantly among treatments (Fig. </w:t>
      </w:r>
      <w:r w:rsidR="005E2285">
        <w:t>3</w:t>
      </w:r>
      <w:r w:rsidRPr="00853B64">
        <w:t>), with T</w:t>
      </w:r>
      <w:r w:rsidRPr="00853B64">
        <w:rPr>
          <w:vertAlign w:val="subscript"/>
        </w:rPr>
        <w:t>5</w:t>
      </w:r>
      <w:r w:rsidRPr="00853B64">
        <w:t xml:space="preserve"> and T</w:t>
      </w:r>
      <w:r w:rsidRPr="00853B64">
        <w:rPr>
          <w:vertAlign w:val="subscript"/>
        </w:rPr>
        <w:t xml:space="preserve">6 </w:t>
      </w:r>
      <w:r w:rsidRPr="00853B64">
        <w:t xml:space="preserve">recording the highest counts of 13 </w:t>
      </w:r>
      <w:r w:rsidR="004010B8">
        <w:t>and</w:t>
      </w:r>
      <w:r w:rsidRPr="00853B64">
        <w:t xml:space="preserve"> 14 pods per plant</w:t>
      </w:r>
      <w:r w:rsidR="004010B8">
        <w:t>, respectively</w:t>
      </w:r>
      <w:r w:rsidRPr="00853B64">
        <w:t>. The control treatment T</w:t>
      </w:r>
      <w:r w:rsidRPr="00853B64">
        <w:rPr>
          <w:vertAlign w:val="subscript"/>
        </w:rPr>
        <w:t>1</w:t>
      </w:r>
      <w:r w:rsidR="004010B8" w:rsidRPr="004010B8">
        <w:t>,</w:t>
      </w:r>
      <w:r w:rsidRPr="004010B8">
        <w:t xml:space="preserve"> </w:t>
      </w:r>
      <w:r w:rsidRPr="00853B64">
        <w:t>produced the lowest number of pods</w:t>
      </w:r>
      <w:r w:rsidR="004010B8">
        <w:t xml:space="preserve"> (</w:t>
      </w:r>
      <w:r w:rsidRPr="00853B64">
        <w:t>8</w:t>
      </w:r>
      <w:r w:rsidR="004010B8">
        <w:t>)</w:t>
      </w:r>
      <w:r w:rsidRPr="00853B64">
        <w:t>. Pod length was also greatest in T</w:t>
      </w:r>
      <w:r w:rsidRPr="00853B64">
        <w:rPr>
          <w:vertAlign w:val="subscript"/>
        </w:rPr>
        <w:t>5</w:t>
      </w:r>
      <w:r w:rsidRPr="00853B64">
        <w:t xml:space="preserve"> and T</w:t>
      </w:r>
      <w:r w:rsidRPr="00853B64">
        <w:rPr>
          <w:vertAlign w:val="subscript"/>
        </w:rPr>
        <w:t>6</w:t>
      </w:r>
      <w:r w:rsidRPr="00853B64">
        <w:t>, reaching up to 10.0 cm, while T</w:t>
      </w:r>
      <w:r w:rsidRPr="00853B64">
        <w:rPr>
          <w:vertAlign w:val="subscript"/>
        </w:rPr>
        <w:t>1</w:t>
      </w:r>
      <w:r w:rsidRPr="00853B64">
        <w:t xml:space="preserve"> and T</w:t>
      </w:r>
      <w:r w:rsidRPr="00853B64">
        <w:rPr>
          <w:vertAlign w:val="subscript"/>
        </w:rPr>
        <w:t>2</w:t>
      </w:r>
      <w:r w:rsidRPr="00853B64">
        <w:t xml:space="preserve"> had shorter pods, measuring less than 9.0 cm. Regarding seed number per pod, T</w:t>
      </w:r>
      <w:r w:rsidRPr="00853B64">
        <w:rPr>
          <w:vertAlign w:val="subscript"/>
        </w:rPr>
        <w:t>5</w:t>
      </w:r>
      <w:r w:rsidRPr="00853B64">
        <w:t xml:space="preserve"> again showed superiority with 9.5 seeds per pod, closely followed by T</w:t>
      </w:r>
      <w:r w:rsidRPr="00853B64">
        <w:rPr>
          <w:vertAlign w:val="subscript"/>
        </w:rPr>
        <w:t>6</w:t>
      </w:r>
      <w:r w:rsidRPr="00853B64">
        <w:t xml:space="preserve"> with 9 seeds. T</w:t>
      </w:r>
      <w:r w:rsidRPr="00853B64">
        <w:rPr>
          <w:vertAlign w:val="subscript"/>
        </w:rPr>
        <w:t xml:space="preserve">2 </w:t>
      </w:r>
      <w:r w:rsidRPr="00853B64">
        <w:t>had the lowest seed count, approximately 7.5 seeds per pod. Seed yield per plant and total seed weight were significantly higher in T</w:t>
      </w:r>
      <w:r w:rsidRPr="00853B64">
        <w:rPr>
          <w:vertAlign w:val="subscript"/>
        </w:rPr>
        <w:t>5</w:t>
      </w:r>
      <w:r w:rsidRPr="00853B64">
        <w:t>, with 11.0 g per plant and 23.0 g total seed weight, followed by T</w:t>
      </w:r>
      <w:r w:rsidRPr="00853B64">
        <w:rPr>
          <w:vertAlign w:val="subscript"/>
        </w:rPr>
        <w:t>6</w:t>
      </w:r>
      <w:r w:rsidRPr="00853B64">
        <w:t xml:space="preserve"> (24.0 g total seed weight). The lowest yields were recorded in T1, with 8.0 g per plant and 18.0 g total seed weight. These results indicate that treatments combining nano nutrients and organic manure (T</w:t>
      </w:r>
      <w:r w:rsidRPr="00853B64">
        <w:rPr>
          <w:vertAlign w:val="subscript"/>
        </w:rPr>
        <w:t>5</w:t>
      </w:r>
      <w:r w:rsidRPr="00853B64">
        <w:t xml:space="preserve"> and T</w:t>
      </w:r>
      <w:r w:rsidRPr="00853B64">
        <w:rPr>
          <w:vertAlign w:val="subscript"/>
        </w:rPr>
        <w:t>6</w:t>
      </w:r>
      <w:r w:rsidRPr="00853B64">
        <w:t xml:space="preserve">) enhance pod development and seed production, likely due to improved nutrient availability and physiological activity during reproductive stages (Patel et al., 2023). The integrated nutrient management strategies positively influenced both yield components and total productivity of </w:t>
      </w:r>
      <w:r w:rsidRPr="00853B64">
        <w:rPr>
          <w:rStyle w:val="Emphasis"/>
        </w:rPr>
        <w:t>Pisum sativum</w:t>
      </w:r>
      <w:r w:rsidRPr="00853B64">
        <w:t xml:space="preserve"> L.</w:t>
      </w:r>
    </w:p>
    <w:p w14:paraId="505924C3" w14:textId="77777777" w:rsidR="002A381E" w:rsidRPr="00853B64" w:rsidRDefault="00BF69DD" w:rsidP="0020566E">
      <w:pPr>
        <w:pStyle w:val="NormalWeb"/>
        <w:jc w:val="both"/>
        <w:rPr>
          <w:rStyle w:val="Strong"/>
          <w:b w:val="0"/>
          <w:bCs w:val="0"/>
        </w:rPr>
      </w:pPr>
      <w:r w:rsidRPr="00853B64">
        <w:rPr>
          <w:noProof/>
        </w:rPr>
        <w:lastRenderedPageBreak/>
        <w:drawing>
          <wp:inline distT="0" distB="0" distL="0" distR="0" wp14:anchorId="7292D79E" wp14:editId="0666AB62">
            <wp:extent cx="6028067" cy="2743200"/>
            <wp:effectExtent l="19050" t="0" r="10783"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E41CF1" w14:textId="0BD0D5FA" w:rsidR="00853B64" w:rsidRPr="00853B64" w:rsidRDefault="0020566E" w:rsidP="0020566E">
      <w:pPr>
        <w:pStyle w:val="NormalWeb"/>
        <w:spacing w:before="0" w:beforeAutospacing="0" w:after="0" w:afterAutospacing="0"/>
        <w:jc w:val="both"/>
        <w:rPr>
          <w:rStyle w:val="Strong"/>
          <w:b w:val="0"/>
          <w:bCs w:val="0"/>
          <w:color w:val="0E101A"/>
        </w:rPr>
      </w:pPr>
      <w:r w:rsidRPr="00853B64">
        <w:rPr>
          <w:rStyle w:val="Strong"/>
          <w:b w:val="0"/>
          <w:bCs w:val="0"/>
          <w:color w:val="0E101A"/>
        </w:rPr>
        <w:t>Fig.</w:t>
      </w:r>
      <w:r w:rsidR="005E2285">
        <w:rPr>
          <w:rStyle w:val="Strong"/>
          <w:b w:val="0"/>
          <w:bCs w:val="0"/>
          <w:color w:val="0E101A"/>
        </w:rPr>
        <w:t>3</w:t>
      </w:r>
      <w:r w:rsidRPr="00853B64">
        <w:rPr>
          <w:rStyle w:val="Strong"/>
          <w:b w:val="0"/>
          <w:bCs w:val="0"/>
          <w:color w:val="0E101A"/>
        </w:rPr>
        <w:t>.Effect of different treatments on yield parameters of pea; Number of pods, Pods length (cm), seeds per pods, seed yield per plants (g) and seed weight (g).</w:t>
      </w:r>
    </w:p>
    <w:p w14:paraId="783703B1" w14:textId="77777777" w:rsidR="002A381E" w:rsidRDefault="002A381E" w:rsidP="0020566E">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p>
    <w:p w14:paraId="71959BB4" w14:textId="77777777" w:rsidR="0020566E" w:rsidRPr="00853B64" w:rsidRDefault="002A381E" w:rsidP="0020566E">
      <w:pPr>
        <w:spacing w:before="100" w:beforeAutospacing="1" w:after="100" w:afterAutospacing="1" w:line="240" w:lineRule="auto"/>
        <w:jc w:val="both"/>
        <w:outlineLvl w:val="2"/>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4</w:t>
      </w:r>
      <w:r w:rsidR="0020566E" w:rsidRPr="00853B64">
        <w:rPr>
          <w:rFonts w:ascii="Times New Roman" w:eastAsia="Times New Roman" w:hAnsi="Times New Roman" w:cs="Times New Roman"/>
          <w:b/>
          <w:bCs/>
          <w:kern w:val="0"/>
          <w:sz w:val="24"/>
          <w:szCs w:val="24"/>
        </w:rPr>
        <w:t>. Conclusion</w:t>
      </w:r>
    </w:p>
    <w:p w14:paraId="138332B8" w14:textId="77777777" w:rsidR="00853B64" w:rsidRPr="00853B64" w:rsidRDefault="0020566E" w:rsidP="00853B64">
      <w:pPr>
        <w:spacing w:before="100" w:beforeAutospacing="1" w:after="100" w:afterAutospacing="1" w:line="240" w:lineRule="auto"/>
        <w:jc w:val="both"/>
        <w:rPr>
          <w:rFonts w:ascii="Times New Roman" w:hAnsi="Times New Roman" w:cs="Times New Roman"/>
          <w:b/>
          <w:bCs/>
          <w:color w:val="0E101A"/>
          <w:sz w:val="24"/>
          <w:szCs w:val="24"/>
        </w:rPr>
      </w:pPr>
      <w:r w:rsidRPr="00853B64">
        <w:rPr>
          <w:rFonts w:ascii="Times New Roman" w:eastAsia="Times New Roman" w:hAnsi="Times New Roman" w:cs="Times New Roman"/>
          <w:kern w:val="0"/>
          <w:sz w:val="24"/>
          <w:szCs w:val="24"/>
        </w:rPr>
        <w:t xml:space="preserve">This investigation confirms that integrating Rhizobium inoculation with nano-nutrients and organic manure significantly improves vegetative growth, chlorophyll content, and yield in </w:t>
      </w:r>
      <w:r w:rsidRPr="00853B64">
        <w:rPr>
          <w:rFonts w:ascii="Times New Roman" w:eastAsia="Times New Roman" w:hAnsi="Times New Roman" w:cs="Times New Roman"/>
          <w:i/>
          <w:iCs/>
          <w:kern w:val="0"/>
          <w:sz w:val="24"/>
          <w:szCs w:val="24"/>
        </w:rPr>
        <w:t>Pisum sativum</w:t>
      </w:r>
      <w:r w:rsidRPr="00853B64">
        <w:rPr>
          <w:rFonts w:ascii="Times New Roman" w:eastAsia="Times New Roman" w:hAnsi="Times New Roman" w:cs="Times New Roman"/>
          <w:kern w:val="0"/>
          <w:sz w:val="24"/>
          <w:szCs w:val="24"/>
        </w:rPr>
        <w:t xml:space="preserve"> L. Treatments T</w:t>
      </w:r>
      <w:r w:rsidRPr="00853B64">
        <w:rPr>
          <w:rFonts w:ascii="Times New Roman" w:eastAsia="Times New Roman" w:hAnsi="Times New Roman" w:cs="Times New Roman"/>
          <w:kern w:val="0"/>
          <w:sz w:val="24"/>
          <w:szCs w:val="24"/>
          <w:vertAlign w:val="subscript"/>
        </w:rPr>
        <w:t>5</w:t>
      </w:r>
      <w:r w:rsidRPr="00853B64">
        <w:rPr>
          <w:rFonts w:ascii="Times New Roman" w:eastAsia="Times New Roman" w:hAnsi="Times New Roman" w:cs="Times New Roman"/>
          <w:kern w:val="0"/>
          <w:sz w:val="24"/>
          <w:szCs w:val="24"/>
        </w:rPr>
        <w:t xml:space="preserve"> (Rhizobium + Nano nutrients + Organic manure) and T</w:t>
      </w:r>
      <w:r w:rsidRPr="00853B64">
        <w:rPr>
          <w:rFonts w:ascii="Times New Roman" w:eastAsia="Times New Roman" w:hAnsi="Times New Roman" w:cs="Times New Roman"/>
          <w:kern w:val="0"/>
          <w:sz w:val="24"/>
          <w:szCs w:val="24"/>
          <w:vertAlign w:val="subscript"/>
        </w:rPr>
        <w:t>6</w:t>
      </w:r>
      <w:r w:rsidRPr="00853B64">
        <w:rPr>
          <w:rFonts w:ascii="Times New Roman" w:eastAsia="Times New Roman" w:hAnsi="Times New Roman" w:cs="Times New Roman"/>
          <w:kern w:val="0"/>
          <w:sz w:val="24"/>
          <w:szCs w:val="24"/>
        </w:rPr>
        <w:t xml:space="preserve"> (Rhizobium + Organic manure) notably enhanced plant height, leaf number, branching, chlorophyll synthesis, and pod and seed development compared to the control and single-factor treatments. The increased nitrogen fixation, nutrient availability, and improved soil health under these treatments contributed to enhanced biomass accumulation and reproductive performance, ultimately leading to higher seed yield. The superior photosynthetic pigment content observed in T</w:t>
      </w:r>
      <w:r w:rsidRPr="00853B64">
        <w:rPr>
          <w:rFonts w:ascii="Times New Roman" w:eastAsia="Times New Roman" w:hAnsi="Times New Roman" w:cs="Times New Roman"/>
          <w:kern w:val="0"/>
          <w:sz w:val="24"/>
          <w:szCs w:val="24"/>
          <w:vertAlign w:val="subscript"/>
        </w:rPr>
        <w:t>5</w:t>
      </w:r>
      <w:r w:rsidRPr="00853B64">
        <w:rPr>
          <w:rFonts w:ascii="Times New Roman" w:eastAsia="Times New Roman" w:hAnsi="Times New Roman" w:cs="Times New Roman"/>
          <w:kern w:val="0"/>
          <w:sz w:val="24"/>
          <w:szCs w:val="24"/>
        </w:rPr>
        <w:t xml:space="preserve"> suggests better physiological functioning that supports yield formation. These findings highlight the potential of integrated nutrient management approaches combining biofertilizers, nano-fertilizers, and organic amendments for boosting pea productivity sustainably while maintaining soil fertility and environmental balance.</w:t>
      </w:r>
    </w:p>
    <w:p w14:paraId="10B19E9F" w14:textId="77777777" w:rsidR="007D360F" w:rsidRPr="00853B64" w:rsidRDefault="002A381E" w:rsidP="0020566E">
      <w:pPr>
        <w:pStyle w:val="NormalWeb"/>
        <w:jc w:val="both"/>
        <w:rPr>
          <w:b/>
          <w:bCs/>
        </w:rPr>
      </w:pPr>
      <w:r>
        <w:rPr>
          <w:b/>
          <w:bCs/>
        </w:rPr>
        <w:t>5</w:t>
      </w:r>
      <w:r w:rsidR="0020566E" w:rsidRPr="00853B64">
        <w:rPr>
          <w:b/>
          <w:bCs/>
        </w:rPr>
        <w:t>. References</w:t>
      </w:r>
    </w:p>
    <w:p w14:paraId="091F0598" w14:textId="77777777" w:rsidR="0020566E" w:rsidRPr="00853B64" w:rsidRDefault="0020566E" w:rsidP="0020566E">
      <w:pPr>
        <w:pStyle w:val="NormalWeb"/>
        <w:numPr>
          <w:ilvl w:val="0"/>
          <w:numId w:val="2"/>
        </w:numPr>
      </w:pPr>
      <w:r w:rsidRPr="00853B64">
        <w:rPr>
          <w:rStyle w:val="Strong"/>
          <w:b w:val="0"/>
          <w:bCs w:val="0"/>
        </w:rPr>
        <w:t>Kumar, A., Singh, P., &amp; Yadav, R.</w:t>
      </w:r>
      <w:r w:rsidRPr="00853B64">
        <w:t xml:space="preserve"> (2023). </w:t>
      </w:r>
      <w:r w:rsidRPr="00853B64">
        <w:rPr>
          <w:rStyle w:val="Emphasis"/>
        </w:rPr>
        <w:t>Impact of environmental stressors on phenological and yield traits of Pisum sativum L.</w:t>
      </w:r>
      <w:r w:rsidRPr="00853B64">
        <w:t xml:space="preserve"> </w:t>
      </w:r>
      <w:r w:rsidRPr="00853B64">
        <w:rPr>
          <w:rStyle w:val="Strong"/>
          <w:b w:val="0"/>
          <w:bCs w:val="0"/>
        </w:rPr>
        <w:t>International Journal of Plant and Soil Science</w:t>
      </w:r>
      <w:r w:rsidRPr="00853B64">
        <w:t>, 35(2), 145–158. https://doi.org/10.9734/IJPSS/2023/v35i21420</w:t>
      </w:r>
    </w:p>
    <w:p w14:paraId="062644CE" w14:textId="77777777" w:rsidR="0020566E" w:rsidRPr="00853B64" w:rsidRDefault="0020566E" w:rsidP="0020566E">
      <w:pPr>
        <w:pStyle w:val="NormalWeb"/>
        <w:numPr>
          <w:ilvl w:val="0"/>
          <w:numId w:val="2"/>
        </w:numPr>
      </w:pPr>
      <w:r w:rsidRPr="00853B64">
        <w:rPr>
          <w:rStyle w:val="Strong"/>
          <w:b w:val="0"/>
          <w:bCs w:val="0"/>
        </w:rPr>
        <w:t>Patel, H. R., Meena, R. S., &amp; Choudhary, S.</w:t>
      </w:r>
      <w:r w:rsidRPr="00853B64">
        <w:t xml:space="preserve"> (2023). </w:t>
      </w:r>
      <w:r w:rsidRPr="00853B64">
        <w:rPr>
          <w:rStyle w:val="Emphasis"/>
        </w:rPr>
        <w:t>Effect of Rhizobium and organic amendments on growth and yield of leguminous crops under organic systems.</w:t>
      </w:r>
      <w:r w:rsidRPr="00853B64">
        <w:t xml:space="preserve"> </w:t>
      </w:r>
      <w:r w:rsidRPr="00853B64">
        <w:rPr>
          <w:rStyle w:val="Strong"/>
          <w:b w:val="0"/>
          <w:bCs w:val="0"/>
        </w:rPr>
        <w:t>Agricultural Reviews</w:t>
      </w:r>
      <w:r w:rsidRPr="00853B64">
        <w:t>, 44(3), 231–239. https://doi.org/10.18805/ag.R-2212</w:t>
      </w:r>
    </w:p>
    <w:p w14:paraId="052A493D" w14:textId="77777777" w:rsidR="0020566E" w:rsidRPr="00853B64" w:rsidRDefault="0020566E" w:rsidP="0020566E">
      <w:pPr>
        <w:pStyle w:val="NormalWeb"/>
        <w:numPr>
          <w:ilvl w:val="0"/>
          <w:numId w:val="2"/>
        </w:numPr>
      </w:pPr>
      <w:r w:rsidRPr="00853B64">
        <w:rPr>
          <w:rStyle w:val="Strong"/>
          <w:b w:val="0"/>
          <w:bCs w:val="0"/>
        </w:rPr>
        <w:lastRenderedPageBreak/>
        <w:t>Sharma, A., &amp; Yadav, D.</w:t>
      </w:r>
      <w:r w:rsidRPr="00853B64">
        <w:t xml:space="preserve"> (2024). </w:t>
      </w:r>
      <w:r w:rsidRPr="00853B64">
        <w:rPr>
          <w:rStyle w:val="Emphasis"/>
        </w:rPr>
        <w:t>Nano-fertilizers: Innovations and implications in sustainable agriculture.</w:t>
      </w:r>
      <w:r w:rsidRPr="00853B64">
        <w:t xml:space="preserve"> </w:t>
      </w:r>
      <w:r w:rsidRPr="00853B64">
        <w:rPr>
          <w:rStyle w:val="Strong"/>
          <w:b w:val="0"/>
          <w:bCs w:val="0"/>
        </w:rPr>
        <w:t>Journal of Nanobiotechnology and Agriculture</w:t>
      </w:r>
      <w:r w:rsidRPr="00853B64">
        <w:t>, 18(1), 12–26. https://doi.org/10.1186/s12951-024-01933-w</w:t>
      </w:r>
    </w:p>
    <w:p w14:paraId="424857B1" w14:textId="77777777" w:rsidR="0020566E" w:rsidRPr="00853B64" w:rsidRDefault="0020566E" w:rsidP="0020566E">
      <w:pPr>
        <w:pStyle w:val="NormalWeb"/>
        <w:numPr>
          <w:ilvl w:val="0"/>
          <w:numId w:val="2"/>
        </w:numPr>
      </w:pPr>
      <w:r w:rsidRPr="00853B64">
        <w:rPr>
          <w:rStyle w:val="Strong"/>
          <w:b w:val="0"/>
          <w:bCs w:val="0"/>
        </w:rPr>
        <w:t>Singh, K., &amp; Gupta, A. K.</w:t>
      </w:r>
      <w:r w:rsidRPr="00853B64">
        <w:t xml:space="preserve"> (2024). </w:t>
      </w:r>
      <w:r w:rsidRPr="00853B64">
        <w:rPr>
          <w:rStyle w:val="Emphasis"/>
        </w:rPr>
        <w:t>Interactive effects of climate and soil management on growth parameters of cool-season legumes.</w:t>
      </w:r>
      <w:r w:rsidRPr="00853B64">
        <w:t xml:space="preserve"> </w:t>
      </w:r>
      <w:r w:rsidRPr="00853B64">
        <w:rPr>
          <w:rStyle w:val="Strong"/>
          <w:b w:val="0"/>
          <w:bCs w:val="0"/>
        </w:rPr>
        <w:t>Indian Journal of Agronomy</w:t>
      </w:r>
      <w:r w:rsidRPr="00853B64">
        <w:t>, 69(1), 71–80. https://doi.org/10.5958/0974-7443.2024.00010.6</w:t>
      </w:r>
    </w:p>
    <w:p w14:paraId="6C58F36B" w14:textId="77777777" w:rsidR="0020566E" w:rsidRPr="00853B64" w:rsidRDefault="0020566E" w:rsidP="0020566E">
      <w:pPr>
        <w:pStyle w:val="NormalWeb"/>
        <w:numPr>
          <w:ilvl w:val="0"/>
          <w:numId w:val="2"/>
        </w:numPr>
      </w:pPr>
      <w:r w:rsidRPr="00853B64">
        <w:rPr>
          <w:rStyle w:val="Strong"/>
          <w:b w:val="0"/>
          <w:bCs w:val="0"/>
        </w:rPr>
        <w:t>Verma, P., &amp; Singh, R.</w:t>
      </w:r>
      <w:r w:rsidRPr="00853B64">
        <w:t xml:space="preserve"> (2023). </w:t>
      </w:r>
      <w:r w:rsidRPr="00853B64">
        <w:rPr>
          <w:rStyle w:val="Emphasis"/>
        </w:rPr>
        <w:t>Chlorophyll synthesis and vegetative growth in Pisum sativum L. as influenced by nano-fertilizer applications.</w:t>
      </w:r>
      <w:r w:rsidRPr="00853B64">
        <w:t xml:space="preserve"> </w:t>
      </w:r>
      <w:r w:rsidRPr="00853B64">
        <w:rPr>
          <w:rStyle w:val="Strong"/>
          <w:b w:val="0"/>
          <w:bCs w:val="0"/>
        </w:rPr>
        <w:t>Green Plant Journal</w:t>
      </w:r>
      <w:r w:rsidRPr="00853B64">
        <w:t>, 22(4), 302–310. https://doi.org/10.26524/gpj.2023.04.22</w:t>
      </w:r>
    </w:p>
    <w:p w14:paraId="2B7F5312" w14:textId="77777777" w:rsidR="0020566E" w:rsidRPr="00853B64" w:rsidRDefault="0020566E" w:rsidP="0020566E">
      <w:pPr>
        <w:pStyle w:val="NormalWeb"/>
        <w:numPr>
          <w:ilvl w:val="0"/>
          <w:numId w:val="2"/>
        </w:numPr>
      </w:pPr>
      <w:r w:rsidRPr="00853B64">
        <w:rPr>
          <w:rStyle w:val="Strong"/>
          <w:b w:val="0"/>
          <w:bCs w:val="0"/>
        </w:rPr>
        <w:t>Choudhary, N., Bhatt, A., &amp; Dey, P.</w:t>
      </w:r>
      <w:r w:rsidRPr="00853B64">
        <w:t xml:space="preserve"> (2025). </w:t>
      </w:r>
      <w:r w:rsidRPr="00853B64">
        <w:rPr>
          <w:rStyle w:val="Emphasis"/>
        </w:rPr>
        <w:t>Integrated nutrient management: A sustainable approach for enhanced legume productivity.</w:t>
      </w:r>
      <w:r w:rsidRPr="00853B64">
        <w:t xml:space="preserve"> </w:t>
      </w:r>
      <w:r w:rsidRPr="00853B64">
        <w:rPr>
          <w:rStyle w:val="Strong"/>
          <w:b w:val="0"/>
          <w:bCs w:val="0"/>
        </w:rPr>
        <w:t>Sustainable Agriculture Reports</w:t>
      </w:r>
      <w:r w:rsidRPr="00853B64">
        <w:t>, 9(1), 18–28. https://doi.org/10.1016/j.susagr.2025.100189</w:t>
      </w:r>
    </w:p>
    <w:p w14:paraId="4EA2B57A" w14:textId="77777777" w:rsidR="0020566E" w:rsidRPr="00853B64" w:rsidRDefault="0020566E" w:rsidP="0020566E">
      <w:pPr>
        <w:pStyle w:val="NormalWeb"/>
        <w:numPr>
          <w:ilvl w:val="0"/>
          <w:numId w:val="2"/>
        </w:numPr>
      </w:pPr>
      <w:r w:rsidRPr="00853B64">
        <w:rPr>
          <w:rStyle w:val="Strong"/>
          <w:b w:val="0"/>
          <w:bCs w:val="0"/>
        </w:rPr>
        <w:t>FAO</w:t>
      </w:r>
      <w:r w:rsidRPr="00853B64">
        <w:t xml:space="preserve">. (2024). </w:t>
      </w:r>
      <w:r w:rsidRPr="00853B64">
        <w:rPr>
          <w:rStyle w:val="Emphasis"/>
        </w:rPr>
        <w:t>FAOSTAT: Global production statistics for peas (dry and fresh).</w:t>
      </w:r>
      <w:r w:rsidRPr="00853B64">
        <w:t xml:space="preserve"> Retrieved from </w:t>
      </w:r>
      <w:hyperlink r:id="rId12" w:tgtFrame="_new" w:history="1">
        <w:r w:rsidRPr="00853B64">
          <w:rPr>
            <w:rStyle w:val="Hyperlink"/>
          </w:rPr>
          <w:t>https://www.fao.org/faostat</w:t>
        </w:r>
      </w:hyperlink>
    </w:p>
    <w:p w14:paraId="5318DE4A" w14:textId="77777777" w:rsidR="0020566E" w:rsidRPr="00853B64" w:rsidRDefault="0020566E" w:rsidP="0020566E">
      <w:pPr>
        <w:pStyle w:val="NormalWeb"/>
        <w:numPr>
          <w:ilvl w:val="0"/>
          <w:numId w:val="2"/>
        </w:numPr>
      </w:pPr>
      <w:r w:rsidRPr="00513EE6">
        <w:rPr>
          <w:rStyle w:val="Strong"/>
          <w:b w:val="0"/>
          <w:bCs w:val="0"/>
          <w:lang w:val="pt-PT"/>
        </w:rPr>
        <w:t>Kumar, R., Sharma, M., &amp; Tiwari, V.</w:t>
      </w:r>
      <w:r w:rsidRPr="00513EE6">
        <w:rPr>
          <w:lang w:val="pt-PT"/>
        </w:rPr>
        <w:t xml:space="preserve"> (2025). </w:t>
      </w:r>
      <w:r w:rsidRPr="00853B64">
        <w:rPr>
          <w:rStyle w:val="Emphasis"/>
        </w:rPr>
        <w:t>Influence of Rhizobium and organic inputs on soil health and crop performance in pea (Pisum sativum L.).</w:t>
      </w:r>
      <w:r w:rsidRPr="00853B64">
        <w:t xml:space="preserve"> </w:t>
      </w:r>
      <w:r w:rsidRPr="00853B64">
        <w:rPr>
          <w:rStyle w:val="Strong"/>
          <w:b w:val="0"/>
          <w:bCs w:val="0"/>
        </w:rPr>
        <w:t>Legume Research – An International Journal</w:t>
      </w:r>
      <w:r w:rsidRPr="00853B64">
        <w:t>, 48(2), 185–193. https://doi.org/10.18805/LR-4521</w:t>
      </w:r>
    </w:p>
    <w:p w14:paraId="7C1495F8" w14:textId="77777777" w:rsidR="0020566E" w:rsidRPr="00853B64" w:rsidRDefault="0020566E" w:rsidP="0020566E">
      <w:pPr>
        <w:pStyle w:val="NormalWeb"/>
        <w:numPr>
          <w:ilvl w:val="0"/>
          <w:numId w:val="2"/>
        </w:numPr>
      </w:pPr>
      <w:r w:rsidRPr="00853B64">
        <w:rPr>
          <w:rStyle w:val="Strong"/>
          <w:b w:val="0"/>
          <w:bCs w:val="0"/>
        </w:rPr>
        <w:t>Arnon, D. I.</w:t>
      </w:r>
      <w:r w:rsidRPr="00853B64">
        <w:t xml:space="preserve"> (1949). </w:t>
      </w:r>
      <w:r w:rsidRPr="00853B64">
        <w:rPr>
          <w:rStyle w:val="Emphasis"/>
        </w:rPr>
        <w:t xml:space="preserve">Copper enzymes in isolated chloroplasts: </w:t>
      </w:r>
      <w:proofErr w:type="spellStart"/>
      <w:r w:rsidRPr="00853B64">
        <w:rPr>
          <w:rStyle w:val="Emphasis"/>
        </w:rPr>
        <w:t>Polyphenoloxidase</w:t>
      </w:r>
      <w:proofErr w:type="spellEnd"/>
      <w:r w:rsidRPr="00853B64">
        <w:rPr>
          <w:rStyle w:val="Emphasis"/>
        </w:rPr>
        <w:t xml:space="preserve"> in Beta vulgaris.</w:t>
      </w:r>
      <w:r w:rsidRPr="00853B64">
        <w:t xml:space="preserve"> </w:t>
      </w:r>
      <w:r w:rsidRPr="00853B64">
        <w:rPr>
          <w:rStyle w:val="Strong"/>
          <w:b w:val="0"/>
          <w:bCs w:val="0"/>
        </w:rPr>
        <w:t>Plant Physiology</w:t>
      </w:r>
      <w:r w:rsidRPr="00853B64">
        <w:t>, 24(1), 1–15. (for chlorophyll estimation method)</w:t>
      </w:r>
    </w:p>
    <w:p w14:paraId="3CCA4A2C" w14:textId="77777777" w:rsidR="00E618EF" w:rsidRPr="00853B64" w:rsidRDefault="00E618EF" w:rsidP="007D360F">
      <w:pPr>
        <w:spacing w:line="240" w:lineRule="auto"/>
        <w:jc w:val="both"/>
        <w:rPr>
          <w:rFonts w:ascii="Times New Roman" w:hAnsi="Times New Roman" w:cs="Times New Roman"/>
          <w:sz w:val="24"/>
          <w:szCs w:val="24"/>
        </w:rPr>
      </w:pPr>
    </w:p>
    <w:sectPr w:rsidR="00E618EF" w:rsidRPr="00853B64" w:rsidSect="00580EA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83E97" w14:textId="77777777" w:rsidR="00D86720" w:rsidRDefault="00D86720" w:rsidP="00E618EF">
      <w:pPr>
        <w:spacing w:after="0" w:line="240" w:lineRule="auto"/>
      </w:pPr>
      <w:r>
        <w:separator/>
      </w:r>
    </w:p>
  </w:endnote>
  <w:endnote w:type="continuationSeparator" w:id="0">
    <w:p w14:paraId="210320FF" w14:textId="77777777" w:rsidR="00D86720" w:rsidRDefault="00D86720" w:rsidP="00E6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831A7" w14:textId="77777777" w:rsidR="00C76D84" w:rsidRDefault="00C76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95DD" w14:textId="77777777" w:rsidR="00C76D84" w:rsidRDefault="00C76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76D4" w14:textId="77777777" w:rsidR="00C76D84" w:rsidRDefault="00C76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98353" w14:textId="77777777" w:rsidR="00D86720" w:rsidRDefault="00D86720" w:rsidP="00E618EF">
      <w:pPr>
        <w:spacing w:after="0" w:line="240" w:lineRule="auto"/>
      </w:pPr>
      <w:r>
        <w:separator/>
      </w:r>
    </w:p>
  </w:footnote>
  <w:footnote w:type="continuationSeparator" w:id="0">
    <w:p w14:paraId="3424B4D8" w14:textId="77777777" w:rsidR="00D86720" w:rsidRDefault="00D86720" w:rsidP="00E61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C626" w14:textId="417A8D1D" w:rsidR="00C76D84" w:rsidRDefault="00C76D84">
    <w:pPr>
      <w:pStyle w:val="Header"/>
    </w:pPr>
    <w:r>
      <w:rPr>
        <w:noProof/>
      </w:rPr>
      <w:pict w14:anchorId="3A78A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6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DD21" w14:textId="164F47CA" w:rsidR="00C76D84" w:rsidRDefault="00C76D84">
    <w:pPr>
      <w:pStyle w:val="Header"/>
    </w:pPr>
    <w:r>
      <w:rPr>
        <w:noProof/>
      </w:rPr>
      <w:pict w14:anchorId="5B9C4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6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0847" w14:textId="015AAA24" w:rsidR="00C76D84" w:rsidRDefault="00C76D84">
    <w:pPr>
      <w:pStyle w:val="Header"/>
    </w:pPr>
    <w:r>
      <w:rPr>
        <w:noProof/>
      </w:rPr>
      <w:pict w14:anchorId="2CE5A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6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3D12"/>
    <w:multiLevelType w:val="multilevel"/>
    <w:tmpl w:val="48E61516"/>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2BE65D3B"/>
    <w:multiLevelType w:val="multilevel"/>
    <w:tmpl w:val="CEA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602068">
    <w:abstractNumId w:val="1"/>
  </w:num>
  <w:num w:numId="2" w16cid:durableId="189307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C94"/>
    <w:rsid w:val="000508A4"/>
    <w:rsid w:val="00057689"/>
    <w:rsid w:val="000964D4"/>
    <w:rsid w:val="00123A92"/>
    <w:rsid w:val="00143DF0"/>
    <w:rsid w:val="00153DD0"/>
    <w:rsid w:val="00190000"/>
    <w:rsid w:val="001C3016"/>
    <w:rsid w:val="0020566E"/>
    <w:rsid w:val="002A381E"/>
    <w:rsid w:val="002B264F"/>
    <w:rsid w:val="002D2245"/>
    <w:rsid w:val="003004C9"/>
    <w:rsid w:val="004010B8"/>
    <w:rsid w:val="004E0847"/>
    <w:rsid w:val="00513EE6"/>
    <w:rsid w:val="00515819"/>
    <w:rsid w:val="00580EA2"/>
    <w:rsid w:val="005E2285"/>
    <w:rsid w:val="007D360F"/>
    <w:rsid w:val="00850F3C"/>
    <w:rsid w:val="00853B64"/>
    <w:rsid w:val="00853CA5"/>
    <w:rsid w:val="008C6D1C"/>
    <w:rsid w:val="008F6800"/>
    <w:rsid w:val="00AB1B2A"/>
    <w:rsid w:val="00AB4C94"/>
    <w:rsid w:val="00BA43D4"/>
    <w:rsid w:val="00BF69DD"/>
    <w:rsid w:val="00C63897"/>
    <w:rsid w:val="00C76D84"/>
    <w:rsid w:val="00CE4799"/>
    <w:rsid w:val="00D34484"/>
    <w:rsid w:val="00D86720"/>
    <w:rsid w:val="00E618EF"/>
    <w:rsid w:val="00F972E9"/>
    <w:rsid w:val="00FB10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3936B"/>
  <w15:docId w15:val="{66650DCC-30B2-4DBC-A5C2-72F25A96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0F"/>
  </w:style>
  <w:style w:type="paragraph" w:styleId="Heading3">
    <w:name w:val="heading 3"/>
    <w:basedOn w:val="Normal"/>
    <w:link w:val="Heading3Char"/>
    <w:uiPriority w:val="9"/>
    <w:qFormat/>
    <w:rsid w:val="00AB4C9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C9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B4C94"/>
    <w:rPr>
      <w:b/>
      <w:bCs/>
    </w:rPr>
  </w:style>
  <w:style w:type="character" w:styleId="Emphasis">
    <w:name w:val="Emphasis"/>
    <w:basedOn w:val="DefaultParagraphFont"/>
    <w:uiPriority w:val="20"/>
    <w:qFormat/>
    <w:rsid w:val="00AB4C94"/>
    <w:rPr>
      <w:i/>
      <w:iCs/>
    </w:rPr>
  </w:style>
  <w:style w:type="character" w:customStyle="1" w:styleId="Heading3Char">
    <w:name w:val="Heading 3 Char"/>
    <w:basedOn w:val="DefaultParagraphFont"/>
    <w:link w:val="Heading3"/>
    <w:uiPriority w:val="9"/>
    <w:rsid w:val="00AB4C94"/>
    <w:rPr>
      <w:rFonts w:ascii="Times New Roman" w:eastAsia="Times New Roman" w:hAnsi="Times New Roman" w:cs="Times New Roman"/>
      <w:b/>
      <w:bCs/>
      <w:kern w:val="0"/>
      <w:sz w:val="27"/>
      <w:szCs w:val="27"/>
    </w:rPr>
  </w:style>
  <w:style w:type="table" w:styleId="TableGrid">
    <w:name w:val="Table Grid"/>
    <w:basedOn w:val="TableNormal"/>
    <w:uiPriority w:val="59"/>
    <w:rsid w:val="00AB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EF"/>
  </w:style>
  <w:style w:type="paragraph" w:styleId="Footer">
    <w:name w:val="footer"/>
    <w:basedOn w:val="Normal"/>
    <w:link w:val="FooterChar"/>
    <w:uiPriority w:val="99"/>
    <w:unhideWhenUsed/>
    <w:rsid w:val="00E61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EF"/>
  </w:style>
  <w:style w:type="paragraph" w:styleId="BalloonText">
    <w:name w:val="Balloon Text"/>
    <w:basedOn w:val="Normal"/>
    <w:link w:val="BalloonTextChar"/>
    <w:uiPriority w:val="99"/>
    <w:semiHidden/>
    <w:unhideWhenUsed/>
    <w:rsid w:val="00E618E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618EF"/>
    <w:rPr>
      <w:rFonts w:ascii="Tahoma" w:hAnsi="Tahoma" w:cs="Mangal"/>
      <w:sz w:val="16"/>
      <w:szCs w:val="14"/>
    </w:rPr>
  </w:style>
  <w:style w:type="character" w:styleId="Hyperlink">
    <w:name w:val="Hyperlink"/>
    <w:basedOn w:val="DefaultParagraphFont"/>
    <w:uiPriority w:val="99"/>
    <w:unhideWhenUsed/>
    <w:rsid w:val="0020566E"/>
    <w:rPr>
      <w:color w:val="0000FF"/>
      <w:u w:val="single"/>
    </w:rPr>
  </w:style>
  <w:style w:type="character" w:styleId="UnresolvedMention">
    <w:name w:val="Unresolved Mention"/>
    <w:basedOn w:val="DefaultParagraphFont"/>
    <w:uiPriority w:val="99"/>
    <w:semiHidden/>
    <w:unhideWhenUsed/>
    <w:rsid w:val="00153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0955">
      <w:bodyDiv w:val="1"/>
      <w:marLeft w:val="0"/>
      <w:marRight w:val="0"/>
      <w:marTop w:val="0"/>
      <w:marBottom w:val="0"/>
      <w:divBdr>
        <w:top w:val="none" w:sz="0" w:space="0" w:color="auto"/>
        <w:left w:val="none" w:sz="0" w:space="0" w:color="auto"/>
        <w:bottom w:val="none" w:sz="0" w:space="0" w:color="auto"/>
        <w:right w:val="none" w:sz="0" w:space="0" w:color="auto"/>
      </w:divBdr>
    </w:div>
    <w:div w:id="415831939">
      <w:bodyDiv w:val="1"/>
      <w:marLeft w:val="0"/>
      <w:marRight w:val="0"/>
      <w:marTop w:val="0"/>
      <w:marBottom w:val="0"/>
      <w:divBdr>
        <w:top w:val="none" w:sz="0" w:space="0" w:color="auto"/>
        <w:left w:val="none" w:sz="0" w:space="0" w:color="auto"/>
        <w:bottom w:val="none" w:sz="0" w:space="0" w:color="auto"/>
        <w:right w:val="none" w:sz="0" w:space="0" w:color="auto"/>
      </w:divBdr>
    </w:div>
    <w:div w:id="455875800">
      <w:bodyDiv w:val="1"/>
      <w:marLeft w:val="0"/>
      <w:marRight w:val="0"/>
      <w:marTop w:val="0"/>
      <w:marBottom w:val="0"/>
      <w:divBdr>
        <w:top w:val="none" w:sz="0" w:space="0" w:color="auto"/>
        <w:left w:val="none" w:sz="0" w:space="0" w:color="auto"/>
        <w:bottom w:val="none" w:sz="0" w:space="0" w:color="auto"/>
        <w:right w:val="none" w:sz="0" w:space="0" w:color="auto"/>
      </w:divBdr>
    </w:div>
    <w:div w:id="571239745">
      <w:bodyDiv w:val="1"/>
      <w:marLeft w:val="0"/>
      <w:marRight w:val="0"/>
      <w:marTop w:val="0"/>
      <w:marBottom w:val="0"/>
      <w:divBdr>
        <w:top w:val="none" w:sz="0" w:space="0" w:color="auto"/>
        <w:left w:val="none" w:sz="0" w:space="0" w:color="auto"/>
        <w:bottom w:val="none" w:sz="0" w:space="0" w:color="auto"/>
        <w:right w:val="none" w:sz="0" w:space="0" w:color="auto"/>
      </w:divBdr>
    </w:div>
    <w:div w:id="799417282">
      <w:bodyDiv w:val="1"/>
      <w:marLeft w:val="0"/>
      <w:marRight w:val="0"/>
      <w:marTop w:val="0"/>
      <w:marBottom w:val="0"/>
      <w:divBdr>
        <w:top w:val="none" w:sz="0" w:space="0" w:color="auto"/>
        <w:left w:val="none" w:sz="0" w:space="0" w:color="auto"/>
        <w:bottom w:val="none" w:sz="0" w:space="0" w:color="auto"/>
        <w:right w:val="none" w:sz="0" w:space="0" w:color="auto"/>
      </w:divBdr>
    </w:div>
    <w:div w:id="1378119527">
      <w:bodyDiv w:val="1"/>
      <w:marLeft w:val="0"/>
      <w:marRight w:val="0"/>
      <w:marTop w:val="0"/>
      <w:marBottom w:val="0"/>
      <w:divBdr>
        <w:top w:val="none" w:sz="0" w:space="0" w:color="auto"/>
        <w:left w:val="none" w:sz="0" w:space="0" w:color="auto"/>
        <w:bottom w:val="none" w:sz="0" w:space="0" w:color="auto"/>
        <w:right w:val="none" w:sz="0" w:space="0" w:color="auto"/>
      </w:divBdr>
    </w:div>
    <w:div w:id="1438476459">
      <w:bodyDiv w:val="1"/>
      <w:marLeft w:val="0"/>
      <w:marRight w:val="0"/>
      <w:marTop w:val="0"/>
      <w:marBottom w:val="0"/>
      <w:divBdr>
        <w:top w:val="none" w:sz="0" w:space="0" w:color="auto"/>
        <w:left w:val="none" w:sz="0" w:space="0" w:color="auto"/>
        <w:bottom w:val="none" w:sz="0" w:space="0" w:color="auto"/>
        <w:right w:val="none" w:sz="0" w:space="0" w:color="auto"/>
      </w:divBdr>
    </w:div>
    <w:div w:id="1460412445">
      <w:bodyDiv w:val="1"/>
      <w:marLeft w:val="0"/>
      <w:marRight w:val="0"/>
      <w:marTop w:val="0"/>
      <w:marBottom w:val="0"/>
      <w:divBdr>
        <w:top w:val="none" w:sz="0" w:space="0" w:color="auto"/>
        <w:left w:val="none" w:sz="0" w:space="0" w:color="auto"/>
        <w:bottom w:val="none" w:sz="0" w:space="0" w:color="auto"/>
        <w:right w:val="none" w:sz="0" w:space="0" w:color="auto"/>
      </w:divBdr>
    </w:div>
    <w:div w:id="1688486154">
      <w:bodyDiv w:val="1"/>
      <w:marLeft w:val="0"/>
      <w:marRight w:val="0"/>
      <w:marTop w:val="0"/>
      <w:marBottom w:val="0"/>
      <w:divBdr>
        <w:top w:val="none" w:sz="0" w:space="0" w:color="auto"/>
        <w:left w:val="none" w:sz="0" w:space="0" w:color="auto"/>
        <w:bottom w:val="none" w:sz="0" w:space="0" w:color="auto"/>
        <w:right w:val="none" w:sz="0" w:space="0" w:color="auto"/>
      </w:divBdr>
    </w:div>
    <w:div w:id="1700086085">
      <w:bodyDiv w:val="1"/>
      <w:marLeft w:val="0"/>
      <w:marRight w:val="0"/>
      <w:marTop w:val="0"/>
      <w:marBottom w:val="0"/>
      <w:divBdr>
        <w:top w:val="none" w:sz="0" w:space="0" w:color="auto"/>
        <w:left w:val="none" w:sz="0" w:space="0" w:color="auto"/>
        <w:bottom w:val="none" w:sz="0" w:space="0" w:color="auto"/>
        <w:right w:val="none" w:sz="0" w:space="0" w:color="auto"/>
      </w:divBdr>
    </w:div>
    <w:div w:id="1977644729">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3">
          <w:marLeft w:val="0"/>
          <w:marRight w:val="0"/>
          <w:marTop w:val="0"/>
          <w:marBottom w:val="0"/>
          <w:divBdr>
            <w:top w:val="none" w:sz="0" w:space="0" w:color="auto"/>
            <w:left w:val="none" w:sz="0" w:space="0" w:color="auto"/>
            <w:bottom w:val="none" w:sz="0" w:space="0" w:color="auto"/>
            <w:right w:val="none" w:sz="0" w:space="0" w:color="auto"/>
          </w:divBdr>
          <w:divsChild>
            <w:div w:id="1982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fao.org/faosta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8.0321741032370997E-2"/>
          <c:y val="5.6030183727034118E-2"/>
          <c:w val="0.75324912510936171"/>
          <c:h val="0.8326195683872849"/>
        </c:manualLayout>
      </c:layout>
      <c:barChart>
        <c:barDir val="col"/>
        <c:grouping val="clustered"/>
        <c:varyColors val="0"/>
        <c:ser>
          <c:idx val="0"/>
          <c:order val="0"/>
          <c:tx>
            <c:strRef>
              <c:f>Sheet1!$B$3</c:f>
              <c:strCache>
                <c:ptCount val="1"/>
                <c:pt idx="0">
                  <c:v>15 DAS</c:v>
                </c:pt>
              </c:strCache>
            </c:strRef>
          </c:tx>
          <c:invertIfNegative val="0"/>
          <c:cat>
            <c:strRef>
              <c:f>Sheet1!$A$4:$A$9</c:f>
              <c:strCache>
                <c:ptCount val="6"/>
                <c:pt idx="0">
                  <c:v>T1</c:v>
                </c:pt>
                <c:pt idx="1">
                  <c:v>T2</c:v>
                </c:pt>
                <c:pt idx="2">
                  <c:v>T3</c:v>
                </c:pt>
                <c:pt idx="3">
                  <c:v>T4</c:v>
                </c:pt>
                <c:pt idx="4">
                  <c:v>T5</c:v>
                </c:pt>
                <c:pt idx="5">
                  <c:v>T6</c:v>
                </c:pt>
              </c:strCache>
            </c:strRef>
          </c:cat>
          <c:val>
            <c:numRef>
              <c:f>Sheet1!$B$4:$B$9</c:f>
              <c:numCache>
                <c:formatCode>General</c:formatCode>
                <c:ptCount val="6"/>
                <c:pt idx="0">
                  <c:v>6</c:v>
                </c:pt>
                <c:pt idx="1">
                  <c:v>8</c:v>
                </c:pt>
                <c:pt idx="2">
                  <c:v>5</c:v>
                </c:pt>
                <c:pt idx="3">
                  <c:v>9</c:v>
                </c:pt>
                <c:pt idx="4">
                  <c:v>9.5</c:v>
                </c:pt>
                <c:pt idx="5">
                  <c:v>12</c:v>
                </c:pt>
              </c:numCache>
            </c:numRef>
          </c:val>
          <c:extLst>
            <c:ext xmlns:c16="http://schemas.microsoft.com/office/drawing/2014/chart" uri="{C3380CC4-5D6E-409C-BE32-E72D297353CC}">
              <c16:uniqueId val="{00000000-4D4C-4B36-8FE8-29EF8B945A0C}"/>
            </c:ext>
          </c:extLst>
        </c:ser>
        <c:ser>
          <c:idx val="1"/>
          <c:order val="1"/>
          <c:tx>
            <c:strRef>
              <c:f>Sheet1!$C$3</c:f>
              <c:strCache>
                <c:ptCount val="1"/>
                <c:pt idx="0">
                  <c:v>30 DAS</c:v>
                </c:pt>
              </c:strCache>
            </c:strRef>
          </c:tx>
          <c:invertIfNegative val="0"/>
          <c:cat>
            <c:strRef>
              <c:f>Sheet1!$A$4:$A$9</c:f>
              <c:strCache>
                <c:ptCount val="6"/>
                <c:pt idx="0">
                  <c:v>T1</c:v>
                </c:pt>
                <c:pt idx="1">
                  <c:v>T2</c:v>
                </c:pt>
                <c:pt idx="2">
                  <c:v>T3</c:v>
                </c:pt>
                <c:pt idx="3">
                  <c:v>T4</c:v>
                </c:pt>
                <c:pt idx="4">
                  <c:v>T5</c:v>
                </c:pt>
                <c:pt idx="5">
                  <c:v>T6</c:v>
                </c:pt>
              </c:strCache>
            </c:strRef>
          </c:cat>
          <c:val>
            <c:numRef>
              <c:f>Sheet1!$C$4:$C$9</c:f>
              <c:numCache>
                <c:formatCode>General</c:formatCode>
                <c:ptCount val="6"/>
                <c:pt idx="0">
                  <c:v>8</c:v>
                </c:pt>
                <c:pt idx="1">
                  <c:v>12</c:v>
                </c:pt>
                <c:pt idx="2">
                  <c:v>7</c:v>
                </c:pt>
                <c:pt idx="3">
                  <c:v>12</c:v>
                </c:pt>
                <c:pt idx="4">
                  <c:v>13</c:v>
                </c:pt>
                <c:pt idx="5">
                  <c:v>15</c:v>
                </c:pt>
              </c:numCache>
            </c:numRef>
          </c:val>
          <c:extLst>
            <c:ext xmlns:c16="http://schemas.microsoft.com/office/drawing/2014/chart" uri="{C3380CC4-5D6E-409C-BE32-E72D297353CC}">
              <c16:uniqueId val="{00000001-4D4C-4B36-8FE8-29EF8B945A0C}"/>
            </c:ext>
          </c:extLst>
        </c:ser>
        <c:ser>
          <c:idx val="2"/>
          <c:order val="2"/>
          <c:tx>
            <c:strRef>
              <c:f>Sheet1!$D$3</c:f>
              <c:strCache>
                <c:ptCount val="1"/>
                <c:pt idx="0">
                  <c:v>45 DAS</c:v>
                </c:pt>
              </c:strCache>
            </c:strRef>
          </c:tx>
          <c:invertIfNegative val="0"/>
          <c:cat>
            <c:strRef>
              <c:f>Sheet1!$A$4:$A$9</c:f>
              <c:strCache>
                <c:ptCount val="6"/>
                <c:pt idx="0">
                  <c:v>T1</c:v>
                </c:pt>
                <c:pt idx="1">
                  <c:v>T2</c:v>
                </c:pt>
                <c:pt idx="2">
                  <c:v>T3</c:v>
                </c:pt>
                <c:pt idx="3">
                  <c:v>T4</c:v>
                </c:pt>
                <c:pt idx="4">
                  <c:v>T5</c:v>
                </c:pt>
                <c:pt idx="5">
                  <c:v>T6</c:v>
                </c:pt>
              </c:strCache>
            </c:strRef>
          </c:cat>
          <c:val>
            <c:numRef>
              <c:f>Sheet1!$D$4:$D$9</c:f>
              <c:numCache>
                <c:formatCode>General</c:formatCode>
                <c:ptCount val="6"/>
                <c:pt idx="0">
                  <c:v>20</c:v>
                </c:pt>
                <c:pt idx="1">
                  <c:v>22</c:v>
                </c:pt>
                <c:pt idx="2">
                  <c:v>18</c:v>
                </c:pt>
                <c:pt idx="3">
                  <c:v>24</c:v>
                </c:pt>
                <c:pt idx="4">
                  <c:v>26</c:v>
                </c:pt>
                <c:pt idx="5">
                  <c:v>30</c:v>
                </c:pt>
              </c:numCache>
            </c:numRef>
          </c:val>
          <c:extLst>
            <c:ext xmlns:c16="http://schemas.microsoft.com/office/drawing/2014/chart" uri="{C3380CC4-5D6E-409C-BE32-E72D297353CC}">
              <c16:uniqueId val="{00000002-4D4C-4B36-8FE8-29EF8B945A0C}"/>
            </c:ext>
          </c:extLst>
        </c:ser>
        <c:dLbls>
          <c:showLegendKey val="0"/>
          <c:showVal val="0"/>
          <c:showCatName val="0"/>
          <c:showSerName val="0"/>
          <c:showPercent val="0"/>
          <c:showBubbleSize val="0"/>
        </c:dLbls>
        <c:gapWidth val="150"/>
        <c:axId val="93724672"/>
        <c:axId val="93726592"/>
      </c:barChart>
      <c:catAx>
        <c:axId val="93724672"/>
        <c:scaling>
          <c:orientation val="minMax"/>
        </c:scaling>
        <c:delete val="0"/>
        <c:axPos val="b"/>
        <c:numFmt formatCode="General" sourceLinked="0"/>
        <c:majorTickMark val="out"/>
        <c:minorTickMark val="none"/>
        <c:tickLblPos val="nextTo"/>
        <c:crossAx val="93726592"/>
        <c:crosses val="autoZero"/>
        <c:auto val="1"/>
        <c:lblAlgn val="ctr"/>
        <c:lblOffset val="100"/>
        <c:noMultiLvlLbl val="0"/>
      </c:catAx>
      <c:valAx>
        <c:axId val="93726592"/>
        <c:scaling>
          <c:orientation val="minMax"/>
        </c:scaling>
        <c:delete val="0"/>
        <c:axPos val="l"/>
        <c:majorGridlines/>
        <c:numFmt formatCode="General" sourceLinked="1"/>
        <c:majorTickMark val="out"/>
        <c:minorTickMark val="none"/>
        <c:tickLblPos val="nextTo"/>
        <c:crossAx val="9372467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Sheet2!$B$1</c:f>
              <c:strCache>
                <c:ptCount val="1"/>
                <c:pt idx="0">
                  <c:v>15 DAS</c:v>
                </c:pt>
              </c:strCache>
            </c:strRef>
          </c:tx>
          <c:invertIfNegative val="0"/>
          <c:cat>
            <c:strRef>
              <c:f>Sheet2!$A$2:$A$7</c:f>
              <c:strCache>
                <c:ptCount val="6"/>
                <c:pt idx="0">
                  <c:v>T1</c:v>
                </c:pt>
                <c:pt idx="1">
                  <c:v>T2</c:v>
                </c:pt>
                <c:pt idx="2">
                  <c:v>T3</c:v>
                </c:pt>
                <c:pt idx="3">
                  <c:v>T4</c:v>
                </c:pt>
                <c:pt idx="4">
                  <c:v>T5</c:v>
                </c:pt>
                <c:pt idx="5">
                  <c:v>T6</c:v>
                </c:pt>
              </c:strCache>
            </c:strRef>
          </c:cat>
          <c:val>
            <c:numRef>
              <c:f>Sheet2!$B$2:$B$7</c:f>
              <c:numCache>
                <c:formatCode>General</c:formatCode>
                <c:ptCount val="6"/>
                <c:pt idx="0">
                  <c:v>11</c:v>
                </c:pt>
                <c:pt idx="1">
                  <c:v>13</c:v>
                </c:pt>
                <c:pt idx="2">
                  <c:v>10</c:v>
                </c:pt>
                <c:pt idx="3">
                  <c:v>14</c:v>
                </c:pt>
                <c:pt idx="4">
                  <c:v>15</c:v>
                </c:pt>
                <c:pt idx="5">
                  <c:v>19</c:v>
                </c:pt>
              </c:numCache>
            </c:numRef>
          </c:val>
          <c:extLst>
            <c:ext xmlns:c16="http://schemas.microsoft.com/office/drawing/2014/chart" uri="{C3380CC4-5D6E-409C-BE32-E72D297353CC}">
              <c16:uniqueId val="{00000000-14D9-4EA9-969E-2647ADED63DE}"/>
            </c:ext>
          </c:extLst>
        </c:ser>
        <c:ser>
          <c:idx val="1"/>
          <c:order val="1"/>
          <c:tx>
            <c:strRef>
              <c:f>Sheet2!$C$1</c:f>
              <c:strCache>
                <c:ptCount val="1"/>
                <c:pt idx="0">
                  <c:v>30 DAS</c:v>
                </c:pt>
              </c:strCache>
            </c:strRef>
          </c:tx>
          <c:invertIfNegative val="0"/>
          <c:cat>
            <c:strRef>
              <c:f>Sheet2!$A$2:$A$7</c:f>
              <c:strCache>
                <c:ptCount val="6"/>
                <c:pt idx="0">
                  <c:v>T1</c:v>
                </c:pt>
                <c:pt idx="1">
                  <c:v>T2</c:v>
                </c:pt>
                <c:pt idx="2">
                  <c:v>T3</c:v>
                </c:pt>
                <c:pt idx="3">
                  <c:v>T4</c:v>
                </c:pt>
                <c:pt idx="4">
                  <c:v>T5</c:v>
                </c:pt>
                <c:pt idx="5">
                  <c:v>T6</c:v>
                </c:pt>
              </c:strCache>
            </c:strRef>
          </c:cat>
          <c:val>
            <c:numRef>
              <c:f>Sheet2!$C$2:$C$7</c:f>
              <c:numCache>
                <c:formatCode>General</c:formatCode>
                <c:ptCount val="6"/>
                <c:pt idx="0">
                  <c:v>21</c:v>
                </c:pt>
                <c:pt idx="1">
                  <c:v>21</c:v>
                </c:pt>
                <c:pt idx="2">
                  <c:v>21</c:v>
                </c:pt>
                <c:pt idx="3">
                  <c:v>22</c:v>
                </c:pt>
                <c:pt idx="4">
                  <c:v>24</c:v>
                </c:pt>
                <c:pt idx="5">
                  <c:v>26</c:v>
                </c:pt>
              </c:numCache>
            </c:numRef>
          </c:val>
          <c:extLst>
            <c:ext xmlns:c16="http://schemas.microsoft.com/office/drawing/2014/chart" uri="{C3380CC4-5D6E-409C-BE32-E72D297353CC}">
              <c16:uniqueId val="{00000001-14D9-4EA9-969E-2647ADED63DE}"/>
            </c:ext>
          </c:extLst>
        </c:ser>
        <c:ser>
          <c:idx val="2"/>
          <c:order val="2"/>
          <c:tx>
            <c:strRef>
              <c:f>Sheet2!$D$1</c:f>
              <c:strCache>
                <c:ptCount val="1"/>
                <c:pt idx="0">
                  <c:v>45 DAS</c:v>
                </c:pt>
              </c:strCache>
            </c:strRef>
          </c:tx>
          <c:invertIfNegative val="0"/>
          <c:cat>
            <c:strRef>
              <c:f>Sheet2!$A$2:$A$7</c:f>
              <c:strCache>
                <c:ptCount val="6"/>
                <c:pt idx="0">
                  <c:v>T1</c:v>
                </c:pt>
                <c:pt idx="1">
                  <c:v>T2</c:v>
                </c:pt>
                <c:pt idx="2">
                  <c:v>T3</c:v>
                </c:pt>
                <c:pt idx="3">
                  <c:v>T4</c:v>
                </c:pt>
                <c:pt idx="4">
                  <c:v>T5</c:v>
                </c:pt>
                <c:pt idx="5">
                  <c:v>T6</c:v>
                </c:pt>
              </c:strCache>
            </c:strRef>
          </c:cat>
          <c:val>
            <c:numRef>
              <c:f>Sheet2!$D$2:$D$7</c:f>
              <c:numCache>
                <c:formatCode>General</c:formatCode>
                <c:ptCount val="6"/>
                <c:pt idx="0">
                  <c:v>25</c:v>
                </c:pt>
                <c:pt idx="1">
                  <c:v>28</c:v>
                </c:pt>
                <c:pt idx="2">
                  <c:v>24</c:v>
                </c:pt>
                <c:pt idx="3">
                  <c:v>28</c:v>
                </c:pt>
                <c:pt idx="4">
                  <c:v>31</c:v>
                </c:pt>
                <c:pt idx="5">
                  <c:v>34</c:v>
                </c:pt>
              </c:numCache>
            </c:numRef>
          </c:val>
          <c:extLst>
            <c:ext xmlns:c16="http://schemas.microsoft.com/office/drawing/2014/chart" uri="{C3380CC4-5D6E-409C-BE32-E72D297353CC}">
              <c16:uniqueId val="{00000002-14D9-4EA9-969E-2647ADED63DE}"/>
            </c:ext>
          </c:extLst>
        </c:ser>
        <c:dLbls>
          <c:showLegendKey val="0"/>
          <c:showVal val="0"/>
          <c:showCatName val="0"/>
          <c:showSerName val="0"/>
          <c:showPercent val="0"/>
          <c:showBubbleSize val="0"/>
        </c:dLbls>
        <c:gapWidth val="150"/>
        <c:axId val="94368512"/>
        <c:axId val="94370048"/>
      </c:barChart>
      <c:catAx>
        <c:axId val="94368512"/>
        <c:scaling>
          <c:orientation val="minMax"/>
        </c:scaling>
        <c:delete val="0"/>
        <c:axPos val="b"/>
        <c:numFmt formatCode="General" sourceLinked="0"/>
        <c:majorTickMark val="out"/>
        <c:minorTickMark val="none"/>
        <c:tickLblPos val="nextTo"/>
        <c:crossAx val="94370048"/>
        <c:crosses val="autoZero"/>
        <c:auto val="1"/>
        <c:lblAlgn val="ctr"/>
        <c:lblOffset val="100"/>
        <c:noMultiLvlLbl val="0"/>
      </c:catAx>
      <c:valAx>
        <c:axId val="94370048"/>
        <c:scaling>
          <c:orientation val="minMax"/>
        </c:scaling>
        <c:delete val="0"/>
        <c:axPos val="l"/>
        <c:majorGridlines/>
        <c:numFmt formatCode="General" sourceLinked="1"/>
        <c:majorTickMark val="out"/>
        <c:minorTickMark val="none"/>
        <c:tickLblPos val="nextTo"/>
        <c:crossAx val="9436851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Sheet3!$B$1</c:f>
              <c:strCache>
                <c:ptCount val="1"/>
                <c:pt idx="0">
                  <c:v>15 DAS</c:v>
                </c:pt>
              </c:strCache>
            </c:strRef>
          </c:tx>
          <c:invertIfNegative val="0"/>
          <c:cat>
            <c:strRef>
              <c:f>Sheet3!$A$2:$A$7</c:f>
              <c:strCache>
                <c:ptCount val="6"/>
                <c:pt idx="0">
                  <c:v>T1</c:v>
                </c:pt>
                <c:pt idx="1">
                  <c:v>T2</c:v>
                </c:pt>
                <c:pt idx="2">
                  <c:v>T3</c:v>
                </c:pt>
                <c:pt idx="3">
                  <c:v>T4</c:v>
                </c:pt>
                <c:pt idx="4">
                  <c:v>T5</c:v>
                </c:pt>
                <c:pt idx="5">
                  <c:v>T6</c:v>
                </c:pt>
              </c:strCache>
            </c:strRef>
          </c:cat>
          <c:val>
            <c:numRef>
              <c:f>Sheet3!$B$2:$B$7</c:f>
              <c:numCache>
                <c:formatCode>General</c:formatCode>
                <c:ptCount val="6"/>
                <c:pt idx="0">
                  <c:v>2</c:v>
                </c:pt>
                <c:pt idx="1">
                  <c:v>4</c:v>
                </c:pt>
                <c:pt idx="2">
                  <c:v>4</c:v>
                </c:pt>
                <c:pt idx="3">
                  <c:v>4</c:v>
                </c:pt>
                <c:pt idx="4">
                  <c:v>5</c:v>
                </c:pt>
                <c:pt idx="5">
                  <c:v>5</c:v>
                </c:pt>
              </c:numCache>
            </c:numRef>
          </c:val>
          <c:extLst>
            <c:ext xmlns:c16="http://schemas.microsoft.com/office/drawing/2014/chart" uri="{C3380CC4-5D6E-409C-BE32-E72D297353CC}">
              <c16:uniqueId val="{00000000-1488-4E29-9A68-FC9D11963EC2}"/>
            </c:ext>
          </c:extLst>
        </c:ser>
        <c:ser>
          <c:idx val="1"/>
          <c:order val="1"/>
          <c:tx>
            <c:strRef>
              <c:f>Sheet3!$C$1</c:f>
              <c:strCache>
                <c:ptCount val="1"/>
                <c:pt idx="0">
                  <c:v>30 DAS</c:v>
                </c:pt>
              </c:strCache>
            </c:strRef>
          </c:tx>
          <c:invertIfNegative val="0"/>
          <c:cat>
            <c:strRef>
              <c:f>Sheet3!$A$2:$A$7</c:f>
              <c:strCache>
                <c:ptCount val="6"/>
                <c:pt idx="0">
                  <c:v>T1</c:v>
                </c:pt>
                <c:pt idx="1">
                  <c:v>T2</c:v>
                </c:pt>
                <c:pt idx="2">
                  <c:v>T3</c:v>
                </c:pt>
                <c:pt idx="3">
                  <c:v>T4</c:v>
                </c:pt>
                <c:pt idx="4">
                  <c:v>T5</c:v>
                </c:pt>
                <c:pt idx="5">
                  <c:v>T6</c:v>
                </c:pt>
              </c:strCache>
            </c:strRef>
          </c:cat>
          <c:val>
            <c:numRef>
              <c:f>Sheet3!$C$2:$C$7</c:f>
              <c:numCache>
                <c:formatCode>General</c:formatCode>
                <c:ptCount val="6"/>
                <c:pt idx="0">
                  <c:v>2</c:v>
                </c:pt>
                <c:pt idx="1">
                  <c:v>3</c:v>
                </c:pt>
                <c:pt idx="2">
                  <c:v>1</c:v>
                </c:pt>
                <c:pt idx="3">
                  <c:v>3</c:v>
                </c:pt>
                <c:pt idx="4">
                  <c:v>4</c:v>
                </c:pt>
                <c:pt idx="5">
                  <c:v>6</c:v>
                </c:pt>
              </c:numCache>
            </c:numRef>
          </c:val>
          <c:extLst>
            <c:ext xmlns:c16="http://schemas.microsoft.com/office/drawing/2014/chart" uri="{C3380CC4-5D6E-409C-BE32-E72D297353CC}">
              <c16:uniqueId val="{00000001-1488-4E29-9A68-FC9D11963EC2}"/>
            </c:ext>
          </c:extLst>
        </c:ser>
        <c:ser>
          <c:idx val="2"/>
          <c:order val="2"/>
          <c:tx>
            <c:strRef>
              <c:f>Sheet3!$D$1</c:f>
              <c:strCache>
                <c:ptCount val="1"/>
                <c:pt idx="0">
                  <c:v>45 DAS</c:v>
                </c:pt>
              </c:strCache>
            </c:strRef>
          </c:tx>
          <c:invertIfNegative val="0"/>
          <c:cat>
            <c:strRef>
              <c:f>Sheet3!$A$2:$A$7</c:f>
              <c:strCache>
                <c:ptCount val="6"/>
                <c:pt idx="0">
                  <c:v>T1</c:v>
                </c:pt>
                <c:pt idx="1">
                  <c:v>T2</c:v>
                </c:pt>
                <c:pt idx="2">
                  <c:v>T3</c:v>
                </c:pt>
                <c:pt idx="3">
                  <c:v>T4</c:v>
                </c:pt>
                <c:pt idx="4">
                  <c:v>T5</c:v>
                </c:pt>
                <c:pt idx="5">
                  <c:v>T6</c:v>
                </c:pt>
              </c:strCache>
            </c:strRef>
          </c:cat>
          <c:val>
            <c:numRef>
              <c:f>Sheet3!$D$2:$D$7</c:f>
              <c:numCache>
                <c:formatCode>General</c:formatCode>
                <c:ptCount val="6"/>
                <c:pt idx="0">
                  <c:v>5</c:v>
                </c:pt>
                <c:pt idx="1">
                  <c:v>6</c:v>
                </c:pt>
                <c:pt idx="2">
                  <c:v>6</c:v>
                </c:pt>
                <c:pt idx="3">
                  <c:v>6</c:v>
                </c:pt>
                <c:pt idx="4">
                  <c:v>7</c:v>
                </c:pt>
                <c:pt idx="5">
                  <c:v>8</c:v>
                </c:pt>
              </c:numCache>
            </c:numRef>
          </c:val>
          <c:extLst>
            <c:ext xmlns:c16="http://schemas.microsoft.com/office/drawing/2014/chart" uri="{C3380CC4-5D6E-409C-BE32-E72D297353CC}">
              <c16:uniqueId val="{00000002-1488-4E29-9A68-FC9D11963EC2}"/>
            </c:ext>
          </c:extLst>
        </c:ser>
        <c:dLbls>
          <c:showLegendKey val="0"/>
          <c:showVal val="0"/>
          <c:showCatName val="0"/>
          <c:showSerName val="0"/>
          <c:showPercent val="0"/>
          <c:showBubbleSize val="0"/>
        </c:dLbls>
        <c:gapWidth val="150"/>
        <c:axId val="96314880"/>
        <c:axId val="96340608"/>
      </c:barChart>
      <c:catAx>
        <c:axId val="96314880"/>
        <c:scaling>
          <c:orientation val="minMax"/>
        </c:scaling>
        <c:delete val="0"/>
        <c:axPos val="b"/>
        <c:numFmt formatCode="General" sourceLinked="0"/>
        <c:majorTickMark val="out"/>
        <c:minorTickMark val="none"/>
        <c:tickLblPos val="nextTo"/>
        <c:crossAx val="96340608"/>
        <c:crosses val="autoZero"/>
        <c:auto val="1"/>
        <c:lblAlgn val="ctr"/>
        <c:lblOffset val="100"/>
        <c:noMultiLvlLbl val="0"/>
      </c:catAx>
      <c:valAx>
        <c:axId val="96340608"/>
        <c:scaling>
          <c:orientation val="minMax"/>
        </c:scaling>
        <c:delete val="0"/>
        <c:axPos val="l"/>
        <c:majorGridlines/>
        <c:numFmt formatCode="General" sourceLinked="1"/>
        <c:majorTickMark val="out"/>
        <c:minorTickMark val="none"/>
        <c:tickLblPos val="nextTo"/>
        <c:crossAx val="9631488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Sheet4!$B$1</c:f>
              <c:strCache>
                <c:ptCount val="1"/>
                <c:pt idx="0">
                  <c:v>Chlorophyll a (mg/g)</c:v>
                </c:pt>
              </c:strCache>
            </c:strRef>
          </c:tx>
          <c:invertIfNegative val="0"/>
          <c:cat>
            <c:strRef>
              <c:f>Sheet4!$A$2:$A$7</c:f>
              <c:strCache>
                <c:ptCount val="6"/>
                <c:pt idx="0">
                  <c:v>T1</c:v>
                </c:pt>
                <c:pt idx="1">
                  <c:v>T2</c:v>
                </c:pt>
                <c:pt idx="2">
                  <c:v>T3</c:v>
                </c:pt>
                <c:pt idx="3">
                  <c:v>T4</c:v>
                </c:pt>
                <c:pt idx="4">
                  <c:v>T5</c:v>
                </c:pt>
                <c:pt idx="5">
                  <c:v>T6</c:v>
                </c:pt>
              </c:strCache>
            </c:strRef>
          </c:cat>
          <c:val>
            <c:numRef>
              <c:f>Sheet4!$B$2:$B$7</c:f>
              <c:numCache>
                <c:formatCode>General</c:formatCode>
                <c:ptCount val="6"/>
                <c:pt idx="0">
                  <c:v>0.5</c:v>
                </c:pt>
                <c:pt idx="1">
                  <c:v>0.56000000000000005</c:v>
                </c:pt>
                <c:pt idx="2">
                  <c:v>0.63000000000000034</c:v>
                </c:pt>
                <c:pt idx="3">
                  <c:v>0.65000000000000036</c:v>
                </c:pt>
                <c:pt idx="4">
                  <c:v>0.76000000000000034</c:v>
                </c:pt>
                <c:pt idx="5">
                  <c:v>0.60000000000000031</c:v>
                </c:pt>
              </c:numCache>
            </c:numRef>
          </c:val>
          <c:extLst>
            <c:ext xmlns:c16="http://schemas.microsoft.com/office/drawing/2014/chart" uri="{C3380CC4-5D6E-409C-BE32-E72D297353CC}">
              <c16:uniqueId val="{00000000-FBA3-45B9-B53A-0A53AD859094}"/>
            </c:ext>
          </c:extLst>
        </c:ser>
        <c:ser>
          <c:idx val="1"/>
          <c:order val="1"/>
          <c:tx>
            <c:strRef>
              <c:f>Sheet4!$C$1</c:f>
              <c:strCache>
                <c:ptCount val="1"/>
                <c:pt idx="0">
                  <c:v>Chlorophyll b (mg/g)</c:v>
                </c:pt>
              </c:strCache>
            </c:strRef>
          </c:tx>
          <c:invertIfNegative val="0"/>
          <c:cat>
            <c:strRef>
              <c:f>Sheet4!$A$2:$A$7</c:f>
              <c:strCache>
                <c:ptCount val="6"/>
                <c:pt idx="0">
                  <c:v>T1</c:v>
                </c:pt>
                <c:pt idx="1">
                  <c:v>T2</c:v>
                </c:pt>
                <c:pt idx="2">
                  <c:v>T3</c:v>
                </c:pt>
                <c:pt idx="3">
                  <c:v>T4</c:v>
                </c:pt>
                <c:pt idx="4">
                  <c:v>T5</c:v>
                </c:pt>
                <c:pt idx="5">
                  <c:v>T6</c:v>
                </c:pt>
              </c:strCache>
            </c:strRef>
          </c:cat>
          <c:val>
            <c:numRef>
              <c:f>Sheet4!$C$2:$C$7</c:f>
              <c:numCache>
                <c:formatCode>General</c:formatCode>
                <c:ptCount val="6"/>
                <c:pt idx="0">
                  <c:v>0.60000000000000031</c:v>
                </c:pt>
                <c:pt idx="1">
                  <c:v>0.65000000000000036</c:v>
                </c:pt>
                <c:pt idx="2">
                  <c:v>0.7100000000000003</c:v>
                </c:pt>
                <c:pt idx="3">
                  <c:v>0.75000000000000033</c:v>
                </c:pt>
                <c:pt idx="4">
                  <c:v>0.87000000000000033</c:v>
                </c:pt>
                <c:pt idx="5">
                  <c:v>0.61000000000000032</c:v>
                </c:pt>
              </c:numCache>
            </c:numRef>
          </c:val>
          <c:extLst>
            <c:ext xmlns:c16="http://schemas.microsoft.com/office/drawing/2014/chart" uri="{C3380CC4-5D6E-409C-BE32-E72D297353CC}">
              <c16:uniqueId val="{00000001-FBA3-45B9-B53A-0A53AD859094}"/>
            </c:ext>
          </c:extLst>
        </c:ser>
        <c:ser>
          <c:idx val="2"/>
          <c:order val="2"/>
          <c:tx>
            <c:strRef>
              <c:f>Sheet4!$D$1</c:f>
              <c:strCache>
                <c:ptCount val="1"/>
                <c:pt idx="0">
                  <c:v>Total Chlorophyll (mg/g)</c:v>
                </c:pt>
              </c:strCache>
            </c:strRef>
          </c:tx>
          <c:invertIfNegative val="0"/>
          <c:cat>
            <c:strRef>
              <c:f>Sheet4!$A$2:$A$7</c:f>
              <c:strCache>
                <c:ptCount val="6"/>
                <c:pt idx="0">
                  <c:v>T1</c:v>
                </c:pt>
                <c:pt idx="1">
                  <c:v>T2</c:v>
                </c:pt>
                <c:pt idx="2">
                  <c:v>T3</c:v>
                </c:pt>
                <c:pt idx="3">
                  <c:v>T4</c:v>
                </c:pt>
                <c:pt idx="4">
                  <c:v>T5</c:v>
                </c:pt>
                <c:pt idx="5">
                  <c:v>T6</c:v>
                </c:pt>
              </c:strCache>
            </c:strRef>
          </c:cat>
          <c:val>
            <c:numRef>
              <c:f>Sheet4!$D$2:$D$7</c:f>
              <c:numCache>
                <c:formatCode>General</c:formatCode>
                <c:ptCount val="6"/>
                <c:pt idx="0">
                  <c:v>1.1499999999999992</c:v>
                </c:pt>
                <c:pt idx="1">
                  <c:v>1.25</c:v>
                </c:pt>
                <c:pt idx="2">
                  <c:v>1.34</c:v>
                </c:pt>
                <c:pt idx="3">
                  <c:v>1.45</c:v>
                </c:pt>
                <c:pt idx="4">
                  <c:v>1.61</c:v>
                </c:pt>
                <c:pt idx="5">
                  <c:v>1.31</c:v>
                </c:pt>
              </c:numCache>
            </c:numRef>
          </c:val>
          <c:extLst>
            <c:ext xmlns:c16="http://schemas.microsoft.com/office/drawing/2014/chart" uri="{C3380CC4-5D6E-409C-BE32-E72D297353CC}">
              <c16:uniqueId val="{00000002-FBA3-45B9-B53A-0A53AD859094}"/>
            </c:ext>
          </c:extLst>
        </c:ser>
        <c:dLbls>
          <c:showLegendKey val="0"/>
          <c:showVal val="0"/>
          <c:showCatName val="0"/>
          <c:showSerName val="0"/>
          <c:showPercent val="0"/>
          <c:showBubbleSize val="0"/>
        </c:dLbls>
        <c:gapWidth val="150"/>
        <c:axId val="126159104"/>
        <c:axId val="126169088"/>
      </c:barChart>
      <c:catAx>
        <c:axId val="126159104"/>
        <c:scaling>
          <c:orientation val="minMax"/>
        </c:scaling>
        <c:delete val="0"/>
        <c:axPos val="b"/>
        <c:numFmt formatCode="General" sourceLinked="0"/>
        <c:majorTickMark val="out"/>
        <c:minorTickMark val="none"/>
        <c:tickLblPos val="nextTo"/>
        <c:crossAx val="126169088"/>
        <c:crosses val="autoZero"/>
        <c:auto val="1"/>
        <c:lblAlgn val="ctr"/>
        <c:lblOffset val="100"/>
        <c:noMultiLvlLbl val="0"/>
      </c:catAx>
      <c:valAx>
        <c:axId val="126169088"/>
        <c:scaling>
          <c:orientation val="minMax"/>
        </c:scaling>
        <c:delete val="0"/>
        <c:axPos val="l"/>
        <c:majorGridlines/>
        <c:numFmt formatCode="General" sourceLinked="1"/>
        <c:majorTickMark val="out"/>
        <c:minorTickMark val="none"/>
        <c:tickLblPos val="nextTo"/>
        <c:crossAx val="12615910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Sheet5!$B$1</c:f>
              <c:strCache>
                <c:ptCount val="1"/>
                <c:pt idx="0">
                  <c:v>Pods per Plant</c:v>
                </c:pt>
              </c:strCache>
            </c:strRef>
          </c:tx>
          <c:invertIfNegative val="0"/>
          <c:cat>
            <c:strRef>
              <c:f>Sheet5!$A$2:$A$9</c:f>
              <c:strCache>
                <c:ptCount val="6"/>
                <c:pt idx="0">
                  <c:v>T1</c:v>
                </c:pt>
                <c:pt idx="1">
                  <c:v>T2</c:v>
                </c:pt>
                <c:pt idx="2">
                  <c:v>T3</c:v>
                </c:pt>
                <c:pt idx="3">
                  <c:v>T4</c:v>
                </c:pt>
                <c:pt idx="4">
                  <c:v>T5</c:v>
                </c:pt>
                <c:pt idx="5">
                  <c:v>T6</c:v>
                </c:pt>
              </c:strCache>
            </c:strRef>
          </c:cat>
          <c:val>
            <c:numRef>
              <c:f>Sheet5!$B$2:$B$9</c:f>
              <c:numCache>
                <c:formatCode>General</c:formatCode>
                <c:ptCount val="8"/>
                <c:pt idx="0">
                  <c:v>8</c:v>
                </c:pt>
                <c:pt idx="1">
                  <c:v>9</c:v>
                </c:pt>
                <c:pt idx="2">
                  <c:v>7</c:v>
                </c:pt>
                <c:pt idx="3">
                  <c:v>10</c:v>
                </c:pt>
                <c:pt idx="4">
                  <c:v>14</c:v>
                </c:pt>
                <c:pt idx="5">
                  <c:v>13</c:v>
                </c:pt>
              </c:numCache>
            </c:numRef>
          </c:val>
          <c:extLst>
            <c:ext xmlns:c16="http://schemas.microsoft.com/office/drawing/2014/chart" uri="{C3380CC4-5D6E-409C-BE32-E72D297353CC}">
              <c16:uniqueId val="{00000000-2FAA-4802-9E49-D28BD9B13EB2}"/>
            </c:ext>
          </c:extLst>
        </c:ser>
        <c:ser>
          <c:idx val="1"/>
          <c:order val="1"/>
          <c:tx>
            <c:strRef>
              <c:f>Sheet5!$C$1</c:f>
              <c:strCache>
                <c:ptCount val="1"/>
                <c:pt idx="0">
                  <c:v>Pod Length (cm)</c:v>
                </c:pt>
              </c:strCache>
            </c:strRef>
          </c:tx>
          <c:invertIfNegative val="0"/>
          <c:cat>
            <c:strRef>
              <c:f>Sheet5!$A$2:$A$9</c:f>
              <c:strCache>
                <c:ptCount val="6"/>
                <c:pt idx="0">
                  <c:v>T1</c:v>
                </c:pt>
                <c:pt idx="1">
                  <c:v>T2</c:v>
                </c:pt>
                <c:pt idx="2">
                  <c:v>T3</c:v>
                </c:pt>
                <c:pt idx="3">
                  <c:v>T4</c:v>
                </c:pt>
                <c:pt idx="4">
                  <c:v>T5</c:v>
                </c:pt>
                <c:pt idx="5">
                  <c:v>T6</c:v>
                </c:pt>
              </c:strCache>
            </c:strRef>
          </c:cat>
          <c:val>
            <c:numRef>
              <c:f>Sheet5!$C$2:$C$9</c:f>
              <c:numCache>
                <c:formatCode>General</c:formatCode>
                <c:ptCount val="8"/>
                <c:pt idx="0">
                  <c:v>9</c:v>
                </c:pt>
                <c:pt idx="1">
                  <c:v>9</c:v>
                </c:pt>
                <c:pt idx="2">
                  <c:v>6</c:v>
                </c:pt>
                <c:pt idx="3">
                  <c:v>9</c:v>
                </c:pt>
                <c:pt idx="4">
                  <c:v>10</c:v>
                </c:pt>
                <c:pt idx="5">
                  <c:v>10</c:v>
                </c:pt>
              </c:numCache>
            </c:numRef>
          </c:val>
          <c:extLst>
            <c:ext xmlns:c16="http://schemas.microsoft.com/office/drawing/2014/chart" uri="{C3380CC4-5D6E-409C-BE32-E72D297353CC}">
              <c16:uniqueId val="{00000001-2FAA-4802-9E49-D28BD9B13EB2}"/>
            </c:ext>
          </c:extLst>
        </c:ser>
        <c:ser>
          <c:idx val="2"/>
          <c:order val="2"/>
          <c:tx>
            <c:strRef>
              <c:f>Sheet5!$D$1</c:f>
              <c:strCache>
                <c:ptCount val="1"/>
                <c:pt idx="0">
                  <c:v>Seeds per Pod</c:v>
                </c:pt>
              </c:strCache>
            </c:strRef>
          </c:tx>
          <c:invertIfNegative val="0"/>
          <c:cat>
            <c:strRef>
              <c:f>Sheet5!$A$2:$A$9</c:f>
              <c:strCache>
                <c:ptCount val="6"/>
                <c:pt idx="0">
                  <c:v>T1</c:v>
                </c:pt>
                <c:pt idx="1">
                  <c:v>T2</c:v>
                </c:pt>
                <c:pt idx="2">
                  <c:v>T3</c:v>
                </c:pt>
                <c:pt idx="3">
                  <c:v>T4</c:v>
                </c:pt>
                <c:pt idx="4">
                  <c:v>T5</c:v>
                </c:pt>
                <c:pt idx="5">
                  <c:v>T6</c:v>
                </c:pt>
              </c:strCache>
            </c:strRef>
          </c:cat>
          <c:val>
            <c:numRef>
              <c:f>Sheet5!$D$2:$D$9</c:f>
              <c:numCache>
                <c:formatCode>General</c:formatCode>
                <c:ptCount val="8"/>
                <c:pt idx="0">
                  <c:v>8</c:v>
                </c:pt>
                <c:pt idx="1">
                  <c:v>7.5</c:v>
                </c:pt>
                <c:pt idx="2">
                  <c:v>6.5</c:v>
                </c:pt>
                <c:pt idx="3">
                  <c:v>9</c:v>
                </c:pt>
                <c:pt idx="4">
                  <c:v>9.5</c:v>
                </c:pt>
                <c:pt idx="5">
                  <c:v>9</c:v>
                </c:pt>
              </c:numCache>
            </c:numRef>
          </c:val>
          <c:extLst>
            <c:ext xmlns:c16="http://schemas.microsoft.com/office/drawing/2014/chart" uri="{C3380CC4-5D6E-409C-BE32-E72D297353CC}">
              <c16:uniqueId val="{00000002-2FAA-4802-9E49-D28BD9B13EB2}"/>
            </c:ext>
          </c:extLst>
        </c:ser>
        <c:ser>
          <c:idx val="3"/>
          <c:order val="3"/>
          <c:tx>
            <c:strRef>
              <c:f>Sheet5!$E$1</c:f>
              <c:strCache>
                <c:ptCount val="1"/>
                <c:pt idx="0">
                  <c:v>Seed Yield per Plant (g)</c:v>
                </c:pt>
              </c:strCache>
            </c:strRef>
          </c:tx>
          <c:invertIfNegative val="0"/>
          <c:cat>
            <c:strRef>
              <c:f>Sheet5!$A$2:$A$9</c:f>
              <c:strCache>
                <c:ptCount val="6"/>
                <c:pt idx="0">
                  <c:v>T1</c:v>
                </c:pt>
                <c:pt idx="1">
                  <c:v>T2</c:v>
                </c:pt>
                <c:pt idx="2">
                  <c:v>T3</c:v>
                </c:pt>
                <c:pt idx="3">
                  <c:v>T4</c:v>
                </c:pt>
                <c:pt idx="4">
                  <c:v>T5</c:v>
                </c:pt>
                <c:pt idx="5">
                  <c:v>T6</c:v>
                </c:pt>
              </c:strCache>
            </c:strRef>
          </c:cat>
          <c:val>
            <c:numRef>
              <c:f>Sheet5!$E$2:$E$9</c:f>
              <c:numCache>
                <c:formatCode>General</c:formatCode>
                <c:ptCount val="8"/>
                <c:pt idx="0">
                  <c:v>8</c:v>
                </c:pt>
                <c:pt idx="1">
                  <c:v>9</c:v>
                </c:pt>
                <c:pt idx="2">
                  <c:v>7</c:v>
                </c:pt>
                <c:pt idx="3">
                  <c:v>8</c:v>
                </c:pt>
                <c:pt idx="4">
                  <c:v>11</c:v>
                </c:pt>
                <c:pt idx="5">
                  <c:v>10</c:v>
                </c:pt>
              </c:numCache>
            </c:numRef>
          </c:val>
          <c:extLst>
            <c:ext xmlns:c16="http://schemas.microsoft.com/office/drawing/2014/chart" uri="{C3380CC4-5D6E-409C-BE32-E72D297353CC}">
              <c16:uniqueId val="{00000003-2FAA-4802-9E49-D28BD9B13EB2}"/>
            </c:ext>
          </c:extLst>
        </c:ser>
        <c:ser>
          <c:idx val="4"/>
          <c:order val="4"/>
          <c:tx>
            <c:strRef>
              <c:f>Sheet5!$F$1</c:f>
              <c:strCache>
                <c:ptCount val="1"/>
                <c:pt idx="0">
                  <c:v>Total Seed Weight (g)</c:v>
                </c:pt>
              </c:strCache>
            </c:strRef>
          </c:tx>
          <c:invertIfNegative val="0"/>
          <c:cat>
            <c:strRef>
              <c:f>Sheet5!$A$2:$A$9</c:f>
              <c:strCache>
                <c:ptCount val="6"/>
                <c:pt idx="0">
                  <c:v>T1</c:v>
                </c:pt>
                <c:pt idx="1">
                  <c:v>T2</c:v>
                </c:pt>
                <c:pt idx="2">
                  <c:v>T3</c:v>
                </c:pt>
                <c:pt idx="3">
                  <c:v>T4</c:v>
                </c:pt>
                <c:pt idx="4">
                  <c:v>T5</c:v>
                </c:pt>
                <c:pt idx="5">
                  <c:v>T6</c:v>
                </c:pt>
              </c:strCache>
            </c:strRef>
          </c:cat>
          <c:val>
            <c:numRef>
              <c:f>Sheet5!$F$2:$F$9</c:f>
              <c:numCache>
                <c:formatCode>General</c:formatCode>
                <c:ptCount val="8"/>
                <c:pt idx="0">
                  <c:v>18</c:v>
                </c:pt>
                <c:pt idx="1">
                  <c:v>19</c:v>
                </c:pt>
                <c:pt idx="2">
                  <c:v>16</c:v>
                </c:pt>
                <c:pt idx="3">
                  <c:v>20</c:v>
                </c:pt>
                <c:pt idx="4">
                  <c:v>23</c:v>
                </c:pt>
                <c:pt idx="5">
                  <c:v>24</c:v>
                </c:pt>
              </c:numCache>
            </c:numRef>
          </c:val>
          <c:extLst>
            <c:ext xmlns:c16="http://schemas.microsoft.com/office/drawing/2014/chart" uri="{C3380CC4-5D6E-409C-BE32-E72D297353CC}">
              <c16:uniqueId val="{00000004-2FAA-4802-9E49-D28BD9B13EB2}"/>
            </c:ext>
          </c:extLst>
        </c:ser>
        <c:dLbls>
          <c:showLegendKey val="0"/>
          <c:showVal val="0"/>
          <c:showCatName val="0"/>
          <c:showSerName val="0"/>
          <c:showPercent val="0"/>
          <c:showBubbleSize val="0"/>
        </c:dLbls>
        <c:gapWidth val="150"/>
        <c:axId val="161823744"/>
        <c:axId val="204473472"/>
      </c:barChart>
      <c:catAx>
        <c:axId val="161823744"/>
        <c:scaling>
          <c:orientation val="minMax"/>
        </c:scaling>
        <c:delete val="0"/>
        <c:axPos val="b"/>
        <c:numFmt formatCode="General" sourceLinked="0"/>
        <c:majorTickMark val="out"/>
        <c:minorTickMark val="none"/>
        <c:tickLblPos val="nextTo"/>
        <c:crossAx val="204473472"/>
        <c:crosses val="autoZero"/>
        <c:auto val="1"/>
        <c:lblAlgn val="ctr"/>
        <c:lblOffset val="100"/>
        <c:noMultiLvlLbl val="0"/>
      </c:catAx>
      <c:valAx>
        <c:axId val="204473472"/>
        <c:scaling>
          <c:orientation val="minMax"/>
        </c:scaling>
        <c:delete val="0"/>
        <c:axPos val="l"/>
        <c:majorGridlines/>
        <c:numFmt formatCode="General" sourceLinked="1"/>
        <c:majorTickMark val="out"/>
        <c:minorTickMark val="none"/>
        <c:tickLblPos val="nextTo"/>
        <c:crossAx val="16182374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0.35208</cdr:x>
      <cdr:y>0.05556</cdr:y>
    </cdr:from>
    <cdr:to>
      <cdr:x>0.55208</cdr:x>
      <cdr:y>0.38889</cdr:y>
    </cdr:to>
    <cdr:sp macro="" textlink="">
      <cdr:nvSpPr>
        <cdr:cNvPr id="2" name="TextBox 1"/>
        <cdr:cNvSpPr txBox="1"/>
      </cdr:nvSpPr>
      <cdr:spPr>
        <a:xfrm xmlns:a="http://schemas.openxmlformats.org/drawingml/2006/main">
          <a:off x="1609725" y="152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Plant height (cm)</a:t>
          </a:r>
        </a:p>
      </cdr:txBody>
    </cdr:sp>
  </cdr:relSizeAnchor>
</c:userShapes>
</file>

<file path=word/drawings/drawing2.xml><?xml version="1.0" encoding="utf-8"?>
<c:userShapes xmlns:c="http://schemas.openxmlformats.org/drawingml/2006/chart">
  <cdr:relSizeAnchor xmlns:cdr="http://schemas.openxmlformats.org/drawingml/2006/chartDrawing">
    <cdr:from>
      <cdr:x>0.225</cdr:x>
      <cdr:y>0.04514</cdr:y>
    </cdr:from>
    <cdr:to>
      <cdr:x>0.65437</cdr:x>
      <cdr:y>0.13404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28700" y="123825"/>
          <a:ext cx="1963082" cy="243861"/>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0.25376</cdr:x>
      <cdr:y>0.04894</cdr:y>
    </cdr:from>
    <cdr:to>
      <cdr:x>0.45376</cdr:x>
      <cdr:y>0.38228</cdr:y>
    </cdr:to>
    <cdr:sp macro="" textlink="">
      <cdr:nvSpPr>
        <cdr:cNvPr id="2" name="TextBox 1"/>
        <cdr:cNvSpPr txBox="1"/>
      </cdr:nvSpPr>
      <cdr:spPr>
        <a:xfrm xmlns:a="http://schemas.openxmlformats.org/drawingml/2006/main">
          <a:off x="1500863" y="134240"/>
          <a:ext cx="1182900" cy="91441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Number of branches</a:t>
          </a:r>
          <a:r>
            <a:rPr lang="en-US" sz="1200" b="1" baseline="0">
              <a:latin typeface="Times New Roman" pitchFamily="18" charset="0"/>
              <a:cs typeface="Times New Roman" pitchFamily="18" charset="0"/>
            </a:rPr>
            <a:t> per plant</a:t>
          </a:r>
          <a:endParaRPr lang="en-US" sz="12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0.16875</cdr:x>
      <cdr:y>0.04861</cdr:y>
    </cdr:from>
    <cdr:to>
      <cdr:x>0.36875</cdr:x>
      <cdr:y>0.38194</cdr:y>
    </cdr:to>
    <cdr:sp macro="" textlink="">
      <cdr:nvSpPr>
        <cdr:cNvPr id="2" name="TextBox 1"/>
        <cdr:cNvSpPr txBox="1"/>
      </cdr:nvSpPr>
      <cdr:spPr>
        <a:xfrm xmlns:a="http://schemas.openxmlformats.org/drawingml/2006/main">
          <a:off x="771525" y="1333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Chlorophyll content estimation</a:t>
          </a:r>
        </a:p>
      </cdr:txBody>
    </cdr:sp>
  </cdr:relSizeAnchor>
</c:userShapes>
</file>

<file path=word/drawings/drawing5.xml><?xml version="1.0" encoding="utf-8"?>
<c:userShapes xmlns:c="http://schemas.openxmlformats.org/drawingml/2006/chart">
  <cdr:relSizeAnchor xmlns:cdr="http://schemas.openxmlformats.org/drawingml/2006/chartDrawing">
    <cdr:from>
      <cdr:x>0.27708</cdr:x>
      <cdr:y>0.08333</cdr:y>
    </cdr:from>
    <cdr:to>
      <cdr:x>0.47708</cdr:x>
      <cdr:y>0.41667</cdr:y>
    </cdr:to>
    <cdr:sp macro="" textlink="">
      <cdr:nvSpPr>
        <cdr:cNvPr id="2" name="TextBox 1"/>
        <cdr:cNvSpPr txBox="1"/>
      </cdr:nvSpPr>
      <cdr:spPr>
        <a:xfrm xmlns:a="http://schemas.openxmlformats.org/drawingml/2006/main">
          <a:off x="1266825"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Yield attributes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Editor-22</cp:lastModifiedBy>
  <cp:revision>11</cp:revision>
  <dcterms:created xsi:type="dcterms:W3CDTF">2025-05-22T13:18:00Z</dcterms:created>
  <dcterms:modified xsi:type="dcterms:W3CDTF">2025-05-29T12:39:00Z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82f4abd1-791c-4397-815e-9f5ff03c6575</vt:lpwstr>
  </property>
</Properties>
</file>