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4FC1" w14:textId="20C7E262" w:rsidR="002E78ED" w:rsidRDefault="002E78ED" w:rsidP="00097854">
      <w:pPr>
        <w:spacing w:before="100" w:beforeAutospacing="1" w:after="100" w:afterAutospacing="1" w:line="360" w:lineRule="auto"/>
        <w:jc w:val="center"/>
        <w:rPr>
          <w:rFonts w:eastAsia="Times New Roman" w:cstheme="minorHAnsi"/>
          <w:b/>
          <w:bCs/>
          <w:sz w:val="24"/>
          <w:szCs w:val="24"/>
        </w:rPr>
      </w:pPr>
      <w:r w:rsidRPr="002E78ED">
        <w:rPr>
          <w:rFonts w:eastAsia="Times New Roman" w:cstheme="minorHAnsi"/>
          <w:b/>
          <w:bCs/>
          <w:i/>
          <w:iCs/>
          <w:sz w:val="24"/>
          <w:szCs w:val="24"/>
          <w:u w:val="single"/>
        </w:rPr>
        <w:t>Original Research Article</w:t>
      </w:r>
    </w:p>
    <w:p w14:paraId="54C07C7E" w14:textId="6643526F" w:rsidR="00D028B0" w:rsidRPr="00097854" w:rsidRDefault="00097854" w:rsidP="00097854">
      <w:pPr>
        <w:spacing w:before="100" w:beforeAutospacing="1" w:after="100" w:afterAutospacing="1" w:line="360" w:lineRule="auto"/>
        <w:jc w:val="center"/>
        <w:rPr>
          <w:rFonts w:eastAsia="Times New Roman" w:cstheme="minorHAnsi"/>
          <w:sz w:val="24"/>
          <w:szCs w:val="24"/>
        </w:rPr>
      </w:pPr>
      <w:r w:rsidRPr="00097854">
        <w:rPr>
          <w:rFonts w:eastAsia="Times New Roman" w:cstheme="minorHAnsi"/>
          <w:b/>
          <w:bCs/>
          <w:sz w:val="24"/>
          <w:szCs w:val="24"/>
        </w:rPr>
        <w:t>H</w:t>
      </w:r>
      <w:r w:rsidR="00D028B0" w:rsidRPr="00097854">
        <w:rPr>
          <w:rFonts w:eastAsia="Times New Roman" w:cstheme="minorHAnsi"/>
          <w:b/>
          <w:bCs/>
          <w:sz w:val="24"/>
          <w:szCs w:val="24"/>
        </w:rPr>
        <w:t>ematological Alterations among Sickle Cell Disease Patients in Steady State and Their Clinical Implications</w:t>
      </w:r>
    </w:p>
    <w:p w14:paraId="7774DB8A" w14:textId="77777777" w:rsidR="00D028B0" w:rsidRDefault="00D028B0" w:rsidP="00097854">
      <w:pPr>
        <w:spacing w:after="0" w:line="360" w:lineRule="auto"/>
        <w:jc w:val="both"/>
        <w:rPr>
          <w:rFonts w:eastAsia="Times New Roman" w:cstheme="minorHAnsi"/>
          <w:sz w:val="24"/>
          <w:szCs w:val="24"/>
        </w:rPr>
      </w:pPr>
    </w:p>
    <w:p w14:paraId="7EFBC49C" w14:textId="77777777" w:rsidR="00CD240B" w:rsidRDefault="00CD240B" w:rsidP="00097854">
      <w:pPr>
        <w:spacing w:before="100" w:beforeAutospacing="1" w:after="100" w:afterAutospacing="1" w:line="360" w:lineRule="auto"/>
        <w:jc w:val="center"/>
        <w:outlineLvl w:val="2"/>
        <w:rPr>
          <w:rFonts w:eastAsia="Times New Roman" w:cstheme="minorHAnsi"/>
          <w:b/>
          <w:bCs/>
          <w:sz w:val="27"/>
          <w:szCs w:val="27"/>
        </w:rPr>
      </w:pPr>
    </w:p>
    <w:p w14:paraId="2FC832BF" w14:textId="38D5D93D" w:rsidR="00D028B0" w:rsidRDefault="00D028B0" w:rsidP="00097854">
      <w:pPr>
        <w:spacing w:before="100" w:beforeAutospacing="1" w:after="100" w:afterAutospacing="1" w:line="360" w:lineRule="auto"/>
        <w:jc w:val="center"/>
        <w:outlineLvl w:val="2"/>
        <w:rPr>
          <w:rFonts w:eastAsia="Times New Roman" w:cstheme="minorHAnsi"/>
          <w:b/>
          <w:bCs/>
          <w:sz w:val="27"/>
          <w:szCs w:val="27"/>
        </w:rPr>
      </w:pPr>
      <w:r w:rsidRPr="00097854">
        <w:rPr>
          <w:rFonts w:eastAsia="Times New Roman" w:cstheme="minorHAnsi"/>
          <w:b/>
          <w:bCs/>
          <w:sz w:val="27"/>
          <w:szCs w:val="27"/>
        </w:rPr>
        <w:t>Abstract</w:t>
      </w:r>
    </w:p>
    <w:p w14:paraId="2E4F9B6F" w14:textId="77777777" w:rsidR="00E92AD0" w:rsidRPr="00097854" w:rsidRDefault="00E92AD0" w:rsidP="00E92AD0">
      <w:pPr>
        <w:spacing w:before="100" w:beforeAutospacing="1" w:after="100" w:afterAutospacing="1" w:line="360" w:lineRule="auto"/>
        <w:outlineLvl w:val="2"/>
        <w:rPr>
          <w:rFonts w:eastAsia="Times New Roman" w:cstheme="minorHAnsi"/>
          <w:b/>
          <w:bCs/>
          <w:sz w:val="27"/>
          <w:szCs w:val="27"/>
        </w:rPr>
      </w:pPr>
    </w:p>
    <w:p w14:paraId="3F0AC731" w14:textId="77777777" w:rsidR="00462922" w:rsidRPr="00097854" w:rsidRDefault="00C40180" w:rsidP="00097854">
      <w:pPr>
        <w:spacing w:line="360" w:lineRule="auto"/>
        <w:rPr>
          <w:rFonts w:eastAsia="Times New Roman" w:cstheme="minorHAnsi"/>
          <w:sz w:val="24"/>
          <w:szCs w:val="24"/>
        </w:rPr>
      </w:pPr>
      <w:r w:rsidRPr="00097854">
        <w:rPr>
          <w:rStyle w:val="Strong"/>
          <w:rFonts w:cstheme="minorHAnsi"/>
        </w:rPr>
        <w:t>Introduction</w:t>
      </w:r>
      <w:r w:rsidRPr="00097854">
        <w:rPr>
          <w:rFonts w:cstheme="minorHAnsi"/>
        </w:rPr>
        <w:t>:</w:t>
      </w:r>
      <w:r w:rsidRPr="00097854">
        <w:rPr>
          <w:rFonts w:cstheme="minorHAnsi"/>
        </w:rPr>
        <w:br/>
      </w:r>
      <w:r w:rsidR="00462922" w:rsidRPr="00097854">
        <w:rPr>
          <w:rFonts w:eastAsia="Times New Roman" w:cstheme="minorHAnsi"/>
          <w:sz w:val="24"/>
          <w:szCs w:val="24"/>
        </w:rPr>
        <w:t>In sub-Saharan Africa, sickle cell disease (SCD) is a common genetic hemoglobinopathy that is typified by vaso-occlusive crises and chronic hemolytic anemia. Even if they are less severe, hematological changes in steady state are essential for comprehending the course and consequences of disease.</w:t>
      </w:r>
    </w:p>
    <w:p w14:paraId="1B8882C9" w14:textId="77777777" w:rsidR="00C40180" w:rsidRPr="00097854" w:rsidRDefault="00C40180" w:rsidP="00097854">
      <w:pPr>
        <w:pStyle w:val="NormalWeb"/>
        <w:shd w:val="clear" w:color="auto" w:fill="FFFFFF"/>
        <w:spacing w:before="173" w:beforeAutospacing="0" w:after="173" w:afterAutospacing="0" w:line="360" w:lineRule="auto"/>
        <w:jc w:val="both"/>
        <w:rPr>
          <w:rFonts w:asciiTheme="minorHAnsi" w:hAnsiTheme="minorHAnsi" w:cstheme="minorHAnsi"/>
        </w:rPr>
      </w:pPr>
      <w:r w:rsidRPr="00097854">
        <w:rPr>
          <w:rStyle w:val="Strong"/>
          <w:rFonts w:asciiTheme="minorHAnsi" w:hAnsiTheme="minorHAnsi" w:cstheme="minorHAnsi"/>
        </w:rPr>
        <w:t>Aim/Objective</w:t>
      </w:r>
      <w:r w:rsidRPr="00097854">
        <w:rPr>
          <w:rFonts w:asciiTheme="minorHAnsi" w:hAnsiTheme="minorHAnsi" w:cstheme="minorHAnsi"/>
        </w:rPr>
        <w:t>:</w:t>
      </w:r>
      <w:r w:rsidRPr="00097854">
        <w:rPr>
          <w:rFonts w:asciiTheme="minorHAnsi" w:hAnsiTheme="minorHAnsi" w:cstheme="minorHAnsi"/>
        </w:rPr>
        <w:br/>
        <w:t>This study eval</w:t>
      </w:r>
      <w:r w:rsidR="00462922" w:rsidRPr="00097854">
        <w:rPr>
          <w:rFonts w:asciiTheme="minorHAnsi" w:hAnsiTheme="minorHAnsi" w:cstheme="minorHAnsi"/>
        </w:rPr>
        <w:t>uated h</w:t>
      </w:r>
      <w:r w:rsidRPr="00097854">
        <w:rPr>
          <w:rFonts w:asciiTheme="minorHAnsi" w:hAnsiTheme="minorHAnsi" w:cstheme="minorHAnsi"/>
        </w:rPr>
        <w:t>ematological parameters in SCD patients during steady state compared to healthy controls, focusing on their clinical implications.</w:t>
      </w:r>
    </w:p>
    <w:p w14:paraId="5F0E26A5" w14:textId="77777777" w:rsidR="00462922" w:rsidRPr="00097854" w:rsidRDefault="00C40180" w:rsidP="00097854">
      <w:pPr>
        <w:spacing w:line="360" w:lineRule="auto"/>
        <w:rPr>
          <w:rFonts w:eastAsia="Times New Roman" w:cstheme="minorHAnsi"/>
          <w:sz w:val="24"/>
          <w:szCs w:val="24"/>
        </w:rPr>
      </w:pPr>
      <w:r w:rsidRPr="00097854">
        <w:rPr>
          <w:rStyle w:val="Strong"/>
          <w:rFonts w:cstheme="minorHAnsi"/>
        </w:rPr>
        <w:t>Methods</w:t>
      </w:r>
      <w:r w:rsidRPr="00097854">
        <w:rPr>
          <w:rFonts w:cstheme="minorHAnsi"/>
        </w:rPr>
        <w:t>:</w:t>
      </w:r>
      <w:r w:rsidRPr="00097854">
        <w:rPr>
          <w:rFonts w:cstheme="minorHAnsi"/>
        </w:rPr>
        <w:br/>
      </w:r>
      <w:r w:rsidR="00462922" w:rsidRPr="00097854">
        <w:rPr>
          <w:rFonts w:eastAsia="Times New Roman" w:cstheme="minorHAnsi"/>
          <w:sz w:val="24"/>
          <w:szCs w:val="24"/>
        </w:rPr>
        <w:t xml:space="preserve">There were 167 participants in a cross-sectional, case-control research (45 healthy controls and 122 SCD patients in steady state). An </w:t>
      </w:r>
      <w:r w:rsidR="00462922" w:rsidRPr="00097854">
        <w:rPr>
          <w:rFonts w:eastAsia="Times New Roman" w:cstheme="minorHAnsi"/>
          <w:sz w:val="24"/>
          <w:szCs w:val="24"/>
        </w:rPr>
        <w:lastRenderedPageBreak/>
        <w:t>automated analyzer was used to assess the hematological parameters (Hb, PCV, WBC, platelets, and differential counts). The threshold for statistical significance was p &lt; 0.05.</w:t>
      </w:r>
    </w:p>
    <w:p w14:paraId="3CED68AD" w14:textId="77777777" w:rsidR="00462922" w:rsidRPr="00097854" w:rsidRDefault="00C40180" w:rsidP="00097854">
      <w:pPr>
        <w:spacing w:line="360" w:lineRule="auto"/>
        <w:rPr>
          <w:rFonts w:eastAsia="Times New Roman" w:cstheme="minorHAnsi"/>
          <w:sz w:val="24"/>
          <w:szCs w:val="24"/>
        </w:rPr>
      </w:pPr>
      <w:r w:rsidRPr="00097854">
        <w:rPr>
          <w:rStyle w:val="Strong"/>
          <w:rFonts w:cstheme="minorHAnsi"/>
        </w:rPr>
        <w:t>Results</w:t>
      </w:r>
      <w:r w:rsidRPr="00097854">
        <w:rPr>
          <w:rFonts w:cstheme="minorHAnsi"/>
        </w:rPr>
        <w:t>:</w:t>
      </w:r>
      <w:r w:rsidRPr="00097854">
        <w:rPr>
          <w:rFonts w:cstheme="minorHAnsi"/>
        </w:rPr>
        <w:br/>
      </w:r>
      <w:r w:rsidR="00462922" w:rsidRPr="00097854">
        <w:rPr>
          <w:rFonts w:eastAsia="Times New Roman" w:cstheme="minorHAnsi"/>
          <w:sz w:val="24"/>
          <w:szCs w:val="24"/>
        </w:rPr>
        <w:t>Compared to controls (13.13 ± 1.06 g/dL and 39.64 ± 2.86%, respectively; p = 0.000), SCD patients had significantly lower Hb (7.75 ± 2.17 g/dL) and PCV (22.42 ± 5.74%). Among SCD patients, there was an increase in WBC (11.37 ± 6.57 ×10⁹/L vs. 5.64 ± 1.79 ×10⁹/L) and platelet counts (351.62 ± 153.96 ×10⁹/L vs. 233.04 ± 59.95 ×10⁹/L) (p = 0.000). The counts of neutrophils, lymphocytes, monocytes, eosinophils, and basophils did not differ significantly (p &gt; 0.05). There was a significant negative connection between Hb and WBC (r = -0.198, p = 0.029) and PCV and WBC (r = -0.209, p = 0.021). The number of eosinophils was higher in males (2.98 ± 2.88 vs. 1.84 ± 1.40; p = 0.007).</w:t>
      </w:r>
    </w:p>
    <w:p w14:paraId="7AD57B6D" w14:textId="77777777" w:rsidR="00C40180" w:rsidRPr="00097854" w:rsidRDefault="00C40180" w:rsidP="00097854">
      <w:pPr>
        <w:pStyle w:val="NormalWeb"/>
        <w:shd w:val="clear" w:color="auto" w:fill="FFFFFF"/>
        <w:spacing w:before="173" w:beforeAutospacing="0" w:after="173" w:afterAutospacing="0" w:line="360" w:lineRule="auto"/>
        <w:jc w:val="both"/>
        <w:rPr>
          <w:rFonts w:asciiTheme="minorHAnsi" w:hAnsiTheme="minorHAnsi" w:cstheme="minorHAnsi"/>
        </w:rPr>
      </w:pPr>
      <w:r w:rsidRPr="00097854">
        <w:rPr>
          <w:rStyle w:val="Strong"/>
          <w:rFonts w:asciiTheme="minorHAnsi" w:hAnsiTheme="minorHAnsi" w:cstheme="minorHAnsi"/>
        </w:rPr>
        <w:t>Conclusion</w:t>
      </w:r>
      <w:r w:rsidRPr="00097854">
        <w:rPr>
          <w:rFonts w:asciiTheme="minorHAnsi" w:hAnsiTheme="minorHAnsi" w:cstheme="minorHAnsi"/>
        </w:rPr>
        <w:t>:</w:t>
      </w:r>
      <w:r w:rsidRPr="00097854">
        <w:rPr>
          <w:rFonts w:asciiTheme="minorHAnsi" w:hAnsiTheme="minorHAnsi" w:cstheme="minorHAnsi"/>
        </w:rPr>
        <w:br/>
        <w:t>Steady-state SCD is marked by anemia, leukocytosis, and thrombocytosis, with potential thrombotic and inflammatory risks. Routine monitoring of these parameters is essential for early intervention and improved clinical outcomes.</w:t>
      </w:r>
    </w:p>
    <w:p w14:paraId="6AED08D8" w14:textId="77777777" w:rsidR="00D028B0" w:rsidRPr="00097854" w:rsidRDefault="00D028B0" w:rsidP="00097854">
      <w:pPr>
        <w:spacing w:before="100" w:beforeAutospacing="1" w:after="100" w:afterAutospacing="1" w:line="360" w:lineRule="auto"/>
        <w:jc w:val="both"/>
        <w:rPr>
          <w:rFonts w:eastAsia="Times New Roman" w:cstheme="minorHAnsi"/>
          <w:sz w:val="24"/>
          <w:szCs w:val="24"/>
        </w:rPr>
      </w:pPr>
      <w:r w:rsidRPr="00097854">
        <w:rPr>
          <w:rFonts w:eastAsia="Times New Roman" w:cstheme="minorHAnsi"/>
          <w:b/>
          <w:bCs/>
          <w:sz w:val="24"/>
          <w:szCs w:val="24"/>
        </w:rPr>
        <w:t>Keywords</w:t>
      </w:r>
      <w:r w:rsidRPr="00097854">
        <w:rPr>
          <w:rFonts w:eastAsia="Times New Roman" w:cstheme="minorHAnsi"/>
          <w:sz w:val="24"/>
          <w:szCs w:val="24"/>
        </w:rPr>
        <w:t>: Sickle Cell Disease, Haematological Alterations, Steady State, Anemia, Thrombocytosis, Clinical Implications</w:t>
      </w:r>
    </w:p>
    <w:p w14:paraId="2279373D" w14:textId="77777777" w:rsidR="00336C53" w:rsidRPr="00097854" w:rsidRDefault="00336C53" w:rsidP="00097854">
      <w:pPr>
        <w:spacing w:line="360" w:lineRule="auto"/>
        <w:jc w:val="both"/>
        <w:rPr>
          <w:rFonts w:cstheme="minorHAnsi"/>
        </w:rPr>
      </w:pPr>
    </w:p>
    <w:p w14:paraId="1F48E0E0" w14:textId="77777777" w:rsidR="00D028B0" w:rsidRDefault="00D028B0" w:rsidP="00D028B0">
      <w:pPr>
        <w:spacing w:line="360" w:lineRule="auto"/>
        <w:jc w:val="both"/>
      </w:pPr>
    </w:p>
    <w:p w14:paraId="2C84CD05" w14:textId="77777777" w:rsidR="00CD240B" w:rsidRDefault="00CD240B" w:rsidP="00D028B0">
      <w:pPr>
        <w:spacing w:line="360" w:lineRule="auto"/>
        <w:jc w:val="both"/>
      </w:pPr>
    </w:p>
    <w:p w14:paraId="61BBDEA1" w14:textId="77777777" w:rsidR="00CD240B" w:rsidRDefault="00CD240B" w:rsidP="00D028B0">
      <w:pPr>
        <w:spacing w:line="360" w:lineRule="auto"/>
        <w:jc w:val="both"/>
      </w:pPr>
    </w:p>
    <w:p w14:paraId="49E7B051" w14:textId="77777777" w:rsidR="00D028B0" w:rsidRDefault="00D028B0" w:rsidP="00D028B0">
      <w:pPr>
        <w:spacing w:line="360" w:lineRule="auto"/>
        <w:jc w:val="both"/>
      </w:pPr>
    </w:p>
    <w:p w14:paraId="192E5287" w14:textId="77777777" w:rsidR="00D028B0" w:rsidRPr="00A26143" w:rsidRDefault="00D028B0" w:rsidP="00E05576">
      <w:pPr>
        <w:spacing w:line="360" w:lineRule="auto"/>
        <w:jc w:val="both"/>
        <w:rPr>
          <w:rFonts w:cstheme="minorHAnsi"/>
          <w:b/>
          <w:sz w:val="24"/>
          <w:szCs w:val="24"/>
        </w:rPr>
      </w:pPr>
      <w:r w:rsidRPr="00A26143">
        <w:rPr>
          <w:rFonts w:cstheme="minorHAnsi"/>
          <w:b/>
          <w:sz w:val="24"/>
          <w:szCs w:val="24"/>
        </w:rPr>
        <w:lastRenderedPageBreak/>
        <w:t>1. Introduction</w:t>
      </w:r>
    </w:p>
    <w:p w14:paraId="2120B899" w14:textId="77777777" w:rsidR="00E20093" w:rsidRPr="000A6D35" w:rsidRDefault="00E20093" w:rsidP="00E20093">
      <w:pPr>
        <w:spacing w:line="360" w:lineRule="auto"/>
        <w:jc w:val="both"/>
        <w:rPr>
          <w:sz w:val="24"/>
          <w:szCs w:val="24"/>
        </w:rPr>
      </w:pPr>
      <w:r w:rsidRPr="000A6D35">
        <w:rPr>
          <w:sz w:val="24"/>
          <w:szCs w:val="24"/>
        </w:rPr>
        <w:t>The most common inherited hemoglobin disorder in the world, sickle cell disease (SCD) primarily affects people of African descent. A mutation in the β-globin gene causes aberrant hemoglobin S (HbS) to be produced, which polymerizes in deoxygenated environments and gives red blood cells (RBCs) a sickle shape (1). These sickled cells are prone to hemolysis and can clog microvasculature, resulting in vaso-occlusive crisis (VOC), persistent hemolytic anemia, and various organ damage (2).</w:t>
      </w:r>
    </w:p>
    <w:p w14:paraId="7F5677DB" w14:textId="77777777" w:rsidR="00E20093" w:rsidRPr="000A6D35" w:rsidRDefault="00E20093" w:rsidP="00E20093">
      <w:pPr>
        <w:spacing w:line="360" w:lineRule="auto"/>
        <w:jc w:val="both"/>
        <w:rPr>
          <w:sz w:val="24"/>
          <w:szCs w:val="24"/>
        </w:rPr>
      </w:pPr>
      <w:r w:rsidRPr="000A6D35">
        <w:rPr>
          <w:sz w:val="24"/>
          <w:szCs w:val="24"/>
        </w:rPr>
        <w:t>About 150,000 children are born with sickle cell disease (SCD) each year in Nigeria, which has the highest prevalence of the condition worldwide, contributing to a considerable amount of pediatric morbidity and mortality (3). Patients with sickle cell disease (SCD) still frequently experience infections, acute chest syndrome, stroke, and renal impairment despite improvements in therapy. Patients spend the majority of their lives in what is known as the "steady state," which is characterized as a period of at least four weeks without recent transfusion, infection, or acute crisis, even if acute episodes frequently necessitate hospitalization (4).</w:t>
      </w:r>
    </w:p>
    <w:p w14:paraId="33410831" w14:textId="77777777" w:rsidR="00E20093" w:rsidRPr="000A6D35" w:rsidRDefault="00E20093" w:rsidP="00E20093">
      <w:pPr>
        <w:spacing w:line="360" w:lineRule="auto"/>
        <w:jc w:val="both"/>
        <w:rPr>
          <w:sz w:val="24"/>
          <w:szCs w:val="24"/>
        </w:rPr>
      </w:pPr>
      <w:r w:rsidRPr="000A6D35">
        <w:rPr>
          <w:sz w:val="24"/>
          <w:szCs w:val="24"/>
        </w:rPr>
        <w:t>Even in the steady state, haematological changes offer important information about the pathophysiology of the disease and the possibility of consequences. In steady state, SCD patients usually have thrombocytosis, high white blood cell (WBC) levels, and chronic anemia (5). These anomalies may put patients at risk for thrombotic episodes and organ damage since they are frequently associated with splenic dysfunction, chronic inflammation, and persistent endothelial activation (6).</w:t>
      </w:r>
    </w:p>
    <w:p w14:paraId="60E40E8C" w14:textId="77777777" w:rsidR="00E20093" w:rsidRPr="000A6D35" w:rsidRDefault="00E20093" w:rsidP="00E20093">
      <w:pPr>
        <w:spacing w:line="360" w:lineRule="auto"/>
        <w:jc w:val="both"/>
        <w:rPr>
          <w:sz w:val="24"/>
          <w:szCs w:val="24"/>
        </w:rPr>
      </w:pPr>
      <w:r w:rsidRPr="000A6D35">
        <w:rPr>
          <w:sz w:val="24"/>
          <w:szCs w:val="24"/>
        </w:rPr>
        <w:t>It is essential to comprehend these haematological characteristics in order to monitor and manage diseases effectively. For example, severe anemia may require transfusion and affect overall quality of life, whereas leukocytosis and high platelet counts have been linked to an increased risk of stroke and vaso-occlusion (7). Haematological indicators in the steady state are frequently under-assessed in normal treatment, despite their clinical significance.</w:t>
      </w:r>
    </w:p>
    <w:p w14:paraId="280F0D64" w14:textId="77777777" w:rsidR="00E20093" w:rsidRPr="000A6D35" w:rsidRDefault="00E20093" w:rsidP="00E20093">
      <w:pPr>
        <w:spacing w:line="360" w:lineRule="auto"/>
        <w:jc w:val="both"/>
        <w:rPr>
          <w:sz w:val="24"/>
          <w:szCs w:val="24"/>
        </w:rPr>
      </w:pPr>
      <w:r w:rsidRPr="000A6D35">
        <w:rPr>
          <w:sz w:val="24"/>
          <w:szCs w:val="24"/>
        </w:rPr>
        <w:lastRenderedPageBreak/>
        <w:t>This study sought to examine the haematological changes in SCD patients during steady state, given the substantial health burden that the disease places on Nigeria and the continuous difficulties in managing it. The study aims to demonstrate the impact of these deviations on clinical outcomes and the significance of routine haematological monitoring for the early detection of complications by contrasting these findings with those of healthy controls.</w:t>
      </w:r>
    </w:p>
    <w:p w14:paraId="28AF711A" w14:textId="77777777" w:rsidR="00A26143" w:rsidRPr="00A26143" w:rsidRDefault="00A26143" w:rsidP="00E05576">
      <w:pPr>
        <w:spacing w:line="360" w:lineRule="auto"/>
        <w:jc w:val="both"/>
        <w:rPr>
          <w:rFonts w:cstheme="minorHAnsi"/>
          <w:sz w:val="24"/>
          <w:szCs w:val="24"/>
        </w:rPr>
      </w:pPr>
    </w:p>
    <w:p w14:paraId="6D92AA1D" w14:textId="77777777" w:rsidR="00D028B0" w:rsidRPr="00A26143" w:rsidRDefault="00D028B0" w:rsidP="00E05576">
      <w:pPr>
        <w:pStyle w:val="Heading2"/>
        <w:spacing w:line="360" w:lineRule="auto"/>
        <w:jc w:val="both"/>
        <w:rPr>
          <w:rFonts w:asciiTheme="minorHAnsi" w:hAnsiTheme="minorHAnsi" w:cstheme="minorHAnsi"/>
          <w:color w:val="auto"/>
          <w:sz w:val="24"/>
          <w:szCs w:val="24"/>
        </w:rPr>
      </w:pPr>
      <w:r w:rsidRPr="00A26143">
        <w:rPr>
          <w:rStyle w:val="Strong"/>
          <w:rFonts w:asciiTheme="minorHAnsi" w:hAnsiTheme="minorHAnsi" w:cstheme="minorHAnsi"/>
          <w:b/>
          <w:bCs/>
          <w:color w:val="auto"/>
          <w:sz w:val="24"/>
          <w:szCs w:val="24"/>
        </w:rPr>
        <w:t>2.0 Materials and Methods</w:t>
      </w:r>
    </w:p>
    <w:p w14:paraId="2E95192A" w14:textId="77777777" w:rsidR="00D028B0" w:rsidRPr="00A26143" w:rsidRDefault="00D028B0" w:rsidP="00C40180">
      <w:pPr>
        <w:pStyle w:val="Heading3"/>
        <w:spacing w:line="360" w:lineRule="auto"/>
        <w:jc w:val="both"/>
        <w:rPr>
          <w:rFonts w:asciiTheme="minorHAnsi" w:hAnsiTheme="minorHAnsi" w:cstheme="minorHAnsi"/>
          <w:sz w:val="24"/>
          <w:szCs w:val="24"/>
        </w:rPr>
      </w:pPr>
      <w:r w:rsidRPr="00A26143">
        <w:rPr>
          <w:rStyle w:val="Strong"/>
          <w:rFonts w:asciiTheme="minorHAnsi" w:hAnsiTheme="minorHAnsi" w:cstheme="minorHAnsi"/>
          <w:b/>
          <w:bCs/>
          <w:sz w:val="24"/>
          <w:szCs w:val="24"/>
        </w:rPr>
        <w:t>2.1 Study Design and Setting</w:t>
      </w:r>
    </w:p>
    <w:p w14:paraId="28F33933" w14:textId="77777777" w:rsidR="00D028B0" w:rsidRPr="00A26143" w:rsidRDefault="00D028B0" w:rsidP="00E05576">
      <w:pPr>
        <w:spacing w:before="100" w:beforeAutospacing="1" w:after="100" w:afterAutospacing="1" w:line="360" w:lineRule="auto"/>
        <w:jc w:val="both"/>
        <w:rPr>
          <w:rFonts w:cstheme="minorHAnsi"/>
          <w:sz w:val="24"/>
          <w:szCs w:val="24"/>
        </w:rPr>
      </w:pPr>
      <w:r w:rsidRPr="00A26143">
        <w:rPr>
          <w:rFonts w:cstheme="minorHAnsi"/>
          <w:sz w:val="24"/>
          <w:szCs w:val="24"/>
        </w:rPr>
        <w:t>This study employed a cross-sectional, case-control design to evaluate haematological parameters among individuals with sickle cell disease (SCD) in a steady state compared to healthy controls. The research was conducted at the Haematology Day Care Unit of the University College Hospital (UCH), Ibadan, Nigeria. UCH is a tertiary healthcare facility renowned for its comprehensive care of hematological disorders, including SCD.</w:t>
      </w:r>
    </w:p>
    <w:p w14:paraId="15E6244F" w14:textId="77777777" w:rsidR="00D028B0" w:rsidRPr="00A26143" w:rsidRDefault="00D028B0" w:rsidP="00E05576">
      <w:pPr>
        <w:pStyle w:val="Heading3"/>
        <w:spacing w:line="360" w:lineRule="auto"/>
        <w:jc w:val="both"/>
        <w:rPr>
          <w:rFonts w:asciiTheme="minorHAnsi" w:hAnsiTheme="minorHAnsi" w:cstheme="minorHAnsi"/>
          <w:sz w:val="24"/>
          <w:szCs w:val="24"/>
        </w:rPr>
      </w:pPr>
      <w:r w:rsidRPr="00A26143">
        <w:rPr>
          <w:rStyle w:val="Strong"/>
          <w:rFonts w:asciiTheme="minorHAnsi" w:hAnsiTheme="minorHAnsi" w:cstheme="minorHAnsi"/>
          <w:b/>
          <w:bCs/>
          <w:sz w:val="24"/>
          <w:szCs w:val="24"/>
        </w:rPr>
        <w:t>2.2 Study Population</w:t>
      </w:r>
    </w:p>
    <w:p w14:paraId="390BA8D1" w14:textId="77777777" w:rsidR="00D028B0" w:rsidRPr="00A26143" w:rsidRDefault="00D028B0" w:rsidP="00E05576">
      <w:pPr>
        <w:pStyle w:val="Heading4"/>
        <w:spacing w:line="360" w:lineRule="auto"/>
        <w:jc w:val="both"/>
        <w:rPr>
          <w:rFonts w:asciiTheme="minorHAnsi" w:hAnsiTheme="minorHAnsi" w:cstheme="minorHAnsi"/>
          <w:i w:val="0"/>
          <w:color w:val="auto"/>
          <w:sz w:val="24"/>
          <w:szCs w:val="24"/>
        </w:rPr>
      </w:pPr>
      <w:r w:rsidRPr="00A26143">
        <w:rPr>
          <w:rStyle w:val="Strong"/>
          <w:rFonts w:asciiTheme="minorHAnsi" w:hAnsiTheme="minorHAnsi" w:cstheme="minorHAnsi"/>
          <w:bCs/>
          <w:i w:val="0"/>
          <w:color w:val="auto"/>
          <w:sz w:val="24"/>
          <w:szCs w:val="24"/>
        </w:rPr>
        <w:t>2.2.1 Inclusion Criteria</w:t>
      </w:r>
    </w:p>
    <w:p w14:paraId="0F5823A9" w14:textId="77777777" w:rsidR="00D028B0" w:rsidRPr="00A26143" w:rsidRDefault="00D028B0" w:rsidP="00C40180">
      <w:pPr>
        <w:numPr>
          <w:ilvl w:val="0"/>
          <w:numId w:val="2"/>
        </w:numPr>
        <w:spacing w:before="100" w:beforeAutospacing="1" w:after="100" w:afterAutospacing="1" w:line="360" w:lineRule="auto"/>
        <w:jc w:val="both"/>
        <w:rPr>
          <w:rFonts w:cstheme="minorHAnsi"/>
          <w:sz w:val="24"/>
          <w:szCs w:val="24"/>
        </w:rPr>
      </w:pPr>
      <w:r w:rsidRPr="00A26143">
        <w:rPr>
          <w:rStyle w:val="Strong"/>
          <w:rFonts w:cstheme="minorHAnsi"/>
          <w:sz w:val="24"/>
          <w:szCs w:val="24"/>
        </w:rPr>
        <w:t>SCD Patients:</w:t>
      </w:r>
      <w:r w:rsidRPr="00A26143">
        <w:rPr>
          <w:rFonts w:cstheme="minorHAnsi"/>
          <w:sz w:val="24"/>
          <w:szCs w:val="24"/>
        </w:rPr>
        <w:t xml:space="preserve"> Individuals aged 18 years and above with a confirmed diagnosis of homozygous sickle cell disease (HbSS) in a steady state, defined as the absence of acute illness, infection, or crisis episodes for at least four weeks prior to enrollment.</w:t>
      </w:r>
    </w:p>
    <w:p w14:paraId="435CB3AE" w14:textId="77777777" w:rsidR="00D028B0" w:rsidRPr="00A26143" w:rsidRDefault="00D028B0" w:rsidP="00C40180">
      <w:pPr>
        <w:numPr>
          <w:ilvl w:val="0"/>
          <w:numId w:val="2"/>
        </w:numPr>
        <w:spacing w:before="100" w:beforeAutospacing="1" w:after="100" w:afterAutospacing="1" w:line="360" w:lineRule="auto"/>
        <w:jc w:val="both"/>
        <w:rPr>
          <w:rFonts w:cstheme="minorHAnsi"/>
          <w:sz w:val="24"/>
          <w:szCs w:val="24"/>
        </w:rPr>
      </w:pPr>
      <w:r w:rsidRPr="00A26143">
        <w:rPr>
          <w:rStyle w:val="Strong"/>
          <w:rFonts w:cstheme="minorHAnsi"/>
          <w:sz w:val="24"/>
          <w:szCs w:val="24"/>
        </w:rPr>
        <w:t>Controls:</w:t>
      </w:r>
      <w:r w:rsidRPr="00A26143">
        <w:rPr>
          <w:rFonts w:cstheme="minorHAnsi"/>
          <w:sz w:val="24"/>
          <w:szCs w:val="24"/>
        </w:rPr>
        <w:t xml:space="preserve"> Healthy individuals aged 18 years and above with confirmed hemoglobin AA genotype, matched for age and sex with the SCD patients.</w:t>
      </w:r>
    </w:p>
    <w:p w14:paraId="5665F745" w14:textId="77777777" w:rsidR="00D028B0" w:rsidRPr="00A26143" w:rsidRDefault="00D028B0" w:rsidP="00E05576">
      <w:pPr>
        <w:pStyle w:val="Heading4"/>
        <w:spacing w:line="360" w:lineRule="auto"/>
        <w:jc w:val="both"/>
        <w:rPr>
          <w:rFonts w:asciiTheme="minorHAnsi" w:hAnsiTheme="minorHAnsi" w:cstheme="minorHAnsi"/>
          <w:i w:val="0"/>
          <w:color w:val="auto"/>
          <w:sz w:val="24"/>
          <w:szCs w:val="24"/>
        </w:rPr>
      </w:pPr>
      <w:r w:rsidRPr="00A26143">
        <w:rPr>
          <w:rStyle w:val="Strong"/>
          <w:rFonts w:asciiTheme="minorHAnsi" w:hAnsiTheme="minorHAnsi" w:cstheme="minorHAnsi"/>
          <w:bCs/>
          <w:i w:val="0"/>
          <w:color w:val="auto"/>
          <w:sz w:val="24"/>
          <w:szCs w:val="24"/>
        </w:rPr>
        <w:lastRenderedPageBreak/>
        <w:t>2.2.2 Exclusion Criteria</w:t>
      </w:r>
    </w:p>
    <w:p w14:paraId="20CC02D6" w14:textId="77777777" w:rsidR="00D028B0" w:rsidRPr="00A26143" w:rsidRDefault="00D028B0" w:rsidP="00E05576">
      <w:pPr>
        <w:numPr>
          <w:ilvl w:val="0"/>
          <w:numId w:val="3"/>
        </w:numPr>
        <w:spacing w:before="100" w:beforeAutospacing="1" w:after="100" w:afterAutospacing="1" w:line="360" w:lineRule="auto"/>
        <w:jc w:val="both"/>
        <w:rPr>
          <w:rFonts w:cstheme="minorHAnsi"/>
          <w:sz w:val="24"/>
          <w:szCs w:val="24"/>
        </w:rPr>
      </w:pPr>
      <w:r w:rsidRPr="00A26143">
        <w:rPr>
          <w:rFonts w:cstheme="minorHAnsi"/>
          <w:sz w:val="24"/>
          <w:szCs w:val="24"/>
        </w:rPr>
        <w:t>Individuals who had received blood transfusions within the preceding three months.</w:t>
      </w:r>
    </w:p>
    <w:p w14:paraId="4D958D61" w14:textId="77777777" w:rsidR="00D028B0" w:rsidRPr="00A26143" w:rsidRDefault="00D028B0" w:rsidP="00E05576">
      <w:pPr>
        <w:numPr>
          <w:ilvl w:val="0"/>
          <w:numId w:val="3"/>
        </w:numPr>
        <w:spacing w:before="100" w:beforeAutospacing="1" w:after="100" w:afterAutospacing="1" w:line="360" w:lineRule="auto"/>
        <w:jc w:val="both"/>
        <w:rPr>
          <w:rFonts w:cstheme="minorHAnsi"/>
          <w:sz w:val="24"/>
          <w:szCs w:val="24"/>
        </w:rPr>
      </w:pPr>
      <w:r w:rsidRPr="00A26143">
        <w:rPr>
          <w:rFonts w:cstheme="minorHAnsi"/>
          <w:sz w:val="24"/>
          <w:szCs w:val="24"/>
        </w:rPr>
        <w:t>Presence of acute illness, infection, or vaso-occlusive crisis at the time of recruitment.</w:t>
      </w:r>
    </w:p>
    <w:p w14:paraId="7D5DA092" w14:textId="77777777" w:rsidR="00D028B0" w:rsidRPr="00A26143" w:rsidRDefault="00D028B0" w:rsidP="00E05576">
      <w:pPr>
        <w:numPr>
          <w:ilvl w:val="0"/>
          <w:numId w:val="3"/>
        </w:numPr>
        <w:spacing w:before="100" w:beforeAutospacing="1" w:after="100" w:afterAutospacing="1" w:line="360" w:lineRule="auto"/>
        <w:jc w:val="both"/>
        <w:rPr>
          <w:rFonts w:cstheme="minorHAnsi"/>
          <w:sz w:val="24"/>
          <w:szCs w:val="24"/>
        </w:rPr>
      </w:pPr>
      <w:r w:rsidRPr="00A26143">
        <w:rPr>
          <w:rFonts w:cstheme="minorHAnsi"/>
          <w:sz w:val="24"/>
          <w:szCs w:val="24"/>
        </w:rPr>
        <w:t>Known comorbid conditions that could affect haematological parameters, such as HIV infection, chronic kidney disease, or malignancies.</w:t>
      </w:r>
    </w:p>
    <w:p w14:paraId="0BE5F52E" w14:textId="77777777" w:rsidR="00D028B0" w:rsidRPr="00A26143" w:rsidRDefault="00D028B0" w:rsidP="00E05576">
      <w:pPr>
        <w:pStyle w:val="Heading3"/>
        <w:spacing w:line="360" w:lineRule="auto"/>
        <w:jc w:val="both"/>
        <w:rPr>
          <w:rFonts w:asciiTheme="minorHAnsi" w:hAnsiTheme="minorHAnsi" w:cstheme="minorHAnsi"/>
          <w:sz w:val="24"/>
          <w:szCs w:val="24"/>
        </w:rPr>
      </w:pPr>
      <w:r w:rsidRPr="00A26143">
        <w:rPr>
          <w:rStyle w:val="Strong"/>
          <w:rFonts w:asciiTheme="minorHAnsi" w:hAnsiTheme="minorHAnsi" w:cstheme="minorHAnsi"/>
          <w:b/>
          <w:bCs/>
          <w:sz w:val="24"/>
          <w:szCs w:val="24"/>
        </w:rPr>
        <w:t>2.3 Sample Size Determination</w:t>
      </w:r>
    </w:p>
    <w:p w14:paraId="0FFBAE2B" w14:textId="77777777" w:rsidR="00D028B0" w:rsidRPr="00A26143" w:rsidRDefault="00D028B0" w:rsidP="00E05576">
      <w:pPr>
        <w:spacing w:before="100" w:beforeAutospacing="1" w:after="100" w:afterAutospacing="1" w:line="360" w:lineRule="auto"/>
        <w:jc w:val="both"/>
        <w:rPr>
          <w:rFonts w:cstheme="minorHAnsi"/>
          <w:sz w:val="24"/>
          <w:szCs w:val="24"/>
        </w:rPr>
      </w:pPr>
      <w:r w:rsidRPr="00A26143">
        <w:rPr>
          <w:rFonts w:cstheme="minorHAnsi"/>
          <w:sz w:val="24"/>
          <w:szCs w:val="24"/>
        </w:rPr>
        <w:t>A total of 167 participants were enrolled in the study, comprising 122 SCD patients in a steady state and 45 healthy controls. The sample size was determined based on previous studies assessing haematological parameters in similar populations, ensuring adequate power to detect significant differences between groups.</w:t>
      </w:r>
    </w:p>
    <w:p w14:paraId="455573E6" w14:textId="77777777" w:rsidR="00D028B0" w:rsidRPr="00A26143" w:rsidRDefault="00D028B0" w:rsidP="00E05576">
      <w:pPr>
        <w:pStyle w:val="Heading3"/>
        <w:spacing w:line="360" w:lineRule="auto"/>
        <w:jc w:val="both"/>
        <w:rPr>
          <w:rFonts w:asciiTheme="minorHAnsi" w:hAnsiTheme="minorHAnsi" w:cstheme="minorHAnsi"/>
          <w:sz w:val="24"/>
          <w:szCs w:val="24"/>
        </w:rPr>
      </w:pPr>
      <w:r w:rsidRPr="00A26143">
        <w:rPr>
          <w:rStyle w:val="Strong"/>
          <w:rFonts w:asciiTheme="minorHAnsi" w:hAnsiTheme="minorHAnsi" w:cstheme="minorHAnsi"/>
          <w:b/>
          <w:bCs/>
          <w:sz w:val="24"/>
          <w:szCs w:val="24"/>
        </w:rPr>
        <w:t>2.4 Sampling Technique</w:t>
      </w:r>
    </w:p>
    <w:p w14:paraId="7A4C14F2" w14:textId="77777777" w:rsidR="00D028B0" w:rsidRPr="00A26143" w:rsidRDefault="00D028B0" w:rsidP="00C40180">
      <w:pPr>
        <w:spacing w:before="100" w:beforeAutospacing="1" w:after="100" w:afterAutospacing="1" w:line="360" w:lineRule="auto"/>
        <w:jc w:val="both"/>
        <w:rPr>
          <w:rFonts w:cstheme="minorHAnsi"/>
          <w:sz w:val="24"/>
          <w:szCs w:val="24"/>
        </w:rPr>
      </w:pPr>
      <w:r w:rsidRPr="00A26143">
        <w:rPr>
          <w:rFonts w:cstheme="minorHAnsi"/>
          <w:sz w:val="24"/>
          <w:szCs w:val="24"/>
        </w:rPr>
        <w:t>Participants were recruited using a purposive sampling method. SCD patients attending routine follow-up visits at the Haematology Day Care Unit were approached consecutively. Healthy controls were selected from hospital staff and community volunteers, ensuring they met the inclusion criteria and provided informed consent.</w:t>
      </w:r>
    </w:p>
    <w:p w14:paraId="53CC7250" w14:textId="77777777" w:rsidR="00D028B0" w:rsidRPr="00A26143" w:rsidRDefault="00D028B0" w:rsidP="00E05576">
      <w:pPr>
        <w:pStyle w:val="Heading3"/>
        <w:spacing w:line="360" w:lineRule="auto"/>
        <w:jc w:val="both"/>
        <w:rPr>
          <w:rFonts w:asciiTheme="minorHAnsi" w:hAnsiTheme="minorHAnsi" w:cstheme="minorHAnsi"/>
          <w:sz w:val="24"/>
          <w:szCs w:val="24"/>
        </w:rPr>
      </w:pPr>
      <w:r w:rsidRPr="00A26143">
        <w:rPr>
          <w:rStyle w:val="Strong"/>
          <w:rFonts w:asciiTheme="minorHAnsi" w:hAnsiTheme="minorHAnsi" w:cstheme="minorHAnsi"/>
          <w:b/>
          <w:bCs/>
          <w:sz w:val="24"/>
          <w:szCs w:val="24"/>
        </w:rPr>
        <w:t>2.5 Data Collection Instruments and Procedures</w:t>
      </w:r>
    </w:p>
    <w:p w14:paraId="654A3E34" w14:textId="77777777" w:rsidR="00D028B0" w:rsidRPr="00A26143" w:rsidRDefault="00D028B0" w:rsidP="00E05576">
      <w:pPr>
        <w:pStyle w:val="Heading4"/>
        <w:spacing w:line="360" w:lineRule="auto"/>
        <w:jc w:val="both"/>
        <w:rPr>
          <w:rFonts w:asciiTheme="minorHAnsi" w:hAnsiTheme="minorHAnsi" w:cstheme="minorHAnsi"/>
          <w:i w:val="0"/>
          <w:color w:val="auto"/>
          <w:sz w:val="24"/>
          <w:szCs w:val="24"/>
        </w:rPr>
      </w:pPr>
      <w:r w:rsidRPr="00A26143">
        <w:rPr>
          <w:rStyle w:val="Strong"/>
          <w:rFonts w:asciiTheme="minorHAnsi" w:hAnsiTheme="minorHAnsi" w:cstheme="minorHAnsi"/>
          <w:bCs/>
          <w:i w:val="0"/>
          <w:color w:val="auto"/>
          <w:sz w:val="24"/>
          <w:szCs w:val="24"/>
        </w:rPr>
        <w:lastRenderedPageBreak/>
        <w:t>2.5.1 Questionnaire Administration</w:t>
      </w:r>
    </w:p>
    <w:p w14:paraId="6C41343E" w14:textId="77777777" w:rsidR="00D028B0" w:rsidRPr="00A26143" w:rsidRDefault="00D028B0" w:rsidP="00C40180">
      <w:pPr>
        <w:spacing w:before="100" w:beforeAutospacing="1" w:after="100" w:afterAutospacing="1" w:line="360" w:lineRule="auto"/>
        <w:jc w:val="both"/>
        <w:rPr>
          <w:rFonts w:cstheme="minorHAnsi"/>
          <w:sz w:val="24"/>
          <w:szCs w:val="24"/>
        </w:rPr>
      </w:pPr>
      <w:r w:rsidRPr="00A26143">
        <w:rPr>
          <w:rFonts w:cstheme="minorHAnsi"/>
          <w:sz w:val="24"/>
          <w:szCs w:val="24"/>
        </w:rPr>
        <w:t>A structured, interviewer-administered questionnaire was used to collect sociodemographic data, medical history, and relevant clinical information. The questionnaire was pretested for clarity and reliability before deployment.</w:t>
      </w:r>
    </w:p>
    <w:p w14:paraId="1C7E292F" w14:textId="77777777" w:rsidR="00D028B0" w:rsidRPr="00A26143" w:rsidRDefault="00D028B0" w:rsidP="00E05576">
      <w:pPr>
        <w:pStyle w:val="Heading4"/>
        <w:spacing w:line="360" w:lineRule="auto"/>
        <w:jc w:val="both"/>
        <w:rPr>
          <w:rFonts w:asciiTheme="minorHAnsi" w:hAnsiTheme="minorHAnsi" w:cstheme="minorHAnsi"/>
          <w:i w:val="0"/>
          <w:color w:val="auto"/>
          <w:sz w:val="24"/>
          <w:szCs w:val="24"/>
        </w:rPr>
      </w:pPr>
      <w:r w:rsidRPr="00A26143">
        <w:rPr>
          <w:rStyle w:val="Strong"/>
          <w:rFonts w:asciiTheme="minorHAnsi" w:hAnsiTheme="minorHAnsi" w:cstheme="minorHAnsi"/>
          <w:bCs/>
          <w:i w:val="0"/>
          <w:color w:val="auto"/>
          <w:sz w:val="24"/>
          <w:szCs w:val="24"/>
        </w:rPr>
        <w:t>2.5.2 Physical Examination</w:t>
      </w:r>
    </w:p>
    <w:p w14:paraId="2EFEB0E3" w14:textId="77777777" w:rsidR="00D028B0" w:rsidRPr="00A26143" w:rsidRDefault="00D028B0" w:rsidP="00C40180">
      <w:pPr>
        <w:spacing w:before="100" w:beforeAutospacing="1" w:after="100" w:afterAutospacing="1" w:line="360" w:lineRule="auto"/>
        <w:jc w:val="both"/>
        <w:rPr>
          <w:rFonts w:cstheme="minorHAnsi"/>
          <w:sz w:val="24"/>
          <w:szCs w:val="24"/>
        </w:rPr>
      </w:pPr>
      <w:r w:rsidRPr="00A26143">
        <w:rPr>
          <w:rFonts w:cstheme="minorHAnsi"/>
          <w:sz w:val="24"/>
          <w:szCs w:val="24"/>
        </w:rPr>
        <w:t>Each participant underwent a thorough physical examination, including vital signs assessment and evaluation for pallor, jaundice, lymphadenopathy, and splenomegaly, to confirm the steady-state status in SCD patients and overall health in controls.</w:t>
      </w:r>
    </w:p>
    <w:p w14:paraId="7BD4D2DF" w14:textId="77777777" w:rsidR="00D028B0" w:rsidRPr="00A26143" w:rsidRDefault="00D028B0" w:rsidP="00E05576">
      <w:pPr>
        <w:pStyle w:val="Heading3"/>
        <w:spacing w:line="360" w:lineRule="auto"/>
        <w:jc w:val="both"/>
        <w:rPr>
          <w:rFonts w:asciiTheme="minorHAnsi" w:hAnsiTheme="minorHAnsi" w:cstheme="minorHAnsi"/>
          <w:sz w:val="24"/>
          <w:szCs w:val="24"/>
        </w:rPr>
      </w:pPr>
      <w:r w:rsidRPr="00A26143">
        <w:rPr>
          <w:rStyle w:val="Strong"/>
          <w:rFonts w:asciiTheme="minorHAnsi" w:hAnsiTheme="minorHAnsi" w:cstheme="minorHAnsi"/>
          <w:b/>
          <w:bCs/>
          <w:sz w:val="24"/>
          <w:szCs w:val="24"/>
        </w:rPr>
        <w:t>2.6 Laboratory Investigations</w:t>
      </w:r>
    </w:p>
    <w:p w14:paraId="2EAAB01F" w14:textId="77777777" w:rsidR="00D028B0" w:rsidRPr="00A26143" w:rsidRDefault="00D028B0" w:rsidP="00E05576">
      <w:pPr>
        <w:pStyle w:val="Heading4"/>
        <w:spacing w:line="360" w:lineRule="auto"/>
        <w:jc w:val="both"/>
        <w:rPr>
          <w:rFonts w:asciiTheme="minorHAnsi" w:hAnsiTheme="minorHAnsi" w:cstheme="minorHAnsi"/>
          <w:i w:val="0"/>
          <w:color w:val="auto"/>
          <w:sz w:val="24"/>
          <w:szCs w:val="24"/>
        </w:rPr>
      </w:pPr>
      <w:r w:rsidRPr="00A26143">
        <w:rPr>
          <w:rStyle w:val="Strong"/>
          <w:rFonts w:asciiTheme="minorHAnsi" w:hAnsiTheme="minorHAnsi" w:cstheme="minorHAnsi"/>
          <w:bCs/>
          <w:i w:val="0"/>
          <w:color w:val="auto"/>
          <w:sz w:val="24"/>
          <w:szCs w:val="24"/>
        </w:rPr>
        <w:t>2.6.1 Blood Sample Collection</w:t>
      </w:r>
    </w:p>
    <w:p w14:paraId="65335985" w14:textId="77777777" w:rsidR="00D028B0" w:rsidRPr="00A26143" w:rsidRDefault="00D028B0" w:rsidP="00C40180">
      <w:pPr>
        <w:spacing w:before="100" w:beforeAutospacing="1" w:after="100" w:afterAutospacing="1" w:line="360" w:lineRule="auto"/>
        <w:jc w:val="both"/>
        <w:rPr>
          <w:rFonts w:cstheme="minorHAnsi"/>
          <w:sz w:val="24"/>
          <w:szCs w:val="24"/>
        </w:rPr>
      </w:pPr>
      <w:r w:rsidRPr="00A26143">
        <w:rPr>
          <w:rFonts w:cstheme="minorHAnsi"/>
          <w:sz w:val="24"/>
          <w:szCs w:val="24"/>
        </w:rPr>
        <w:t>Five milliliters of venous blood were drawn aseptically from each participant into ethylenediaminetetraacetic acid (EDTA) anticoagulated tubes for haematological analysis.</w:t>
      </w:r>
    </w:p>
    <w:p w14:paraId="7DFE2F5C" w14:textId="77777777" w:rsidR="00D028B0" w:rsidRPr="00A26143" w:rsidRDefault="00D028B0" w:rsidP="00E05576">
      <w:pPr>
        <w:pStyle w:val="Heading4"/>
        <w:spacing w:line="360" w:lineRule="auto"/>
        <w:jc w:val="both"/>
        <w:rPr>
          <w:rFonts w:asciiTheme="minorHAnsi" w:hAnsiTheme="minorHAnsi" w:cstheme="minorHAnsi"/>
          <w:i w:val="0"/>
          <w:color w:val="auto"/>
          <w:sz w:val="24"/>
          <w:szCs w:val="24"/>
        </w:rPr>
      </w:pPr>
      <w:r w:rsidRPr="00A26143">
        <w:rPr>
          <w:rStyle w:val="Strong"/>
          <w:rFonts w:asciiTheme="minorHAnsi" w:hAnsiTheme="minorHAnsi" w:cstheme="minorHAnsi"/>
          <w:bCs/>
          <w:i w:val="0"/>
          <w:color w:val="auto"/>
          <w:sz w:val="24"/>
          <w:szCs w:val="24"/>
        </w:rPr>
        <w:t>2.6.2 Haematological Analysis</w:t>
      </w:r>
    </w:p>
    <w:p w14:paraId="1B6BD9C8" w14:textId="77777777" w:rsidR="00D028B0" w:rsidRPr="00A26143" w:rsidRDefault="00D028B0" w:rsidP="00C40180">
      <w:pPr>
        <w:spacing w:before="100" w:beforeAutospacing="1" w:after="100" w:afterAutospacing="1" w:line="360" w:lineRule="auto"/>
        <w:jc w:val="both"/>
        <w:rPr>
          <w:rFonts w:cstheme="minorHAnsi"/>
          <w:sz w:val="24"/>
          <w:szCs w:val="24"/>
        </w:rPr>
      </w:pPr>
      <w:r w:rsidRPr="00A26143">
        <w:rPr>
          <w:rFonts w:cstheme="minorHAnsi"/>
          <w:sz w:val="24"/>
          <w:szCs w:val="24"/>
        </w:rPr>
        <w:t>Complete blood count (CBC) parameters, including hemoglobin concentration (Hb), packed cell volume (PCV), total white blood cell (WBC) count, and platelet count, were measured using an automated hematology analyzer (e.g., Sysmex KX-21N, Sysmex Corporation, Kobe, Japan). The analyzer was calibrated daily, and quality control measures were strictly adhered to, ensuring accuracy and reliability of results.</w:t>
      </w:r>
    </w:p>
    <w:p w14:paraId="138E7CCA" w14:textId="77777777" w:rsidR="00D028B0" w:rsidRPr="00A26143" w:rsidRDefault="00D028B0" w:rsidP="00E05576">
      <w:pPr>
        <w:pStyle w:val="Heading4"/>
        <w:spacing w:line="360" w:lineRule="auto"/>
        <w:jc w:val="both"/>
        <w:rPr>
          <w:rFonts w:asciiTheme="minorHAnsi" w:hAnsiTheme="minorHAnsi" w:cstheme="minorHAnsi"/>
          <w:b w:val="0"/>
          <w:i w:val="0"/>
          <w:color w:val="auto"/>
          <w:sz w:val="24"/>
          <w:szCs w:val="24"/>
        </w:rPr>
      </w:pPr>
      <w:r w:rsidRPr="00A26143">
        <w:rPr>
          <w:rStyle w:val="Strong"/>
          <w:rFonts w:asciiTheme="minorHAnsi" w:hAnsiTheme="minorHAnsi" w:cstheme="minorHAnsi"/>
          <w:b/>
          <w:bCs/>
          <w:i w:val="0"/>
          <w:color w:val="auto"/>
          <w:sz w:val="24"/>
          <w:szCs w:val="24"/>
        </w:rPr>
        <w:lastRenderedPageBreak/>
        <w:t>2.6.3 Hemoglobin Electrophoresis</w:t>
      </w:r>
    </w:p>
    <w:p w14:paraId="5C560E86" w14:textId="77777777" w:rsidR="00D028B0" w:rsidRPr="00A26143" w:rsidRDefault="00D028B0" w:rsidP="00C40180">
      <w:pPr>
        <w:spacing w:before="100" w:beforeAutospacing="1" w:after="100" w:afterAutospacing="1" w:line="360" w:lineRule="auto"/>
        <w:jc w:val="both"/>
        <w:rPr>
          <w:rFonts w:cstheme="minorHAnsi"/>
          <w:sz w:val="24"/>
          <w:szCs w:val="24"/>
        </w:rPr>
      </w:pPr>
      <w:r w:rsidRPr="00A26143">
        <w:rPr>
          <w:rFonts w:cstheme="minorHAnsi"/>
          <w:sz w:val="24"/>
          <w:szCs w:val="24"/>
        </w:rPr>
        <w:t>Hemoglobin electrophoresis was performed to confirm the hemoglobin genotype of all participants. This was conducted using cellulose acetate electrophoresis at an alkaline pH of 8.6, following standard laboratory protocols.</w:t>
      </w:r>
    </w:p>
    <w:p w14:paraId="6C780CE9" w14:textId="77777777" w:rsidR="00D028B0" w:rsidRPr="00A26143" w:rsidRDefault="00D028B0" w:rsidP="00E05576">
      <w:pPr>
        <w:pStyle w:val="Heading3"/>
        <w:spacing w:line="360" w:lineRule="auto"/>
        <w:jc w:val="both"/>
        <w:rPr>
          <w:rFonts w:asciiTheme="minorHAnsi" w:hAnsiTheme="minorHAnsi" w:cstheme="minorHAnsi"/>
          <w:sz w:val="24"/>
          <w:szCs w:val="24"/>
        </w:rPr>
      </w:pPr>
      <w:r w:rsidRPr="00A26143">
        <w:rPr>
          <w:rStyle w:val="Strong"/>
          <w:rFonts w:asciiTheme="minorHAnsi" w:hAnsiTheme="minorHAnsi" w:cstheme="minorHAnsi"/>
          <w:b/>
          <w:bCs/>
          <w:sz w:val="24"/>
          <w:szCs w:val="24"/>
        </w:rPr>
        <w:t>2.7 Ethical Considerations</w:t>
      </w:r>
    </w:p>
    <w:p w14:paraId="54942581" w14:textId="77777777" w:rsidR="00D028B0" w:rsidRPr="00A26143" w:rsidRDefault="00D028B0" w:rsidP="00E05576">
      <w:pPr>
        <w:spacing w:before="100" w:beforeAutospacing="1" w:after="100" w:afterAutospacing="1" w:line="360" w:lineRule="auto"/>
        <w:jc w:val="both"/>
        <w:rPr>
          <w:rFonts w:cstheme="minorHAnsi"/>
          <w:sz w:val="24"/>
          <w:szCs w:val="24"/>
        </w:rPr>
      </w:pPr>
      <w:r w:rsidRPr="00A26143">
        <w:rPr>
          <w:rFonts w:cstheme="minorHAnsi"/>
          <w:sz w:val="24"/>
          <w:szCs w:val="24"/>
        </w:rPr>
        <w:t>Ethical approval for the study was obtained from the Research and Ethics Committee of the University College Hospital, Ibadan (Approval Number: UCH/EC/2025/04). Written informed consent was obtained from all participants after providing detailed information about the study's purpose, procedures, potential risks, and benefits. Confidentiality of participant information was maintained throughout the study.</w:t>
      </w:r>
    </w:p>
    <w:p w14:paraId="526F9E34" w14:textId="77777777" w:rsidR="00D028B0" w:rsidRPr="00A26143" w:rsidRDefault="00D028B0" w:rsidP="00E05576">
      <w:pPr>
        <w:pStyle w:val="Heading3"/>
        <w:spacing w:line="360" w:lineRule="auto"/>
        <w:jc w:val="both"/>
        <w:rPr>
          <w:rFonts w:asciiTheme="minorHAnsi" w:hAnsiTheme="minorHAnsi" w:cstheme="minorHAnsi"/>
          <w:sz w:val="24"/>
          <w:szCs w:val="24"/>
        </w:rPr>
      </w:pPr>
      <w:r w:rsidRPr="00A26143">
        <w:rPr>
          <w:rStyle w:val="Strong"/>
          <w:rFonts w:asciiTheme="minorHAnsi" w:hAnsiTheme="minorHAnsi" w:cstheme="minorHAnsi"/>
          <w:b/>
          <w:bCs/>
          <w:sz w:val="24"/>
          <w:szCs w:val="24"/>
        </w:rPr>
        <w:t>2.8 Data Management and Statistical Analysis</w:t>
      </w:r>
    </w:p>
    <w:p w14:paraId="1F1510A7" w14:textId="77777777" w:rsidR="00D028B0" w:rsidRPr="00A26143" w:rsidRDefault="00D028B0" w:rsidP="00C40180">
      <w:pPr>
        <w:spacing w:before="100" w:beforeAutospacing="1" w:after="100" w:afterAutospacing="1" w:line="360" w:lineRule="auto"/>
        <w:jc w:val="both"/>
        <w:rPr>
          <w:rFonts w:cstheme="minorHAnsi"/>
          <w:sz w:val="24"/>
          <w:szCs w:val="24"/>
        </w:rPr>
      </w:pPr>
      <w:r w:rsidRPr="00A26143">
        <w:rPr>
          <w:rFonts w:cstheme="minorHAnsi"/>
          <w:sz w:val="24"/>
          <w:szCs w:val="24"/>
        </w:rPr>
        <w:t>Data collected were entered into Microsoft Excel and analyzed using the Statistical Package for the Social Sciences (SPSS) version 23.0 (IBM Corp., Armonk, NY, USA). Continuous variables were expressed as means ± standard deviations, while categorical variables were presented as frequencies and percentages. Independent sample t-tests were used to compare mean haematological parameters between SCD patients and controls. A p-value of less than 0.05 was considered statistically significant.</w:t>
      </w:r>
    </w:p>
    <w:p w14:paraId="062C8F64" w14:textId="77777777" w:rsidR="00D028B0" w:rsidRPr="00E05576" w:rsidRDefault="00D028B0" w:rsidP="00E05576">
      <w:pPr>
        <w:spacing w:line="360" w:lineRule="auto"/>
        <w:jc w:val="both"/>
        <w:rPr>
          <w:rFonts w:ascii="Times New Roman" w:hAnsi="Times New Roman" w:cs="Times New Roman"/>
          <w:sz w:val="24"/>
          <w:szCs w:val="24"/>
        </w:rPr>
      </w:pPr>
    </w:p>
    <w:p w14:paraId="7685B60F" w14:textId="77777777" w:rsidR="00D028B0" w:rsidRPr="00E05576" w:rsidRDefault="00D028B0" w:rsidP="00E05576">
      <w:pPr>
        <w:spacing w:line="360" w:lineRule="auto"/>
        <w:jc w:val="both"/>
        <w:rPr>
          <w:rFonts w:ascii="Times New Roman" w:hAnsi="Times New Roman" w:cs="Times New Roman"/>
          <w:sz w:val="24"/>
          <w:szCs w:val="24"/>
        </w:rPr>
      </w:pPr>
    </w:p>
    <w:p w14:paraId="02A64946" w14:textId="77777777" w:rsidR="00D028B0" w:rsidRPr="00E05576" w:rsidRDefault="00D028B0" w:rsidP="00E05576">
      <w:pPr>
        <w:spacing w:line="360" w:lineRule="auto"/>
        <w:jc w:val="both"/>
        <w:rPr>
          <w:rFonts w:ascii="Times New Roman" w:hAnsi="Times New Roman" w:cs="Times New Roman"/>
          <w:sz w:val="24"/>
          <w:szCs w:val="24"/>
        </w:rPr>
      </w:pPr>
    </w:p>
    <w:p w14:paraId="284BB075" w14:textId="77777777" w:rsidR="00D028B0" w:rsidRPr="00097854" w:rsidRDefault="0082437E" w:rsidP="00E05576">
      <w:pPr>
        <w:spacing w:line="360" w:lineRule="auto"/>
        <w:jc w:val="both"/>
        <w:rPr>
          <w:rFonts w:cstheme="minorHAnsi"/>
          <w:b/>
          <w:sz w:val="24"/>
          <w:szCs w:val="24"/>
        </w:rPr>
      </w:pPr>
      <w:r w:rsidRPr="00097854">
        <w:rPr>
          <w:rFonts w:cstheme="minorHAnsi"/>
          <w:b/>
          <w:sz w:val="24"/>
          <w:szCs w:val="24"/>
        </w:rPr>
        <w:lastRenderedPageBreak/>
        <w:t>3. RESULTS</w:t>
      </w:r>
    </w:p>
    <w:p w14:paraId="7ABD52A4" w14:textId="77777777" w:rsidR="0082437E" w:rsidRPr="00097854" w:rsidRDefault="0082437E" w:rsidP="0082437E">
      <w:pPr>
        <w:widowControl w:val="0"/>
        <w:autoSpaceDE w:val="0"/>
        <w:autoSpaceDN w:val="0"/>
        <w:adjustRightInd w:val="0"/>
        <w:spacing w:after="0" w:line="360" w:lineRule="auto"/>
        <w:jc w:val="both"/>
        <w:rPr>
          <w:rFonts w:eastAsia="Times New Roman" w:cstheme="minorHAnsi"/>
          <w:color w:val="000000"/>
          <w:sz w:val="24"/>
          <w:szCs w:val="24"/>
        </w:rPr>
      </w:pPr>
      <w:r w:rsidRPr="00097854">
        <w:rPr>
          <w:rFonts w:cstheme="minorHAnsi"/>
          <w:b/>
          <w:sz w:val="24"/>
          <w:szCs w:val="24"/>
        </w:rPr>
        <w:t>3.1</w:t>
      </w:r>
      <w:r w:rsidRPr="00097854">
        <w:rPr>
          <w:rFonts w:cstheme="minorHAnsi"/>
          <w:b/>
          <w:sz w:val="24"/>
          <w:szCs w:val="24"/>
        </w:rPr>
        <w:tab/>
        <w:t>COMPARISON OF HAEMATOLOGICAL PARAMETERS AMONG GROUPS</w:t>
      </w:r>
    </w:p>
    <w:p w14:paraId="4C184B1F" w14:textId="323C89E8" w:rsidR="0082437E" w:rsidRPr="00097854" w:rsidRDefault="0082437E" w:rsidP="0082437E">
      <w:pPr>
        <w:widowControl w:val="0"/>
        <w:autoSpaceDE w:val="0"/>
        <w:autoSpaceDN w:val="0"/>
        <w:adjustRightInd w:val="0"/>
        <w:spacing w:after="0" w:line="480" w:lineRule="auto"/>
        <w:jc w:val="both"/>
        <w:rPr>
          <w:rFonts w:cstheme="minorHAnsi"/>
          <w:sz w:val="24"/>
          <w:szCs w:val="24"/>
        </w:rPr>
      </w:pPr>
      <w:r w:rsidRPr="00097854">
        <w:rPr>
          <w:rFonts w:cstheme="minorHAnsi"/>
          <w:sz w:val="24"/>
          <w:szCs w:val="24"/>
        </w:rPr>
        <w:t xml:space="preserve">There were significant differences between the Haematological Parameters (Hb, PCV, WBC and Platelets counts) of sickle cell patients compare to those who were normal (p=0.000) as shown in table </w:t>
      </w:r>
      <w:r w:rsidR="00661EAD">
        <w:rPr>
          <w:rFonts w:cstheme="minorHAnsi"/>
          <w:sz w:val="24"/>
          <w:szCs w:val="24"/>
        </w:rPr>
        <w:t>1</w:t>
      </w:r>
      <w:r w:rsidRPr="00097854">
        <w:rPr>
          <w:rFonts w:cstheme="minorHAnsi"/>
          <w:sz w:val="24"/>
          <w:szCs w:val="24"/>
        </w:rPr>
        <w:t xml:space="preserve">; with sickle cell patients having a higher mean WBC and platelet counts </w:t>
      </w:r>
      <w:r w:rsidRPr="00097854">
        <w:rPr>
          <w:rFonts w:cstheme="minorHAnsi"/>
          <w:sz w:val="24"/>
          <w:szCs w:val="24"/>
          <w:lang w:val="en-GB"/>
        </w:rPr>
        <w:t>respectively</w:t>
      </w:r>
      <w:r w:rsidRPr="00097854">
        <w:rPr>
          <w:rFonts w:cstheme="minorHAnsi"/>
          <w:sz w:val="24"/>
          <w:szCs w:val="24"/>
        </w:rPr>
        <w:t xml:space="preserve">.  Also, sickle cell patients had a lower mean </w:t>
      </w:r>
      <w:r w:rsidRPr="00097854">
        <w:rPr>
          <w:rFonts w:cstheme="minorHAnsi"/>
          <w:sz w:val="24"/>
          <w:szCs w:val="24"/>
          <w:lang w:val="en-GB"/>
        </w:rPr>
        <w:t>PCV and Hb concentrations respectively</w:t>
      </w:r>
      <w:r w:rsidRPr="00097854">
        <w:rPr>
          <w:rFonts w:cstheme="minorHAnsi"/>
          <w:sz w:val="24"/>
          <w:szCs w:val="24"/>
        </w:rPr>
        <w:t>. However, there were no significant differences between the Haematological Parameters (Neutrophylls, Lymphocytes, Monocytes, Eosinophil and Basophil) of sickle cell patients compared to those who were normal (p&gt;0.05).</w:t>
      </w:r>
    </w:p>
    <w:p w14:paraId="5B06D3AE" w14:textId="77777777" w:rsidR="0082437E" w:rsidRPr="00097854" w:rsidRDefault="0082437E" w:rsidP="00E05576">
      <w:pPr>
        <w:spacing w:line="360" w:lineRule="auto"/>
        <w:jc w:val="both"/>
        <w:rPr>
          <w:rFonts w:cstheme="minorHAnsi"/>
          <w:sz w:val="24"/>
          <w:szCs w:val="24"/>
        </w:rPr>
      </w:pPr>
    </w:p>
    <w:p w14:paraId="07D0579C" w14:textId="636231C1" w:rsidR="0082437E" w:rsidRPr="00A26143" w:rsidRDefault="0082437E" w:rsidP="0082437E">
      <w:pPr>
        <w:widowControl w:val="0"/>
        <w:autoSpaceDE w:val="0"/>
        <w:autoSpaceDN w:val="0"/>
        <w:adjustRightInd w:val="0"/>
        <w:spacing w:after="0" w:line="360" w:lineRule="auto"/>
        <w:jc w:val="both"/>
        <w:rPr>
          <w:rFonts w:eastAsia="Times New Roman" w:cstheme="minorHAnsi"/>
          <w:b/>
          <w:color w:val="000000"/>
          <w:sz w:val="24"/>
          <w:szCs w:val="24"/>
        </w:rPr>
      </w:pPr>
      <w:r w:rsidRPr="00A26143">
        <w:rPr>
          <w:rFonts w:eastAsia="Times New Roman" w:cstheme="minorHAnsi"/>
          <w:b/>
          <w:color w:val="000000"/>
          <w:sz w:val="24"/>
          <w:szCs w:val="24"/>
        </w:rPr>
        <w:t>TABLE 1:</w:t>
      </w:r>
      <w:r w:rsidRPr="00A26143">
        <w:rPr>
          <w:rFonts w:eastAsia="Times New Roman" w:cstheme="minorHAnsi"/>
          <w:b/>
          <w:color w:val="000000"/>
          <w:sz w:val="24"/>
          <w:szCs w:val="24"/>
        </w:rPr>
        <w:tab/>
        <w:t>COMPARISON OF MEAN±SD HAEMATOLOGICAL PARAMETERS OF STUDY SUBJECTS (TEST/CASES AND CONTROL)</w:t>
      </w:r>
    </w:p>
    <w:tbl>
      <w:tblPr>
        <w:tblStyle w:val="TableGrid11"/>
        <w:tblW w:w="100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7"/>
        <w:gridCol w:w="1861"/>
        <w:gridCol w:w="1890"/>
        <w:gridCol w:w="900"/>
        <w:gridCol w:w="990"/>
        <w:gridCol w:w="1710"/>
      </w:tblGrid>
      <w:tr w:rsidR="0082437E" w:rsidRPr="00A26143" w14:paraId="37F1A39A" w14:textId="77777777" w:rsidTr="002B30CC">
        <w:tc>
          <w:tcPr>
            <w:tcW w:w="2657" w:type="dxa"/>
          </w:tcPr>
          <w:p w14:paraId="5EBD9FF0" w14:textId="77777777" w:rsidR="0082437E" w:rsidRPr="00A26143" w:rsidRDefault="0082437E" w:rsidP="002B30CC">
            <w:pPr>
              <w:spacing w:line="360" w:lineRule="auto"/>
              <w:contextualSpacing/>
              <w:jc w:val="both"/>
              <w:rPr>
                <w:rFonts w:asciiTheme="minorHAnsi" w:eastAsia="Times New Roman" w:hAnsiTheme="minorHAnsi" w:cstheme="minorHAnsi"/>
                <w:b/>
                <w:color w:val="000000"/>
                <w:sz w:val="20"/>
                <w:szCs w:val="24"/>
              </w:rPr>
            </w:pPr>
          </w:p>
        </w:tc>
        <w:tc>
          <w:tcPr>
            <w:tcW w:w="1861" w:type="dxa"/>
          </w:tcPr>
          <w:p w14:paraId="2BAD90BB" w14:textId="77777777" w:rsidR="0082437E" w:rsidRPr="00A26143" w:rsidRDefault="0082437E" w:rsidP="002B30CC">
            <w:pPr>
              <w:spacing w:line="360" w:lineRule="auto"/>
              <w:contextualSpacing/>
              <w:jc w:val="center"/>
              <w:rPr>
                <w:rFonts w:asciiTheme="minorHAnsi" w:hAnsiTheme="minorHAnsi" w:cstheme="minorHAnsi"/>
                <w:b/>
                <w:sz w:val="20"/>
                <w:szCs w:val="20"/>
              </w:rPr>
            </w:pPr>
            <w:r w:rsidRPr="00A26143">
              <w:rPr>
                <w:rFonts w:asciiTheme="minorHAnsi" w:hAnsiTheme="minorHAnsi" w:cstheme="minorHAnsi"/>
                <w:b/>
                <w:sz w:val="20"/>
                <w:szCs w:val="20"/>
              </w:rPr>
              <w:t>SICKLE CELL PATIENTS (n=122)</w:t>
            </w:r>
          </w:p>
        </w:tc>
        <w:tc>
          <w:tcPr>
            <w:tcW w:w="1890" w:type="dxa"/>
          </w:tcPr>
          <w:p w14:paraId="3C9627E8" w14:textId="77777777" w:rsidR="0082437E" w:rsidRPr="00A26143" w:rsidRDefault="0082437E" w:rsidP="002B30CC">
            <w:pPr>
              <w:spacing w:line="360" w:lineRule="auto"/>
              <w:contextualSpacing/>
              <w:jc w:val="center"/>
              <w:rPr>
                <w:rFonts w:asciiTheme="minorHAnsi" w:hAnsiTheme="minorHAnsi" w:cstheme="minorHAnsi"/>
                <w:b/>
                <w:sz w:val="20"/>
                <w:szCs w:val="20"/>
              </w:rPr>
            </w:pPr>
            <w:r w:rsidRPr="00A26143">
              <w:rPr>
                <w:rFonts w:asciiTheme="minorHAnsi" w:hAnsiTheme="minorHAnsi" w:cstheme="minorHAnsi"/>
                <w:b/>
                <w:sz w:val="20"/>
                <w:szCs w:val="20"/>
              </w:rPr>
              <w:t>NORMAL PEOPLE/CONTROL (n=45)</w:t>
            </w:r>
          </w:p>
        </w:tc>
        <w:tc>
          <w:tcPr>
            <w:tcW w:w="900" w:type="dxa"/>
          </w:tcPr>
          <w:p w14:paraId="6785BE2E" w14:textId="77777777" w:rsidR="0082437E" w:rsidRPr="00A26143" w:rsidRDefault="0082437E" w:rsidP="002B30CC">
            <w:pPr>
              <w:spacing w:line="360" w:lineRule="auto"/>
              <w:contextualSpacing/>
              <w:jc w:val="center"/>
              <w:rPr>
                <w:rFonts w:asciiTheme="minorHAnsi" w:hAnsiTheme="minorHAnsi" w:cstheme="minorHAnsi"/>
                <w:b/>
                <w:sz w:val="20"/>
                <w:szCs w:val="20"/>
              </w:rPr>
            </w:pPr>
            <w:r w:rsidRPr="00A26143">
              <w:rPr>
                <w:rFonts w:asciiTheme="minorHAnsi" w:hAnsiTheme="minorHAnsi" w:cstheme="minorHAnsi"/>
                <w:b/>
                <w:sz w:val="20"/>
                <w:szCs w:val="20"/>
              </w:rPr>
              <w:t>t-test</w:t>
            </w:r>
          </w:p>
        </w:tc>
        <w:tc>
          <w:tcPr>
            <w:tcW w:w="990" w:type="dxa"/>
          </w:tcPr>
          <w:p w14:paraId="10DDCED1" w14:textId="77777777" w:rsidR="0082437E" w:rsidRPr="00A26143" w:rsidRDefault="0082437E" w:rsidP="002B30CC">
            <w:pPr>
              <w:spacing w:line="360" w:lineRule="auto"/>
              <w:contextualSpacing/>
              <w:jc w:val="center"/>
              <w:rPr>
                <w:rFonts w:asciiTheme="minorHAnsi" w:hAnsiTheme="minorHAnsi" w:cstheme="minorHAnsi"/>
                <w:b/>
                <w:sz w:val="20"/>
                <w:szCs w:val="20"/>
              </w:rPr>
            </w:pPr>
            <w:r w:rsidRPr="00A26143">
              <w:rPr>
                <w:rFonts w:asciiTheme="minorHAnsi" w:hAnsiTheme="minorHAnsi" w:cstheme="minorHAnsi"/>
                <w:b/>
                <w:sz w:val="20"/>
                <w:szCs w:val="20"/>
              </w:rPr>
              <w:t>p-value</w:t>
            </w:r>
          </w:p>
        </w:tc>
        <w:tc>
          <w:tcPr>
            <w:tcW w:w="1710" w:type="dxa"/>
          </w:tcPr>
          <w:p w14:paraId="2853F52E" w14:textId="77777777" w:rsidR="0082437E" w:rsidRPr="00A26143" w:rsidRDefault="0082437E" w:rsidP="002B30CC">
            <w:pPr>
              <w:spacing w:line="360" w:lineRule="auto"/>
              <w:contextualSpacing/>
              <w:jc w:val="center"/>
              <w:rPr>
                <w:rFonts w:asciiTheme="minorHAnsi" w:hAnsiTheme="minorHAnsi" w:cstheme="minorHAnsi"/>
                <w:b/>
                <w:sz w:val="20"/>
                <w:szCs w:val="20"/>
              </w:rPr>
            </w:pPr>
            <w:r w:rsidRPr="00A26143">
              <w:rPr>
                <w:rFonts w:asciiTheme="minorHAnsi" w:hAnsiTheme="minorHAnsi" w:cstheme="minorHAnsi"/>
                <w:b/>
                <w:sz w:val="20"/>
                <w:szCs w:val="20"/>
              </w:rPr>
              <w:t>Remark</w:t>
            </w:r>
          </w:p>
        </w:tc>
      </w:tr>
      <w:tr w:rsidR="0082437E" w:rsidRPr="00A26143" w14:paraId="6517466F" w14:textId="77777777" w:rsidTr="002B30CC">
        <w:tc>
          <w:tcPr>
            <w:tcW w:w="2657" w:type="dxa"/>
            <w:tcBorders>
              <w:bottom w:val="single" w:sz="4" w:space="0" w:color="auto"/>
            </w:tcBorders>
          </w:tcPr>
          <w:p w14:paraId="4C1E2622" w14:textId="77777777" w:rsidR="0082437E" w:rsidRPr="00A26143" w:rsidRDefault="0082437E" w:rsidP="002B30CC">
            <w:pPr>
              <w:spacing w:line="360" w:lineRule="auto"/>
              <w:contextualSpacing/>
              <w:jc w:val="both"/>
              <w:rPr>
                <w:rFonts w:asciiTheme="minorHAnsi" w:hAnsiTheme="minorHAnsi" w:cstheme="minorHAnsi"/>
                <w:b/>
                <w:sz w:val="20"/>
                <w:szCs w:val="20"/>
              </w:rPr>
            </w:pPr>
            <w:r w:rsidRPr="00A26143">
              <w:rPr>
                <w:rFonts w:asciiTheme="minorHAnsi" w:eastAsia="Times New Roman" w:hAnsiTheme="minorHAnsi" w:cstheme="minorHAnsi"/>
                <w:b/>
                <w:color w:val="000000"/>
                <w:sz w:val="20"/>
                <w:szCs w:val="24"/>
              </w:rPr>
              <w:t>Haematological parameters</w:t>
            </w:r>
          </w:p>
        </w:tc>
        <w:tc>
          <w:tcPr>
            <w:tcW w:w="1861" w:type="dxa"/>
            <w:tcBorders>
              <w:bottom w:val="single" w:sz="4" w:space="0" w:color="auto"/>
            </w:tcBorders>
          </w:tcPr>
          <w:p w14:paraId="3BA9C25D" w14:textId="77777777" w:rsidR="0082437E" w:rsidRPr="00A26143" w:rsidRDefault="0082437E" w:rsidP="002B30CC">
            <w:pPr>
              <w:spacing w:line="360" w:lineRule="auto"/>
              <w:contextualSpacing/>
              <w:jc w:val="center"/>
              <w:rPr>
                <w:rFonts w:asciiTheme="minorHAnsi" w:hAnsiTheme="minorHAnsi" w:cstheme="minorHAnsi"/>
                <w:b/>
                <w:sz w:val="20"/>
                <w:szCs w:val="20"/>
              </w:rPr>
            </w:pPr>
            <w:r w:rsidRPr="00A26143">
              <w:rPr>
                <w:rFonts w:asciiTheme="minorHAnsi" w:hAnsiTheme="minorHAnsi" w:cstheme="minorHAnsi"/>
                <w:b/>
                <w:sz w:val="20"/>
                <w:szCs w:val="20"/>
              </w:rPr>
              <w:t>Mean</w:t>
            </w:r>
            <w:r w:rsidRPr="00A26143">
              <w:rPr>
                <w:rFonts w:asciiTheme="minorHAnsi" w:hAnsiTheme="minorHAnsi" w:cstheme="minorHAnsi"/>
                <w:sz w:val="20"/>
                <w:szCs w:val="20"/>
              </w:rPr>
              <w:t>±SD</w:t>
            </w:r>
          </w:p>
        </w:tc>
        <w:tc>
          <w:tcPr>
            <w:tcW w:w="1890" w:type="dxa"/>
            <w:tcBorders>
              <w:bottom w:val="single" w:sz="4" w:space="0" w:color="auto"/>
            </w:tcBorders>
          </w:tcPr>
          <w:p w14:paraId="7A9245B8" w14:textId="77777777" w:rsidR="0082437E" w:rsidRPr="00A26143" w:rsidRDefault="0082437E" w:rsidP="002B30CC">
            <w:pPr>
              <w:spacing w:line="360" w:lineRule="auto"/>
              <w:contextualSpacing/>
              <w:jc w:val="center"/>
              <w:rPr>
                <w:rFonts w:asciiTheme="minorHAnsi" w:hAnsiTheme="minorHAnsi" w:cstheme="minorHAnsi"/>
                <w:b/>
                <w:sz w:val="20"/>
                <w:szCs w:val="20"/>
              </w:rPr>
            </w:pPr>
            <w:r w:rsidRPr="00A26143">
              <w:rPr>
                <w:rFonts w:asciiTheme="minorHAnsi" w:hAnsiTheme="minorHAnsi" w:cstheme="minorHAnsi"/>
                <w:b/>
                <w:sz w:val="20"/>
                <w:szCs w:val="20"/>
              </w:rPr>
              <w:t>Mean</w:t>
            </w:r>
            <w:r w:rsidRPr="00A26143">
              <w:rPr>
                <w:rFonts w:asciiTheme="minorHAnsi" w:hAnsiTheme="minorHAnsi" w:cstheme="minorHAnsi"/>
                <w:sz w:val="20"/>
                <w:szCs w:val="20"/>
              </w:rPr>
              <w:t>±SD</w:t>
            </w:r>
          </w:p>
        </w:tc>
        <w:tc>
          <w:tcPr>
            <w:tcW w:w="900" w:type="dxa"/>
            <w:tcBorders>
              <w:bottom w:val="single" w:sz="4" w:space="0" w:color="auto"/>
            </w:tcBorders>
          </w:tcPr>
          <w:p w14:paraId="58899F2D" w14:textId="77777777" w:rsidR="0082437E" w:rsidRPr="00A26143" w:rsidRDefault="0082437E" w:rsidP="002B30CC">
            <w:pPr>
              <w:spacing w:line="360" w:lineRule="auto"/>
              <w:contextualSpacing/>
              <w:jc w:val="center"/>
              <w:rPr>
                <w:rFonts w:asciiTheme="minorHAnsi" w:hAnsiTheme="minorHAnsi" w:cstheme="minorHAnsi"/>
                <w:b/>
                <w:sz w:val="20"/>
                <w:szCs w:val="20"/>
              </w:rPr>
            </w:pPr>
          </w:p>
        </w:tc>
        <w:tc>
          <w:tcPr>
            <w:tcW w:w="990" w:type="dxa"/>
            <w:tcBorders>
              <w:bottom w:val="single" w:sz="4" w:space="0" w:color="auto"/>
            </w:tcBorders>
          </w:tcPr>
          <w:p w14:paraId="32AC5A97" w14:textId="77777777" w:rsidR="0082437E" w:rsidRPr="00A26143" w:rsidRDefault="0082437E" w:rsidP="002B30CC">
            <w:pPr>
              <w:spacing w:line="360" w:lineRule="auto"/>
              <w:contextualSpacing/>
              <w:jc w:val="center"/>
              <w:rPr>
                <w:rFonts w:asciiTheme="minorHAnsi" w:hAnsiTheme="minorHAnsi" w:cstheme="minorHAnsi"/>
                <w:b/>
                <w:sz w:val="20"/>
                <w:szCs w:val="20"/>
              </w:rPr>
            </w:pPr>
          </w:p>
        </w:tc>
        <w:tc>
          <w:tcPr>
            <w:tcW w:w="1710" w:type="dxa"/>
            <w:tcBorders>
              <w:bottom w:val="single" w:sz="4" w:space="0" w:color="auto"/>
            </w:tcBorders>
          </w:tcPr>
          <w:p w14:paraId="191C1326" w14:textId="77777777" w:rsidR="0082437E" w:rsidRPr="00A26143" w:rsidRDefault="0082437E" w:rsidP="002B30CC">
            <w:pPr>
              <w:spacing w:line="360" w:lineRule="auto"/>
              <w:contextualSpacing/>
              <w:jc w:val="center"/>
              <w:rPr>
                <w:rFonts w:asciiTheme="minorHAnsi" w:hAnsiTheme="minorHAnsi" w:cstheme="minorHAnsi"/>
                <w:b/>
                <w:sz w:val="20"/>
                <w:szCs w:val="20"/>
              </w:rPr>
            </w:pPr>
          </w:p>
        </w:tc>
      </w:tr>
      <w:tr w:rsidR="0082437E" w:rsidRPr="00A26143" w14:paraId="229CF750" w14:textId="77777777" w:rsidTr="002B30CC">
        <w:tc>
          <w:tcPr>
            <w:tcW w:w="2657" w:type="dxa"/>
            <w:tcBorders>
              <w:top w:val="single" w:sz="4" w:space="0" w:color="auto"/>
            </w:tcBorders>
            <w:vAlign w:val="bottom"/>
          </w:tcPr>
          <w:p w14:paraId="48F601EA" w14:textId="77777777" w:rsidR="0082437E" w:rsidRPr="00A26143" w:rsidRDefault="0082437E" w:rsidP="002B30CC">
            <w:pPr>
              <w:spacing w:line="360" w:lineRule="auto"/>
              <w:rPr>
                <w:rFonts w:asciiTheme="minorHAnsi" w:hAnsiTheme="minorHAnsi" w:cstheme="minorHAnsi"/>
                <w:sz w:val="24"/>
                <w:szCs w:val="24"/>
              </w:rPr>
            </w:pPr>
            <w:r w:rsidRPr="00A26143">
              <w:rPr>
                <w:rFonts w:asciiTheme="minorHAnsi" w:hAnsiTheme="minorHAnsi" w:cstheme="minorHAnsi"/>
                <w:sz w:val="24"/>
                <w:szCs w:val="24"/>
              </w:rPr>
              <w:t>Hb</w:t>
            </w:r>
          </w:p>
        </w:tc>
        <w:tc>
          <w:tcPr>
            <w:tcW w:w="1861" w:type="dxa"/>
            <w:tcBorders>
              <w:top w:val="single" w:sz="4" w:space="0" w:color="auto"/>
            </w:tcBorders>
          </w:tcPr>
          <w:p w14:paraId="20B455F0"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7.75 ± 2.17</w:t>
            </w:r>
          </w:p>
        </w:tc>
        <w:tc>
          <w:tcPr>
            <w:tcW w:w="1890" w:type="dxa"/>
            <w:tcBorders>
              <w:top w:val="single" w:sz="4" w:space="0" w:color="auto"/>
            </w:tcBorders>
          </w:tcPr>
          <w:p w14:paraId="41518931"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13.13 ± 1.06</w:t>
            </w:r>
          </w:p>
        </w:tc>
        <w:tc>
          <w:tcPr>
            <w:tcW w:w="900" w:type="dxa"/>
            <w:tcBorders>
              <w:top w:val="single" w:sz="4" w:space="0" w:color="auto"/>
            </w:tcBorders>
          </w:tcPr>
          <w:p w14:paraId="7008EEB2"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15.947</w:t>
            </w:r>
          </w:p>
        </w:tc>
        <w:tc>
          <w:tcPr>
            <w:tcW w:w="990" w:type="dxa"/>
            <w:tcBorders>
              <w:top w:val="single" w:sz="4" w:space="0" w:color="auto"/>
            </w:tcBorders>
          </w:tcPr>
          <w:p w14:paraId="21BA10F6"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0.000*</w:t>
            </w:r>
          </w:p>
        </w:tc>
        <w:tc>
          <w:tcPr>
            <w:tcW w:w="1710" w:type="dxa"/>
            <w:tcBorders>
              <w:top w:val="single" w:sz="4" w:space="0" w:color="auto"/>
            </w:tcBorders>
          </w:tcPr>
          <w:p w14:paraId="7A296F3A"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Significant</w:t>
            </w:r>
          </w:p>
        </w:tc>
      </w:tr>
      <w:tr w:rsidR="0082437E" w:rsidRPr="00A26143" w14:paraId="4B42C4B3" w14:textId="77777777" w:rsidTr="002B30CC">
        <w:tc>
          <w:tcPr>
            <w:tcW w:w="2657" w:type="dxa"/>
            <w:vAlign w:val="bottom"/>
          </w:tcPr>
          <w:p w14:paraId="7AC8799F" w14:textId="77777777" w:rsidR="0082437E" w:rsidRPr="00A26143" w:rsidRDefault="0082437E" w:rsidP="002B30CC">
            <w:pPr>
              <w:spacing w:line="360" w:lineRule="auto"/>
              <w:rPr>
                <w:rFonts w:asciiTheme="minorHAnsi" w:hAnsiTheme="minorHAnsi" w:cstheme="minorHAnsi"/>
                <w:sz w:val="24"/>
                <w:szCs w:val="24"/>
              </w:rPr>
            </w:pPr>
            <w:r w:rsidRPr="00A26143">
              <w:rPr>
                <w:rFonts w:asciiTheme="minorHAnsi" w:hAnsiTheme="minorHAnsi" w:cstheme="minorHAnsi"/>
                <w:sz w:val="24"/>
                <w:szCs w:val="24"/>
              </w:rPr>
              <w:t>Packed Cell Volume (PCV)</w:t>
            </w:r>
          </w:p>
        </w:tc>
        <w:tc>
          <w:tcPr>
            <w:tcW w:w="1861" w:type="dxa"/>
          </w:tcPr>
          <w:p w14:paraId="77EEC67D"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22.42 ± 5.74</w:t>
            </w:r>
          </w:p>
        </w:tc>
        <w:tc>
          <w:tcPr>
            <w:tcW w:w="1890" w:type="dxa"/>
          </w:tcPr>
          <w:p w14:paraId="1E41A1D3"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39.64 ± 2.86</w:t>
            </w:r>
          </w:p>
        </w:tc>
        <w:tc>
          <w:tcPr>
            <w:tcW w:w="900" w:type="dxa"/>
          </w:tcPr>
          <w:p w14:paraId="56E9CB3B"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19.247</w:t>
            </w:r>
          </w:p>
        </w:tc>
        <w:tc>
          <w:tcPr>
            <w:tcW w:w="990" w:type="dxa"/>
          </w:tcPr>
          <w:p w14:paraId="62267D62"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0.000*</w:t>
            </w:r>
          </w:p>
        </w:tc>
        <w:tc>
          <w:tcPr>
            <w:tcW w:w="1710" w:type="dxa"/>
          </w:tcPr>
          <w:p w14:paraId="79A50877"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Significant</w:t>
            </w:r>
          </w:p>
        </w:tc>
      </w:tr>
      <w:tr w:rsidR="0082437E" w:rsidRPr="00A26143" w14:paraId="119BCE55" w14:textId="77777777" w:rsidTr="002B30CC">
        <w:tc>
          <w:tcPr>
            <w:tcW w:w="2657" w:type="dxa"/>
            <w:vAlign w:val="bottom"/>
          </w:tcPr>
          <w:p w14:paraId="5B80F073" w14:textId="77777777" w:rsidR="0082437E" w:rsidRPr="00A26143" w:rsidRDefault="0082437E" w:rsidP="002B30CC">
            <w:pPr>
              <w:spacing w:line="360" w:lineRule="auto"/>
              <w:rPr>
                <w:rFonts w:asciiTheme="minorHAnsi" w:hAnsiTheme="minorHAnsi" w:cstheme="minorHAnsi"/>
                <w:sz w:val="24"/>
                <w:szCs w:val="24"/>
              </w:rPr>
            </w:pPr>
            <w:r w:rsidRPr="00A26143">
              <w:rPr>
                <w:rFonts w:asciiTheme="minorHAnsi" w:hAnsiTheme="minorHAnsi" w:cstheme="minorHAnsi"/>
                <w:sz w:val="24"/>
                <w:szCs w:val="24"/>
              </w:rPr>
              <w:t>WBC (10^3)</w:t>
            </w:r>
          </w:p>
        </w:tc>
        <w:tc>
          <w:tcPr>
            <w:tcW w:w="1861" w:type="dxa"/>
          </w:tcPr>
          <w:p w14:paraId="7C955B6B"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11.37 ± 6.57</w:t>
            </w:r>
          </w:p>
        </w:tc>
        <w:tc>
          <w:tcPr>
            <w:tcW w:w="1890" w:type="dxa"/>
          </w:tcPr>
          <w:p w14:paraId="08E10A71"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5.64 ± 1.79</w:t>
            </w:r>
          </w:p>
        </w:tc>
        <w:tc>
          <w:tcPr>
            <w:tcW w:w="900" w:type="dxa"/>
          </w:tcPr>
          <w:p w14:paraId="3C5A3A30"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5.757</w:t>
            </w:r>
          </w:p>
        </w:tc>
        <w:tc>
          <w:tcPr>
            <w:tcW w:w="990" w:type="dxa"/>
          </w:tcPr>
          <w:p w14:paraId="6C77128F"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0.000*</w:t>
            </w:r>
          </w:p>
        </w:tc>
        <w:tc>
          <w:tcPr>
            <w:tcW w:w="1710" w:type="dxa"/>
          </w:tcPr>
          <w:p w14:paraId="2F0FF0F6"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Significant</w:t>
            </w:r>
          </w:p>
        </w:tc>
      </w:tr>
      <w:tr w:rsidR="0082437E" w:rsidRPr="00A26143" w14:paraId="273F3D49" w14:textId="77777777" w:rsidTr="002B30CC">
        <w:tc>
          <w:tcPr>
            <w:tcW w:w="2657" w:type="dxa"/>
            <w:vAlign w:val="bottom"/>
          </w:tcPr>
          <w:p w14:paraId="214758DD" w14:textId="77777777" w:rsidR="0082437E" w:rsidRPr="00A26143" w:rsidRDefault="0082437E" w:rsidP="002B30CC">
            <w:pPr>
              <w:spacing w:line="360" w:lineRule="auto"/>
              <w:rPr>
                <w:rFonts w:asciiTheme="minorHAnsi" w:hAnsiTheme="minorHAnsi" w:cstheme="minorHAnsi"/>
                <w:sz w:val="24"/>
                <w:szCs w:val="24"/>
              </w:rPr>
            </w:pPr>
            <w:r w:rsidRPr="00A26143">
              <w:rPr>
                <w:rFonts w:asciiTheme="minorHAnsi" w:hAnsiTheme="minorHAnsi" w:cstheme="minorHAnsi"/>
                <w:sz w:val="24"/>
                <w:szCs w:val="24"/>
              </w:rPr>
              <w:t>PLATELET</w:t>
            </w:r>
          </w:p>
        </w:tc>
        <w:tc>
          <w:tcPr>
            <w:tcW w:w="1861" w:type="dxa"/>
          </w:tcPr>
          <w:p w14:paraId="4928E2C9"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351.62 ± 153.96</w:t>
            </w:r>
          </w:p>
        </w:tc>
        <w:tc>
          <w:tcPr>
            <w:tcW w:w="1890" w:type="dxa"/>
          </w:tcPr>
          <w:p w14:paraId="40912451"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233.04 ± 59.95</w:t>
            </w:r>
          </w:p>
        </w:tc>
        <w:tc>
          <w:tcPr>
            <w:tcW w:w="900" w:type="dxa"/>
          </w:tcPr>
          <w:p w14:paraId="1B2B1577"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5.020</w:t>
            </w:r>
          </w:p>
        </w:tc>
        <w:tc>
          <w:tcPr>
            <w:tcW w:w="990" w:type="dxa"/>
          </w:tcPr>
          <w:p w14:paraId="5EE32822"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0.000*</w:t>
            </w:r>
          </w:p>
        </w:tc>
        <w:tc>
          <w:tcPr>
            <w:tcW w:w="1710" w:type="dxa"/>
          </w:tcPr>
          <w:p w14:paraId="4B877924"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Significant</w:t>
            </w:r>
          </w:p>
        </w:tc>
      </w:tr>
      <w:tr w:rsidR="0082437E" w:rsidRPr="00A26143" w14:paraId="5598B459" w14:textId="77777777" w:rsidTr="002B30CC">
        <w:tc>
          <w:tcPr>
            <w:tcW w:w="2657" w:type="dxa"/>
            <w:vAlign w:val="bottom"/>
          </w:tcPr>
          <w:p w14:paraId="401EDFE1" w14:textId="77777777" w:rsidR="0082437E" w:rsidRPr="00A26143" w:rsidRDefault="0082437E" w:rsidP="002B30CC">
            <w:pPr>
              <w:spacing w:line="360" w:lineRule="auto"/>
              <w:rPr>
                <w:rFonts w:asciiTheme="minorHAnsi" w:hAnsiTheme="minorHAnsi" w:cstheme="minorHAnsi"/>
                <w:sz w:val="24"/>
                <w:szCs w:val="24"/>
              </w:rPr>
            </w:pPr>
            <w:r w:rsidRPr="00A26143">
              <w:rPr>
                <w:rFonts w:asciiTheme="minorHAnsi" w:hAnsiTheme="minorHAnsi" w:cstheme="minorHAnsi"/>
                <w:sz w:val="24"/>
                <w:szCs w:val="24"/>
              </w:rPr>
              <w:t>NEUTROPHYLLS</w:t>
            </w:r>
          </w:p>
        </w:tc>
        <w:tc>
          <w:tcPr>
            <w:tcW w:w="1861" w:type="dxa"/>
          </w:tcPr>
          <w:p w14:paraId="7B7F83B7"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49.31 ± 14.83</w:t>
            </w:r>
          </w:p>
        </w:tc>
        <w:tc>
          <w:tcPr>
            <w:tcW w:w="1890" w:type="dxa"/>
          </w:tcPr>
          <w:p w14:paraId="65ED0089"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46.31 ± 9.94</w:t>
            </w:r>
          </w:p>
        </w:tc>
        <w:tc>
          <w:tcPr>
            <w:tcW w:w="900" w:type="dxa"/>
          </w:tcPr>
          <w:p w14:paraId="503A67C1"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1.257</w:t>
            </w:r>
          </w:p>
        </w:tc>
        <w:tc>
          <w:tcPr>
            <w:tcW w:w="990" w:type="dxa"/>
          </w:tcPr>
          <w:p w14:paraId="6BAB24BD"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0.211</w:t>
            </w:r>
          </w:p>
        </w:tc>
        <w:tc>
          <w:tcPr>
            <w:tcW w:w="1710" w:type="dxa"/>
          </w:tcPr>
          <w:p w14:paraId="1FAD4765"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Not Significant</w:t>
            </w:r>
          </w:p>
        </w:tc>
      </w:tr>
      <w:tr w:rsidR="0082437E" w:rsidRPr="00A26143" w14:paraId="015E9740" w14:textId="77777777" w:rsidTr="002B30CC">
        <w:tc>
          <w:tcPr>
            <w:tcW w:w="2657" w:type="dxa"/>
            <w:vAlign w:val="bottom"/>
          </w:tcPr>
          <w:p w14:paraId="5E4B9F2F" w14:textId="77777777" w:rsidR="0082437E" w:rsidRPr="00A26143" w:rsidRDefault="0082437E" w:rsidP="002B30CC">
            <w:pPr>
              <w:spacing w:line="360" w:lineRule="auto"/>
              <w:rPr>
                <w:rFonts w:asciiTheme="minorHAnsi" w:hAnsiTheme="minorHAnsi" w:cstheme="minorHAnsi"/>
                <w:sz w:val="24"/>
                <w:szCs w:val="24"/>
              </w:rPr>
            </w:pPr>
            <w:r w:rsidRPr="00A26143">
              <w:rPr>
                <w:rFonts w:asciiTheme="minorHAnsi" w:hAnsiTheme="minorHAnsi" w:cstheme="minorHAnsi"/>
                <w:sz w:val="24"/>
                <w:szCs w:val="24"/>
              </w:rPr>
              <w:lastRenderedPageBreak/>
              <w:t>LYMPHOCYTES</w:t>
            </w:r>
          </w:p>
        </w:tc>
        <w:tc>
          <w:tcPr>
            <w:tcW w:w="1861" w:type="dxa"/>
          </w:tcPr>
          <w:p w14:paraId="1626BAA6"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39.55 ± 14.71</w:t>
            </w:r>
          </w:p>
        </w:tc>
        <w:tc>
          <w:tcPr>
            <w:tcW w:w="1890" w:type="dxa"/>
          </w:tcPr>
          <w:p w14:paraId="66D32D59"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41.73 ± 10.14</w:t>
            </w:r>
          </w:p>
        </w:tc>
        <w:tc>
          <w:tcPr>
            <w:tcW w:w="900" w:type="dxa"/>
          </w:tcPr>
          <w:p w14:paraId="4E7F8E44"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0.917</w:t>
            </w:r>
          </w:p>
        </w:tc>
        <w:tc>
          <w:tcPr>
            <w:tcW w:w="990" w:type="dxa"/>
          </w:tcPr>
          <w:p w14:paraId="0E81A5DE"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0.360</w:t>
            </w:r>
          </w:p>
        </w:tc>
        <w:tc>
          <w:tcPr>
            <w:tcW w:w="1710" w:type="dxa"/>
          </w:tcPr>
          <w:p w14:paraId="1EC4DCFD"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Not Significant</w:t>
            </w:r>
          </w:p>
        </w:tc>
      </w:tr>
      <w:tr w:rsidR="0082437E" w:rsidRPr="00A26143" w14:paraId="2902418C" w14:textId="77777777" w:rsidTr="002B30CC">
        <w:tc>
          <w:tcPr>
            <w:tcW w:w="2657" w:type="dxa"/>
            <w:vAlign w:val="bottom"/>
          </w:tcPr>
          <w:p w14:paraId="24DD34B7" w14:textId="77777777" w:rsidR="0082437E" w:rsidRPr="00A26143" w:rsidRDefault="0082437E" w:rsidP="002B30CC">
            <w:pPr>
              <w:spacing w:line="360" w:lineRule="auto"/>
              <w:rPr>
                <w:rFonts w:asciiTheme="minorHAnsi" w:hAnsiTheme="minorHAnsi" w:cstheme="minorHAnsi"/>
                <w:sz w:val="24"/>
                <w:szCs w:val="24"/>
              </w:rPr>
            </w:pPr>
            <w:r w:rsidRPr="00A26143">
              <w:rPr>
                <w:rFonts w:asciiTheme="minorHAnsi" w:hAnsiTheme="minorHAnsi" w:cstheme="minorHAnsi"/>
                <w:sz w:val="24"/>
                <w:szCs w:val="24"/>
              </w:rPr>
              <w:t>MONOCYTES</w:t>
            </w:r>
          </w:p>
        </w:tc>
        <w:tc>
          <w:tcPr>
            <w:tcW w:w="1861" w:type="dxa"/>
          </w:tcPr>
          <w:p w14:paraId="553C0861"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7.28 ± 3.57</w:t>
            </w:r>
          </w:p>
        </w:tc>
        <w:tc>
          <w:tcPr>
            <w:tcW w:w="1890" w:type="dxa"/>
          </w:tcPr>
          <w:p w14:paraId="7B1A438B"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7.82 ± 2.93</w:t>
            </w:r>
          </w:p>
        </w:tc>
        <w:tc>
          <w:tcPr>
            <w:tcW w:w="900" w:type="dxa"/>
          </w:tcPr>
          <w:p w14:paraId="399E2CF9"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0.914</w:t>
            </w:r>
          </w:p>
        </w:tc>
        <w:tc>
          <w:tcPr>
            <w:tcW w:w="990" w:type="dxa"/>
          </w:tcPr>
          <w:p w14:paraId="04302181"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0.362</w:t>
            </w:r>
          </w:p>
        </w:tc>
        <w:tc>
          <w:tcPr>
            <w:tcW w:w="1710" w:type="dxa"/>
          </w:tcPr>
          <w:p w14:paraId="45820B8F"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Not Significant</w:t>
            </w:r>
          </w:p>
        </w:tc>
      </w:tr>
      <w:tr w:rsidR="0082437E" w:rsidRPr="00A26143" w14:paraId="23AF095C" w14:textId="77777777" w:rsidTr="002B30CC">
        <w:tc>
          <w:tcPr>
            <w:tcW w:w="2657" w:type="dxa"/>
            <w:vAlign w:val="bottom"/>
          </w:tcPr>
          <w:p w14:paraId="56994E1B" w14:textId="77777777" w:rsidR="0082437E" w:rsidRPr="00A26143" w:rsidRDefault="0082437E" w:rsidP="002B30CC">
            <w:pPr>
              <w:spacing w:line="360" w:lineRule="auto"/>
              <w:rPr>
                <w:rFonts w:asciiTheme="minorHAnsi" w:hAnsiTheme="minorHAnsi" w:cstheme="minorHAnsi"/>
                <w:sz w:val="24"/>
                <w:szCs w:val="24"/>
              </w:rPr>
            </w:pPr>
            <w:r w:rsidRPr="00A26143">
              <w:rPr>
                <w:rFonts w:asciiTheme="minorHAnsi" w:hAnsiTheme="minorHAnsi" w:cstheme="minorHAnsi"/>
                <w:sz w:val="24"/>
                <w:szCs w:val="24"/>
              </w:rPr>
              <w:t>EOSINOPHIL</w:t>
            </w:r>
          </w:p>
        </w:tc>
        <w:tc>
          <w:tcPr>
            <w:tcW w:w="1861" w:type="dxa"/>
          </w:tcPr>
          <w:p w14:paraId="52564F21"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2.44 ± 2.36</w:t>
            </w:r>
          </w:p>
        </w:tc>
        <w:tc>
          <w:tcPr>
            <w:tcW w:w="1890" w:type="dxa"/>
          </w:tcPr>
          <w:p w14:paraId="54267F5A"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2.88 ± 2.17</w:t>
            </w:r>
          </w:p>
        </w:tc>
        <w:tc>
          <w:tcPr>
            <w:tcW w:w="900" w:type="dxa"/>
          </w:tcPr>
          <w:p w14:paraId="63F07BC8"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1.107</w:t>
            </w:r>
          </w:p>
        </w:tc>
        <w:tc>
          <w:tcPr>
            <w:tcW w:w="990" w:type="dxa"/>
          </w:tcPr>
          <w:p w14:paraId="1BC98A90"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0.270</w:t>
            </w:r>
          </w:p>
        </w:tc>
        <w:tc>
          <w:tcPr>
            <w:tcW w:w="1710" w:type="dxa"/>
          </w:tcPr>
          <w:p w14:paraId="1DD5872A"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Not Significant</w:t>
            </w:r>
          </w:p>
        </w:tc>
      </w:tr>
      <w:tr w:rsidR="0082437E" w:rsidRPr="00A26143" w14:paraId="4DFE9D36" w14:textId="77777777" w:rsidTr="002B30CC">
        <w:tc>
          <w:tcPr>
            <w:tcW w:w="2657" w:type="dxa"/>
            <w:tcBorders>
              <w:bottom w:val="single" w:sz="4" w:space="0" w:color="auto"/>
            </w:tcBorders>
            <w:vAlign w:val="bottom"/>
          </w:tcPr>
          <w:p w14:paraId="0D06E39E" w14:textId="77777777" w:rsidR="0082437E" w:rsidRPr="00A26143" w:rsidRDefault="0082437E" w:rsidP="002B30CC">
            <w:pPr>
              <w:spacing w:line="360" w:lineRule="auto"/>
              <w:rPr>
                <w:rFonts w:asciiTheme="minorHAnsi" w:hAnsiTheme="minorHAnsi" w:cstheme="minorHAnsi"/>
                <w:sz w:val="24"/>
                <w:szCs w:val="24"/>
              </w:rPr>
            </w:pPr>
            <w:r w:rsidRPr="00A26143">
              <w:rPr>
                <w:rFonts w:asciiTheme="minorHAnsi" w:hAnsiTheme="minorHAnsi" w:cstheme="minorHAnsi"/>
                <w:sz w:val="24"/>
                <w:szCs w:val="24"/>
              </w:rPr>
              <w:t>BASOPHIL</w:t>
            </w:r>
          </w:p>
        </w:tc>
        <w:tc>
          <w:tcPr>
            <w:tcW w:w="1861" w:type="dxa"/>
            <w:tcBorders>
              <w:bottom w:val="single" w:sz="4" w:space="0" w:color="auto"/>
            </w:tcBorders>
          </w:tcPr>
          <w:p w14:paraId="5C56EC07"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1.47 ± 1.97</w:t>
            </w:r>
          </w:p>
        </w:tc>
        <w:tc>
          <w:tcPr>
            <w:tcW w:w="1890" w:type="dxa"/>
            <w:tcBorders>
              <w:bottom w:val="single" w:sz="4" w:space="0" w:color="auto"/>
            </w:tcBorders>
          </w:tcPr>
          <w:p w14:paraId="0DA9BB43"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1.00 ± 0.93</w:t>
            </w:r>
          </w:p>
        </w:tc>
        <w:tc>
          <w:tcPr>
            <w:tcW w:w="900" w:type="dxa"/>
            <w:tcBorders>
              <w:bottom w:val="single" w:sz="4" w:space="0" w:color="auto"/>
            </w:tcBorders>
          </w:tcPr>
          <w:p w14:paraId="4381B056"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1.536</w:t>
            </w:r>
          </w:p>
        </w:tc>
        <w:tc>
          <w:tcPr>
            <w:tcW w:w="990" w:type="dxa"/>
            <w:tcBorders>
              <w:bottom w:val="single" w:sz="4" w:space="0" w:color="auto"/>
            </w:tcBorders>
          </w:tcPr>
          <w:p w14:paraId="6156B985"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0.127</w:t>
            </w:r>
          </w:p>
        </w:tc>
        <w:tc>
          <w:tcPr>
            <w:tcW w:w="1710" w:type="dxa"/>
            <w:tcBorders>
              <w:bottom w:val="single" w:sz="4" w:space="0" w:color="auto"/>
            </w:tcBorders>
          </w:tcPr>
          <w:p w14:paraId="5717FAD5" w14:textId="77777777" w:rsidR="0082437E" w:rsidRPr="00A26143" w:rsidRDefault="0082437E" w:rsidP="002B30CC">
            <w:pPr>
              <w:spacing w:line="360" w:lineRule="auto"/>
              <w:contextualSpacing/>
              <w:jc w:val="center"/>
              <w:rPr>
                <w:rFonts w:asciiTheme="minorHAnsi" w:hAnsiTheme="minorHAnsi" w:cstheme="minorHAnsi"/>
                <w:sz w:val="20"/>
                <w:szCs w:val="20"/>
              </w:rPr>
            </w:pPr>
            <w:r w:rsidRPr="00A26143">
              <w:rPr>
                <w:rFonts w:asciiTheme="minorHAnsi" w:hAnsiTheme="minorHAnsi" w:cstheme="minorHAnsi"/>
                <w:sz w:val="20"/>
                <w:szCs w:val="20"/>
              </w:rPr>
              <w:t>Not Significant</w:t>
            </w:r>
          </w:p>
        </w:tc>
      </w:tr>
    </w:tbl>
    <w:p w14:paraId="3BE206AC" w14:textId="77777777" w:rsidR="0082437E" w:rsidRPr="00A26143" w:rsidRDefault="0082437E" w:rsidP="0082437E">
      <w:pPr>
        <w:widowControl w:val="0"/>
        <w:autoSpaceDE w:val="0"/>
        <w:autoSpaceDN w:val="0"/>
        <w:adjustRightInd w:val="0"/>
        <w:spacing w:after="0" w:line="360" w:lineRule="auto"/>
        <w:jc w:val="both"/>
        <w:rPr>
          <w:rFonts w:eastAsia="Times New Roman" w:cstheme="minorHAnsi"/>
          <w:color w:val="000000"/>
          <w:sz w:val="24"/>
          <w:szCs w:val="24"/>
        </w:rPr>
      </w:pPr>
    </w:p>
    <w:p w14:paraId="6926B718" w14:textId="77777777" w:rsidR="0082437E" w:rsidRPr="00A26143" w:rsidRDefault="0082437E" w:rsidP="0082437E">
      <w:pPr>
        <w:widowControl w:val="0"/>
        <w:autoSpaceDE w:val="0"/>
        <w:autoSpaceDN w:val="0"/>
        <w:adjustRightInd w:val="0"/>
        <w:spacing w:after="0" w:line="360" w:lineRule="auto"/>
        <w:jc w:val="both"/>
        <w:rPr>
          <w:rFonts w:eastAsia="Times New Roman" w:cstheme="minorHAnsi"/>
          <w:color w:val="000000"/>
          <w:sz w:val="24"/>
          <w:szCs w:val="24"/>
        </w:rPr>
      </w:pPr>
      <w:r w:rsidRPr="00A26143">
        <w:rPr>
          <w:rFonts w:eastAsia="Times New Roman" w:cstheme="minorHAnsi"/>
          <w:color w:val="000000"/>
          <w:sz w:val="24"/>
          <w:szCs w:val="24"/>
        </w:rPr>
        <w:t>*p&lt;0.05 (i.e. Significant).</w:t>
      </w:r>
    </w:p>
    <w:p w14:paraId="0D4AFFEB" w14:textId="77777777" w:rsidR="0082437E" w:rsidRPr="00A26143" w:rsidRDefault="0082437E" w:rsidP="00E05576">
      <w:pPr>
        <w:spacing w:line="360" w:lineRule="auto"/>
        <w:jc w:val="both"/>
        <w:rPr>
          <w:rFonts w:cstheme="minorHAnsi"/>
          <w:sz w:val="24"/>
          <w:szCs w:val="24"/>
        </w:rPr>
      </w:pPr>
    </w:p>
    <w:p w14:paraId="114898F0" w14:textId="77777777" w:rsidR="00444C54" w:rsidRDefault="00444C54" w:rsidP="00E05576">
      <w:pPr>
        <w:spacing w:line="360" w:lineRule="auto"/>
        <w:jc w:val="both"/>
        <w:rPr>
          <w:rFonts w:cstheme="minorHAnsi"/>
          <w:sz w:val="24"/>
          <w:szCs w:val="24"/>
        </w:rPr>
      </w:pPr>
    </w:p>
    <w:p w14:paraId="291FFC5E" w14:textId="77777777" w:rsidR="00097854" w:rsidRPr="00A26143" w:rsidRDefault="00097854" w:rsidP="00E05576">
      <w:pPr>
        <w:spacing w:line="360" w:lineRule="auto"/>
        <w:jc w:val="both"/>
        <w:rPr>
          <w:rFonts w:cstheme="minorHAnsi"/>
          <w:sz w:val="24"/>
          <w:szCs w:val="24"/>
        </w:rPr>
      </w:pPr>
    </w:p>
    <w:p w14:paraId="4B215912" w14:textId="77777777" w:rsidR="0082437E" w:rsidRPr="00A26143" w:rsidRDefault="0082437E" w:rsidP="0082437E">
      <w:pPr>
        <w:rPr>
          <w:rFonts w:cstheme="minorHAnsi"/>
          <w:b/>
          <w:sz w:val="24"/>
          <w:szCs w:val="24"/>
        </w:rPr>
      </w:pPr>
      <w:r w:rsidRPr="00A26143">
        <w:rPr>
          <w:rFonts w:cstheme="minorHAnsi"/>
          <w:b/>
          <w:sz w:val="24"/>
          <w:szCs w:val="24"/>
        </w:rPr>
        <w:t>3.2</w:t>
      </w:r>
      <w:r w:rsidRPr="00A26143">
        <w:rPr>
          <w:rFonts w:cstheme="minorHAnsi"/>
          <w:b/>
          <w:sz w:val="24"/>
          <w:szCs w:val="24"/>
        </w:rPr>
        <w:tab/>
        <w:t>CORRELATION OF AGE WITH HAEMATOLOGICAL PARAMETERS OF TEST SUBJECTS</w:t>
      </w:r>
    </w:p>
    <w:p w14:paraId="5962E6D9" w14:textId="77777777" w:rsidR="0082437E" w:rsidRPr="00A26143" w:rsidRDefault="0082437E" w:rsidP="0082437E">
      <w:pPr>
        <w:autoSpaceDE w:val="0"/>
        <w:autoSpaceDN w:val="0"/>
        <w:adjustRightInd w:val="0"/>
        <w:spacing w:after="0" w:line="480" w:lineRule="auto"/>
        <w:contextualSpacing/>
        <w:jc w:val="both"/>
        <w:rPr>
          <w:rFonts w:cstheme="minorHAnsi"/>
          <w:sz w:val="24"/>
          <w:szCs w:val="24"/>
        </w:rPr>
      </w:pPr>
      <w:r w:rsidRPr="00A26143">
        <w:rPr>
          <w:rFonts w:cstheme="minorHAnsi"/>
          <w:sz w:val="24"/>
          <w:szCs w:val="24"/>
        </w:rPr>
        <w:t>The table below showed no significant correlations between Age and Haematological parameters of test subjects (p&gt;0.05). The table also showed a strong statistically significant positive correlation between PCV and Hb (r =0.847, p=0.000) of test subjects. Also, there were significant positive correlation between the Platelet count and Basophill (r= 0.178, p=0.050). More so, a significant strong negative correlations were observed between PCV and WBC (r= -0.209, p=0.021); Hb and WBC (r= -0.198, p=0.029); Platelet count and Lymphoctes (r= -0.195, p=0.031); Neutrophyl and Lymphocytes (r= -0.944, p=0.000); Neutrophyl and Monocytes (r= -0.248, p=0.006); and Lymphocytes and Eosinophyl (r= -0.231, p=0.010).</w:t>
      </w:r>
    </w:p>
    <w:p w14:paraId="423EEE78" w14:textId="77777777" w:rsidR="0082437E" w:rsidRPr="00A26143" w:rsidRDefault="0082437E" w:rsidP="00E05576">
      <w:pPr>
        <w:spacing w:line="360" w:lineRule="auto"/>
        <w:jc w:val="both"/>
        <w:rPr>
          <w:rFonts w:cstheme="minorHAnsi"/>
          <w:sz w:val="24"/>
          <w:szCs w:val="24"/>
        </w:rPr>
      </w:pPr>
    </w:p>
    <w:p w14:paraId="034F510E" w14:textId="77777777" w:rsidR="0082437E" w:rsidRPr="00A26143" w:rsidRDefault="0082437E" w:rsidP="00E05576">
      <w:pPr>
        <w:spacing w:line="360" w:lineRule="auto"/>
        <w:jc w:val="both"/>
        <w:rPr>
          <w:rFonts w:cstheme="minorHAnsi"/>
          <w:sz w:val="24"/>
          <w:szCs w:val="24"/>
        </w:rPr>
      </w:pPr>
    </w:p>
    <w:p w14:paraId="14E5494D" w14:textId="77777777" w:rsidR="0082437E" w:rsidRPr="00A26143" w:rsidRDefault="0082437E" w:rsidP="00E05576">
      <w:pPr>
        <w:spacing w:line="360" w:lineRule="auto"/>
        <w:jc w:val="both"/>
        <w:rPr>
          <w:rFonts w:cstheme="minorHAnsi"/>
          <w:sz w:val="24"/>
          <w:szCs w:val="24"/>
        </w:rPr>
      </w:pPr>
    </w:p>
    <w:p w14:paraId="3B39BFD4" w14:textId="77777777" w:rsidR="0082437E" w:rsidRPr="00A26143" w:rsidRDefault="0082437E" w:rsidP="00E05576">
      <w:pPr>
        <w:spacing w:line="360" w:lineRule="auto"/>
        <w:jc w:val="both"/>
        <w:rPr>
          <w:rFonts w:cstheme="minorHAnsi"/>
          <w:sz w:val="24"/>
          <w:szCs w:val="24"/>
        </w:rPr>
      </w:pPr>
    </w:p>
    <w:p w14:paraId="318102FB" w14:textId="77777777" w:rsidR="0082437E" w:rsidRPr="00A26143" w:rsidRDefault="0082437E" w:rsidP="00E05576">
      <w:pPr>
        <w:spacing w:line="360" w:lineRule="auto"/>
        <w:jc w:val="both"/>
        <w:rPr>
          <w:rFonts w:cstheme="minorHAnsi"/>
          <w:sz w:val="24"/>
          <w:szCs w:val="24"/>
        </w:rPr>
      </w:pPr>
    </w:p>
    <w:p w14:paraId="3D5C1E4B" w14:textId="77777777" w:rsidR="0082437E" w:rsidRPr="00A26143" w:rsidRDefault="0082437E" w:rsidP="00E05576">
      <w:pPr>
        <w:spacing w:line="360" w:lineRule="auto"/>
        <w:jc w:val="both"/>
        <w:rPr>
          <w:rFonts w:cstheme="minorHAnsi"/>
          <w:sz w:val="24"/>
          <w:szCs w:val="24"/>
        </w:rPr>
      </w:pPr>
    </w:p>
    <w:p w14:paraId="1202E530" w14:textId="77777777" w:rsidR="0082437E" w:rsidRPr="00A26143" w:rsidRDefault="0082437E" w:rsidP="00E05576">
      <w:pPr>
        <w:spacing w:line="360" w:lineRule="auto"/>
        <w:jc w:val="both"/>
        <w:rPr>
          <w:rFonts w:cstheme="minorHAnsi"/>
          <w:sz w:val="24"/>
          <w:szCs w:val="24"/>
        </w:rPr>
      </w:pPr>
    </w:p>
    <w:p w14:paraId="141F0FEC" w14:textId="77777777" w:rsidR="0082437E" w:rsidRPr="00A26143" w:rsidRDefault="0082437E" w:rsidP="00E05576">
      <w:pPr>
        <w:spacing w:line="360" w:lineRule="auto"/>
        <w:jc w:val="both"/>
        <w:rPr>
          <w:rFonts w:cstheme="minorHAnsi"/>
          <w:sz w:val="24"/>
          <w:szCs w:val="24"/>
        </w:rPr>
      </w:pPr>
    </w:p>
    <w:p w14:paraId="06B28E08" w14:textId="77777777" w:rsidR="0082437E" w:rsidRPr="00A26143" w:rsidRDefault="0082437E" w:rsidP="00E05576">
      <w:pPr>
        <w:spacing w:line="360" w:lineRule="auto"/>
        <w:jc w:val="both"/>
        <w:rPr>
          <w:rFonts w:cstheme="minorHAnsi"/>
          <w:sz w:val="24"/>
          <w:szCs w:val="24"/>
        </w:rPr>
      </w:pPr>
    </w:p>
    <w:p w14:paraId="0AFF6C5A" w14:textId="46289B0A" w:rsidR="0082437E" w:rsidRPr="00A26143" w:rsidRDefault="00444C54" w:rsidP="0082437E">
      <w:pPr>
        <w:jc w:val="both"/>
        <w:rPr>
          <w:rFonts w:cstheme="minorHAnsi"/>
          <w:sz w:val="24"/>
          <w:szCs w:val="24"/>
        </w:rPr>
      </w:pPr>
      <w:r w:rsidRPr="00A26143">
        <w:rPr>
          <w:rFonts w:cstheme="minorHAnsi"/>
          <w:b/>
          <w:sz w:val="24"/>
          <w:szCs w:val="24"/>
        </w:rPr>
        <w:t>TABLE 2</w:t>
      </w:r>
      <w:r w:rsidR="0082437E" w:rsidRPr="00A26143">
        <w:rPr>
          <w:rFonts w:cstheme="minorHAnsi"/>
          <w:b/>
          <w:sz w:val="24"/>
          <w:szCs w:val="24"/>
        </w:rPr>
        <w:t>: CORRELATION OF AGE WITH HAMATOLOGICAL PARAMETERS OF TEST SUBJECTS (n=122)</w:t>
      </w:r>
    </w:p>
    <w:tbl>
      <w:tblPr>
        <w:tblW w:w="13608" w:type="dxa"/>
        <w:tblBorders>
          <w:top w:val="single" w:sz="4" w:space="0" w:color="auto"/>
          <w:bottom w:val="single" w:sz="4" w:space="0" w:color="auto"/>
        </w:tblBorders>
        <w:tblLayout w:type="fixed"/>
        <w:tblLook w:val="04A0" w:firstRow="1" w:lastRow="0" w:firstColumn="1" w:lastColumn="0" w:noHBand="0" w:noVBand="1"/>
      </w:tblPr>
      <w:tblGrid>
        <w:gridCol w:w="1908"/>
        <w:gridCol w:w="1350"/>
        <w:gridCol w:w="1080"/>
        <w:gridCol w:w="1080"/>
        <w:gridCol w:w="1080"/>
        <w:gridCol w:w="1080"/>
        <w:gridCol w:w="1170"/>
        <w:gridCol w:w="1350"/>
        <w:gridCol w:w="1260"/>
        <w:gridCol w:w="1080"/>
        <w:gridCol w:w="1170"/>
      </w:tblGrid>
      <w:tr w:rsidR="0082437E" w:rsidRPr="00A26143" w14:paraId="796A56FB" w14:textId="77777777" w:rsidTr="002B30CC">
        <w:tc>
          <w:tcPr>
            <w:tcW w:w="1908" w:type="dxa"/>
            <w:tcBorders>
              <w:bottom w:val="single" w:sz="6" w:space="0" w:color="auto"/>
            </w:tcBorders>
            <w:shd w:val="clear" w:color="auto" w:fill="auto"/>
          </w:tcPr>
          <w:p w14:paraId="03EC68F4" w14:textId="77777777" w:rsidR="0082437E" w:rsidRPr="00A26143" w:rsidRDefault="0082437E" w:rsidP="002B30CC">
            <w:pPr>
              <w:widowControl w:val="0"/>
              <w:autoSpaceDE w:val="0"/>
              <w:autoSpaceDN w:val="0"/>
              <w:adjustRightInd w:val="0"/>
              <w:spacing w:after="0" w:line="240" w:lineRule="auto"/>
              <w:rPr>
                <w:rFonts w:cstheme="minorHAnsi"/>
                <w:b/>
                <w:sz w:val="24"/>
                <w:szCs w:val="24"/>
                <w:lang w:val="en-GB"/>
              </w:rPr>
            </w:pPr>
            <w:r w:rsidRPr="00A26143">
              <w:rPr>
                <w:rFonts w:cstheme="minorHAnsi"/>
                <w:b/>
                <w:sz w:val="24"/>
                <w:szCs w:val="24"/>
                <w:lang w:val="en-GB"/>
              </w:rPr>
              <w:t>Variables (r values</w:t>
            </w:r>
          </w:p>
          <w:p w14:paraId="1F830B38" w14:textId="77777777" w:rsidR="0082437E" w:rsidRPr="00A26143" w:rsidRDefault="0082437E" w:rsidP="002B30CC">
            <w:pPr>
              <w:widowControl w:val="0"/>
              <w:autoSpaceDE w:val="0"/>
              <w:autoSpaceDN w:val="0"/>
              <w:adjustRightInd w:val="0"/>
              <w:spacing w:after="0" w:line="240" w:lineRule="auto"/>
              <w:rPr>
                <w:rFonts w:cstheme="minorHAnsi"/>
                <w:b/>
                <w:sz w:val="24"/>
                <w:szCs w:val="24"/>
                <w:lang w:val="en-GB"/>
              </w:rPr>
            </w:pPr>
            <w:r w:rsidRPr="00A26143">
              <w:rPr>
                <w:rFonts w:cstheme="minorHAnsi"/>
                <w:b/>
                <w:sz w:val="24"/>
                <w:szCs w:val="24"/>
                <w:lang w:val="en-GB"/>
              </w:rPr>
              <w:t>(p values)</w:t>
            </w:r>
          </w:p>
        </w:tc>
        <w:tc>
          <w:tcPr>
            <w:tcW w:w="1350" w:type="dxa"/>
            <w:tcBorders>
              <w:bottom w:val="single" w:sz="6" w:space="0" w:color="auto"/>
            </w:tcBorders>
          </w:tcPr>
          <w:p w14:paraId="01522E20" w14:textId="77777777" w:rsidR="0082437E" w:rsidRPr="00A26143" w:rsidRDefault="0082437E" w:rsidP="002B30CC">
            <w:pPr>
              <w:widowControl w:val="0"/>
              <w:autoSpaceDE w:val="0"/>
              <w:autoSpaceDN w:val="0"/>
              <w:adjustRightInd w:val="0"/>
              <w:spacing w:after="0" w:line="240" w:lineRule="auto"/>
              <w:rPr>
                <w:rFonts w:cstheme="minorHAnsi"/>
                <w:b/>
                <w:sz w:val="24"/>
                <w:szCs w:val="24"/>
                <w:lang w:val="en-GB"/>
              </w:rPr>
            </w:pPr>
            <w:r w:rsidRPr="00A26143">
              <w:rPr>
                <w:rFonts w:cstheme="minorHAnsi"/>
                <w:b/>
                <w:sz w:val="24"/>
                <w:szCs w:val="24"/>
                <w:lang w:val="en-GB"/>
              </w:rPr>
              <w:t>Age (years)</w:t>
            </w:r>
          </w:p>
        </w:tc>
        <w:tc>
          <w:tcPr>
            <w:tcW w:w="1080" w:type="dxa"/>
            <w:tcBorders>
              <w:bottom w:val="single" w:sz="6" w:space="0" w:color="auto"/>
            </w:tcBorders>
          </w:tcPr>
          <w:p w14:paraId="48C03FBE" w14:textId="77777777" w:rsidR="0082437E" w:rsidRPr="00A26143" w:rsidRDefault="0082437E" w:rsidP="002B30CC">
            <w:pPr>
              <w:widowControl w:val="0"/>
              <w:autoSpaceDE w:val="0"/>
              <w:autoSpaceDN w:val="0"/>
              <w:adjustRightInd w:val="0"/>
              <w:spacing w:after="0" w:line="240" w:lineRule="auto"/>
              <w:rPr>
                <w:rFonts w:cstheme="minorHAnsi"/>
                <w:b/>
                <w:sz w:val="24"/>
                <w:szCs w:val="24"/>
                <w:lang w:val="en-GB"/>
              </w:rPr>
            </w:pPr>
            <w:r w:rsidRPr="00A26143">
              <w:rPr>
                <w:rFonts w:cstheme="minorHAnsi"/>
                <w:b/>
                <w:sz w:val="24"/>
                <w:szCs w:val="24"/>
                <w:lang w:val="en-GB"/>
              </w:rPr>
              <w:t>Hb</w:t>
            </w:r>
          </w:p>
        </w:tc>
        <w:tc>
          <w:tcPr>
            <w:tcW w:w="1080" w:type="dxa"/>
            <w:tcBorders>
              <w:bottom w:val="single" w:sz="6" w:space="0" w:color="auto"/>
            </w:tcBorders>
            <w:shd w:val="clear" w:color="auto" w:fill="auto"/>
          </w:tcPr>
          <w:p w14:paraId="125A25C2" w14:textId="77777777" w:rsidR="0082437E" w:rsidRPr="00A26143" w:rsidRDefault="0082437E" w:rsidP="002B30CC">
            <w:pPr>
              <w:widowControl w:val="0"/>
              <w:autoSpaceDE w:val="0"/>
              <w:autoSpaceDN w:val="0"/>
              <w:adjustRightInd w:val="0"/>
              <w:spacing w:after="0" w:line="240" w:lineRule="auto"/>
              <w:rPr>
                <w:rFonts w:cstheme="minorHAnsi"/>
                <w:b/>
                <w:sz w:val="24"/>
                <w:szCs w:val="24"/>
                <w:lang w:val="en-GB"/>
              </w:rPr>
            </w:pPr>
            <w:r w:rsidRPr="00A26143">
              <w:rPr>
                <w:rFonts w:cstheme="minorHAnsi"/>
                <w:b/>
                <w:sz w:val="24"/>
                <w:szCs w:val="24"/>
                <w:lang w:val="en-GB"/>
              </w:rPr>
              <w:t>PCV</w:t>
            </w:r>
          </w:p>
        </w:tc>
        <w:tc>
          <w:tcPr>
            <w:tcW w:w="1080" w:type="dxa"/>
            <w:tcBorders>
              <w:bottom w:val="single" w:sz="6" w:space="0" w:color="auto"/>
            </w:tcBorders>
            <w:shd w:val="clear" w:color="auto" w:fill="auto"/>
          </w:tcPr>
          <w:p w14:paraId="2767383A" w14:textId="77777777" w:rsidR="0082437E" w:rsidRPr="00A26143" w:rsidRDefault="0082437E" w:rsidP="002B30CC">
            <w:pPr>
              <w:widowControl w:val="0"/>
              <w:autoSpaceDE w:val="0"/>
              <w:autoSpaceDN w:val="0"/>
              <w:adjustRightInd w:val="0"/>
              <w:spacing w:after="0" w:line="240" w:lineRule="auto"/>
              <w:rPr>
                <w:rFonts w:cstheme="minorHAnsi"/>
                <w:b/>
                <w:sz w:val="24"/>
                <w:szCs w:val="24"/>
                <w:lang w:val="en-GB"/>
              </w:rPr>
            </w:pPr>
            <w:r w:rsidRPr="00A26143">
              <w:rPr>
                <w:rFonts w:cstheme="minorHAnsi"/>
                <w:b/>
                <w:sz w:val="24"/>
                <w:szCs w:val="24"/>
                <w:lang w:val="en-GB"/>
              </w:rPr>
              <w:t>WBC</w:t>
            </w:r>
          </w:p>
        </w:tc>
        <w:tc>
          <w:tcPr>
            <w:tcW w:w="1080" w:type="dxa"/>
            <w:tcBorders>
              <w:bottom w:val="single" w:sz="6" w:space="0" w:color="auto"/>
            </w:tcBorders>
            <w:shd w:val="clear" w:color="auto" w:fill="auto"/>
          </w:tcPr>
          <w:p w14:paraId="3DE4DE1D" w14:textId="77777777" w:rsidR="0082437E" w:rsidRPr="00A26143" w:rsidRDefault="0082437E" w:rsidP="002B30CC">
            <w:pPr>
              <w:widowControl w:val="0"/>
              <w:autoSpaceDE w:val="0"/>
              <w:autoSpaceDN w:val="0"/>
              <w:adjustRightInd w:val="0"/>
              <w:spacing w:after="0" w:line="240" w:lineRule="auto"/>
              <w:rPr>
                <w:rFonts w:cstheme="minorHAnsi"/>
                <w:b/>
                <w:sz w:val="24"/>
                <w:szCs w:val="24"/>
                <w:lang w:val="en-GB"/>
              </w:rPr>
            </w:pPr>
            <w:r w:rsidRPr="00A26143">
              <w:rPr>
                <w:rFonts w:cstheme="minorHAnsi"/>
                <w:b/>
                <w:sz w:val="24"/>
                <w:szCs w:val="24"/>
                <w:lang w:val="en-GB"/>
              </w:rPr>
              <w:t>Platelet</w:t>
            </w:r>
          </w:p>
        </w:tc>
        <w:tc>
          <w:tcPr>
            <w:tcW w:w="1170" w:type="dxa"/>
            <w:tcBorders>
              <w:bottom w:val="single" w:sz="6" w:space="0" w:color="auto"/>
            </w:tcBorders>
          </w:tcPr>
          <w:p w14:paraId="1029DE99" w14:textId="77777777" w:rsidR="0082437E" w:rsidRPr="00A26143" w:rsidRDefault="0082437E" w:rsidP="002B30CC">
            <w:pPr>
              <w:widowControl w:val="0"/>
              <w:autoSpaceDE w:val="0"/>
              <w:autoSpaceDN w:val="0"/>
              <w:adjustRightInd w:val="0"/>
              <w:spacing w:after="0" w:line="240" w:lineRule="auto"/>
              <w:rPr>
                <w:rFonts w:cstheme="minorHAnsi"/>
                <w:b/>
                <w:sz w:val="24"/>
                <w:szCs w:val="24"/>
                <w:lang w:val="en-GB"/>
              </w:rPr>
            </w:pPr>
            <w:r w:rsidRPr="00A26143">
              <w:rPr>
                <w:rFonts w:cstheme="minorHAnsi"/>
                <w:b/>
                <w:sz w:val="24"/>
                <w:szCs w:val="24"/>
                <w:lang w:val="en-GB"/>
              </w:rPr>
              <w:t>Neutro</w:t>
            </w:r>
          </w:p>
        </w:tc>
        <w:tc>
          <w:tcPr>
            <w:tcW w:w="1350" w:type="dxa"/>
            <w:tcBorders>
              <w:bottom w:val="single" w:sz="6" w:space="0" w:color="auto"/>
            </w:tcBorders>
          </w:tcPr>
          <w:p w14:paraId="314D41D0" w14:textId="77777777" w:rsidR="0082437E" w:rsidRPr="00A26143" w:rsidRDefault="0082437E" w:rsidP="002B30CC">
            <w:pPr>
              <w:widowControl w:val="0"/>
              <w:autoSpaceDE w:val="0"/>
              <w:autoSpaceDN w:val="0"/>
              <w:adjustRightInd w:val="0"/>
              <w:spacing w:after="0" w:line="240" w:lineRule="auto"/>
              <w:rPr>
                <w:rFonts w:cstheme="minorHAnsi"/>
                <w:b/>
                <w:sz w:val="24"/>
                <w:szCs w:val="24"/>
                <w:lang w:val="en-GB"/>
              </w:rPr>
            </w:pPr>
            <w:r w:rsidRPr="00A26143">
              <w:rPr>
                <w:rFonts w:eastAsia="Times New Roman" w:cstheme="minorHAnsi"/>
                <w:b/>
                <w:sz w:val="24"/>
                <w:szCs w:val="24"/>
              </w:rPr>
              <w:t>Lymphocytes</w:t>
            </w:r>
          </w:p>
        </w:tc>
        <w:tc>
          <w:tcPr>
            <w:tcW w:w="1260" w:type="dxa"/>
            <w:tcBorders>
              <w:bottom w:val="single" w:sz="6" w:space="0" w:color="auto"/>
            </w:tcBorders>
          </w:tcPr>
          <w:p w14:paraId="7BE2A52C" w14:textId="77777777" w:rsidR="0082437E" w:rsidRPr="00A26143" w:rsidRDefault="0082437E" w:rsidP="002B30CC">
            <w:pPr>
              <w:widowControl w:val="0"/>
              <w:autoSpaceDE w:val="0"/>
              <w:autoSpaceDN w:val="0"/>
              <w:adjustRightInd w:val="0"/>
              <w:spacing w:after="0" w:line="240" w:lineRule="auto"/>
              <w:rPr>
                <w:rFonts w:cstheme="minorHAnsi"/>
                <w:b/>
                <w:sz w:val="24"/>
                <w:szCs w:val="24"/>
                <w:lang w:val="en-GB"/>
              </w:rPr>
            </w:pPr>
            <w:r w:rsidRPr="00A26143">
              <w:rPr>
                <w:rFonts w:eastAsia="Times New Roman" w:cstheme="minorHAnsi"/>
                <w:b/>
                <w:sz w:val="24"/>
                <w:szCs w:val="24"/>
              </w:rPr>
              <w:t>Monocytes</w:t>
            </w:r>
          </w:p>
        </w:tc>
        <w:tc>
          <w:tcPr>
            <w:tcW w:w="1080" w:type="dxa"/>
            <w:tcBorders>
              <w:bottom w:val="single" w:sz="6" w:space="0" w:color="auto"/>
            </w:tcBorders>
          </w:tcPr>
          <w:p w14:paraId="40E7764E" w14:textId="77777777" w:rsidR="0082437E" w:rsidRPr="00A26143" w:rsidRDefault="0082437E" w:rsidP="002B30CC">
            <w:pPr>
              <w:widowControl w:val="0"/>
              <w:autoSpaceDE w:val="0"/>
              <w:autoSpaceDN w:val="0"/>
              <w:adjustRightInd w:val="0"/>
              <w:spacing w:after="0" w:line="240" w:lineRule="auto"/>
              <w:rPr>
                <w:rFonts w:cstheme="minorHAnsi"/>
                <w:b/>
                <w:sz w:val="24"/>
                <w:szCs w:val="24"/>
                <w:lang w:val="en-GB"/>
              </w:rPr>
            </w:pPr>
            <w:r w:rsidRPr="00A26143">
              <w:rPr>
                <w:rFonts w:eastAsia="Times New Roman" w:cstheme="minorHAnsi"/>
                <w:b/>
                <w:sz w:val="24"/>
                <w:szCs w:val="24"/>
              </w:rPr>
              <w:t>Eosinophil</w:t>
            </w:r>
          </w:p>
        </w:tc>
        <w:tc>
          <w:tcPr>
            <w:tcW w:w="1170" w:type="dxa"/>
            <w:tcBorders>
              <w:bottom w:val="single" w:sz="6" w:space="0" w:color="auto"/>
            </w:tcBorders>
          </w:tcPr>
          <w:p w14:paraId="0AB268C7" w14:textId="77777777" w:rsidR="0082437E" w:rsidRPr="00A26143" w:rsidRDefault="0082437E" w:rsidP="002B30CC">
            <w:pPr>
              <w:widowControl w:val="0"/>
              <w:autoSpaceDE w:val="0"/>
              <w:autoSpaceDN w:val="0"/>
              <w:adjustRightInd w:val="0"/>
              <w:spacing w:after="0" w:line="240" w:lineRule="auto"/>
              <w:rPr>
                <w:rFonts w:cstheme="minorHAnsi"/>
                <w:b/>
                <w:sz w:val="24"/>
                <w:szCs w:val="24"/>
                <w:lang w:val="en-GB"/>
              </w:rPr>
            </w:pPr>
            <w:r w:rsidRPr="00A26143">
              <w:rPr>
                <w:rFonts w:eastAsia="Times New Roman" w:cstheme="minorHAnsi"/>
                <w:b/>
                <w:sz w:val="24"/>
                <w:szCs w:val="24"/>
              </w:rPr>
              <w:t>Basophil</w:t>
            </w:r>
          </w:p>
        </w:tc>
      </w:tr>
      <w:tr w:rsidR="0082437E" w:rsidRPr="00A26143" w14:paraId="07E23B0A" w14:textId="77777777" w:rsidTr="002B30CC">
        <w:tc>
          <w:tcPr>
            <w:tcW w:w="1908" w:type="dxa"/>
            <w:tcBorders>
              <w:top w:val="single" w:sz="6" w:space="0" w:color="auto"/>
            </w:tcBorders>
            <w:shd w:val="clear" w:color="auto" w:fill="auto"/>
            <w:vAlign w:val="bottom"/>
          </w:tcPr>
          <w:p w14:paraId="7F97E054" w14:textId="77777777" w:rsidR="0082437E" w:rsidRPr="00A26143" w:rsidRDefault="0082437E" w:rsidP="002B30CC">
            <w:pPr>
              <w:widowControl w:val="0"/>
              <w:autoSpaceDE w:val="0"/>
              <w:autoSpaceDN w:val="0"/>
              <w:adjustRightInd w:val="0"/>
              <w:spacing w:after="0" w:line="240" w:lineRule="auto"/>
              <w:rPr>
                <w:rFonts w:eastAsia="Times New Roman" w:cstheme="minorHAnsi"/>
                <w:sz w:val="24"/>
                <w:szCs w:val="24"/>
              </w:rPr>
            </w:pPr>
            <w:r w:rsidRPr="00A26143">
              <w:rPr>
                <w:rFonts w:eastAsia="Times New Roman" w:cstheme="minorHAnsi"/>
                <w:sz w:val="24"/>
                <w:szCs w:val="24"/>
              </w:rPr>
              <w:t>Age</w:t>
            </w:r>
          </w:p>
        </w:tc>
        <w:tc>
          <w:tcPr>
            <w:tcW w:w="1350" w:type="dxa"/>
            <w:tcBorders>
              <w:top w:val="single" w:sz="6" w:space="0" w:color="auto"/>
            </w:tcBorders>
          </w:tcPr>
          <w:p w14:paraId="0085EE2E"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r w:rsidRPr="00A26143">
              <w:rPr>
                <w:rFonts w:cstheme="minorHAnsi"/>
                <w:sz w:val="24"/>
                <w:szCs w:val="24"/>
                <w:lang w:val="en-GB"/>
              </w:rPr>
              <w:t>1</w:t>
            </w:r>
          </w:p>
        </w:tc>
        <w:tc>
          <w:tcPr>
            <w:tcW w:w="1080" w:type="dxa"/>
            <w:tcBorders>
              <w:top w:val="single" w:sz="6" w:space="0" w:color="auto"/>
            </w:tcBorders>
          </w:tcPr>
          <w:p w14:paraId="2D0F1156"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p>
        </w:tc>
        <w:tc>
          <w:tcPr>
            <w:tcW w:w="1080" w:type="dxa"/>
            <w:tcBorders>
              <w:top w:val="single" w:sz="6" w:space="0" w:color="auto"/>
            </w:tcBorders>
            <w:shd w:val="clear" w:color="auto" w:fill="auto"/>
          </w:tcPr>
          <w:p w14:paraId="3618D3AE"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p>
        </w:tc>
        <w:tc>
          <w:tcPr>
            <w:tcW w:w="1080" w:type="dxa"/>
            <w:tcBorders>
              <w:top w:val="single" w:sz="6" w:space="0" w:color="auto"/>
            </w:tcBorders>
            <w:shd w:val="clear" w:color="auto" w:fill="auto"/>
          </w:tcPr>
          <w:p w14:paraId="717D8B78"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p>
        </w:tc>
        <w:tc>
          <w:tcPr>
            <w:tcW w:w="1080" w:type="dxa"/>
            <w:tcBorders>
              <w:top w:val="single" w:sz="6" w:space="0" w:color="auto"/>
            </w:tcBorders>
            <w:shd w:val="clear" w:color="auto" w:fill="auto"/>
          </w:tcPr>
          <w:p w14:paraId="785C673D"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p>
        </w:tc>
        <w:tc>
          <w:tcPr>
            <w:tcW w:w="1170" w:type="dxa"/>
            <w:tcBorders>
              <w:top w:val="single" w:sz="6" w:space="0" w:color="auto"/>
            </w:tcBorders>
          </w:tcPr>
          <w:p w14:paraId="0BF177B0"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p>
        </w:tc>
        <w:tc>
          <w:tcPr>
            <w:tcW w:w="1350" w:type="dxa"/>
            <w:tcBorders>
              <w:top w:val="single" w:sz="6" w:space="0" w:color="auto"/>
            </w:tcBorders>
          </w:tcPr>
          <w:p w14:paraId="49895D66"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p>
        </w:tc>
        <w:tc>
          <w:tcPr>
            <w:tcW w:w="1260" w:type="dxa"/>
            <w:tcBorders>
              <w:top w:val="single" w:sz="6" w:space="0" w:color="auto"/>
            </w:tcBorders>
          </w:tcPr>
          <w:p w14:paraId="35D0F051"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p>
        </w:tc>
        <w:tc>
          <w:tcPr>
            <w:tcW w:w="1080" w:type="dxa"/>
            <w:tcBorders>
              <w:top w:val="single" w:sz="6" w:space="0" w:color="auto"/>
            </w:tcBorders>
          </w:tcPr>
          <w:p w14:paraId="2BA01A3C"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p>
        </w:tc>
        <w:tc>
          <w:tcPr>
            <w:tcW w:w="1170" w:type="dxa"/>
            <w:tcBorders>
              <w:top w:val="single" w:sz="6" w:space="0" w:color="auto"/>
            </w:tcBorders>
          </w:tcPr>
          <w:p w14:paraId="381B3C39"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p>
        </w:tc>
      </w:tr>
      <w:tr w:rsidR="0082437E" w:rsidRPr="00A26143" w14:paraId="02DD979E" w14:textId="77777777" w:rsidTr="002B30CC">
        <w:tc>
          <w:tcPr>
            <w:tcW w:w="1908" w:type="dxa"/>
            <w:shd w:val="clear" w:color="auto" w:fill="auto"/>
            <w:vAlign w:val="bottom"/>
          </w:tcPr>
          <w:p w14:paraId="0CFFAA6E" w14:textId="77777777" w:rsidR="0082437E" w:rsidRPr="00A26143" w:rsidRDefault="0082437E" w:rsidP="002B30CC">
            <w:pPr>
              <w:widowControl w:val="0"/>
              <w:autoSpaceDE w:val="0"/>
              <w:autoSpaceDN w:val="0"/>
              <w:adjustRightInd w:val="0"/>
              <w:spacing w:after="0" w:line="240" w:lineRule="auto"/>
              <w:rPr>
                <w:rFonts w:eastAsia="Times New Roman" w:cstheme="minorHAnsi"/>
                <w:sz w:val="24"/>
                <w:szCs w:val="24"/>
              </w:rPr>
            </w:pPr>
            <w:r w:rsidRPr="00A26143">
              <w:rPr>
                <w:rFonts w:eastAsia="Times New Roman" w:cstheme="minorHAnsi"/>
                <w:sz w:val="24"/>
                <w:szCs w:val="24"/>
              </w:rPr>
              <w:t>Hb</w:t>
            </w:r>
          </w:p>
        </w:tc>
        <w:tc>
          <w:tcPr>
            <w:tcW w:w="1350" w:type="dxa"/>
          </w:tcPr>
          <w:p w14:paraId="4739EF7D"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r w:rsidRPr="00A26143">
              <w:rPr>
                <w:rFonts w:cstheme="minorHAnsi"/>
                <w:sz w:val="24"/>
                <w:szCs w:val="24"/>
                <w:lang w:val="en-GB"/>
              </w:rPr>
              <w:t>0.075 (0.412)</w:t>
            </w:r>
          </w:p>
        </w:tc>
        <w:tc>
          <w:tcPr>
            <w:tcW w:w="1080" w:type="dxa"/>
          </w:tcPr>
          <w:p w14:paraId="14A56ABA" w14:textId="77777777" w:rsidR="0082437E" w:rsidRPr="00A26143" w:rsidRDefault="0082437E" w:rsidP="002B30CC">
            <w:pPr>
              <w:widowControl w:val="0"/>
              <w:autoSpaceDE w:val="0"/>
              <w:autoSpaceDN w:val="0"/>
              <w:adjustRightInd w:val="0"/>
              <w:spacing w:after="0" w:line="240" w:lineRule="auto"/>
              <w:rPr>
                <w:rFonts w:eastAsia="Times New Roman" w:cstheme="minorHAnsi"/>
                <w:color w:val="000000"/>
              </w:rPr>
            </w:pPr>
            <w:r w:rsidRPr="00A26143">
              <w:rPr>
                <w:rFonts w:eastAsia="Times New Roman" w:cstheme="minorHAnsi"/>
                <w:color w:val="000000"/>
              </w:rPr>
              <w:t>1</w:t>
            </w:r>
          </w:p>
        </w:tc>
        <w:tc>
          <w:tcPr>
            <w:tcW w:w="1080" w:type="dxa"/>
            <w:shd w:val="clear" w:color="auto" w:fill="auto"/>
          </w:tcPr>
          <w:p w14:paraId="28FC0CA8" w14:textId="77777777" w:rsidR="0082437E" w:rsidRPr="00A26143" w:rsidRDefault="0082437E" w:rsidP="002B30CC">
            <w:pPr>
              <w:widowControl w:val="0"/>
              <w:autoSpaceDE w:val="0"/>
              <w:autoSpaceDN w:val="0"/>
              <w:adjustRightInd w:val="0"/>
              <w:spacing w:after="0" w:line="240" w:lineRule="auto"/>
              <w:rPr>
                <w:rFonts w:cstheme="minorHAnsi"/>
                <w:b/>
                <w:color w:val="000000"/>
                <w:lang w:val="en-GB"/>
              </w:rPr>
            </w:pPr>
          </w:p>
        </w:tc>
        <w:tc>
          <w:tcPr>
            <w:tcW w:w="1080" w:type="dxa"/>
            <w:shd w:val="clear" w:color="auto" w:fill="auto"/>
          </w:tcPr>
          <w:p w14:paraId="687E4D83"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080" w:type="dxa"/>
            <w:shd w:val="clear" w:color="auto" w:fill="auto"/>
          </w:tcPr>
          <w:p w14:paraId="50709B8A"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170" w:type="dxa"/>
          </w:tcPr>
          <w:p w14:paraId="0B0BEE21"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350" w:type="dxa"/>
          </w:tcPr>
          <w:p w14:paraId="63BB182A"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260" w:type="dxa"/>
          </w:tcPr>
          <w:p w14:paraId="1B9AFB98"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080" w:type="dxa"/>
          </w:tcPr>
          <w:p w14:paraId="23B2C51F"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170" w:type="dxa"/>
          </w:tcPr>
          <w:p w14:paraId="1C40F401"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r>
      <w:tr w:rsidR="0082437E" w:rsidRPr="00A26143" w14:paraId="15E3BF6A" w14:textId="77777777" w:rsidTr="002B30CC">
        <w:tc>
          <w:tcPr>
            <w:tcW w:w="1908" w:type="dxa"/>
            <w:shd w:val="clear" w:color="auto" w:fill="auto"/>
            <w:vAlign w:val="bottom"/>
          </w:tcPr>
          <w:p w14:paraId="0A0E464B" w14:textId="77777777" w:rsidR="0082437E" w:rsidRPr="00A26143" w:rsidRDefault="0082437E" w:rsidP="002B30CC">
            <w:pPr>
              <w:widowControl w:val="0"/>
              <w:autoSpaceDE w:val="0"/>
              <w:autoSpaceDN w:val="0"/>
              <w:adjustRightInd w:val="0"/>
              <w:spacing w:after="0" w:line="240" w:lineRule="auto"/>
              <w:rPr>
                <w:rFonts w:eastAsia="Times New Roman" w:cstheme="minorHAnsi"/>
                <w:sz w:val="24"/>
                <w:szCs w:val="24"/>
              </w:rPr>
            </w:pPr>
            <w:r w:rsidRPr="00A26143">
              <w:rPr>
                <w:rFonts w:eastAsia="Times New Roman" w:cstheme="minorHAnsi"/>
                <w:sz w:val="24"/>
                <w:szCs w:val="24"/>
              </w:rPr>
              <w:t>PCV</w:t>
            </w:r>
          </w:p>
        </w:tc>
        <w:tc>
          <w:tcPr>
            <w:tcW w:w="1350" w:type="dxa"/>
          </w:tcPr>
          <w:p w14:paraId="60AB6012"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r w:rsidRPr="00A26143">
              <w:rPr>
                <w:rFonts w:cstheme="minorHAnsi"/>
                <w:sz w:val="24"/>
                <w:szCs w:val="24"/>
                <w:lang w:val="en-GB"/>
              </w:rPr>
              <w:t>0.012 (0.899)</w:t>
            </w:r>
          </w:p>
        </w:tc>
        <w:tc>
          <w:tcPr>
            <w:tcW w:w="1080" w:type="dxa"/>
          </w:tcPr>
          <w:p w14:paraId="2991858C" w14:textId="77777777" w:rsidR="0082437E" w:rsidRPr="00A26143" w:rsidRDefault="0082437E" w:rsidP="002B30CC">
            <w:pPr>
              <w:widowControl w:val="0"/>
              <w:autoSpaceDE w:val="0"/>
              <w:autoSpaceDN w:val="0"/>
              <w:adjustRightInd w:val="0"/>
              <w:spacing w:after="0" w:line="240" w:lineRule="auto"/>
              <w:rPr>
                <w:rFonts w:eastAsia="Times New Roman" w:cstheme="minorHAnsi"/>
                <w:color w:val="000000"/>
              </w:rPr>
            </w:pPr>
            <w:r w:rsidRPr="00A26143">
              <w:rPr>
                <w:rFonts w:cstheme="minorHAnsi"/>
                <w:b/>
                <w:color w:val="000000"/>
                <w:lang w:val="en-GB"/>
              </w:rPr>
              <w:t>0.847 (0.000*)W</w:t>
            </w:r>
          </w:p>
        </w:tc>
        <w:tc>
          <w:tcPr>
            <w:tcW w:w="1080" w:type="dxa"/>
            <w:shd w:val="clear" w:color="auto" w:fill="auto"/>
          </w:tcPr>
          <w:p w14:paraId="4EBD0F72"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1</w:t>
            </w:r>
          </w:p>
        </w:tc>
        <w:tc>
          <w:tcPr>
            <w:tcW w:w="1080" w:type="dxa"/>
            <w:shd w:val="clear" w:color="auto" w:fill="auto"/>
          </w:tcPr>
          <w:p w14:paraId="46065C1C"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080" w:type="dxa"/>
            <w:shd w:val="clear" w:color="auto" w:fill="auto"/>
          </w:tcPr>
          <w:p w14:paraId="7D0873E3"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170" w:type="dxa"/>
          </w:tcPr>
          <w:p w14:paraId="4852C3E0"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350" w:type="dxa"/>
          </w:tcPr>
          <w:p w14:paraId="2A313E52"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260" w:type="dxa"/>
          </w:tcPr>
          <w:p w14:paraId="3E309061"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080" w:type="dxa"/>
          </w:tcPr>
          <w:p w14:paraId="681FA2BE"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170" w:type="dxa"/>
          </w:tcPr>
          <w:p w14:paraId="20B33422"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r>
      <w:tr w:rsidR="0082437E" w:rsidRPr="00A26143" w14:paraId="703E3600" w14:textId="77777777" w:rsidTr="002B30CC">
        <w:tc>
          <w:tcPr>
            <w:tcW w:w="1908" w:type="dxa"/>
            <w:shd w:val="clear" w:color="auto" w:fill="auto"/>
            <w:vAlign w:val="bottom"/>
          </w:tcPr>
          <w:p w14:paraId="5D330EC9" w14:textId="77777777" w:rsidR="0082437E" w:rsidRPr="00A26143" w:rsidRDefault="0082437E" w:rsidP="002B30CC">
            <w:pPr>
              <w:widowControl w:val="0"/>
              <w:autoSpaceDE w:val="0"/>
              <w:autoSpaceDN w:val="0"/>
              <w:adjustRightInd w:val="0"/>
              <w:spacing w:after="0" w:line="240" w:lineRule="auto"/>
              <w:rPr>
                <w:rFonts w:eastAsia="Times New Roman" w:cstheme="minorHAnsi"/>
                <w:sz w:val="24"/>
                <w:szCs w:val="24"/>
              </w:rPr>
            </w:pPr>
            <w:r w:rsidRPr="00A26143">
              <w:rPr>
                <w:rFonts w:eastAsia="Times New Roman" w:cstheme="minorHAnsi"/>
                <w:sz w:val="24"/>
                <w:szCs w:val="24"/>
              </w:rPr>
              <w:t>WBC (10^3)</w:t>
            </w:r>
          </w:p>
        </w:tc>
        <w:tc>
          <w:tcPr>
            <w:tcW w:w="1350" w:type="dxa"/>
          </w:tcPr>
          <w:p w14:paraId="0ACB2797"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r w:rsidRPr="00A26143">
              <w:rPr>
                <w:rFonts w:cstheme="minorHAnsi"/>
                <w:sz w:val="24"/>
                <w:szCs w:val="24"/>
                <w:lang w:val="en-GB"/>
              </w:rPr>
              <w:t>0.073 (0.422)</w:t>
            </w:r>
          </w:p>
        </w:tc>
        <w:tc>
          <w:tcPr>
            <w:tcW w:w="1080" w:type="dxa"/>
          </w:tcPr>
          <w:p w14:paraId="2EBA74EB" w14:textId="77777777" w:rsidR="0082437E" w:rsidRPr="00A26143" w:rsidRDefault="0082437E" w:rsidP="002B30CC">
            <w:pPr>
              <w:widowControl w:val="0"/>
              <w:autoSpaceDE w:val="0"/>
              <w:autoSpaceDN w:val="0"/>
              <w:adjustRightInd w:val="0"/>
              <w:spacing w:after="0" w:line="240" w:lineRule="auto"/>
              <w:rPr>
                <w:rFonts w:eastAsia="Times New Roman" w:cstheme="minorHAnsi"/>
                <w:b/>
                <w:color w:val="000000"/>
              </w:rPr>
            </w:pPr>
            <w:r w:rsidRPr="00A26143">
              <w:rPr>
                <w:rFonts w:eastAsia="Times New Roman" w:cstheme="minorHAnsi"/>
                <w:b/>
                <w:color w:val="000000"/>
              </w:rPr>
              <w:t>-0.198 (0.029*)</w:t>
            </w:r>
          </w:p>
        </w:tc>
        <w:tc>
          <w:tcPr>
            <w:tcW w:w="1080" w:type="dxa"/>
            <w:shd w:val="clear" w:color="auto" w:fill="auto"/>
          </w:tcPr>
          <w:p w14:paraId="42242387" w14:textId="77777777" w:rsidR="0082437E" w:rsidRPr="00A26143" w:rsidRDefault="0082437E" w:rsidP="002B30CC">
            <w:pPr>
              <w:widowControl w:val="0"/>
              <w:autoSpaceDE w:val="0"/>
              <w:autoSpaceDN w:val="0"/>
              <w:adjustRightInd w:val="0"/>
              <w:spacing w:after="0" w:line="240" w:lineRule="auto"/>
              <w:rPr>
                <w:rFonts w:cstheme="minorHAnsi"/>
                <w:b/>
                <w:color w:val="000000"/>
                <w:lang w:val="en-GB"/>
              </w:rPr>
            </w:pPr>
            <w:r w:rsidRPr="00A26143">
              <w:rPr>
                <w:rFonts w:cstheme="minorHAnsi"/>
                <w:b/>
                <w:color w:val="000000"/>
                <w:lang w:val="en-GB"/>
              </w:rPr>
              <w:t>-0.209 (0.021*)</w:t>
            </w:r>
          </w:p>
        </w:tc>
        <w:tc>
          <w:tcPr>
            <w:tcW w:w="1080" w:type="dxa"/>
            <w:shd w:val="clear" w:color="auto" w:fill="auto"/>
          </w:tcPr>
          <w:p w14:paraId="7F73C8CE"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1</w:t>
            </w:r>
          </w:p>
        </w:tc>
        <w:tc>
          <w:tcPr>
            <w:tcW w:w="1080" w:type="dxa"/>
            <w:shd w:val="clear" w:color="auto" w:fill="auto"/>
          </w:tcPr>
          <w:p w14:paraId="17EB9414"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170" w:type="dxa"/>
          </w:tcPr>
          <w:p w14:paraId="439C85E1"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350" w:type="dxa"/>
          </w:tcPr>
          <w:p w14:paraId="66C8CE92"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260" w:type="dxa"/>
          </w:tcPr>
          <w:p w14:paraId="40A99BF8"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080" w:type="dxa"/>
          </w:tcPr>
          <w:p w14:paraId="45D14645"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170" w:type="dxa"/>
          </w:tcPr>
          <w:p w14:paraId="0881A25B"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r>
      <w:tr w:rsidR="0082437E" w:rsidRPr="00A26143" w14:paraId="282EF269" w14:textId="77777777" w:rsidTr="002B30CC">
        <w:tc>
          <w:tcPr>
            <w:tcW w:w="1908" w:type="dxa"/>
            <w:shd w:val="clear" w:color="auto" w:fill="auto"/>
            <w:vAlign w:val="bottom"/>
          </w:tcPr>
          <w:p w14:paraId="1DAAA001" w14:textId="77777777" w:rsidR="0082437E" w:rsidRPr="00A26143" w:rsidRDefault="0082437E" w:rsidP="002B30CC">
            <w:pPr>
              <w:widowControl w:val="0"/>
              <w:autoSpaceDE w:val="0"/>
              <w:autoSpaceDN w:val="0"/>
              <w:adjustRightInd w:val="0"/>
              <w:spacing w:after="0" w:line="240" w:lineRule="auto"/>
              <w:rPr>
                <w:rFonts w:eastAsia="Times New Roman" w:cstheme="minorHAnsi"/>
                <w:sz w:val="24"/>
                <w:szCs w:val="24"/>
              </w:rPr>
            </w:pPr>
            <w:r w:rsidRPr="00A26143">
              <w:rPr>
                <w:rFonts w:eastAsia="Times New Roman" w:cstheme="minorHAnsi"/>
                <w:sz w:val="24"/>
                <w:szCs w:val="24"/>
              </w:rPr>
              <w:t>Platelets</w:t>
            </w:r>
          </w:p>
        </w:tc>
        <w:tc>
          <w:tcPr>
            <w:tcW w:w="1350" w:type="dxa"/>
          </w:tcPr>
          <w:p w14:paraId="35C8FF89"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r w:rsidRPr="00A26143">
              <w:rPr>
                <w:rFonts w:cstheme="minorHAnsi"/>
                <w:sz w:val="24"/>
                <w:szCs w:val="24"/>
                <w:lang w:val="en-GB"/>
              </w:rPr>
              <w:t xml:space="preserve">-0.074 </w:t>
            </w:r>
            <w:r w:rsidRPr="00A26143">
              <w:rPr>
                <w:rFonts w:cstheme="minorHAnsi"/>
                <w:sz w:val="24"/>
                <w:szCs w:val="24"/>
                <w:lang w:val="en-GB"/>
              </w:rPr>
              <w:lastRenderedPageBreak/>
              <w:t>(0.419)</w:t>
            </w:r>
          </w:p>
        </w:tc>
        <w:tc>
          <w:tcPr>
            <w:tcW w:w="1080" w:type="dxa"/>
          </w:tcPr>
          <w:p w14:paraId="7AFFF4F2" w14:textId="77777777" w:rsidR="0082437E" w:rsidRPr="00A26143" w:rsidRDefault="0082437E" w:rsidP="002B30CC">
            <w:pPr>
              <w:widowControl w:val="0"/>
              <w:autoSpaceDE w:val="0"/>
              <w:autoSpaceDN w:val="0"/>
              <w:adjustRightInd w:val="0"/>
              <w:spacing w:after="0" w:line="240" w:lineRule="auto"/>
              <w:rPr>
                <w:rFonts w:eastAsia="Times New Roman" w:cstheme="minorHAnsi"/>
                <w:color w:val="000000"/>
              </w:rPr>
            </w:pPr>
            <w:r w:rsidRPr="00A26143">
              <w:rPr>
                <w:rFonts w:eastAsia="Times New Roman" w:cstheme="minorHAnsi"/>
                <w:color w:val="000000"/>
              </w:rPr>
              <w:lastRenderedPageBreak/>
              <w:t xml:space="preserve">-0.136 </w:t>
            </w:r>
            <w:r w:rsidRPr="00A26143">
              <w:rPr>
                <w:rFonts w:eastAsia="Times New Roman" w:cstheme="minorHAnsi"/>
                <w:color w:val="000000"/>
              </w:rPr>
              <w:lastRenderedPageBreak/>
              <w:t>(0.134)</w:t>
            </w:r>
          </w:p>
        </w:tc>
        <w:tc>
          <w:tcPr>
            <w:tcW w:w="1080" w:type="dxa"/>
            <w:shd w:val="clear" w:color="auto" w:fill="auto"/>
          </w:tcPr>
          <w:p w14:paraId="4864E15F"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lastRenderedPageBreak/>
              <w:t xml:space="preserve">-0.118 </w:t>
            </w:r>
            <w:r w:rsidRPr="00A26143">
              <w:rPr>
                <w:rFonts w:cstheme="minorHAnsi"/>
                <w:color w:val="000000"/>
                <w:lang w:val="en-GB"/>
              </w:rPr>
              <w:lastRenderedPageBreak/>
              <w:t>(0.194)</w:t>
            </w:r>
          </w:p>
        </w:tc>
        <w:tc>
          <w:tcPr>
            <w:tcW w:w="1080" w:type="dxa"/>
            <w:shd w:val="clear" w:color="auto" w:fill="auto"/>
          </w:tcPr>
          <w:p w14:paraId="6126E448"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lastRenderedPageBreak/>
              <w:t xml:space="preserve">0.009 </w:t>
            </w:r>
            <w:r w:rsidRPr="00A26143">
              <w:rPr>
                <w:rFonts w:cstheme="minorHAnsi"/>
                <w:color w:val="000000"/>
                <w:lang w:val="en-GB"/>
              </w:rPr>
              <w:lastRenderedPageBreak/>
              <w:t>(0.922)</w:t>
            </w:r>
          </w:p>
        </w:tc>
        <w:tc>
          <w:tcPr>
            <w:tcW w:w="1080" w:type="dxa"/>
            <w:shd w:val="clear" w:color="auto" w:fill="auto"/>
          </w:tcPr>
          <w:p w14:paraId="2C109824"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lastRenderedPageBreak/>
              <w:t>1</w:t>
            </w:r>
          </w:p>
        </w:tc>
        <w:tc>
          <w:tcPr>
            <w:tcW w:w="1170" w:type="dxa"/>
          </w:tcPr>
          <w:p w14:paraId="13A96BD5"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350" w:type="dxa"/>
          </w:tcPr>
          <w:p w14:paraId="659A7A2E"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260" w:type="dxa"/>
          </w:tcPr>
          <w:p w14:paraId="724E3291"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080" w:type="dxa"/>
          </w:tcPr>
          <w:p w14:paraId="3CF6C82E"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170" w:type="dxa"/>
          </w:tcPr>
          <w:p w14:paraId="626A6EF1"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r>
      <w:tr w:rsidR="0082437E" w:rsidRPr="00A26143" w14:paraId="6FD55C83" w14:textId="77777777" w:rsidTr="002B30CC">
        <w:tc>
          <w:tcPr>
            <w:tcW w:w="1908" w:type="dxa"/>
            <w:shd w:val="clear" w:color="auto" w:fill="auto"/>
            <w:vAlign w:val="bottom"/>
          </w:tcPr>
          <w:p w14:paraId="2C167E56" w14:textId="77777777" w:rsidR="0082437E" w:rsidRPr="00A26143" w:rsidRDefault="0082437E" w:rsidP="002B30CC">
            <w:pPr>
              <w:widowControl w:val="0"/>
              <w:autoSpaceDE w:val="0"/>
              <w:autoSpaceDN w:val="0"/>
              <w:adjustRightInd w:val="0"/>
              <w:spacing w:after="0" w:line="240" w:lineRule="auto"/>
              <w:rPr>
                <w:rFonts w:eastAsia="Times New Roman" w:cstheme="minorHAnsi"/>
                <w:sz w:val="24"/>
                <w:szCs w:val="24"/>
              </w:rPr>
            </w:pPr>
            <w:r w:rsidRPr="00A26143">
              <w:rPr>
                <w:rFonts w:eastAsia="Times New Roman" w:cstheme="minorHAnsi"/>
                <w:sz w:val="24"/>
                <w:szCs w:val="24"/>
              </w:rPr>
              <w:t>Neutrophylls</w:t>
            </w:r>
          </w:p>
        </w:tc>
        <w:tc>
          <w:tcPr>
            <w:tcW w:w="1350" w:type="dxa"/>
          </w:tcPr>
          <w:p w14:paraId="75F97B10"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r w:rsidRPr="00A26143">
              <w:rPr>
                <w:rFonts w:cstheme="minorHAnsi"/>
                <w:sz w:val="24"/>
                <w:szCs w:val="24"/>
                <w:lang w:val="en-GB"/>
              </w:rPr>
              <w:t>0.100 (0.274)</w:t>
            </w:r>
          </w:p>
        </w:tc>
        <w:tc>
          <w:tcPr>
            <w:tcW w:w="1080" w:type="dxa"/>
          </w:tcPr>
          <w:p w14:paraId="7EF2FC23"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-0.021 (0.817)</w:t>
            </w:r>
          </w:p>
        </w:tc>
        <w:tc>
          <w:tcPr>
            <w:tcW w:w="1080" w:type="dxa"/>
            <w:shd w:val="clear" w:color="auto" w:fill="auto"/>
          </w:tcPr>
          <w:p w14:paraId="4ABFB723"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-0.065 (0.478)</w:t>
            </w:r>
          </w:p>
        </w:tc>
        <w:tc>
          <w:tcPr>
            <w:tcW w:w="1080" w:type="dxa"/>
            <w:shd w:val="clear" w:color="auto" w:fill="auto"/>
          </w:tcPr>
          <w:p w14:paraId="37E18D43"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-0.128 (0.160)</w:t>
            </w:r>
          </w:p>
        </w:tc>
        <w:tc>
          <w:tcPr>
            <w:tcW w:w="1080" w:type="dxa"/>
            <w:shd w:val="clear" w:color="auto" w:fill="auto"/>
          </w:tcPr>
          <w:p w14:paraId="62F50B1F"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0.152 (0.095)</w:t>
            </w:r>
          </w:p>
        </w:tc>
        <w:tc>
          <w:tcPr>
            <w:tcW w:w="1170" w:type="dxa"/>
          </w:tcPr>
          <w:p w14:paraId="6DB87E8C"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1</w:t>
            </w:r>
          </w:p>
        </w:tc>
        <w:tc>
          <w:tcPr>
            <w:tcW w:w="1350" w:type="dxa"/>
          </w:tcPr>
          <w:p w14:paraId="59DBBC57"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260" w:type="dxa"/>
          </w:tcPr>
          <w:p w14:paraId="5DD53CA1"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080" w:type="dxa"/>
          </w:tcPr>
          <w:p w14:paraId="5883E353"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170" w:type="dxa"/>
          </w:tcPr>
          <w:p w14:paraId="56B4C423"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r>
      <w:tr w:rsidR="0082437E" w:rsidRPr="00A26143" w14:paraId="36E26AAB" w14:textId="77777777" w:rsidTr="002B30CC">
        <w:tc>
          <w:tcPr>
            <w:tcW w:w="1908" w:type="dxa"/>
            <w:shd w:val="clear" w:color="auto" w:fill="auto"/>
            <w:vAlign w:val="bottom"/>
          </w:tcPr>
          <w:p w14:paraId="674AF9B6" w14:textId="77777777" w:rsidR="0082437E" w:rsidRPr="00A26143" w:rsidRDefault="0082437E" w:rsidP="002B30CC">
            <w:pPr>
              <w:widowControl w:val="0"/>
              <w:autoSpaceDE w:val="0"/>
              <w:autoSpaceDN w:val="0"/>
              <w:adjustRightInd w:val="0"/>
              <w:spacing w:after="0" w:line="240" w:lineRule="auto"/>
              <w:rPr>
                <w:rFonts w:eastAsia="Times New Roman" w:cstheme="minorHAnsi"/>
                <w:sz w:val="24"/>
                <w:szCs w:val="24"/>
              </w:rPr>
            </w:pPr>
            <w:r w:rsidRPr="00A26143">
              <w:rPr>
                <w:rFonts w:eastAsia="Times New Roman" w:cstheme="minorHAnsi"/>
                <w:sz w:val="24"/>
                <w:szCs w:val="24"/>
              </w:rPr>
              <w:t>Lymphocytes</w:t>
            </w:r>
          </w:p>
        </w:tc>
        <w:tc>
          <w:tcPr>
            <w:tcW w:w="1350" w:type="dxa"/>
          </w:tcPr>
          <w:p w14:paraId="425A9927"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r w:rsidRPr="00A26143">
              <w:rPr>
                <w:rFonts w:cstheme="minorHAnsi"/>
                <w:sz w:val="24"/>
                <w:szCs w:val="24"/>
                <w:lang w:val="en-GB"/>
              </w:rPr>
              <w:t>-0.097 (0.290)</w:t>
            </w:r>
          </w:p>
        </w:tc>
        <w:tc>
          <w:tcPr>
            <w:tcW w:w="1080" w:type="dxa"/>
          </w:tcPr>
          <w:p w14:paraId="28B2456F"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0.064 (0.486)</w:t>
            </w:r>
          </w:p>
        </w:tc>
        <w:tc>
          <w:tcPr>
            <w:tcW w:w="1080" w:type="dxa"/>
            <w:shd w:val="clear" w:color="auto" w:fill="auto"/>
          </w:tcPr>
          <w:p w14:paraId="5A1E8C1D"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0.120 (0.189)</w:t>
            </w:r>
          </w:p>
        </w:tc>
        <w:tc>
          <w:tcPr>
            <w:tcW w:w="1080" w:type="dxa"/>
            <w:shd w:val="clear" w:color="auto" w:fill="auto"/>
          </w:tcPr>
          <w:p w14:paraId="60F217BD"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0.157 (0.083)</w:t>
            </w:r>
          </w:p>
        </w:tc>
        <w:tc>
          <w:tcPr>
            <w:tcW w:w="1080" w:type="dxa"/>
            <w:shd w:val="clear" w:color="auto" w:fill="auto"/>
          </w:tcPr>
          <w:p w14:paraId="42859A62" w14:textId="77777777" w:rsidR="0082437E" w:rsidRPr="00A26143" w:rsidRDefault="0082437E" w:rsidP="002B30CC">
            <w:pPr>
              <w:widowControl w:val="0"/>
              <w:autoSpaceDE w:val="0"/>
              <w:autoSpaceDN w:val="0"/>
              <w:adjustRightInd w:val="0"/>
              <w:spacing w:after="0" w:line="240" w:lineRule="auto"/>
              <w:rPr>
                <w:rFonts w:cstheme="minorHAnsi"/>
                <w:b/>
                <w:color w:val="000000"/>
                <w:lang w:val="en-GB"/>
              </w:rPr>
            </w:pPr>
            <w:r w:rsidRPr="00A26143">
              <w:rPr>
                <w:rFonts w:cstheme="minorHAnsi"/>
                <w:b/>
                <w:color w:val="000000"/>
                <w:lang w:val="en-GB"/>
              </w:rPr>
              <w:t>-0.195 (0.031*)</w:t>
            </w:r>
          </w:p>
        </w:tc>
        <w:tc>
          <w:tcPr>
            <w:tcW w:w="1170" w:type="dxa"/>
          </w:tcPr>
          <w:p w14:paraId="1A806A96" w14:textId="77777777" w:rsidR="0082437E" w:rsidRPr="00A26143" w:rsidRDefault="0082437E" w:rsidP="002B30CC">
            <w:pPr>
              <w:widowControl w:val="0"/>
              <w:autoSpaceDE w:val="0"/>
              <w:autoSpaceDN w:val="0"/>
              <w:adjustRightInd w:val="0"/>
              <w:spacing w:after="0" w:line="240" w:lineRule="auto"/>
              <w:rPr>
                <w:rFonts w:cstheme="minorHAnsi"/>
                <w:b/>
                <w:color w:val="000000"/>
                <w:lang w:val="en-GB"/>
              </w:rPr>
            </w:pPr>
            <w:r w:rsidRPr="00A26143">
              <w:rPr>
                <w:rFonts w:cstheme="minorHAnsi"/>
                <w:b/>
                <w:color w:val="000000"/>
                <w:lang w:val="en-GB"/>
              </w:rPr>
              <w:t>-0.944 (0.000*)</w:t>
            </w:r>
          </w:p>
        </w:tc>
        <w:tc>
          <w:tcPr>
            <w:tcW w:w="1350" w:type="dxa"/>
          </w:tcPr>
          <w:p w14:paraId="4B85ACD2"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1</w:t>
            </w:r>
          </w:p>
        </w:tc>
        <w:tc>
          <w:tcPr>
            <w:tcW w:w="1260" w:type="dxa"/>
          </w:tcPr>
          <w:p w14:paraId="6243D432"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080" w:type="dxa"/>
          </w:tcPr>
          <w:p w14:paraId="5F306F2F"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170" w:type="dxa"/>
          </w:tcPr>
          <w:p w14:paraId="602642ED"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r>
      <w:tr w:rsidR="0082437E" w:rsidRPr="00A26143" w14:paraId="68F374F3" w14:textId="77777777" w:rsidTr="002B30CC">
        <w:tc>
          <w:tcPr>
            <w:tcW w:w="1908" w:type="dxa"/>
            <w:shd w:val="clear" w:color="auto" w:fill="auto"/>
            <w:vAlign w:val="bottom"/>
          </w:tcPr>
          <w:p w14:paraId="27230388" w14:textId="77777777" w:rsidR="0082437E" w:rsidRPr="00A26143" w:rsidRDefault="0082437E" w:rsidP="002B30CC">
            <w:pPr>
              <w:widowControl w:val="0"/>
              <w:autoSpaceDE w:val="0"/>
              <w:autoSpaceDN w:val="0"/>
              <w:adjustRightInd w:val="0"/>
              <w:spacing w:after="0" w:line="240" w:lineRule="auto"/>
              <w:rPr>
                <w:rFonts w:eastAsia="Times New Roman" w:cstheme="minorHAnsi"/>
                <w:sz w:val="24"/>
                <w:szCs w:val="24"/>
              </w:rPr>
            </w:pPr>
            <w:r w:rsidRPr="00A26143">
              <w:rPr>
                <w:rFonts w:eastAsia="Times New Roman" w:cstheme="minorHAnsi"/>
                <w:sz w:val="24"/>
                <w:szCs w:val="24"/>
              </w:rPr>
              <w:t>Monocytes</w:t>
            </w:r>
          </w:p>
        </w:tc>
        <w:tc>
          <w:tcPr>
            <w:tcW w:w="1350" w:type="dxa"/>
          </w:tcPr>
          <w:p w14:paraId="054B30FB"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r w:rsidRPr="00A26143">
              <w:rPr>
                <w:rFonts w:cstheme="minorHAnsi"/>
                <w:sz w:val="24"/>
                <w:szCs w:val="24"/>
                <w:lang w:val="en-GB"/>
              </w:rPr>
              <w:t>-0.103 (0.260)</w:t>
            </w:r>
          </w:p>
        </w:tc>
        <w:tc>
          <w:tcPr>
            <w:tcW w:w="1080" w:type="dxa"/>
          </w:tcPr>
          <w:p w14:paraId="30A2C5FB"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-0.118 (0.195)</w:t>
            </w:r>
          </w:p>
        </w:tc>
        <w:tc>
          <w:tcPr>
            <w:tcW w:w="1080" w:type="dxa"/>
            <w:shd w:val="clear" w:color="auto" w:fill="auto"/>
          </w:tcPr>
          <w:p w14:paraId="6F91FBE2"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-0.108 (0.235)</w:t>
            </w:r>
          </w:p>
        </w:tc>
        <w:tc>
          <w:tcPr>
            <w:tcW w:w="1080" w:type="dxa"/>
            <w:shd w:val="clear" w:color="auto" w:fill="auto"/>
          </w:tcPr>
          <w:p w14:paraId="4E78F4CD"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-0.086 (0.348)</w:t>
            </w:r>
          </w:p>
        </w:tc>
        <w:tc>
          <w:tcPr>
            <w:tcW w:w="1080" w:type="dxa"/>
            <w:shd w:val="clear" w:color="auto" w:fill="auto"/>
          </w:tcPr>
          <w:p w14:paraId="1154454D"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0.105 (0.251)</w:t>
            </w:r>
          </w:p>
        </w:tc>
        <w:tc>
          <w:tcPr>
            <w:tcW w:w="1170" w:type="dxa"/>
          </w:tcPr>
          <w:p w14:paraId="68F352DE" w14:textId="77777777" w:rsidR="0082437E" w:rsidRPr="00A26143" w:rsidRDefault="0082437E" w:rsidP="002B30CC">
            <w:pPr>
              <w:widowControl w:val="0"/>
              <w:autoSpaceDE w:val="0"/>
              <w:autoSpaceDN w:val="0"/>
              <w:adjustRightInd w:val="0"/>
              <w:spacing w:after="0" w:line="240" w:lineRule="auto"/>
              <w:rPr>
                <w:rFonts w:cstheme="minorHAnsi"/>
                <w:b/>
                <w:color w:val="000000"/>
                <w:lang w:val="en-GB"/>
              </w:rPr>
            </w:pPr>
            <w:r w:rsidRPr="00A26143">
              <w:rPr>
                <w:rFonts w:cstheme="minorHAnsi"/>
                <w:b/>
                <w:color w:val="000000"/>
                <w:lang w:val="en-GB"/>
              </w:rPr>
              <w:t>-0.248 (0.006*)</w:t>
            </w:r>
          </w:p>
        </w:tc>
        <w:tc>
          <w:tcPr>
            <w:tcW w:w="1350" w:type="dxa"/>
          </w:tcPr>
          <w:p w14:paraId="59BEFBD1"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0.005 (0.953)</w:t>
            </w:r>
          </w:p>
        </w:tc>
        <w:tc>
          <w:tcPr>
            <w:tcW w:w="1260" w:type="dxa"/>
          </w:tcPr>
          <w:p w14:paraId="0ECF73B8"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1</w:t>
            </w:r>
          </w:p>
        </w:tc>
        <w:tc>
          <w:tcPr>
            <w:tcW w:w="1080" w:type="dxa"/>
          </w:tcPr>
          <w:p w14:paraId="479717CF"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c>
          <w:tcPr>
            <w:tcW w:w="1170" w:type="dxa"/>
          </w:tcPr>
          <w:p w14:paraId="0A79425C"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r>
      <w:tr w:rsidR="0082437E" w:rsidRPr="00A26143" w14:paraId="3C9620EF" w14:textId="77777777" w:rsidTr="002B30CC">
        <w:tc>
          <w:tcPr>
            <w:tcW w:w="1908" w:type="dxa"/>
            <w:shd w:val="clear" w:color="auto" w:fill="auto"/>
            <w:vAlign w:val="bottom"/>
          </w:tcPr>
          <w:p w14:paraId="5EDA6A96" w14:textId="77777777" w:rsidR="0082437E" w:rsidRPr="00A26143" w:rsidRDefault="0082437E" w:rsidP="002B30CC">
            <w:pPr>
              <w:widowControl w:val="0"/>
              <w:autoSpaceDE w:val="0"/>
              <w:autoSpaceDN w:val="0"/>
              <w:adjustRightInd w:val="0"/>
              <w:spacing w:after="0" w:line="240" w:lineRule="auto"/>
              <w:rPr>
                <w:rFonts w:eastAsia="Times New Roman" w:cstheme="minorHAnsi"/>
                <w:sz w:val="24"/>
                <w:szCs w:val="24"/>
              </w:rPr>
            </w:pPr>
            <w:r w:rsidRPr="00A26143">
              <w:rPr>
                <w:rFonts w:eastAsia="Times New Roman" w:cstheme="minorHAnsi"/>
                <w:sz w:val="24"/>
                <w:szCs w:val="24"/>
              </w:rPr>
              <w:t>Eosinophil</w:t>
            </w:r>
          </w:p>
        </w:tc>
        <w:tc>
          <w:tcPr>
            <w:tcW w:w="1350" w:type="dxa"/>
          </w:tcPr>
          <w:p w14:paraId="7C37F44D"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r w:rsidRPr="00A26143">
              <w:rPr>
                <w:rFonts w:cstheme="minorHAnsi"/>
                <w:sz w:val="24"/>
                <w:szCs w:val="24"/>
                <w:lang w:val="en-GB"/>
              </w:rPr>
              <w:t>0.136 (0.134)</w:t>
            </w:r>
          </w:p>
        </w:tc>
        <w:tc>
          <w:tcPr>
            <w:tcW w:w="1080" w:type="dxa"/>
          </w:tcPr>
          <w:p w14:paraId="09A418D3"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-0.057 (0.531)</w:t>
            </w:r>
          </w:p>
        </w:tc>
        <w:tc>
          <w:tcPr>
            <w:tcW w:w="1080" w:type="dxa"/>
            <w:shd w:val="clear" w:color="auto" w:fill="auto"/>
          </w:tcPr>
          <w:p w14:paraId="77590B06"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-0.113 (0.216)</w:t>
            </w:r>
          </w:p>
        </w:tc>
        <w:tc>
          <w:tcPr>
            <w:tcW w:w="1080" w:type="dxa"/>
            <w:shd w:val="clear" w:color="auto" w:fill="auto"/>
          </w:tcPr>
          <w:p w14:paraId="2E08E41C"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-0.107 (0.240)</w:t>
            </w:r>
          </w:p>
        </w:tc>
        <w:tc>
          <w:tcPr>
            <w:tcW w:w="1080" w:type="dxa"/>
            <w:shd w:val="clear" w:color="auto" w:fill="auto"/>
          </w:tcPr>
          <w:p w14:paraId="2623D4A0"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0.026 (0.778)</w:t>
            </w:r>
          </w:p>
        </w:tc>
        <w:tc>
          <w:tcPr>
            <w:tcW w:w="1170" w:type="dxa"/>
          </w:tcPr>
          <w:p w14:paraId="47A0B86B"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0.034 (0.707)</w:t>
            </w:r>
          </w:p>
        </w:tc>
        <w:tc>
          <w:tcPr>
            <w:tcW w:w="1350" w:type="dxa"/>
          </w:tcPr>
          <w:p w14:paraId="7BCFC6D8" w14:textId="77777777" w:rsidR="0082437E" w:rsidRPr="00A26143" w:rsidRDefault="0082437E" w:rsidP="002B30CC">
            <w:pPr>
              <w:widowControl w:val="0"/>
              <w:autoSpaceDE w:val="0"/>
              <w:autoSpaceDN w:val="0"/>
              <w:adjustRightInd w:val="0"/>
              <w:spacing w:after="0" w:line="240" w:lineRule="auto"/>
              <w:rPr>
                <w:rFonts w:cstheme="minorHAnsi"/>
                <w:b/>
                <w:color w:val="000000"/>
                <w:lang w:val="en-GB"/>
              </w:rPr>
            </w:pPr>
            <w:r w:rsidRPr="00A26143">
              <w:rPr>
                <w:rFonts w:cstheme="minorHAnsi"/>
                <w:b/>
                <w:color w:val="000000"/>
                <w:lang w:val="en-GB"/>
              </w:rPr>
              <w:t>-0.231 (0.010*)</w:t>
            </w:r>
          </w:p>
        </w:tc>
        <w:tc>
          <w:tcPr>
            <w:tcW w:w="1260" w:type="dxa"/>
          </w:tcPr>
          <w:p w14:paraId="6D0C54D6"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0.061 (0.502)</w:t>
            </w:r>
          </w:p>
        </w:tc>
        <w:tc>
          <w:tcPr>
            <w:tcW w:w="1080" w:type="dxa"/>
          </w:tcPr>
          <w:p w14:paraId="0D1F8610"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1</w:t>
            </w:r>
          </w:p>
        </w:tc>
        <w:tc>
          <w:tcPr>
            <w:tcW w:w="1170" w:type="dxa"/>
          </w:tcPr>
          <w:p w14:paraId="0D66D215"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p>
        </w:tc>
      </w:tr>
      <w:tr w:rsidR="0082437E" w:rsidRPr="00A26143" w14:paraId="1C3E9153" w14:textId="77777777" w:rsidTr="002B30CC">
        <w:tc>
          <w:tcPr>
            <w:tcW w:w="1908" w:type="dxa"/>
            <w:shd w:val="clear" w:color="auto" w:fill="auto"/>
            <w:vAlign w:val="bottom"/>
          </w:tcPr>
          <w:p w14:paraId="667A383B" w14:textId="77777777" w:rsidR="0082437E" w:rsidRPr="00A26143" w:rsidRDefault="0082437E" w:rsidP="002B30CC">
            <w:pPr>
              <w:widowControl w:val="0"/>
              <w:autoSpaceDE w:val="0"/>
              <w:autoSpaceDN w:val="0"/>
              <w:adjustRightInd w:val="0"/>
              <w:spacing w:after="0" w:line="240" w:lineRule="auto"/>
              <w:rPr>
                <w:rFonts w:eastAsia="Times New Roman" w:cstheme="minorHAnsi"/>
                <w:sz w:val="24"/>
                <w:szCs w:val="24"/>
              </w:rPr>
            </w:pPr>
            <w:r w:rsidRPr="00A26143">
              <w:rPr>
                <w:rFonts w:eastAsia="Times New Roman" w:cstheme="minorHAnsi"/>
                <w:sz w:val="24"/>
                <w:szCs w:val="24"/>
              </w:rPr>
              <w:t>Basophil</w:t>
            </w:r>
          </w:p>
        </w:tc>
        <w:tc>
          <w:tcPr>
            <w:tcW w:w="1350" w:type="dxa"/>
          </w:tcPr>
          <w:p w14:paraId="79CC0D3E" w14:textId="77777777" w:rsidR="0082437E" w:rsidRPr="00A26143" w:rsidRDefault="0082437E" w:rsidP="002B30CC">
            <w:pPr>
              <w:widowControl w:val="0"/>
              <w:autoSpaceDE w:val="0"/>
              <w:autoSpaceDN w:val="0"/>
              <w:adjustRightInd w:val="0"/>
              <w:spacing w:after="0" w:line="240" w:lineRule="auto"/>
              <w:rPr>
                <w:rFonts w:cstheme="minorHAnsi"/>
                <w:sz w:val="24"/>
                <w:szCs w:val="24"/>
                <w:lang w:val="en-GB"/>
              </w:rPr>
            </w:pPr>
            <w:r w:rsidRPr="00A26143">
              <w:rPr>
                <w:rFonts w:cstheme="minorHAnsi"/>
                <w:sz w:val="24"/>
                <w:szCs w:val="24"/>
                <w:lang w:val="en-GB"/>
              </w:rPr>
              <w:t>0.017 (0.855)</w:t>
            </w:r>
          </w:p>
        </w:tc>
        <w:tc>
          <w:tcPr>
            <w:tcW w:w="1080" w:type="dxa"/>
          </w:tcPr>
          <w:p w14:paraId="2424ED40"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-0.003 (0.978)</w:t>
            </w:r>
          </w:p>
        </w:tc>
        <w:tc>
          <w:tcPr>
            <w:tcW w:w="1080" w:type="dxa"/>
            <w:shd w:val="clear" w:color="auto" w:fill="auto"/>
          </w:tcPr>
          <w:p w14:paraId="37AE6F1E"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-0.033 (0.718)</w:t>
            </w:r>
          </w:p>
        </w:tc>
        <w:tc>
          <w:tcPr>
            <w:tcW w:w="1080" w:type="dxa"/>
            <w:shd w:val="clear" w:color="auto" w:fill="auto"/>
          </w:tcPr>
          <w:p w14:paraId="39E99496"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0.068 (0.459)</w:t>
            </w:r>
          </w:p>
        </w:tc>
        <w:tc>
          <w:tcPr>
            <w:tcW w:w="1080" w:type="dxa"/>
            <w:shd w:val="clear" w:color="auto" w:fill="auto"/>
          </w:tcPr>
          <w:p w14:paraId="50F60B4B" w14:textId="77777777" w:rsidR="0082437E" w:rsidRPr="00A26143" w:rsidRDefault="0082437E" w:rsidP="002B30CC">
            <w:pPr>
              <w:widowControl w:val="0"/>
              <w:autoSpaceDE w:val="0"/>
              <w:autoSpaceDN w:val="0"/>
              <w:adjustRightInd w:val="0"/>
              <w:spacing w:after="0" w:line="240" w:lineRule="auto"/>
              <w:rPr>
                <w:rFonts w:cstheme="minorHAnsi"/>
                <w:b/>
                <w:color w:val="000000"/>
                <w:lang w:val="en-GB"/>
              </w:rPr>
            </w:pPr>
            <w:r w:rsidRPr="00A26143">
              <w:rPr>
                <w:rFonts w:cstheme="minorHAnsi"/>
                <w:b/>
                <w:color w:val="000000"/>
                <w:lang w:val="en-GB"/>
              </w:rPr>
              <w:t>0.178 (0.050*)</w:t>
            </w:r>
          </w:p>
        </w:tc>
        <w:tc>
          <w:tcPr>
            <w:tcW w:w="1170" w:type="dxa"/>
          </w:tcPr>
          <w:p w14:paraId="0A1C1D0F"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-0.024 (0.794)</w:t>
            </w:r>
          </w:p>
        </w:tc>
        <w:tc>
          <w:tcPr>
            <w:tcW w:w="1350" w:type="dxa"/>
          </w:tcPr>
          <w:p w14:paraId="73936FA2"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-0.104 (0.255)</w:t>
            </w:r>
          </w:p>
        </w:tc>
        <w:tc>
          <w:tcPr>
            <w:tcW w:w="1260" w:type="dxa"/>
          </w:tcPr>
          <w:p w14:paraId="7A2E99FA"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-0.096 (0.293)</w:t>
            </w:r>
          </w:p>
        </w:tc>
        <w:tc>
          <w:tcPr>
            <w:tcW w:w="1080" w:type="dxa"/>
          </w:tcPr>
          <w:p w14:paraId="68D5FD09"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0.153 (0.092)</w:t>
            </w:r>
          </w:p>
        </w:tc>
        <w:tc>
          <w:tcPr>
            <w:tcW w:w="1170" w:type="dxa"/>
          </w:tcPr>
          <w:p w14:paraId="74592DCA" w14:textId="77777777" w:rsidR="0082437E" w:rsidRPr="00A26143" w:rsidRDefault="0082437E" w:rsidP="002B30CC">
            <w:pPr>
              <w:widowControl w:val="0"/>
              <w:autoSpaceDE w:val="0"/>
              <w:autoSpaceDN w:val="0"/>
              <w:adjustRightInd w:val="0"/>
              <w:spacing w:after="0" w:line="240" w:lineRule="auto"/>
              <w:rPr>
                <w:rFonts w:cstheme="minorHAnsi"/>
                <w:color w:val="000000"/>
                <w:lang w:val="en-GB"/>
              </w:rPr>
            </w:pPr>
            <w:r w:rsidRPr="00A26143">
              <w:rPr>
                <w:rFonts w:cstheme="minorHAnsi"/>
                <w:color w:val="000000"/>
                <w:lang w:val="en-GB"/>
              </w:rPr>
              <w:t>1</w:t>
            </w:r>
          </w:p>
        </w:tc>
      </w:tr>
    </w:tbl>
    <w:p w14:paraId="2759E935" w14:textId="77777777" w:rsidR="0082437E" w:rsidRPr="00A26143" w:rsidRDefault="0082437E" w:rsidP="0082437E">
      <w:pPr>
        <w:rPr>
          <w:rFonts w:cstheme="minorHAnsi"/>
          <w:b/>
          <w:sz w:val="24"/>
          <w:szCs w:val="24"/>
        </w:rPr>
      </w:pPr>
      <w:r w:rsidRPr="00A26143">
        <w:rPr>
          <w:rFonts w:cstheme="minorHAnsi"/>
        </w:rPr>
        <w:t>*p&lt;0.05 (i.e. Significant).</w:t>
      </w:r>
    </w:p>
    <w:p w14:paraId="3F5457BE" w14:textId="77777777" w:rsidR="00444C54" w:rsidRPr="00A26143" w:rsidRDefault="00444C54" w:rsidP="0082437E">
      <w:pPr>
        <w:autoSpaceDE w:val="0"/>
        <w:autoSpaceDN w:val="0"/>
        <w:adjustRightInd w:val="0"/>
        <w:spacing w:after="0" w:line="480" w:lineRule="auto"/>
        <w:contextualSpacing/>
        <w:jc w:val="both"/>
        <w:rPr>
          <w:rFonts w:cstheme="minorHAnsi"/>
          <w:b/>
          <w:sz w:val="24"/>
          <w:szCs w:val="24"/>
        </w:rPr>
      </w:pPr>
    </w:p>
    <w:p w14:paraId="21B6E46C" w14:textId="77777777" w:rsidR="00444C54" w:rsidRPr="00A26143" w:rsidRDefault="00444C54" w:rsidP="00444C54">
      <w:pPr>
        <w:rPr>
          <w:rFonts w:cstheme="minorHAnsi"/>
          <w:b/>
          <w:sz w:val="24"/>
          <w:szCs w:val="24"/>
        </w:rPr>
      </w:pPr>
      <w:r w:rsidRPr="00A26143">
        <w:rPr>
          <w:rFonts w:cstheme="minorHAnsi"/>
          <w:b/>
          <w:sz w:val="24"/>
          <w:szCs w:val="24"/>
        </w:rPr>
        <w:t>3.3</w:t>
      </w:r>
      <w:r w:rsidRPr="00A26143">
        <w:rPr>
          <w:rFonts w:cstheme="minorHAnsi"/>
          <w:b/>
          <w:sz w:val="24"/>
          <w:szCs w:val="24"/>
        </w:rPr>
        <w:tab/>
        <w:t>RELATIONSHIP BETWEEN SEX AND HAMATOLOGICAL PARAMETERS OF TEST SUBJECTS</w:t>
      </w:r>
    </w:p>
    <w:p w14:paraId="0065D942" w14:textId="2D909D00" w:rsidR="00444C54" w:rsidRPr="00A26143" w:rsidRDefault="00444C54" w:rsidP="00444C54">
      <w:pPr>
        <w:autoSpaceDE w:val="0"/>
        <w:autoSpaceDN w:val="0"/>
        <w:adjustRightInd w:val="0"/>
        <w:spacing w:after="0" w:line="480" w:lineRule="auto"/>
        <w:contextualSpacing/>
        <w:jc w:val="both"/>
        <w:rPr>
          <w:rFonts w:cstheme="minorHAnsi"/>
          <w:sz w:val="24"/>
          <w:szCs w:val="24"/>
          <w:highlight w:val="yellow"/>
        </w:rPr>
      </w:pPr>
      <w:r w:rsidRPr="00A26143">
        <w:rPr>
          <w:rFonts w:cstheme="minorHAnsi"/>
          <w:sz w:val="24"/>
          <w:szCs w:val="24"/>
        </w:rPr>
        <w:t xml:space="preserve">The table below showed that there was a significant difference between the Haematological Parameters (Eosinophil) of sickle cell patients in relation to sex (p=0.007) as shown in table </w:t>
      </w:r>
      <w:r w:rsidR="00661EAD">
        <w:rPr>
          <w:rFonts w:cstheme="minorHAnsi"/>
          <w:sz w:val="24"/>
          <w:szCs w:val="24"/>
        </w:rPr>
        <w:t>3</w:t>
      </w:r>
      <w:r w:rsidRPr="00A26143">
        <w:rPr>
          <w:rFonts w:cstheme="minorHAnsi"/>
          <w:sz w:val="24"/>
          <w:szCs w:val="24"/>
        </w:rPr>
        <w:t>; with male sickle cell patients having a higher mean Eosinophil value. However, there were no significant differences between the Hamatological Parameters (PCV, Hb, WBC, Platelets counts, Neutrophils, Lymphocytes, Monocytes and Basophil) of sickle cell patients in relation to sex of these patients (p&gt;0.05).</w:t>
      </w:r>
    </w:p>
    <w:p w14:paraId="5E4C5A2B" w14:textId="77777777" w:rsidR="00444C54" w:rsidRPr="00A26143" w:rsidRDefault="00444C54" w:rsidP="0082437E">
      <w:pPr>
        <w:autoSpaceDE w:val="0"/>
        <w:autoSpaceDN w:val="0"/>
        <w:adjustRightInd w:val="0"/>
        <w:spacing w:after="0" w:line="480" w:lineRule="auto"/>
        <w:contextualSpacing/>
        <w:jc w:val="both"/>
        <w:rPr>
          <w:rFonts w:cstheme="minorHAnsi"/>
          <w:b/>
          <w:sz w:val="24"/>
          <w:szCs w:val="24"/>
        </w:rPr>
      </w:pPr>
    </w:p>
    <w:p w14:paraId="322C0F5F" w14:textId="77777777" w:rsidR="00444C54" w:rsidRPr="00A26143" w:rsidRDefault="00444C54" w:rsidP="0082437E">
      <w:pPr>
        <w:autoSpaceDE w:val="0"/>
        <w:autoSpaceDN w:val="0"/>
        <w:adjustRightInd w:val="0"/>
        <w:spacing w:after="0" w:line="480" w:lineRule="auto"/>
        <w:contextualSpacing/>
        <w:jc w:val="both"/>
        <w:rPr>
          <w:rFonts w:cstheme="minorHAnsi"/>
          <w:b/>
          <w:sz w:val="24"/>
          <w:szCs w:val="24"/>
        </w:rPr>
      </w:pPr>
    </w:p>
    <w:p w14:paraId="5F567904" w14:textId="77777777" w:rsidR="00444C54" w:rsidRPr="00A26143" w:rsidRDefault="00444C54" w:rsidP="0082437E">
      <w:pPr>
        <w:autoSpaceDE w:val="0"/>
        <w:autoSpaceDN w:val="0"/>
        <w:adjustRightInd w:val="0"/>
        <w:spacing w:after="0" w:line="480" w:lineRule="auto"/>
        <w:contextualSpacing/>
        <w:jc w:val="both"/>
        <w:rPr>
          <w:rFonts w:cstheme="minorHAnsi"/>
          <w:b/>
          <w:sz w:val="24"/>
          <w:szCs w:val="24"/>
        </w:rPr>
      </w:pPr>
    </w:p>
    <w:p w14:paraId="136D6F90" w14:textId="77777777" w:rsidR="00444C54" w:rsidRPr="00A26143" w:rsidRDefault="00444C54" w:rsidP="0082437E">
      <w:pPr>
        <w:autoSpaceDE w:val="0"/>
        <w:autoSpaceDN w:val="0"/>
        <w:adjustRightInd w:val="0"/>
        <w:spacing w:after="0" w:line="480" w:lineRule="auto"/>
        <w:contextualSpacing/>
        <w:jc w:val="both"/>
        <w:rPr>
          <w:rFonts w:cstheme="minorHAnsi"/>
          <w:b/>
          <w:sz w:val="24"/>
          <w:szCs w:val="24"/>
        </w:rPr>
      </w:pPr>
    </w:p>
    <w:p w14:paraId="65A4460F" w14:textId="7FBC7ABD" w:rsidR="00444C54" w:rsidRPr="00A26143" w:rsidRDefault="00444C54" w:rsidP="00444C54">
      <w:pPr>
        <w:jc w:val="both"/>
        <w:rPr>
          <w:rFonts w:cstheme="minorHAnsi"/>
          <w:sz w:val="24"/>
          <w:szCs w:val="24"/>
        </w:rPr>
      </w:pPr>
      <w:r w:rsidRPr="00A26143">
        <w:rPr>
          <w:rFonts w:cstheme="minorHAnsi"/>
          <w:b/>
          <w:sz w:val="24"/>
          <w:szCs w:val="24"/>
        </w:rPr>
        <w:lastRenderedPageBreak/>
        <w:t>TABLE 3: RELATIONSHIP BETWEEN SEX AND HAMATOLOGICAL PARAMETERS OF TEST SUBJECTS (n=122)</w:t>
      </w:r>
    </w:p>
    <w:tbl>
      <w:tblPr>
        <w:tblW w:w="9558" w:type="dxa"/>
        <w:tblBorders>
          <w:top w:val="single" w:sz="4" w:space="0" w:color="auto"/>
          <w:bottom w:val="single" w:sz="4" w:space="0" w:color="auto"/>
        </w:tblBorders>
        <w:tblLayout w:type="fixed"/>
        <w:tblLook w:val="04A0" w:firstRow="1" w:lastRow="0" w:firstColumn="1" w:lastColumn="0" w:noHBand="0" w:noVBand="1"/>
      </w:tblPr>
      <w:tblGrid>
        <w:gridCol w:w="1998"/>
        <w:gridCol w:w="1800"/>
        <w:gridCol w:w="1800"/>
        <w:gridCol w:w="1080"/>
        <w:gridCol w:w="1080"/>
        <w:gridCol w:w="1800"/>
      </w:tblGrid>
      <w:tr w:rsidR="00444C54" w:rsidRPr="00A26143" w14:paraId="0C88CD5E" w14:textId="77777777" w:rsidTr="002B30CC">
        <w:tc>
          <w:tcPr>
            <w:tcW w:w="1998" w:type="dxa"/>
            <w:shd w:val="clear" w:color="auto" w:fill="auto"/>
          </w:tcPr>
          <w:p w14:paraId="6A209021" w14:textId="77777777" w:rsidR="00444C54" w:rsidRPr="00A26143" w:rsidRDefault="00097854" w:rsidP="002B30CC">
            <w:pPr>
              <w:widowControl w:val="0"/>
              <w:autoSpaceDE w:val="0"/>
              <w:autoSpaceDN w:val="0"/>
              <w:adjustRightInd w:val="0"/>
              <w:spacing w:after="0" w:line="360" w:lineRule="auto"/>
              <w:rPr>
                <w:rFonts w:cstheme="minorHAnsi"/>
                <w:b/>
                <w:sz w:val="24"/>
                <w:szCs w:val="24"/>
                <w:lang w:val="en-GB"/>
              </w:rPr>
            </w:pPr>
            <w:r>
              <w:rPr>
                <w:rFonts w:cstheme="minorHAnsi"/>
                <w:b/>
                <w:sz w:val="24"/>
                <w:szCs w:val="24"/>
                <w:lang w:val="en-GB"/>
              </w:rPr>
              <w:t>He</w:t>
            </w:r>
            <w:r w:rsidR="00444C54" w:rsidRPr="00A26143">
              <w:rPr>
                <w:rFonts w:cstheme="minorHAnsi"/>
                <w:b/>
                <w:sz w:val="24"/>
                <w:szCs w:val="24"/>
                <w:lang w:val="en-GB"/>
              </w:rPr>
              <w:t>matological Parameters</w:t>
            </w:r>
          </w:p>
        </w:tc>
        <w:tc>
          <w:tcPr>
            <w:tcW w:w="3600" w:type="dxa"/>
            <w:gridSpan w:val="2"/>
            <w:shd w:val="clear" w:color="auto" w:fill="auto"/>
          </w:tcPr>
          <w:p w14:paraId="7E46244A" w14:textId="77777777" w:rsidR="00444C54" w:rsidRPr="00A26143" w:rsidRDefault="00444C54" w:rsidP="002B30CC">
            <w:pPr>
              <w:widowControl w:val="0"/>
              <w:autoSpaceDE w:val="0"/>
              <w:autoSpaceDN w:val="0"/>
              <w:adjustRightInd w:val="0"/>
              <w:spacing w:after="0" w:line="360" w:lineRule="auto"/>
              <w:jc w:val="center"/>
              <w:rPr>
                <w:rFonts w:cstheme="minorHAnsi"/>
                <w:b/>
                <w:sz w:val="24"/>
                <w:szCs w:val="24"/>
                <w:lang w:val="en-GB"/>
              </w:rPr>
            </w:pPr>
            <w:r w:rsidRPr="00A26143">
              <w:rPr>
                <w:rFonts w:cstheme="minorHAnsi"/>
                <w:b/>
                <w:sz w:val="24"/>
                <w:szCs w:val="24"/>
                <w:lang w:val="en-GB"/>
              </w:rPr>
              <w:t>SEX</w:t>
            </w:r>
          </w:p>
        </w:tc>
        <w:tc>
          <w:tcPr>
            <w:tcW w:w="1080" w:type="dxa"/>
            <w:shd w:val="clear" w:color="auto" w:fill="auto"/>
          </w:tcPr>
          <w:p w14:paraId="63EB3712" w14:textId="77777777" w:rsidR="00444C54" w:rsidRPr="00A26143" w:rsidRDefault="00444C54" w:rsidP="002B30CC">
            <w:pPr>
              <w:widowControl w:val="0"/>
              <w:autoSpaceDE w:val="0"/>
              <w:autoSpaceDN w:val="0"/>
              <w:adjustRightInd w:val="0"/>
              <w:spacing w:after="0" w:line="360" w:lineRule="auto"/>
              <w:rPr>
                <w:rFonts w:cstheme="minorHAnsi"/>
                <w:b/>
                <w:sz w:val="24"/>
                <w:szCs w:val="24"/>
                <w:lang w:val="en-GB"/>
              </w:rPr>
            </w:pPr>
            <w:r w:rsidRPr="00A26143">
              <w:rPr>
                <w:rFonts w:cstheme="minorHAnsi"/>
                <w:b/>
                <w:sz w:val="24"/>
                <w:szCs w:val="24"/>
                <w:lang w:val="en-GB"/>
              </w:rPr>
              <w:t>t-test</w:t>
            </w:r>
          </w:p>
        </w:tc>
        <w:tc>
          <w:tcPr>
            <w:tcW w:w="1080" w:type="dxa"/>
            <w:shd w:val="clear" w:color="auto" w:fill="auto"/>
          </w:tcPr>
          <w:p w14:paraId="51ACA80C" w14:textId="77777777" w:rsidR="00444C54" w:rsidRPr="00A26143" w:rsidRDefault="00444C54" w:rsidP="002B30CC">
            <w:pPr>
              <w:widowControl w:val="0"/>
              <w:autoSpaceDE w:val="0"/>
              <w:autoSpaceDN w:val="0"/>
              <w:adjustRightInd w:val="0"/>
              <w:spacing w:after="0" w:line="360" w:lineRule="auto"/>
              <w:rPr>
                <w:rFonts w:cstheme="minorHAnsi"/>
                <w:b/>
                <w:sz w:val="24"/>
                <w:szCs w:val="24"/>
                <w:lang w:val="en-GB"/>
              </w:rPr>
            </w:pPr>
            <w:r w:rsidRPr="00A26143">
              <w:rPr>
                <w:rFonts w:cstheme="minorHAnsi"/>
                <w:b/>
                <w:sz w:val="24"/>
                <w:szCs w:val="24"/>
                <w:lang w:val="en-GB"/>
              </w:rPr>
              <w:t>p-value</w:t>
            </w:r>
          </w:p>
        </w:tc>
        <w:tc>
          <w:tcPr>
            <w:tcW w:w="1800" w:type="dxa"/>
          </w:tcPr>
          <w:p w14:paraId="67B7AD86" w14:textId="77777777" w:rsidR="00444C54" w:rsidRPr="00A26143" w:rsidRDefault="00444C54" w:rsidP="002B30CC">
            <w:pPr>
              <w:widowControl w:val="0"/>
              <w:autoSpaceDE w:val="0"/>
              <w:autoSpaceDN w:val="0"/>
              <w:adjustRightInd w:val="0"/>
              <w:spacing w:after="0" w:line="360" w:lineRule="auto"/>
              <w:rPr>
                <w:rFonts w:cstheme="minorHAnsi"/>
                <w:b/>
                <w:sz w:val="24"/>
                <w:szCs w:val="24"/>
                <w:lang w:val="en-GB"/>
              </w:rPr>
            </w:pPr>
            <w:r w:rsidRPr="00A26143">
              <w:rPr>
                <w:rFonts w:cstheme="minorHAnsi"/>
                <w:b/>
                <w:sz w:val="24"/>
                <w:szCs w:val="24"/>
                <w:lang w:val="en-GB"/>
              </w:rPr>
              <w:t>Remark</w:t>
            </w:r>
          </w:p>
        </w:tc>
      </w:tr>
      <w:tr w:rsidR="00444C54" w:rsidRPr="00A26143" w14:paraId="0BA21DB1" w14:textId="77777777" w:rsidTr="002B30CC">
        <w:tc>
          <w:tcPr>
            <w:tcW w:w="1998" w:type="dxa"/>
            <w:shd w:val="clear" w:color="auto" w:fill="auto"/>
            <w:vAlign w:val="bottom"/>
          </w:tcPr>
          <w:p w14:paraId="773B40E6"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p>
        </w:tc>
        <w:tc>
          <w:tcPr>
            <w:tcW w:w="1800" w:type="dxa"/>
            <w:shd w:val="clear" w:color="auto" w:fill="auto"/>
          </w:tcPr>
          <w:p w14:paraId="3735A8C6"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Male (n=64)</w:t>
            </w:r>
          </w:p>
        </w:tc>
        <w:tc>
          <w:tcPr>
            <w:tcW w:w="1800" w:type="dxa"/>
            <w:shd w:val="clear" w:color="auto" w:fill="auto"/>
          </w:tcPr>
          <w:p w14:paraId="20987917"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Female (n=58)</w:t>
            </w:r>
          </w:p>
        </w:tc>
        <w:tc>
          <w:tcPr>
            <w:tcW w:w="1080" w:type="dxa"/>
            <w:shd w:val="clear" w:color="auto" w:fill="auto"/>
          </w:tcPr>
          <w:p w14:paraId="146A33EF"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p>
        </w:tc>
        <w:tc>
          <w:tcPr>
            <w:tcW w:w="1080" w:type="dxa"/>
            <w:shd w:val="clear" w:color="auto" w:fill="auto"/>
          </w:tcPr>
          <w:p w14:paraId="495723BA"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p>
        </w:tc>
        <w:tc>
          <w:tcPr>
            <w:tcW w:w="1800" w:type="dxa"/>
          </w:tcPr>
          <w:p w14:paraId="2F02707C"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p>
        </w:tc>
      </w:tr>
      <w:tr w:rsidR="00444C54" w:rsidRPr="00A26143" w14:paraId="7149F441" w14:textId="77777777" w:rsidTr="002B30CC">
        <w:tc>
          <w:tcPr>
            <w:tcW w:w="1998" w:type="dxa"/>
            <w:tcBorders>
              <w:bottom w:val="single" w:sz="6" w:space="0" w:color="auto"/>
            </w:tcBorders>
            <w:shd w:val="clear" w:color="auto" w:fill="auto"/>
            <w:vAlign w:val="bottom"/>
          </w:tcPr>
          <w:p w14:paraId="6559BE34"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p>
        </w:tc>
        <w:tc>
          <w:tcPr>
            <w:tcW w:w="1800" w:type="dxa"/>
            <w:tcBorders>
              <w:bottom w:val="single" w:sz="6" w:space="0" w:color="auto"/>
            </w:tcBorders>
            <w:shd w:val="clear" w:color="auto" w:fill="auto"/>
          </w:tcPr>
          <w:p w14:paraId="3EE2C5DB"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Mean (±SD)</w:t>
            </w:r>
          </w:p>
        </w:tc>
        <w:tc>
          <w:tcPr>
            <w:tcW w:w="1800" w:type="dxa"/>
            <w:tcBorders>
              <w:bottom w:val="single" w:sz="6" w:space="0" w:color="auto"/>
            </w:tcBorders>
            <w:shd w:val="clear" w:color="auto" w:fill="auto"/>
          </w:tcPr>
          <w:p w14:paraId="1CCD2ACB"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Mean (±SD)</w:t>
            </w:r>
          </w:p>
        </w:tc>
        <w:tc>
          <w:tcPr>
            <w:tcW w:w="1080" w:type="dxa"/>
            <w:tcBorders>
              <w:bottom w:val="single" w:sz="6" w:space="0" w:color="auto"/>
            </w:tcBorders>
            <w:shd w:val="clear" w:color="auto" w:fill="auto"/>
          </w:tcPr>
          <w:p w14:paraId="05EF651F"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p>
        </w:tc>
        <w:tc>
          <w:tcPr>
            <w:tcW w:w="1080" w:type="dxa"/>
            <w:tcBorders>
              <w:bottom w:val="single" w:sz="6" w:space="0" w:color="auto"/>
            </w:tcBorders>
            <w:shd w:val="clear" w:color="auto" w:fill="auto"/>
          </w:tcPr>
          <w:p w14:paraId="4C0712A7"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p>
        </w:tc>
        <w:tc>
          <w:tcPr>
            <w:tcW w:w="1800" w:type="dxa"/>
            <w:tcBorders>
              <w:bottom w:val="single" w:sz="6" w:space="0" w:color="auto"/>
            </w:tcBorders>
          </w:tcPr>
          <w:p w14:paraId="466379F1"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p>
        </w:tc>
      </w:tr>
      <w:tr w:rsidR="00444C54" w:rsidRPr="00A26143" w14:paraId="3CC79D71" w14:textId="77777777" w:rsidTr="002B30CC">
        <w:tc>
          <w:tcPr>
            <w:tcW w:w="1998" w:type="dxa"/>
            <w:tcBorders>
              <w:top w:val="single" w:sz="6" w:space="0" w:color="auto"/>
            </w:tcBorders>
            <w:shd w:val="clear" w:color="auto" w:fill="auto"/>
            <w:vAlign w:val="bottom"/>
          </w:tcPr>
          <w:p w14:paraId="3D2C5C6C"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Age</w:t>
            </w:r>
          </w:p>
        </w:tc>
        <w:tc>
          <w:tcPr>
            <w:tcW w:w="1800" w:type="dxa"/>
            <w:tcBorders>
              <w:top w:val="single" w:sz="6" w:space="0" w:color="auto"/>
            </w:tcBorders>
            <w:shd w:val="clear" w:color="auto" w:fill="auto"/>
          </w:tcPr>
          <w:p w14:paraId="69E269FB"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32.86 ± 7.74</w:t>
            </w:r>
          </w:p>
        </w:tc>
        <w:tc>
          <w:tcPr>
            <w:tcW w:w="1800" w:type="dxa"/>
            <w:tcBorders>
              <w:top w:val="single" w:sz="6" w:space="0" w:color="auto"/>
            </w:tcBorders>
            <w:shd w:val="clear" w:color="auto" w:fill="auto"/>
          </w:tcPr>
          <w:p w14:paraId="2E08BEB7"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30.41 ± 7.53</w:t>
            </w:r>
          </w:p>
        </w:tc>
        <w:tc>
          <w:tcPr>
            <w:tcW w:w="1080" w:type="dxa"/>
            <w:tcBorders>
              <w:top w:val="single" w:sz="6" w:space="0" w:color="auto"/>
            </w:tcBorders>
            <w:shd w:val="clear" w:color="auto" w:fill="auto"/>
          </w:tcPr>
          <w:p w14:paraId="208947FA"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1.765</w:t>
            </w:r>
          </w:p>
        </w:tc>
        <w:tc>
          <w:tcPr>
            <w:tcW w:w="1080" w:type="dxa"/>
            <w:tcBorders>
              <w:top w:val="single" w:sz="6" w:space="0" w:color="auto"/>
            </w:tcBorders>
            <w:shd w:val="clear" w:color="auto" w:fill="auto"/>
          </w:tcPr>
          <w:p w14:paraId="4D9AFEF6"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0.080</w:t>
            </w:r>
          </w:p>
        </w:tc>
        <w:tc>
          <w:tcPr>
            <w:tcW w:w="1800" w:type="dxa"/>
            <w:tcBorders>
              <w:top w:val="single" w:sz="6" w:space="0" w:color="auto"/>
            </w:tcBorders>
          </w:tcPr>
          <w:p w14:paraId="4E340599"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eastAsia="Times New Roman" w:cstheme="minorHAnsi"/>
                <w:sz w:val="24"/>
                <w:szCs w:val="24"/>
              </w:rPr>
              <w:t>Not Significant</w:t>
            </w:r>
          </w:p>
        </w:tc>
      </w:tr>
      <w:tr w:rsidR="00444C54" w:rsidRPr="00A26143" w14:paraId="18E5BC6A" w14:textId="77777777" w:rsidTr="002B30CC">
        <w:tc>
          <w:tcPr>
            <w:tcW w:w="1998" w:type="dxa"/>
            <w:shd w:val="clear" w:color="auto" w:fill="auto"/>
            <w:vAlign w:val="bottom"/>
          </w:tcPr>
          <w:p w14:paraId="50EFD03E"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Hb</w:t>
            </w:r>
          </w:p>
        </w:tc>
        <w:tc>
          <w:tcPr>
            <w:tcW w:w="1800" w:type="dxa"/>
            <w:shd w:val="clear" w:color="auto" w:fill="auto"/>
          </w:tcPr>
          <w:p w14:paraId="1B14AC59"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7.77 ± 2.13</w:t>
            </w:r>
          </w:p>
        </w:tc>
        <w:tc>
          <w:tcPr>
            <w:tcW w:w="1800" w:type="dxa"/>
            <w:shd w:val="clear" w:color="auto" w:fill="auto"/>
          </w:tcPr>
          <w:p w14:paraId="0324934D"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7.72 ± 2.22</w:t>
            </w:r>
          </w:p>
        </w:tc>
        <w:tc>
          <w:tcPr>
            <w:tcW w:w="1080" w:type="dxa"/>
            <w:shd w:val="clear" w:color="auto" w:fill="auto"/>
          </w:tcPr>
          <w:p w14:paraId="2D339098"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0.127</w:t>
            </w:r>
          </w:p>
        </w:tc>
        <w:tc>
          <w:tcPr>
            <w:tcW w:w="1080" w:type="dxa"/>
            <w:shd w:val="clear" w:color="auto" w:fill="auto"/>
          </w:tcPr>
          <w:p w14:paraId="2E3EE3B9"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0.899</w:t>
            </w:r>
          </w:p>
        </w:tc>
        <w:tc>
          <w:tcPr>
            <w:tcW w:w="1800" w:type="dxa"/>
          </w:tcPr>
          <w:p w14:paraId="3DB30C25"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Not Significant</w:t>
            </w:r>
          </w:p>
        </w:tc>
      </w:tr>
      <w:tr w:rsidR="00444C54" w:rsidRPr="00A26143" w14:paraId="6873584F" w14:textId="77777777" w:rsidTr="002B30CC">
        <w:tc>
          <w:tcPr>
            <w:tcW w:w="1998" w:type="dxa"/>
            <w:shd w:val="clear" w:color="auto" w:fill="auto"/>
            <w:vAlign w:val="bottom"/>
          </w:tcPr>
          <w:p w14:paraId="4079E13C"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PCV</w:t>
            </w:r>
          </w:p>
        </w:tc>
        <w:tc>
          <w:tcPr>
            <w:tcW w:w="1800" w:type="dxa"/>
            <w:shd w:val="clear" w:color="auto" w:fill="auto"/>
          </w:tcPr>
          <w:p w14:paraId="1EC29384"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22.78 ± 5.95</w:t>
            </w:r>
          </w:p>
        </w:tc>
        <w:tc>
          <w:tcPr>
            <w:tcW w:w="1800" w:type="dxa"/>
            <w:shd w:val="clear" w:color="auto" w:fill="auto"/>
          </w:tcPr>
          <w:p w14:paraId="29A1E4D4"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22.01 ± 5.51</w:t>
            </w:r>
          </w:p>
        </w:tc>
        <w:tc>
          <w:tcPr>
            <w:tcW w:w="1080" w:type="dxa"/>
            <w:shd w:val="clear" w:color="auto" w:fill="auto"/>
          </w:tcPr>
          <w:p w14:paraId="42D4637F"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0.738</w:t>
            </w:r>
          </w:p>
        </w:tc>
        <w:tc>
          <w:tcPr>
            <w:tcW w:w="1080" w:type="dxa"/>
            <w:shd w:val="clear" w:color="auto" w:fill="auto"/>
          </w:tcPr>
          <w:p w14:paraId="68F9C7BD"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0.462</w:t>
            </w:r>
          </w:p>
        </w:tc>
        <w:tc>
          <w:tcPr>
            <w:tcW w:w="1800" w:type="dxa"/>
          </w:tcPr>
          <w:p w14:paraId="51709E3D"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eastAsia="Times New Roman" w:cstheme="minorHAnsi"/>
                <w:sz w:val="24"/>
                <w:szCs w:val="24"/>
              </w:rPr>
              <w:t>Not Significant</w:t>
            </w:r>
          </w:p>
        </w:tc>
      </w:tr>
      <w:tr w:rsidR="00444C54" w:rsidRPr="00A26143" w14:paraId="37FC6B4B" w14:textId="77777777" w:rsidTr="002B30CC">
        <w:tc>
          <w:tcPr>
            <w:tcW w:w="1998" w:type="dxa"/>
            <w:shd w:val="clear" w:color="auto" w:fill="auto"/>
            <w:vAlign w:val="bottom"/>
          </w:tcPr>
          <w:p w14:paraId="2C0FB9D9"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WBC (10^3)</w:t>
            </w:r>
          </w:p>
        </w:tc>
        <w:tc>
          <w:tcPr>
            <w:tcW w:w="1800" w:type="dxa"/>
            <w:shd w:val="clear" w:color="auto" w:fill="auto"/>
          </w:tcPr>
          <w:p w14:paraId="725989ED"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11.60 ± 8.04</w:t>
            </w:r>
          </w:p>
        </w:tc>
        <w:tc>
          <w:tcPr>
            <w:tcW w:w="1800" w:type="dxa"/>
            <w:shd w:val="clear" w:color="auto" w:fill="auto"/>
          </w:tcPr>
          <w:p w14:paraId="700D4FF7"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11.11 ± 4.48</w:t>
            </w:r>
          </w:p>
        </w:tc>
        <w:tc>
          <w:tcPr>
            <w:tcW w:w="1080" w:type="dxa"/>
            <w:shd w:val="clear" w:color="auto" w:fill="auto"/>
          </w:tcPr>
          <w:p w14:paraId="49C1B522"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0.412</w:t>
            </w:r>
          </w:p>
        </w:tc>
        <w:tc>
          <w:tcPr>
            <w:tcW w:w="1080" w:type="dxa"/>
            <w:shd w:val="clear" w:color="auto" w:fill="auto"/>
          </w:tcPr>
          <w:p w14:paraId="274EC3AD"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0.681</w:t>
            </w:r>
          </w:p>
        </w:tc>
        <w:tc>
          <w:tcPr>
            <w:tcW w:w="1800" w:type="dxa"/>
          </w:tcPr>
          <w:p w14:paraId="13B59406"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Not Significant</w:t>
            </w:r>
          </w:p>
        </w:tc>
      </w:tr>
      <w:tr w:rsidR="00444C54" w:rsidRPr="00A26143" w14:paraId="6D677067" w14:textId="77777777" w:rsidTr="002B30CC">
        <w:tc>
          <w:tcPr>
            <w:tcW w:w="1998" w:type="dxa"/>
            <w:shd w:val="clear" w:color="auto" w:fill="auto"/>
            <w:vAlign w:val="bottom"/>
          </w:tcPr>
          <w:p w14:paraId="69ACF02A"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Platelets</w:t>
            </w:r>
          </w:p>
        </w:tc>
        <w:tc>
          <w:tcPr>
            <w:tcW w:w="1800" w:type="dxa"/>
            <w:shd w:val="clear" w:color="auto" w:fill="auto"/>
          </w:tcPr>
          <w:p w14:paraId="2A8665E2"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360.53 ± 154.67</w:t>
            </w:r>
          </w:p>
        </w:tc>
        <w:tc>
          <w:tcPr>
            <w:tcW w:w="1800" w:type="dxa"/>
            <w:shd w:val="clear" w:color="auto" w:fill="auto"/>
          </w:tcPr>
          <w:p w14:paraId="00FF54CA"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341.79 ± 153.90</w:t>
            </w:r>
          </w:p>
        </w:tc>
        <w:tc>
          <w:tcPr>
            <w:tcW w:w="1080" w:type="dxa"/>
            <w:shd w:val="clear" w:color="auto" w:fill="auto"/>
          </w:tcPr>
          <w:p w14:paraId="5E647A02"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0.670</w:t>
            </w:r>
          </w:p>
        </w:tc>
        <w:tc>
          <w:tcPr>
            <w:tcW w:w="1080" w:type="dxa"/>
            <w:shd w:val="clear" w:color="auto" w:fill="auto"/>
          </w:tcPr>
          <w:p w14:paraId="4FA99A82"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0.504</w:t>
            </w:r>
          </w:p>
        </w:tc>
        <w:tc>
          <w:tcPr>
            <w:tcW w:w="1800" w:type="dxa"/>
          </w:tcPr>
          <w:p w14:paraId="3899553A"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Not Significant</w:t>
            </w:r>
          </w:p>
        </w:tc>
      </w:tr>
      <w:tr w:rsidR="00444C54" w:rsidRPr="00A26143" w14:paraId="324A9C20" w14:textId="77777777" w:rsidTr="002B30CC">
        <w:tc>
          <w:tcPr>
            <w:tcW w:w="1998" w:type="dxa"/>
            <w:shd w:val="clear" w:color="auto" w:fill="auto"/>
            <w:vAlign w:val="bottom"/>
          </w:tcPr>
          <w:p w14:paraId="3450138F"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Neutrophylls</w:t>
            </w:r>
          </w:p>
        </w:tc>
        <w:tc>
          <w:tcPr>
            <w:tcW w:w="1800" w:type="dxa"/>
            <w:shd w:val="clear" w:color="auto" w:fill="auto"/>
          </w:tcPr>
          <w:p w14:paraId="7F0B1D67"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49.12 ± 15.00</w:t>
            </w:r>
          </w:p>
        </w:tc>
        <w:tc>
          <w:tcPr>
            <w:tcW w:w="1800" w:type="dxa"/>
            <w:shd w:val="clear" w:color="auto" w:fill="auto"/>
          </w:tcPr>
          <w:p w14:paraId="6873EB0E"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49.52 ± 14.76</w:t>
            </w:r>
          </w:p>
        </w:tc>
        <w:tc>
          <w:tcPr>
            <w:tcW w:w="1080" w:type="dxa"/>
            <w:shd w:val="clear" w:color="auto" w:fill="auto"/>
          </w:tcPr>
          <w:p w14:paraId="420D74FE"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0.146</w:t>
            </w:r>
          </w:p>
        </w:tc>
        <w:tc>
          <w:tcPr>
            <w:tcW w:w="1080" w:type="dxa"/>
            <w:shd w:val="clear" w:color="auto" w:fill="auto"/>
          </w:tcPr>
          <w:p w14:paraId="194E063F"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0.884</w:t>
            </w:r>
          </w:p>
        </w:tc>
        <w:tc>
          <w:tcPr>
            <w:tcW w:w="1800" w:type="dxa"/>
          </w:tcPr>
          <w:p w14:paraId="61526DC9"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Not Significant</w:t>
            </w:r>
          </w:p>
        </w:tc>
      </w:tr>
      <w:tr w:rsidR="00444C54" w:rsidRPr="00A26143" w14:paraId="1E273E18" w14:textId="77777777" w:rsidTr="002B30CC">
        <w:tc>
          <w:tcPr>
            <w:tcW w:w="1998" w:type="dxa"/>
            <w:shd w:val="clear" w:color="auto" w:fill="auto"/>
            <w:vAlign w:val="bottom"/>
          </w:tcPr>
          <w:p w14:paraId="735444E0"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Lymphocytes</w:t>
            </w:r>
          </w:p>
        </w:tc>
        <w:tc>
          <w:tcPr>
            <w:tcW w:w="1800" w:type="dxa"/>
            <w:shd w:val="clear" w:color="auto" w:fill="auto"/>
          </w:tcPr>
          <w:p w14:paraId="02E329A2"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38.92 ± 15.38</w:t>
            </w:r>
          </w:p>
        </w:tc>
        <w:tc>
          <w:tcPr>
            <w:tcW w:w="1800" w:type="dxa"/>
            <w:shd w:val="clear" w:color="auto" w:fill="auto"/>
          </w:tcPr>
          <w:p w14:paraId="5FC0E0D3"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40.24 ± 14.03</w:t>
            </w:r>
          </w:p>
        </w:tc>
        <w:tc>
          <w:tcPr>
            <w:tcW w:w="1080" w:type="dxa"/>
            <w:shd w:val="clear" w:color="auto" w:fill="auto"/>
          </w:tcPr>
          <w:p w14:paraId="057DE89B"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0.494</w:t>
            </w:r>
          </w:p>
        </w:tc>
        <w:tc>
          <w:tcPr>
            <w:tcW w:w="1080" w:type="dxa"/>
            <w:shd w:val="clear" w:color="auto" w:fill="auto"/>
          </w:tcPr>
          <w:p w14:paraId="4A5146A5"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0.622</w:t>
            </w:r>
          </w:p>
        </w:tc>
        <w:tc>
          <w:tcPr>
            <w:tcW w:w="1800" w:type="dxa"/>
          </w:tcPr>
          <w:p w14:paraId="2B0FF498"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Not Significant</w:t>
            </w:r>
          </w:p>
        </w:tc>
      </w:tr>
      <w:tr w:rsidR="00444C54" w:rsidRPr="00A26143" w14:paraId="1B46A6CA" w14:textId="77777777" w:rsidTr="002B30CC">
        <w:tc>
          <w:tcPr>
            <w:tcW w:w="1998" w:type="dxa"/>
            <w:shd w:val="clear" w:color="auto" w:fill="auto"/>
            <w:vAlign w:val="bottom"/>
          </w:tcPr>
          <w:p w14:paraId="6285CE26"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Monocytes</w:t>
            </w:r>
          </w:p>
        </w:tc>
        <w:tc>
          <w:tcPr>
            <w:tcW w:w="1800" w:type="dxa"/>
            <w:shd w:val="clear" w:color="auto" w:fill="auto"/>
          </w:tcPr>
          <w:p w14:paraId="424260D2"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7.34 ± 3.33</w:t>
            </w:r>
          </w:p>
        </w:tc>
        <w:tc>
          <w:tcPr>
            <w:tcW w:w="1800" w:type="dxa"/>
            <w:shd w:val="clear" w:color="auto" w:fill="auto"/>
          </w:tcPr>
          <w:p w14:paraId="07892A0A"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7.20 ± 3.85</w:t>
            </w:r>
          </w:p>
        </w:tc>
        <w:tc>
          <w:tcPr>
            <w:tcW w:w="1080" w:type="dxa"/>
            <w:shd w:val="clear" w:color="auto" w:fill="auto"/>
          </w:tcPr>
          <w:p w14:paraId="341E7BA1"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0.213</w:t>
            </w:r>
          </w:p>
        </w:tc>
        <w:tc>
          <w:tcPr>
            <w:tcW w:w="1080" w:type="dxa"/>
            <w:shd w:val="clear" w:color="auto" w:fill="auto"/>
          </w:tcPr>
          <w:p w14:paraId="10799998"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0.832</w:t>
            </w:r>
          </w:p>
        </w:tc>
        <w:tc>
          <w:tcPr>
            <w:tcW w:w="1800" w:type="dxa"/>
          </w:tcPr>
          <w:p w14:paraId="24062859"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Not Significant</w:t>
            </w:r>
          </w:p>
        </w:tc>
      </w:tr>
      <w:tr w:rsidR="00444C54" w:rsidRPr="00A26143" w14:paraId="7DFA15E0" w14:textId="77777777" w:rsidTr="002B30CC">
        <w:tc>
          <w:tcPr>
            <w:tcW w:w="1998" w:type="dxa"/>
            <w:shd w:val="clear" w:color="auto" w:fill="auto"/>
            <w:vAlign w:val="bottom"/>
          </w:tcPr>
          <w:p w14:paraId="00795FAA"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Eosinophil</w:t>
            </w:r>
          </w:p>
        </w:tc>
        <w:tc>
          <w:tcPr>
            <w:tcW w:w="1800" w:type="dxa"/>
            <w:shd w:val="clear" w:color="auto" w:fill="auto"/>
          </w:tcPr>
          <w:p w14:paraId="4B57ACC9"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2.98 ± 2.88</w:t>
            </w:r>
          </w:p>
        </w:tc>
        <w:tc>
          <w:tcPr>
            <w:tcW w:w="1800" w:type="dxa"/>
            <w:shd w:val="clear" w:color="auto" w:fill="auto"/>
          </w:tcPr>
          <w:p w14:paraId="7D8C856A"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1.84 ± 1.40</w:t>
            </w:r>
          </w:p>
        </w:tc>
        <w:tc>
          <w:tcPr>
            <w:tcW w:w="1080" w:type="dxa"/>
            <w:shd w:val="clear" w:color="auto" w:fill="auto"/>
          </w:tcPr>
          <w:p w14:paraId="12E73C7B"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2.732</w:t>
            </w:r>
          </w:p>
        </w:tc>
        <w:tc>
          <w:tcPr>
            <w:tcW w:w="1080" w:type="dxa"/>
            <w:shd w:val="clear" w:color="auto" w:fill="auto"/>
          </w:tcPr>
          <w:p w14:paraId="4C07EFA8"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0.007*</w:t>
            </w:r>
          </w:p>
        </w:tc>
        <w:tc>
          <w:tcPr>
            <w:tcW w:w="1800" w:type="dxa"/>
          </w:tcPr>
          <w:p w14:paraId="6781E9FA"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Significant</w:t>
            </w:r>
          </w:p>
        </w:tc>
      </w:tr>
      <w:tr w:rsidR="00444C54" w:rsidRPr="00A26143" w14:paraId="52B5C792" w14:textId="77777777" w:rsidTr="002B30CC">
        <w:tc>
          <w:tcPr>
            <w:tcW w:w="1998" w:type="dxa"/>
            <w:shd w:val="clear" w:color="auto" w:fill="auto"/>
            <w:vAlign w:val="bottom"/>
          </w:tcPr>
          <w:p w14:paraId="7E262E74"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Basophil</w:t>
            </w:r>
          </w:p>
        </w:tc>
        <w:tc>
          <w:tcPr>
            <w:tcW w:w="1800" w:type="dxa"/>
            <w:shd w:val="clear" w:color="auto" w:fill="auto"/>
          </w:tcPr>
          <w:p w14:paraId="19D1108E"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1.77 ± 2.24</w:t>
            </w:r>
          </w:p>
        </w:tc>
        <w:tc>
          <w:tcPr>
            <w:tcW w:w="1800" w:type="dxa"/>
            <w:shd w:val="clear" w:color="auto" w:fill="auto"/>
          </w:tcPr>
          <w:p w14:paraId="0474C72B"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1.12 ± 1.57</w:t>
            </w:r>
          </w:p>
        </w:tc>
        <w:tc>
          <w:tcPr>
            <w:tcW w:w="1080" w:type="dxa"/>
            <w:shd w:val="clear" w:color="auto" w:fill="auto"/>
          </w:tcPr>
          <w:p w14:paraId="0F097D36"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1.836</w:t>
            </w:r>
          </w:p>
        </w:tc>
        <w:tc>
          <w:tcPr>
            <w:tcW w:w="1080" w:type="dxa"/>
            <w:shd w:val="clear" w:color="auto" w:fill="auto"/>
          </w:tcPr>
          <w:p w14:paraId="7A154A1E" w14:textId="77777777" w:rsidR="00444C54" w:rsidRPr="00A26143" w:rsidRDefault="00444C54" w:rsidP="002B30CC">
            <w:pPr>
              <w:widowControl w:val="0"/>
              <w:autoSpaceDE w:val="0"/>
              <w:autoSpaceDN w:val="0"/>
              <w:adjustRightInd w:val="0"/>
              <w:spacing w:after="0" w:line="360" w:lineRule="auto"/>
              <w:rPr>
                <w:rFonts w:cstheme="minorHAnsi"/>
                <w:sz w:val="24"/>
                <w:szCs w:val="24"/>
                <w:lang w:val="en-GB"/>
              </w:rPr>
            </w:pPr>
            <w:r w:rsidRPr="00A26143">
              <w:rPr>
                <w:rFonts w:cstheme="minorHAnsi"/>
                <w:sz w:val="24"/>
                <w:szCs w:val="24"/>
                <w:lang w:val="en-GB"/>
              </w:rPr>
              <w:t>0.069</w:t>
            </w:r>
          </w:p>
        </w:tc>
        <w:tc>
          <w:tcPr>
            <w:tcW w:w="1800" w:type="dxa"/>
          </w:tcPr>
          <w:p w14:paraId="1DC9685F" w14:textId="77777777" w:rsidR="00444C54" w:rsidRPr="00A26143" w:rsidRDefault="00444C54" w:rsidP="002B30CC">
            <w:pPr>
              <w:widowControl w:val="0"/>
              <w:autoSpaceDE w:val="0"/>
              <w:autoSpaceDN w:val="0"/>
              <w:adjustRightInd w:val="0"/>
              <w:spacing w:after="0" w:line="360" w:lineRule="auto"/>
              <w:rPr>
                <w:rFonts w:eastAsia="Times New Roman" w:cstheme="minorHAnsi"/>
                <w:sz w:val="24"/>
                <w:szCs w:val="24"/>
              </w:rPr>
            </w:pPr>
            <w:r w:rsidRPr="00A26143">
              <w:rPr>
                <w:rFonts w:eastAsia="Times New Roman" w:cstheme="minorHAnsi"/>
                <w:sz w:val="24"/>
                <w:szCs w:val="24"/>
              </w:rPr>
              <w:t>Not Significant</w:t>
            </w:r>
          </w:p>
        </w:tc>
      </w:tr>
    </w:tbl>
    <w:p w14:paraId="22B61BAF" w14:textId="77777777" w:rsidR="00444C54" w:rsidRPr="00A26143" w:rsidRDefault="00444C54" w:rsidP="00444C54">
      <w:pPr>
        <w:autoSpaceDE w:val="0"/>
        <w:autoSpaceDN w:val="0"/>
        <w:adjustRightInd w:val="0"/>
        <w:spacing w:after="0" w:line="480" w:lineRule="auto"/>
        <w:contextualSpacing/>
        <w:jc w:val="both"/>
        <w:rPr>
          <w:rFonts w:cstheme="minorHAnsi"/>
          <w:b/>
          <w:sz w:val="24"/>
          <w:szCs w:val="24"/>
        </w:rPr>
      </w:pPr>
      <w:r w:rsidRPr="00A26143">
        <w:rPr>
          <w:rFonts w:cstheme="minorHAnsi"/>
        </w:rPr>
        <w:t>*p&lt;0.05 (i.e. Significant).</w:t>
      </w:r>
    </w:p>
    <w:p w14:paraId="3F50D4C7" w14:textId="77777777" w:rsidR="00444C54" w:rsidRPr="00A26143" w:rsidRDefault="00444C54" w:rsidP="00444C54">
      <w:pPr>
        <w:autoSpaceDE w:val="0"/>
        <w:autoSpaceDN w:val="0"/>
        <w:adjustRightInd w:val="0"/>
        <w:spacing w:after="0" w:line="480" w:lineRule="auto"/>
        <w:contextualSpacing/>
        <w:jc w:val="both"/>
        <w:rPr>
          <w:rFonts w:cstheme="minorHAnsi"/>
          <w:b/>
          <w:sz w:val="24"/>
          <w:szCs w:val="24"/>
        </w:rPr>
      </w:pPr>
    </w:p>
    <w:p w14:paraId="1AFFA5B8" w14:textId="77777777" w:rsidR="00444C54" w:rsidRPr="00A26143" w:rsidRDefault="00444C54" w:rsidP="00444C54">
      <w:pPr>
        <w:autoSpaceDE w:val="0"/>
        <w:autoSpaceDN w:val="0"/>
        <w:adjustRightInd w:val="0"/>
        <w:spacing w:after="0" w:line="480" w:lineRule="auto"/>
        <w:contextualSpacing/>
        <w:jc w:val="both"/>
        <w:rPr>
          <w:rFonts w:cstheme="minorHAnsi"/>
          <w:b/>
          <w:sz w:val="24"/>
          <w:szCs w:val="24"/>
        </w:rPr>
      </w:pPr>
    </w:p>
    <w:p w14:paraId="5C854C00" w14:textId="77777777" w:rsidR="00444C54" w:rsidRPr="005B2037" w:rsidRDefault="00444C54" w:rsidP="00444C54">
      <w:pPr>
        <w:autoSpaceDE w:val="0"/>
        <w:autoSpaceDN w:val="0"/>
        <w:adjustRightInd w:val="0"/>
        <w:spacing w:after="0" w:line="480" w:lineRule="auto"/>
        <w:contextualSpacing/>
        <w:jc w:val="both"/>
        <w:rPr>
          <w:rFonts w:ascii="Times New Roman" w:hAnsi="Times New Roman"/>
          <w:b/>
          <w:sz w:val="24"/>
          <w:szCs w:val="24"/>
        </w:rPr>
      </w:pPr>
    </w:p>
    <w:p w14:paraId="5E6836B8" w14:textId="77777777" w:rsidR="0082437E" w:rsidRDefault="0082437E" w:rsidP="00E05576">
      <w:pPr>
        <w:spacing w:line="360" w:lineRule="auto"/>
        <w:jc w:val="both"/>
        <w:rPr>
          <w:rFonts w:ascii="Times New Roman" w:hAnsi="Times New Roman" w:cs="Times New Roman"/>
          <w:sz w:val="24"/>
          <w:szCs w:val="24"/>
        </w:rPr>
      </w:pPr>
    </w:p>
    <w:p w14:paraId="5F081805" w14:textId="77777777" w:rsidR="00C40180" w:rsidRPr="00A73123" w:rsidRDefault="00E05576" w:rsidP="00C4018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4.0 </w:t>
      </w:r>
      <w:r w:rsidRPr="00E05576">
        <w:rPr>
          <w:rFonts w:ascii="Times New Roman" w:hAnsi="Times New Roman" w:cs="Times New Roman"/>
          <w:b/>
          <w:sz w:val="24"/>
          <w:szCs w:val="24"/>
        </w:rPr>
        <w:t>Discussion</w:t>
      </w:r>
    </w:p>
    <w:p w14:paraId="548E563A" w14:textId="77777777" w:rsidR="00856CCD" w:rsidRPr="00856CCD" w:rsidRDefault="00856CCD" w:rsidP="00DD5670">
      <w:pPr>
        <w:spacing w:after="0" w:line="360" w:lineRule="auto"/>
        <w:jc w:val="both"/>
        <w:rPr>
          <w:rFonts w:eastAsia="Times New Roman" w:cstheme="minorHAnsi"/>
          <w:sz w:val="24"/>
          <w:szCs w:val="24"/>
        </w:rPr>
      </w:pPr>
      <w:r w:rsidRPr="00856CCD">
        <w:rPr>
          <w:rFonts w:eastAsia="Times New Roman" w:cstheme="minorHAnsi"/>
          <w:sz w:val="24"/>
          <w:szCs w:val="24"/>
        </w:rPr>
        <w:t>Significant haematological changes in sickle cell disease (SCD) patients during steady state are highlighted by the study's findings, which offer crucial new information about the enduring pathophysiological processes that go on even when there are no acute crises. The chronic hemolytic character of sickle cell disease (SCD), where sickle hemoglobin polymerization causes erythrocyte destruction and reduced red blood cell survival, is reflected in the severe anemia seen (mean hemoglobin 7.75 ± 2.17 g/dL; PCV 22.42 ± 5.74%) [8]. Significant clinical repercussions of this level of anemia include decreased oxygen transport to tissues, elevated heart workload, and a decline in quality of life [9]. SCD patients have considerable hematological compromise even during clinical stability, which calls for continuous monitoring and therapy, as seen by the significantly lower hemoglobin and hematocrit values compared to healthy controls (p = 0.000) [10].</w:t>
      </w:r>
    </w:p>
    <w:p w14:paraId="738EC3D0" w14:textId="77777777" w:rsidR="00DD5670" w:rsidRPr="00DD5670" w:rsidRDefault="00DD5670" w:rsidP="00DD5670">
      <w:pPr>
        <w:spacing w:after="0" w:line="360" w:lineRule="auto"/>
        <w:jc w:val="both"/>
        <w:rPr>
          <w:rFonts w:eastAsia="Times New Roman" w:cstheme="minorHAnsi"/>
          <w:sz w:val="24"/>
          <w:szCs w:val="24"/>
        </w:rPr>
      </w:pPr>
      <w:r w:rsidRPr="00DD5670">
        <w:rPr>
          <w:rFonts w:eastAsia="Times New Roman" w:cstheme="minorHAnsi"/>
          <w:sz w:val="24"/>
          <w:szCs w:val="24"/>
        </w:rPr>
        <w:t>The significant leukocytosis in steady-state SCD patients was one of the most noteworthy findings (mean WBC 11.37 ± 6.57 ×10⁹/L versus 5.64 ± 1.79 ×10⁹/L in controls; p = 0.000). The chronic inflammatory state that characterizes sickle cell disease (SCD) that is fueled by endothelial activation, ischemia-reperfusion damage, and recurrent vaso-occlusion is probably reflected in this persistent rise of white blood cells [11]. WBC count and hemoglobin (r = -0.198, p = 0.029) and hematocrit (r = -0.209, p = 0.021) have negative relationships, which implies that inflammation may exacerbate anemia by suppressing erythropoiesis or increasing hemolysis [12].</w:t>
      </w:r>
    </w:p>
    <w:p w14:paraId="46FAED1C" w14:textId="77777777" w:rsidR="00DD5670" w:rsidRPr="00DD5670" w:rsidRDefault="00DD5670" w:rsidP="00DD5670">
      <w:pPr>
        <w:spacing w:after="0" w:line="360" w:lineRule="auto"/>
        <w:jc w:val="both"/>
        <w:rPr>
          <w:rFonts w:eastAsia="Times New Roman" w:cstheme="minorHAnsi"/>
          <w:sz w:val="24"/>
          <w:szCs w:val="24"/>
        </w:rPr>
      </w:pPr>
      <w:r w:rsidRPr="00DD5670">
        <w:rPr>
          <w:rFonts w:eastAsia="Times New Roman" w:cstheme="minorHAnsi"/>
          <w:sz w:val="24"/>
          <w:szCs w:val="24"/>
        </w:rPr>
        <w:t>These results are consistent with the increasing understanding that inflammation, especially in times of clinical stability, plays a significant role in the pathogenesis of SCD [6]. The prothrombotic state that is present in steady-state SCD is further highlighted by the higher platelet counts (351.62 ± 153.96 ×10⁹/L versus 233.04 ± 59.95 ×10⁹/L in controls; p = 0.000), which may put patients at risk for silent vascular consequences [13].</w:t>
      </w:r>
    </w:p>
    <w:p w14:paraId="23673067" w14:textId="77777777" w:rsidR="00DD5670" w:rsidRPr="00DD5670" w:rsidRDefault="00DD5670" w:rsidP="00DD5670">
      <w:pPr>
        <w:spacing w:after="0" w:line="360" w:lineRule="auto"/>
        <w:jc w:val="both"/>
        <w:rPr>
          <w:rFonts w:eastAsia="Times New Roman" w:cstheme="minorHAnsi"/>
          <w:sz w:val="24"/>
          <w:szCs w:val="24"/>
        </w:rPr>
      </w:pPr>
      <w:r w:rsidRPr="00DD5670">
        <w:rPr>
          <w:rFonts w:eastAsia="Times New Roman" w:cstheme="minorHAnsi"/>
          <w:sz w:val="24"/>
          <w:szCs w:val="24"/>
        </w:rPr>
        <w:t xml:space="preserve">Male SCD patients had significantly higher eosinophil counts than females (2.98 ± 2.88 versus 1.84 ± 1.40; p = 0.007), however the study also found some intriguing sex-based differences. This study raises the possibility of sex-specific variations in immune modulation or inflammatory responses in SCD, but more research is needed to determine its clinical importance [14]. The fact that </w:t>
      </w:r>
      <w:r w:rsidRPr="00DD5670">
        <w:rPr>
          <w:rFonts w:eastAsia="Times New Roman" w:cstheme="minorHAnsi"/>
          <w:sz w:val="24"/>
          <w:szCs w:val="24"/>
        </w:rPr>
        <w:lastRenderedPageBreak/>
        <w:t>there are no appreciable variations in other differential counts between SCD patients and controls suggests that the leukocytosis seen is a broad rise in white blood cells rather than an expansion of a particular component [15].</w:t>
      </w:r>
    </w:p>
    <w:p w14:paraId="48B8A21B" w14:textId="77777777" w:rsidR="00DD5670" w:rsidRPr="00DD5670" w:rsidRDefault="00DD5670" w:rsidP="00DD5670">
      <w:pPr>
        <w:spacing w:after="0" w:line="360" w:lineRule="auto"/>
        <w:jc w:val="both"/>
        <w:rPr>
          <w:rFonts w:eastAsia="Times New Roman" w:cstheme="minorHAnsi"/>
          <w:sz w:val="24"/>
          <w:szCs w:val="24"/>
        </w:rPr>
      </w:pPr>
      <w:r w:rsidRPr="00DD5670">
        <w:rPr>
          <w:rFonts w:eastAsia="Times New Roman" w:cstheme="minorHAnsi"/>
          <w:sz w:val="24"/>
          <w:szCs w:val="24"/>
        </w:rPr>
        <w:t>These results have significant therapeutic ramifications for the treatment of SCD. This period shouldn't be regarded as completely asymptomatic, according to the chronic hematological abnormalities seen throughout steady state [7]. Early management may be possible if routine monitoring is used to identify people who are more likely to experience difficulties [16]. The persistent use of these straightforward assays for monitoring is supported by the significant connection between PCV and hemoglobin (r = 0.847, p = 0.000) [17]. The results also call into question whether controlling thrombocytosis or inflammation in the steady state could alter the course of the disease [18].</w:t>
      </w:r>
    </w:p>
    <w:p w14:paraId="6E2FB29C" w14:textId="77777777" w:rsidR="00DD5670" w:rsidRPr="00DD5670" w:rsidRDefault="00DD5670" w:rsidP="00DD5670">
      <w:pPr>
        <w:spacing w:after="0" w:line="360" w:lineRule="auto"/>
        <w:jc w:val="both"/>
        <w:rPr>
          <w:rFonts w:eastAsia="Times New Roman" w:cstheme="minorHAnsi"/>
          <w:sz w:val="24"/>
          <w:szCs w:val="24"/>
        </w:rPr>
      </w:pPr>
      <w:r w:rsidRPr="00DD5670">
        <w:rPr>
          <w:rFonts w:eastAsia="Times New Roman" w:cstheme="minorHAnsi"/>
          <w:sz w:val="24"/>
          <w:szCs w:val="24"/>
        </w:rPr>
        <w:t>Future longitudinal research would more effectively establish prognostic value, and the cross-sectional form of the study restricts the ability to draw conclusions about causality [19]. Novel treatment targets may be found by investigating the mechanisms underlying these changes [2].</w:t>
      </w:r>
    </w:p>
    <w:p w14:paraId="36E3EB7B" w14:textId="77777777" w:rsidR="00AF487F" w:rsidRPr="00E05576" w:rsidRDefault="00AF487F" w:rsidP="00E05576">
      <w:pPr>
        <w:spacing w:line="360" w:lineRule="auto"/>
        <w:jc w:val="both"/>
        <w:rPr>
          <w:rFonts w:ascii="Times New Roman" w:hAnsi="Times New Roman" w:cs="Times New Roman"/>
          <w:sz w:val="24"/>
          <w:szCs w:val="24"/>
        </w:rPr>
      </w:pPr>
    </w:p>
    <w:p w14:paraId="2F582B27" w14:textId="77777777" w:rsidR="00C40180" w:rsidRPr="00856CCD" w:rsidRDefault="00D028B0" w:rsidP="00C40180">
      <w:pPr>
        <w:spacing w:before="100" w:beforeAutospacing="1" w:after="100" w:afterAutospacing="1" w:line="360" w:lineRule="auto"/>
        <w:jc w:val="both"/>
        <w:outlineLvl w:val="2"/>
        <w:rPr>
          <w:rFonts w:eastAsia="Times New Roman" w:cstheme="minorHAnsi"/>
          <w:b/>
          <w:bCs/>
          <w:sz w:val="24"/>
          <w:szCs w:val="24"/>
        </w:rPr>
      </w:pPr>
      <w:r w:rsidRPr="00856CCD">
        <w:rPr>
          <w:rFonts w:eastAsia="Times New Roman" w:cstheme="minorHAnsi"/>
          <w:b/>
          <w:bCs/>
          <w:sz w:val="24"/>
          <w:szCs w:val="24"/>
        </w:rPr>
        <w:t>5.0 Conclusion</w:t>
      </w:r>
    </w:p>
    <w:p w14:paraId="647C3DC0" w14:textId="77777777" w:rsidR="000A6D35" w:rsidRPr="000A6D35" w:rsidRDefault="000A6D35" w:rsidP="000A6D35">
      <w:pPr>
        <w:spacing w:line="360" w:lineRule="auto"/>
        <w:jc w:val="both"/>
        <w:rPr>
          <w:sz w:val="24"/>
          <w:szCs w:val="24"/>
        </w:rPr>
      </w:pPr>
      <w:r w:rsidRPr="000A6D35">
        <w:rPr>
          <w:sz w:val="24"/>
          <w:szCs w:val="24"/>
        </w:rPr>
        <w:t xml:space="preserve">Significant haematological changes in sickle cell disease (SCD) patients during steady state are highlighted by the study's findings, which offer crucial new information about the enduring pathophysiological processes that go on even when there are no acute crises. The chronic hemolytic character of sickle cell disease (SCD), where sickle hemoglobin polymerization causes erythrocyte destruction and reduced red blood cell survival, is reflected in the severe anemia seen (mean hemoglobin 7.75 ± 2.17 g/dL; PCV 22.42 ± 5.74%) (8). Significant clinical repercussions of this level of anemia include decreased oxygen transport to tissues, elevated heart workload, and a decline in quality of life (9). SCD patients have considerable hematological compromise even during clinical </w:t>
      </w:r>
      <w:r w:rsidRPr="000A6D35">
        <w:rPr>
          <w:sz w:val="24"/>
          <w:szCs w:val="24"/>
        </w:rPr>
        <w:lastRenderedPageBreak/>
        <w:t>stability, which calls for continuous monitoring and therapy, as seen by the significantly lower hemoglobin and hematocrit values compared to healthy controls (p = 0.000) (10).</w:t>
      </w:r>
    </w:p>
    <w:p w14:paraId="0D59CCA3" w14:textId="77777777" w:rsidR="000A6D35" w:rsidRPr="000A6D35" w:rsidRDefault="000A6D35" w:rsidP="000A6D35">
      <w:pPr>
        <w:spacing w:line="360" w:lineRule="auto"/>
        <w:jc w:val="both"/>
        <w:rPr>
          <w:sz w:val="24"/>
          <w:szCs w:val="24"/>
        </w:rPr>
      </w:pPr>
      <w:r w:rsidRPr="000A6D35">
        <w:rPr>
          <w:sz w:val="24"/>
          <w:szCs w:val="24"/>
        </w:rPr>
        <w:t>The significant leukocytosis in steady-state SCD patients was one of the most noteworthy findings (mean WBC 11.37 ± 6.57 ×10⁹/L versus 5.64 ± 1.79 ×10⁹/L in controls; p = 0.000). The chronic inflammatory state that characterizes sickle cell disease (SCD) that is fueled by endothelial activation, ischemia-reperfusion damage, and recurrent vaso-occlusion is probably reflected in this persistent rise of white blood cells (11). WBC count and hemoglobin (r = -0.198, p = 0.029) and hematocrit (r = -0.209, p = 0.021) have negative relationships, which implies that inflammation may exacerbate anemia by suppressing erythropoiesis or increasing hemolysis (12).</w:t>
      </w:r>
    </w:p>
    <w:p w14:paraId="490C538B" w14:textId="77777777" w:rsidR="000A6D35" w:rsidRPr="000A6D35" w:rsidRDefault="000A6D35" w:rsidP="000A6D35">
      <w:pPr>
        <w:spacing w:line="360" w:lineRule="auto"/>
        <w:jc w:val="both"/>
        <w:rPr>
          <w:sz w:val="24"/>
          <w:szCs w:val="24"/>
        </w:rPr>
      </w:pPr>
      <w:r w:rsidRPr="000A6D35">
        <w:rPr>
          <w:sz w:val="24"/>
          <w:szCs w:val="24"/>
        </w:rPr>
        <w:t>These results are consistent with the increasing understanding that inflammation, especially in times of clinical stability, plays a significant role in the pathogenesis of SCD (6). The prothrombotic state that is present in steady-state SCD is further highlighted by the higher platelet counts (351.62 ± 153.96 ×10⁹/L versus 233.04 ± 59.95 ×10⁹/L in controls; p = 0.000), which may put patients at risk for silent vascular consequences (13).</w:t>
      </w:r>
    </w:p>
    <w:p w14:paraId="78EDDC86" w14:textId="77777777" w:rsidR="000A6D35" w:rsidRPr="000A6D35" w:rsidRDefault="000A6D35" w:rsidP="000A6D35">
      <w:pPr>
        <w:spacing w:line="360" w:lineRule="auto"/>
        <w:jc w:val="both"/>
        <w:rPr>
          <w:sz w:val="24"/>
          <w:szCs w:val="24"/>
        </w:rPr>
      </w:pPr>
      <w:r w:rsidRPr="000A6D35">
        <w:rPr>
          <w:sz w:val="24"/>
          <w:szCs w:val="24"/>
        </w:rPr>
        <w:t>Male SCD patients had significantly higher eosinophil counts than females (2.98 ± 2.88 versus 1.84 ± 1.40; p = 0.007), however the study also found some intriguing sex-based differences. This study raises the possibility of sex-specific variations in immune modulation or inflammatory responses in SCD, but more research is needed to determine its clinical importance (14). The fact that there are no appreciable variations in other differential counts between SCD patients and controls suggests that the leukocytosis seen is a broad rise in white blood cells rather than an expansion of a particular component (15).</w:t>
      </w:r>
    </w:p>
    <w:p w14:paraId="5832097F" w14:textId="77777777" w:rsidR="000A6D35" w:rsidRPr="000A6D35" w:rsidRDefault="000A6D35" w:rsidP="000A6D35">
      <w:pPr>
        <w:spacing w:line="360" w:lineRule="auto"/>
        <w:jc w:val="both"/>
        <w:rPr>
          <w:sz w:val="24"/>
          <w:szCs w:val="24"/>
        </w:rPr>
      </w:pPr>
      <w:r w:rsidRPr="000A6D35">
        <w:rPr>
          <w:sz w:val="24"/>
          <w:szCs w:val="24"/>
        </w:rPr>
        <w:t xml:space="preserve">These results have significant therapeutic ramifications for the treatment of SCD. This period shouldn't be regarded as completely asymptomatic, according to the chronic hematological abnormalities seen throughout steady state (7). Early management may be possible if routine monitoring is used to identify people who are more likely to experience difficulties (16). The persistent use of </w:t>
      </w:r>
      <w:r w:rsidRPr="000A6D35">
        <w:rPr>
          <w:sz w:val="24"/>
          <w:szCs w:val="24"/>
        </w:rPr>
        <w:lastRenderedPageBreak/>
        <w:t>these straightforward assays for monitoring is supported by the significant connection between PCV and hemoglobin (r = 0.847, p = 0.000) (17). The results also call into question whether controlling thrombocytosis or inflammation in the steady state could alter the course of the disease (18).</w:t>
      </w:r>
    </w:p>
    <w:p w14:paraId="12A3410E" w14:textId="77777777" w:rsidR="000A6D35" w:rsidRPr="000A6D35" w:rsidRDefault="000A6D35" w:rsidP="000A6D35">
      <w:pPr>
        <w:spacing w:line="360" w:lineRule="auto"/>
        <w:jc w:val="both"/>
        <w:rPr>
          <w:sz w:val="24"/>
          <w:szCs w:val="24"/>
        </w:rPr>
      </w:pPr>
      <w:r w:rsidRPr="000A6D35">
        <w:rPr>
          <w:sz w:val="24"/>
          <w:szCs w:val="24"/>
        </w:rPr>
        <w:t>Future longitudinal research would more effectively establish prognostic value, and the cross-sectional form of the study restricts the ability to draw conclusions about causality (19). Novel treatment targets may be found by investigating the mechanisms underlying these changes (2).</w:t>
      </w:r>
    </w:p>
    <w:p w14:paraId="1C03697D" w14:textId="77777777" w:rsidR="00856CCD" w:rsidRDefault="00856CCD" w:rsidP="00C40180">
      <w:pPr>
        <w:spacing w:before="100" w:beforeAutospacing="1" w:after="100" w:afterAutospacing="1" w:line="360" w:lineRule="auto"/>
        <w:jc w:val="both"/>
        <w:outlineLvl w:val="2"/>
        <w:rPr>
          <w:rFonts w:ascii="Times New Roman" w:hAnsi="Times New Roman" w:cs="Times New Roman"/>
          <w:sz w:val="24"/>
          <w:szCs w:val="24"/>
        </w:rPr>
      </w:pPr>
    </w:p>
    <w:p w14:paraId="49F2AB1D" w14:textId="77777777" w:rsidR="00856CCD" w:rsidRDefault="00856CCD" w:rsidP="00C40180">
      <w:pPr>
        <w:spacing w:before="100" w:beforeAutospacing="1" w:after="100" w:afterAutospacing="1" w:line="360" w:lineRule="auto"/>
        <w:jc w:val="both"/>
        <w:outlineLvl w:val="2"/>
        <w:rPr>
          <w:rFonts w:ascii="Times New Roman" w:hAnsi="Times New Roman" w:cs="Times New Roman"/>
          <w:sz w:val="24"/>
          <w:szCs w:val="24"/>
        </w:rPr>
      </w:pPr>
    </w:p>
    <w:p w14:paraId="7D9B550B" w14:textId="77777777" w:rsidR="000A6D35" w:rsidRDefault="000A6D35" w:rsidP="00C40180">
      <w:pPr>
        <w:spacing w:before="100" w:beforeAutospacing="1" w:after="100" w:afterAutospacing="1" w:line="360" w:lineRule="auto"/>
        <w:jc w:val="both"/>
        <w:outlineLvl w:val="2"/>
        <w:rPr>
          <w:rFonts w:ascii="Times New Roman" w:hAnsi="Times New Roman" w:cs="Times New Roman"/>
          <w:sz w:val="24"/>
          <w:szCs w:val="24"/>
        </w:rPr>
      </w:pPr>
    </w:p>
    <w:p w14:paraId="4B1A7B36" w14:textId="77777777" w:rsidR="000A6D35" w:rsidRDefault="000A6D35" w:rsidP="00C40180">
      <w:pPr>
        <w:spacing w:before="100" w:beforeAutospacing="1" w:after="100" w:afterAutospacing="1" w:line="360" w:lineRule="auto"/>
        <w:jc w:val="both"/>
        <w:outlineLvl w:val="2"/>
        <w:rPr>
          <w:rFonts w:ascii="Times New Roman" w:hAnsi="Times New Roman" w:cs="Times New Roman"/>
          <w:sz w:val="24"/>
          <w:szCs w:val="24"/>
        </w:rPr>
      </w:pPr>
    </w:p>
    <w:p w14:paraId="51F595F7" w14:textId="77777777" w:rsidR="00C40180" w:rsidRPr="00856CCD" w:rsidRDefault="00D028B0" w:rsidP="00C40180">
      <w:pPr>
        <w:spacing w:before="100" w:beforeAutospacing="1" w:after="100" w:afterAutospacing="1" w:line="360" w:lineRule="auto"/>
        <w:jc w:val="both"/>
        <w:outlineLvl w:val="2"/>
        <w:rPr>
          <w:rFonts w:eastAsia="Times New Roman" w:cstheme="minorHAnsi"/>
          <w:b/>
          <w:bCs/>
          <w:sz w:val="24"/>
          <w:szCs w:val="24"/>
        </w:rPr>
      </w:pPr>
      <w:r w:rsidRPr="00856CCD">
        <w:rPr>
          <w:rFonts w:eastAsia="Times New Roman" w:cstheme="minorHAnsi"/>
          <w:b/>
          <w:bCs/>
          <w:sz w:val="24"/>
          <w:szCs w:val="24"/>
        </w:rPr>
        <w:t>6.0 Recommendation</w:t>
      </w:r>
    </w:p>
    <w:p w14:paraId="55870C48" w14:textId="77777777" w:rsidR="00A26143" w:rsidRPr="00A26143" w:rsidRDefault="00A26143" w:rsidP="00A26143">
      <w:pPr>
        <w:spacing w:after="0" w:line="360" w:lineRule="auto"/>
        <w:jc w:val="both"/>
        <w:rPr>
          <w:rFonts w:eastAsia="Times New Roman" w:cstheme="minorHAnsi"/>
          <w:sz w:val="24"/>
          <w:szCs w:val="24"/>
        </w:rPr>
      </w:pPr>
      <w:r w:rsidRPr="00A26143">
        <w:rPr>
          <w:rFonts w:eastAsia="Times New Roman" w:cstheme="minorHAnsi"/>
          <w:sz w:val="24"/>
          <w:szCs w:val="24"/>
        </w:rPr>
        <w:t xml:space="preserve">Future research should investigate targeted anti-inflammatory and antithrombotic therapies during steady state to potentially modify disease progression and improve clinical outcomes. Based on the study findings, we recommend routine hematological monitoring for sickle cell disease (SCD) patients in steady state, with particular attention to hemoglobin levels, white blood cell counts, and platelet indices. These parameters reflect ongoing disease activity and potential risk for complications, and healthcare providers should consider incorporating these assessments into standard follow-up protocols to enable early detection of abnormalities and timely intervention. Furthermore, the observed sex-based variations in eosinophil counts highlight the </w:t>
      </w:r>
      <w:r w:rsidRPr="00A26143">
        <w:rPr>
          <w:rFonts w:eastAsia="Times New Roman" w:cstheme="minorHAnsi"/>
          <w:sz w:val="24"/>
          <w:szCs w:val="24"/>
        </w:rPr>
        <w:lastRenderedPageBreak/>
        <w:t>significance of individualized care approaches for this complicated hematologic illness and point to the necessity of gender-specific considerations in SCD management techniques.</w:t>
      </w:r>
    </w:p>
    <w:p w14:paraId="3E7EF3A7" w14:textId="77777777" w:rsidR="00E05576" w:rsidRPr="00E05576" w:rsidRDefault="00E05576" w:rsidP="00E05576">
      <w:pPr>
        <w:spacing w:line="360" w:lineRule="auto"/>
        <w:jc w:val="both"/>
        <w:rPr>
          <w:rFonts w:ascii="Times New Roman" w:hAnsi="Times New Roman" w:cs="Times New Roman"/>
          <w:sz w:val="24"/>
          <w:szCs w:val="24"/>
        </w:rPr>
      </w:pPr>
    </w:p>
    <w:p w14:paraId="0A8F1434" w14:textId="77777777" w:rsidR="00CD240B" w:rsidRDefault="00CD240B" w:rsidP="00E05576">
      <w:pPr>
        <w:spacing w:line="360" w:lineRule="auto"/>
        <w:jc w:val="both"/>
        <w:rPr>
          <w:rFonts w:cstheme="minorHAnsi"/>
          <w:b/>
          <w:sz w:val="24"/>
          <w:szCs w:val="24"/>
        </w:rPr>
      </w:pPr>
    </w:p>
    <w:p w14:paraId="3FDCA31E" w14:textId="7F58BE72" w:rsidR="00D028B0" w:rsidRPr="00856CCD" w:rsidRDefault="00D028B0" w:rsidP="00E05576">
      <w:pPr>
        <w:spacing w:line="360" w:lineRule="auto"/>
        <w:jc w:val="both"/>
        <w:rPr>
          <w:rFonts w:cstheme="minorHAnsi"/>
          <w:b/>
          <w:sz w:val="24"/>
          <w:szCs w:val="24"/>
        </w:rPr>
      </w:pPr>
      <w:r w:rsidRPr="00856CCD">
        <w:rPr>
          <w:rFonts w:cstheme="minorHAnsi"/>
          <w:b/>
          <w:sz w:val="24"/>
          <w:szCs w:val="24"/>
        </w:rPr>
        <w:t>Disclaimer (Artificial intelligence)</w:t>
      </w:r>
    </w:p>
    <w:p w14:paraId="0E6A8C98" w14:textId="77777777" w:rsidR="00D028B0" w:rsidRPr="00856CCD" w:rsidRDefault="00D028B0" w:rsidP="00E05576">
      <w:pPr>
        <w:spacing w:line="360" w:lineRule="auto"/>
        <w:jc w:val="both"/>
        <w:rPr>
          <w:rFonts w:cstheme="minorHAnsi"/>
          <w:sz w:val="24"/>
          <w:szCs w:val="24"/>
        </w:rPr>
      </w:pPr>
      <w:r w:rsidRPr="00856CCD">
        <w:rPr>
          <w:rFonts w:cstheme="minorHAnsi"/>
          <w:sz w:val="24"/>
          <w:szCs w:val="24"/>
        </w:rPr>
        <w:t xml:space="preserve">Option 1: </w:t>
      </w:r>
    </w:p>
    <w:p w14:paraId="28A05CC4" w14:textId="77777777" w:rsidR="00D028B0" w:rsidRPr="00856CCD" w:rsidRDefault="00D028B0" w:rsidP="00E05576">
      <w:pPr>
        <w:spacing w:line="360" w:lineRule="auto"/>
        <w:jc w:val="both"/>
        <w:rPr>
          <w:rFonts w:cstheme="minorHAnsi"/>
          <w:sz w:val="24"/>
          <w:szCs w:val="24"/>
        </w:rPr>
      </w:pPr>
      <w:r w:rsidRPr="00856CCD">
        <w:rPr>
          <w:rFonts w:cstheme="minorHAnsi"/>
          <w:sz w:val="24"/>
          <w:szCs w:val="24"/>
        </w:rPr>
        <w:t xml:space="preserve">Author(s) hereby declare that generative AI technologies such as Large Language Models (ChatGPT, COPILOT, etc.) and text-to-image generators have been used during the writing or editing of this manuscript. </w:t>
      </w:r>
    </w:p>
    <w:p w14:paraId="2B4E2FFF" w14:textId="77777777" w:rsidR="00E05576" w:rsidRPr="00856CCD" w:rsidRDefault="00E05576" w:rsidP="00856CCD">
      <w:pPr>
        <w:spacing w:before="100" w:beforeAutospacing="1" w:after="100" w:afterAutospacing="1" w:line="360" w:lineRule="auto"/>
        <w:jc w:val="both"/>
        <w:outlineLvl w:val="2"/>
        <w:rPr>
          <w:rFonts w:eastAsia="Times New Roman" w:cstheme="minorHAnsi"/>
          <w:b/>
          <w:bCs/>
          <w:sz w:val="27"/>
          <w:szCs w:val="27"/>
        </w:rPr>
      </w:pPr>
      <w:r w:rsidRPr="00856CCD">
        <w:rPr>
          <w:rFonts w:eastAsia="Times New Roman" w:cstheme="minorHAnsi"/>
          <w:b/>
          <w:bCs/>
          <w:sz w:val="27"/>
          <w:szCs w:val="27"/>
        </w:rPr>
        <w:t>References</w:t>
      </w:r>
    </w:p>
    <w:p w14:paraId="71940C18"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t>Rees DC, Williams TN, Gladwin MT. Sickle-cell disease. Lancet. 2010;376(9757):2018–31. </w:t>
      </w:r>
      <w:hyperlink r:id="rId7" w:tgtFrame="_blank" w:history="1">
        <w:r w:rsidRPr="000A6D35">
          <w:rPr>
            <w:rStyle w:val="Hyperlink"/>
            <w:sz w:val="24"/>
            <w:szCs w:val="24"/>
          </w:rPr>
          <w:t>https://doi.org/10.1016/S0140-6736(10)61029-X</w:t>
        </w:r>
      </w:hyperlink>
    </w:p>
    <w:p w14:paraId="57A0F957"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t>Serjeant GR. Sickle-cell disease. Lancet. 1997;350(9079):725–30. </w:t>
      </w:r>
      <w:hyperlink r:id="rId8" w:tgtFrame="_blank" w:history="1">
        <w:r w:rsidRPr="000A6D35">
          <w:rPr>
            <w:rStyle w:val="Hyperlink"/>
            <w:sz w:val="24"/>
            <w:szCs w:val="24"/>
          </w:rPr>
          <w:t>https://doi.org/10.1016/S0140-6736(97)07318-5</w:t>
        </w:r>
      </w:hyperlink>
    </w:p>
    <w:p w14:paraId="558A6BED"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t>Akinyanju OO. A profile of sickle cell disease in Nigeria. Ann N Y Acad Sci. 1989;565:126–36. </w:t>
      </w:r>
      <w:hyperlink r:id="rId9" w:tgtFrame="_blank" w:history="1">
        <w:r w:rsidRPr="000A6D35">
          <w:rPr>
            <w:rStyle w:val="Hyperlink"/>
            <w:sz w:val="24"/>
            <w:szCs w:val="24"/>
          </w:rPr>
          <w:t>https://doi.org/10.1111/j.1749-6632.1989.tb21044.x</w:t>
        </w:r>
      </w:hyperlink>
    </w:p>
    <w:p w14:paraId="3A5B3D76"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t>Platt OS, Brambilla DJ, Rosse WF, et al. Mortality in sickle cell disease-life expectancy and risk factors for early death. N Engl J Med. 1994;330(23):1639–44. </w:t>
      </w:r>
      <w:hyperlink r:id="rId10" w:tgtFrame="_blank" w:history="1">
        <w:r w:rsidRPr="000A6D35">
          <w:rPr>
            <w:rStyle w:val="Hyperlink"/>
            <w:sz w:val="24"/>
            <w:szCs w:val="24"/>
          </w:rPr>
          <w:t>https://doi.org/10.1056/NEJM199406093302303</w:t>
        </w:r>
      </w:hyperlink>
    </w:p>
    <w:p w14:paraId="5951B3F4"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t>Serjeant GR. The steady state concept in sickle cell disease. Lancet. 1992;339(8799):277–9. </w:t>
      </w:r>
      <w:hyperlink r:id="rId11" w:tgtFrame="_blank" w:history="1">
        <w:r w:rsidRPr="000A6D35">
          <w:rPr>
            <w:rStyle w:val="Hyperlink"/>
            <w:sz w:val="24"/>
            <w:szCs w:val="24"/>
          </w:rPr>
          <w:t>https://doi.org/10.1016/0140-6736(92)91155-6</w:t>
        </w:r>
      </w:hyperlink>
    </w:p>
    <w:p w14:paraId="2E717A8C"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lastRenderedPageBreak/>
        <w:t>Hebbel RP. Reconstructing sickle cell disease: a data-based analysis of the "hyperhemolysis paradigm" for pulmonary hypertension from the perspective of evidence-based medicine. Am J Hematol. 2011;86(2):123–54. </w:t>
      </w:r>
      <w:hyperlink r:id="rId12" w:tgtFrame="_blank" w:history="1">
        <w:r w:rsidRPr="000A6D35">
          <w:rPr>
            <w:rStyle w:val="Hyperlink"/>
            <w:sz w:val="24"/>
            <w:szCs w:val="24"/>
          </w:rPr>
          <w:t>https://doi.org/10.1002/ajh.21918</w:t>
        </w:r>
      </w:hyperlink>
    </w:p>
    <w:p w14:paraId="52771DB5"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t>Platt OS. Sickle cell anemia as an inflammatory disease. J Clin Invest. 2000;106(3):337–8. </w:t>
      </w:r>
      <w:hyperlink r:id="rId13" w:tgtFrame="_blank" w:history="1">
        <w:r w:rsidRPr="000A6D35">
          <w:rPr>
            <w:rStyle w:val="Hyperlink"/>
            <w:sz w:val="24"/>
            <w:szCs w:val="24"/>
          </w:rPr>
          <w:t>https://doi.org/10.1172/JCI10857</w:t>
        </w:r>
      </w:hyperlink>
    </w:p>
    <w:p w14:paraId="3EBB8238"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t>Adekile AD, Al-Awadhi A, Al-Mulla N, et al. Hematological parameters in steady state sickle cell disease patients in Kuwait. Hemoglobin. 2005;29(3):153–61. </w:t>
      </w:r>
      <w:hyperlink r:id="rId14" w:tgtFrame="_blank" w:history="1">
        <w:r w:rsidRPr="000A6D35">
          <w:rPr>
            <w:rStyle w:val="Hyperlink"/>
            <w:sz w:val="24"/>
            <w:szCs w:val="24"/>
          </w:rPr>
          <w:t>https://doi.org/10.1080/03630260590937862</w:t>
        </w:r>
      </w:hyperlink>
    </w:p>
    <w:p w14:paraId="3A7F738A"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t>Serjeant GR. The clinical features of sickle cell disease. Baillieres Clin Haematol. 1993;6(1):93–112. </w:t>
      </w:r>
      <w:hyperlink r:id="rId15" w:tgtFrame="_blank" w:history="1">
        <w:r w:rsidRPr="000A6D35">
          <w:rPr>
            <w:rStyle w:val="Hyperlink"/>
            <w:sz w:val="24"/>
            <w:szCs w:val="24"/>
          </w:rPr>
          <w:t>https://doi.org/10.1016/S0950-3536(05)80006-9</w:t>
        </w:r>
      </w:hyperlink>
    </w:p>
    <w:p w14:paraId="46803CC4"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t>Olatunya OS, Olatunji PO, Akinsete AM, et al. Hematological parameters in steady state sickle cell disease patients in Lagos, Nigeria. Niger J Clin Pract. 2017;20(5):628–33. </w:t>
      </w:r>
      <w:hyperlink r:id="rId16" w:tgtFrame="_blank" w:history="1">
        <w:r w:rsidRPr="000A6D35">
          <w:rPr>
            <w:rStyle w:val="Hyperlink"/>
            <w:sz w:val="24"/>
            <w:szCs w:val="24"/>
          </w:rPr>
          <w:t>https://doi.org/10.4103/njcp.njcp_10_17</w:t>
        </w:r>
      </w:hyperlink>
    </w:p>
    <w:p w14:paraId="40A7F78E"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t>Hebbel RP. Activation of endothelial cells and leukocytes in sickle cell disease. Blood. 1997;89(11):3931–7.</w:t>
      </w:r>
    </w:p>
    <w:p w14:paraId="06D0DFF3"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t>Kato GJ, Hebbel RP, Steinberg MH, Gladwin MT. Vasculopathy in sickle cell disease: biology, pathophysiology, genetics, translational medicine, and new research directions. Am J Hematol. 2009;84(9):618–25. </w:t>
      </w:r>
      <w:hyperlink r:id="rId17" w:tgtFrame="_blank" w:history="1">
        <w:r w:rsidRPr="000A6D35">
          <w:rPr>
            <w:rStyle w:val="Hyperlink"/>
            <w:sz w:val="24"/>
            <w:szCs w:val="24"/>
          </w:rPr>
          <w:t>https://doi.org/10.1002/ajh.21412</w:t>
        </w:r>
      </w:hyperlink>
    </w:p>
    <w:p w14:paraId="162C2D32"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t>Ataga KI, Orringer EP. Hypercoagulability in sickle cell disease: a curious paradox. Am J Med. 2003;115(9):721–8. </w:t>
      </w:r>
      <w:hyperlink r:id="rId18" w:tgtFrame="_blank" w:history="1">
        <w:r w:rsidRPr="000A6D35">
          <w:rPr>
            <w:rStyle w:val="Hyperlink"/>
            <w:sz w:val="24"/>
            <w:szCs w:val="24"/>
          </w:rPr>
          <w:t>https://doi.org/10.1016/s0002-9343(03)00317-9</w:t>
        </w:r>
      </w:hyperlink>
    </w:p>
    <w:p w14:paraId="37CE8851"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t>Adewoyin AS, Oyedeji OA, Fasawe AA, et al. Sex differences in hematological parameters in sickle cell disease patients in steady state. Niger J Clin Pract. 2017;20(9):1146–51. </w:t>
      </w:r>
      <w:hyperlink r:id="rId19" w:tgtFrame="_blank" w:history="1">
        <w:r w:rsidRPr="000A6D35">
          <w:rPr>
            <w:rStyle w:val="Hyperlink"/>
            <w:sz w:val="24"/>
            <w:szCs w:val="24"/>
          </w:rPr>
          <w:t>https://doi.org/10.4103/njcp.njcp_345_16</w:t>
        </w:r>
      </w:hyperlink>
    </w:p>
    <w:p w14:paraId="09506B43"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t>Serjeant GR. The natural history of sickle cell disease. Cold Spring Harb Perspect Med. 2013;3(10):a011783. </w:t>
      </w:r>
      <w:hyperlink r:id="rId20" w:tgtFrame="_blank" w:history="1">
        <w:r w:rsidRPr="000A6D35">
          <w:rPr>
            <w:rStyle w:val="Hyperlink"/>
            <w:sz w:val="24"/>
            <w:szCs w:val="24"/>
          </w:rPr>
          <w:t>https://doi.org/10.1101/cshperspect.a011783</w:t>
        </w:r>
      </w:hyperlink>
    </w:p>
    <w:p w14:paraId="6D2FA907"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t>Ballas SK. The steady state of sickle cell anemia. Hematol Oncol Clin North Am. 2005;19(5):799–814. </w:t>
      </w:r>
      <w:hyperlink r:id="rId21" w:tgtFrame="_blank" w:history="1">
        <w:r w:rsidRPr="000A6D35">
          <w:rPr>
            <w:rStyle w:val="Hyperlink"/>
            <w:sz w:val="24"/>
            <w:szCs w:val="24"/>
          </w:rPr>
          <w:t>https://doi.org/10.1016/j.hoc.2005.05.001</w:t>
        </w:r>
      </w:hyperlink>
    </w:p>
    <w:p w14:paraId="58745A84"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lastRenderedPageBreak/>
        <w:t>Adekile AD, Al-Awadhi A, Al-Mulla N, et al. Correlation between hematocrit and hemoglobin in sickle cell disease patients. Hemoglobin. 2005;29(3):153–61. </w:t>
      </w:r>
      <w:hyperlink r:id="rId22" w:tgtFrame="_blank" w:history="1">
        <w:r w:rsidRPr="000A6D35">
          <w:rPr>
            <w:rStyle w:val="Hyperlink"/>
            <w:sz w:val="24"/>
            <w:szCs w:val="24"/>
          </w:rPr>
          <w:t>https://doi.org/10.1080/03630260590937862</w:t>
        </w:r>
      </w:hyperlink>
    </w:p>
    <w:p w14:paraId="02C1663B" w14:textId="77777777" w:rsidR="000A6D35" w:rsidRDefault="000A6D35" w:rsidP="000A6D35">
      <w:pPr>
        <w:pStyle w:val="ListParagraph"/>
        <w:numPr>
          <w:ilvl w:val="0"/>
          <w:numId w:val="8"/>
        </w:numPr>
        <w:spacing w:line="360" w:lineRule="auto"/>
        <w:jc w:val="both"/>
        <w:rPr>
          <w:sz w:val="24"/>
          <w:szCs w:val="24"/>
        </w:rPr>
      </w:pPr>
      <w:r w:rsidRPr="000A6D35">
        <w:rPr>
          <w:sz w:val="24"/>
          <w:szCs w:val="24"/>
        </w:rPr>
        <w:t>Ataga KI, Orringer EP. Hypercoagulability in sickle cell disease: a curious paradox. Am J Med. 2003;115(9):721–8. </w:t>
      </w:r>
      <w:hyperlink r:id="rId23" w:tgtFrame="_blank" w:history="1">
        <w:r w:rsidRPr="000A6D35">
          <w:rPr>
            <w:rStyle w:val="Hyperlink"/>
            <w:sz w:val="24"/>
            <w:szCs w:val="24"/>
          </w:rPr>
          <w:t>https://doi.org/10.1016/s0002-9343(03)00317-9</w:t>
        </w:r>
      </w:hyperlink>
    </w:p>
    <w:p w14:paraId="507B849A" w14:textId="77777777" w:rsidR="000A6D35" w:rsidRPr="000A6D35" w:rsidRDefault="000A6D35" w:rsidP="000A6D35">
      <w:pPr>
        <w:pStyle w:val="ListParagraph"/>
        <w:numPr>
          <w:ilvl w:val="0"/>
          <w:numId w:val="8"/>
        </w:numPr>
        <w:spacing w:line="360" w:lineRule="auto"/>
        <w:jc w:val="both"/>
        <w:rPr>
          <w:sz w:val="24"/>
          <w:szCs w:val="24"/>
        </w:rPr>
      </w:pPr>
      <w:r w:rsidRPr="000A6D35">
        <w:rPr>
          <w:sz w:val="24"/>
          <w:szCs w:val="24"/>
        </w:rPr>
        <w:t>Powars DR, Chan LS, Hiti A, Ramicone E, Johnson C. Outcome of sickle cell anemia: a 4-decade observational study of 1056 patients. Medicine (Baltimore). 2005;84(6):363–76. </w:t>
      </w:r>
      <w:hyperlink r:id="rId24" w:tgtFrame="_blank" w:history="1">
        <w:r w:rsidRPr="000A6D35">
          <w:rPr>
            <w:rStyle w:val="Hyperlink"/>
            <w:sz w:val="24"/>
            <w:szCs w:val="24"/>
          </w:rPr>
          <w:t>https://doi.org/10.1097/01.md.0000181755.85787.72</w:t>
        </w:r>
      </w:hyperlink>
    </w:p>
    <w:p w14:paraId="2D9AF75E" w14:textId="77777777" w:rsidR="00E05576" w:rsidRPr="00856CCD" w:rsidRDefault="00E05576" w:rsidP="00856CCD">
      <w:pPr>
        <w:spacing w:line="360" w:lineRule="auto"/>
        <w:jc w:val="both"/>
        <w:rPr>
          <w:rFonts w:cstheme="minorHAnsi"/>
          <w:sz w:val="24"/>
          <w:szCs w:val="24"/>
        </w:rPr>
      </w:pPr>
    </w:p>
    <w:sectPr w:rsidR="00E05576" w:rsidRPr="00856CCD" w:rsidSect="00444C54">
      <w:headerReference w:type="even" r:id="rId25"/>
      <w:headerReference w:type="default" r:id="rId26"/>
      <w:footerReference w:type="even" r:id="rId27"/>
      <w:footerReference w:type="default" r:id="rId28"/>
      <w:headerReference w:type="first" r:id="rId29"/>
      <w:footerReference w:type="first" r:id="rId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68D8C" w14:textId="77777777" w:rsidR="00C52DFB" w:rsidRDefault="00C52DFB" w:rsidP="00CD240B">
      <w:pPr>
        <w:spacing w:after="0" w:line="240" w:lineRule="auto"/>
      </w:pPr>
      <w:r>
        <w:separator/>
      </w:r>
    </w:p>
  </w:endnote>
  <w:endnote w:type="continuationSeparator" w:id="0">
    <w:p w14:paraId="3248B82E" w14:textId="77777777" w:rsidR="00C52DFB" w:rsidRDefault="00C52DFB" w:rsidP="00CD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4C56" w14:textId="77777777" w:rsidR="00CD240B" w:rsidRDefault="00CD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C892" w14:textId="77777777" w:rsidR="00CD240B" w:rsidRDefault="00CD2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40F0C" w14:textId="77777777" w:rsidR="00CD240B" w:rsidRDefault="00CD2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66B96" w14:textId="77777777" w:rsidR="00C52DFB" w:rsidRDefault="00C52DFB" w:rsidP="00CD240B">
      <w:pPr>
        <w:spacing w:after="0" w:line="240" w:lineRule="auto"/>
      </w:pPr>
      <w:r>
        <w:separator/>
      </w:r>
    </w:p>
  </w:footnote>
  <w:footnote w:type="continuationSeparator" w:id="0">
    <w:p w14:paraId="36DE2409" w14:textId="77777777" w:rsidR="00C52DFB" w:rsidRDefault="00C52DFB" w:rsidP="00CD2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FCD23" w14:textId="26524672" w:rsidR="00CD240B" w:rsidRDefault="00CD240B">
    <w:pPr>
      <w:pStyle w:val="Header"/>
    </w:pPr>
    <w:r>
      <w:rPr>
        <w:noProof/>
      </w:rPr>
      <w:pict w14:anchorId="0579A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540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A6C22" w14:textId="6BE92592" w:rsidR="00CD240B" w:rsidRDefault="00CD240B">
    <w:pPr>
      <w:pStyle w:val="Header"/>
    </w:pPr>
    <w:r>
      <w:rPr>
        <w:noProof/>
      </w:rPr>
      <w:pict w14:anchorId="03A1A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540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6285" w14:textId="6B30D8BC" w:rsidR="00CD240B" w:rsidRDefault="00CD240B">
    <w:pPr>
      <w:pStyle w:val="Header"/>
    </w:pPr>
    <w:r>
      <w:rPr>
        <w:noProof/>
      </w:rPr>
      <w:pict w14:anchorId="00482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540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4607"/>
    <w:multiLevelType w:val="multilevel"/>
    <w:tmpl w:val="6F7A1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46F23"/>
    <w:multiLevelType w:val="multilevel"/>
    <w:tmpl w:val="E8523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E81452"/>
    <w:multiLevelType w:val="hybridMultilevel"/>
    <w:tmpl w:val="E654E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332D7"/>
    <w:multiLevelType w:val="hybridMultilevel"/>
    <w:tmpl w:val="2C8E8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8F7923"/>
    <w:multiLevelType w:val="multilevel"/>
    <w:tmpl w:val="EF541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5E0BB7"/>
    <w:multiLevelType w:val="multilevel"/>
    <w:tmpl w:val="5690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53068C"/>
    <w:multiLevelType w:val="multilevel"/>
    <w:tmpl w:val="BD6E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D753D7"/>
    <w:multiLevelType w:val="multilevel"/>
    <w:tmpl w:val="6248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4568606">
    <w:abstractNumId w:val="2"/>
  </w:num>
  <w:num w:numId="2" w16cid:durableId="2134134998">
    <w:abstractNumId w:val="6"/>
  </w:num>
  <w:num w:numId="3" w16cid:durableId="1179931528">
    <w:abstractNumId w:val="7"/>
  </w:num>
  <w:num w:numId="4" w16cid:durableId="603805410">
    <w:abstractNumId w:val="5"/>
  </w:num>
  <w:num w:numId="5" w16cid:durableId="1541815948">
    <w:abstractNumId w:val="0"/>
  </w:num>
  <w:num w:numId="6" w16cid:durableId="1937666870">
    <w:abstractNumId w:val="4"/>
  </w:num>
  <w:num w:numId="7" w16cid:durableId="1500385266">
    <w:abstractNumId w:val="1"/>
  </w:num>
  <w:num w:numId="8" w16cid:durableId="510340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28B0"/>
    <w:rsid w:val="00097854"/>
    <w:rsid w:val="000A6D35"/>
    <w:rsid w:val="0013115C"/>
    <w:rsid w:val="001341DA"/>
    <w:rsid w:val="00166294"/>
    <w:rsid w:val="002A1B44"/>
    <w:rsid w:val="002E78ED"/>
    <w:rsid w:val="00336C53"/>
    <w:rsid w:val="00423EBC"/>
    <w:rsid w:val="00444C54"/>
    <w:rsid w:val="00462922"/>
    <w:rsid w:val="00661EAD"/>
    <w:rsid w:val="00750441"/>
    <w:rsid w:val="0080182E"/>
    <w:rsid w:val="0082437E"/>
    <w:rsid w:val="00856CCD"/>
    <w:rsid w:val="009B4EAE"/>
    <w:rsid w:val="00A10939"/>
    <w:rsid w:val="00A26143"/>
    <w:rsid w:val="00A73123"/>
    <w:rsid w:val="00AF487F"/>
    <w:rsid w:val="00C40180"/>
    <w:rsid w:val="00C52DFB"/>
    <w:rsid w:val="00CA3D3F"/>
    <w:rsid w:val="00CD240B"/>
    <w:rsid w:val="00CF36FE"/>
    <w:rsid w:val="00CF4885"/>
    <w:rsid w:val="00D028B0"/>
    <w:rsid w:val="00DA1243"/>
    <w:rsid w:val="00DD5670"/>
    <w:rsid w:val="00E05576"/>
    <w:rsid w:val="00E20093"/>
    <w:rsid w:val="00E66888"/>
    <w:rsid w:val="00E92AD0"/>
    <w:rsid w:val="00F03E23"/>
    <w:rsid w:val="00F476BD"/>
    <w:rsid w:val="00F83BE8"/>
    <w:rsid w:val="00F9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EE35B"/>
  <w15:docId w15:val="{7F775EAE-6087-4FD7-8109-4F95E3E7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6FE"/>
  </w:style>
  <w:style w:type="paragraph" w:styleId="Heading2">
    <w:name w:val="heading 2"/>
    <w:basedOn w:val="Normal"/>
    <w:next w:val="Normal"/>
    <w:link w:val="Heading2Char"/>
    <w:uiPriority w:val="9"/>
    <w:semiHidden/>
    <w:unhideWhenUsed/>
    <w:qFormat/>
    <w:rsid w:val="00D028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028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028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28B0"/>
    <w:rPr>
      <w:rFonts w:ascii="Times New Roman" w:eastAsia="Times New Roman" w:hAnsi="Times New Roman" w:cs="Times New Roman"/>
      <w:b/>
      <w:bCs/>
      <w:sz w:val="27"/>
      <w:szCs w:val="27"/>
    </w:rPr>
  </w:style>
  <w:style w:type="character" w:styleId="Strong">
    <w:name w:val="Strong"/>
    <w:basedOn w:val="DefaultParagraphFont"/>
    <w:uiPriority w:val="22"/>
    <w:qFormat/>
    <w:rsid w:val="00D028B0"/>
    <w:rPr>
      <w:b/>
      <w:bCs/>
    </w:rPr>
  </w:style>
  <w:style w:type="character" w:styleId="Emphasis">
    <w:name w:val="Emphasis"/>
    <w:basedOn w:val="DefaultParagraphFont"/>
    <w:uiPriority w:val="20"/>
    <w:qFormat/>
    <w:rsid w:val="00D028B0"/>
    <w:rPr>
      <w:i/>
      <w:iCs/>
    </w:rPr>
  </w:style>
  <w:style w:type="paragraph" w:styleId="ListParagraph">
    <w:name w:val="List Paragraph"/>
    <w:basedOn w:val="Normal"/>
    <w:uiPriority w:val="34"/>
    <w:qFormat/>
    <w:rsid w:val="00D028B0"/>
    <w:pPr>
      <w:ind w:left="720"/>
      <w:contextualSpacing/>
    </w:pPr>
  </w:style>
  <w:style w:type="character" w:customStyle="1" w:styleId="Heading2Char">
    <w:name w:val="Heading 2 Char"/>
    <w:basedOn w:val="DefaultParagraphFont"/>
    <w:link w:val="Heading2"/>
    <w:uiPriority w:val="9"/>
    <w:semiHidden/>
    <w:rsid w:val="00D028B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028B0"/>
    <w:rPr>
      <w:rFonts w:asciiTheme="majorHAnsi" w:eastAsiaTheme="majorEastAsia" w:hAnsiTheme="majorHAnsi" w:cstheme="majorBidi"/>
      <w:b/>
      <w:bCs/>
      <w:i/>
      <w:iCs/>
      <w:color w:val="4F81BD" w:themeColor="accent1"/>
    </w:rPr>
  </w:style>
  <w:style w:type="character" w:customStyle="1" w:styleId="relative">
    <w:name w:val="relative"/>
    <w:basedOn w:val="DefaultParagraphFont"/>
    <w:rsid w:val="00D028B0"/>
  </w:style>
  <w:style w:type="character" w:customStyle="1" w:styleId="ms-1">
    <w:name w:val="ms-1"/>
    <w:basedOn w:val="DefaultParagraphFont"/>
    <w:rsid w:val="00D028B0"/>
  </w:style>
  <w:style w:type="character" w:customStyle="1" w:styleId="max-w-full">
    <w:name w:val="max-w-full"/>
    <w:basedOn w:val="DefaultParagraphFont"/>
    <w:rsid w:val="00D028B0"/>
  </w:style>
  <w:style w:type="character" w:styleId="Hyperlink">
    <w:name w:val="Hyperlink"/>
    <w:basedOn w:val="DefaultParagraphFont"/>
    <w:unhideWhenUsed/>
    <w:rsid w:val="00E05576"/>
    <w:rPr>
      <w:color w:val="0000FF"/>
      <w:u w:val="single"/>
    </w:rPr>
  </w:style>
  <w:style w:type="table" w:customStyle="1" w:styleId="TableGrid11">
    <w:name w:val="Table Grid11"/>
    <w:basedOn w:val="TableNormal"/>
    <w:uiPriority w:val="39"/>
    <w:rsid w:val="008243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243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401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0">
    <w:name w:val="my-0"/>
    <w:basedOn w:val="Normal"/>
    <w:rsid w:val="00E2009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A3D3F"/>
    <w:rPr>
      <w:color w:val="605E5C"/>
      <w:shd w:val="clear" w:color="auto" w:fill="E1DFDD"/>
    </w:rPr>
  </w:style>
  <w:style w:type="paragraph" w:styleId="Header">
    <w:name w:val="header"/>
    <w:basedOn w:val="Normal"/>
    <w:link w:val="HeaderChar"/>
    <w:uiPriority w:val="99"/>
    <w:unhideWhenUsed/>
    <w:rsid w:val="00CD2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40B"/>
  </w:style>
  <w:style w:type="paragraph" w:styleId="Footer">
    <w:name w:val="footer"/>
    <w:basedOn w:val="Normal"/>
    <w:link w:val="FooterChar"/>
    <w:uiPriority w:val="99"/>
    <w:unhideWhenUsed/>
    <w:rsid w:val="00CD2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4089">
      <w:bodyDiv w:val="1"/>
      <w:marLeft w:val="0"/>
      <w:marRight w:val="0"/>
      <w:marTop w:val="0"/>
      <w:marBottom w:val="0"/>
      <w:divBdr>
        <w:top w:val="none" w:sz="0" w:space="0" w:color="auto"/>
        <w:left w:val="none" w:sz="0" w:space="0" w:color="auto"/>
        <w:bottom w:val="none" w:sz="0" w:space="0" w:color="auto"/>
        <w:right w:val="none" w:sz="0" w:space="0" w:color="auto"/>
      </w:divBdr>
    </w:div>
    <w:div w:id="95255834">
      <w:bodyDiv w:val="1"/>
      <w:marLeft w:val="0"/>
      <w:marRight w:val="0"/>
      <w:marTop w:val="0"/>
      <w:marBottom w:val="0"/>
      <w:divBdr>
        <w:top w:val="none" w:sz="0" w:space="0" w:color="auto"/>
        <w:left w:val="none" w:sz="0" w:space="0" w:color="auto"/>
        <w:bottom w:val="none" w:sz="0" w:space="0" w:color="auto"/>
        <w:right w:val="none" w:sz="0" w:space="0" w:color="auto"/>
      </w:divBdr>
    </w:div>
    <w:div w:id="107042088">
      <w:bodyDiv w:val="1"/>
      <w:marLeft w:val="0"/>
      <w:marRight w:val="0"/>
      <w:marTop w:val="0"/>
      <w:marBottom w:val="0"/>
      <w:divBdr>
        <w:top w:val="none" w:sz="0" w:space="0" w:color="auto"/>
        <w:left w:val="none" w:sz="0" w:space="0" w:color="auto"/>
        <w:bottom w:val="none" w:sz="0" w:space="0" w:color="auto"/>
        <w:right w:val="none" w:sz="0" w:space="0" w:color="auto"/>
      </w:divBdr>
    </w:div>
    <w:div w:id="150410818">
      <w:bodyDiv w:val="1"/>
      <w:marLeft w:val="0"/>
      <w:marRight w:val="0"/>
      <w:marTop w:val="0"/>
      <w:marBottom w:val="0"/>
      <w:divBdr>
        <w:top w:val="none" w:sz="0" w:space="0" w:color="auto"/>
        <w:left w:val="none" w:sz="0" w:space="0" w:color="auto"/>
        <w:bottom w:val="none" w:sz="0" w:space="0" w:color="auto"/>
        <w:right w:val="none" w:sz="0" w:space="0" w:color="auto"/>
      </w:divBdr>
    </w:div>
    <w:div w:id="334382511">
      <w:bodyDiv w:val="1"/>
      <w:marLeft w:val="0"/>
      <w:marRight w:val="0"/>
      <w:marTop w:val="0"/>
      <w:marBottom w:val="0"/>
      <w:divBdr>
        <w:top w:val="none" w:sz="0" w:space="0" w:color="auto"/>
        <w:left w:val="none" w:sz="0" w:space="0" w:color="auto"/>
        <w:bottom w:val="none" w:sz="0" w:space="0" w:color="auto"/>
        <w:right w:val="none" w:sz="0" w:space="0" w:color="auto"/>
      </w:divBdr>
    </w:div>
    <w:div w:id="410739201">
      <w:bodyDiv w:val="1"/>
      <w:marLeft w:val="0"/>
      <w:marRight w:val="0"/>
      <w:marTop w:val="0"/>
      <w:marBottom w:val="0"/>
      <w:divBdr>
        <w:top w:val="none" w:sz="0" w:space="0" w:color="auto"/>
        <w:left w:val="none" w:sz="0" w:space="0" w:color="auto"/>
        <w:bottom w:val="none" w:sz="0" w:space="0" w:color="auto"/>
        <w:right w:val="none" w:sz="0" w:space="0" w:color="auto"/>
      </w:divBdr>
    </w:div>
    <w:div w:id="463734895">
      <w:bodyDiv w:val="1"/>
      <w:marLeft w:val="0"/>
      <w:marRight w:val="0"/>
      <w:marTop w:val="0"/>
      <w:marBottom w:val="0"/>
      <w:divBdr>
        <w:top w:val="none" w:sz="0" w:space="0" w:color="auto"/>
        <w:left w:val="none" w:sz="0" w:space="0" w:color="auto"/>
        <w:bottom w:val="none" w:sz="0" w:space="0" w:color="auto"/>
        <w:right w:val="none" w:sz="0" w:space="0" w:color="auto"/>
      </w:divBdr>
    </w:div>
    <w:div w:id="466358054">
      <w:bodyDiv w:val="1"/>
      <w:marLeft w:val="0"/>
      <w:marRight w:val="0"/>
      <w:marTop w:val="0"/>
      <w:marBottom w:val="0"/>
      <w:divBdr>
        <w:top w:val="none" w:sz="0" w:space="0" w:color="auto"/>
        <w:left w:val="none" w:sz="0" w:space="0" w:color="auto"/>
        <w:bottom w:val="none" w:sz="0" w:space="0" w:color="auto"/>
        <w:right w:val="none" w:sz="0" w:space="0" w:color="auto"/>
      </w:divBdr>
    </w:div>
    <w:div w:id="476924144">
      <w:bodyDiv w:val="1"/>
      <w:marLeft w:val="0"/>
      <w:marRight w:val="0"/>
      <w:marTop w:val="0"/>
      <w:marBottom w:val="0"/>
      <w:divBdr>
        <w:top w:val="none" w:sz="0" w:space="0" w:color="auto"/>
        <w:left w:val="none" w:sz="0" w:space="0" w:color="auto"/>
        <w:bottom w:val="none" w:sz="0" w:space="0" w:color="auto"/>
        <w:right w:val="none" w:sz="0" w:space="0" w:color="auto"/>
      </w:divBdr>
    </w:div>
    <w:div w:id="583226098">
      <w:bodyDiv w:val="1"/>
      <w:marLeft w:val="0"/>
      <w:marRight w:val="0"/>
      <w:marTop w:val="0"/>
      <w:marBottom w:val="0"/>
      <w:divBdr>
        <w:top w:val="none" w:sz="0" w:space="0" w:color="auto"/>
        <w:left w:val="none" w:sz="0" w:space="0" w:color="auto"/>
        <w:bottom w:val="none" w:sz="0" w:space="0" w:color="auto"/>
        <w:right w:val="none" w:sz="0" w:space="0" w:color="auto"/>
      </w:divBdr>
    </w:div>
    <w:div w:id="806971489">
      <w:bodyDiv w:val="1"/>
      <w:marLeft w:val="0"/>
      <w:marRight w:val="0"/>
      <w:marTop w:val="0"/>
      <w:marBottom w:val="0"/>
      <w:divBdr>
        <w:top w:val="none" w:sz="0" w:space="0" w:color="auto"/>
        <w:left w:val="none" w:sz="0" w:space="0" w:color="auto"/>
        <w:bottom w:val="none" w:sz="0" w:space="0" w:color="auto"/>
        <w:right w:val="none" w:sz="0" w:space="0" w:color="auto"/>
      </w:divBdr>
    </w:div>
    <w:div w:id="831531838">
      <w:bodyDiv w:val="1"/>
      <w:marLeft w:val="0"/>
      <w:marRight w:val="0"/>
      <w:marTop w:val="0"/>
      <w:marBottom w:val="0"/>
      <w:divBdr>
        <w:top w:val="none" w:sz="0" w:space="0" w:color="auto"/>
        <w:left w:val="none" w:sz="0" w:space="0" w:color="auto"/>
        <w:bottom w:val="none" w:sz="0" w:space="0" w:color="auto"/>
        <w:right w:val="none" w:sz="0" w:space="0" w:color="auto"/>
      </w:divBdr>
    </w:div>
    <w:div w:id="857937471">
      <w:bodyDiv w:val="1"/>
      <w:marLeft w:val="0"/>
      <w:marRight w:val="0"/>
      <w:marTop w:val="0"/>
      <w:marBottom w:val="0"/>
      <w:divBdr>
        <w:top w:val="none" w:sz="0" w:space="0" w:color="auto"/>
        <w:left w:val="none" w:sz="0" w:space="0" w:color="auto"/>
        <w:bottom w:val="none" w:sz="0" w:space="0" w:color="auto"/>
        <w:right w:val="none" w:sz="0" w:space="0" w:color="auto"/>
      </w:divBdr>
    </w:div>
    <w:div w:id="905189689">
      <w:bodyDiv w:val="1"/>
      <w:marLeft w:val="0"/>
      <w:marRight w:val="0"/>
      <w:marTop w:val="0"/>
      <w:marBottom w:val="0"/>
      <w:divBdr>
        <w:top w:val="none" w:sz="0" w:space="0" w:color="auto"/>
        <w:left w:val="none" w:sz="0" w:space="0" w:color="auto"/>
        <w:bottom w:val="none" w:sz="0" w:space="0" w:color="auto"/>
        <w:right w:val="none" w:sz="0" w:space="0" w:color="auto"/>
      </w:divBdr>
    </w:div>
    <w:div w:id="1088773117">
      <w:bodyDiv w:val="1"/>
      <w:marLeft w:val="0"/>
      <w:marRight w:val="0"/>
      <w:marTop w:val="0"/>
      <w:marBottom w:val="0"/>
      <w:divBdr>
        <w:top w:val="none" w:sz="0" w:space="0" w:color="auto"/>
        <w:left w:val="none" w:sz="0" w:space="0" w:color="auto"/>
        <w:bottom w:val="none" w:sz="0" w:space="0" w:color="auto"/>
        <w:right w:val="none" w:sz="0" w:space="0" w:color="auto"/>
      </w:divBdr>
    </w:div>
    <w:div w:id="1115252479">
      <w:bodyDiv w:val="1"/>
      <w:marLeft w:val="0"/>
      <w:marRight w:val="0"/>
      <w:marTop w:val="0"/>
      <w:marBottom w:val="0"/>
      <w:divBdr>
        <w:top w:val="none" w:sz="0" w:space="0" w:color="auto"/>
        <w:left w:val="none" w:sz="0" w:space="0" w:color="auto"/>
        <w:bottom w:val="none" w:sz="0" w:space="0" w:color="auto"/>
        <w:right w:val="none" w:sz="0" w:space="0" w:color="auto"/>
      </w:divBdr>
    </w:div>
    <w:div w:id="1200582243">
      <w:bodyDiv w:val="1"/>
      <w:marLeft w:val="0"/>
      <w:marRight w:val="0"/>
      <w:marTop w:val="0"/>
      <w:marBottom w:val="0"/>
      <w:divBdr>
        <w:top w:val="none" w:sz="0" w:space="0" w:color="auto"/>
        <w:left w:val="none" w:sz="0" w:space="0" w:color="auto"/>
        <w:bottom w:val="none" w:sz="0" w:space="0" w:color="auto"/>
        <w:right w:val="none" w:sz="0" w:space="0" w:color="auto"/>
      </w:divBdr>
    </w:div>
    <w:div w:id="1213955072">
      <w:bodyDiv w:val="1"/>
      <w:marLeft w:val="0"/>
      <w:marRight w:val="0"/>
      <w:marTop w:val="0"/>
      <w:marBottom w:val="0"/>
      <w:divBdr>
        <w:top w:val="none" w:sz="0" w:space="0" w:color="auto"/>
        <w:left w:val="none" w:sz="0" w:space="0" w:color="auto"/>
        <w:bottom w:val="none" w:sz="0" w:space="0" w:color="auto"/>
        <w:right w:val="none" w:sz="0" w:space="0" w:color="auto"/>
      </w:divBdr>
    </w:div>
    <w:div w:id="1318342321">
      <w:bodyDiv w:val="1"/>
      <w:marLeft w:val="0"/>
      <w:marRight w:val="0"/>
      <w:marTop w:val="0"/>
      <w:marBottom w:val="0"/>
      <w:divBdr>
        <w:top w:val="none" w:sz="0" w:space="0" w:color="auto"/>
        <w:left w:val="none" w:sz="0" w:space="0" w:color="auto"/>
        <w:bottom w:val="none" w:sz="0" w:space="0" w:color="auto"/>
        <w:right w:val="none" w:sz="0" w:space="0" w:color="auto"/>
      </w:divBdr>
    </w:div>
    <w:div w:id="1364551835">
      <w:bodyDiv w:val="1"/>
      <w:marLeft w:val="0"/>
      <w:marRight w:val="0"/>
      <w:marTop w:val="0"/>
      <w:marBottom w:val="0"/>
      <w:divBdr>
        <w:top w:val="none" w:sz="0" w:space="0" w:color="auto"/>
        <w:left w:val="none" w:sz="0" w:space="0" w:color="auto"/>
        <w:bottom w:val="none" w:sz="0" w:space="0" w:color="auto"/>
        <w:right w:val="none" w:sz="0" w:space="0" w:color="auto"/>
      </w:divBdr>
    </w:div>
    <w:div w:id="1373461834">
      <w:bodyDiv w:val="1"/>
      <w:marLeft w:val="0"/>
      <w:marRight w:val="0"/>
      <w:marTop w:val="0"/>
      <w:marBottom w:val="0"/>
      <w:divBdr>
        <w:top w:val="none" w:sz="0" w:space="0" w:color="auto"/>
        <w:left w:val="none" w:sz="0" w:space="0" w:color="auto"/>
        <w:bottom w:val="none" w:sz="0" w:space="0" w:color="auto"/>
        <w:right w:val="none" w:sz="0" w:space="0" w:color="auto"/>
      </w:divBdr>
    </w:div>
    <w:div w:id="1433892471">
      <w:bodyDiv w:val="1"/>
      <w:marLeft w:val="0"/>
      <w:marRight w:val="0"/>
      <w:marTop w:val="0"/>
      <w:marBottom w:val="0"/>
      <w:divBdr>
        <w:top w:val="none" w:sz="0" w:space="0" w:color="auto"/>
        <w:left w:val="none" w:sz="0" w:space="0" w:color="auto"/>
        <w:bottom w:val="none" w:sz="0" w:space="0" w:color="auto"/>
        <w:right w:val="none" w:sz="0" w:space="0" w:color="auto"/>
      </w:divBdr>
    </w:div>
    <w:div w:id="1438596518">
      <w:bodyDiv w:val="1"/>
      <w:marLeft w:val="0"/>
      <w:marRight w:val="0"/>
      <w:marTop w:val="0"/>
      <w:marBottom w:val="0"/>
      <w:divBdr>
        <w:top w:val="none" w:sz="0" w:space="0" w:color="auto"/>
        <w:left w:val="none" w:sz="0" w:space="0" w:color="auto"/>
        <w:bottom w:val="none" w:sz="0" w:space="0" w:color="auto"/>
        <w:right w:val="none" w:sz="0" w:space="0" w:color="auto"/>
      </w:divBdr>
    </w:div>
    <w:div w:id="1612860893">
      <w:bodyDiv w:val="1"/>
      <w:marLeft w:val="0"/>
      <w:marRight w:val="0"/>
      <w:marTop w:val="0"/>
      <w:marBottom w:val="0"/>
      <w:divBdr>
        <w:top w:val="none" w:sz="0" w:space="0" w:color="auto"/>
        <w:left w:val="none" w:sz="0" w:space="0" w:color="auto"/>
        <w:bottom w:val="none" w:sz="0" w:space="0" w:color="auto"/>
        <w:right w:val="none" w:sz="0" w:space="0" w:color="auto"/>
      </w:divBdr>
    </w:div>
    <w:div w:id="1678385227">
      <w:bodyDiv w:val="1"/>
      <w:marLeft w:val="0"/>
      <w:marRight w:val="0"/>
      <w:marTop w:val="0"/>
      <w:marBottom w:val="0"/>
      <w:divBdr>
        <w:top w:val="none" w:sz="0" w:space="0" w:color="auto"/>
        <w:left w:val="none" w:sz="0" w:space="0" w:color="auto"/>
        <w:bottom w:val="none" w:sz="0" w:space="0" w:color="auto"/>
        <w:right w:val="none" w:sz="0" w:space="0" w:color="auto"/>
      </w:divBdr>
    </w:div>
    <w:div w:id="1699041774">
      <w:bodyDiv w:val="1"/>
      <w:marLeft w:val="0"/>
      <w:marRight w:val="0"/>
      <w:marTop w:val="0"/>
      <w:marBottom w:val="0"/>
      <w:divBdr>
        <w:top w:val="none" w:sz="0" w:space="0" w:color="auto"/>
        <w:left w:val="none" w:sz="0" w:space="0" w:color="auto"/>
        <w:bottom w:val="none" w:sz="0" w:space="0" w:color="auto"/>
        <w:right w:val="none" w:sz="0" w:space="0" w:color="auto"/>
      </w:divBdr>
    </w:div>
    <w:div w:id="1821843768">
      <w:bodyDiv w:val="1"/>
      <w:marLeft w:val="0"/>
      <w:marRight w:val="0"/>
      <w:marTop w:val="0"/>
      <w:marBottom w:val="0"/>
      <w:divBdr>
        <w:top w:val="none" w:sz="0" w:space="0" w:color="auto"/>
        <w:left w:val="none" w:sz="0" w:space="0" w:color="auto"/>
        <w:bottom w:val="none" w:sz="0" w:space="0" w:color="auto"/>
        <w:right w:val="none" w:sz="0" w:space="0" w:color="auto"/>
      </w:divBdr>
    </w:div>
    <w:div w:id="1835877899">
      <w:bodyDiv w:val="1"/>
      <w:marLeft w:val="0"/>
      <w:marRight w:val="0"/>
      <w:marTop w:val="0"/>
      <w:marBottom w:val="0"/>
      <w:divBdr>
        <w:top w:val="none" w:sz="0" w:space="0" w:color="auto"/>
        <w:left w:val="none" w:sz="0" w:space="0" w:color="auto"/>
        <w:bottom w:val="none" w:sz="0" w:space="0" w:color="auto"/>
        <w:right w:val="none" w:sz="0" w:space="0" w:color="auto"/>
      </w:divBdr>
    </w:div>
    <w:div w:id="1857230845">
      <w:bodyDiv w:val="1"/>
      <w:marLeft w:val="0"/>
      <w:marRight w:val="0"/>
      <w:marTop w:val="0"/>
      <w:marBottom w:val="0"/>
      <w:divBdr>
        <w:top w:val="none" w:sz="0" w:space="0" w:color="auto"/>
        <w:left w:val="none" w:sz="0" w:space="0" w:color="auto"/>
        <w:bottom w:val="none" w:sz="0" w:space="0" w:color="auto"/>
        <w:right w:val="none" w:sz="0" w:space="0" w:color="auto"/>
      </w:divBdr>
    </w:div>
    <w:div w:id="1964966617">
      <w:bodyDiv w:val="1"/>
      <w:marLeft w:val="0"/>
      <w:marRight w:val="0"/>
      <w:marTop w:val="0"/>
      <w:marBottom w:val="0"/>
      <w:divBdr>
        <w:top w:val="none" w:sz="0" w:space="0" w:color="auto"/>
        <w:left w:val="none" w:sz="0" w:space="0" w:color="auto"/>
        <w:bottom w:val="none" w:sz="0" w:space="0" w:color="auto"/>
        <w:right w:val="none" w:sz="0" w:space="0" w:color="auto"/>
      </w:divBdr>
    </w:div>
    <w:div w:id="2095202956">
      <w:bodyDiv w:val="1"/>
      <w:marLeft w:val="0"/>
      <w:marRight w:val="0"/>
      <w:marTop w:val="0"/>
      <w:marBottom w:val="0"/>
      <w:divBdr>
        <w:top w:val="none" w:sz="0" w:space="0" w:color="auto"/>
        <w:left w:val="none" w:sz="0" w:space="0" w:color="auto"/>
        <w:bottom w:val="none" w:sz="0" w:space="0" w:color="auto"/>
        <w:right w:val="none" w:sz="0" w:space="0" w:color="auto"/>
      </w:divBdr>
    </w:div>
    <w:div w:id="21101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40-6736(97)07318-5" TargetMode="External"/><Relationship Id="rId13" Type="http://schemas.openxmlformats.org/officeDocument/2006/relationships/hyperlink" Target="https://doi.org/10.1172/JCI10857" TargetMode="External"/><Relationship Id="rId18" Type="http://schemas.openxmlformats.org/officeDocument/2006/relationships/hyperlink" Target="https://doi.org/10.1016/s0002-9343(03)00317-9"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1016/j.hoc.2005.05.001" TargetMode="External"/><Relationship Id="rId7" Type="http://schemas.openxmlformats.org/officeDocument/2006/relationships/hyperlink" Target="https://doi.org/10.1016/S0140-6736(10)61029-X" TargetMode="External"/><Relationship Id="rId12" Type="http://schemas.openxmlformats.org/officeDocument/2006/relationships/hyperlink" Target="https://doi.org/10.1002/ajh.21918" TargetMode="External"/><Relationship Id="rId17" Type="http://schemas.openxmlformats.org/officeDocument/2006/relationships/hyperlink" Target="https://doi.org/10.1002/ajh.2141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4103/njcp.njcp_10_17" TargetMode="External"/><Relationship Id="rId20" Type="http://schemas.openxmlformats.org/officeDocument/2006/relationships/hyperlink" Target="https://doi.org/10.1101/cshperspect.a011783"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0140-6736(92)91155-6" TargetMode="External"/><Relationship Id="rId24" Type="http://schemas.openxmlformats.org/officeDocument/2006/relationships/hyperlink" Target="https://doi.org/10.1097/01.md.0000181755.85787.7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S0950-3536(05)80006-9" TargetMode="External"/><Relationship Id="rId23" Type="http://schemas.openxmlformats.org/officeDocument/2006/relationships/hyperlink" Target="https://doi.org/10.1016/s0002-9343(03)00317-9" TargetMode="External"/><Relationship Id="rId28" Type="http://schemas.openxmlformats.org/officeDocument/2006/relationships/footer" Target="footer2.xml"/><Relationship Id="rId10" Type="http://schemas.openxmlformats.org/officeDocument/2006/relationships/hyperlink" Target="https://doi.org/10.1056/NEJM199406093302303" TargetMode="External"/><Relationship Id="rId19" Type="http://schemas.openxmlformats.org/officeDocument/2006/relationships/hyperlink" Target="https://doi.org/10.4103/njcp.njcp_345_1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11/j.1749-6632.1989.tb21044.x" TargetMode="External"/><Relationship Id="rId14" Type="http://schemas.openxmlformats.org/officeDocument/2006/relationships/hyperlink" Target="https://doi.org/10.1080/03630260590937862" TargetMode="External"/><Relationship Id="rId22" Type="http://schemas.openxmlformats.org/officeDocument/2006/relationships/hyperlink" Target="https://doi.org/10.1080/03630260590937862"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4005</Words>
  <Characters>22834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Editor-22</cp:lastModifiedBy>
  <cp:revision>10</cp:revision>
  <dcterms:created xsi:type="dcterms:W3CDTF">2025-05-17T13:07:00Z</dcterms:created>
  <dcterms:modified xsi:type="dcterms:W3CDTF">2025-05-19T08:21:00Z</dcterms:modified>
</cp:coreProperties>
</file>