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A1A83" w14:textId="77777777" w:rsidR="00F53462" w:rsidRPr="00F53462" w:rsidRDefault="00F53462" w:rsidP="00F53462">
      <w:pPr>
        <w:rPr>
          <w:rFonts w:ascii="Times New Roman" w:hAnsi="Times New Roman" w:cs="Times New Roman"/>
          <w:b/>
          <w:bCs/>
          <w:i/>
          <w:iCs/>
          <w:sz w:val="24"/>
          <w:u w:val="single"/>
          <w:lang w:val="en-US"/>
        </w:rPr>
      </w:pPr>
      <w:bookmarkStart w:id="0" w:name="_Hlk199582590"/>
      <w:bookmarkStart w:id="1" w:name="_GoBack"/>
      <w:bookmarkEnd w:id="1"/>
      <w:r w:rsidRPr="00F53462">
        <w:rPr>
          <w:rFonts w:ascii="Times New Roman" w:hAnsi="Times New Roman" w:cs="Times New Roman"/>
          <w:b/>
          <w:bCs/>
          <w:i/>
          <w:iCs/>
          <w:sz w:val="24"/>
          <w:u w:val="single"/>
          <w:lang w:val="en-US"/>
        </w:rPr>
        <w:t>Original Research Article</w:t>
      </w:r>
    </w:p>
    <w:p w14:paraId="29433AB3" w14:textId="77777777" w:rsidR="00F53462" w:rsidRDefault="00F53462">
      <w:pPr>
        <w:rPr>
          <w:rFonts w:ascii="Times New Roman" w:hAnsi="Times New Roman" w:cs="Times New Roman"/>
          <w:b/>
          <w:sz w:val="24"/>
        </w:rPr>
      </w:pPr>
    </w:p>
    <w:p w14:paraId="54411AFA" w14:textId="3ED9168F" w:rsidR="009D162F" w:rsidRDefault="006E6378">
      <w:pPr>
        <w:rPr>
          <w:rFonts w:ascii="Times New Roman" w:hAnsi="Times New Roman" w:cs="Times New Roman"/>
          <w:b/>
          <w:sz w:val="24"/>
        </w:rPr>
      </w:pPr>
      <w:r>
        <w:rPr>
          <w:rFonts w:ascii="Times New Roman" w:hAnsi="Times New Roman" w:cs="Times New Roman"/>
          <w:b/>
          <w:sz w:val="24"/>
        </w:rPr>
        <w:t xml:space="preserve">Nose-to-Brain Delivery of Naringenin loaded </w:t>
      </w:r>
      <w:proofErr w:type="spellStart"/>
      <w:r>
        <w:rPr>
          <w:rFonts w:ascii="Times New Roman" w:hAnsi="Times New Roman" w:cs="Times New Roman"/>
          <w:b/>
          <w:sz w:val="24"/>
        </w:rPr>
        <w:t>cubosomal</w:t>
      </w:r>
      <w:proofErr w:type="spellEnd"/>
      <w:r>
        <w:rPr>
          <w:rFonts w:ascii="Times New Roman" w:hAnsi="Times New Roman" w:cs="Times New Roman"/>
          <w:b/>
          <w:sz w:val="24"/>
        </w:rPr>
        <w:t xml:space="preserve"> </w:t>
      </w:r>
      <w:r>
        <w:rPr>
          <w:rFonts w:ascii="Times New Roman" w:hAnsi="Times New Roman" w:cs="Times New Roman"/>
          <w:b/>
          <w:i/>
          <w:sz w:val="24"/>
        </w:rPr>
        <w:t>In-Situ</w:t>
      </w:r>
      <w:r>
        <w:rPr>
          <w:rFonts w:ascii="Times New Roman" w:hAnsi="Times New Roman" w:cs="Times New Roman"/>
          <w:b/>
          <w:sz w:val="24"/>
        </w:rPr>
        <w:t xml:space="preserve"> Gel: Formulation</w:t>
      </w:r>
      <w:r>
        <w:rPr>
          <w:rFonts w:ascii="Times New Roman" w:hAnsi="Times New Roman" w:cs="Times New Roman"/>
          <w:b/>
          <w:sz w:val="24"/>
          <w:lang w:val="en-US"/>
        </w:rPr>
        <w:t xml:space="preserve"> and </w:t>
      </w:r>
      <w:r>
        <w:rPr>
          <w:rFonts w:ascii="Times New Roman" w:hAnsi="Times New Roman" w:cs="Times New Roman"/>
          <w:b/>
          <w:i/>
          <w:iCs/>
          <w:sz w:val="24"/>
          <w:lang w:val="en-US"/>
        </w:rPr>
        <w:t xml:space="preserve">In vitro/In vivo </w:t>
      </w:r>
      <w:r>
        <w:rPr>
          <w:rFonts w:ascii="Times New Roman" w:hAnsi="Times New Roman" w:cs="Times New Roman"/>
          <w:b/>
          <w:sz w:val="24"/>
        </w:rPr>
        <w:t>Evaluation</w:t>
      </w:r>
    </w:p>
    <w:bookmarkEnd w:id="0"/>
    <w:p w14:paraId="6663E48C" w14:textId="77777777" w:rsidR="00F53462" w:rsidRPr="00F53462" w:rsidRDefault="00F53462" w:rsidP="00F53462">
      <w:pPr>
        <w:spacing w:after="0" w:line="240" w:lineRule="auto"/>
        <w:rPr>
          <w:rFonts w:ascii="Calibri" w:eastAsia="DengXian" w:hAnsi="Calibri" w:cs="Times New Roman"/>
          <w:sz w:val="20"/>
          <w:szCs w:val="20"/>
          <w:lang w:val="en-US" w:eastAsia="zh-CN"/>
        </w:rPr>
      </w:pPr>
    </w:p>
    <w:p w14:paraId="4C9AC87F" w14:textId="77777777" w:rsidR="009D162F" w:rsidRDefault="006E6378">
      <w:pPr>
        <w:jc w:val="both"/>
        <w:rPr>
          <w:rFonts w:ascii="Times New Roman" w:hAnsi="Times New Roman" w:cs="Times New Roman"/>
          <w:b/>
          <w:sz w:val="24"/>
          <w:szCs w:val="24"/>
        </w:rPr>
      </w:pPr>
      <w:r>
        <w:rPr>
          <w:rFonts w:ascii="Times New Roman" w:hAnsi="Times New Roman" w:cs="Times New Roman"/>
          <w:b/>
          <w:sz w:val="24"/>
          <w:szCs w:val="24"/>
        </w:rPr>
        <w:t>Abstract</w:t>
      </w:r>
    </w:p>
    <w:p w14:paraId="690A870D" w14:textId="77777777" w:rsidR="009D162F" w:rsidRDefault="006E6378">
      <w:pPr>
        <w:pStyle w:val="NormalWeb"/>
        <w:spacing w:line="276" w:lineRule="auto"/>
        <w:jc w:val="both"/>
      </w:pPr>
      <w:r>
        <w:t xml:space="preserve"> The main </w:t>
      </w:r>
      <w:r>
        <w:rPr>
          <w:lang w:val="en-US"/>
        </w:rPr>
        <w:t>aim</w:t>
      </w:r>
      <w:r>
        <w:t xml:space="preserve"> of this study was to develop naringenin-</w:t>
      </w:r>
      <w:r>
        <w:rPr>
          <w:lang w:val="en-US"/>
        </w:rPr>
        <w:t>lo</w:t>
      </w:r>
      <w:r>
        <w:rPr>
          <w:lang w:val="en-US"/>
        </w:rPr>
        <w:t>aded</w:t>
      </w:r>
      <w:r>
        <w:t xml:space="preserve"> </w:t>
      </w:r>
      <w:proofErr w:type="spellStart"/>
      <w:r>
        <w:t>cubosomes</w:t>
      </w:r>
      <w:proofErr w:type="spellEnd"/>
      <w:r>
        <w:t xml:space="preserve"> for intranasal administration, with a focus on </w:t>
      </w:r>
      <w:proofErr w:type="gramStart"/>
      <w:r>
        <w:t>assessing  pharmacokinetics</w:t>
      </w:r>
      <w:proofErr w:type="gramEnd"/>
      <w:r>
        <w:t xml:space="preserve"> in animal </w:t>
      </w:r>
      <w:proofErr w:type="spellStart"/>
      <w:r>
        <w:t>models.The</w:t>
      </w:r>
      <w:proofErr w:type="spellEnd"/>
      <w:r>
        <w:t xml:space="preserve"> </w:t>
      </w:r>
      <w:proofErr w:type="spellStart"/>
      <w:r>
        <w:t>cubosom</w:t>
      </w:r>
      <w:proofErr w:type="spellEnd"/>
      <w:r>
        <w:rPr>
          <w:lang w:val="en-US"/>
        </w:rPr>
        <w:t>es</w:t>
      </w:r>
      <w:r>
        <w:t xml:space="preserve"> w</w:t>
      </w:r>
      <w:r>
        <w:rPr>
          <w:lang w:val="en-US"/>
        </w:rPr>
        <w:t>ere</w:t>
      </w:r>
      <w:r>
        <w:t xml:space="preserve"> developed using the top-down method</w:t>
      </w:r>
      <w:r>
        <w:rPr>
          <w:lang w:val="en-US"/>
        </w:rPr>
        <w:t xml:space="preserve"> and were optimized using CCD</w:t>
      </w:r>
      <w:r>
        <w:t>. This method involves breaking down larger cubic phases into smal</w:t>
      </w:r>
      <w:r>
        <w:t xml:space="preserve">ler nanoparticles, suitable for drug delivery </w:t>
      </w:r>
      <w:proofErr w:type="spellStart"/>
      <w:proofErr w:type="gramStart"/>
      <w:r>
        <w:t>applications.The</w:t>
      </w:r>
      <w:proofErr w:type="spellEnd"/>
      <w:r>
        <w:rPr>
          <w:lang w:val="en-US"/>
        </w:rPr>
        <w:t>y</w:t>
      </w:r>
      <w:proofErr w:type="gramEnd"/>
      <w:r>
        <w:rPr>
          <w:lang w:val="en-US"/>
        </w:rPr>
        <w:t xml:space="preserve"> are subjected to</w:t>
      </w:r>
      <w:r>
        <w:t xml:space="preserve"> physicochemical analysis</w:t>
      </w:r>
      <w:r>
        <w:rPr>
          <w:lang w:val="en-US"/>
        </w:rPr>
        <w:t>,</w:t>
      </w:r>
      <w:r>
        <w:t xml:space="preserve"> </w:t>
      </w:r>
      <w:r>
        <w:rPr>
          <w:i/>
        </w:rPr>
        <w:t>In vitro</w:t>
      </w:r>
      <w:r>
        <w:t xml:space="preserve"> release studies</w:t>
      </w:r>
      <w:r>
        <w:rPr>
          <w:lang w:val="en-US"/>
        </w:rPr>
        <w:t>.</w:t>
      </w:r>
      <w:r>
        <w:t xml:space="preserve"> </w:t>
      </w:r>
      <w:r>
        <w:rPr>
          <w:lang w:val="en-US"/>
        </w:rPr>
        <w:t>From t</w:t>
      </w:r>
      <w:r>
        <w:t xml:space="preserve">he </w:t>
      </w:r>
      <w:r>
        <w:rPr>
          <w:lang w:val="en-US"/>
        </w:rPr>
        <w:t xml:space="preserve">studies </w:t>
      </w:r>
      <w:proofErr w:type="spellStart"/>
      <w:r>
        <w:t>cubosomal</w:t>
      </w:r>
      <w:proofErr w:type="spellEnd"/>
      <w:r>
        <w:t xml:space="preserve"> </w:t>
      </w:r>
      <w:r>
        <w:rPr>
          <w:i/>
        </w:rPr>
        <w:t>in-situ</w:t>
      </w:r>
      <w:r>
        <w:t xml:space="preserve"> gel formulation (Gellan gum 0.45% w/v, Locust bean gum 1.58% and 3.0% w/v, PEG6000 2% w/</w:t>
      </w:r>
      <w:r>
        <w:t xml:space="preserve">v) showed significantly higher release compared to free naringenin. </w:t>
      </w:r>
      <w:r>
        <w:rPr>
          <w:lang w:val="en-US"/>
        </w:rPr>
        <w:t xml:space="preserve">Pharmacodynamic studies confirms </w:t>
      </w:r>
      <w:proofErr w:type="gramStart"/>
      <w:r>
        <w:rPr>
          <w:lang w:val="en-US"/>
        </w:rPr>
        <w:t xml:space="preserve">that  </w:t>
      </w:r>
      <w:r>
        <w:rPr>
          <w:color w:val="000000" w:themeColor="text1"/>
        </w:rPr>
        <w:t>the</w:t>
      </w:r>
      <w:proofErr w:type="gramEnd"/>
      <w:r>
        <w:rPr>
          <w:color w:val="000000" w:themeColor="text1"/>
        </w:rPr>
        <w:t xml:space="preserve"> nasal administration group showed a delayed onset of action when compared to the oral administration group, suggesting a targeted </w:t>
      </w:r>
      <w:proofErr w:type="spellStart"/>
      <w:r>
        <w:rPr>
          <w:color w:val="000000" w:themeColor="text1"/>
        </w:rPr>
        <w:t>effec</w:t>
      </w:r>
      <w:proofErr w:type="spellEnd"/>
      <w:r>
        <w:rPr>
          <w:color w:val="000000" w:themeColor="text1"/>
          <w:lang w:val="en-US"/>
        </w:rPr>
        <w:t>t.</w:t>
      </w:r>
    </w:p>
    <w:p w14:paraId="53EBF289"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 xml:space="preserve">Key words: Naringenin, </w:t>
      </w:r>
      <w:proofErr w:type="spellStart"/>
      <w:r>
        <w:rPr>
          <w:rFonts w:ascii="Times New Roman" w:hAnsi="Times New Roman" w:cs="Times New Roman"/>
          <w:sz w:val="24"/>
          <w:szCs w:val="24"/>
        </w:rPr>
        <w:t>cubosomes</w:t>
      </w:r>
      <w:proofErr w:type="spellEnd"/>
      <w:r>
        <w:rPr>
          <w:rFonts w:ascii="Times New Roman" w:hAnsi="Times New Roman" w:cs="Times New Roman"/>
          <w:sz w:val="24"/>
          <w:szCs w:val="24"/>
        </w:rPr>
        <w:t xml:space="preserve">, </w:t>
      </w:r>
      <w:r>
        <w:rPr>
          <w:rFonts w:ascii="Times New Roman" w:hAnsi="Times New Roman" w:cs="Times New Roman"/>
          <w:i/>
          <w:sz w:val="24"/>
          <w:szCs w:val="24"/>
        </w:rPr>
        <w:t>in-situ</w:t>
      </w:r>
      <w:r>
        <w:rPr>
          <w:rFonts w:ascii="Times New Roman" w:hAnsi="Times New Roman" w:cs="Times New Roman"/>
          <w:sz w:val="24"/>
          <w:szCs w:val="24"/>
        </w:rPr>
        <w:t xml:space="preserve"> gel, brain target drug delivery</w:t>
      </w:r>
    </w:p>
    <w:p w14:paraId="1DC4526E" w14:textId="77777777" w:rsidR="009D162F" w:rsidRDefault="006E6378">
      <w:pPr>
        <w:jc w:val="both"/>
        <w:rPr>
          <w:rFonts w:ascii="Times New Roman" w:hAnsi="Times New Roman" w:cs="Times New Roman"/>
          <w:b/>
          <w:sz w:val="24"/>
          <w:szCs w:val="24"/>
        </w:rPr>
      </w:pPr>
      <w:r>
        <w:rPr>
          <w:rFonts w:ascii="Times New Roman" w:hAnsi="Times New Roman" w:cs="Times New Roman"/>
          <w:b/>
          <w:sz w:val="24"/>
          <w:szCs w:val="24"/>
        </w:rPr>
        <w:t>Introduction</w:t>
      </w:r>
    </w:p>
    <w:p w14:paraId="0F9B0594" w14:textId="77777777" w:rsidR="009D162F" w:rsidRDefault="009D162F">
      <w:pPr>
        <w:jc w:val="both"/>
        <w:rPr>
          <w:rFonts w:ascii="Times New Roman" w:hAnsi="Times New Roman" w:cs="Times New Roman"/>
          <w:sz w:val="24"/>
          <w:szCs w:val="24"/>
        </w:rPr>
      </w:pPr>
    </w:p>
    <w:p w14:paraId="4931BA69"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The BBB barrier, which restricts drugs from entering the brain, makes the central nervous system one of the most complex systems in the human body [</w:t>
      </w:r>
      <w:r>
        <w:rPr>
          <w:rFonts w:ascii="Times New Roman" w:hAnsi="Times New Roman" w:cs="Times New Roman"/>
          <w:b/>
          <w:sz w:val="24"/>
          <w:szCs w:val="24"/>
        </w:rPr>
        <w:t>1].</w:t>
      </w:r>
      <w:r>
        <w:rPr>
          <w:rFonts w:ascii="Times New Roman" w:hAnsi="Times New Roman" w:cs="Times New Roman"/>
          <w:sz w:val="24"/>
          <w:szCs w:val="24"/>
        </w:rPr>
        <w:t xml:space="preserve">  Epilepsy is a s</w:t>
      </w:r>
      <w:r>
        <w:rPr>
          <w:rFonts w:ascii="Times New Roman" w:hAnsi="Times New Roman" w:cs="Times New Roman"/>
          <w:sz w:val="24"/>
          <w:szCs w:val="24"/>
        </w:rPr>
        <w:t>erious emergency neurological disorder characterized by seizers [</w:t>
      </w:r>
      <w:r>
        <w:rPr>
          <w:rFonts w:ascii="Times New Roman" w:hAnsi="Times New Roman" w:cs="Times New Roman"/>
          <w:b/>
          <w:sz w:val="24"/>
          <w:szCs w:val="24"/>
        </w:rPr>
        <w:t>2].</w:t>
      </w:r>
      <w:r>
        <w:rPr>
          <w:rFonts w:ascii="Times New Roman" w:hAnsi="Times New Roman" w:cs="Times New Roman"/>
          <w:sz w:val="24"/>
          <w:szCs w:val="24"/>
        </w:rPr>
        <w:t xml:space="preserve"> Though there are many causes for occurring of seizers, but the main cause of epilepsy is unknown. One of the potential processes in the pathophysiology of epilepsy is oxidative stress. </w:t>
      </w:r>
      <w:proofErr w:type="spellStart"/>
      <w:r>
        <w:rPr>
          <w:rFonts w:ascii="Times New Roman" w:hAnsi="Times New Roman" w:cs="Times New Roman"/>
          <w:sz w:val="24"/>
          <w:szCs w:val="24"/>
        </w:rPr>
        <w:t>St</w:t>
      </w:r>
      <w:r>
        <w:rPr>
          <w:rFonts w:ascii="Times New Roman" w:hAnsi="Times New Roman" w:cs="Times New Roman"/>
          <w:sz w:val="24"/>
          <w:szCs w:val="24"/>
        </w:rPr>
        <w:t>atusepilepsy</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alters redox potential and lowers ATP levels, which leads to a collapse in brain energy supply. Number of strategies are employed to target drugs to brain includes disruption of BBB either by osmotic or biochemical, manipulation of drug moieti</w:t>
      </w:r>
      <w:r>
        <w:rPr>
          <w:rFonts w:ascii="Times New Roman" w:hAnsi="Times New Roman" w:cs="Times New Roman"/>
          <w:sz w:val="24"/>
          <w:szCs w:val="24"/>
        </w:rPr>
        <w:t xml:space="preserve">es (pro drugs, carrier or receptor mediated drug delivery) and modification in route of administration (intra </w:t>
      </w:r>
      <w:proofErr w:type="spellStart"/>
      <w:proofErr w:type="gramStart"/>
      <w:r>
        <w:rPr>
          <w:rFonts w:ascii="Times New Roman" w:hAnsi="Times New Roman" w:cs="Times New Roman"/>
          <w:sz w:val="24"/>
          <w:szCs w:val="24"/>
        </w:rPr>
        <w:t>cerebral,intra</w:t>
      </w:r>
      <w:proofErr w:type="spellEnd"/>
      <w:proofErr w:type="gramEnd"/>
      <w:r>
        <w:rPr>
          <w:rFonts w:ascii="Times New Roman" w:hAnsi="Times New Roman" w:cs="Times New Roman"/>
          <w:sz w:val="24"/>
          <w:szCs w:val="24"/>
        </w:rPr>
        <w:t xml:space="preserve"> ventricular, olfactory routes) [</w:t>
      </w:r>
      <w:r>
        <w:rPr>
          <w:rFonts w:ascii="Times New Roman" w:hAnsi="Times New Roman" w:cs="Times New Roman"/>
          <w:b/>
          <w:sz w:val="24"/>
          <w:szCs w:val="24"/>
        </w:rPr>
        <w:t>3,4]</w:t>
      </w:r>
      <w:r>
        <w:rPr>
          <w:rFonts w:ascii="Times New Roman" w:hAnsi="Times New Roman" w:cs="Times New Roman"/>
          <w:sz w:val="24"/>
          <w:szCs w:val="24"/>
        </w:rPr>
        <w:t>.</w:t>
      </w:r>
    </w:p>
    <w:p w14:paraId="13C9181A"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Citrus fruits, such as oranges and grapes, naturally contain the inactive flavonoid naringeni</w:t>
      </w:r>
      <w:r>
        <w:rPr>
          <w:rFonts w:ascii="Times New Roman" w:hAnsi="Times New Roman" w:cs="Times New Roman"/>
          <w:sz w:val="24"/>
          <w:szCs w:val="24"/>
        </w:rPr>
        <w:t>n (NRG</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naringenin is converted to active aglycone form naringenin (5,7,4’-trihydroxy flavones)by intestinal bacterial enzymes [</w:t>
      </w:r>
      <w:r>
        <w:rPr>
          <w:rFonts w:ascii="Times New Roman" w:hAnsi="Times New Roman" w:cs="Times New Roman"/>
          <w:b/>
          <w:sz w:val="24"/>
          <w:szCs w:val="24"/>
        </w:rPr>
        <w:t>5].</w:t>
      </w:r>
      <w:r>
        <w:rPr>
          <w:rFonts w:ascii="Times New Roman" w:hAnsi="Times New Roman" w:cs="Times New Roman"/>
          <w:sz w:val="24"/>
          <w:szCs w:val="24"/>
        </w:rPr>
        <w:t xml:space="preserve"> This intriguing dietary flavonoid demonstrates numerous pharmacological activities like </w:t>
      </w:r>
      <w:proofErr w:type="spellStart"/>
      <w:r>
        <w:rPr>
          <w:rFonts w:ascii="Times New Roman" w:hAnsi="Times New Roman" w:cs="Times New Roman"/>
          <w:sz w:val="24"/>
          <w:szCs w:val="24"/>
        </w:rPr>
        <w:t>anti inflammatory</w:t>
      </w:r>
      <w:proofErr w:type="spellEnd"/>
      <w:r>
        <w:rPr>
          <w:rFonts w:ascii="Times New Roman" w:hAnsi="Times New Roman" w:cs="Times New Roman"/>
          <w:sz w:val="24"/>
          <w:szCs w:val="24"/>
        </w:rPr>
        <w:t>, hepatoprotect</w:t>
      </w:r>
      <w:r>
        <w:rPr>
          <w:rFonts w:ascii="Times New Roman" w:hAnsi="Times New Roman" w:cs="Times New Roman"/>
          <w:sz w:val="24"/>
          <w:szCs w:val="24"/>
        </w:rPr>
        <w:t xml:space="preserve">ive, </w:t>
      </w:r>
      <w:proofErr w:type="spellStart"/>
      <w:r>
        <w:rPr>
          <w:rFonts w:ascii="Times New Roman" w:hAnsi="Times New Roman" w:cs="Times New Roman"/>
          <w:sz w:val="24"/>
          <w:szCs w:val="24"/>
        </w:rPr>
        <w:t>anti carcinogenic</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and  antioxidant</w:t>
      </w:r>
      <w:proofErr w:type="gramEnd"/>
      <w:r>
        <w:rPr>
          <w:rFonts w:ascii="Times New Roman" w:hAnsi="Times New Roman" w:cs="Times New Roman"/>
          <w:sz w:val="24"/>
          <w:szCs w:val="24"/>
        </w:rPr>
        <w:t xml:space="preserve"> [</w:t>
      </w:r>
      <w:r>
        <w:rPr>
          <w:rFonts w:ascii="Times New Roman" w:hAnsi="Times New Roman" w:cs="Times New Roman"/>
          <w:b/>
          <w:sz w:val="24"/>
          <w:szCs w:val="24"/>
        </w:rPr>
        <w:t>6]</w:t>
      </w:r>
      <w:r>
        <w:rPr>
          <w:rFonts w:ascii="Times New Roman" w:hAnsi="Times New Roman" w:cs="Times New Roman"/>
          <w:sz w:val="24"/>
          <w:szCs w:val="24"/>
        </w:rPr>
        <w:t xml:space="preserve">.Additionally naringenin’s neuroprotective effects have been documented in animal models of forgetfulness, </w:t>
      </w:r>
      <w:proofErr w:type="spellStart"/>
      <w:r>
        <w:rPr>
          <w:rFonts w:ascii="Times New Roman" w:hAnsi="Times New Roman" w:cs="Times New Roman"/>
          <w:sz w:val="24"/>
          <w:szCs w:val="24"/>
        </w:rPr>
        <w:t>alzheimer’s</w:t>
      </w:r>
      <w:proofErr w:type="spellEnd"/>
      <w:r>
        <w:rPr>
          <w:rFonts w:ascii="Times New Roman" w:hAnsi="Times New Roman" w:cs="Times New Roman"/>
          <w:sz w:val="24"/>
          <w:szCs w:val="24"/>
        </w:rPr>
        <w:t xml:space="preserve"> and Parkinson’s diseases [</w:t>
      </w:r>
      <w:r>
        <w:rPr>
          <w:rFonts w:ascii="Times New Roman" w:hAnsi="Times New Roman" w:cs="Times New Roman"/>
          <w:b/>
          <w:sz w:val="24"/>
          <w:szCs w:val="24"/>
        </w:rPr>
        <w:t>7]</w:t>
      </w:r>
      <w:r>
        <w:rPr>
          <w:rFonts w:ascii="Times New Roman" w:hAnsi="Times New Roman" w:cs="Times New Roman"/>
          <w:sz w:val="24"/>
          <w:szCs w:val="24"/>
        </w:rPr>
        <w:t xml:space="preserve">. It is also shown that naringenin supplementation restore the </w:t>
      </w:r>
      <w:proofErr w:type="spellStart"/>
      <w:r>
        <w:rPr>
          <w:rFonts w:ascii="Times New Roman" w:hAnsi="Times New Roman" w:cs="Times New Roman"/>
          <w:sz w:val="24"/>
          <w:szCs w:val="24"/>
        </w:rPr>
        <w:t>cho</w:t>
      </w:r>
      <w:r>
        <w:rPr>
          <w:rFonts w:ascii="Times New Roman" w:hAnsi="Times New Roman" w:cs="Times New Roman"/>
          <w:sz w:val="24"/>
          <w:szCs w:val="24"/>
        </w:rPr>
        <w:t>lin</w:t>
      </w:r>
      <w:proofErr w:type="spellEnd"/>
      <w:r>
        <w:rPr>
          <w:rFonts w:ascii="Times New Roman" w:hAnsi="Times New Roman" w:cs="Times New Roman"/>
          <w:sz w:val="24"/>
          <w:szCs w:val="24"/>
        </w:rPr>
        <w:t xml:space="preserve"> acetyl transferase enzyme results in improved learning and memory [</w:t>
      </w:r>
      <w:r>
        <w:rPr>
          <w:rFonts w:ascii="Times New Roman" w:hAnsi="Times New Roman" w:cs="Times New Roman"/>
          <w:b/>
          <w:sz w:val="24"/>
          <w:szCs w:val="24"/>
        </w:rPr>
        <w:t>8</w:t>
      </w:r>
      <w:proofErr w:type="gramStart"/>
      <w:r>
        <w:rPr>
          <w:rFonts w:ascii="Times New Roman" w:hAnsi="Times New Roman" w:cs="Times New Roman"/>
          <w:b/>
          <w:sz w:val="24"/>
          <w:szCs w:val="24"/>
        </w:rPr>
        <w:t>]</w:t>
      </w:r>
      <w:r>
        <w:rPr>
          <w:rFonts w:ascii="Times New Roman" w:hAnsi="Times New Roman" w:cs="Times New Roman"/>
          <w:sz w:val="24"/>
          <w:szCs w:val="24"/>
        </w:rPr>
        <w:t>.Naringenin</w:t>
      </w:r>
      <w:proofErr w:type="gramEnd"/>
      <w:r>
        <w:rPr>
          <w:rFonts w:ascii="Times New Roman" w:hAnsi="Times New Roman" w:cs="Times New Roman"/>
          <w:sz w:val="24"/>
          <w:szCs w:val="24"/>
        </w:rPr>
        <w:t xml:space="preserve"> has many reports regarding the therapeutical and food applications but it has hampered research due to the poor solubility </w:t>
      </w:r>
      <w:r>
        <w:rPr>
          <w:rFonts w:ascii="Times New Roman" w:hAnsi="Times New Roman" w:cs="Times New Roman"/>
          <w:sz w:val="24"/>
          <w:szCs w:val="24"/>
        </w:rPr>
        <w:lastRenderedPageBreak/>
        <w:t>and low bioavailability [</w:t>
      </w:r>
      <w:r>
        <w:rPr>
          <w:rFonts w:ascii="Times New Roman" w:hAnsi="Times New Roman" w:cs="Times New Roman"/>
          <w:b/>
          <w:sz w:val="24"/>
          <w:szCs w:val="24"/>
        </w:rPr>
        <w:t>9]</w:t>
      </w:r>
      <w:r>
        <w:rPr>
          <w:rFonts w:ascii="Times New Roman" w:hAnsi="Times New Roman" w:cs="Times New Roman"/>
          <w:sz w:val="24"/>
          <w:szCs w:val="24"/>
        </w:rPr>
        <w:t>. Therefore, increasi</w:t>
      </w:r>
      <w:r>
        <w:rPr>
          <w:rFonts w:ascii="Times New Roman" w:hAnsi="Times New Roman" w:cs="Times New Roman"/>
          <w:sz w:val="24"/>
          <w:szCs w:val="24"/>
        </w:rPr>
        <w:t>ng its bioavailability is crucial for its effective use.</w:t>
      </w:r>
    </w:p>
    <w:p w14:paraId="24AE5BA3"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In comparison to oral administration, nasal administration of naringenin improves drug dispersion to brain. Both peripheral and central drug transport is possible. Nasal drug administration has advan</w:t>
      </w:r>
      <w:r>
        <w:rPr>
          <w:rFonts w:ascii="Times New Roman" w:hAnsi="Times New Roman" w:cs="Times New Roman"/>
          <w:sz w:val="24"/>
          <w:szCs w:val="24"/>
        </w:rPr>
        <w:t xml:space="preserve">tages like low cost, low dose, fast onset of </w:t>
      </w:r>
      <w:proofErr w:type="spellStart"/>
      <w:proofErr w:type="gramStart"/>
      <w:r>
        <w:rPr>
          <w:rFonts w:ascii="Times New Roman" w:hAnsi="Times New Roman" w:cs="Times New Roman"/>
          <w:sz w:val="24"/>
          <w:szCs w:val="24"/>
        </w:rPr>
        <w:t>action,patient</w:t>
      </w:r>
      <w:proofErr w:type="spellEnd"/>
      <w:proofErr w:type="gramEnd"/>
      <w:r>
        <w:rPr>
          <w:rFonts w:ascii="Times New Roman" w:hAnsi="Times New Roman" w:cs="Times New Roman"/>
          <w:sz w:val="24"/>
          <w:szCs w:val="24"/>
        </w:rPr>
        <w:t xml:space="preserve"> compliance and </w:t>
      </w:r>
      <w:proofErr w:type="spellStart"/>
      <w:r>
        <w:rPr>
          <w:rFonts w:ascii="Times New Roman" w:hAnsi="Times New Roman" w:cs="Times New Roman"/>
          <w:sz w:val="24"/>
          <w:szCs w:val="24"/>
        </w:rPr>
        <w:t>self administration</w:t>
      </w:r>
      <w:proofErr w:type="spellEnd"/>
      <w:r>
        <w:rPr>
          <w:rFonts w:ascii="Times New Roman" w:hAnsi="Times New Roman" w:cs="Times New Roman"/>
          <w:sz w:val="24"/>
          <w:szCs w:val="24"/>
        </w:rPr>
        <w:t>. Contrarily, some drawbacks like mucociliary clearance, small fluid volume for drug dissolution and low absorption of hydrophilic and large chemical moieties [</w:t>
      </w:r>
      <w:r>
        <w:rPr>
          <w:rFonts w:ascii="Times New Roman" w:hAnsi="Times New Roman" w:cs="Times New Roman"/>
          <w:b/>
          <w:sz w:val="24"/>
          <w:szCs w:val="24"/>
        </w:rPr>
        <w:t>10</w:t>
      </w:r>
      <w:r>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 formulation of drug loaded </w:t>
      </w:r>
      <w:r>
        <w:rPr>
          <w:rFonts w:ascii="Times New Roman" w:hAnsi="Times New Roman" w:cs="Times New Roman"/>
          <w:i/>
          <w:sz w:val="24"/>
          <w:szCs w:val="24"/>
        </w:rPr>
        <w:t xml:space="preserve">in-situ </w:t>
      </w:r>
      <w:proofErr w:type="spellStart"/>
      <w:r>
        <w:rPr>
          <w:rFonts w:ascii="Times New Roman" w:hAnsi="Times New Roman" w:cs="Times New Roman"/>
          <w:sz w:val="24"/>
          <w:szCs w:val="24"/>
        </w:rPr>
        <w:t>cubosomal</w:t>
      </w:r>
      <w:proofErr w:type="spellEnd"/>
      <w:r>
        <w:rPr>
          <w:rFonts w:ascii="Times New Roman" w:hAnsi="Times New Roman" w:cs="Times New Roman"/>
          <w:sz w:val="24"/>
          <w:szCs w:val="24"/>
        </w:rPr>
        <w:t xml:space="preserve"> can address these issues.</w:t>
      </w:r>
    </w:p>
    <w:p w14:paraId="4FFE4CE9" w14:textId="77777777" w:rsidR="009D162F" w:rsidRDefault="006E6378">
      <w:pPr>
        <w:jc w:val="both"/>
        <w:rPr>
          <w:rFonts w:ascii="Times New Roman" w:hAnsi="Times New Roman" w:cs="Times New Roman"/>
          <w:sz w:val="24"/>
          <w:szCs w:val="24"/>
        </w:rPr>
      </w:pPr>
      <w:proofErr w:type="spellStart"/>
      <w:r>
        <w:rPr>
          <w:rFonts w:ascii="Times New Roman" w:hAnsi="Times New Roman" w:cs="Times New Roman"/>
          <w:sz w:val="24"/>
          <w:szCs w:val="24"/>
        </w:rPr>
        <w:t>Cubosomes</w:t>
      </w:r>
      <w:proofErr w:type="spellEnd"/>
      <w:r>
        <w:rPr>
          <w:rFonts w:ascii="Times New Roman" w:hAnsi="Times New Roman" w:cs="Times New Roman"/>
          <w:sz w:val="24"/>
          <w:szCs w:val="24"/>
        </w:rPr>
        <w:t xml:space="preserve"> are the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carriers composed of amphiphilic polar lipid. Above critical micelle concentration, the amphiphilic molecules </w:t>
      </w:r>
      <w:proofErr w:type="spellStart"/>
      <w:r>
        <w:rPr>
          <w:rFonts w:ascii="Times New Roman" w:hAnsi="Times New Roman" w:cs="Times New Roman"/>
          <w:sz w:val="24"/>
          <w:szCs w:val="24"/>
        </w:rPr>
        <w:t xml:space="preserve">self </w:t>
      </w:r>
      <w:proofErr w:type="gramStart"/>
      <w:r>
        <w:rPr>
          <w:rFonts w:ascii="Times New Roman" w:hAnsi="Times New Roman" w:cs="Times New Roman"/>
          <w:sz w:val="24"/>
          <w:szCs w:val="24"/>
        </w:rPr>
        <w:t>assemble</w:t>
      </w:r>
      <w:proofErr w:type="spellEnd"/>
      <w:proofErr w:type="gramEnd"/>
      <w:r>
        <w:rPr>
          <w:rFonts w:ascii="Times New Roman" w:hAnsi="Times New Roman" w:cs="Times New Roman"/>
          <w:sz w:val="24"/>
          <w:szCs w:val="24"/>
        </w:rPr>
        <w:t xml:space="preserve"> to form micelle structure. T</w:t>
      </w:r>
      <w:r>
        <w:rPr>
          <w:rFonts w:ascii="Times New Roman" w:hAnsi="Times New Roman" w:cs="Times New Roman"/>
          <w:sz w:val="24"/>
          <w:szCs w:val="24"/>
        </w:rPr>
        <w:t xml:space="preserve">he generated micelles are compelled to form cubic structures at increasing concentrations. Numerous advantages of </w:t>
      </w:r>
      <w:proofErr w:type="spellStart"/>
      <w:r>
        <w:rPr>
          <w:rFonts w:ascii="Times New Roman" w:hAnsi="Times New Roman" w:cs="Times New Roman"/>
          <w:sz w:val="24"/>
          <w:szCs w:val="24"/>
        </w:rPr>
        <w:t>cubosomes</w:t>
      </w:r>
      <w:proofErr w:type="spellEnd"/>
      <w:r>
        <w:rPr>
          <w:rFonts w:ascii="Times New Roman" w:hAnsi="Times New Roman" w:cs="Times New Roman"/>
          <w:sz w:val="24"/>
          <w:szCs w:val="24"/>
        </w:rPr>
        <w:t xml:space="preserve"> include their high entrapment efficiency, biocompatibility, controlled release of drug and thermodynamic stability [</w:t>
      </w:r>
      <w:r>
        <w:rPr>
          <w:rFonts w:ascii="Times New Roman" w:hAnsi="Times New Roman" w:cs="Times New Roman"/>
          <w:b/>
          <w:sz w:val="24"/>
          <w:szCs w:val="24"/>
        </w:rPr>
        <w:t>11].</w:t>
      </w:r>
    </w:p>
    <w:p w14:paraId="69D97889"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The central</w:t>
      </w:r>
      <w:r>
        <w:rPr>
          <w:rFonts w:ascii="Times New Roman" w:hAnsi="Times New Roman" w:cs="Times New Roman"/>
          <w:sz w:val="24"/>
          <w:szCs w:val="24"/>
        </w:rPr>
        <w:t xml:space="preserve"> composite design (CCD) is a useful statistical experimental design for analysing the main effects of experimental components and their interaction factors, in comparison to the full factorial design. CCD requires only three levels of each factor, yet it c</w:t>
      </w:r>
      <w:r>
        <w:rPr>
          <w:rFonts w:ascii="Times New Roman" w:hAnsi="Times New Roman" w:cs="Times New Roman"/>
          <w:sz w:val="24"/>
          <w:szCs w:val="24"/>
        </w:rPr>
        <w:t>overs a wide range of combinations. To create the optimal formulation, CCD can be used to forecast and optimise the responses [</w:t>
      </w:r>
      <w:r>
        <w:rPr>
          <w:rFonts w:ascii="Times New Roman" w:hAnsi="Times New Roman" w:cs="Times New Roman"/>
          <w:b/>
          <w:sz w:val="24"/>
          <w:szCs w:val="24"/>
        </w:rPr>
        <w:t>12]</w:t>
      </w:r>
      <w:r>
        <w:rPr>
          <w:rFonts w:ascii="Times New Roman" w:hAnsi="Times New Roman" w:cs="Times New Roman"/>
          <w:sz w:val="24"/>
          <w:szCs w:val="24"/>
        </w:rPr>
        <w:t>.</w:t>
      </w:r>
    </w:p>
    <w:p w14:paraId="56F1FD34"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 xml:space="preserve">Based on literature the present work </w:t>
      </w:r>
      <w:proofErr w:type="spellStart"/>
      <w:r>
        <w:rPr>
          <w:rFonts w:ascii="Times New Roman" w:hAnsi="Times New Roman" w:cs="Times New Roman"/>
          <w:sz w:val="24"/>
          <w:szCs w:val="24"/>
        </w:rPr>
        <w:t>cubosomes</w:t>
      </w:r>
      <w:proofErr w:type="spellEnd"/>
      <w:r>
        <w:rPr>
          <w:rFonts w:ascii="Times New Roman" w:hAnsi="Times New Roman" w:cs="Times New Roman"/>
          <w:sz w:val="24"/>
          <w:szCs w:val="24"/>
        </w:rPr>
        <w:t xml:space="preserve"> imbibed intra nasal gel of </w:t>
      </w:r>
      <w:proofErr w:type="spellStart"/>
      <w:r>
        <w:rPr>
          <w:rFonts w:ascii="Times New Roman" w:hAnsi="Times New Roman" w:cs="Times New Roman"/>
          <w:sz w:val="24"/>
          <w:szCs w:val="24"/>
        </w:rPr>
        <w:t>naringeninto</w:t>
      </w:r>
      <w:proofErr w:type="spellEnd"/>
      <w:r>
        <w:rPr>
          <w:rFonts w:ascii="Times New Roman" w:hAnsi="Times New Roman" w:cs="Times New Roman"/>
          <w:sz w:val="24"/>
          <w:szCs w:val="24"/>
        </w:rPr>
        <w:t xml:space="preserve"> examine the brain targeting capacity </w:t>
      </w:r>
      <w:r>
        <w:rPr>
          <w:rFonts w:ascii="Times New Roman" w:hAnsi="Times New Roman" w:cs="Times New Roman"/>
          <w:sz w:val="24"/>
          <w:szCs w:val="24"/>
        </w:rPr>
        <w:t xml:space="preserve">was planned. This novel formulation aims to combine the advantages of in-situ gelling technologies, like the ease of intra-nasal administration, more retention time and prolonged drug release with </w:t>
      </w:r>
      <w:proofErr w:type="spellStart"/>
      <w:r>
        <w:rPr>
          <w:rFonts w:ascii="Times New Roman" w:hAnsi="Times New Roman" w:cs="Times New Roman"/>
          <w:sz w:val="24"/>
          <w:szCs w:val="24"/>
        </w:rPr>
        <w:t>cubosomes</w:t>
      </w:r>
      <w:proofErr w:type="spellEnd"/>
      <w:r>
        <w:rPr>
          <w:rFonts w:ascii="Times New Roman" w:hAnsi="Times New Roman" w:cs="Times New Roman"/>
          <w:sz w:val="24"/>
          <w:szCs w:val="24"/>
        </w:rPr>
        <w:t xml:space="preserve"> such as high drug entrapment efficiency.</w:t>
      </w:r>
    </w:p>
    <w:p w14:paraId="1C8BA123" w14:textId="77777777" w:rsidR="009D162F" w:rsidRDefault="006E6378">
      <w:pPr>
        <w:jc w:val="both"/>
        <w:rPr>
          <w:rFonts w:ascii="Times New Roman" w:hAnsi="Times New Roman" w:cs="Times New Roman"/>
          <w:b/>
          <w:sz w:val="24"/>
          <w:szCs w:val="24"/>
        </w:rPr>
      </w:pPr>
      <w:r>
        <w:rPr>
          <w:rFonts w:ascii="Times New Roman" w:hAnsi="Times New Roman" w:cs="Times New Roman"/>
          <w:b/>
          <w:sz w:val="24"/>
          <w:szCs w:val="24"/>
        </w:rPr>
        <w:t>Material</w:t>
      </w:r>
      <w:r>
        <w:rPr>
          <w:rFonts w:ascii="Times New Roman" w:hAnsi="Times New Roman" w:cs="Times New Roman"/>
          <w:b/>
          <w:sz w:val="24"/>
          <w:szCs w:val="24"/>
        </w:rPr>
        <w:t>s and methods</w:t>
      </w:r>
    </w:p>
    <w:p w14:paraId="33B18F1C"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 xml:space="preserve">Naringenin was purchased from </w:t>
      </w:r>
      <w:r>
        <w:rPr>
          <w:rFonts w:ascii="Times New Roman" w:hAnsi="Times New Roman" w:cs="Times New Roman"/>
          <w:sz w:val="24"/>
          <w:szCs w:val="24"/>
          <w:lang w:val="en-US"/>
        </w:rPr>
        <w:t>Sigma Aldrich, Mumbai, India</w:t>
      </w:r>
      <w:r>
        <w:rPr>
          <w:rFonts w:ascii="Times New Roman" w:hAnsi="Times New Roman" w:cs="Times New Roman"/>
          <w:sz w:val="24"/>
          <w:szCs w:val="24"/>
        </w:rPr>
        <w:t xml:space="preserve">, Gellan gum was a </w:t>
      </w:r>
      <w:r>
        <w:rPr>
          <w:rFonts w:ascii="Times New Roman" w:hAnsi="Times New Roman" w:cs="Times New Roman"/>
          <w:sz w:val="24"/>
          <w:szCs w:val="24"/>
          <w:lang w:val="en-US"/>
        </w:rPr>
        <w:t>gift sample from Marine Colloids, Cochin</w:t>
      </w:r>
      <w:r>
        <w:rPr>
          <w:rFonts w:ascii="Times New Roman" w:hAnsi="Times New Roman" w:cs="Times New Roman"/>
          <w:sz w:val="24"/>
          <w:szCs w:val="24"/>
        </w:rPr>
        <w:t xml:space="preserve">, locust bean gum, glycerol, oleic acid, poloxamer 407, PEG6000 are purchased from </w:t>
      </w:r>
      <w:r>
        <w:rPr>
          <w:rFonts w:ascii="Times New Roman" w:hAnsi="Times New Roman" w:cs="Times New Roman"/>
          <w:sz w:val="24"/>
          <w:szCs w:val="24"/>
          <w:lang w:val="en-US"/>
        </w:rPr>
        <w:t>Sigma Aldrich, Mumbai, India.</w:t>
      </w:r>
    </w:p>
    <w:p w14:paraId="3DCC0561" w14:textId="77777777" w:rsidR="009D162F" w:rsidRDefault="006E6378">
      <w:pPr>
        <w:jc w:val="both"/>
        <w:rPr>
          <w:rFonts w:ascii="Times New Roman" w:hAnsi="Times New Roman" w:cs="Times New Roman"/>
          <w:b/>
          <w:sz w:val="24"/>
          <w:szCs w:val="24"/>
        </w:rPr>
      </w:pPr>
      <w:r>
        <w:rPr>
          <w:rFonts w:ascii="Times New Roman" w:hAnsi="Times New Roman" w:cs="Times New Roman"/>
          <w:b/>
          <w:sz w:val="24"/>
          <w:szCs w:val="24"/>
        </w:rPr>
        <w:t>Experimental</w:t>
      </w:r>
      <w:r>
        <w:rPr>
          <w:rFonts w:ascii="Times New Roman" w:hAnsi="Times New Roman" w:cs="Times New Roman"/>
          <w:b/>
          <w:sz w:val="24"/>
          <w:szCs w:val="24"/>
        </w:rPr>
        <w:t xml:space="preserve"> design</w:t>
      </w:r>
    </w:p>
    <w:p w14:paraId="56F73CC5"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 xml:space="preserve">A three-factor, three-level (3) central composite design (CCD) was employed in a statistical optimization study to improve the formulation variables of 15 distinct formulations. Five iterations of the centre point formulation (F8) were included in </w:t>
      </w:r>
      <w:r>
        <w:rPr>
          <w:rFonts w:ascii="Times New Roman" w:hAnsi="Times New Roman" w:cs="Times New Roman"/>
          <w:sz w:val="24"/>
          <w:szCs w:val="24"/>
        </w:rPr>
        <w:t>each formulation. Design-Expert software (version 7, Stat-Ease Inc., MN, USA) was employed for this analysis. The key independent variables were Oleic acid (X1), Glycerol (X2), and Poloxamer 407 (X3), with three levels of each factor (-1, 0, and +1). The a</w:t>
      </w:r>
      <w:r>
        <w:rPr>
          <w:rFonts w:ascii="Times New Roman" w:hAnsi="Times New Roman" w:cs="Times New Roman"/>
          <w:sz w:val="24"/>
          <w:szCs w:val="24"/>
        </w:rPr>
        <w:t xml:space="preserve">ctual values for the compositions of the formulations can be found in (Table 1). The study assessed three dependent variables: particle size (PS) [Y1], entrapment efficiency percent (EE%) [Y2] and </w:t>
      </w:r>
      <w:r>
        <w:rPr>
          <w:rFonts w:ascii="Times New Roman" w:hAnsi="Times New Roman" w:cs="Times New Roman"/>
          <w:i/>
          <w:sz w:val="24"/>
          <w:szCs w:val="24"/>
        </w:rPr>
        <w:t>in-vitro</w:t>
      </w:r>
      <w:r>
        <w:rPr>
          <w:rFonts w:ascii="Times New Roman" w:hAnsi="Times New Roman" w:cs="Times New Roman"/>
          <w:sz w:val="24"/>
          <w:szCs w:val="24"/>
        </w:rPr>
        <w:t xml:space="preserve"> t1/2 [Y3]. Additionally, the polydispersity index </w:t>
      </w:r>
      <w:r>
        <w:rPr>
          <w:rFonts w:ascii="Times New Roman" w:hAnsi="Times New Roman" w:cs="Times New Roman"/>
          <w:sz w:val="24"/>
          <w:szCs w:val="24"/>
        </w:rPr>
        <w:t xml:space="preserve">(PDI) and zeta potential (ZP) were determined for all the prepared formulations. Desirability values were calculated using the data collected from </w:t>
      </w:r>
      <w:r>
        <w:rPr>
          <w:rFonts w:ascii="Times New Roman" w:hAnsi="Times New Roman" w:cs="Times New Roman"/>
          <w:sz w:val="24"/>
          <w:szCs w:val="24"/>
        </w:rPr>
        <w:lastRenderedPageBreak/>
        <w:t>response surface analysis. These numbers played a crucial role in determining the most suitable combination w</w:t>
      </w:r>
      <w:r>
        <w:rPr>
          <w:rFonts w:ascii="Times New Roman" w:hAnsi="Times New Roman" w:cs="Times New Roman"/>
          <w:sz w:val="24"/>
          <w:szCs w:val="24"/>
        </w:rPr>
        <w:t>ith the most desired qualities.</w:t>
      </w:r>
    </w:p>
    <w:p w14:paraId="65E325EF" w14:textId="77777777" w:rsidR="009D162F" w:rsidRDefault="009D162F">
      <w:pPr>
        <w:jc w:val="both"/>
        <w:rPr>
          <w:rFonts w:ascii="Times New Roman" w:hAnsi="Times New Roman" w:cs="Times New Roman"/>
          <w:sz w:val="24"/>
          <w:szCs w:val="24"/>
        </w:rPr>
      </w:pPr>
    </w:p>
    <w:p w14:paraId="56332FE5" w14:textId="77777777" w:rsidR="009D162F" w:rsidRDefault="006E6378">
      <w:pPr>
        <w:pStyle w:val="ListParagraph"/>
        <w:jc w:val="both"/>
        <w:rPr>
          <w:rFonts w:ascii="Times New Roman" w:hAnsi="Times New Roman" w:cs="Times New Roman"/>
          <w:b/>
          <w:sz w:val="24"/>
          <w:szCs w:val="24"/>
        </w:rPr>
      </w:pPr>
      <w:r>
        <w:rPr>
          <w:rFonts w:ascii="Times New Roman" w:hAnsi="Times New Roman" w:cs="Times New Roman"/>
          <w:b/>
          <w:sz w:val="24"/>
          <w:szCs w:val="24"/>
        </w:rPr>
        <w:t xml:space="preserve">Table 1 </w:t>
      </w:r>
      <w:r>
        <w:rPr>
          <w:rFonts w:ascii="Times New Roman" w:hAnsi="Times New Roman" w:cs="Times New Roman"/>
          <w:bCs/>
          <w:sz w:val="24"/>
          <w:szCs w:val="24"/>
        </w:rPr>
        <w:t>Independent and dependent variables in central composite design</w:t>
      </w:r>
    </w:p>
    <w:tbl>
      <w:tblPr>
        <w:tblStyle w:val="LightShading-Accent12"/>
        <w:tblW w:w="9846" w:type="dxa"/>
        <w:tblLook w:val="04A0" w:firstRow="1" w:lastRow="0" w:firstColumn="1" w:lastColumn="0" w:noHBand="0" w:noVBand="1"/>
      </w:tblPr>
      <w:tblGrid>
        <w:gridCol w:w="5058"/>
        <w:gridCol w:w="4788"/>
      </w:tblGrid>
      <w:tr w:rsidR="009D162F" w14:paraId="4812701E" w14:textId="77777777" w:rsidTr="009D16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Pr>
          <w:p w14:paraId="04C13784" w14:textId="77777777" w:rsidR="009D162F" w:rsidRDefault="009D162F">
            <w:pPr>
              <w:pStyle w:val="ListParagraph"/>
              <w:spacing w:after="0" w:line="240" w:lineRule="auto"/>
              <w:ind w:left="0"/>
              <w:jc w:val="both"/>
              <w:rPr>
                <w:rFonts w:ascii="Times New Roman" w:hAnsi="Times New Roman" w:cs="Times New Roman"/>
                <w:b w:val="0"/>
                <w:bCs w:val="0"/>
                <w:color w:val="auto"/>
                <w:sz w:val="24"/>
                <w:szCs w:val="24"/>
              </w:rPr>
            </w:pPr>
          </w:p>
        </w:tc>
        <w:tc>
          <w:tcPr>
            <w:tcW w:w="4788" w:type="dxa"/>
          </w:tcPr>
          <w:p w14:paraId="037B75D5" w14:textId="77777777" w:rsidR="009D162F" w:rsidRDefault="006E6378">
            <w:pPr>
              <w:pStyle w:val="ListParagraph"/>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Pr>
                <w:rFonts w:ascii="Times New Roman" w:hAnsi="Times New Roman" w:cs="Times New Roman"/>
                <w:color w:val="auto"/>
                <w:sz w:val="24"/>
                <w:szCs w:val="24"/>
              </w:rPr>
              <w:t xml:space="preserve">      Levels</w:t>
            </w:r>
          </w:p>
          <w:p w14:paraId="32642CAB" w14:textId="77777777" w:rsidR="009D162F" w:rsidRDefault="006E6378">
            <w:pPr>
              <w:pStyle w:val="ListParagraph"/>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Pr>
                <w:rFonts w:ascii="Times New Roman" w:hAnsi="Times New Roman" w:cs="Times New Roman"/>
                <w:color w:val="auto"/>
                <w:sz w:val="24"/>
                <w:szCs w:val="24"/>
              </w:rPr>
              <w:t xml:space="preserve">                     -α      -1        0        +1     +α</w:t>
            </w:r>
          </w:p>
        </w:tc>
      </w:tr>
      <w:tr w:rsidR="009D162F" w14:paraId="3EE68815" w14:textId="77777777" w:rsidTr="009D162F">
        <w:trPr>
          <w:trHeight w:val="1114"/>
        </w:trPr>
        <w:tc>
          <w:tcPr>
            <w:cnfStyle w:val="001000000000" w:firstRow="0" w:lastRow="0" w:firstColumn="1" w:lastColumn="0" w:oddVBand="0" w:evenVBand="0" w:oddHBand="0" w:evenHBand="0" w:firstRowFirstColumn="0" w:firstRowLastColumn="0" w:lastRowFirstColumn="0" w:lastRowLastColumn="0"/>
            <w:tcW w:w="5058" w:type="dxa"/>
            <w:tcBorders>
              <w:left w:val="nil"/>
              <w:right w:val="nil"/>
            </w:tcBorders>
            <w:shd w:val="clear" w:color="auto" w:fill="D3DFEE" w:themeFill="accent1" w:themeFillTint="3F"/>
          </w:tcPr>
          <w:p w14:paraId="0663FA21" w14:textId="77777777" w:rsidR="009D162F" w:rsidRDefault="006E6378">
            <w:pPr>
              <w:pStyle w:val="ListParagraph"/>
              <w:spacing w:after="0" w:line="240" w:lineRule="auto"/>
              <w:ind w:left="0"/>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Independent variables</w:t>
            </w:r>
          </w:p>
          <w:p w14:paraId="447F858D" w14:textId="77777777" w:rsidR="009D162F" w:rsidRDefault="006E6378">
            <w:pPr>
              <w:pStyle w:val="ListParagraph"/>
              <w:spacing w:after="0" w:line="240" w:lineRule="auto"/>
              <w:ind w:left="0"/>
              <w:jc w:val="both"/>
              <w:rPr>
                <w:rFonts w:ascii="Times New Roman" w:hAnsi="Times New Roman" w:cs="Times New Roman"/>
                <w:bCs w:val="0"/>
                <w:color w:val="auto"/>
                <w:sz w:val="24"/>
                <w:szCs w:val="24"/>
              </w:rPr>
            </w:pPr>
            <w:r>
              <w:rPr>
                <w:rFonts w:ascii="Times New Roman" w:hAnsi="Times New Roman" w:cs="Times New Roman"/>
                <w:b w:val="0"/>
                <w:color w:val="auto"/>
                <w:sz w:val="24"/>
                <w:szCs w:val="24"/>
              </w:rPr>
              <w:t>X</w:t>
            </w:r>
            <w:r>
              <w:rPr>
                <w:rFonts w:ascii="Times New Roman" w:hAnsi="Times New Roman" w:cs="Times New Roman"/>
                <w:b w:val="0"/>
                <w:color w:val="auto"/>
                <w:sz w:val="24"/>
                <w:szCs w:val="24"/>
                <w:vertAlign w:val="subscript"/>
              </w:rPr>
              <w:t>1</w:t>
            </w:r>
            <w:r>
              <w:rPr>
                <w:rFonts w:ascii="Times New Roman" w:hAnsi="Times New Roman" w:cs="Times New Roman"/>
                <w:b w:val="0"/>
                <w:color w:val="auto"/>
                <w:sz w:val="24"/>
                <w:szCs w:val="24"/>
              </w:rPr>
              <w:t>=Oleic acid (%v/v)</w:t>
            </w:r>
          </w:p>
          <w:p w14:paraId="6B334996" w14:textId="77777777" w:rsidR="009D162F" w:rsidRDefault="006E6378">
            <w:pPr>
              <w:pStyle w:val="ListParagraph"/>
              <w:spacing w:after="0" w:line="240" w:lineRule="auto"/>
              <w:ind w:left="0"/>
              <w:jc w:val="both"/>
              <w:rPr>
                <w:rFonts w:ascii="Times New Roman" w:hAnsi="Times New Roman" w:cs="Times New Roman"/>
                <w:b w:val="0"/>
                <w:bCs w:val="0"/>
                <w:sz w:val="24"/>
                <w:szCs w:val="24"/>
              </w:rPr>
            </w:pPr>
            <w:r>
              <w:rPr>
                <w:rFonts w:ascii="Times New Roman" w:hAnsi="Times New Roman" w:cs="Times New Roman"/>
                <w:b w:val="0"/>
                <w:color w:val="auto"/>
                <w:sz w:val="24"/>
                <w:szCs w:val="24"/>
              </w:rPr>
              <w:t>X</w:t>
            </w:r>
            <w:r>
              <w:rPr>
                <w:rFonts w:ascii="Times New Roman" w:hAnsi="Times New Roman" w:cs="Times New Roman"/>
                <w:b w:val="0"/>
                <w:color w:val="auto"/>
                <w:sz w:val="24"/>
                <w:szCs w:val="24"/>
                <w:vertAlign w:val="subscript"/>
              </w:rPr>
              <w:t>2</w:t>
            </w:r>
            <w:r>
              <w:rPr>
                <w:rFonts w:ascii="Times New Roman" w:hAnsi="Times New Roman" w:cs="Times New Roman"/>
                <w:b w:val="0"/>
                <w:color w:val="auto"/>
                <w:sz w:val="24"/>
                <w:szCs w:val="24"/>
              </w:rPr>
              <w:t>=Glycerol (%v/v)</w:t>
            </w:r>
          </w:p>
          <w:p w14:paraId="299AF7C1" w14:textId="77777777" w:rsidR="009D162F" w:rsidRDefault="006E6378">
            <w:pPr>
              <w:pStyle w:val="ListParagraph"/>
              <w:spacing w:after="0" w:line="240" w:lineRule="auto"/>
              <w:ind w:left="0"/>
              <w:jc w:val="both"/>
              <w:rPr>
                <w:rFonts w:ascii="Times New Roman" w:hAnsi="Times New Roman" w:cs="Times New Roman"/>
                <w:b w:val="0"/>
                <w:bCs w:val="0"/>
                <w:color w:val="auto"/>
                <w:sz w:val="24"/>
                <w:szCs w:val="24"/>
              </w:rPr>
            </w:pPr>
            <w:r>
              <w:rPr>
                <w:rFonts w:ascii="Times New Roman" w:hAnsi="Times New Roman" w:cs="Times New Roman"/>
                <w:b w:val="0"/>
                <w:color w:val="auto"/>
                <w:sz w:val="24"/>
                <w:szCs w:val="24"/>
              </w:rPr>
              <w:t>X3=Poloxamer 407</w:t>
            </w:r>
            <w:r>
              <w:rPr>
                <w:rFonts w:ascii="Times New Roman" w:hAnsi="Times New Roman" w:cs="Times New Roman"/>
                <w:b w:val="0"/>
                <w:color w:val="auto"/>
                <w:sz w:val="24"/>
                <w:szCs w:val="24"/>
              </w:rPr>
              <w:t xml:space="preserve"> (%w/v)</w:t>
            </w:r>
          </w:p>
        </w:tc>
        <w:tc>
          <w:tcPr>
            <w:tcW w:w="4788" w:type="dxa"/>
            <w:tcBorders>
              <w:right w:val="nil"/>
            </w:tcBorders>
            <w:shd w:val="clear" w:color="auto" w:fill="D3DFEE" w:themeFill="accent1" w:themeFillTint="3F"/>
          </w:tcPr>
          <w:p w14:paraId="391F6F1F" w14:textId="77777777" w:rsidR="009D162F" w:rsidRDefault="009D162F">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p w14:paraId="05F6C119" w14:textId="77777777" w:rsidR="009D162F" w:rsidRDefault="006E6378">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0.97     2.0     3.5     5.0       6.02</w:t>
            </w:r>
          </w:p>
          <w:p w14:paraId="665A7E79" w14:textId="77777777" w:rsidR="009D162F" w:rsidRDefault="006E6378">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auto"/>
                <w:sz w:val="24"/>
                <w:szCs w:val="24"/>
              </w:rPr>
              <w:t xml:space="preserve">                -0.02      1.0    2.5       4.0     5.02</w:t>
            </w:r>
          </w:p>
          <w:p w14:paraId="38B2D01C" w14:textId="77777777" w:rsidR="009D162F" w:rsidRDefault="006E6378">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-0.02      1.0    2.5       4.0    5.02</w:t>
            </w:r>
          </w:p>
        </w:tc>
      </w:tr>
      <w:tr w:rsidR="009D162F" w14:paraId="05B160F1" w14:textId="77777777" w:rsidTr="009D162F">
        <w:tc>
          <w:tcPr>
            <w:cnfStyle w:val="001000000000" w:firstRow="0" w:lastRow="0" w:firstColumn="1" w:lastColumn="0" w:oddVBand="0" w:evenVBand="0" w:oddHBand="0" w:evenHBand="0" w:firstRowFirstColumn="0" w:firstRowLastColumn="0" w:lastRowFirstColumn="0" w:lastRowLastColumn="0"/>
            <w:tcW w:w="5058" w:type="dxa"/>
          </w:tcPr>
          <w:p w14:paraId="2CFF532A" w14:textId="77777777" w:rsidR="009D162F" w:rsidRDefault="009D162F">
            <w:pPr>
              <w:pStyle w:val="ListParagraph"/>
              <w:spacing w:after="0" w:line="240" w:lineRule="auto"/>
              <w:ind w:left="0"/>
              <w:jc w:val="both"/>
              <w:rPr>
                <w:rFonts w:ascii="Times New Roman" w:hAnsi="Times New Roman" w:cs="Times New Roman"/>
                <w:b w:val="0"/>
                <w:bCs w:val="0"/>
                <w:color w:val="auto"/>
                <w:sz w:val="24"/>
                <w:szCs w:val="24"/>
              </w:rPr>
            </w:pPr>
          </w:p>
          <w:p w14:paraId="5A263B50" w14:textId="77777777" w:rsidR="009D162F" w:rsidRDefault="006E6378">
            <w:pPr>
              <w:pStyle w:val="ListParagraph"/>
              <w:spacing w:after="0" w:line="240" w:lineRule="auto"/>
              <w:ind w:left="0"/>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Dependent variables</w:t>
            </w:r>
          </w:p>
          <w:p w14:paraId="07BE49BA" w14:textId="77777777" w:rsidR="009D162F" w:rsidRDefault="006E6378">
            <w:pPr>
              <w:pStyle w:val="ListParagraph"/>
              <w:spacing w:after="0" w:line="240" w:lineRule="auto"/>
              <w:ind w:left="0"/>
              <w:jc w:val="both"/>
              <w:rPr>
                <w:rFonts w:ascii="Times New Roman" w:hAnsi="Times New Roman" w:cs="Times New Roman"/>
                <w:bCs w:val="0"/>
                <w:color w:val="auto"/>
                <w:sz w:val="24"/>
                <w:szCs w:val="24"/>
              </w:rPr>
            </w:pPr>
            <w:r>
              <w:rPr>
                <w:rFonts w:ascii="Times New Roman" w:hAnsi="Times New Roman" w:cs="Times New Roman"/>
                <w:b w:val="0"/>
                <w:color w:val="auto"/>
                <w:sz w:val="24"/>
                <w:szCs w:val="24"/>
              </w:rPr>
              <w:t>Y</w:t>
            </w:r>
            <w:r>
              <w:rPr>
                <w:rFonts w:ascii="Times New Roman" w:hAnsi="Times New Roman" w:cs="Times New Roman"/>
                <w:b w:val="0"/>
                <w:color w:val="auto"/>
                <w:sz w:val="24"/>
                <w:szCs w:val="24"/>
                <w:vertAlign w:val="subscript"/>
              </w:rPr>
              <w:t>1</w:t>
            </w:r>
            <w:r>
              <w:rPr>
                <w:rFonts w:ascii="Times New Roman" w:hAnsi="Times New Roman" w:cs="Times New Roman"/>
                <w:b w:val="0"/>
                <w:color w:val="auto"/>
                <w:sz w:val="24"/>
                <w:szCs w:val="24"/>
              </w:rPr>
              <w:t xml:space="preserve">= Particle size (nm)                                                               </w:t>
            </w:r>
          </w:p>
          <w:p w14:paraId="2A1F19FF" w14:textId="77777777" w:rsidR="009D162F" w:rsidRDefault="006E6378">
            <w:pPr>
              <w:pStyle w:val="ListParagraph"/>
              <w:spacing w:after="0" w:line="240" w:lineRule="auto"/>
              <w:ind w:left="0"/>
              <w:jc w:val="both"/>
              <w:rPr>
                <w:rFonts w:ascii="Times New Roman" w:hAnsi="Times New Roman" w:cs="Times New Roman"/>
                <w:bCs w:val="0"/>
                <w:color w:val="F2F2F2" w:themeColor="background1" w:themeShade="F2"/>
                <w:sz w:val="24"/>
                <w:szCs w:val="24"/>
              </w:rPr>
            </w:pPr>
            <w:r>
              <w:rPr>
                <w:rFonts w:ascii="Times New Roman" w:hAnsi="Times New Roman" w:cs="Times New Roman"/>
                <w:b w:val="0"/>
                <w:color w:val="auto"/>
                <w:sz w:val="24"/>
                <w:szCs w:val="24"/>
              </w:rPr>
              <w:t>Y</w:t>
            </w:r>
            <w:r>
              <w:rPr>
                <w:rFonts w:ascii="Times New Roman" w:hAnsi="Times New Roman" w:cs="Times New Roman"/>
                <w:b w:val="0"/>
                <w:color w:val="auto"/>
                <w:sz w:val="24"/>
                <w:szCs w:val="24"/>
                <w:vertAlign w:val="subscript"/>
              </w:rPr>
              <w:t>2</w:t>
            </w:r>
            <w:r>
              <w:rPr>
                <w:rFonts w:ascii="Times New Roman" w:hAnsi="Times New Roman" w:cs="Times New Roman"/>
                <w:b w:val="0"/>
                <w:color w:val="auto"/>
                <w:sz w:val="24"/>
                <w:szCs w:val="24"/>
              </w:rPr>
              <w:t>= Entrapment efficiency (%)</w:t>
            </w:r>
          </w:p>
          <w:p w14:paraId="063512AC" w14:textId="77777777" w:rsidR="009D162F" w:rsidRDefault="006E6378">
            <w:pPr>
              <w:pStyle w:val="ListParagraph"/>
              <w:spacing w:after="0" w:line="240" w:lineRule="auto"/>
              <w:ind w:left="0"/>
              <w:jc w:val="both"/>
              <w:rPr>
                <w:rFonts w:ascii="Times New Roman" w:hAnsi="Times New Roman" w:cs="Times New Roman"/>
                <w:bCs w:val="0"/>
                <w:color w:val="auto"/>
                <w:sz w:val="24"/>
                <w:szCs w:val="24"/>
              </w:rPr>
            </w:pPr>
            <w:r>
              <w:rPr>
                <w:rFonts w:ascii="Times New Roman" w:hAnsi="Times New Roman" w:cs="Times New Roman"/>
                <w:b w:val="0"/>
                <w:color w:val="auto"/>
                <w:sz w:val="24"/>
                <w:szCs w:val="24"/>
              </w:rPr>
              <w:t>Y</w:t>
            </w:r>
            <w:r>
              <w:rPr>
                <w:rFonts w:ascii="Times New Roman" w:hAnsi="Times New Roman" w:cs="Times New Roman"/>
                <w:b w:val="0"/>
                <w:color w:val="auto"/>
                <w:sz w:val="24"/>
                <w:szCs w:val="24"/>
                <w:vertAlign w:val="subscript"/>
              </w:rPr>
              <w:t>3</w:t>
            </w:r>
            <w:r>
              <w:rPr>
                <w:rFonts w:ascii="Times New Roman" w:hAnsi="Times New Roman" w:cs="Times New Roman"/>
                <w:b w:val="0"/>
                <w:color w:val="auto"/>
                <w:sz w:val="24"/>
                <w:szCs w:val="24"/>
              </w:rPr>
              <w:t>= t</w:t>
            </w:r>
            <w:r>
              <w:rPr>
                <w:rFonts w:ascii="Times New Roman" w:hAnsi="Times New Roman" w:cs="Times New Roman"/>
                <w:b w:val="0"/>
                <w:color w:val="auto"/>
                <w:sz w:val="24"/>
                <w:szCs w:val="24"/>
                <w:vertAlign w:val="subscript"/>
              </w:rPr>
              <w:t>1/2</w:t>
            </w:r>
            <w:r>
              <w:rPr>
                <w:rFonts w:ascii="Times New Roman" w:hAnsi="Times New Roman" w:cs="Times New Roman"/>
                <w:b w:val="0"/>
                <w:color w:val="auto"/>
                <w:sz w:val="24"/>
                <w:szCs w:val="24"/>
              </w:rPr>
              <w:t xml:space="preserve"> (h)</w:t>
            </w:r>
          </w:p>
          <w:p w14:paraId="3D1A0B74" w14:textId="77777777" w:rsidR="009D162F" w:rsidRDefault="009D162F">
            <w:pPr>
              <w:pStyle w:val="ListParagraph"/>
              <w:spacing w:after="0" w:line="240" w:lineRule="auto"/>
              <w:ind w:left="0"/>
              <w:jc w:val="both"/>
              <w:rPr>
                <w:rFonts w:ascii="Times New Roman" w:hAnsi="Times New Roman" w:cs="Times New Roman"/>
                <w:b w:val="0"/>
                <w:bCs w:val="0"/>
                <w:color w:val="auto"/>
                <w:sz w:val="24"/>
                <w:szCs w:val="24"/>
              </w:rPr>
            </w:pPr>
          </w:p>
        </w:tc>
        <w:tc>
          <w:tcPr>
            <w:tcW w:w="4788" w:type="dxa"/>
          </w:tcPr>
          <w:p w14:paraId="2B36391C" w14:textId="77777777" w:rsidR="009D162F" w:rsidRDefault="009D162F">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p>
          <w:p w14:paraId="5A39A416" w14:textId="77777777" w:rsidR="009D162F" w:rsidRDefault="006E6378">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Constraints</w:t>
            </w:r>
          </w:p>
          <w:p w14:paraId="7058D3AE" w14:textId="77777777" w:rsidR="009D162F" w:rsidRDefault="006E6378">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Optimum (100-500)</w:t>
            </w:r>
          </w:p>
          <w:p w14:paraId="1ABDA570" w14:textId="77777777" w:rsidR="009D162F" w:rsidRDefault="006E6378">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Maximum</w:t>
            </w:r>
          </w:p>
          <w:p w14:paraId="78806A76" w14:textId="77777777" w:rsidR="009D162F" w:rsidRDefault="006E6378">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gramStart"/>
            <w:r>
              <w:rPr>
                <w:rFonts w:ascii="Times New Roman" w:hAnsi="Times New Roman" w:cs="Times New Roman"/>
                <w:color w:val="auto"/>
                <w:sz w:val="24"/>
                <w:szCs w:val="24"/>
              </w:rPr>
              <w:t>Optimum(</w:t>
            </w:r>
            <w:proofErr w:type="gramEnd"/>
            <w:r>
              <w:rPr>
                <w:rFonts w:ascii="Times New Roman" w:hAnsi="Times New Roman" w:cs="Times New Roman"/>
                <w:color w:val="auto"/>
                <w:sz w:val="24"/>
                <w:szCs w:val="24"/>
              </w:rPr>
              <w:t>6-8)</w:t>
            </w:r>
          </w:p>
          <w:p w14:paraId="71813A95" w14:textId="77777777" w:rsidR="009D162F" w:rsidRDefault="009D162F">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bl>
    <w:p w14:paraId="00E0A5F1" w14:textId="77777777" w:rsidR="009D162F" w:rsidRDefault="009D162F">
      <w:pPr>
        <w:jc w:val="both"/>
        <w:rPr>
          <w:rFonts w:ascii="Times New Roman" w:hAnsi="Times New Roman" w:cs="Times New Roman"/>
          <w:sz w:val="24"/>
          <w:szCs w:val="24"/>
        </w:rPr>
      </w:pPr>
    </w:p>
    <w:p w14:paraId="454ABE5B" w14:textId="77777777" w:rsidR="009D162F" w:rsidRDefault="006E6378">
      <w:pPr>
        <w:jc w:val="both"/>
        <w:rPr>
          <w:rFonts w:ascii="Times New Roman" w:hAnsi="Times New Roman" w:cs="Times New Roman"/>
          <w:b/>
          <w:sz w:val="24"/>
          <w:szCs w:val="24"/>
        </w:rPr>
      </w:pPr>
      <w:r>
        <w:rPr>
          <w:rFonts w:ascii="Times New Roman" w:hAnsi="Times New Roman" w:cs="Times New Roman"/>
          <w:b/>
          <w:sz w:val="24"/>
          <w:szCs w:val="24"/>
        </w:rPr>
        <w:t xml:space="preserve">Calculation of theoretical drug release profile </w:t>
      </w:r>
    </w:p>
    <w:p w14:paraId="5F757E8D"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in-situ</w:t>
      </w:r>
      <w:r>
        <w:rPr>
          <w:rFonts w:ascii="Times New Roman" w:hAnsi="Times New Roman" w:cs="Times New Roman"/>
          <w:sz w:val="24"/>
          <w:szCs w:val="24"/>
        </w:rPr>
        <w:t xml:space="preserve"> gel's total NRG dosage was determined using the Robinson Erikson equation based on the accessible pharmacokinetic data. This total dosage, denoted as D</w:t>
      </w:r>
      <w:r>
        <w:rPr>
          <w:rFonts w:ascii="Times New Roman" w:hAnsi="Times New Roman" w:cs="Times New Roman"/>
          <w:sz w:val="24"/>
          <w:szCs w:val="24"/>
          <w:vertAlign w:val="subscript"/>
        </w:rPr>
        <w:t>t</w:t>
      </w:r>
      <w:r>
        <w:rPr>
          <w:rFonts w:ascii="Times New Roman" w:hAnsi="Times New Roman" w:cs="Times New Roman"/>
          <w:sz w:val="24"/>
          <w:szCs w:val="24"/>
        </w:rPr>
        <w:t>, consists of two components: the immediate dose, Di, and the maintenance dose, Dm, where D</w:t>
      </w:r>
      <w:r>
        <w:rPr>
          <w:rFonts w:ascii="Times New Roman" w:hAnsi="Times New Roman" w:cs="Times New Roman"/>
          <w:sz w:val="24"/>
          <w:szCs w:val="24"/>
          <w:vertAlign w:val="subscript"/>
        </w:rPr>
        <w:t>t</w:t>
      </w:r>
      <w:r>
        <w:rPr>
          <w:rFonts w:ascii="Times New Roman" w:hAnsi="Times New Roman" w:cs="Times New Roman"/>
          <w:sz w:val="24"/>
          <w:szCs w:val="24"/>
        </w:rPr>
        <w:t xml:space="preserve"> = D</w:t>
      </w:r>
      <w:r>
        <w:rPr>
          <w:rFonts w:ascii="Times New Roman" w:hAnsi="Times New Roman" w:cs="Times New Roman"/>
          <w:sz w:val="24"/>
          <w:szCs w:val="24"/>
          <w:vertAlign w:val="subscript"/>
        </w:rPr>
        <w:t>i</w:t>
      </w:r>
      <w:r>
        <w:rPr>
          <w:rFonts w:ascii="Times New Roman" w:hAnsi="Times New Roman" w:cs="Times New Roman"/>
          <w:sz w:val="24"/>
          <w:szCs w:val="24"/>
        </w:rPr>
        <w:t xml:space="preserve"> + D</w:t>
      </w:r>
      <w:r>
        <w:rPr>
          <w:rFonts w:ascii="Times New Roman" w:hAnsi="Times New Roman" w:cs="Times New Roman"/>
          <w:sz w:val="24"/>
          <w:szCs w:val="24"/>
          <w:vertAlign w:val="subscript"/>
        </w:rPr>
        <w:t>m</w:t>
      </w:r>
      <w:r>
        <w:rPr>
          <w:rFonts w:ascii="Times New Roman" w:hAnsi="Times New Roman" w:cs="Times New Roman"/>
          <w:sz w:val="24"/>
          <w:szCs w:val="24"/>
        </w:rPr>
        <w:t>.</w:t>
      </w:r>
      <w:r>
        <w:rPr>
          <w:rFonts w:ascii="Times New Roman" w:hAnsi="Times New Roman" w:cs="Times New Roman"/>
          <w:sz w:val="24"/>
          <w:szCs w:val="24"/>
        </w:rPr>
        <w:t xml:space="preserve"> The elimination rate constant, K, is calculated as 0.693/t</w:t>
      </w:r>
      <w:r>
        <w:rPr>
          <w:rFonts w:ascii="Times New Roman" w:hAnsi="Times New Roman" w:cs="Times New Roman"/>
          <w:sz w:val="24"/>
          <w:szCs w:val="24"/>
          <w:vertAlign w:val="subscript"/>
        </w:rPr>
        <w:t>1/2</w:t>
      </w:r>
      <w:r>
        <w:rPr>
          <w:rFonts w:ascii="Times New Roman" w:hAnsi="Times New Roman" w:cs="Times New Roman"/>
          <w:sz w:val="24"/>
          <w:szCs w:val="24"/>
        </w:rPr>
        <w:t>, which is 2.5 hours, resulting in K = 0.2772 mg/h. The availability rate, R, is determined as the product of K and the usual drug dose, D, which is 150 mg, resulting in R = KD = 41.58 mg/h. The</w:t>
      </w:r>
      <w:r>
        <w:rPr>
          <w:rFonts w:ascii="Times New Roman" w:hAnsi="Times New Roman" w:cs="Times New Roman"/>
          <w:sz w:val="24"/>
          <w:szCs w:val="24"/>
        </w:rPr>
        <w:t xml:space="preserve"> maintenance dose, Dm, is calculated as Rh, where Rh is 498.96 mg, and h represents the desired sustained action duration, which is 12 hours. The immediate dose, D</w:t>
      </w:r>
      <w:r>
        <w:rPr>
          <w:rFonts w:ascii="Times New Roman" w:hAnsi="Times New Roman" w:cs="Times New Roman"/>
          <w:sz w:val="24"/>
          <w:szCs w:val="24"/>
          <w:vertAlign w:val="subscript"/>
        </w:rPr>
        <w:t>i</w:t>
      </w:r>
      <w:r>
        <w:rPr>
          <w:rFonts w:ascii="Times New Roman" w:hAnsi="Times New Roman" w:cs="Times New Roman"/>
          <w:sz w:val="24"/>
          <w:szCs w:val="24"/>
        </w:rPr>
        <w:t>, is determined as D-</w:t>
      </w:r>
      <w:proofErr w:type="spellStart"/>
      <w:r>
        <w:rPr>
          <w:rFonts w:ascii="Times New Roman" w:hAnsi="Times New Roman" w:cs="Times New Roman"/>
          <w:sz w:val="24"/>
          <w:szCs w:val="24"/>
        </w:rPr>
        <w:t>RT</w:t>
      </w:r>
      <w:r>
        <w:rPr>
          <w:rFonts w:ascii="Times New Roman" w:hAnsi="Times New Roman" w:cs="Times New Roman"/>
          <w:sz w:val="24"/>
          <w:szCs w:val="24"/>
          <w:vertAlign w:val="subscript"/>
        </w:rPr>
        <w:t>p</w:t>
      </w:r>
      <w:proofErr w:type="spellEnd"/>
      <w:r>
        <w:rPr>
          <w:rFonts w:ascii="Times New Roman" w:hAnsi="Times New Roman" w:cs="Times New Roman"/>
          <w:sz w:val="24"/>
          <w:szCs w:val="24"/>
        </w:rPr>
        <w:t xml:space="preserve">, where D is 150 mg, R is 41.58 mg/h, and </w:t>
      </w:r>
      <w:proofErr w:type="spellStart"/>
      <w:r>
        <w:rPr>
          <w:rFonts w:ascii="Times New Roman" w:hAnsi="Times New Roman" w:cs="Times New Roman"/>
          <w:sz w:val="24"/>
          <w:szCs w:val="24"/>
        </w:rPr>
        <w:t>Tp</w:t>
      </w:r>
      <w:proofErr w:type="spellEnd"/>
      <w:r>
        <w:rPr>
          <w:rFonts w:ascii="Times New Roman" w:hAnsi="Times New Roman" w:cs="Times New Roman"/>
          <w:sz w:val="24"/>
          <w:szCs w:val="24"/>
        </w:rPr>
        <w:t xml:space="preserve"> is the time required to</w:t>
      </w:r>
      <w:r>
        <w:rPr>
          <w:rFonts w:ascii="Times New Roman" w:hAnsi="Times New Roman" w:cs="Times New Roman"/>
          <w:sz w:val="24"/>
          <w:szCs w:val="24"/>
        </w:rPr>
        <w:t xml:space="preserve"> achieve peak plasma levels. The total dosage, D</w:t>
      </w:r>
      <w:r>
        <w:rPr>
          <w:rFonts w:ascii="Times New Roman" w:hAnsi="Times New Roman" w:cs="Times New Roman"/>
          <w:sz w:val="24"/>
          <w:szCs w:val="24"/>
          <w:vertAlign w:val="subscript"/>
        </w:rPr>
        <w:t>t</w:t>
      </w:r>
      <w:r>
        <w:rPr>
          <w:rFonts w:ascii="Times New Roman" w:hAnsi="Times New Roman" w:cs="Times New Roman"/>
          <w:sz w:val="24"/>
          <w:szCs w:val="24"/>
        </w:rPr>
        <w:t>, is established as 500 mg. Therefore, according to the Robinson Erikson equation, the formulation should include a 500 mg dose [</w:t>
      </w:r>
      <w:r>
        <w:rPr>
          <w:rFonts w:ascii="Times New Roman" w:hAnsi="Times New Roman" w:cs="Times New Roman"/>
          <w:b/>
          <w:sz w:val="24"/>
          <w:szCs w:val="24"/>
        </w:rPr>
        <w:t>13].</w:t>
      </w:r>
    </w:p>
    <w:p w14:paraId="3984D631" w14:textId="77777777" w:rsidR="009D162F" w:rsidRDefault="006E6378">
      <w:pPr>
        <w:jc w:val="both"/>
        <w:rPr>
          <w:rFonts w:ascii="Times New Roman" w:hAnsi="Times New Roman" w:cs="Times New Roman"/>
          <w:b/>
          <w:sz w:val="24"/>
          <w:szCs w:val="24"/>
        </w:rPr>
      </w:pPr>
      <w:r>
        <w:rPr>
          <w:rFonts w:ascii="Times New Roman" w:hAnsi="Times New Roman" w:cs="Times New Roman"/>
          <w:b/>
          <w:sz w:val="24"/>
          <w:szCs w:val="24"/>
        </w:rPr>
        <w:t xml:space="preserve">Preparation of NRG </w:t>
      </w:r>
      <w:proofErr w:type="spellStart"/>
      <w:r>
        <w:rPr>
          <w:rFonts w:ascii="Times New Roman" w:hAnsi="Times New Roman" w:cs="Times New Roman"/>
          <w:b/>
          <w:sz w:val="24"/>
          <w:szCs w:val="24"/>
        </w:rPr>
        <w:t>cubosomes</w:t>
      </w:r>
      <w:proofErr w:type="spellEnd"/>
    </w:p>
    <w:p w14:paraId="3819F004"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Two distinct mixtures were prepared: the fir</w:t>
      </w:r>
      <w:r>
        <w:rPr>
          <w:rFonts w:ascii="Times New Roman" w:hAnsi="Times New Roman" w:cs="Times New Roman"/>
          <w:sz w:val="24"/>
          <w:szCs w:val="24"/>
        </w:rPr>
        <w:t xml:space="preserve">st involved a blend of oleic acid and glycerol, which was melted and combined over a water bath at 60°C, resulting in the formation of glycerol mono oleate. The second mixture consisted of poloxamer and water, which was melted and mixed at 70°C. The first </w:t>
      </w:r>
      <w:r>
        <w:rPr>
          <w:rFonts w:ascii="Times New Roman" w:hAnsi="Times New Roman" w:cs="Times New Roman"/>
          <w:sz w:val="24"/>
          <w:szCs w:val="24"/>
        </w:rPr>
        <w:t>mixture was mixed with the drug solution added first, and then the second solution was gradually added while stirring continuously. The combined solution was left undisturbed for a 24-hour period to reach equilibrium. After 24 hours, two separate phases fo</w:t>
      </w:r>
      <w:r>
        <w:rPr>
          <w:rFonts w:ascii="Times New Roman" w:hAnsi="Times New Roman" w:cs="Times New Roman"/>
          <w:sz w:val="24"/>
          <w:szCs w:val="24"/>
        </w:rPr>
        <w:t xml:space="preserve">rmed, a mechanical stirrer was employed at a speed of 2500 rpm for two hours. Subsequently, the entire system was homogenized for an additional two hours at the same speed. The resulting liquid dispersion of </w:t>
      </w:r>
      <w:proofErr w:type="spellStart"/>
      <w:r>
        <w:rPr>
          <w:rFonts w:ascii="Times New Roman" w:hAnsi="Times New Roman" w:cs="Times New Roman"/>
          <w:sz w:val="24"/>
          <w:szCs w:val="24"/>
        </w:rPr>
        <w:t>cubosomes</w:t>
      </w:r>
      <w:proofErr w:type="spellEnd"/>
      <w:r>
        <w:rPr>
          <w:rFonts w:ascii="Times New Roman" w:hAnsi="Times New Roman" w:cs="Times New Roman"/>
          <w:sz w:val="24"/>
          <w:szCs w:val="24"/>
        </w:rPr>
        <w:t xml:space="preserve"> was stored at room </w:t>
      </w:r>
      <w:proofErr w:type="gramStart"/>
      <w:r>
        <w:rPr>
          <w:rFonts w:ascii="Times New Roman" w:hAnsi="Times New Roman" w:cs="Times New Roman"/>
          <w:sz w:val="24"/>
          <w:szCs w:val="24"/>
        </w:rPr>
        <w:t>temperature[</w:t>
      </w:r>
      <w:proofErr w:type="gramEnd"/>
      <w:r>
        <w:rPr>
          <w:rFonts w:ascii="Times New Roman" w:hAnsi="Times New Roman" w:cs="Times New Roman"/>
          <w:b/>
          <w:sz w:val="24"/>
          <w:szCs w:val="24"/>
        </w:rPr>
        <w:t>14].</w:t>
      </w:r>
    </w:p>
    <w:p w14:paraId="5619979A" w14:textId="77777777" w:rsidR="009D162F" w:rsidRDefault="006E6378">
      <w:pPr>
        <w:jc w:val="both"/>
        <w:rPr>
          <w:rFonts w:ascii="Times New Roman" w:hAnsi="Times New Roman" w:cs="Times New Roman"/>
          <w:b/>
          <w:sz w:val="24"/>
          <w:szCs w:val="24"/>
        </w:rPr>
      </w:pPr>
      <w:r>
        <w:rPr>
          <w:rFonts w:ascii="Times New Roman" w:hAnsi="Times New Roman" w:cs="Times New Roman"/>
          <w:b/>
          <w:sz w:val="24"/>
          <w:szCs w:val="24"/>
        </w:rPr>
        <w:t>Pr</w:t>
      </w:r>
      <w:r>
        <w:rPr>
          <w:rFonts w:ascii="Times New Roman" w:hAnsi="Times New Roman" w:cs="Times New Roman"/>
          <w:b/>
          <w:sz w:val="24"/>
          <w:szCs w:val="24"/>
        </w:rPr>
        <w:t xml:space="preserve">eparation of NRG </w:t>
      </w:r>
      <w:r>
        <w:rPr>
          <w:rFonts w:ascii="Times New Roman" w:hAnsi="Times New Roman" w:cs="Times New Roman"/>
          <w:b/>
          <w:i/>
          <w:sz w:val="24"/>
          <w:szCs w:val="24"/>
        </w:rPr>
        <w:t xml:space="preserve">in-situ </w:t>
      </w:r>
      <w:proofErr w:type="spellStart"/>
      <w:r>
        <w:rPr>
          <w:rFonts w:ascii="Times New Roman" w:hAnsi="Times New Roman" w:cs="Times New Roman"/>
          <w:b/>
          <w:sz w:val="24"/>
          <w:szCs w:val="24"/>
        </w:rPr>
        <w:t>cubo</w:t>
      </w:r>
      <w:proofErr w:type="spellEnd"/>
      <w:r>
        <w:rPr>
          <w:rFonts w:ascii="Times New Roman" w:hAnsi="Times New Roman" w:cs="Times New Roman"/>
          <w:b/>
          <w:sz w:val="24"/>
          <w:szCs w:val="24"/>
        </w:rPr>
        <w:t xml:space="preserve"> gels (NCG)</w:t>
      </w:r>
    </w:p>
    <w:p w14:paraId="2ED9DA18"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proofErr w:type="spellStart"/>
      <w:r>
        <w:rPr>
          <w:rFonts w:ascii="Times New Roman" w:hAnsi="Times New Roman" w:cs="Times New Roman"/>
          <w:sz w:val="24"/>
          <w:szCs w:val="24"/>
        </w:rPr>
        <w:t>cubosomes</w:t>
      </w:r>
      <w:proofErr w:type="spellEnd"/>
      <w:r>
        <w:rPr>
          <w:rFonts w:ascii="Times New Roman" w:hAnsi="Times New Roman" w:cs="Times New Roman"/>
          <w:sz w:val="24"/>
          <w:szCs w:val="24"/>
        </w:rPr>
        <w:t xml:space="preserve"> mentioned above were optimized using a Central Composite Design (CCD), and </w:t>
      </w:r>
      <w:r>
        <w:rPr>
          <w:rFonts w:ascii="Times New Roman" w:hAnsi="Times New Roman" w:cs="Times New Roman"/>
          <w:i/>
          <w:sz w:val="24"/>
          <w:szCs w:val="24"/>
        </w:rPr>
        <w:t>in-situ</w:t>
      </w:r>
      <w:r>
        <w:rPr>
          <w:rFonts w:ascii="Times New Roman" w:hAnsi="Times New Roman" w:cs="Times New Roman"/>
          <w:sz w:val="24"/>
          <w:szCs w:val="24"/>
        </w:rPr>
        <w:t xml:space="preserve"> gels containing the optimized formulation were </w:t>
      </w:r>
      <w:proofErr w:type="spellStart"/>
      <w:r>
        <w:rPr>
          <w:rFonts w:ascii="Times New Roman" w:hAnsi="Times New Roman" w:cs="Times New Roman"/>
          <w:sz w:val="24"/>
          <w:szCs w:val="24"/>
        </w:rPr>
        <w:t>developedaccording</w:t>
      </w:r>
      <w:proofErr w:type="spellEnd"/>
      <w:r>
        <w:rPr>
          <w:rFonts w:ascii="Times New Roman" w:hAnsi="Times New Roman" w:cs="Times New Roman"/>
          <w:sz w:val="24"/>
          <w:szCs w:val="24"/>
        </w:rPr>
        <w:t xml:space="preserve"> to the specifications outlined in (Table 2). The fol</w:t>
      </w:r>
      <w:r>
        <w:rPr>
          <w:rFonts w:ascii="Times New Roman" w:hAnsi="Times New Roman" w:cs="Times New Roman"/>
          <w:sz w:val="24"/>
          <w:szCs w:val="24"/>
        </w:rPr>
        <w:t xml:space="preserve">lowing method was used to prepare the </w:t>
      </w:r>
      <w:r>
        <w:rPr>
          <w:rFonts w:ascii="Times New Roman" w:hAnsi="Times New Roman" w:cs="Times New Roman"/>
          <w:i/>
          <w:sz w:val="24"/>
          <w:szCs w:val="24"/>
        </w:rPr>
        <w:t xml:space="preserve">in-situ </w:t>
      </w:r>
      <w:r>
        <w:rPr>
          <w:rFonts w:ascii="Times New Roman" w:hAnsi="Times New Roman" w:cs="Times New Roman"/>
          <w:sz w:val="24"/>
          <w:szCs w:val="24"/>
        </w:rPr>
        <w:t xml:space="preserve">gel: First, </w:t>
      </w:r>
      <w:proofErr w:type="spellStart"/>
      <w:r>
        <w:rPr>
          <w:rFonts w:ascii="Times New Roman" w:hAnsi="Times New Roman" w:cs="Times New Roman"/>
          <w:sz w:val="24"/>
          <w:szCs w:val="24"/>
        </w:rPr>
        <w:t>gellan</w:t>
      </w:r>
      <w:proofErr w:type="spellEnd"/>
      <w:r>
        <w:rPr>
          <w:rFonts w:ascii="Times New Roman" w:hAnsi="Times New Roman" w:cs="Times New Roman"/>
          <w:sz w:val="24"/>
          <w:szCs w:val="24"/>
        </w:rPr>
        <w:t xml:space="preserve"> gum and LBG solutions were individually developed by dispersing a precisely measured amount of </w:t>
      </w:r>
      <w:proofErr w:type="spellStart"/>
      <w:r>
        <w:rPr>
          <w:rFonts w:ascii="Times New Roman" w:hAnsi="Times New Roman" w:cs="Times New Roman"/>
          <w:sz w:val="24"/>
          <w:szCs w:val="24"/>
        </w:rPr>
        <w:t>gellan</w:t>
      </w:r>
      <w:proofErr w:type="spellEnd"/>
      <w:r>
        <w:rPr>
          <w:rFonts w:ascii="Times New Roman" w:hAnsi="Times New Roman" w:cs="Times New Roman"/>
          <w:sz w:val="24"/>
          <w:szCs w:val="24"/>
        </w:rPr>
        <w:t xml:space="preserve"> gum in warmed distilled water for approximately 20 minutes, utilizing a magnetic stirrer </w:t>
      </w:r>
      <w:r>
        <w:rPr>
          <w:rFonts w:ascii="Times New Roman" w:hAnsi="Times New Roman" w:cs="Times New Roman"/>
          <w:sz w:val="24"/>
          <w:szCs w:val="24"/>
        </w:rPr>
        <w:t xml:space="preserve">at 60°C. The </w:t>
      </w:r>
      <w:proofErr w:type="spellStart"/>
      <w:r>
        <w:rPr>
          <w:rFonts w:ascii="Times New Roman" w:hAnsi="Times New Roman" w:cs="Times New Roman"/>
          <w:sz w:val="24"/>
          <w:szCs w:val="24"/>
        </w:rPr>
        <w:t>gellan</w:t>
      </w:r>
      <w:proofErr w:type="spellEnd"/>
      <w:r>
        <w:rPr>
          <w:rFonts w:ascii="Times New Roman" w:hAnsi="Times New Roman" w:cs="Times New Roman"/>
          <w:sz w:val="24"/>
          <w:szCs w:val="24"/>
        </w:rPr>
        <w:t xml:space="preserve"> gum solution was continuously stirred, and the NRG </w:t>
      </w:r>
      <w:proofErr w:type="spellStart"/>
      <w:r>
        <w:rPr>
          <w:rFonts w:ascii="Times New Roman" w:hAnsi="Times New Roman" w:cs="Times New Roman"/>
          <w:sz w:val="24"/>
          <w:szCs w:val="24"/>
        </w:rPr>
        <w:t>cubosomal</w:t>
      </w:r>
      <w:proofErr w:type="spellEnd"/>
      <w:r>
        <w:rPr>
          <w:rFonts w:ascii="Times New Roman" w:hAnsi="Times New Roman" w:cs="Times New Roman"/>
          <w:sz w:val="24"/>
          <w:szCs w:val="24"/>
        </w:rPr>
        <w:t xml:space="preserve"> dispersion was gradually added once it had fully dispersed. While the gum solution was allowed to cool to 40°C, an excipient solution was prepared by combining the appropriate</w:t>
      </w:r>
      <w:r>
        <w:rPr>
          <w:rFonts w:ascii="Times New Roman" w:hAnsi="Times New Roman" w:cs="Times New Roman"/>
          <w:sz w:val="24"/>
          <w:szCs w:val="24"/>
        </w:rPr>
        <w:t xml:space="preserve"> quantities of PEG6000 and benzalkonium chloride in a sufficient amount of </w:t>
      </w:r>
      <w:proofErr w:type="spellStart"/>
      <w:proofErr w:type="gramStart"/>
      <w:r>
        <w:rPr>
          <w:rFonts w:ascii="Times New Roman" w:hAnsi="Times New Roman" w:cs="Times New Roman"/>
          <w:sz w:val="24"/>
          <w:szCs w:val="24"/>
        </w:rPr>
        <w:t>water.The</w:t>
      </w:r>
      <w:proofErr w:type="spellEnd"/>
      <w:proofErr w:type="gramEnd"/>
      <w:r>
        <w:rPr>
          <w:rFonts w:ascii="Times New Roman" w:hAnsi="Times New Roman" w:cs="Times New Roman"/>
          <w:sz w:val="24"/>
          <w:szCs w:val="24"/>
        </w:rPr>
        <w:t xml:space="preserve"> excipient solution was then steadily mixed into the gum solution and topped up with distilled water to attain the desired volume. The resulting mixtures were transferred i</w:t>
      </w:r>
      <w:r>
        <w:rPr>
          <w:rFonts w:ascii="Times New Roman" w:hAnsi="Times New Roman" w:cs="Times New Roman"/>
          <w:sz w:val="24"/>
          <w:szCs w:val="24"/>
        </w:rPr>
        <w:t xml:space="preserve">nto Rubber-stopped glass vials in an amber hue and stored for subsequent </w:t>
      </w:r>
      <w:proofErr w:type="gramStart"/>
      <w:r>
        <w:rPr>
          <w:rFonts w:ascii="Times New Roman" w:hAnsi="Times New Roman" w:cs="Times New Roman"/>
          <w:sz w:val="24"/>
          <w:szCs w:val="24"/>
        </w:rPr>
        <w:t>evaluation</w:t>
      </w:r>
      <w:r>
        <w:rPr>
          <w:rFonts w:ascii="Times New Roman" w:hAnsi="Times New Roman" w:cs="Times New Roman"/>
          <w:b/>
          <w:sz w:val="24"/>
          <w:szCs w:val="24"/>
        </w:rPr>
        <w:t>[</w:t>
      </w:r>
      <w:proofErr w:type="gramEnd"/>
      <w:r>
        <w:rPr>
          <w:rFonts w:ascii="Times New Roman" w:hAnsi="Times New Roman" w:cs="Times New Roman"/>
          <w:b/>
          <w:sz w:val="24"/>
          <w:szCs w:val="24"/>
        </w:rPr>
        <w:t>15]</w:t>
      </w:r>
      <w:r>
        <w:rPr>
          <w:rFonts w:ascii="Times New Roman" w:hAnsi="Times New Roman" w:cs="Times New Roman"/>
          <w:sz w:val="24"/>
          <w:szCs w:val="24"/>
        </w:rPr>
        <w:t>.</w:t>
      </w:r>
    </w:p>
    <w:p w14:paraId="76909AD0" w14:textId="77777777" w:rsidR="009D162F" w:rsidRDefault="006E6378">
      <w:pPr>
        <w:jc w:val="center"/>
        <w:rPr>
          <w:rFonts w:ascii="Times New Roman" w:hAnsi="Times New Roman" w:cs="Times New Roman"/>
          <w:b/>
          <w:sz w:val="24"/>
          <w:szCs w:val="24"/>
        </w:rPr>
      </w:pPr>
      <w:r>
        <w:rPr>
          <w:rFonts w:ascii="Times New Roman" w:hAnsi="Times New Roman" w:cs="Times New Roman"/>
          <w:b/>
          <w:sz w:val="24"/>
          <w:szCs w:val="24"/>
        </w:rPr>
        <w:t xml:space="preserve">Table 2 </w:t>
      </w:r>
      <w:r>
        <w:rPr>
          <w:rFonts w:ascii="Times New Roman" w:hAnsi="Times New Roman" w:cs="Times New Roman"/>
          <w:bCs/>
          <w:sz w:val="24"/>
          <w:szCs w:val="24"/>
        </w:rPr>
        <w:t>Formulation of NCG</w:t>
      </w:r>
    </w:p>
    <w:tbl>
      <w:tblPr>
        <w:tblStyle w:val="TableGrid"/>
        <w:tblpPr w:leftFromText="180" w:rightFromText="180" w:vertAnchor="text" w:tblpY="1"/>
        <w:tblOverlap w:val="never"/>
        <w:tblW w:w="9168" w:type="dxa"/>
        <w:tblLook w:val="04A0" w:firstRow="1" w:lastRow="0" w:firstColumn="1" w:lastColumn="0" w:noHBand="0" w:noVBand="1"/>
      </w:tblPr>
      <w:tblGrid>
        <w:gridCol w:w="3805"/>
        <w:gridCol w:w="2680"/>
        <w:gridCol w:w="2683"/>
      </w:tblGrid>
      <w:tr w:rsidR="009D162F" w14:paraId="50AC7008" w14:textId="77777777">
        <w:trPr>
          <w:trHeight w:val="231"/>
        </w:trPr>
        <w:tc>
          <w:tcPr>
            <w:tcW w:w="3805" w:type="dxa"/>
            <w:vMerge w:val="restart"/>
          </w:tcPr>
          <w:p w14:paraId="2490246F" w14:textId="77777777" w:rsidR="009D162F" w:rsidRDefault="006E6378">
            <w:pPr>
              <w:jc w:val="both"/>
              <w:rPr>
                <w:rFonts w:ascii="Times New Roman" w:hAnsi="Times New Roman" w:cs="Times New Roman"/>
                <w:sz w:val="24"/>
                <w:szCs w:val="24"/>
              </w:rPr>
            </w:pPr>
            <w:r>
              <w:rPr>
                <w:rFonts w:ascii="Times New Roman" w:hAnsi="Times New Roman" w:cs="Times New Roman"/>
                <w:b/>
                <w:bCs/>
                <w:sz w:val="24"/>
                <w:szCs w:val="24"/>
              </w:rPr>
              <w:t xml:space="preserve">Excipients </w:t>
            </w:r>
          </w:p>
        </w:tc>
        <w:tc>
          <w:tcPr>
            <w:tcW w:w="5362" w:type="dxa"/>
            <w:gridSpan w:val="2"/>
          </w:tcPr>
          <w:p w14:paraId="48D28E5D" w14:textId="77777777" w:rsidR="009D162F" w:rsidRDefault="006E6378">
            <w:pPr>
              <w:jc w:val="both"/>
              <w:rPr>
                <w:rFonts w:ascii="Times New Roman" w:hAnsi="Times New Roman" w:cs="Times New Roman"/>
                <w:sz w:val="24"/>
                <w:szCs w:val="24"/>
              </w:rPr>
            </w:pPr>
            <w:r>
              <w:rPr>
                <w:rFonts w:ascii="Times New Roman" w:hAnsi="Times New Roman" w:cs="Times New Roman"/>
                <w:b/>
                <w:bCs/>
                <w:sz w:val="24"/>
                <w:szCs w:val="24"/>
              </w:rPr>
              <w:t>Quantity</w:t>
            </w:r>
          </w:p>
        </w:tc>
      </w:tr>
      <w:tr w:rsidR="009D162F" w14:paraId="47201523" w14:textId="77777777">
        <w:trPr>
          <w:trHeight w:val="336"/>
        </w:trPr>
        <w:tc>
          <w:tcPr>
            <w:tcW w:w="0" w:type="auto"/>
            <w:vMerge/>
          </w:tcPr>
          <w:p w14:paraId="0252D27B" w14:textId="77777777" w:rsidR="009D162F" w:rsidRDefault="009D162F">
            <w:pPr>
              <w:jc w:val="both"/>
              <w:rPr>
                <w:rFonts w:ascii="Times New Roman" w:hAnsi="Times New Roman" w:cs="Times New Roman"/>
                <w:sz w:val="24"/>
                <w:szCs w:val="24"/>
              </w:rPr>
            </w:pPr>
          </w:p>
        </w:tc>
        <w:tc>
          <w:tcPr>
            <w:tcW w:w="2680" w:type="dxa"/>
          </w:tcPr>
          <w:p w14:paraId="3E61578E"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NCG1</w:t>
            </w:r>
          </w:p>
        </w:tc>
        <w:tc>
          <w:tcPr>
            <w:tcW w:w="2681" w:type="dxa"/>
          </w:tcPr>
          <w:p w14:paraId="3768B622"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NCG2</w:t>
            </w:r>
          </w:p>
        </w:tc>
      </w:tr>
      <w:tr w:rsidR="009D162F" w14:paraId="041CC40F" w14:textId="77777777">
        <w:trPr>
          <w:trHeight w:val="156"/>
        </w:trPr>
        <w:tc>
          <w:tcPr>
            <w:tcW w:w="3805" w:type="dxa"/>
          </w:tcPr>
          <w:p w14:paraId="34D7B0F0" w14:textId="77777777" w:rsidR="009D162F" w:rsidRDefault="006E6378">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Gellan gum </w:t>
            </w:r>
          </w:p>
        </w:tc>
        <w:tc>
          <w:tcPr>
            <w:tcW w:w="2680" w:type="dxa"/>
          </w:tcPr>
          <w:p w14:paraId="51ABBD21"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0.45%w/v</w:t>
            </w:r>
          </w:p>
        </w:tc>
        <w:tc>
          <w:tcPr>
            <w:tcW w:w="2681" w:type="dxa"/>
          </w:tcPr>
          <w:p w14:paraId="448381F1"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0.45%w/v</w:t>
            </w:r>
          </w:p>
        </w:tc>
      </w:tr>
      <w:tr w:rsidR="009D162F" w14:paraId="0EDA89E7" w14:textId="77777777">
        <w:trPr>
          <w:trHeight w:val="156"/>
        </w:trPr>
        <w:tc>
          <w:tcPr>
            <w:tcW w:w="3805" w:type="dxa"/>
          </w:tcPr>
          <w:p w14:paraId="5E9A2E31" w14:textId="77777777" w:rsidR="009D162F" w:rsidRDefault="006E6378">
            <w:pPr>
              <w:jc w:val="both"/>
              <w:rPr>
                <w:rFonts w:ascii="Times New Roman" w:hAnsi="Times New Roman" w:cs="Times New Roman"/>
                <w:sz w:val="24"/>
                <w:szCs w:val="24"/>
              </w:rPr>
            </w:pPr>
            <w:r>
              <w:rPr>
                <w:rFonts w:ascii="Times New Roman" w:hAnsi="Times New Roman" w:cs="Times New Roman"/>
                <w:b/>
                <w:bCs/>
                <w:sz w:val="24"/>
                <w:szCs w:val="24"/>
              </w:rPr>
              <w:t xml:space="preserve">Locust bean gum </w:t>
            </w:r>
          </w:p>
        </w:tc>
        <w:tc>
          <w:tcPr>
            <w:tcW w:w="2680" w:type="dxa"/>
          </w:tcPr>
          <w:p w14:paraId="5BEAF739"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1.58%w/v</w:t>
            </w:r>
          </w:p>
        </w:tc>
        <w:tc>
          <w:tcPr>
            <w:tcW w:w="2681" w:type="dxa"/>
          </w:tcPr>
          <w:p w14:paraId="601B3559"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3.0%w/v</w:t>
            </w:r>
          </w:p>
        </w:tc>
      </w:tr>
      <w:tr w:rsidR="009D162F" w14:paraId="0B0BE743" w14:textId="77777777">
        <w:trPr>
          <w:trHeight w:val="156"/>
        </w:trPr>
        <w:tc>
          <w:tcPr>
            <w:tcW w:w="3805" w:type="dxa"/>
          </w:tcPr>
          <w:p w14:paraId="70E90BFA" w14:textId="77777777" w:rsidR="009D162F" w:rsidRDefault="006E6378">
            <w:pPr>
              <w:jc w:val="both"/>
              <w:rPr>
                <w:rFonts w:ascii="Times New Roman" w:hAnsi="Times New Roman" w:cs="Times New Roman"/>
                <w:sz w:val="24"/>
                <w:szCs w:val="24"/>
              </w:rPr>
            </w:pPr>
            <w:r>
              <w:rPr>
                <w:rFonts w:ascii="Times New Roman" w:hAnsi="Times New Roman" w:cs="Times New Roman"/>
                <w:b/>
                <w:bCs/>
                <w:sz w:val="24"/>
                <w:szCs w:val="24"/>
              </w:rPr>
              <w:t xml:space="preserve">PEG6000 </w:t>
            </w:r>
          </w:p>
        </w:tc>
        <w:tc>
          <w:tcPr>
            <w:tcW w:w="2680" w:type="dxa"/>
          </w:tcPr>
          <w:p w14:paraId="377D6457"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2%v/v</w:t>
            </w:r>
          </w:p>
        </w:tc>
        <w:tc>
          <w:tcPr>
            <w:tcW w:w="2681" w:type="dxa"/>
          </w:tcPr>
          <w:p w14:paraId="607F3472"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2%v/v</w:t>
            </w:r>
          </w:p>
        </w:tc>
      </w:tr>
      <w:tr w:rsidR="009D162F" w14:paraId="715B8D49" w14:textId="77777777">
        <w:trPr>
          <w:trHeight w:val="156"/>
        </w:trPr>
        <w:tc>
          <w:tcPr>
            <w:tcW w:w="3805" w:type="dxa"/>
          </w:tcPr>
          <w:p w14:paraId="62B3B3C1" w14:textId="77777777" w:rsidR="009D162F" w:rsidRDefault="006E6378">
            <w:pPr>
              <w:jc w:val="both"/>
              <w:rPr>
                <w:rFonts w:ascii="Times New Roman" w:hAnsi="Times New Roman" w:cs="Times New Roman"/>
                <w:sz w:val="24"/>
                <w:szCs w:val="24"/>
              </w:rPr>
            </w:pPr>
            <w:r>
              <w:rPr>
                <w:rFonts w:ascii="Times New Roman" w:hAnsi="Times New Roman" w:cs="Times New Roman"/>
                <w:b/>
                <w:bCs/>
                <w:sz w:val="24"/>
                <w:szCs w:val="24"/>
                <w:lang w:val="en-US"/>
              </w:rPr>
              <w:t xml:space="preserve">Benzalkonium </w:t>
            </w:r>
            <w:r>
              <w:rPr>
                <w:rFonts w:ascii="Times New Roman" w:hAnsi="Times New Roman" w:cs="Times New Roman"/>
                <w:b/>
                <w:bCs/>
                <w:sz w:val="24"/>
                <w:szCs w:val="24"/>
                <w:lang w:val="en-US"/>
              </w:rPr>
              <w:t>chloride</w:t>
            </w:r>
          </w:p>
        </w:tc>
        <w:tc>
          <w:tcPr>
            <w:tcW w:w="2680" w:type="dxa"/>
          </w:tcPr>
          <w:p w14:paraId="2303D8B8"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0.05%w/v</w:t>
            </w:r>
          </w:p>
        </w:tc>
        <w:tc>
          <w:tcPr>
            <w:tcW w:w="2681" w:type="dxa"/>
          </w:tcPr>
          <w:p w14:paraId="659DCA02"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0.05%w/v</w:t>
            </w:r>
          </w:p>
        </w:tc>
      </w:tr>
      <w:tr w:rsidR="009D162F" w14:paraId="027C8E38" w14:textId="77777777">
        <w:trPr>
          <w:trHeight w:val="156"/>
        </w:trPr>
        <w:tc>
          <w:tcPr>
            <w:tcW w:w="3805" w:type="dxa"/>
          </w:tcPr>
          <w:p w14:paraId="60480C33" w14:textId="77777777" w:rsidR="009D162F" w:rsidRDefault="006E6378">
            <w:pPr>
              <w:jc w:val="both"/>
              <w:rPr>
                <w:rFonts w:ascii="Times New Roman" w:hAnsi="Times New Roman" w:cs="Times New Roman"/>
                <w:sz w:val="24"/>
                <w:szCs w:val="24"/>
              </w:rPr>
            </w:pPr>
            <w:r>
              <w:rPr>
                <w:rFonts w:ascii="Times New Roman" w:hAnsi="Times New Roman" w:cs="Times New Roman"/>
                <w:b/>
                <w:bCs/>
                <w:sz w:val="24"/>
                <w:szCs w:val="24"/>
              </w:rPr>
              <w:t xml:space="preserve">Oleic acid </w:t>
            </w:r>
          </w:p>
        </w:tc>
        <w:tc>
          <w:tcPr>
            <w:tcW w:w="2680" w:type="dxa"/>
          </w:tcPr>
          <w:p w14:paraId="4708E2E8"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3.5%v/v</w:t>
            </w:r>
          </w:p>
        </w:tc>
        <w:tc>
          <w:tcPr>
            <w:tcW w:w="2681" w:type="dxa"/>
          </w:tcPr>
          <w:p w14:paraId="3AF5CB14"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3.5%v/v</w:t>
            </w:r>
          </w:p>
        </w:tc>
      </w:tr>
      <w:tr w:rsidR="009D162F" w14:paraId="7AA2C567" w14:textId="77777777">
        <w:trPr>
          <w:trHeight w:val="156"/>
        </w:trPr>
        <w:tc>
          <w:tcPr>
            <w:tcW w:w="3805" w:type="dxa"/>
          </w:tcPr>
          <w:p w14:paraId="7F68A68C" w14:textId="77777777" w:rsidR="009D162F" w:rsidRDefault="006E6378">
            <w:pPr>
              <w:jc w:val="both"/>
              <w:rPr>
                <w:rFonts w:ascii="Times New Roman" w:hAnsi="Times New Roman" w:cs="Times New Roman"/>
                <w:sz w:val="24"/>
                <w:szCs w:val="24"/>
              </w:rPr>
            </w:pPr>
            <w:r>
              <w:rPr>
                <w:rFonts w:ascii="Times New Roman" w:hAnsi="Times New Roman" w:cs="Times New Roman"/>
                <w:b/>
                <w:bCs/>
                <w:sz w:val="24"/>
                <w:szCs w:val="24"/>
              </w:rPr>
              <w:t xml:space="preserve">Glycerol </w:t>
            </w:r>
          </w:p>
        </w:tc>
        <w:tc>
          <w:tcPr>
            <w:tcW w:w="2680" w:type="dxa"/>
          </w:tcPr>
          <w:p w14:paraId="6CCA4F81"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2.5%v/v</w:t>
            </w:r>
          </w:p>
        </w:tc>
        <w:tc>
          <w:tcPr>
            <w:tcW w:w="2681" w:type="dxa"/>
          </w:tcPr>
          <w:p w14:paraId="2859085E"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2.5%v/v</w:t>
            </w:r>
          </w:p>
        </w:tc>
      </w:tr>
      <w:tr w:rsidR="009D162F" w14:paraId="6B099F84" w14:textId="77777777">
        <w:trPr>
          <w:trHeight w:val="156"/>
        </w:trPr>
        <w:tc>
          <w:tcPr>
            <w:tcW w:w="3805" w:type="dxa"/>
          </w:tcPr>
          <w:p w14:paraId="517BF6A7" w14:textId="77777777" w:rsidR="009D162F" w:rsidRDefault="006E6378">
            <w:pPr>
              <w:jc w:val="both"/>
              <w:rPr>
                <w:rFonts w:ascii="Times New Roman" w:hAnsi="Times New Roman" w:cs="Times New Roman"/>
                <w:sz w:val="24"/>
                <w:szCs w:val="24"/>
              </w:rPr>
            </w:pPr>
            <w:r>
              <w:rPr>
                <w:rFonts w:ascii="Times New Roman" w:hAnsi="Times New Roman" w:cs="Times New Roman"/>
                <w:b/>
                <w:bCs/>
                <w:sz w:val="24"/>
                <w:szCs w:val="24"/>
              </w:rPr>
              <w:t>Poloxamer 407</w:t>
            </w:r>
          </w:p>
        </w:tc>
        <w:tc>
          <w:tcPr>
            <w:tcW w:w="2680" w:type="dxa"/>
          </w:tcPr>
          <w:p w14:paraId="1BB256C9"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2.5%v/v</w:t>
            </w:r>
          </w:p>
        </w:tc>
        <w:tc>
          <w:tcPr>
            <w:tcW w:w="2681" w:type="dxa"/>
          </w:tcPr>
          <w:p w14:paraId="23B82900"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2.5%v/v</w:t>
            </w:r>
          </w:p>
        </w:tc>
      </w:tr>
      <w:tr w:rsidR="009D162F" w14:paraId="18D03863" w14:textId="77777777">
        <w:trPr>
          <w:trHeight w:val="119"/>
        </w:trPr>
        <w:tc>
          <w:tcPr>
            <w:tcW w:w="9168" w:type="dxa"/>
            <w:gridSpan w:val="3"/>
          </w:tcPr>
          <w:p w14:paraId="6B3985D5" w14:textId="77777777" w:rsidR="009D162F" w:rsidRDefault="006E6378">
            <w:pPr>
              <w:jc w:val="both"/>
              <w:rPr>
                <w:rFonts w:ascii="Times New Roman" w:hAnsi="Times New Roman" w:cs="Times New Roman"/>
                <w:sz w:val="24"/>
                <w:szCs w:val="24"/>
              </w:rPr>
            </w:pPr>
            <w:proofErr w:type="gramStart"/>
            <w:r>
              <w:rPr>
                <w:rFonts w:ascii="Times New Roman" w:hAnsi="Times New Roman" w:cs="Times New Roman"/>
                <w:b/>
                <w:bCs/>
                <w:sz w:val="24"/>
                <w:szCs w:val="24"/>
              </w:rPr>
              <w:t>Drug(</w:t>
            </w:r>
            <w:proofErr w:type="gramEnd"/>
            <w:r>
              <w:rPr>
                <w:rFonts w:ascii="Times New Roman" w:hAnsi="Times New Roman" w:cs="Times New Roman"/>
                <w:b/>
                <w:bCs/>
                <w:sz w:val="24"/>
                <w:szCs w:val="24"/>
              </w:rPr>
              <w:t xml:space="preserve">NRG)=500mg/ml </w:t>
            </w:r>
          </w:p>
        </w:tc>
      </w:tr>
    </w:tbl>
    <w:p w14:paraId="070FF91F" w14:textId="77777777" w:rsidR="009D162F" w:rsidRDefault="009D162F">
      <w:pPr>
        <w:jc w:val="both"/>
        <w:rPr>
          <w:rFonts w:ascii="Times New Roman" w:hAnsi="Times New Roman" w:cs="Times New Roman"/>
          <w:b/>
          <w:sz w:val="24"/>
          <w:szCs w:val="24"/>
        </w:rPr>
      </w:pPr>
    </w:p>
    <w:p w14:paraId="0AD4D4DC" w14:textId="77777777" w:rsidR="009D162F" w:rsidRDefault="006E6378">
      <w:pPr>
        <w:jc w:val="both"/>
        <w:rPr>
          <w:rFonts w:ascii="Times New Roman" w:hAnsi="Times New Roman" w:cs="Times New Roman"/>
          <w:b/>
          <w:sz w:val="24"/>
          <w:szCs w:val="24"/>
        </w:rPr>
      </w:pPr>
      <w:r>
        <w:rPr>
          <w:rFonts w:ascii="Times New Roman" w:hAnsi="Times New Roman" w:cs="Times New Roman"/>
          <w:b/>
          <w:sz w:val="24"/>
          <w:szCs w:val="24"/>
        </w:rPr>
        <w:t xml:space="preserve">Characterization of the NRG </w:t>
      </w:r>
      <w:proofErr w:type="spellStart"/>
      <w:r>
        <w:rPr>
          <w:rFonts w:ascii="Times New Roman" w:hAnsi="Times New Roman" w:cs="Times New Roman"/>
          <w:b/>
          <w:sz w:val="24"/>
          <w:szCs w:val="24"/>
        </w:rPr>
        <w:t>cubosomes</w:t>
      </w:r>
      <w:proofErr w:type="spellEnd"/>
    </w:p>
    <w:p w14:paraId="21F6B10C" w14:textId="77777777" w:rsidR="009D162F" w:rsidRDefault="006E6378">
      <w:pPr>
        <w:jc w:val="both"/>
        <w:rPr>
          <w:rFonts w:ascii="Times New Roman" w:hAnsi="Times New Roman" w:cs="Times New Roman"/>
          <w:b/>
          <w:sz w:val="24"/>
          <w:szCs w:val="24"/>
        </w:rPr>
      </w:pPr>
      <w:r>
        <w:rPr>
          <w:rFonts w:ascii="Times New Roman" w:hAnsi="Times New Roman" w:cs="Times New Roman"/>
          <w:b/>
          <w:sz w:val="24"/>
          <w:szCs w:val="24"/>
        </w:rPr>
        <w:t>Shape analysis</w:t>
      </w:r>
    </w:p>
    <w:p w14:paraId="0FF2EAE2"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 xml:space="preserve">Transmission electron microscopy (TEM) using a JXA-840 instrument from JEOL in Tokyo, Japan, and Phase contrast microscopy were employed to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the morphology of the </w:t>
      </w:r>
      <w:proofErr w:type="spellStart"/>
      <w:r>
        <w:rPr>
          <w:rFonts w:ascii="Times New Roman" w:hAnsi="Times New Roman" w:cs="Times New Roman"/>
          <w:sz w:val="24"/>
          <w:szCs w:val="24"/>
        </w:rPr>
        <w:t>cubosomal</w:t>
      </w:r>
      <w:proofErr w:type="spellEnd"/>
      <w:r>
        <w:rPr>
          <w:rFonts w:ascii="Times New Roman" w:hAnsi="Times New Roman" w:cs="Times New Roman"/>
          <w:sz w:val="24"/>
          <w:szCs w:val="24"/>
        </w:rPr>
        <w:t xml:space="preserve"> dispersions. After the </w:t>
      </w:r>
      <w:proofErr w:type="spellStart"/>
      <w:r>
        <w:rPr>
          <w:rFonts w:ascii="Times New Roman" w:hAnsi="Times New Roman" w:cs="Times New Roman"/>
          <w:sz w:val="24"/>
          <w:szCs w:val="24"/>
        </w:rPr>
        <w:t>cubosomes</w:t>
      </w:r>
      <w:proofErr w:type="spellEnd"/>
      <w:r>
        <w:rPr>
          <w:rFonts w:ascii="Times New Roman" w:hAnsi="Times New Roman" w:cs="Times New Roman"/>
          <w:sz w:val="24"/>
          <w:szCs w:val="24"/>
        </w:rPr>
        <w:t xml:space="preserve"> were added to a carbon-coated copper grid, </w:t>
      </w:r>
      <w:r>
        <w:rPr>
          <w:rFonts w:ascii="Times New Roman" w:hAnsi="Times New Roman" w:cs="Times New Roman"/>
          <w:sz w:val="24"/>
          <w:szCs w:val="24"/>
        </w:rPr>
        <w:t>their existence was determined using high-</w:t>
      </w:r>
      <w:proofErr w:type="spellStart"/>
      <w:r>
        <w:rPr>
          <w:rFonts w:ascii="Times New Roman" w:hAnsi="Times New Roman" w:cs="Times New Roman"/>
          <w:sz w:val="24"/>
          <w:szCs w:val="24"/>
        </w:rPr>
        <w:t>resolutionTEM</w:t>
      </w:r>
      <w:proofErr w:type="spellEnd"/>
      <w:r>
        <w:rPr>
          <w:rFonts w:ascii="Times New Roman" w:hAnsi="Times New Roman" w:cs="Times New Roman"/>
          <w:sz w:val="24"/>
          <w:szCs w:val="24"/>
        </w:rPr>
        <w:t xml:space="preserve"> (HR-TEM) in bright-field mode, operated at 200 </w:t>
      </w:r>
      <w:proofErr w:type="spellStart"/>
      <w:r>
        <w:rPr>
          <w:rFonts w:ascii="Times New Roman" w:hAnsi="Times New Roman" w:cs="Times New Roman"/>
          <w:sz w:val="24"/>
          <w:szCs w:val="24"/>
        </w:rPr>
        <w:t>Kv</w:t>
      </w:r>
      <w:proofErr w:type="spellEnd"/>
      <w:r>
        <w:rPr>
          <w:rFonts w:ascii="Times New Roman" w:hAnsi="Times New Roman" w:cs="Times New Roman"/>
          <w:sz w:val="24"/>
          <w:szCs w:val="24"/>
        </w:rPr>
        <w:t xml:space="preserve"> [</w:t>
      </w:r>
      <w:r>
        <w:rPr>
          <w:rFonts w:ascii="Times New Roman" w:hAnsi="Times New Roman" w:cs="Times New Roman"/>
          <w:b/>
          <w:sz w:val="24"/>
          <w:szCs w:val="24"/>
        </w:rPr>
        <w:t>16].</w:t>
      </w:r>
    </w:p>
    <w:p w14:paraId="7529AB8D" w14:textId="77777777" w:rsidR="009D162F" w:rsidRDefault="006E6378">
      <w:pPr>
        <w:jc w:val="both"/>
        <w:rPr>
          <w:rFonts w:ascii="Times New Roman" w:hAnsi="Times New Roman" w:cs="Times New Roman"/>
          <w:b/>
          <w:sz w:val="24"/>
          <w:szCs w:val="24"/>
        </w:rPr>
      </w:pPr>
      <w:r>
        <w:rPr>
          <w:rFonts w:ascii="Times New Roman" w:hAnsi="Times New Roman" w:cs="Times New Roman"/>
          <w:b/>
          <w:sz w:val="24"/>
          <w:szCs w:val="24"/>
        </w:rPr>
        <w:t>Particle size and zeta potential</w:t>
      </w:r>
    </w:p>
    <w:p w14:paraId="5AA73D0D"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Horiba </w:t>
      </w:r>
      <w:proofErr w:type="spellStart"/>
      <w:r>
        <w:rPr>
          <w:rFonts w:ascii="Times New Roman" w:hAnsi="Times New Roman" w:cs="Times New Roman"/>
          <w:sz w:val="24"/>
          <w:szCs w:val="24"/>
        </w:rPr>
        <w:t>ZetaSizer</w:t>
      </w:r>
      <w:proofErr w:type="spellEnd"/>
      <w:r>
        <w:rPr>
          <w:rFonts w:ascii="Times New Roman" w:hAnsi="Times New Roman" w:cs="Times New Roman"/>
          <w:sz w:val="24"/>
          <w:szCs w:val="24"/>
        </w:rPr>
        <w:t xml:space="preserve"> was utilized to ascertain the zeta potential and particle size of the produced NRG </w:t>
      </w:r>
      <w:proofErr w:type="spellStart"/>
      <w:r>
        <w:rPr>
          <w:rFonts w:ascii="Times New Roman" w:hAnsi="Times New Roman" w:cs="Times New Roman"/>
          <w:sz w:val="24"/>
          <w:szCs w:val="24"/>
        </w:rPr>
        <w:t>cubosom</w:t>
      </w:r>
      <w:r>
        <w:rPr>
          <w:rFonts w:ascii="Times New Roman" w:hAnsi="Times New Roman" w:cs="Times New Roman"/>
          <w:sz w:val="24"/>
          <w:szCs w:val="24"/>
        </w:rPr>
        <w:t>es</w:t>
      </w:r>
      <w:proofErr w:type="spellEnd"/>
      <w:r>
        <w:rPr>
          <w:rFonts w:ascii="Times New Roman" w:hAnsi="Times New Roman" w:cs="Times New Roman"/>
          <w:sz w:val="24"/>
          <w:szCs w:val="24"/>
        </w:rPr>
        <w:t>. The dispersion was appropriately diluted with water before analysis.</w:t>
      </w:r>
    </w:p>
    <w:p w14:paraId="5CDE0D3D" w14:textId="77777777" w:rsidR="009D162F" w:rsidRDefault="006E6378">
      <w:pPr>
        <w:jc w:val="both"/>
        <w:rPr>
          <w:rFonts w:ascii="Times New Roman" w:hAnsi="Times New Roman" w:cs="Times New Roman"/>
          <w:b/>
          <w:sz w:val="24"/>
          <w:szCs w:val="24"/>
        </w:rPr>
      </w:pPr>
      <w:r>
        <w:rPr>
          <w:rFonts w:ascii="Times New Roman" w:hAnsi="Times New Roman" w:cs="Times New Roman"/>
          <w:b/>
          <w:sz w:val="24"/>
          <w:szCs w:val="24"/>
        </w:rPr>
        <w:t>Entrapment efficiency</w:t>
      </w:r>
    </w:p>
    <w:p w14:paraId="4DAEBE1E"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 xml:space="preserve">Centrifugation was carried out to the </w:t>
      </w:r>
      <w:proofErr w:type="spellStart"/>
      <w:r>
        <w:rPr>
          <w:rFonts w:ascii="Times New Roman" w:hAnsi="Times New Roman" w:cs="Times New Roman"/>
          <w:sz w:val="24"/>
          <w:szCs w:val="24"/>
        </w:rPr>
        <w:t>cubosomal</w:t>
      </w:r>
      <w:proofErr w:type="spellEnd"/>
      <w:r>
        <w:rPr>
          <w:rFonts w:ascii="Times New Roman" w:hAnsi="Times New Roman" w:cs="Times New Roman"/>
          <w:sz w:val="24"/>
          <w:szCs w:val="24"/>
        </w:rPr>
        <w:t xml:space="preserve"> dispersion for 15 minutes at 10,000 rpm. Then, the liquid supernatant was mixed with the pH 6.4 phosphate buffer </w:t>
      </w:r>
      <w:r>
        <w:rPr>
          <w:rFonts w:ascii="Times New Roman" w:hAnsi="Times New Roman" w:cs="Times New Roman"/>
          <w:sz w:val="24"/>
          <w:szCs w:val="24"/>
        </w:rPr>
        <w:t>that had been appropriately diluted. Using a UV spectrophotometer, the absorbance of the resultant solution was determined at 220 nm and this measurement was compared to a blank solution containing only the phosphate buffer. By using a specific formula, th</w:t>
      </w:r>
      <w:r>
        <w:rPr>
          <w:rFonts w:ascii="Times New Roman" w:hAnsi="Times New Roman" w:cs="Times New Roman"/>
          <w:sz w:val="24"/>
          <w:szCs w:val="24"/>
        </w:rPr>
        <w:t xml:space="preserve">e drug entrapment efficiency of the prepared </w:t>
      </w:r>
      <w:proofErr w:type="spellStart"/>
      <w:r>
        <w:rPr>
          <w:rFonts w:ascii="Times New Roman" w:hAnsi="Times New Roman" w:cs="Times New Roman"/>
          <w:sz w:val="24"/>
          <w:szCs w:val="24"/>
        </w:rPr>
        <w:t>cubosomal</w:t>
      </w:r>
      <w:proofErr w:type="spellEnd"/>
      <w:r>
        <w:rPr>
          <w:rFonts w:ascii="Times New Roman" w:hAnsi="Times New Roman" w:cs="Times New Roman"/>
          <w:sz w:val="24"/>
          <w:szCs w:val="24"/>
        </w:rPr>
        <w:t xml:space="preserve"> formulations was determined [</w:t>
      </w:r>
      <w:r>
        <w:rPr>
          <w:rFonts w:ascii="Times New Roman" w:hAnsi="Times New Roman" w:cs="Times New Roman"/>
          <w:b/>
          <w:sz w:val="24"/>
          <w:szCs w:val="24"/>
        </w:rPr>
        <w:t>17]</w:t>
      </w:r>
      <w:r>
        <w:rPr>
          <w:rFonts w:ascii="Times New Roman" w:hAnsi="Times New Roman" w:cs="Times New Roman"/>
          <w:sz w:val="24"/>
          <w:szCs w:val="24"/>
        </w:rPr>
        <w:t>.</w:t>
      </w:r>
    </w:p>
    <w:p w14:paraId="43C06063"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 Entrapment efficiency=</w:t>
      </w:r>
      <m:oMath>
        <m:f>
          <m:fPr>
            <m:ctrlPr>
              <w:rPr>
                <w:rFonts w:ascii="Cambria Math" w:hAnsi="Times New Roman" w:cs="Times New Roman"/>
                <w:sz w:val="24"/>
                <w:szCs w:val="24"/>
              </w:rPr>
            </m:ctrlPr>
          </m:fPr>
          <m:num>
            <m:r>
              <m:rPr>
                <m:sty m:val="p"/>
              </m:rPr>
              <w:rPr>
                <w:rFonts w:ascii="Cambria Math" w:hAnsi="Times New Roman" w:cs="Times New Roman"/>
                <w:sz w:val="24"/>
                <w:szCs w:val="24"/>
              </w:rPr>
              <m:t>Entraped drug</m:t>
            </m:r>
          </m:num>
          <m:den>
            <m:r>
              <m:rPr>
                <m:sty m:val="p"/>
              </m:rPr>
              <w:rPr>
                <w:rFonts w:ascii="Cambria Math" w:hAnsi="Times New Roman" w:cs="Times New Roman"/>
                <w:sz w:val="24"/>
                <w:szCs w:val="24"/>
              </w:rPr>
              <m:t>Total drug</m:t>
            </m:r>
          </m:den>
        </m:f>
        <m:r>
          <m:rPr>
            <m:sty m:val="p"/>
          </m:rPr>
          <w:rPr>
            <w:rFonts w:ascii="Cambria Math" w:hAnsi="Times New Roman" w:cs="Times New Roman"/>
            <w:sz w:val="24"/>
            <w:szCs w:val="24"/>
          </w:rPr>
          <m:t>x100</m:t>
        </m:r>
      </m:oMath>
    </w:p>
    <w:p w14:paraId="463E877D" w14:textId="77777777" w:rsidR="009D162F" w:rsidRDefault="006E6378">
      <w:pPr>
        <w:jc w:val="both"/>
        <w:rPr>
          <w:rFonts w:ascii="Times New Roman" w:hAnsi="Times New Roman" w:cs="Times New Roman"/>
          <w:b/>
          <w:sz w:val="24"/>
          <w:szCs w:val="24"/>
        </w:rPr>
      </w:pPr>
      <w:r>
        <w:rPr>
          <w:rFonts w:ascii="Times New Roman" w:hAnsi="Times New Roman" w:cs="Times New Roman"/>
          <w:b/>
          <w:i/>
          <w:sz w:val="24"/>
          <w:szCs w:val="24"/>
        </w:rPr>
        <w:t>In-vitro</w:t>
      </w:r>
      <w:r>
        <w:rPr>
          <w:rFonts w:ascii="Times New Roman" w:hAnsi="Times New Roman" w:cs="Times New Roman"/>
          <w:b/>
          <w:sz w:val="24"/>
          <w:szCs w:val="24"/>
        </w:rPr>
        <w:t xml:space="preserve"> drug release</w:t>
      </w:r>
    </w:p>
    <w:p w14:paraId="67E091DC" w14:textId="77777777" w:rsidR="009D162F" w:rsidRDefault="006E6378">
      <w:pPr>
        <w:jc w:val="both"/>
        <w:rPr>
          <w:rFonts w:ascii="Times New Roman" w:hAnsi="Times New Roman" w:cs="Times New Roman"/>
          <w:sz w:val="24"/>
          <w:szCs w:val="24"/>
        </w:rPr>
      </w:pPr>
      <w:r>
        <w:rPr>
          <w:rFonts w:ascii="Times New Roman" w:hAnsi="Times New Roman" w:cs="Times New Roman"/>
          <w:i/>
          <w:sz w:val="24"/>
          <w:szCs w:val="24"/>
        </w:rPr>
        <w:t xml:space="preserve">In-vitro </w:t>
      </w:r>
      <w:r>
        <w:rPr>
          <w:rFonts w:ascii="Times New Roman" w:hAnsi="Times New Roman" w:cs="Times New Roman"/>
          <w:sz w:val="24"/>
          <w:szCs w:val="24"/>
        </w:rPr>
        <w:t xml:space="preserve">drug release studies were conducted </w:t>
      </w:r>
      <w:proofErr w:type="spellStart"/>
      <w:r>
        <w:rPr>
          <w:rFonts w:ascii="Times New Roman" w:hAnsi="Times New Roman" w:cs="Times New Roman"/>
          <w:sz w:val="24"/>
          <w:szCs w:val="24"/>
        </w:rPr>
        <w:t>usinga</w:t>
      </w:r>
      <w:proofErr w:type="spellEnd"/>
      <w:r>
        <w:rPr>
          <w:rFonts w:ascii="Times New Roman" w:hAnsi="Times New Roman" w:cs="Times New Roman"/>
          <w:sz w:val="24"/>
          <w:szCs w:val="24"/>
        </w:rPr>
        <w:t xml:space="preserve"> modified Franz diffusion cell. The dialysis membrane was immersed in a pH 6.4 phosphate buffer for 12 hours prior to being attached to the diffusion cell in order to set up the system. The donor compartment contained a drug formulation equivalent to 500 m</w:t>
      </w:r>
      <w:r>
        <w:rPr>
          <w:rFonts w:ascii="Times New Roman" w:hAnsi="Times New Roman" w:cs="Times New Roman"/>
          <w:sz w:val="24"/>
          <w:szCs w:val="24"/>
        </w:rPr>
        <w:t xml:space="preserve">g, while the receptor compartment received approximately 50 ml of PBS at pH 6.4. To mimic physiological conditions, the temperature at 37°C and the stirring speed at 50 rpm were kept constant throughout the </w:t>
      </w:r>
      <w:proofErr w:type="spellStart"/>
      <w:proofErr w:type="gramStart"/>
      <w:r>
        <w:rPr>
          <w:rFonts w:ascii="Times New Roman" w:hAnsi="Times New Roman" w:cs="Times New Roman"/>
          <w:sz w:val="24"/>
          <w:szCs w:val="24"/>
        </w:rPr>
        <w:t>experiment.In</w:t>
      </w:r>
      <w:proofErr w:type="spellEnd"/>
      <w:proofErr w:type="gramEnd"/>
      <w:r>
        <w:rPr>
          <w:rFonts w:ascii="Times New Roman" w:hAnsi="Times New Roman" w:cs="Times New Roman"/>
          <w:sz w:val="24"/>
          <w:szCs w:val="24"/>
        </w:rPr>
        <w:t xml:space="preserve"> order to maintain sink conditions, </w:t>
      </w:r>
      <w:r>
        <w:rPr>
          <w:rFonts w:ascii="Times New Roman" w:hAnsi="Times New Roman" w:cs="Times New Roman"/>
          <w:sz w:val="24"/>
          <w:szCs w:val="24"/>
        </w:rPr>
        <w:t xml:space="preserve">we periodically withdrew a certain volume of the sample from the system and replaced it with the same amount of fresh simulated nasal fluid (SNF). The withdrawn material was appropriately diluted and then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xml:space="preserve"> at a wavelength of 220 nm using a UV </w:t>
      </w:r>
      <w:proofErr w:type="gramStart"/>
      <w:r>
        <w:rPr>
          <w:rFonts w:ascii="Times New Roman" w:hAnsi="Times New Roman" w:cs="Times New Roman"/>
          <w:sz w:val="24"/>
          <w:szCs w:val="24"/>
        </w:rPr>
        <w:t>spect</w:t>
      </w:r>
      <w:r>
        <w:rPr>
          <w:rFonts w:ascii="Times New Roman" w:hAnsi="Times New Roman" w:cs="Times New Roman"/>
          <w:sz w:val="24"/>
          <w:szCs w:val="24"/>
        </w:rPr>
        <w:t>rophotometer[</w:t>
      </w:r>
      <w:proofErr w:type="gramEnd"/>
      <w:r>
        <w:rPr>
          <w:rFonts w:ascii="Times New Roman" w:hAnsi="Times New Roman" w:cs="Times New Roman"/>
          <w:b/>
          <w:sz w:val="24"/>
          <w:szCs w:val="24"/>
        </w:rPr>
        <w:t>18].</w:t>
      </w:r>
    </w:p>
    <w:p w14:paraId="2D48A1C1" w14:textId="77777777" w:rsidR="009D162F" w:rsidRDefault="006E6378">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Characterization of NCGs</w:t>
      </w:r>
    </w:p>
    <w:p w14:paraId="5672341E" w14:textId="77777777" w:rsidR="009D162F" w:rsidRDefault="006E6378">
      <w:pPr>
        <w:jc w:val="both"/>
        <w:rPr>
          <w:rFonts w:ascii="Times New Roman" w:hAnsi="Times New Roman" w:cs="Times New Roman"/>
          <w:b/>
          <w:sz w:val="24"/>
          <w:szCs w:val="24"/>
        </w:rPr>
      </w:pPr>
      <w:r>
        <w:rPr>
          <w:rFonts w:ascii="Times New Roman" w:hAnsi="Times New Roman" w:cs="Times New Roman"/>
          <w:b/>
          <w:sz w:val="24"/>
          <w:szCs w:val="24"/>
        </w:rPr>
        <w:t xml:space="preserve">Homogeneity, clarity </w:t>
      </w:r>
      <w:proofErr w:type="spellStart"/>
      <w:r>
        <w:rPr>
          <w:rFonts w:ascii="Times New Roman" w:hAnsi="Times New Roman" w:cs="Times New Roman"/>
          <w:b/>
          <w:sz w:val="24"/>
          <w:szCs w:val="24"/>
        </w:rPr>
        <w:t>studiesandmeasurement</w:t>
      </w:r>
      <w:proofErr w:type="spellEnd"/>
      <w:r>
        <w:rPr>
          <w:rFonts w:ascii="Times New Roman" w:hAnsi="Times New Roman" w:cs="Times New Roman"/>
          <w:b/>
          <w:sz w:val="24"/>
          <w:szCs w:val="24"/>
        </w:rPr>
        <w:t xml:space="preserve"> of pH</w:t>
      </w:r>
    </w:p>
    <w:p w14:paraId="764635EA" w14:textId="77777777" w:rsidR="009D162F" w:rsidRDefault="006E637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Visual inspection was employed to assess the uniformity and transparency of each formulation under black and white backgrounds, examining their appearance and the p</w:t>
      </w:r>
      <w:r>
        <w:rPr>
          <w:rFonts w:ascii="Times New Roman" w:hAnsi="Times New Roman" w:cs="Times New Roman"/>
          <w:bCs/>
          <w:color w:val="000000" w:themeColor="text1"/>
          <w:sz w:val="24"/>
          <w:szCs w:val="24"/>
        </w:rPr>
        <w:t xml:space="preserve">ossible presence of particles. A standard pH meter was used to measure the </w:t>
      </w:r>
      <w:proofErr w:type="spellStart"/>
      <w:r>
        <w:rPr>
          <w:rFonts w:ascii="Times New Roman" w:hAnsi="Times New Roman" w:cs="Times New Roman"/>
          <w:bCs/>
          <w:color w:val="000000" w:themeColor="text1"/>
          <w:sz w:val="24"/>
          <w:szCs w:val="24"/>
        </w:rPr>
        <w:t>pH.</w:t>
      </w:r>
      <w:proofErr w:type="spellEnd"/>
    </w:p>
    <w:p w14:paraId="7E8F5C19" w14:textId="77777777" w:rsidR="009D162F" w:rsidRDefault="006E6378">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Evaluation of Gel Properties</w:t>
      </w:r>
    </w:p>
    <w:p w14:paraId="5CCD224B" w14:textId="77777777" w:rsidR="009D162F" w:rsidRDefault="006E6378">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Gelation time</w:t>
      </w:r>
    </w:p>
    <w:p w14:paraId="44A970C9" w14:textId="77777777" w:rsidR="009D162F" w:rsidRDefault="006E637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Gelation time is the period of time required for a liquid to go from a solution to a gel-like condition. In an experiment, 2 ml of var</w:t>
      </w:r>
      <w:r>
        <w:rPr>
          <w:rFonts w:ascii="Times New Roman" w:hAnsi="Times New Roman" w:cs="Times New Roman"/>
          <w:bCs/>
          <w:color w:val="000000" w:themeColor="text1"/>
          <w:sz w:val="24"/>
          <w:szCs w:val="24"/>
        </w:rPr>
        <w:t xml:space="preserve">ious formulations were added to a 10 ml transparent container with a little amount of simulated nasal fluid (SNF), an aqueous solution, present with specific concentrations of NaCl (8.77 mg/ml), </w:t>
      </w:r>
      <w:proofErr w:type="spellStart"/>
      <w:r>
        <w:rPr>
          <w:rFonts w:ascii="Times New Roman" w:hAnsi="Times New Roman" w:cs="Times New Roman"/>
          <w:bCs/>
          <w:color w:val="000000" w:themeColor="text1"/>
          <w:sz w:val="24"/>
          <w:szCs w:val="24"/>
        </w:rPr>
        <w:t>KCl</w:t>
      </w:r>
      <w:proofErr w:type="spellEnd"/>
      <w:r>
        <w:rPr>
          <w:rFonts w:ascii="Times New Roman" w:hAnsi="Times New Roman" w:cs="Times New Roman"/>
          <w:bCs/>
          <w:color w:val="000000" w:themeColor="text1"/>
          <w:sz w:val="24"/>
          <w:szCs w:val="24"/>
        </w:rPr>
        <w:t xml:space="preserve"> (2.98 mg/ml), and CaCl</w:t>
      </w:r>
      <w:r>
        <w:rPr>
          <w:rFonts w:ascii="Times New Roman" w:hAnsi="Times New Roman" w:cs="Times New Roman"/>
          <w:bCs/>
          <w:color w:val="000000" w:themeColor="text1"/>
          <w:sz w:val="24"/>
          <w:szCs w:val="24"/>
          <w:vertAlign w:val="subscript"/>
        </w:rPr>
        <w:t>2</w:t>
      </w:r>
      <w:r>
        <w:rPr>
          <w:rFonts w:ascii="Times New Roman" w:hAnsi="Times New Roman" w:cs="Times New Roman"/>
          <w:bCs/>
          <w:color w:val="000000" w:themeColor="text1"/>
          <w:sz w:val="24"/>
          <w:szCs w:val="24"/>
        </w:rPr>
        <w:t xml:space="preserve"> (0.59 mg/ml) per litre. At a cons</w:t>
      </w:r>
      <w:r>
        <w:rPr>
          <w:rFonts w:ascii="Times New Roman" w:hAnsi="Times New Roman" w:cs="Times New Roman"/>
          <w:bCs/>
          <w:color w:val="000000" w:themeColor="text1"/>
          <w:sz w:val="24"/>
          <w:szCs w:val="24"/>
        </w:rPr>
        <w:t>tant temperature, the container was set up on a magnetic stirrer of 37±0.5</w:t>
      </w:r>
      <w:r>
        <w:rPr>
          <w:rFonts w:ascii="Times New Roman" w:hAnsi="Times New Roman" w:cs="Times New Roman"/>
          <w:bCs/>
          <w:color w:val="000000" w:themeColor="text1"/>
          <w:sz w:val="24"/>
          <w:szCs w:val="24"/>
          <w:vertAlign w:val="superscript"/>
        </w:rPr>
        <w:t>o</w:t>
      </w:r>
      <w:r>
        <w:rPr>
          <w:rFonts w:ascii="Times New Roman" w:hAnsi="Times New Roman" w:cs="Times New Roman"/>
          <w:bCs/>
          <w:color w:val="000000" w:themeColor="text1"/>
          <w:sz w:val="24"/>
          <w:szCs w:val="24"/>
        </w:rPr>
        <w:t>C. The gelling time represents the duration during which the magnetic bead stirring was paused due to the formation of a gel.</w:t>
      </w:r>
    </w:p>
    <w:p w14:paraId="3358AB2F" w14:textId="77777777" w:rsidR="009D162F" w:rsidRDefault="006E6378">
      <w:pPr>
        <w:jc w:val="both"/>
        <w:rPr>
          <w:rFonts w:ascii="Times New Roman" w:hAnsi="Times New Roman" w:cs="Times New Roman"/>
          <w:b/>
          <w:sz w:val="24"/>
          <w:szCs w:val="24"/>
        </w:rPr>
      </w:pPr>
      <w:r>
        <w:rPr>
          <w:rFonts w:ascii="Times New Roman" w:hAnsi="Times New Roman" w:cs="Times New Roman"/>
          <w:b/>
          <w:sz w:val="24"/>
          <w:szCs w:val="24"/>
        </w:rPr>
        <w:lastRenderedPageBreak/>
        <w:t>Gel strength</w:t>
      </w:r>
    </w:p>
    <w:p w14:paraId="6BABED95" w14:textId="77777777" w:rsidR="009D162F" w:rsidRDefault="006E6378">
      <w:pPr>
        <w:jc w:val="both"/>
        <w:rPr>
          <w:rFonts w:ascii="Times New Roman" w:hAnsi="Times New Roman" w:cs="Times New Roman"/>
          <w:b/>
          <w:sz w:val="24"/>
          <w:szCs w:val="24"/>
        </w:rPr>
      </w:pPr>
      <w:r>
        <w:rPr>
          <w:rFonts w:ascii="Times New Roman" w:hAnsi="Times New Roman" w:cs="Times New Roman"/>
          <w:bCs/>
          <w:color w:val="000000" w:themeColor="text1"/>
          <w:sz w:val="24"/>
          <w:szCs w:val="24"/>
        </w:rPr>
        <w:t xml:space="preserve">The assessment of gel viscosity in physiological settings is determined through its gel strength, a characteristic that depends on time. To evaluate a 5g of </w:t>
      </w:r>
      <w:r>
        <w:rPr>
          <w:rFonts w:ascii="Times New Roman" w:hAnsi="Times New Roman" w:cs="Times New Roman"/>
          <w:bCs/>
          <w:i/>
          <w:color w:val="000000" w:themeColor="text1"/>
          <w:sz w:val="24"/>
          <w:szCs w:val="24"/>
        </w:rPr>
        <w:t>in-situ</w:t>
      </w:r>
      <w:r>
        <w:rPr>
          <w:rFonts w:ascii="Times New Roman" w:hAnsi="Times New Roman" w:cs="Times New Roman"/>
          <w:bCs/>
          <w:color w:val="000000" w:themeColor="text1"/>
          <w:sz w:val="24"/>
          <w:szCs w:val="24"/>
        </w:rPr>
        <w:t xml:space="preserve"> gel, one needs to consider the time it takes for a 3.5-gram weight to permeate to a depth o</w:t>
      </w:r>
      <w:r>
        <w:rPr>
          <w:rFonts w:ascii="Times New Roman" w:hAnsi="Times New Roman" w:cs="Times New Roman"/>
          <w:bCs/>
          <w:color w:val="000000" w:themeColor="text1"/>
          <w:sz w:val="24"/>
          <w:szCs w:val="24"/>
        </w:rPr>
        <w:t>f approximately 3 centimetres.</w:t>
      </w:r>
    </w:p>
    <w:p w14:paraId="3DC66038" w14:textId="77777777" w:rsidR="009D162F" w:rsidRDefault="006E6378">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Viscosity Studies</w:t>
      </w:r>
    </w:p>
    <w:p w14:paraId="7E661E2E" w14:textId="77777777" w:rsidR="009D162F" w:rsidRDefault="006E637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Viscosity studies were carried out to ensure the formulation's quality and </w:t>
      </w:r>
      <w:proofErr w:type="spellStart"/>
      <w:proofErr w:type="gramStart"/>
      <w:r>
        <w:rPr>
          <w:rFonts w:ascii="Times New Roman" w:hAnsi="Times New Roman" w:cs="Times New Roman"/>
          <w:bCs/>
          <w:color w:val="000000" w:themeColor="text1"/>
          <w:sz w:val="24"/>
          <w:szCs w:val="24"/>
        </w:rPr>
        <w:t>consistency.For</w:t>
      </w:r>
      <w:proofErr w:type="spellEnd"/>
      <w:proofErr w:type="gramEnd"/>
      <w:r>
        <w:rPr>
          <w:rFonts w:ascii="Times New Roman" w:hAnsi="Times New Roman" w:cs="Times New Roman"/>
          <w:bCs/>
          <w:color w:val="000000" w:themeColor="text1"/>
          <w:sz w:val="24"/>
          <w:szCs w:val="24"/>
        </w:rPr>
        <w:t xml:space="preserve"> every composition, viscosity was measured before and after gelation using a digital Brookfield viscometer with an S-</w:t>
      </w:r>
      <w:r>
        <w:rPr>
          <w:rFonts w:ascii="Times New Roman" w:hAnsi="Times New Roman" w:cs="Times New Roman"/>
          <w:bCs/>
          <w:color w:val="000000" w:themeColor="text1"/>
          <w:sz w:val="24"/>
          <w:szCs w:val="24"/>
        </w:rPr>
        <w:t>63 spindle spinning at 100 rpm</w:t>
      </w:r>
      <w:r>
        <w:rPr>
          <w:rFonts w:ascii="Times New Roman" w:hAnsi="Times New Roman" w:cs="Times New Roman"/>
          <w:b/>
          <w:bCs/>
          <w:color w:val="000000" w:themeColor="text1"/>
          <w:sz w:val="24"/>
          <w:szCs w:val="24"/>
        </w:rPr>
        <w:t>[19].</w:t>
      </w:r>
    </w:p>
    <w:p w14:paraId="2EA0C2BF" w14:textId="77777777" w:rsidR="009D162F" w:rsidRDefault="006E6378">
      <w:pPr>
        <w:jc w:val="both"/>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Spreadability</w:t>
      </w:r>
      <w:proofErr w:type="spellEnd"/>
    </w:p>
    <w:p w14:paraId="685BF2ED" w14:textId="77777777" w:rsidR="009D162F" w:rsidRDefault="006E637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The objective of the experiment was to assess the gel's homogeneous diffusion over the physiological membrane. This was accomplished by assembling two slides with an extra 0.7 g of gel and securing a 20 g w</w:t>
      </w:r>
      <w:r>
        <w:rPr>
          <w:rFonts w:ascii="Times New Roman" w:hAnsi="Times New Roman" w:cs="Times New Roman"/>
          <w:bCs/>
          <w:color w:val="000000" w:themeColor="text1"/>
          <w:sz w:val="24"/>
          <w:szCs w:val="24"/>
        </w:rPr>
        <w:t xml:space="preserve">eight to the upper slide. For five minutes, a 100 g weight was applied to the upper slide to guarantee that the sample was distributed evenly. After that, any extra gel was carefully scraped away using a tissue along the margins. The </w:t>
      </w:r>
      <w:proofErr w:type="spellStart"/>
      <w:r>
        <w:rPr>
          <w:rFonts w:ascii="Times New Roman" w:hAnsi="Times New Roman" w:cs="Times New Roman"/>
          <w:bCs/>
          <w:color w:val="000000" w:themeColor="text1"/>
          <w:sz w:val="24"/>
          <w:szCs w:val="24"/>
        </w:rPr>
        <w:t>spreadability</w:t>
      </w:r>
      <w:proofErr w:type="spellEnd"/>
      <w:r>
        <w:rPr>
          <w:rFonts w:ascii="Times New Roman" w:hAnsi="Times New Roman" w:cs="Times New Roman"/>
          <w:bCs/>
          <w:color w:val="000000" w:themeColor="text1"/>
          <w:sz w:val="24"/>
          <w:szCs w:val="24"/>
        </w:rPr>
        <w:t xml:space="preserve"> (S) was </w:t>
      </w:r>
      <w:r>
        <w:rPr>
          <w:rFonts w:ascii="Times New Roman" w:hAnsi="Times New Roman" w:cs="Times New Roman"/>
          <w:bCs/>
          <w:color w:val="000000" w:themeColor="text1"/>
          <w:sz w:val="24"/>
          <w:szCs w:val="24"/>
        </w:rPr>
        <w:t>determined using the formula S = (W * L) / T, where W represents the weight attached to the upper slide, L is the length of the slide (7.5 cm), and T corresponds to the time it took for the upper slide to detach from the lower slide immediately after the r</w:t>
      </w:r>
      <w:r>
        <w:rPr>
          <w:rFonts w:ascii="Times New Roman" w:hAnsi="Times New Roman" w:cs="Times New Roman"/>
          <w:bCs/>
          <w:color w:val="000000" w:themeColor="text1"/>
          <w:sz w:val="24"/>
          <w:szCs w:val="24"/>
        </w:rPr>
        <w:t>emoval of the 100 g weight</w:t>
      </w:r>
      <w:r>
        <w:rPr>
          <w:rFonts w:ascii="Times New Roman" w:hAnsi="Times New Roman" w:cs="Times New Roman"/>
          <w:b/>
          <w:bCs/>
          <w:color w:val="000000" w:themeColor="text1"/>
          <w:sz w:val="24"/>
          <w:szCs w:val="24"/>
        </w:rPr>
        <w:t xml:space="preserve"> [20].</w:t>
      </w:r>
    </w:p>
    <w:p w14:paraId="2A834A43" w14:textId="77777777" w:rsidR="009D162F" w:rsidRDefault="006E6378">
      <w:pPr>
        <w:jc w:val="both"/>
        <w:rPr>
          <w:rFonts w:ascii="Times New Roman" w:hAnsi="Times New Roman" w:cs="Times New Roman"/>
          <w:b/>
          <w:bCs/>
          <w:color w:val="000000" w:themeColor="text1"/>
          <w:sz w:val="24"/>
          <w:szCs w:val="24"/>
        </w:rPr>
      </w:pPr>
      <w:r>
        <w:rPr>
          <w:rFonts w:ascii="Times New Roman" w:hAnsi="Times New Roman" w:cs="Times New Roman"/>
          <w:b/>
          <w:bCs/>
          <w:i/>
          <w:iCs/>
          <w:color w:val="000000" w:themeColor="text1"/>
          <w:sz w:val="24"/>
          <w:szCs w:val="24"/>
        </w:rPr>
        <w:t>In-vitro</w:t>
      </w:r>
      <w:r>
        <w:rPr>
          <w:rFonts w:ascii="Times New Roman" w:hAnsi="Times New Roman" w:cs="Times New Roman"/>
          <w:b/>
          <w:bCs/>
          <w:color w:val="000000" w:themeColor="text1"/>
          <w:sz w:val="24"/>
          <w:szCs w:val="24"/>
        </w:rPr>
        <w:t> </w:t>
      </w:r>
      <w:proofErr w:type="spellStart"/>
      <w:r>
        <w:rPr>
          <w:rFonts w:ascii="Times New Roman" w:hAnsi="Times New Roman" w:cs="Times New Roman"/>
          <w:b/>
          <w:bCs/>
          <w:color w:val="000000" w:themeColor="text1"/>
          <w:sz w:val="24"/>
          <w:szCs w:val="24"/>
        </w:rPr>
        <w:t>Mucoadhesion</w:t>
      </w:r>
      <w:proofErr w:type="spellEnd"/>
      <w:r>
        <w:rPr>
          <w:rFonts w:ascii="Times New Roman" w:hAnsi="Times New Roman" w:cs="Times New Roman"/>
          <w:b/>
          <w:bCs/>
          <w:color w:val="000000" w:themeColor="text1"/>
          <w:sz w:val="24"/>
          <w:szCs w:val="24"/>
        </w:rPr>
        <w:t xml:space="preserve"> Strength</w:t>
      </w:r>
    </w:p>
    <w:p w14:paraId="09C4AFDB" w14:textId="77777777" w:rsidR="009D162F" w:rsidRDefault="006E637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specialised physical balance was used to assess the mucoadhesive strength in vitro. Sheep's nasal mucosa served as the study's test subject. One 1.33 cm</w:t>
      </w:r>
      <w:r>
        <w:rPr>
          <w:rFonts w:ascii="Times New Roman" w:hAnsi="Times New Roman" w:cs="Times New Roman"/>
          <w:bCs/>
          <w:color w:val="000000" w:themeColor="text1"/>
          <w:sz w:val="24"/>
          <w:szCs w:val="24"/>
          <w:vertAlign w:val="superscript"/>
        </w:rPr>
        <w:t>2</w:t>
      </w:r>
      <w:r>
        <w:rPr>
          <w:rFonts w:ascii="Times New Roman" w:hAnsi="Times New Roman" w:cs="Times New Roman"/>
          <w:bCs/>
          <w:color w:val="000000" w:themeColor="text1"/>
          <w:sz w:val="24"/>
          <w:szCs w:val="24"/>
        </w:rPr>
        <w:t xml:space="preserve"> piece of nasal mucosa was attached to one side of the balance, and another 1.33 cm</w:t>
      </w:r>
      <w:r>
        <w:rPr>
          <w:rFonts w:ascii="Times New Roman" w:hAnsi="Times New Roman" w:cs="Times New Roman"/>
          <w:bCs/>
          <w:color w:val="000000" w:themeColor="text1"/>
          <w:sz w:val="24"/>
          <w:szCs w:val="24"/>
          <w:vertAlign w:val="superscript"/>
        </w:rPr>
        <w:t>2</w:t>
      </w:r>
      <w:r>
        <w:rPr>
          <w:rFonts w:ascii="Times New Roman" w:hAnsi="Times New Roman" w:cs="Times New Roman"/>
          <w:bCs/>
          <w:color w:val="000000" w:themeColor="text1"/>
          <w:sz w:val="24"/>
          <w:szCs w:val="24"/>
        </w:rPr>
        <w:t xml:space="preserve"> piece was attached to the outside of a beaker so that the two mucosae could face each other. A 50 mg sample was applied to the beaker's mucosa and allowed to come into con</w:t>
      </w:r>
      <w:r>
        <w:rPr>
          <w:rFonts w:ascii="Times New Roman" w:hAnsi="Times New Roman" w:cs="Times New Roman"/>
          <w:bCs/>
          <w:color w:val="000000" w:themeColor="text1"/>
          <w:sz w:val="24"/>
          <w:szCs w:val="24"/>
        </w:rPr>
        <w:t>tact for a short while. The opposing side of the balance kept moving in the same direction until the two mucosae finally parted. The mucoadhesive strength's potency was determined using the equation: dynes/cm</w:t>
      </w:r>
      <w:r>
        <w:rPr>
          <w:rFonts w:ascii="Times New Roman" w:hAnsi="Times New Roman" w:cs="Times New Roman"/>
          <w:bCs/>
          <w:color w:val="000000" w:themeColor="text1"/>
          <w:sz w:val="24"/>
          <w:szCs w:val="24"/>
          <w:vertAlign w:val="superscript"/>
        </w:rPr>
        <w:t>2</w:t>
      </w:r>
      <w:r>
        <w:rPr>
          <w:rFonts w:ascii="Times New Roman" w:hAnsi="Times New Roman" w:cs="Times New Roman"/>
          <w:bCs/>
          <w:color w:val="000000" w:themeColor="text1"/>
          <w:sz w:val="24"/>
          <w:szCs w:val="24"/>
        </w:rPr>
        <w:t xml:space="preserve"> = mg/A, where "m" represents the weight in gra</w:t>
      </w:r>
      <w:r>
        <w:rPr>
          <w:rFonts w:ascii="Times New Roman" w:hAnsi="Times New Roman" w:cs="Times New Roman"/>
          <w:bCs/>
          <w:color w:val="000000" w:themeColor="text1"/>
          <w:sz w:val="24"/>
          <w:szCs w:val="24"/>
        </w:rPr>
        <w:t>ms required to detach the mucosae, "g" corresponds to the gravitational acceleration, and "A" represents the area of the mucosa</w:t>
      </w:r>
      <w:r>
        <w:rPr>
          <w:rFonts w:ascii="Times New Roman" w:hAnsi="Times New Roman" w:cs="Times New Roman"/>
          <w:b/>
          <w:bCs/>
          <w:color w:val="000000" w:themeColor="text1"/>
          <w:sz w:val="24"/>
          <w:szCs w:val="24"/>
        </w:rPr>
        <w:t xml:space="preserve"> [21].</w:t>
      </w:r>
    </w:p>
    <w:p w14:paraId="599B0AEC" w14:textId="77777777" w:rsidR="009D162F" w:rsidRDefault="006E6378">
      <w:pPr>
        <w:jc w:val="both"/>
        <w:rPr>
          <w:rFonts w:ascii="Times New Roman" w:hAnsi="Times New Roman" w:cs="Times New Roman"/>
          <w:b/>
          <w:bCs/>
          <w:color w:val="000000" w:themeColor="text1"/>
          <w:sz w:val="24"/>
          <w:szCs w:val="24"/>
        </w:rPr>
      </w:pPr>
      <w:r>
        <w:rPr>
          <w:rFonts w:ascii="Times New Roman" w:hAnsi="Times New Roman" w:cs="Times New Roman"/>
          <w:b/>
          <w:bCs/>
          <w:i/>
          <w:color w:val="000000" w:themeColor="text1"/>
          <w:sz w:val="24"/>
          <w:szCs w:val="24"/>
        </w:rPr>
        <w:t>In-vitro</w:t>
      </w:r>
      <w:r>
        <w:rPr>
          <w:rFonts w:ascii="Times New Roman" w:hAnsi="Times New Roman" w:cs="Times New Roman"/>
          <w:b/>
          <w:bCs/>
          <w:color w:val="000000" w:themeColor="text1"/>
          <w:sz w:val="24"/>
          <w:szCs w:val="24"/>
        </w:rPr>
        <w:t xml:space="preserve"> drug release of NCGs</w:t>
      </w:r>
    </w:p>
    <w:p w14:paraId="2BFED993" w14:textId="77777777" w:rsidR="009D162F" w:rsidRDefault="006E637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An altered Franz diffusion cell was used to perform </w:t>
      </w:r>
      <w:r>
        <w:rPr>
          <w:rFonts w:ascii="Times New Roman" w:hAnsi="Times New Roman" w:cs="Times New Roman"/>
          <w:bCs/>
          <w:i/>
          <w:color w:val="000000" w:themeColor="text1"/>
          <w:sz w:val="24"/>
          <w:szCs w:val="24"/>
        </w:rPr>
        <w:t>in-vitro</w:t>
      </w:r>
      <w:r>
        <w:rPr>
          <w:rFonts w:ascii="Times New Roman" w:hAnsi="Times New Roman" w:cs="Times New Roman"/>
          <w:bCs/>
          <w:color w:val="000000" w:themeColor="text1"/>
          <w:sz w:val="24"/>
          <w:szCs w:val="24"/>
        </w:rPr>
        <w:t xml:space="preserve"> drug release tests with NCGs. The dialysis membrane was pre-soaked in a pH 6.4 phosphate buffer for 12 hours before being inserted into the diffusion cell. An </w:t>
      </w:r>
      <w:r>
        <w:rPr>
          <w:rFonts w:ascii="Times New Roman" w:hAnsi="Times New Roman" w:cs="Times New Roman"/>
          <w:bCs/>
          <w:i/>
          <w:color w:val="000000" w:themeColor="text1"/>
          <w:sz w:val="24"/>
          <w:szCs w:val="24"/>
        </w:rPr>
        <w:t>in-situ</w:t>
      </w:r>
      <w:r>
        <w:rPr>
          <w:rFonts w:ascii="Times New Roman" w:hAnsi="Times New Roman" w:cs="Times New Roman"/>
          <w:bCs/>
          <w:color w:val="000000" w:themeColor="text1"/>
          <w:sz w:val="24"/>
          <w:szCs w:val="24"/>
        </w:rPr>
        <w:t xml:space="preserve"> gel corresponding to 500 mg of NRG was placed into the donor compartment, while around 5</w:t>
      </w:r>
      <w:r>
        <w:rPr>
          <w:rFonts w:ascii="Times New Roman" w:hAnsi="Times New Roman" w:cs="Times New Roman"/>
          <w:bCs/>
          <w:color w:val="000000" w:themeColor="text1"/>
          <w:sz w:val="24"/>
          <w:szCs w:val="24"/>
        </w:rPr>
        <w:t>0 cc of SNF was present in the receptor compartment. Throughout the experiment, the temperature and agitation rate were kept constant at 37°C and 100 rpm to replicate biological circumstances. To maintain sink conditions, a predetermined amount of the samp</w:t>
      </w:r>
      <w:r>
        <w:rPr>
          <w:rFonts w:ascii="Times New Roman" w:hAnsi="Times New Roman" w:cs="Times New Roman"/>
          <w:bCs/>
          <w:color w:val="000000" w:themeColor="text1"/>
          <w:sz w:val="24"/>
          <w:szCs w:val="24"/>
        </w:rPr>
        <w:t xml:space="preserve">le was removed and concurrently replaced </w:t>
      </w:r>
      <w:r>
        <w:rPr>
          <w:rFonts w:ascii="Times New Roman" w:hAnsi="Times New Roman" w:cs="Times New Roman"/>
          <w:bCs/>
          <w:color w:val="000000" w:themeColor="text1"/>
          <w:sz w:val="24"/>
          <w:szCs w:val="24"/>
        </w:rPr>
        <w:lastRenderedPageBreak/>
        <w:t>with the same volume of SNF. The extracted sample was appropriately diluted before being subjected to UV spectrophotometer analysis at a wavelength of 220 nm [</w:t>
      </w:r>
      <w:r>
        <w:rPr>
          <w:rFonts w:ascii="Times New Roman" w:hAnsi="Times New Roman" w:cs="Times New Roman"/>
          <w:b/>
          <w:bCs/>
          <w:color w:val="000000" w:themeColor="text1"/>
          <w:sz w:val="24"/>
          <w:szCs w:val="24"/>
        </w:rPr>
        <w:t>22].</w:t>
      </w:r>
    </w:p>
    <w:p w14:paraId="6AEDAE12" w14:textId="77777777" w:rsidR="009D162F" w:rsidRDefault="006E6378">
      <w:pPr>
        <w:jc w:val="both"/>
        <w:rPr>
          <w:rFonts w:ascii="Times New Roman" w:hAnsi="Times New Roman" w:cs="Times New Roman"/>
          <w:b/>
          <w:bCs/>
          <w:color w:val="000000" w:themeColor="text1"/>
          <w:sz w:val="24"/>
          <w:szCs w:val="24"/>
        </w:rPr>
      </w:pPr>
      <w:r>
        <w:rPr>
          <w:rFonts w:ascii="Times New Roman" w:hAnsi="Times New Roman" w:cs="Times New Roman"/>
          <w:b/>
          <w:bCs/>
          <w:i/>
          <w:color w:val="000000" w:themeColor="text1"/>
          <w:sz w:val="24"/>
          <w:szCs w:val="24"/>
        </w:rPr>
        <w:t>Ex-vivo</w:t>
      </w:r>
      <w:r>
        <w:rPr>
          <w:rFonts w:ascii="Times New Roman" w:hAnsi="Times New Roman" w:cs="Times New Roman"/>
          <w:b/>
          <w:bCs/>
          <w:color w:val="000000" w:themeColor="text1"/>
          <w:sz w:val="24"/>
          <w:szCs w:val="24"/>
        </w:rPr>
        <w:t xml:space="preserve"> studies</w:t>
      </w:r>
    </w:p>
    <w:p w14:paraId="3B3BE84B" w14:textId="77777777" w:rsidR="009D162F" w:rsidRDefault="006E637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Sheep nasal mucosa, which was posit</w:t>
      </w:r>
      <w:r>
        <w:rPr>
          <w:rFonts w:ascii="Times New Roman" w:hAnsi="Times New Roman" w:cs="Times New Roman"/>
          <w:bCs/>
          <w:color w:val="000000" w:themeColor="text1"/>
          <w:sz w:val="24"/>
          <w:szCs w:val="24"/>
        </w:rPr>
        <w:t>ioned between the donor and receptor compartments, was used for the ex-vivo investigations. 50 ml of simulated nasal fluid (SNF) have been added to the receptor compartment. The drug was allowed to incubate for around 20 minutes before 500 mg of it was add</w:t>
      </w:r>
      <w:r>
        <w:rPr>
          <w:rFonts w:ascii="Times New Roman" w:hAnsi="Times New Roman" w:cs="Times New Roman"/>
          <w:bCs/>
          <w:color w:val="000000" w:themeColor="text1"/>
          <w:sz w:val="24"/>
          <w:szCs w:val="24"/>
        </w:rPr>
        <w:t xml:space="preserve">ed to the donor compartment. The temperature, RPM (revolutions per minute), and sampling intervals were held constant for the in-vitro drug release </w:t>
      </w:r>
      <w:proofErr w:type="spellStart"/>
      <w:r>
        <w:rPr>
          <w:rFonts w:ascii="Times New Roman" w:hAnsi="Times New Roman" w:cs="Times New Roman"/>
          <w:bCs/>
          <w:color w:val="000000" w:themeColor="text1"/>
          <w:sz w:val="24"/>
          <w:szCs w:val="24"/>
        </w:rPr>
        <w:t>study.Using</w:t>
      </w:r>
      <w:proofErr w:type="spellEnd"/>
      <w:r>
        <w:rPr>
          <w:rFonts w:ascii="Times New Roman" w:hAnsi="Times New Roman" w:cs="Times New Roman"/>
          <w:bCs/>
          <w:color w:val="000000" w:themeColor="text1"/>
          <w:sz w:val="24"/>
          <w:szCs w:val="24"/>
        </w:rPr>
        <w:t xml:space="preserve"> the following formula, Papp=Q/Act, the apparent permeability coefficient (in cm/h) was determine</w:t>
      </w:r>
      <w:r>
        <w:rPr>
          <w:rFonts w:ascii="Times New Roman" w:hAnsi="Times New Roman" w:cs="Times New Roman"/>
          <w:bCs/>
          <w:color w:val="000000" w:themeColor="text1"/>
          <w:sz w:val="24"/>
          <w:szCs w:val="24"/>
        </w:rPr>
        <w:t xml:space="preserve">d, where Q represents the total amount of drug permeated during incubation (in grams), A signifies the area of the diffusion cell, c denotes the initial drug concentration in the donor compartment, and t indicates the total time for complete drug release. </w:t>
      </w:r>
      <w:r>
        <w:rPr>
          <w:rFonts w:ascii="Times New Roman" w:hAnsi="Times New Roman" w:cs="Times New Roman"/>
          <w:bCs/>
          <w:color w:val="000000" w:themeColor="text1"/>
          <w:sz w:val="24"/>
          <w:szCs w:val="24"/>
        </w:rPr>
        <w:t>The graph depicted the cumulative percentage of drug penetration over time [</w:t>
      </w:r>
      <w:r>
        <w:rPr>
          <w:rFonts w:ascii="Times New Roman" w:hAnsi="Times New Roman" w:cs="Times New Roman"/>
          <w:b/>
          <w:bCs/>
          <w:color w:val="000000" w:themeColor="text1"/>
          <w:sz w:val="24"/>
          <w:szCs w:val="24"/>
        </w:rPr>
        <w:t>23].</w:t>
      </w:r>
    </w:p>
    <w:p w14:paraId="044B538D" w14:textId="77777777" w:rsidR="009D162F" w:rsidRDefault="006E6378">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Differential scanning calorimetry (DSC)</w:t>
      </w:r>
    </w:p>
    <w:p w14:paraId="58D0F494" w14:textId="77777777" w:rsidR="009D162F" w:rsidRDefault="006E637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Using (Mettler Toledo, Japan), DSC measurements were carried out on the pure drug and the physical combination of the drug and excipien</w:t>
      </w:r>
      <w:r>
        <w:rPr>
          <w:rFonts w:ascii="Times New Roman" w:hAnsi="Times New Roman" w:cs="Times New Roman"/>
          <w:bCs/>
          <w:color w:val="000000" w:themeColor="text1"/>
          <w:sz w:val="24"/>
          <w:szCs w:val="24"/>
        </w:rPr>
        <w:t xml:space="preserve">ts (stored at 37°C with a relative humidity of 75%). The sample, which weighed around 10 mg, was heated between 30 and 300°C for the drug and physical mixture at a rate of 10°C per minute in aluminium pans. </w:t>
      </w:r>
    </w:p>
    <w:p w14:paraId="6343BFFC" w14:textId="77777777" w:rsidR="009D162F" w:rsidRDefault="006E6378">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Pharmacodynamic studies</w:t>
      </w:r>
    </w:p>
    <w:p w14:paraId="392907CE" w14:textId="77777777" w:rsidR="009D162F" w:rsidRDefault="006E6378">
      <w:pPr>
        <w:jc w:val="both"/>
        <w:rPr>
          <w:rFonts w:ascii="Times New Roman" w:hAnsi="Times New Roman" w:cs="Times New Roman"/>
          <w:sz w:val="24"/>
          <w:szCs w:val="24"/>
        </w:rPr>
      </w:pPr>
      <w:r>
        <w:rPr>
          <w:rFonts w:ascii="Times New Roman" w:hAnsi="Times New Roman"/>
          <w:sz w:val="24"/>
          <w:szCs w:val="24"/>
        </w:rPr>
        <w:t>The institutional Animal</w:t>
      </w:r>
      <w:r>
        <w:rPr>
          <w:rFonts w:ascii="Times New Roman" w:hAnsi="Times New Roman"/>
          <w:sz w:val="24"/>
          <w:szCs w:val="24"/>
        </w:rPr>
        <w:t>s Ethics committee</w:t>
      </w:r>
      <w:r>
        <w:rPr>
          <w:rFonts w:ascii="Times New Roman" w:hAnsi="Times New Roman"/>
          <w:sz w:val="24"/>
          <w:szCs w:val="24"/>
          <w:lang w:val="en-US"/>
        </w:rPr>
        <w:t xml:space="preserve"> </w:t>
      </w:r>
      <w:r>
        <w:rPr>
          <w:rFonts w:ascii="Times New Roman" w:hAnsi="Times New Roman"/>
          <w:sz w:val="24"/>
          <w:szCs w:val="24"/>
        </w:rPr>
        <w:t>(CPCSEA/1677/SPMVV/IAEC/I-03) approved the study, and all of the experiments were</w:t>
      </w:r>
      <w:r>
        <w:rPr>
          <w:rFonts w:ascii="Times New Roman" w:hAnsi="Times New Roman"/>
          <w:sz w:val="24"/>
          <w:szCs w:val="24"/>
          <w:lang w:val="en-US"/>
        </w:rPr>
        <w:t xml:space="preserve"> </w:t>
      </w:r>
      <w:r>
        <w:rPr>
          <w:rFonts w:ascii="Times New Roman" w:hAnsi="Times New Roman"/>
          <w:sz w:val="24"/>
          <w:szCs w:val="24"/>
        </w:rPr>
        <w:t xml:space="preserve">carried out in accordance with the CPCSEA </w:t>
      </w:r>
      <w:proofErr w:type="spellStart"/>
      <w:proofErr w:type="gramStart"/>
      <w:r>
        <w:rPr>
          <w:rFonts w:ascii="Times New Roman" w:hAnsi="Times New Roman"/>
          <w:sz w:val="24"/>
          <w:szCs w:val="24"/>
        </w:rPr>
        <w:t>protocol.</w:t>
      </w:r>
      <w:r>
        <w:rPr>
          <w:rFonts w:ascii="Times New Roman" w:hAnsi="Times New Roman" w:cs="Times New Roman"/>
          <w:sz w:val="24"/>
          <w:szCs w:val="24"/>
        </w:rPr>
        <w:t>The</w:t>
      </w:r>
      <w:proofErr w:type="spellEnd"/>
      <w:proofErr w:type="gramEnd"/>
      <w:r>
        <w:rPr>
          <w:rFonts w:ascii="Times New Roman" w:hAnsi="Times New Roman" w:cs="Times New Roman"/>
          <w:sz w:val="24"/>
          <w:szCs w:val="24"/>
        </w:rPr>
        <w:t xml:space="preserve"> study investigated the pharmacodynamic effects of an </w:t>
      </w:r>
      <w:r>
        <w:rPr>
          <w:rFonts w:ascii="Times New Roman" w:hAnsi="Times New Roman" w:cs="Times New Roman"/>
          <w:i/>
          <w:sz w:val="24"/>
          <w:szCs w:val="24"/>
        </w:rPr>
        <w:t>in-situ</w:t>
      </w:r>
      <w:r>
        <w:rPr>
          <w:rFonts w:ascii="Times New Roman" w:hAnsi="Times New Roman" w:cs="Times New Roman"/>
          <w:sz w:val="24"/>
          <w:szCs w:val="24"/>
        </w:rPr>
        <w:t xml:space="preserve"> nasal gel using pentylenetetrazol (PTZ)</w:t>
      </w:r>
      <w:r>
        <w:rPr>
          <w:rFonts w:ascii="Times New Roman" w:hAnsi="Times New Roman" w:cs="Times New Roman"/>
          <w:sz w:val="24"/>
          <w:szCs w:val="24"/>
        </w:rPr>
        <w:t>-induced seizures. The research took place between 10 and 13 hours of the light cycle. Five animals in each of the three groups were fasted the night before and brought to the laboratory one hour before the study initiation. In Group 1, PTZ was administere</w:t>
      </w:r>
      <w:r>
        <w:rPr>
          <w:rFonts w:ascii="Times New Roman" w:hAnsi="Times New Roman" w:cs="Times New Roman"/>
          <w:sz w:val="24"/>
          <w:szCs w:val="24"/>
        </w:rPr>
        <w:t xml:space="preserve">d as a control group. Group 2 received NRG suspension orally at a dose of 50 mg/kg per animal. Group 3 involved the administration of the NCG formulation. Before administering the </w:t>
      </w:r>
      <w:r>
        <w:rPr>
          <w:rFonts w:ascii="Times New Roman" w:hAnsi="Times New Roman" w:cs="Times New Roman"/>
          <w:i/>
          <w:sz w:val="24"/>
          <w:szCs w:val="24"/>
        </w:rPr>
        <w:t>in-situ</w:t>
      </w:r>
      <w:r>
        <w:rPr>
          <w:rFonts w:ascii="Times New Roman" w:hAnsi="Times New Roman" w:cs="Times New Roman"/>
          <w:sz w:val="24"/>
          <w:szCs w:val="24"/>
        </w:rPr>
        <w:t xml:space="preserve"> gel to the animals in Group 3, they were anesthetized with ether. Th</w:t>
      </w:r>
      <w:r>
        <w:rPr>
          <w:rFonts w:ascii="Times New Roman" w:hAnsi="Times New Roman" w:cs="Times New Roman"/>
          <w:sz w:val="24"/>
          <w:szCs w:val="24"/>
        </w:rPr>
        <w:t>e nasal administration dosage was equivalent to 50 mg/kg per animal. PTZ was administered to Groups 2 and 3 intraperitoneally (</w:t>
      </w:r>
      <w:proofErr w:type="spellStart"/>
      <w:r>
        <w:rPr>
          <w:rFonts w:ascii="Times New Roman" w:hAnsi="Times New Roman" w:cs="Times New Roman"/>
          <w:sz w:val="24"/>
          <w:szCs w:val="24"/>
        </w:rPr>
        <w:t>i.p.</w:t>
      </w:r>
      <w:proofErr w:type="spellEnd"/>
      <w:r>
        <w:rPr>
          <w:rFonts w:ascii="Times New Roman" w:hAnsi="Times New Roman" w:cs="Times New Roman"/>
          <w:sz w:val="24"/>
          <w:szCs w:val="24"/>
        </w:rPr>
        <w:t xml:space="preserve">) at doses of 60 mg/kg, leading to the onset of </w:t>
      </w:r>
      <w:proofErr w:type="spellStart"/>
      <w:r>
        <w:rPr>
          <w:rFonts w:ascii="Times New Roman" w:hAnsi="Times New Roman" w:cs="Times New Roman"/>
          <w:sz w:val="24"/>
          <w:szCs w:val="24"/>
        </w:rPr>
        <w:t>clonic</w:t>
      </w:r>
      <w:proofErr w:type="spellEnd"/>
      <w:r>
        <w:rPr>
          <w:rFonts w:ascii="Times New Roman" w:hAnsi="Times New Roman" w:cs="Times New Roman"/>
          <w:sz w:val="24"/>
          <w:szCs w:val="24"/>
        </w:rPr>
        <w:t xml:space="preserve"> convulsions. These convulsions were confirmed at 0.5 and 1 hour after </w:t>
      </w:r>
      <w:r>
        <w:rPr>
          <w:rFonts w:ascii="Times New Roman" w:hAnsi="Times New Roman" w:cs="Times New Roman"/>
          <w:sz w:val="24"/>
          <w:szCs w:val="24"/>
        </w:rPr>
        <w:t xml:space="preserve">drug </w:t>
      </w:r>
      <w:proofErr w:type="gramStart"/>
      <w:r>
        <w:rPr>
          <w:rFonts w:ascii="Times New Roman" w:hAnsi="Times New Roman" w:cs="Times New Roman"/>
          <w:sz w:val="24"/>
          <w:szCs w:val="24"/>
        </w:rPr>
        <w:t>administration</w:t>
      </w:r>
      <w:r>
        <w:rPr>
          <w:rFonts w:ascii="Times New Roman" w:hAnsi="Times New Roman" w:cs="Times New Roman"/>
          <w:b/>
          <w:sz w:val="24"/>
          <w:szCs w:val="24"/>
        </w:rPr>
        <w:t>[</w:t>
      </w:r>
      <w:proofErr w:type="gramEnd"/>
      <w:r>
        <w:rPr>
          <w:rFonts w:ascii="Times New Roman" w:hAnsi="Times New Roman" w:cs="Times New Roman"/>
          <w:b/>
          <w:sz w:val="24"/>
          <w:szCs w:val="24"/>
        </w:rPr>
        <w:t>2</w:t>
      </w:r>
      <w:r>
        <w:rPr>
          <w:rFonts w:ascii="Times New Roman" w:hAnsi="Times New Roman" w:cs="Times New Roman"/>
          <w:b/>
          <w:sz w:val="24"/>
          <w:szCs w:val="24"/>
          <w:lang w:val="en-US"/>
        </w:rPr>
        <w:t>4</w:t>
      </w:r>
      <w:r>
        <w:rPr>
          <w:rFonts w:ascii="Times New Roman" w:hAnsi="Times New Roman" w:cs="Times New Roman"/>
          <w:b/>
          <w:sz w:val="24"/>
          <w:szCs w:val="24"/>
        </w:rPr>
        <w:t>].</w:t>
      </w:r>
    </w:p>
    <w:p w14:paraId="761D3AD5" w14:textId="77777777" w:rsidR="009D162F" w:rsidRDefault="006E6378">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Stability studies</w:t>
      </w:r>
    </w:p>
    <w:p w14:paraId="5A66E4C7"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 xml:space="preserve">The aim of performing stability investigations is to furnish data on the changes in drug formulation quality as time progresses, </w:t>
      </w:r>
      <w:proofErr w:type="gramStart"/>
      <w:r>
        <w:rPr>
          <w:rFonts w:ascii="Times New Roman" w:hAnsi="Times New Roman" w:cs="Times New Roman"/>
          <w:sz w:val="24"/>
          <w:szCs w:val="24"/>
        </w:rPr>
        <w:t>taking into account</w:t>
      </w:r>
      <w:proofErr w:type="gramEnd"/>
      <w:r>
        <w:rPr>
          <w:rFonts w:ascii="Times New Roman" w:hAnsi="Times New Roman" w:cs="Times New Roman"/>
          <w:sz w:val="24"/>
          <w:szCs w:val="24"/>
        </w:rPr>
        <w:t xml:space="preserve"> factors like temperature, humidity, and light exposure. These studies help establish the formulation's dura</w:t>
      </w:r>
      <w:r>
        <w:rPr>
          <w:rFonts w:ascii="Times New Roman" w:hAnsi="Times New Roman" w:cs="Times New Roman"/>
          <w:sz w:val="24"/>
          <w:szCs w:val="24"/>
        </w:rPr>
        <w:t xml:space="preserve">bility and endorse recommended storage conditions. In the case of </w:t>
      </w:r>
      <w:r>
        <w:rPr>
          <w:rFonts w:ascii="Times New Roman" w:hAnsi="Times New Roman" w:cs="Times New Roman"/>
          <w:i/>
          <w:sz w:val="24"/>
          <w:szCs w:val="24"/>
        </w:rPr>
        <w:t>in-situ</w:t>
      </w:r>
      <w:r>
        <w:rPr>
          <w:rFonts w:ascii="Times New Roman" w:hAnsi="Times New Roman" w:cs="Times New Roman"/>
          <w:sz w:val="24"/>
          <w:szCs w:val="24"/>
        </w:rPr>
        <w:t xml:space="preserve"> gel, A stability study was carried </w:t>
      </w:r>
      <w:proofErr w:type="gramStart"/>
      <w:r>
        <w:rPr>
          <w:rFonts w:ascii="Times New Roman" w:hAnsi="Times New Roman" w:cs="Times New Roman"/>
          <w:sz w:val="24"/>
          <w:szCs w:val="24"/>
        </w:rPr>
        <w:t>out  in</w:t>
      </w:r>
      <w:proofErr w:type="gramEnd"/>
      <w:r>
        <w:rPr>
          <w:rFonts w:ascii="Times New Roman" w:hAnsi="Times New Roman" w:cs="Times New Roman"/>
          <w:sz w:val="24"/>
          <w:szCs w:val="24"/>
        </w:rPr>
        <w:t xml:space="preserve"> accordance with the International Council for Harmonization's (ICH) </w:t>
      </w:r>
      <w:r>
        <w:rPr>
          <w:rFonts w:ascii="Times New Roman" w:hAnsi="Times New Roman" w:cs="Times New Roman"/>
          <w:sz w:val="24"/>
          <w:szCs w:val="24"/>
        </w:rPr>
        <w:lastRenderedPageBreak/>
        <w:t>guidelines. Samples collected to evaluate drug concentration, drug rele</w:t>
      </w:r>
      <w:r>
        <w:rPr>
          <w:rFonts w:ascii="Times New Roman" w:hAnsi="Times New Roman" w:cs="Times New Roman"/>
          <w:sz w:val="24"/>
          <w:szCs w:val="24"/>
        </w:rPr>
        <w:t>ase, in-vitro gelation duration, clarity, and particle size at predetermined intervals of 0, 3, and 6 months [</w:t>
      </w:r>
      <w:r>
        <w:rPr>
          <w:rFonts w:ascii="Times New Roman" w:hAnsi="Times New Roman" w:cs="Times New Roman"/>
          <w:b/>
          <w:sz w:val="24"/>
          <w:szCs w:val="24"/>
        </w:rPr>
        <w:t>2</w:t>
      </w:r>
      <w:r>
        <w:rPr>
          <w:rFonts w:ascii="Times New Roman" w:hAnsi="Times New Roman" w:cs="Times New Roman"/>
          <w:b/>
          <w:sz w:val="24"/>
          <w:szCs w:val="24"/>
          <w:lang w:val="en-US"/>
        </w:rPr>
        <w:t>5</w:t>
      </w:r>
      <w:r>
        <w:rPr>
          <w:rFonts w:ascii="Times New Roman" w:hAnsi="Times New Roman" w:cs="Times New Roman"/>
          <w:b/>
          <w:sz w:val="24"/>
          <w:szCs w:val="24"/>
        </w:rPr>
        <w:t>].</w:t>
      </w:r>
    </w:p>
    <w:p w14:paraId="3863999C" w14:textId="77777777" w:rsidR="009D162F" w:rsidRDefault="006E6378">
      <w:pPr>
        <w:jc w:val="both"/>
        <w:rPr>
          <w:rFonts w:ascii="Times New Roman" w:hAnsi="Times New Roman" w:cs="Times New Roman"/>
          <w:b/>
          <w:sz w:val="24"/>
          <w:szCs w:val="24"/>
        </w:rPr>
      </w:pPr>
      <w:r>
        <w:rPr>
          <w:rFonts w:ascii="Times New Roman" w:hAnsi="Times New Roman" w:cs="Times New Roman"/>
          <w:b/>
          <w:sz w:val="24"/>
          <w:szCs w:val="24"/>
        </w:rPr>
        <w:t>Results and discussion</w:t>
      </w:r>
    </w:p>
    <w:p w14:paraId="6008BE0D" w14:textId="77777777" w:rsidR="009D162F" w:rsidRDefault="006E6378">
      <w:pPr>
        <w:jc w:val="both"/>
        <w:rPr>
          <w:rFonts w:ascii="Times New Roman" w:hAnsi="Times New Roman" w:cs="Times New Roman"/>
          <w:b/>
          <w:bCs/>
          <w:color w:val="000000" w:themeColor="text1"/>
          <w:sz w:val="24"/>
          <w:szCs w:val="24"/>
        </w:rPr>
      </w:pPr>
      <w:r>
        <w:rPr>
          <w:rFonts w:ascii="Times New Roman" w:hAnsi="Times New Roman" w:cs="Times New Roman"/>
          <w:b/>
          <w:sz w:val="24"/>
          <w:szCs w:val="24"/>
        </w:rPr>
        <w:t xml:space="preserve">Fourier Transform </w:t>
      </w:r>
      <w:proofErr w:type="spellStart"/>
      <w:r>
        <w:rPr>
          <w:rFonts w:ascii="Times New Roman" w:hAnsi="Times New Roman" w:cs="Times New Roman"/>
          <w:b/>
          <w:sz w:val="24"/>
          <w:szCs w:val="24"/>
        </w:rPr>
        <w:t>Infra Red</w:t>
      </w:r>
      <w:proofErr w:type="spellEnd"/>
      <w:r>
        <w:rPr>
          <w:rFonts w:ascii="Times New Roman" w:hAnsi="Times New Roman" w:cs="Times New Roman"/>
          <w:b/>
          <w:sz w:val="24"/>
          <w:szCs w:val="24"/>
        </w:rPr>
        <w:t xml:space="preserve"> Spectroscopy (FT-IR) and </w:t>
      </w:r>
      <w:r>
        <w:rPr>
          <w:rFonts w:ascii="Times New Roman" w:hAnsi="Times New Roman" w:cs="Times New Roman"/>
          <w:b/>
          <w:bCs/>
          <w:color w:val="000000" w:themeColor="text1"/>
          <w:sz w:val="24"/>
          <w:szCs w:val="24"/>
        </w:rPr>
        <w:t xml:space="preserve">Differential scanning calorimetry (DSC) </w:t>
      </w:r>
      <w:r>
        <w:rPr>
          <w:rFonts w:ascii="Times New Roman" w:hAnsi="Times New Roman" w:cs="Times New Roman"/>
          <w:b/>
          <w:sz w:val="24"/>
          <w:szCs w:val="24"/>
        </w:rPr>
        <w:t>Studies</w:t>
      </w:r>
    </w:p>
    <w:p w14:paraId="4A6FE465"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The FT-IR spectra</w:t>
      </w:r>
      <w:r>
        <w:rPr>
          <w:rFonts w:ascii="Times New Roman" w:hAnsi="Times New Roman" w:cs="Times New Roman"/>
          <w:sz w:val="24"/>
          <w:szCs w:val="24"/>
        </w:rPr>
        <w:t xml:space="preserve"> depicted in (Fig. 1), the chemical composition of the drug and excipients appears compatible, as evidenced by the FT-IR spectra showing no significant changes in functional groups. The DSC thermograms as shown in (Fig. 2</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formulation maintains its phy</w:t>
      </w:r>
      <w:r>
        <w:rPr>
          <w:rFonts w:ascii="Times New Roman" w:hAnsi="Times New Roman" w:cs="Times New Roman"/>
          <w:sz w:val="24"/>
          <w:szCs w:val="24"/>
        </w:rPr>
        <w:t xml:space="preserve">sical stability despite the appearance of additional peaks in the DSC thermograms, implying altered thermal behaviour due to the presence of </w:t>
      </w:r>
      <w:proofErr w:type="spellStart"/>
      <w:r>
        <w:rPr>
          <w:rFonts w:ascii="Times New Roman" w:hAnsi="Times New Roman" w:cs="Times New Roman"/>
          <w:sz w:val="24"/>
          <w:szCs w:val="24"/>
        </w:rPr>
        <w:t>excipients.Overall</w:t>
      </w:r>
      <w:proofErr w:type="spellEnd"/>
      <w:r>
        <w:rPr>
          <w:rFonts w:ascii="Times New Roman" w:hAnsi="Times New Roman" w:cs="Times New Roman"/>
          <w:sz w:val="24"/>
          <w:szCs w:val="24"/>
        </w:rPr>
        <w:t>, these findings suggest that the formulation remains chemically stable and retains physical stab</w:t>
      </w:r>
      <w:r>
        <w:rPr>
          <w:rFonts w:ascii="Times New Roman" w:hAnsi="Times New Roman" w:cs="Times New Roman"/>
          <w:sz w:val="24"/>
          <w:szCs w:val="24"/>
        </w:rPr>
        <w:t>ility, while also highlighting the influence of excipients on thermal properties.</w:t>
      </w:r>
    </w:p>
    <w:p w14:paraId="4199D134" w14:textId="77777777" w:rsidR="009D162F" w:rsidRDefault="006E6378">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61F3863" wp14:editId="26C330CB">
            <wp:extent cx="5591175" cy="3338195"/>
            <wp:effectExtent l="0" t="0" r="1905" b="146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srcRect/>
                    <a:stretch>
                      <a:fillRect/>
                    </a:stretch>
                  </pic:blipFill>
                  <pic:spPr>
                    <a:xfrm>
                      <a:off x="0" y="0"/>
                      <a:ext cx="5592246" cy="3338834"/>
                    </a:xfrm>
                    <a:prstGeom prst="rect">
                      <a:avLst/>
                    </a:prstGeom>
                    <a:noFill/>
                    <a:ln w="9525">
                      <a:noFill/>
                      <a:miter lim="800000"/>
                      <a:headEnd/>
                      <a:tailEnd/>
                    </a:ln>
                  </pic:spPr>
                </pic:pic>
              </a:graphicData>
            </a:graphic>
          </wp:inline>
        </w:drawing>
      </w:r>
    </w:p>
    <w:p w14:paraId="44FBA1EA" w14:textId="77777777" w:rsidR="009D162F" w:rsidRDefault="006E6378">
      <w:pPr>
        <w:jc w:val="both"/>
        <w:rPr>
          <w:rFonts w:ascii="Times New Roman" w:hAnsi="Times New Roman" w:cs="Times New Roman"/>
          <w:b/>
          <w:sz w:val="24"/>
          <w:szCs w:val="24"/>
        </w:rPr>
      </w:pPr>
      <w:r>
        <w:rPr>
          <w:rFonts w:ascii="Times New Roman" w:hAnsi="Times New Roman" w:cs="Times New Roman"/>
          <w:b/>
          <w:sz w:val="24"/>
          <w:szCs w:val="24"/>
        </w:rPr>
        <w:t>Fig.1</w:t>
      </w:r>
      <w:r>
        <w:rPr>
          <w:rFonts w:ascii="Times New Roman" w:hAnsi="Times New Roman" w:cs="Times New Roman"/>
          <w:bCs/>
          <w:sz w:val="24"/>
          <w:szCs w:val="24"/>
        </w:rPr>
        <w:t xml:space="preserve">FT-IR spectrum of (a) NRG, (b) NRG </w:t>
      </w:r>
      <w:proofErr w:type="spellStart"/>
      <w:r>
        <w:rPr>
          <w:rFonts w:ascii="Times New Roman" w:hAnsi="Times New Roman" w:cs="Times New Roman"/>
          <w:bCs/>
          <w:sz w:val="24"/>
          <w:szCs w:val="24"/>
        </w:rPr>
        <w:t>cubosomes</w:t>
      </w:r>
      <w:proofErr w:type="spellEnd"/>
      <w:r>
        <w:rPr>
          <w:rFonts w:ascii="Times New Roman" w:hAnsi="Times New Roman" w:cs="Times New Roman"/>
          <w:bCs/>
          <w:sz w:val="24"/>
          <w:szCs w:val="24"/>
        </w:rPr>
        <w:t xml:space="preserve">, (c) physical mixture of NRG, RG </w:t>
      </w:r>
      <w:proofErr w:type="spellStart"/>
      <w:r>
        <w:rPr>
          <w:rFonts w:ascii="Times New Roman" w:hAnsi="Times New Roman" w:cs="Times New Roman"/>
          <w:bCs/>
          <w:sz w:val="24"/>
          <w:szCs w:val="24"/>
        </w:rPr>
        <w:t>cubosomes</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Gellan</w:t>
      </w:r>
      <w:proofErr w:type="spellEnd"/>
      <w:r>
        <w:rPr>
          <w:rFonts w:ascii="Times New Roman" w:hAnsi="Times New Roman" w:cs="Times New Roman"/>
          <w:bCs/>
          <w:sz w:val="24"/>
          <w:szCs w:val="24"/>
        </w:rPr>
        <w:t xml:space="preserve"> gum, LBG</w:t>
      </w:r>
    </w:p>
    <w:p w14:paraId="047F68AD" w14:textId="77777777" w:rsidR="009D162F" w:rsidRDefault="006E6378">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93394EB" wp14:editId="3AE4C58D">
            <wp:extent cx="5731510" cy="2230120"/>
            <wp:effectExtent l="0" t="0" r="13970" b="1016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8">
                      <a:lum bright="-14000" contrast="10000"/>
                    </a:blip>
                    <a:srcRect/>
                    <a:stretch>
                      <a:fillRect/>
                    </a:stretch>
                  </pic:blipFill>
                  <pic:spPr>
                    <a:xfrm>
                      <a:off x="0" y="0"/>
                      <a:ext cx="5731510" cy="2230572"/>
                    </a:xfrm>
                    <a:prstGeom prst="rect">
                      <a:avLst/>
                    </a:prstGeom>
                    <a:noFill/>
                    <a:ln w="9525">
                      <a:noFill/>
                      <a:miter lim="800000"/>
                      <a:headEnd/>
                      <a:tailEnd/>
                    </a:ln>
                  </pic:spPr>
                </pic:pic>
              </a:graphicData>
            </a:graphic>
          </wp:inline>
        </w:drawing>
      </w:r>
    </w:p>
    <w:p w14:paraId="26DF6015" w14:textId="77777777" w:rsidR="009D162F" w:rsidRDefault="006E6378">
      <w:pPr>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
          <w:bCs/>
          <w:sz w:val="24"/>
          <w:szCs w:val="24"/>
        </w:rPr>
        <w:t>Fig.2</w:t>
      </w:r>
      <w:r>
        <w:rPr>
          <w:rFonts w:ascii="Times New Roman" w:hAnsi="Times New Roman" w:cs="Times New Roman"/>
          <w:bCs/>
          <w:color w:val="000000" w:themeColor="text1"/>
          <w:sz w:val="24"/>
          <w:szCs w:val="24"/>
        </w:rPr>
        <w:t xml:space="preserve">DSC Thermogram of a) Pure drug NRG b) Physical mixture (NRG </w:t>
      </w:r>
      <w:proofErr w:type="spellStart"/>
      <w:r>
        <w:rPr>
          <w:rFonts w:ascii="Times New Roman" w:hAnsi="Times New Roman" w:cs="Times New Roman"/>
          <w:bCs/>
          <w:color w:val="000000" w:themeColor="text1"/>
          <w:sz w:val="24"/>
          <w:szCs w:val="24"/>
        </w:rPr>
        <w:t>cubosomes+GG+LBG+PEG</w:t>
      </w:r>
      <w:proofErr w:type="spellEnd"/>
      <w:r>
        <w:rPr>
          <w:rFonts w:ascii="Times New Roman" w:hAnsi="Times New Roman" w:cs="Times New Roman"/>
          <w:bCs/>
          <w:color w:val="000000" w:themeColor="text1"/>
          <w:sz w:val="24"/>
          <w:szCs w:val="24"/>
        </w:rPr>
        <w:t xml:space="preserve"> 6000)</w:t>
      </w:r>
    </w:p>
    <w:p w14:paraId="6275D80C" w14:textId="77777777" w:rsidR="009D162F" w:rsidRDefault="009D162F">
      <w:pPr>
        <w:autoSpaceDE w:val="0"/>
        <w:autoSpaceDN w:val="0"/>
        <w:adjustRightInd w:val="0"/>
        <w:spacing w:line="360" w:lineRule="auto"/>
        <w:jc w:val="both"/>
        <w:rPr>
          <w:rFonts w:ascii="Times New Roman" w:hAnsi="Times New Roman" w:cs="Times New Roman"/>
          <w:b/>
          <w:bCs/>
          <w:color w:val="000000" w:themeColor="text1"/>
          <w:sz w:val="24"/>
          <w:szCs w:val="24"/>
        </w:rPr>
      </w:pPr>
    </w:p>
    <w:p w14:paraId="5DEE3D11" w14:textId="77777777" w:rsidR="009D162F" w:rsidRDefault="006E6378">
      <w:pPr>
        <w:autoSpaceDE w:val="0"/>
        <w:autoSpaceDN w:val="0"/>
        <w:adjustRightInd w:val="0"/>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Experimental design</w:t>
      </w:r>
    </w:p>
    <w:p w14:paraId="17A9A6EB" w14:textId="77777777" w:rsidR="009D162F" w:rsidRDefault="006E6378">
      <w:pPr>
        <w:autoSpaceDE w:val="0"/>
        <w:autoSpaceDN w:val="0"/>
        <w:adjustRightInd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indicated in (Table 3), the three selected dependent variables exhibited varying distinctions across all 16 batches. By accounting for the </w:t>
      </w:r>
      <w:proofErr w:type="gramStart"/>
      <w:r>
        <w:rPr>
          <w:rFonts w:ascii="Times New Roman" w:hAnsi="Times New Roman" w:cs="Times New Roman"/>
          <w:color w:val="000000" w:themeColor="text1"/>
          <w:sz w:val="24"/>
          <w:szCs w:val="24"/>
        </w:rPr>
        <w:t>coeffi</w:t>
      </w:r>
      <w:r>
        <w:rPr>
          <w:rFonts w:ascii="Times New Roman" w:hAnsi="Times New Roman" w:cs="Times New Roman"/>
          <w:color w:val="000000" w:themeColor="text1"/>
          <w:sz w:val="24"/>
          <w:szCs w:val="24"/>
        </w:rPr>
        <w:t>cients</w:t>
      </w:r>
      <w:proofErr w:type="gramEnd"/>
      <w:r>
        <w:rPr>
          <w:rFonts w:ascii="Times New Roman" w:hAnsi="Times New Roman" w:cs="Times New Roman"/>
          <w:color w:val="000000" w:themeColor="text1"/>
          <w:sz w:val="24"/>
          <w:szCs w:val="24"/>
        </w:rPr>
        <w:t xml:space="preserve"> magnitude and direction, polynomial equations were employed to draw the final conclusions.</w:t>
      </w:r>
    </w:p>
    <w:p w14:paraId="627554DE" w14:textId="77777777" w:rsidR="009D162F" w:rsidRDefault="009D162F">
      <w:pPr>
        <w:autoSpaceDE w:val="0"/>
        <w:autoSpaceDN w:val="0"/>
        <w:adjustRightInd w:val="0"/>
        <w:spacing w:line="360" w:lineRule="auto"/>
        <w:jc w:val="both"/>
        <w:rPr>
          <w:rFonts w:ascii="Times New Roman" w:hAnsi="Times New Roman" w:cs="Times New Roman"/>
          <w:color w:val="000000" w:themeColor="text1"/>
          <w:sz w:val="24"/>
          <w:szCs w:val="24"/>
        </w:rPr>
      </w:pPr>
    </w:p>
    <w:p w14:paraId="4A45BE23" w14:textId="77777777" w:rsidR="009D162F" w:rsidRDefault="006E6378">
      <w:pPr>
        <w:spacing w:after="0" w:line="348"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Table 3 </w:t>
      </w:r>
      <w:r>
        <w:rPr>
          <w:rFonts w:ascii="Times New Roman" w:hAnsi="Times New Roman" w:cs="Times New Roman"/>
          <w:bCs/>
          <w:color w:val="000000" w:themeColor="text1"/>
          <w:sz w:val="24"/>
          <w:szCs w:val="24"/>
        </w:rPr>
        <w:t>Results of particle size, EE and t</w:t>
      </w:r>
      <w:r>
        <w:rPr>
          <w:rFonts w:ascii="Times New Roman" w:hAnsi="Times New Roman" w:cs="Times New Roman"/>
          <w:bCs/>
          <w:color w:val="000000" w:themeColor="text1"/>
          <w:sz w:val="24"/>
          <w:szCs w:val="24"/>
          <w:vertAlign w:val="subscript"/>
        </w:rPr>
        <w:t>50%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4"/>
        <w:gridCol w:w="852"/>
        <w:gridCol w:w="1070"/>
        <w:gridCol w:w="1297"/>
        <w:gridCol w:w="1662"/>
        <w:gridCol w:w="2261"/>
        <w:gridCol w:w="590"/>
      </w:tblGrid>
      <w:tr w:rsidR="009D162F" w14:paraId="34182E53" w14:textId="77777777">
        <w:trPr>
          <w:cantSplit/>
        </w:trPr>
        <w:tc>
          <w:tcPr>
            <w:tcW w:w="0" w:type="auto"/>
            <w:shd w:val="clear" w:color="auto" w:fill="auto"/>
            <w:tcMar>
              <w:top w:w="13" w:type="dxa"/>
              <w:left w:w="95" w:type="dxa"/>
              <w:bottom w:w="0" w:type="dxa"/>
              <w:right w:w="95" w:type="dxa"/>
            </w:tcMar>
            <w:vAlign w:val="center"/>
          </w:tcPr>
          <w:p w14:paraId="709C175C" w14:textId="77777777" w:rsidR="009D162F" w:rsidRDefault="006E6378">
            <w:pPr>
              <w:spacing w:before="70" w:after="7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Formulation</w:t>
            </w:r>
          </w:p>
        </w:tc>
        <w:tc>
          <w:tcPr>
            <w:tcW w:w="596" w:type="pct"/>
            <w:shd w:val="clear" w:color="auto" w:fill="auto"/>
            <w:tcMar>
              <w:top w:w="13" w:type="dxa"/>
              <w:left w:w="95" w:type="dxa"/>
              <w:bottom w:w="0" w:type="dxa"/>
              <w:right w:w="95" w:type="dxa"/>
            </w:tcMar>
            <w:vAlign w:val="center"/>
          </w:tcPr>
          <w:p w14:paraId="2F390BAD" w14:textId="77777777" w:rsidR="009D162F" w:rsidRDefault="006E6378">
            <w:pPr>
              <w:spacing w:before="70" w:after="7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X1: </w:t>
            </w:r>
            <w:r>
              <w:rPr>
                <w:rFonts w:ascii="Times New Roman" w:hAnsi="Times New Roman" w:cs="Times New Roman"/>
                <w:b/>
                <w:bCs/>
                <w:color w:val="000000" w:themeColor="text1"/>
                <w:sz w:val="24"/>
                <w:szCs w:val="24"/>
              </w:rPr>
              <w:br/>
              <w:t>Oleic acid</w:t>
            </w:r>
          </w:p>
        </w:tc>
        <w:tc>
          <w:tcPr>
            <w:tcW w:w="581" w:type="pct"/>
            <w:shd w:val="clear" w:color="auto" w:fill="auto"/>
            <w:tcMar>
              <w:top w:w="13" w:type="dxa"/>
              <w:left w:w="95" w:type="dxa"/>
              <w:bottom w:w="0" w:type="dxa"/>
              <w:right w:w="95" w:type="dxa"/>
            </w:tcMar>
            <w:vAlign w:val="center"/>
          </w:tcPr>
          <w:p w14:paraId="3A81AB03" w14:textId="77777777" w:rsidR="009D162F" w:rsidRDefault="006E6378">
            <w:pPr>
              <w:spacing w:before="70" w:after="7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X2: Glycerol</w:t>
            </w:r>
          </w:p>
        </w:tc>
        <w:tc>
          <w:tcPr>
            <w:tcW w:w="0" w:type="auto"/>
            <w:shd w:val="clear" w:color="auto" w:fill="auto"/>
            <w:tcMar>
              <w:top w:w="13" w:type="dxa"/>
              <w:left w:w="95" w:type="dxa"/>
              <w:bottom w:w="0" w:type="dxa"/>
              <w:right w:w="95" w:type="dxa"/>
            </w:tcMar>
            <w:vAlign w:val="center"/>
          </w:tcPr>
          <w:p w14:paraId="1B8A70A7" w14:textId="77777777" w:rsidR="009D162F" w:rsidRDefault="006E6378">
            <w:pPr>
              <w:spacing w:before="70" w:after="7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X3: Poloxamer</w:t>
            </w:r>
          </w:p>
        </w:tc>
        <w:tc>
          <w:tcPr>
            <w:tcW w:w="0" w:type="auto"/>
            <w:shd w:val="clear" w:color="auto" w:fill="auto"/>
            <w:tcMar>
              <w:top w:w="13" w:type="dxa"/>
              <w:left w:w="95" w:type="dxa"/>
              <w:bottom w:w="0" w:type="dxa"/>
              <w:right w:w="95" w:type="dxa"/>
            </w:tcMar>
            <w:vAlign w:val="center"/>
          </w:tcPr>
          <w:p w14:paraId="291072FD" w14:textId="77777777" w:rsidR="009D162F" w:rsidRDefault="006E6378">
            <w:pPr>
              <w:spacing w:before="70" w:after="7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Y</w:t>
            </w:r>
            <w:proofErr w:type="gramStart"/>
            <w:r>
              <w:rPr>
                <w:rFonts w:ascii="Times New Roman" w:hAnsi="Times New Roman" w:cs="Times New Roman"/>
                <w:b/>
                <w:bCs/>
                <w:color w:val="000000" w:themeColor="text1"/>
                <w:sz w:val="24"/>
                <w:szCs w:val="24"/>
              </w:rPr>
              <w:t>1:Particle</w:t>
            </w:r>
            <w:proofErr w:type="gramEnd"/>
            <w:r>
              <w:rPr>
                <w:rFonts w:ascii="Times New Roman" w:hAnsi="Times New Roman" w:cs="Times New Roman"/>
                <w:b/>
                <w:bCs/>
                <w:color w:val="000000" w:themeColor="text1"/>
                <w:sz w:val="24"/>
                <w:szCs w:val="24"/>
              </w:rPr>
              <w:t xml:space="preserve"> size</w:t>
            </w:r>
            <w:r>
              <w:rPr>
                <w:rFonts w:ascii="Times New Roman" w:hAnsi="Times New Roman" w:cs="Times New Roman"/>
                <w:sz w:val="24"/>
                <w:szCs w:val="24"/>
              </w:rPr>
              <w:t>(</w:t>
            </w:r>
            <w:proofErr w:type="spellStart"/>
            <w:r>
              <w:rPr>
                <w:rFonts w:ascii="Times New Roman" w:hAnsi="Times New Roman" w:cs="Times New Roman"/>
                <w:sz w:val="24"/>
                <w:szCs w:val="24"/>
              </w:rPr>
              <w:t>mean±SD</w:t>
            </w:r>
            <w:proofErr w:type="spellEnd"/>
            <w:r>
              <w:rPr>
                <w:rFonts w:ascii="Times New Roman" w:hAnsi="Times New Roman" w:cs="Times New Roman"/>
                <w:sz w:val="24"/>
                <w:szCs w:val="24"/>
              </w:rPr>
              <w:t>, n=3)</w:t>
            </w:r>
          </w:p>
        </w:tc>
        <w:tc>
          <w:tcPr>
            <w:tcW w:w="0" w:type="auto"/>
            <w:shd w:val="clear" w:color="auto" w:fill="auto"/>
            <w:tcMar>
              <w:top w:w="13" w:type="dxa"/>
              <w:left w:w="95" w:type="dxa"/>
              <w:bottom w:w="0" w:type="dxa"/>
              <w:right w:w="95" w:type="dxa"/>
            </w:tcMar>
            <w:vAlign w:val="center"/>
          </w:tcPr>
          <w:p w14:paraId="77180FDA" w14:textId="77777777" w:rsidR="009D162F" w:rsidRDefault="006E6378">
            <w:pPr>
              <w:spacing w:before="70" w:after="7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Y2:</w:t>
            </w:r>
            <w:r>
              <w:rPr>
                <w:rFonts w:ascii="Times New Roman" w:hAnsi="Times New Roman" w:cs="Times New Roman"/>
                <w:b/>
                <w:bCs/>
                <w:color w:val="000000" w:themeColor="text1"/>
                <w:sz w:val="24"/>
                <w:szCs w:val="24"/>
              </w:rPr>
              <w:br/>
              <w:t xml:space="preserve">Entrapment </w:t>
            </w:r>
            <w:proofErr w:type="gramStart"/>
            <w:r>
              <w:rPr>
                <w:rFonts w:ascii="Times New Roman" w:hAnsi="Times New Roman" w:cs="Times New Roman"/>
                <w:b/>
                <w:bCs/>
                <w:color w:val="000000" w:themeColor="text1"/>
                <w:sz w:val="24"/>
                <w:szCs w:val="24"/>
              </w:rPr>
              <w:t>efficiency</w:t>
            </w:r>
            <w:r>
              <w:rPr>
                <w:rFonts w:ascii="Times New Roman" w:hAnsi="Times New Roman" w:cs="Times New Roman"/>
                <w:sz w:val="24"/>
                <w:szCs w:val="24"/>
              </w:rPr>
              <w:t>(</w:t>
            </w:r>
            <w:proofErr w:type="spellStart"/>
            <w:proofErr w:type="gramEnd"/>
            <w:r>
              <w:rPr>
                <w:rFonts w:ascii="Times New Roman" w:hAnsi="Times New Roman" w:cs="Times New Roman"/>
                <w:sz w:val="24"/>
                <w:szCs w:val="24"/>
              </w:rPr>
              <w:t>mean±SD</w:t>
            </w:r>
            <w:proofErr w:type="spellEnd"/>
            <w:r>
              <w:rPr>
                <w:rFonts w:ascii="Times New Roman" w:hAnsi="Times New Roman" w:cs="Times New Roman"/>
                <w:sz w:val="24"/>
                <w:szCs w:val="24"/>
              </w:rPr>
              <w:t>, n=3)</w:t>
            </w:r>
          </w:p>
        </w:tc>
        <w:tc>
          <w:tcPr>
            <w:tcW w:w="0" w:type="auto"/>
            <w:shd w:val="clear" w:color="auto" w:fill="auto"/>
            <w:tcMar>
              <w:top w:w="13" w:type="dxa"/>
              <w:left w:w="95" w:type="dxa"/>
              <w:bottom w:w="0" w:type="dxa"/>
              <w:right w:w="95" w:type="dxa"/>
            </w:tcMar>
            <w:vAlign w:val="center"/>
          </w:tcPr>
          <w:p w14:paraId="71250405" w14:textId="77777777" w:rsidR="009D162F" w:rsidRDefault="006E6378">
            <w:pPr>
              <w:spacing w:before="70" w:after="7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Y3: t</w:t>
            </w:r>
            <w:r>
              <w:rPr>
                <w:rFonts w:ascii="Times New Roman" w:hAnsi="Times New Roman" w:cs="Times New Roman"/>
                <w:b/>
                <w:bCs/>
                <w:color w:val="000000" w:themeColor="text1"/>
                <w:sz w:val="24"/>
                <w:szCs w:val="24"/>
                <w:vertAlign w:val="subscript"/>
              </w:rPr>
              <w:t>50%</w:t>
            </w:r>
          </w:p>
        </w:tc>
      </w:tr>
      <w:tr w:rsidR="009D162F" w14:paraId="4BA691BF" w14:textId="77777777">
        <w:trPr>
          <w:cantSplit/>
        </w:trPr>
        <w:tc>
          <w:tcPr>
            <w:tcW w:w="0" w:type="auto"/>
            <w:shd w:val="clear" w:color="auto" w:fill="auto"/>
            <w:tcMar>
              <w:top w:w="13" w:type="dxa"/>
              <w:left w:w="95" w:type="dxa"/>
              <w:bottom w:w="0" w:type="dxa"/>
              <w:right w:w="95" w:type="dxa"/>
            </w:tcMar>
            <w:vAlign w:val="center"/>
          </w:tcPr>
          <w:p w14:paraId="1EB5FF65" w14:textId="77777777" w:rsidR="009D162F" w:rsidRDefault="009D162F">
            <w:pPr>
              <w:spacing w:before="70" w:after="70" w:line="240" w:lineRule="auto"/>
              <w:jc w:val="both"/>
              <w:rPr>
                <w:rFonts w:ascii="Times New Roman" w:hAnsi="Times New Roman" w:cs="Times New Roman"/>
                <w:color w:val="000000" w:themeColor="text1"/>
                <w:sz w:val="24"/>
                <w:szCs w:val="24"/>
              </w:rPr>
            </w:pPr>
          </w:p>
        </w:tc>
        <w:tc>
          <w:tcPr>
            <w:tcW w:w="596" w:type="pct"/>
            <w:shd w:val="clear" w:color="auto" w:fill="auto"/>
            <w:tcMar>
              <w:top w:w="13" w:type="dxa"/>
              <w:left w:w="95" w:type="dxa"/>
              <w:bottom w:w="0" w:type="dxa"/>
              <w:right w:w="95" w:type="dxa"/>
            </w:tcMar>
            <w:vAlign w:val="center"/>
          </w:tcPr>
          <w:p w14:paraId="471385FB"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%v/v</w:t>
            </w:r>
          </w:p>
        </w:tc>
        <w:tc>
          <w:tcPr>
            <w:tcW w:w="581" w:type="pct"/>
            <w:shd w:val="clear" w:color="auto" w:fill="auto"/>
            <w:tcMar>
              <w:top w:w="13" w:type="dxa"/>
              <w:left w:w="95" w:type="dxa"/>
              <w:bottom w:w="0" w:type="dxa"/>
              <w:right w:w="95" w:type="dxa"/>
            </w:tcMar>
            <w:vAlign w:val="center"/>
          </w:tcPr>
          <w:p w14:paraId="5307C22D"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%v/v</w:t>
            </w:r>
          </w:p>
        </w:tc>
        <w:tc>
          <w:tcPr>
            <w:tcW w:w="0" w:type="auto"/>
            <w:shd w:val="clear" w:color="auto" w:fill="auto"/>
            <w:tcMar>
              <w:top w:w="13" w:type="dxa"/>
              <w:left w:w="95" w:type="dxa"/>
              <w:bottom w:w="0" w:type="dxa"/>
              <w:right w:w="95" w:type="dxa"/>
            </w:tcMar>
            <w:vAlign w:val="center"/>
          </w:tcPr>
          <w:p w14:paraId="6BB129F0"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%w/v</w:t>
            </w:r>
          </w:p>
        </w:tc>
        <w:tc>
          <w:tcPr>
            <w:tcW w:w="0" w:type="auto"/>
            <w:shd w:val="clear" w:color="auto" w:fill="auto"/>
            <w:tcMar>
              <w:top w:w="13" w:type="dxa"/>
              <w:left w:w="95" w:type="dxa"/>
              <w:bottom w:w="0" w:type="dxa"/>
              <w:right w:w="95" w:type="dxa"/>
            </w:tcMar>
            <w:vAlign w:val="center"/>
          </w:tcPr>
          <w:p w14:paraId="06A2C41E"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nm</w:t>
            </w:r>
          </w:p>
        </w:tc>
        <w:tc>
          <w:tcPr>
            <w:tcW w:w="0" w:type="auto"/>
            <w:shd w:val="clear" w:color="auto" w:fill="auto"/>
            <w:tcMar>
              <w:top w:w="13" w:type="dxa"/>
              <w:left w:w="95" w:type="dxa"/>
              <w:bottom w:w="0" w:type="dxa"/>
              <w:right w:w="95" w:type="dxa"/>
            </w:tcMar>
            <w:vAlign w:val="center"/>
          </w:tcPr>
          <w:p w14:paraId="2D4A63FA"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0" w:type="auto"/>
            <w:shd w:val="clear" w:color="auto" w:fill="auto"/>
            <w:tcMar>
              <w:top w:w="13" w:type="dxa"/>
              <w:left w:w="95" w:type="dxa"/>
              <w:bottom w:w="0" w:type="dxa"/>
              <w:right w:w="95" w:type="dxa"/>
            </w:tcMar>
            <w:vAlign w:val="center"/>
          </w:tcPr>
          <w:p w14:paraId="19EA46B0"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p>
        </w:tc>
      </w:tr>
      <w:tr w:rsidR="009D162F" w14:paraId="11E94805" w14:textId="77777777">
        <w:trPr>
          <w:cantSplit/>
        </w:trPr>
        <w:tc>
          <w:tcPr>
            <w:tcW w:w="0" w:type="auto"/>
            <w:shd w:val="clear" w:color="auto" w:fill="auto"/>
            <w:tcMar>
              <w:top w:w="13" w:type="dxa"/>
              <w:left w:w="95" w:type="dxa"/>
              <w:bottom w:w="0" w:type="dxa"/>
              <w:right w:w="95" w:type="dxa"/>
            </w:tcMar>
            <w:vAlign w:val="center"/>
          </w:tcPr>
          <w:p w14:paraId="503234FC"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NC1</w:t>
            </w:r>
          </w:p>
        </w:tc>
        <w:tc>
          <w:tcPr>
            <w:tcW w:w="596" w:type="pct"/>
            <w:shd w:val="clear" w:color="auto" w:fill="auto"/>
            <w:tcMar>
              <w:top w:w="13" w:type="dxa"/>
              <w:left w:w="95" w:type="dxa"/>
              <w:bottom w:w="0" w:type="dxa"/>
              <w:right w:w="95" w:type="dxa"/>
            </w:tcMar>
            <w:vAlign w:val="center"/>
          </w:tcPr>
          <w:p w14:paraId="31279744"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581" w:type="pct"/>
            <w:shd w:val="clear" w:color="auto" w:fill="auto"/>
            <w:tcMar>
              <w:top w:w="13" w:type="dxa"/>
              <w:left w:w="95" w:type="dxa"/>
              <w:bottom w:w="0" w:type="dxa"/>
              <w:right w:w="95" w:type="dxa"/>
            </w:tcMar>
            <w:vAlign w:val="center"/>
          </w:tcPr>
          <w:p w14:paraId="56E2DEDF"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0" w:type="auto"/>
            <w:shd w:val="clear" w:color="auto" w:fill="auto"/>
            <w:tcMar>
              <w:top w:w="13" w:type="dxa"/>
              <w:left w:w="95" w:type="dxa"/>
              <w:bottom w:w="0" w:type="dxa"/>
              <w:right w:w="95" w:type="dxa"/>
            </w:tcMar>
            <w:vAlign w:val="center"/>
          </w:tcPr>
          <w:p w14:paraId="588D02AD"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0" w:type="auto"/>
            <w:shd w:val="clear" w:color="auto" w:fill="auto"/>
            <w:tcMar>
              <w:top w:w="13" w:type="dxa"/>
              <w:left w:w="95" w:type="dxa"/>
              <w:bottom w:w="0" w:type="dxa"/>
              <w:right w:w="95" w:type="dxa"/>
            </w:tcMar>
            <w:vAlign w:val="center"/>
          </w:tcPr>
          <w:p w14:paraId="34AC95BE"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917.7±5.64</w:t>
            </w:r>
          </w:p>
        </w:tc>
        <w:tc>
          <w:tcPr>
            <w:tcW w:w="0" w:type="auto"/>
            <w:shd w:val="clear" w:color="auto" w:fill="auto"/>
            <w:tcMar>
              <w:top w:w="13" w:type="dxa"/>
              <w:left w:w="95" w:type="dxa"/>
              <w:bottom w:w="0" w:type="dxa"/>
              <w:right w:w="95" w:type="dxa"/>
            </w:tcMar>
            <w:vAlign w:val="center"/>
          </w:tcPr>
          <w:p w14:paraId="5BF96D44"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34.44±4.72</w:t>
            </w:r>
          </w:p>
        </w:tc>
        <w:tc>
          <w:tcPr>
            <w:tcW w:w="0" w:type="auto"/>
            <w:shd w:val="clear" w:color="auto" w:fill="auto"/>
            <w:tcMar>
              <w:top w:w="13" w:type="dxa"/>
              <w:left w:w="95" w:type="dxa"/>
              <w:bottom w:w="0" w:type="dxa"/>
              <w:right w:w="95" w:type="dxa"/>
            </w:tcMar>
            <w:vAlign w:val="center"/>
          </w:tcPr>
          <w:p w14:paraId="0AE1C257"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w:t>
            </w:r>
          </w:p>
        </w:tc>
      </w:tr>
      <w:tr w:rsidR="009D162F" w14:paraId="38C1ADAE" w14:textId="77777777">
        <w:trPr>
          <w:cantSplit/>
        </w:trPr>
        <w:tc>
          <w:tcPr>
            <w:tcW w:w="0" w:type="auto"/>
            <w:shd w:val="clear" w:color="auto" w:fill="auto"/>
            <w:tcMar>
              <w:top w:w="13" w:type="dxa"/>
              <w:left w:w="95" w:type="dxa"/>
              <w:bottom w:w="0" w:type="dxa"/>
              <w:right w:w="95" w:type="dxa"/>
            </w:tcMar>
            <w:vAlign w:val="center"/>
          </w:tcPr>
          <w:p w14:paraId="3D7C9513"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NC 2</w:t>
            </w:r>
          </w:p>
        </w:tc>
        <w:tc>
          <w:tcPr>
            <w:tcW w:w="596" w:type="pct"/>
            <w:shd w:val="clear" w:color="auto" w:fill="auto"/>
            <w:tcMar>
              <w:top w:w="13" w:type="dxa"/>
              <w:left w:w="95" w:type="dxa"/>
              <w:bottom w:w="0" w:type="dxa"/>
              <w:right w:w="95" w:type="dxa"/>
            </w:tcMar>
            <w:vAlign w:val="center"/>
          </w:tcPr>
          <w:p w14:paraId="6F6FC8A6"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581" w:type="pct"/>
            <w:shd w:val="clear" w:color="auto" w:fill="auto"/>
            <w:tcMar>
              <w:top w:w="13" w:type="dxa"/>
              <w:left w:w="95" w:type="dxa"/>
              <w:bottom w:w="0" w:type="dxa"/>
              <w:right w:w="95" w:type="dxa"/>
            </w:tcMar>
            <w:vAlign w:val="center"/>
          </w:tcPr>
          <w:p w14:paraId="2E7184D6"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0" w:type="auto"/>
            <w:shd w:val="clear" w:color="auto" w:fill="auto"/>
            <w:tcMar>
              <w:top w:w="13" w:type="dxa"/>
              <w:left w:w="95" w:type="dxa"/>
              <w:bottom w:w="0" w:type="dxa"/>
              <w:right w:w="95" w:type="dxa"/>
            </w:tcMar>
            <w:vAlign w:val="center"/>
          </w:tcPr>
          <w:p w14:paraId="5401DB62"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0" w:type="auto"/>
            <w:shd w:val="clear" w:color="auto" w:fill="auto"/>
            <w:tcMar>
              <w:top w:w="13" w:type="dxa"/>
              <w:left w:w="95" w:type="dxa"/>
              <w:bottom w:w="0" w:type="dxa"/>
              <w:right w:w="95" w:type="dxa"/>
            </w:tcMar>
            <w:vAlign w:val="center"/>
          </w:tcPr>
          <w:p w14:paraId="664A300A"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983.9±6.43</w:t>
            </w:r>
          </w:p>
        </w:tc>
        <w:tc>
          <w:tcPr>
            <w:tcW w:w="0" w:type="auto"/>
            <w:shd w:val="clear" w:color="auto" w:fill="auto"/>
            <w:tcMar>
              <w:top w:w="13" w:type="dxa"/>
              <w:left w:w="95" w:type="dxa"/>
              <w:bottom w:w="0" w:type="dxa"/>
              <w:right w:w="95" w:type="dxa"/>
            </w:tcMar>
            <w:vAlign w:val="center"/>
          </w:tcPr>
          <w:p w14:paraId="4721EFFC"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28.02±5.92</w:t>
            </w:r>
          </w:p>
        </w:tc>
        <w:tc>
          <w:tcPr>
            <w:tcW w:w="0" w:type="auto"/>
            <w:shd w:val="clear" w:color="auto" w:fill="auto"/>
            <w:tcMar>
              <w:top w:w="13" w:type="dxa"/>
              <w:left w:w="95" w:type="dxa"/>
              <w:bottom w:w="0" w:type="dxa"/>
              <w:right w:w="95" w:type="dxa"/>
            </w:tcMar>
            <w:vAlign w:val="center"/>
          </w:tcPr>
          <w:p w14:paraId="7C007627"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r>
      <w:tr w:rsidR="009D162F" w14:paraId="522250C3" w14:textId="77777777">
        <w:trPr>
          <w:cantSplit/>
        </w:trPr>
        <w:tc>
          <w:tcPr>
            <w:tcW w:w="0" w:type="auto"/>
            <w:shd w:val="clear" w:color="auto" w:fill="auto"/>
            <w:tcMar>
              <w:top w:w="13" w:type="dxa"/>
              <w:left w:w="95" w:type="dxa"/>
              <w:bottom w:w="0" w:type="dxa"/>
              <w:right w:w="95" w:type="dxa"/>
            </w:tcMar>
            <w:vAlign w:val="center"/>
          </w:tcPr>
          <w:p w14:paraId="7930BB42"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NC 3</w:t>
            </w:r>
          </w:p>
        </w:tc>
        <w:tc>
          <w:tcPr>
            <w:tcW w:w="596" w:type="pct"/>
            <w:shd w:val="clear" w:color="auto" w:fill="auto"/>
            <w:tcMar>
              <w:top w:w="13" w:type="dxa"/>
              <w:left w:w="95" w:type="dxa"/>
              <w:bottom w:w="0" w:type="dxa"/>
              <w:right w:w="95" w:type="dxa"/>
            </w:tcMar>
            <w:vAlign w:val="center"/>
          </w:tcPr>
          <w:p w14:paraId="5D8CC504"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581" w:type="pct"/>
            <w:shd w:val="clear" w:color="auto" w:fill="auto"/>
            <w:tcMar>
              <w:top w:w="13" w:type="dxa"/>
              <w:left w:w="95" w:type="dxa"/>
              <w:bottom w:w="0" w:type="dxa"/>
              <w:right w:w="95" w:type="dxa"/>
            </w:tcMar>
            <w:vAlign w:val="center"/>
          </w:tcPr>
          <w:p w14:paraId="7C6F15F9"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0" w:type="auto"/>
            <w:shd w:val="clear" w:color="auto" w:fill="auto"/>
            <w:tcMar>
              <w:top w:w="13" w:type="dxa"/>
              <w:left w:w="95" w:type="dxa"/>
              <w:bottom w:w="0" w:type="dxa"/>
              <w:right w:w="95" w:type="dxa"/>
            </w:tcMar>
            <w:vAlign w:val="center"/>
          </w:tcPr>
          <w:p w14:paraId="4CAAE466"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-0.02</w:t>
            </w:r>
          </w:p>
        </w:tc>
        <w:tc>
          <w:tcPr>
            <w:tcW w:w="0" w:type="auto"/>
            <w:shd w:val="clear" w:color="auto" w:fill="auto"/>
            <w:tcMar>
              <w:top w:w="13" w:type="dxa"/>
              <w:left w:w="95" w:type="dxa"/>
              <w:bottom w:w="0" w:type="dxa"/>
              <w:right w:w="95" w:type="dxa"/>
            </w:tcMar>
            <w:vAlign w:val="center"/>
          </w:tcPr>
          <w:p w14:paraId="5308E91B"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1959.5±6.37</w:t>
            </w:r>
          </w:p>
        </w:tc>
        <w:tc>
          <w:tcPr>
            <w:tcW w:w="0" w:type="auto"/>
            <w:shd w:val="clear" w:color="auto" w:fill="auto"/>
            <w:tcMar>
              <w:top w:w="13" w:type="dxa"/>
              <w:left w:w="95" w:type="dxa"/>
              <w:bottom w:w="0" w:type="dxa"/>
              <w:right w:w="95" w:type="dxa"/>
            </w:tcMar>
            <w:vAlign w:val="center"/>
          </w:tcPr>
          <w:p w14:paraId="17E398A9"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24.68±6.55</w:t>
            </w:r>
          </w:p>
        </w:tc>
        <w:tc>
          <w:tcPr>
            <w:tcW w:w="0" w:type="auto"/>
            <w:shd w:val="clear" w:color="auto" w:fill="auto"/>
            <w:tcMar>
              <w:top w:w="13" w:type="dxa"/>
              <w:left w:w="95" w:type="dxa"/>
              <w:bottom w:w="0" w:type="dxa"/>
              <w:right w:w="95" w:type="dxa"/>
            </w:tcMar>
            <w:vAlign w:val="center"/>
          </w:tcPr>
          <w:p w14:paraId="11645BCC"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9D162F" w14:paraId="44A4BF12" w14:textId="77777777">
        <w:trPr>
          <w:cantSplit/>
        </w:trPr>
        <w:tc>
          <w:tcPr>
            <w:tcW w:w="0" w:type="auto"/>
            <w:shd w:val="clear" w:color="auto" w:fill="auto"/>
            <w:tcMar>
              <w:top w:w="13" w:type="dxa"/>
              <w:left w:w="95" w:type="dxa"/>
              <w:bottom w:w="0" w:type="dxa"/>
              <w:right w:w="95" w:type="dxa"/>
            </w:tcMar>
            <w:vAlign w:val="center"/>
          </w:tcPr>
          <w:p w14:paraId="098136C3"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NC 4</w:t>
            </w:r>
          </w:p>
        </w:tc>
        <w:tc>
          <w:tcPr>
            <w:tcW w:w="596" w:type="pct"/>
            <w:shd w:val="clear" w:color="auto" w:fill="auto"/>
            <w:tcMar>
              <w:top w:w="13" w:type="dxa"/>
              <w:left w:w="95" w:type="dxa"/>
              <w:bottom w:w="0" w:type="dxa"/>
              <w:right w:w="95" w:type="dxa"/>
            </w:tcMar>
            <w:vAlign w:val="center"/>
          </w:tcPr>
          <w:p w14:paraId="3D1E9C39"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581" w:type="pct"/>
            <w:shd w:val="clear" w:color="auto" w:fill="auto"/>
            <w:tcMar>
              <w:top w:w="13" w:type="dxa"/>
              <w:left w:w="95" w:type="dxa"/>
              <w:bottom w:w="0" w:type="dxa"/>
              <w:right w:w="95" w:type="dxa"/>
            </w:tcMar>
            <w:vAlign w:val="center"/>
          </w:tcPr>
          <w:p w14:paraId="5A5C1830"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0" w:type="auto"/>
            <w:shd w:val="clear" w:color="auto" w:fill="auto"/>
            <w:tcMar>
              <w:top w:w="13" w:type="dxa"/>
              <w:left w:w="95" w:type="dxa"/>
              <w:bottom w:w="0" w:type="dxa"/>
              <w:right w:w="95" w:type="dxa"/>
            </w:tcMar>
            <w:vAlign w:val="center"/>
          </w:tcPr>
          <w:p w14:paraId="1A18CF58"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5.02</w:t>
            </w:r>
          </w:p>
        </w:tc>
        <w:tc>
          <w:tcPr>
            <w:tcW w:w="0" w:type="auto"/>
            <w:shd w:val="clear" w:color="auto" w:fill="auto"/>
            <w:tcMar>
              <w:top w:w="13" w:type="dxa"/>
              <w:left w:w="95" w:type="dxa"/>
              <w:bottom w:w="0" w:type="dxa"/>
              <w:right w:w="95" w:type="dxa"/>
            </w:tcMar>
            <w:vAlign w:val="center"/>
          </w:tcPr>
          <w:p w14:paraId="44D717A5"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661±5.91</w:t>
            </w:r>
          </w:p>
        </w:tc>
        <w:tc>
          <w:tcPr>
            <w:tcW w:w="0" w:type="auto"/>
            <w:shd w:val="clear" w:color="auto" w:fill="auto"/>
            <w:tcMar>
              <w:top w:w="13" w:type="dxa"/>
              <w:left w:w="95" w:type="dxa"/>
              <w:bottom w:w="0" w:type="dxa"/>
              <w:right w:w="95" w:type="dxa"/>
            </w:tcMar>
            <w:vAlign w:val="center"/>
          </w:tcPr>
          <w:p w14:paraId="0AB2E305"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53.47±8.56</w:t>
            </w:r>
          </w:p>
        </w:tc>
        <w:tc>
          <w:tcPr>
            <w:tcW w:w="0" w:type="auto"/>
            <w:shd w:val="clear" w:color="auto" w:fill="auto"/>
            <w:tcMar>
              <w:top w:w="13" w:type="dxa"/>
              <w:left w:w="95" w:type="dxa"/>
              <w:bottom w:w="0" w:type="dxa"/>
              <w:right w:w="95" w:type="dxa"/>
            </w:tcMar>
            <w:vAlign w:val="center"/>
          </w:tcPr>
          <w:p w14:paraId="0BBBF4A3"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p>
        </w:tc>
      </w:tr>
      <w:tr w:rsidR="009D162F" w14:paraId="5DBE02CA" w14:textId="77777777">
        <w:trPr>
          <w:cantSplit/>
        </w:trPr>
        <w:tc>
          <w:tcPr>
            <w:tcW w:w="0" w:type="auto"/>
            <w:shd w:val="clear" w:color="auto" w:fill="auto"/>
            <w:tcMar>
              <w:top w:w="13" w:type="dxa"/>
              <w:left w:w="95" w:type="dxa"/>
              <w:bottom w:w="0" w:type="dxa"/>
              <w:right w:w="95" w:type="dxa"/>
            </w:tcMar>
            <w:vAlign w:val="center"/>
          </w:tcPr>
          <w:p w14:paraId="7F42F5AB"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NC 5</w:t>
            </w:r>
          </w:p>
        </w:tc>
        <w:tc>
          <w:tcPr>
            <w:tcW w:w="596" w:type="pct"/>
            <w:shd w:val="clear" w:color="auto" w:fill="auto"/>
            <w:tcMar>
              <w:top w:w="13" w:type="dxa"/>
              <w:left w:w="95" w:type="dxa"/>
              <w:bottom w:w="0" w:type="dxa"/>
              <w:right w:w="95" w:type="dxa"/>
            </w:tcMar>
            <w:vAlign w:val="center"/>
          </w:tcPr>
          <w:p w14:paraId="46D7A30C"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581" w:type="pct"/>
            <w:shd w:val="clear" w:color="auto" w:fill="auto"/>
            <w:tcMar>
              <w:top w:w="13" w:type="dxa"/>
              <w:left w:w="95" w:type="dxa"/>
              <w:bottom w:w="0" w:type="dxa"/>
              <w:right w:w="95" w:type="dxa"/>
            </w:tcMar>
            <w:vAlign w:val="center"/>
          </w:tcPr>
          <w:p w14:paraId="5996DC00"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0" w:type="auto"/>
            <w:shd w:val="clear" w:color="auto" w:fill="auto"/>
            <w:tcMar>
              <w:top w:w="13" w:type="dxa"/>
              <w:left w:w="95" w:type="dxa"/>
              <w:bottom w:w="0" w:type="dxa"/>
              <w:right w:w="95" w:type="dxa"/>
            </w:tcMar>
            <w:vAlign w:val="center"/>
          </w:tcPr>
          <w:p w14:paraId="0B82C146"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0" w:type="auto"/>
            <w:shd w:val="clear" w:color="auto" w:fill="auto"/>
            <w:tcMar>
              <w:top w:w="13" w:type="dxa"/>
              <w:left w:w="95" w:type="dxa"/>
              <w:bottom w:w="0" w:type="dxa"/>
              <w:right w:w="95" w:type="dxa"/>
            </w:tcMar>
            <w:vAlign w:val="center"/>
          </w:tcPr>
          <w:p w14:paraId="323D42AB"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191±4.67</w:t>
            </w:r>
          </w:p>
        </w:tc>
        <w:tc>
          <w:tcPr>
            <w:tcW w:w="0" w:type="auto"/>
            <w:shd w:val="clear" w:color="auto" w:fill="auto"/>
            <w:tcMar>
              <w:top w:w="13" w:type="dxa"/>
              <w:left w:w="95" w:type="dxa"/>
              <w:bottom w:w="0" w:type="dxa"/>
              <w:right w:w="95" w:type="dxa"/>
            </w:tcMar>
            <w:vAlign w:val="center"/>
          </w:tcPr>
          <w:p w14:paraId="73336259"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92.28±6.23</w:t>
            </w:r>
          </w:p>
        </w:tc>
        <w:tc>
          <w:tcPr>
            <w:tcW w:w="0" w:type="auto"/>
            <w:shd w:val="clear" w:color="auto" w:fill="auto"/>
            <w:tcMar>
              <w:top w:w="13" w:type="dxa"/>
              <w:left w:w="95" w:type="dxa"/>
              <w:bottom w:w="0" w:type="dxa"/>
              <w:right w:w="95" w:type="dxa"/>
            </w:tcMar>
            <w:vAlign w:val="center"/>
          </w:tcPr>
          <w:p w14:paraId="1550F46F"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9D162F" w14:paraId="441D6DF6" w14:textId="77777777">
        <w:trPr>
          <w:cantSplit/>
        </w:trPr>
        <w:tc>
          <w:tcPr>
            <w:tcW w:w="0" w:type="auto"/>
            <w:shd w:val="clear" w:color="auto" w:fill="auto"/>
            <w:tcMar>
              <w:top w:w="13" w:type="dxa"/>
              <w:left w:w="95" w:type="dxa"/>
              <w:bottom w:w="0" w:type="dxa"/>
              <w:right w:w="95" w:type="dxa"/>
            </w:tcMar>
            <w:vAlign w:val="center"/>
          </w:tcPr>
          <w:p w14:paraId="5D7DEFA0"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NC 6</w:t>
            </w:r>
          </w:p>
        </w:tc>
        <w:tc>
          <w:tcPr>
            <w:tcW w:w="596" w:type="pct"/>
            <w:shd w:val="clear" w:color="auto" w:fill="auto"/>
            <w:tcMar>
              <w:top w:w="13" w:type="dxa"/>
              <w:left w:w="95" w:type="dxa"/>
              <w:bottom w:w="0" w:type="dxa"/>
              <w:right w:w="95" w:type="dxa"/>
            </w:tcMar>
            <w:vAlign w:val="center"/>
          </w:tcPr>
          <w:p w14:paraId="435EAAB6"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6.02</w:t>
            </w:r>
          </w:p>
        </w:tc>
        <w:tc>
          <w:tcPr>
            <w:tcW w:w="581" w:type="pct"/>
            <w:shd w:val="clear" w:color="auto" w:fill="auto"/>
            <w:tcMar>
              <w:top w:w="13" w:type="dxa"/>
              <w:left w:w="95" w:type="dxa"/>
              <w:bottom w:w="0" w:type="dxa"/>
              <w:right w:w="95" w:type="dxa"/>
            </w:tcMar>
            <w:vAlign w:val="center"/>
          </w:tcPr>
          <w:p w14:paraId="21C7DCF0"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0" w:type="auto"/>
            <w:shd w:val="clear" w:color="auto" w:fill="auto"/>
            <w:tcMar>
              <w:top w:w="13" w:type="dxa"/>
              <w:left w:w="95" w:type="dxa"/>
              <w:bottom w:w="0" w:type="dxa"/>
              <w:right w:w="95" w:type="dxa"/>
            </w:tcMar>
            <w:vAlign w:val="center"/>
          </w:tcPr>
          <w:p w14:paraId="0B73AE58"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0" w:type="auto"/>
            <w:shd w:val="clear" w:color="auto" w:fill="auto"/>
            <w:tcMar>
              <w:top w:w="13" w:type="dxa"/>
              <w:left w:w="95" w:type="dxa"/>
              <w:bottom w:w="0" w:type="dxa"/>
              <w:right w:w="95" w:type="dxa"/>
            </w:tcMar>
            <w:vAlign w:val="center"/>
          </w:tcPr>
          <w:p w14:paraId="6FF4208F"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253.3±7.74</w:t>
            </w:r>
          </w:p>
        </w:tc>
        <w:tc>
          <w:tcPr>
            <w:tcW w:w="0" w:type="auto"/>
            <w:shd w:val="clear" w:color="auto" w:fill="auto"/>
            <w:tcMar>
              <w:top w:w="13" w:type="dxa"/>
              <w:left w:w="95" w:type="dxa"/>
              <w:bottom w:w="0" w:type="dxa"/>
              <w:right w:w="95" w:type="dxa"/>
            </w:tcMar>
            <w:vAlign w:val="center"/>
          </w:tcPr>
          <w:p w14:paraId="03920FCE"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58.61±5.59</w:t>
            </w:r>
          </w:p>
        </w:tc>
        <w:tc>
          <w:tcPr>
            <w:tcW w:w="0" w:type="auto"/>
            <w:shd w:val="clear" w:color="auto" w:fill="auto"/>
            <w:tcMar>
              <w:top w:w="13" w:type="dxa"/>
              <w:left w:w="95" w:type="dxa"/>
              <w:bottom w:w="0" w:type="dxa"/>
              <w:right w:w="95" w:type="dxa"/>
            </w:tcMar>
            <w:vAlign w:val="center"/>
          </w:tcPr>
          <w:p w14:paraId="1574FD13"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9D162F" w14:paraId="2FB0DA48" w14:textId="77777777">
        <w:trPr>
          <w:cantSplit/>
        </w:trPr>
        <w:tc>
          <w:tcPr>
            <w:tcW w:w="0" w:type="auto"/>
            <w:shd w:val="clear" w:color="auto" w:fill="auto"/>
            <w:tcMar>
              <w:top w:w="13" w:type="dxa"/>
              <w:left w:w="95" w:type="dxa"/>
              <w:bottom w:w="0" w:type="dxa"/>
              <w:right w:w="95" w:type="dxa"/>
            </w:tcMar>
            <w:vAlign w:val="center"/>
          </w:tcPr>
          <w:p w14:paraId="381048B7"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NC 7</w:t>
            </w:r>
          </w:p>
        </w:tc>
        <w:tc>
          <w:tcPr>
            <w:tcW w:w="596" w:type="pct"/>
            <w:shd w:val="clear" w:color="auto" w:fill="auto"/>
            <w:tcMar>
              <w:top w:w="13" w:type="dxa"/>
              <w:left w:w="95" w:type="dxa"/>
              <w:bottom w:w="0" w:type="dxa"/>
              <w:right w:w="95" w:type="dxa"/>
            </w:tcMar>
            <w:vAlign w:val="center"/>
          </w:tcPr>
          <w:p w14:paraId="63C25FDB"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581" w:type="pct"/>
            <w:shd w:val="clear" w:color="auto" w:fill="auto"/>
            <w:tcMar>
              <w:top w:w="13" w:type="dxa"/>
              <w:left w:w="95" w:type="dxa"/>
              <w:bottom w:w="0" w:type="dxa"/>
              <w:right w:w="95" w:type="dxa"/>
            </w:tcMar>
            <w:vAlign w:val="center"/>
          </w:tcPr>
          <w:p w14:paraId="32E44A6C"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0" w:type="auto"/>
            <w:shd w:val="clear" w:color="auto" w:fill="auto"/>
            <w:tcMar>
              <w:top w:w="13" w:type="dxa"/>
              <w:left w:w="95" w:type="dxa"/>
              <w:bottom w:w="0" w:type="dxa"/>
              <w:right w:w="95" w:type="dxa"/>
            </w:tcMar>
            <w:vAlign w:val="center"/>
          </w:tcPr>
          <w:p w14:paraId="7B07E05B"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0" w:type="auto"/>
            <w:shd w:val="clear" w:color="auto" w:fill="auto"/>
            <w:tcMar>
              <w:top w:w="13" w:type="dxa"/>
              <w:left w:w="95" w:type="dxa"/>
              <w:bottom w:w="0" w:type="dxa"/>
              <w:right w:w="95" w:type="dxa"/>
            </w:tcMar>
            <w:vAlign w:val="center"/>
          </w:tcPr>
          <w:p w14:paraId="7836FC11"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919±5.90</w:t>
            </w:r>
          </w:p>
        </w:tc>
        <w:tc>
          <w:tcPr>
            <w:tcW w:w="0" w:type="auto"/>
            <w:shd w:val="clear" w:color="auto" w:fill="auto"/>
            <w:tcMar>
              <w:top w:w="13" w:type="dxa"/>
              <w:left w:w="95" w:type="dxa"/>
              <w:bottom w:w="0" w:type="dxa"/>
              <w:right w:w="95" w:type="dxa"/>
            </w:tcMar>
            <w:vAlign w:val="center"/>
          </w:tcPr>
          <w:p w14:paraId="7070FF80"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16.96±6.23</w:t>
            </w:r>
          </w:p>
        </w:tc>
        <w:tc>
          <w:tcPr>
            <w:tcW w:w="0" w:type="auto"/>
            <w:shd w:val="clear" w:color="auto" w:fill="auto"/>
            <w:tcMar>
              <w:top w:w="13" w:type="dxa"/>
              <w:left w:w="95" w:type="dxa"/>
              <w:bottom w:w="0" w:type="dxa"/>
              <w:right w:w="95" w:type="dxa"/>
            </w:tcMar>
            <w:vAlign w:val="center"/>
          </w:tcPr>
          <w:p w14:paraId="3A06BDEC"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9D162F" w14:paraId="0B63A1DC" w14:textId="77777777">
        <w:trPr>
          <w:cantSplit/>
        </w:trPr>
        <w:tc>
          <w:tcPr>
            <w:tcW w:w="0" w:type="auto"/>
            <w:shd w:val="clear" w:color="auto" w:fill="auto"/>
            <w:tcMar>
              <w:top w:w="13" w:type="dxa"/>
              <w:left w:w="95" w:type="dxa"/>
              <w:bottom w:w="0" w:type="dxa"/>
              <w:right w:w="95" w:type="dxa"/>
            </w:tcMar>
            <w:vAlign w:val="center"/>
          </w:tcPr>
          <w:p w14:paraId="2EB2C3F0"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NC 8</w:t>
            </w:r>
          </w:p>
        </w:tc>
        <w:tc>
          <w:tcPr>
            <w:tcW w:w="596" w:type="pct"/>
            <w:shd w:val="clear" w:color="auto" w:fill="auto"/>
            <w:tcMar>
              <w:top w:w="13" w:type="dxa"/>
              <w:left w:w="95" w:type="dxa"/>
              <w:bottom w:w="0" w:type="dxa"/>
              <w:right w:w="95" w:type="dxa"/>
            </w:tcMar>
            <w:vAlign w:val="center"/>
          </w:tcPr>
          <w:p w14:paraId="1B13A87B"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0.97</w:t>
            </w:r>
          </w:p>
        </w:tc>
        <w:tc>
          <w:tcPr>
            <w:tcW w:w="581" w:type="pct"/>
            <w:shd w:val="clear" w:color="auto" w:fill="auto"/>
            <w:tcMar>
              <w:top w:w="13" w:type="dxa"/>
              <w:left w:w="95" w:type="dxa"/>
              <w:bottom w:w="0" w:type="dxa"/>
              <w:right w:w="95" w:type="dxa"/>
            </w:tcMar>
            <w:vAlign w:val="center"/>
          </w:tcPr>
          <w:p w14:paraId="5C332570"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0" w:type="auto"/>
            <w:shd w:val="clear" w:color="auto" w:fill="auto"/>
            <w:tcMar>
              <w:top w:w="13" w:type="dxa"/>
              <w:left w:w="95" w:type="dxa"/>
              <w:bottom w:w="0" w:type="dxa"/>
              <w:right w:w="95" w:type="dxa"/>
            </w:tcMar>
            <w:vAlign w:val="center"/>
          </w:tcPr>
          <w:p w14:paraId="313020B7"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0" w:type="auto"/>
            <w:shd w:val="clear" w:color="auto" w:fill="auto"/>
            <w:tcMar>
              <w:top w:w="13" w:type="dxa"/>
              <w:left w:w="95" w:type="dxa"/>
              <w:bottom w:w="0" w:type="dxa"/>
              <w:right w:w="95" w:type="dxa"/>
            </w:tcMar>
            <w:vAlign w:val="center"/>
          </w:tcPr>
          <w:p w14:paraId="1E63DCF5"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2085.7±6.49</w:t>
            </w:r>
          </w:p>
        </w:tc>
        <w:tc>
          <w:tcPr>
            <w:tcW w:w="0" w:type="auto"/>
            <w:shd w:val="clear" w:color="auto" w:fill="auto"/>
            <w:tcMar>
              <w:top w:w="13" w:type="dxa"/>
              <w:left w:w="95" w:type="dxa"/>
              <w:bottom w:w="0" w:type="dxa"/>
              <w:right w:w="95" w:type="dxa"/>
            </w:tcMar>
            <w:vAlign w:val="center"/>
          </w:tcPr>
          <w:p w14:paraId="782059A0"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28.02±5.97</w:t>
            </w:r>
          </w:p>
        </w:tc>
        <w:tc>
          <w:tcPr>
            <w:tcW w:w="0" w:type="auto"/>
            <w:shd w:val="clear" w:color="auto" w:fill="auto"/>
            <w:tcMar>
              <w:top w:w="13" w:type="dxa"/>
              <w:left w:w="95" w:type="dxa"/>
              <w:bottom w:w="0" w:type="dxa"/>
              <w:right w:w="95" w:type="dxa"/>
            </w:tcMar>
            <w:vAlign w:val="center"/>
          </w:tcPr>
          <w:p w14:paraId="0C1B38ED"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9D162F" w14:paraId="0874FE6B" w14:textId="77777777">
        <w:trPr>
          <w:cantSplit/>
        </w:trPr>
        <w:tc>
          <w:tcPr>
            <w:tcW w:w="0" w:type="auto"/>
            <w:shd w:val="clear" w:color="auto" w:fill="auto"/>
            <w:tcMar>
              <w:top w:w="13" w:type="dxa"/>
              <w:left w:w="95" w:type="dxa"/>
              <w:bottom w:w="0" w:type="dxa"/>
              <w:right w:w="95" w:type="dxa"/>
            </w:tcMar>
            <w:vAlign w:val="center"/>
          </w:tcPr>
          <w:p w14:paraId="08452C86"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NC 9</w:t>
            </w:r>
          </w:p>
        </w:tc>
        <w:tc>
          <w:tcPr>
            <w:tcW w:w="596" w:type="pct"/>
            <w:shd w:val="clear" w:color="auto" w:fill="auto"/>
            <w:tcMar>
              <w:top w:w="13" w:type="dxa"/>
              <w:left w:w="95" w:type="dxa"/>
              <w:bottom w:w="0" w:type="dxa"/>
              <w:right w:w="95" w:type="dxa"/>
            </w:tcMar>
            <w:vAlign w:val="center"/>
          </w:tcPr>
          <w:p w14:paraId="60C9BB9D"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581" w:type="pct"/>
            <w:shd w:val="clear" w:color="auto" w:fill="auto"/>
            <w:tcMar>
              <w:top w:w="13" w:type="dxa"/>
              <w:left w:w="95" w:type="dxa"/>
              <w:bottom w:w="0" w:type="dxa"/>
              <w:right w:w="95" w:type="dxa"/>
            </w:tcMar>
            <w:vAlign w:val="center"/>
          </w:tcPr>
          <w:p w14:paraId="362F52F2"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0" w:type="auto"/>
            <w:shd w:val="clear" w:color="auto" w:fill="auto"/>
            <w:tcMar>
              <w:top w:w="13" w:type="dxa"/>
              <w:left w:w="95" w:type="dxa"/>
              <w:bottom w:w="0" w:type="dxa"/>
              <w:right w:w="95" w:type="dxa"/>
            </w:tcMar>
            <w:vAlign w:val="center"/>
          </w:tcPr>
          <w:p w14:paraId="508DF0BE"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0" w:type="auto"/>
            <w:shd w:val="clear" w:color="auto" w:fill="auto"/>
            <w:tcMar>
              <w:top w:w="13" w:type="dxa"/>
              <w:left w:w="95" w:type="dxa"/>
              <w:bottom w:w="0" w:type="dxa"/>
              <w:right w:w="95" w:type="dxa"/>
            </w:tcMar>
            <w:vAlign w:val="center"/>
          </w:tcPr>
          <w:p w14:paraId="70599943"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191±7.40</w:t>
            </w:r>
          </w:p>
        </w:tc>
        <w:tc>
          <w:tcPr>
            <w:tcW w:w="0" w:type="auto"/>
            <w:shd w:val="clear" w:color="auto" w:fill="auto"/>
            <w:tcMar>
              <w:top w:w="13" w:type="dxa"/>
              <w:left w:w="95" w:type="dxa"/>
              <w:bottom w:w="0" w:type="dxa"/>
              <w:right w:w="95" w:type="dxa"/>
            </w:tcMar>
            <w:vAlign w:val="center"/>
          </w:tcPr>
          <w:p w14:paraId="3859A34A"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92.28±5.23</w:t>
            </w:r>
          </w:p>
        </w:tc>
        <w:tc>
          <w:tcPr>
            <w:tcW w:w="0" w:type="auto"/>
            <w:shd w:val="clear" w:color="auto" w:fill="auto"/>
            <w:tcMar>
              <w:top w:w="13" w:type="dxa"/>
              <w:left w:w="95" w:type="dxa"/>
              <w:bottom w:w="0" w:type="dxa"/>
              <w:right w:w="95" w:type="dxa"/>
            </w:tcMar>
            <w:vAlign w:val="center"/>
          </w:tcPr>
          <w:p w14:paraId="61DA22C6"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9D162F" w14:paraId="5D884485" w14:textId="77777777">
        <w:trPr>
          <w:cantSplit/>
        </w:trPr>
        <w:tc>
          <w:tcPr>
            <w:tcW w:w="0" w:type="auto"/>
            <w:shd w:val="clear" w:color="auto" w:fill="auto"/>
            <w:tcMar>
              <w:top w:w="13" w:type="dxa"/>
              <w:left w:w="95" w:type="dxa"/>
              <w:bottom w:w="0" w:type="dxa"/>
              <w:right w:w="95" w:type="dxa"/>
            </w:tcMar>
            <w:vAlign w:val="center"/>
          </w:tcPr>
          <w:p w14:paraId="0B510559"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NC 10</w:t>
            </w:r>
          </w:p>
        </w:tc>
        <w:tc>
          <w:tcPr>
            <w:tcW w:w="596" w:type="pct"/>
            <w:shd w:val="clear" w:color="auto" w:fill="auto"/>
            <w:tcMar>
              <w:top w:w="13" w:type="dxa"/>
              <w:left w:w="95" w:type="dxa"/>
              <w:bottom w:w="0" w:type="dxa"/>
              <w:right w:w="95" w:type="dxa"/>
            </w:tcMar>
            <w:vAlign w:val="center"/>
          </w:tcPr>
          <w:p w14:paraId="3E46DCD5"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581" w:type="pct"/>
            <w:shd w:val="clear" w:color="auto" w:fill="auto"/>
            <w:tcMar>
              <w:top w:w="13" w:type="dxa"/>
              <w:left w:w="95" w:type="dxa"/>
              <w:bottom w:w="0" w:type="dxa"/>
              <w:right w:w="95" w:type="dxa"/>
            </w:tcMar>
            <w:vAlign w:val="center"/>
          </w:tcPr>
          <w:p w14:paraId="3F92A561"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5.02</w:t>
            </w:r>
          </w:p>
        </w:tc>
        <w:tc>
          <w:tcPr>
            <w:tcW w:w="0" w:type="auto"/>
            <w:shd w:val="clear" w:color="auto" w:fill="auto"/>
            <w:tcMar>
              <w:top w:w="13" w:type="dxa"/>
              <w:left w:w="95" w:type="dxa"/>
              <w:bottom w:w="0" w:type="dxa"/>
              <w:right w:w="95" w:type="dxa"/>
            </w:tcMar>
            <w:vAlign w:val="center"/>
          </w:tcPr>
          <w:p w14:paraId="77DF5772"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0" w:type="auto"/>
            <w:shd w:val="clear" w:color="auto" w:fill="auto"/>
            <w:tcMar>
              <w:top w:w="13" w:type="dxa"/>
              <w:left w:w="95" w:type="dxa"/>
              <w:bottom w:w="0" w:type="dxa"/>
              <w:right w:w="95" w:type="dxa"/>
            </w:tcMar>
            <w:vAlign w:val="center"/>
          </w:tcPr>
          <w:p w14:paraId="4E2AAF1E"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684±5.59</w:t>
            </w:r>
          </w:p>
        </w:tc>
        <w:tc>
          <w:tcPr>
            <w:tcW w:w="0" w:type="auto"/>
            <w:shd w:val="clear" w:color="auto" w:fill="auto"/>
            <w:tcMar>
              <w:top w:w="13" w:type="dxa"/>
              <w:left w:w="95" w:type="dxa"/>
              <w:bottom w:w="0" w:type="dxa"/>
              <w:right w:w="95" w:type="dxa"/>
            </w:tcMar>
            <w:vAlign w:val="center"/>
          </w:tcPr>
          <w:p w14:paraId="568CF1BB"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42.42±4.41</w:t>
            </w:r>
          </w:p>
        </w:tc>
        <w:tc>
          <w:tcPr>
            <w:tcW w:w="0" w:type="auto"/>
            <w:shd w:val="clear" w:color="auto" w:fill="auto"/>
            <w:tcMar>
              <w:top w:w="13" w:type="dxa"/>
              <w:left w:w="95" w:type="dxa"/>
              <w:bottom w:w="0" w:type="dxa"/>
              <w:right w:w="95" w:type="dxa"/>
            </w:tcMar>
            <w:vAlign w:val="center"/>
          </w:tcPr>
          <w:p w14:paraId="782278FC"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9D162F" w14:paraId="3E87DFC6" w14:textId="77777777">
        <w:trPr>
          <w:cantSplit/>
        </w:trPr>
        <w:tc>
          <w:tcPr>
            <w:tcW w:w="0" w:type="auto"/>
            <w:shd w:val="clear" w:color="auto" w:fill="auto"/>
            <w:tcMar>
              <w:top w:w="13" w:type="dxa"/>
              <w:left w:w="95" w:type="dxa"/>
              <w:bottom w:w="0" w:type="dxa"/>
              <w:right w:w="95" w:type="dxa"/>
            </w:tcMar>
            <w:vAlign w:val="center"/>
          </w:tcPr>
          <w:p w14:paraId="4FB98E96"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NC 11</w:t>
            </w:r>
          </w:p>
        </w:tc>
        <w:tc>
          <w:tcPr>
            <w:tcW w:w="596" w:type="pct"/>
            <w:shd w:val="clear" w:color="auto" w:fill="auto"/>
            <w:tcMar>
              <w:top w:w="13" w:type="dxa"/>
              <w:left w:w="95" w:type="dxa"/>
              <w:bottom w:w="0" w:type="dxa"/>
              <w:right w:w="95" w:type="dxa"/>
            </w:tcMar>
            <w:vAlign w:val="center"/>
          </w:tcPr>
          <w:p w14:paraId="1C9FFC64"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581" w:type="pct"/>
            <w:shd w:val="clear" w:color="auto" w:fill="auto"/>
            <w:tcMar>
              <w:top w:w="13" w:type="dxa"/>
              <w:left w:w="95" w:type="dxa"/>
              <w:bottom w:w="0" w:type="dxa"/>
              <w:right w:w="95" w:type="dxa"/>
            </w:tcMar>
            <w:vAlign w:val="center"/>
          </w:tcPr>
          <w:p w14:paraId="40A25162"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0" w:type="auto"/>
            <w:shd w:val="clear" w:color="auto" w:fill="auto"/>
            <w:tcMar>
              <w:top w:w="13" w:type="dxa"/>
              <w:left w:w="95" w:type="dxa"/>
              <w:bottom w:w="0" w:type="dxa"/>
              <w:right w:w="95" w:type="dxa"/>
            </w:tcMar>
            <w:vAlign w:val="center"/>
          </w:tcPr>
          <w:p w14:paraId="2E18FA43"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0" w:type="auto"/>
            <w:shd w:val="clear" w:color="auto" w:fill="auto"/>
            <w:tcMar>
              <w:top w:w="13" w:type="dxa"/>
              <w:left w:w="95" w:type="dxa"/>
              <w:bottom w:w="0" w:type="dxa"/>
              <w:right w:w="95" w:type="dxa"/>
            </w:tcMar>
            <w:vAlign w:val="center"/>
          </w:tcPr>
          <w:p w14:paraId="0F45B821"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1705.8±6.94</w:t>
            </w:r>
          </w:p>
        </w:tc>
        <w:tc>
          <w:tcPr>
            <w:tcW w:w="0" w:type="auto"/>
            <w:shd w:val="clear" w:color="auto" w:fill="auto"/>
            <w:tcMar>
              <w:top w:w="13" w:type="dxa"/>
              <w:left w:w="95" w:type="dxa"/>
              <w:bottom w:w="0" w:type="dxa"/>
              <w:right w:w="95" w:type="dxa"/>
            </w:tcMar>
            <w:vAlign w:val="center"/>
          </w:tcPr>
          <w:p w14:paraId="00B59106"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19.02±6.34</w:t>
            </w:r>
          </w:p>
        </w:tc>
        <w:tc>
          <w:tcPr>
            <w:tcW w:w="0" w:type="auto"/>
            <w:shd w:val="clear" w:color="auto" w:fill="auto"/>
            <w:tcMar>
              <w:top w:w="13" w:type="dxa"/>
              <w:left w:w="95" w:type="dxa"/>
              <w:bottom w:w="0" w:type="dxa"/>
              <w:right w:w="95" w:type="dxa"/>
            </w:tcMar>
            <w:vAlign w:val="center"/>
          </w:tcPr>
          <w:p w14:paraId="50894E26"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9D162F" w14:paraId="18F21064" w14:textId="77777777">
        <w:trPr>
          <w:cantSplit/>
        </w:trPr>
        <w:tc>
          <w:tcPr>
            <w:tcW w:w="0" w:type="auto"/>
            <w:shd w:val="clear" w:color="auto" w:fill="auto"/>
            <w:tcMar>
              <w:top w:w="13" w:type="dxa"/>
              <w:left w:w="95" w:type="dxa"/>
              <w:bottom w:w="0" w:type="dxa"/>
              <w:right w:w="95" w:type="dxa"/>
            </w:tcMar>
            <w:vAlign w:val="center"/>
          </w:tcPr>
          <w:p w14:paraId="7DA0774F"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NC 12</w:t>
            </w:r>
          </w:p>
        </w:tc>
        <w:tc>
          <w:tcPr>
            <w:tcW w:w="596" w:type="pct"/>
            <w:shd w:val="clear" w:color="auto" w:fill="auto"/>
            <w:tcMar>
              <w:top w:w="13" w:type="dxa"/>
              <w:left w:w="95" w:type="dxa"/>
              <w:bottom w:w="0" w:type="dxa"/>
              <w:right w:w="95" w:type="dxa"/>
            </w:tcMar>
            <w:vAlign w:val="center"/>
          </w:tcPr>
          <w:p w14:paraId="100DFD60"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581" w:type="pct"/>
            <w:shd w:val="clear" w:color="auto" w:fill="auto"/>
            <w:tcMar>
              <w:top w:w="13" w:type="dxa"/>
              <w:left w:w="95" w:type="dxa"/>
              <w:bottom w:w="0" w:type="dxa"/>
              <w:right w:w="95" w:type="dxa"/>
            </w:tcMar>
            <w:vAlign w:val="center"/>
          </w:tcPr>
          <w:p w14:paraId="03BE001B"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0" w:type="auto"/>
            <w:shd w:val="clear" w:color="auto" w:fill="auto"/>
            <w:tcMar>
              <w:top w:w="13" w:type="dxa"/>
              <w:left w:w="95" w:type="dxa"/>
              <w:bottom w:w="0" w:type="dxa"/>
              <w:right w:w="95" w:type="dxa"/>
            </w:tcMar>
            <w:vAlign w:val="center"/>
          </w:tcPr>
          <w:p w14:paraId="2B16B013"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0" w:type="auto"/>
            <w:shd w:val="clear" w:color="auto" w:fill="auto"/>
            <w:tcMar>
              <w:top w:w="13" w:type="dxa"/>
              <w:left w:w="95" w:type="dxa"/>
              <w:bottom w:w="0" w:type="dxa"/>
              <w:right w:w="95" w:type="dxa"/>
            </w:tcMar>
            <w:vAlign w:val="center"/>
          </w:tcPr>
          <w:p w14:paraId="206D9F72"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1551.5±7.39</w:t>
            </w:r>
          </w:p>
        </w:tc>
        <w:tc>
          <w:tcPr>
            <w:tcW w:w="0" w:type="auto"/>
            <w:shd w:val="clear" w:color="auto" w:fill="auto"/>
            <w:tcMar>
              <w:top w:w="13" w:type="dxa"/>
              <w:left w:w="95" w:type="dxa"/>
              <w:bottom w:w="0" w:type="dxa"/>
              <w:right w:w="95" w:type="dxa"/>
            </w:tcMar>
            <w:vAlign w:val="center"/>
          </w:tcPr>
          <w:p w14:paraId="288AAA63"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46.53±4.01</w:t>
            </w:r>
          </w:p>
        </w:tc>
        <w:tc>
          <w:tcPr>
            <w:tcW w:w="0" w:type="auto"/>
            <w:shd w:val="clear" w:color="auto" w:fill="auto"/>
            <w:tcMar>
              <w:top w:w="13" w:type="dxa"/>
              <w:left w:w="95" w:type="dxa"/>
              <w:bottom w:w="0" w:type="dxa"/>
              <w:right w:w="95" w:type="dxa"/>
            </w:tcMar>
            <w:vAlign w:val="center"/>
          </w:tcPr>
          <w:p w14:paraId="6AB766DD"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9D162F" w14:paraId="5E4298DA" w14:textId="77777777">
        <w:trPr>
          <w:cantSplit/>
        </w:trPr>
        <w:tc>
          <w:tcPr>
            <w:tcW w:w="0" w:type="auto"/>
            <w:shd w:val="clear" w:color="auto" w:fill="auto"/>
            <w:tcMar>
              <w:top w:w="13" w:type="dxa"/>
              <w:left w:w="95" w:type="dxa"/>
              <w:bottom w:w="0" w:type="dxa"/>
              <w:right w:w="95" w:type="dxa"/>
            </w:tcMar>
            <w:vAlign w:val="center"/>
          </w:tcPr>
          <w:p w14:paraId="196B9995"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NC 13</w:t>
            </w:r>
          </w:p>
        </w:tc>
        <w:tc>
          <w:tcPr>
            <w:tcW w:w="596" w:type="pct"/>
            <w:shd w:val="clear" w:color="auto" w:fill="auto"/>
            <w:tcMar>
              <w:top w:w="13" w:type="dxa"/>
              <w:left w:w="95" w:type="dxa"/>
              <w:bottom w:w="0" w:type="dxa"/>
              <w:right w:w="95" w:type="dxa"/>
            </w:tcMar>
            <w:vAlign w:val="center"/>
          </w:tcPr>
          <w:p w14:paraId="4FEFA705"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581" w:type="pct"/>
            <w:shd w:val="clear" w:color="auto" w:fill="auto"/>
            <w:tcMar>
              <w:top w:w="13" w:type="dxa"/>
              <w:left w:w="95" w:type="dxa"/>
              <w:bottom w:w="0" w:type="dxa"/>
              <w:right w:w="95" w:type="dxa"/>
            </w:tcMar>
            <w:vAlign w:val="center"/>
          </w:tcPr>
          <w:p w14:paraId="37E74601"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0" w:type="auto"/>
            <w:shd w:val="clear" w:color="auto" w:fill="auto"/>
            <w:tcMar>
              <w:top w:w="13" w:type="dxa"/>
              <w:left w:w="95" w:type="dxa"/>
              <w:bottom w:w="0" w:type="dxa"/>
              <w:right w:w="95" w:type="dxa"/>
            </w:tcMar>
            <w:vAlign w:val="center"/>
          </w:tcPr>
          <w:p w14:paraId="3E757060"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0" w:type="auto"/>
            <w:shd w:val="clear" w:color="auto" w:fill="auto"/>
            <w:tcMar>
              <w:top w:w="13" w:type="dxa"/>
              <w:left w:w="95" w:type="dxa"/>
              <w:bottom w:w="0" w:type="dxa"/>
              <w:right w:w="95" w:type="dxa"/>
            </w:tcMar>
            <w:vAlign w:val="center"/>
          </w:tcPr>
          <w:p w14:paraId="3A64EED0"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1206.7±6.33</w:t>
            </w:r>
          </w:p>
        </w:tc>
        <w:tc>
          <w:tcPr>
            <w:tcW w:w="0" w:type="auto"/>
            <w:shd w:val="clear" w:color="auto" w:fill="auto"/>
            <w:tcMar>
              <w:top w:w="13" w:type="dxa"/>
              <w:left w:w="95" w:type="dxa"/>
              <w:bottom w:w="0" w:type="dxa"/>
              <w:right w:w="95" w:type="dxa"/>
            </w:tcMar>
            <w:vAlign w:val="center"/>
          </w:tcPr>
          <w:p w14:paraId="4D2A7688"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46.27±7.17</w:t>
            </w:r>
          </w:p>
        </w:tc>
        <w:tc>
          <w:tcPr>
            <w:tcW w:w="0" w:type="auto"/>
            <w:shd w:val="clear" w:color="auto" w:fill="auto"/>
            <w:tcMar>
              <w:top w:w="13" w:type="dxa"/>
              <w:left w:w="95" w:type="dxa"/>
              <w:bottom w:w="0" w:type="dxa"/>
              <w:right w:w="95" w:type="dxa"/>
            </w:tcMar>
            <w:vAlign w:val="center"/>
          </w:tcPr>
          <w:p w14:paraId="7112187E"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9D162F" w14:paraId="4856D380" w14:textId="77777777">
        <w:trPr>
          <w:cantSplit/>
        </w:trPr>
        <w:tc>
          <w:tcPr>
            <w:tcW w:w="0" w:type="auto"/>
            <w:shd w:val="clear" w:color="auto" w:fill="auto"/>
            <w:tcMar>
              <w:top w:w="13" w:type="dxa"/>
              <w:left w:w="95" w:type="dxa"/>
              <w:bottom w:w="0" w:type="dxa"/>
              <w:right w:w="95" w:type="dxa"/>
            </w:tcMar>
            <w:vAlign w:val="center"/>
          </w:tcPr>
          <w:p w14:paraId="3BEEBF6F"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NC 14</w:t>
            </w:r>
          </w:p>
        </w:tc>
        <w:tc>
          <w:tcPr>
            <w:tcW w:w="596" w:type="pct"/>
            <w:shd w:val="clear" w:color="auto" w:fill="auto"/>
            <w:tcMar>
              <w:top w:w="13" w:type="dxa"/>
              <w:left w:w="95" w:type="dxa"/>
              <w:bottom w:w="0" w:type="dxa"/>
              <w:right w:w="95" w:type="dxa"/>
            </w:tcMar>
            <w:vAlign w:val="center"/>
          </w:tcPr>
          <w:p w14:paraId="5132CFCD"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581" w:type="pct"/>
            <w:shd w:val="clear" w:color="auto" w:fill="auto"/>
            <w:tcMar>
              <w:top w:w="13" w:type="dxa"/>
              <w:left w:w="95" w:type="dxa"/>
              <w:bottom w:w="0" w:type="dxa"/>
              <w:right w:w="95" w:type="dxa"/>
            </w:tcMar>
            <w:vAlign w:val="center"/>
          </w:tcPr>
          <w:p w14:paraId="255ADA72"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0" w:type="auto"/>
            <w:shd w:val="clear" w:color="auto" w:fill="auto"/>
            <w:tcMar>
              <w:top w:w="13" w:type="dxa"/>
              <w:left w:w="95" w:type="dxa"/>
              <w:bottom w:w="0" w:type="dxa"/>
              <w:right w:w="95" w:type="dxa"/>
            </w:tcMar>
            <w:vAlign w:val="center"/>
          </w:tcPr>
          <w:p w14:paraId="297AFB44"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0" w:type="auto"/>
            <w:shd w:val="clear" w:color="auto" w:fill="auto"/>
            <w:tcMar>
              <w:top w:w="13" w:type="dxa"/>
              <w:left w:w="95" w:type="dxa"/>
              <w:bottom w:w="0" w:type="dxa"/>
              <w:right w:w="95" w:type="dxa"/>
            </w:tcMar>
            <w:vAlign w:val="center"/>
          </w:tcPr>
          <w:p w14:paraId="6E062DDA"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28.6±5.62</w:t>
            </w:r>
          </w:p>
        </w:tc>
        <w:tc>
          <w:tcPr>
            <w:tcW w:w="0" w:type="auto"/>
            <w:shd w:val="clear" w:color="auto" w:fill="auto"/>
            <w:tcMar>
              <w:top w:w="13" w:type="dxa"/>
              <w:left w:w="95" w:type="dxa"/>
              <w:bottom w:w="0" w:type="dxa"/>
              <w:right w:w="95" w:type="dxa"/>
            </w:tcMar>
            <w:vAlign w:val="center"/>
          </w:tcPr>
          <w:p w14:paraId="7E19EF57"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48.07±4.90</w:t>
            </w:r>
          </w:p>
        </w:tc>
        <w:tc>
          <w:tcPr>
            <w:tcW w:w="0" w:type="auto"/>
            <w:shd w:val="clear" w:color="auto" w:fill="auto"/>
            <w:tcMar>
              <w:top w:w="13" w:type="dxa"/>
              <w:left w:w="95" w:type="dxa"/>
              <w:bottom w:w="0" w:type="dxa"/>
              <w:right w:w="95" w:type="dxa"/>
            </w:tcMar>
            <w:vAlign w:val="center"/>
          </w:tcPr>
          <w:p w14:paraId="43FFD338"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r>
      <w:tr w:rsidR="009D162F" w14:paraId="26C3B6B2" w14:textId="77777777">
        <w:trPr>
          <w:cantSplit/>
        </w:trPr>
        <w:tc>
          <w:tcPr>
            <w:tcW w:w="0" w:type="auto"/>
            <w:shd w:val="clear" w:color="auto" w:fill="auto"/>
            <w:tcMar>
              <w:top w:w="13" w:type="dxa"/>
              <w:left w:w="95" w:type="dxa"/>
              <w:bottom w:w="0" w:type="dxa"/>
              <w:right w:w="95" w:type="dxa"/>
            </w:tcMar>
            <w:vAlign w:val="center"/>
          </w:tcPr>
          <w:p w14:paraId="45FCAC44"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NC 15</w:t>
            </w:r>
          </w:p>
        </w:tc>
        <w:tc>
          <w:tcPr>
            <w:tcW w:w="596" w:type="pct"/>
            <w:shd w:val="clear" w:color="auto" w:fill="auto"/>
            <w:tcMar>
              <w:top w:w="13" w:type="dxa"/>
              <w:left w:w="95" w:type="dxa"/>
              <w:bottom w:w="0" w:type="dxa"/>
              <w:right w:w="95" w:type="dxa"/>
            </w:tcMar>
            <w:vAlign w:val="center"/>
          </w:tcPr>
          <w:p w14:paraId="09699395"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581" w:type="pct"/>
            <w:shd w:val="clear" w:color="auto" w:fill="auto"/>
            <w:tcMar>
              <w:top w:w="13" w:type="dxa"/>
              <w:left w:w="95" w:type="dxa"/>
              <w:bottom w:w="0" w:type="dxa"/>
              <w:right w:w="95" w:type="dxa"/>
            </w:tcMar>
            <w:vAlign w:val="center"/>
          </w:tcPr>
          <w:p w14:paraId="324F7DAB"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-0.02</w:t>
            </w:r>
          </w:p>
        </w:tc>
        <w:tc>
          <w:tcPr>
            <w:tcW w:w="0" w:type="auto"/>
            <w:shd w:val="clear" w:color="auto" w:fill="auto"/>
            <w:tcMar>
              <w:top w:w="13" w:type="dxa"/>
              <w:left w:w="95" w:type="dxa"/>
              <w:bottom w:w="0" w:type="dxa"/>
              <w:right w:w="95" w:type="dxa"/>
            </w:tcMar>
            <w:vAlign w:val="center"/>
          </w:tcPr>
          <w:p w14:paraId="2E94C7FD"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0" w:type="auto"/>
            <w:shd w:val="clear" w:color="auto" w:fill="auto"/>
            <w:tcMar>
              <w:top w:w="13" w:type="dxa"/>
              <w:left w:w="95" w:type="dxa"/>
              <w:bottom w:w="0" w:type="dxa"/>
              <w:right w:w="95" w:type="dxa"/>
            </w:tcMar>
            <w:vAlign w:val="center"/>
          </w:tcPr>
          <w:p w14:paraId="1CC8F799"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1450±5.85</w:t>
            </w:r>
          </w:p>
        </w:tc>
        <w:tc>
          <w:tcPr>
            <w:tcW w:w="0" w:type="auto"/>
            <w:shd w:val="clear" w:color="auto" w:fill="auto"/>
            <w:tcMar>
              <w:top w:w="13" w:type="dxa"/>
              <w:left w:w="95" w:type="dxa"/>
              <w:bottom w:w="0" w:type="dxa"/>
              <w:right w:w="95" w:type="dxa"/>
            </w:tcMar>
            <w:vAlign w:val="center"/>
          </w:tcPr>
          <w:p w14:paraId="64CF7562"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26.73±5.72</w:t>
            </w:r>
          </w:p>
        </w:tc>
        <w:tc>
          <w:tcPr>
            <w:tcW w:w="0" w:type="auto"/>
            <w:shd w:val="clear" w:color="auto" w:fill="auto"/>
            <w:tcMar>
              <w:top w:w="13" w:type="dxa"/>
              <w:left w:w="95" w:type="dxa"/>
              <w:bottom w:w="0" w:type="dxa"/>
              <w:right w:w="95" w:type="dxa"/>
            </w:tcMar>
            <w:vAlign w:val="center"/>
          </w:tcPr>
          <w:p w14:paraId="05D7116A"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9D162F" w14:paraId="31121E45" w14:textId="77777777">
        <w:trPr>
          <w:cantSplit/>
        </w:trPr>
        <w:tc>
          <w:tcPr>
            <w:tcW w:w="0" w:type="auto"/>
            <w:shd w:val="clear" w:color="auto" w:fill="auto"/>
            <w:tcMar>
              <w:top w:w="13" w:type="dxa"/>
              <w:left w:w="95" w:type="dxa"/>
              <w:bottom w:w="0" w:type="dxa"/>
              <w:right w:w="95" w:type="dxa"/>
            </w:tcMar>
            <w:vAlign w:val="center"/>
          </w:tcPr>
          <w:p w14:paraId="3D44A46E"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NC 16</w:t>
            </w:r>
          </w:p>
        </w:tc>
        <w:tc>
          <w:tcPr>
            <w:tcW w:w="596" w:type="pct"/>
            <w:shd w:val="clear" w:color="auto" w:fill="auto"/>
            <w:tcMar>
              <w:top w:w="13" w:type="dxa"/>
              <w:left w:w="95" w:type="dxa"/>
              <w:bottom w:w="0" w:type="dxa"/>
              <w:right w:w="95" w:type="dxa"/>
            </w:tcMar>
            <w:vAlign w:val="center"/>
          </w:tcPr>
          <w:p w14:paraId="0D64DAAB"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581" w:type="pct"/>
            <w:shd w:val="clear" w:color="auto" w:fill="auto"/>
            <w:tcMar>
              <w:top w:w="13" w:type="dxa"/>
              <w:left w:w="95" w:type="dxa"/>
              <w:bottom w:w="0" w:type="dxa"/>
              <w:right w:w="95" w:type="dxa"/>
            </w:tcMar>
            <w:vAlign w:val="center"/>
          </w:tcPr>
          <w:p w14:paraId="71258944"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0" w:type="auto"/>
            <w:shd w:val="clear" w:color="auto" w:fill="auto"/>
            <w:tcMar>
              <w:top w:w="13" w:type="dxa"/>
              <w:left w:w="95" w:type="dxa"/>
              <w:bottom w:w="0" w:type="dxa"/>
              <w:right w:w="95" w:type="dxa"/>
            </w:tcMar>
            <w:vAlign w:val="center"/>
          </w:tcPr>
          <w:p w14:paraId="480FE9EB"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0" w:type="auto"/>
            <w:shd w:val="clear" w:color="auto" w:fill="auto"/>
            <w:tcMar>
              <w:top w:w="13" w:type="dxa"/>
              <w:left w:w="95" w:type="dxa"/>
              <w:bottom w:w="0" w:type="dxa"/>
              <w:right w:w="95" w:type="dxa"/>
            </w:tcMar>
            <w:vAlign w:val="center"/>
          </w:tcPr>
          <w:p w14:paraId="258DABB9"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641.1±6.01</w:t>
            </w:r>
          </w:p>
        </w:tc>
        <w:tc>
          <w:tcPr>
            <w:tcW w:w="0" w:type="auto"/>
            <w:shd w:val="clear" w:color="auto" w:fill="auto"/>
            <w:tcMar>
              <w:top w:w="13" w:type="dxa"/>
              <w:left w:w="95" w:type="dxa"/>
              <w:bottom w:w="0" w:type="dxa"/>
              <w:right w:w="95" w:type="dxa"/>
            </w:tcMar>
            <w:vAlign w:val="center"/>
          </w:tcPr>
          <w:p w14:paraId="47019965"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26.22±6.23</w:t>
            </w:r>
          </w:p>
        </w:tc>
        <w:tc>
          <w:tcPr>
            <w:tcW w:w="0" w:type="auto"/>
            <w:shd w:val="clear" w:color="auto" w:fill="auto"/>
            <w:tcMar>
              <w:top w:w="13" w:type="dxa"/>
              <w:left w:w="95" w:type="dxa"/>
              <w:bottom w:w="0" w:type="dxa"/>
              <w:right w:w="95" w:type="dxa"/>
            </w:tcMar>
            <w:vAlign w:val="center"/>
          </w:tcPr>
          <w:p w14:paraId="23669295" w14:textId="77777777" w:rsidR="009D162F" w:rsidRDefault="006E6378">
            <w:pPr>
              <w:spacing w:before="70" w:after="7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bl>
    <w:p w14:paraId="1F200320" w14:textId="77777777" w:rsidR="009D162F" w:rsidRDefault="006E637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 in t</w:t>
      </w:r>
      <w:r>
        <w:rPr>
          <w:rFonts w:ascii="Times New Roman" w:hAnsi="Times New Roman" w:cs="Times New Roman"/>
          <w:color w:val="000000" w:themeColor="text1"/>
          <w:sz w:val="24"/>
          <w:szCs w:val="24"/>
          <w:vertAlign w:val="subscript"/>
        </w:rPr>
        <w:t>50%</w:t>
      </w:r>
      <w:r>
        <w:rPr>
          <w:rFonts w:ascii="Times New Roman" w:hAnsi="Times New Roman" w:cs="Times New Roman"/>
          <w:color w:val="000000" w:themeColor="text1"/>
          <w:sz w:val="24"/>
          <w:szCs w:val="24"/>
        </w:rPr>
        <w:t xml:space="preserve"> implies that </w:t>
      </w:r>
      <w:proofErr w:type="spellStart"/>
      <w:r>
        <w:rPr>
          <w:rFonts w:ascii="Times New Roman" w:hAnsi="Times New Roman" w:cs="Times New Roman"/>
          <w:color w:val="000000" w:themeColor="text1"/>
          <w:sz w:val="24"/>
          <w:szCs w:val="24"/>
        </w:rPr>
        <w:t>atleast</w:t>
      </w:r>
      <w:proofErr w:type="spellEnd"/>
      <w:r>
        <w:rPr>
          <w:rFonts w:ascii="Times New Roman" w:hAnsi="Times New Roman" w:cs="Times New Roman"/>
          <w:color w:val="000000" w:themeColor="text1"/>
          <w:sz w:val="24"/>
          <w:szCs w:val="24"/>
        </w:rPr>
        <w:t xml:space="preserve"> half of the drug concentration does not release in 12 h</w:t>
      </w:r>
    </w:p>
    <w:p w14:paraId="2A24B619" w14:textId="77777777" w:rsidR="009D162F" w:rsidRDefault="006E6378">
      <w:pPr>
        <w:jc w:val="both"/>
        <w:rPr>
          <w:rFonts w:ascii="Times New Roman" w:hAnsi="Times New Roman" w:cs="Times New Roman"/>
          <w:b/>
          <w:sz w:val="24"/>
          <w:szCs w:val="24"/>
        </w:rPr>
      </w:pPr>
      <w:r>
        <w:rPr>
          <w:rFonts w:ascii="Times New Roman" w:hAnsi="Times New Roman" w:cs="Times New Roman"/>
          <w:b/>
          <w:sz w:val="24"/>
          <w:szCs w:val="24"/>
        </w:rPr>
        <w:t>Particle size (PS) and zeta potential (ZP):</w:t>
      </w:r>
    </w:p>
    <w:p w14:paraId="5D6A9DE5" w14:textId="77777777" w:rsidR="009D162F" w:rsidRDefault="006E637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results of the multiple regression analysis showed that there is a negative correlation between the response variable Y1 and the coefficients β1, β2, a</w:t>
      </w:r>
      <w:r>
        <w:rPr>
          <w:rFonts w:ascii="Times New Roman" w:hAnsi="Times New Roman" w:cs="Times New Roman"/>
          <w:color w:val="000000" w:themeColor="text1"/>
          <w:sz w:val="24"/>
          <w:szCs w:val="24"/>
        </w:rPr>
        <w:t>nd β3. This implies that a decrease in particle size is caused by a rise in the amounts of lipid, surfactant, and copolymer. The fitted model for the response variable Y1 in respect to the transformation factor is shown in the following equation.</w:t>
      </w:r>
    </w:p>
    <w:p w14:paraId="5E383899"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Y1=</w:t>
      </w:r>
      <w:r>
        <w:rPr>
          <w:rFonts w:ascii="Times New Roman" w:hAnsi="Times New Roman" w:cs="Times New Roman"/>
          <w:sz w:val="24"/>
          <w:szCs w:val="24"/>
          <w:lang w:val="en-US"/>
        </w:rPr>
        <w:t>=+199.</w:t>
      </w:r>
      <w:r>
        <w:rPr>
          <w:rFonts w:ascii="Times New Roman" w:hAnsi="Times New Roman" w:cs="Times New Roman"/>
          <w:sz w:val="24"/>
          <w:szCs w:val="24"/>
          <w:lang w:val="en-US"/>
        </w:rPr>
        <w:t>01-544.78X</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-227.73X</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-386.05X</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+13.04 X</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-123.86 X</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+351.14X</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+293.60X</w:t>
      </w:r>
      <w:r>
        <w:rPr>
          <w:rFonts w:ascii="Times New Roman" w:hAnsi="Times New Roman" w:cs="Times New Roman"/>
          <w:sz w:val="24"/>
          <w:szCs w:val="24"/>
          <w:vertAlign w:val="subscript"/>
          <w:lang w:val="en-US"/>
        </w:rPr>
        <w:t>1</w:t>
      </w:r>
      <w:r>
        <w:rPr>
          <w:rFonts w:ascii="Times New Roman" w:hAnsi="Times New Roman" w:cs="Times New Roman"/>
          <w:sz w:val="24"/>
          <w:szCs w:val="24"/>
          <w:vertAlign w:val="superscript"/>
          <w:lang w:val="en-US"/>
        </w:rPr>
        <w:t xml:space="preserve">2 </w:t>
      </w:r>
      <w:r>
        <w:rPr>
          <w:rFonts w:ascii="Times New Roman" w:hAnsi="Times New Roman" w:cs="Times New Roman"/>
          <w:sz w:val="24"/>
          <w:szCs w:val="24"/>
          <w:lang w:val="en-US"/>
        </w:rPr>
        <w:t>+257.36 X</w:t>
      </w:r>
      <w:r>
        <w:rPr>
          <w:rFonts w:ascii="Times New Roman" w:hAnsi="Times New Roman" w:cs="Times New Roman"/>
          <w:sz w:val="24"/>
          <w:szCs w:val="24"/>
          <w:vertAlign w:val="subscript"/>
          <w:lang w:val="en-US"/>
        </w:rPr>
        <w:t>2</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+343.36X</w:t>
      </w:r>
      <w:r>
        <w:rPr>
          <w:rFonts w:ascii="Times New Roman" w:hAnsi="Times New Roman" w:cs="Times New Roman"/>
          <w:sz w:val="24"/>
          <w:szCs w:val="24"/>
          <w:vertAlign w:val="subscript"/>
          <w:lang w:val="en-US"/>
        </w:rPr>
        <w:t>3</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+295.76 X</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+329.25 X</w:t>
      </w:r>
      <w:r>
        <w:rPr>
          <w:rFonts w:ascii="Times New Roman" w:hAnsi="Times New Roman" w:cs="Times New Roman"/>
          <w:sz w:val="24"/>
          <w:szCs w:val="24"/>
          <w:vertAlign w:val="subscript"/>
          <w:lang w:val="en-US"/>
        </w:rPr>
        <w:t>1</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+318.21X</w:t>
      </w:r>
      <w:r>
        <w:rPr>
          <w:rFonts w:ascii="Times New Roman" w:hAnsi="Times New Roman" w:cs="Times New Roman"/>
          <w:sz w:val="24"/>
          <w:szCs w:val="24"/>
          <w:vertAlign w:val="subscript"/>
          <w:lang w:val="en-US"/>
        </w:rPr>
        <w:t>1</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+532.24 X</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2</w:t>
      </w:r>
      <w:r>
        <w:rPr>
          <w:rFonts w:ascii="Times New Roman" w:hAnsi="Times New Roman" w:cs="Times New Roman"/>
          <w:sz w:val="24"/>
          <w:szCs w:val="24"/>
          <w:vertAlign w:val="superscript"/>
          <w:lang w:val="en-US"/>
        </w:rPr>
        <w:t>2</w:t>
      </w:r>
    </w:p>
    <w:p w14:paraId="2DE040B1" w14:textId="77777777" w:rsidR="009D162F" w:rsidRDefault="006E6378">
      <w:pPr>
        <w:jc w:val="both"/>
        <w:rPr>
          <w:rFonts w:ascii="Times New Roman" w:hAnsi="Times New Roman" w:cs="Times New Roman"/>
          <w:b/>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cubosomes</w:t>
      </w:r>
      <w:proofErr w:type="spellEnd"/>
      <w:r>
        <w:rPr>
          <w:rFonts w:ascii="Times New Roman" w:hAnsi="Times New Roman" w:cs="Times New Roman"/>
          <w:sz w:val="24"/>
          <w:szCs w:val="24"/>
        </w:rPr>
        <w:t xml:space="preserve"> that were developed exhibit particle sizes (PS) ranging from 28.6 to 2085.7 nm. This range falls within the acceptable parameters for brain targeting. A strong correlation is observed with a high correlation coefficient (0.9761) between Y1 for all. The AN</w:t>
      </w:r>
      <w:r>
        <w:rPr>
          <w:rFonts w:ascii="Times New Roman" w:hAnsi="Times New Roman" w:cs="Times New Roman"/>
          <w:sz w:val="24"/>
          <w:szCs w:val="24"/>
        </w:rPr>
        <w:t>OVA analysis indicates that the concentration of lipid, surfactant, and copolymer significantly influences the PS, as evidenced by a low P value of 0.0009 (P&lt;0.05). The inclusion of the polymeric surfactant, poloxamer 407, plays a crucial role in stabilizi</w:t>
      </w:r>
      <w:r>
        <w:rPr>
          <w:rFonts w:ascii="Times New Roman" w:hAnsi="Times New Roman" w:cs="Times New Roman"/>
          <w:sz w:val="24"/>
          <w:szCs w:val="24"/>
        </w:rPr>
        <w:t xml:space="preserve">ng </w:t>
      </w:r>
      <w:proofErr w:type="spellStart"/>
      <w:r>
        <w:rPr>
          <w:rFonts w:ascii="Times New Roman" w:hAnsi="Times New Roman" w:cs="Times New Roman"/>
          <w:sz w:val="24"/>
          <w:szCs w:val="24"/>
        </w:rPr>
        <w:t>cubosomes</w:t>
      </w:r>
      <w:proofErr w:type="spellEnd"/>
      <w:r>
        <w:rPr>
          <w:rFonts w:ascii="Times New Roman" w:hAnsi="Times New Roman" w:cs="Times New Roman"/>
          <w:sz w:val="24"/>
          <w:szCs w:val="24"/>
        </w:rPr>
        <w:t xml:space="preserve">, effectively dispersing their crystalline structure, and providing steric stability to the system. Furthermore, a decrease in surface tension brought on by a rise in poloxamer concentration encourages the formation of </w:t>
      </w:r>
      <w:proofErr w:type="spellStart"/>
      <w:r>
        <w:rPr>
          <w:rFonts w:ascii="Times New Roman" w:hAnsi="Times New Roman" w:cs="Times New Roman"/>
          <w:sz w:val="24"/>
          <w:szCs w:val="24"/>
        </w:rPr>
        <w:t>cubosomes</w:t>
      </w:r>
      <w:proofErr w:type="spellEnd"/>
      <w:r>
        <w:rPr>
          <w:rFonts w:ascii="Times New Roman" w:hAnsi="Times New Roman" w:cs="Times New Roman"/>
          <w:sz w:val="24"/>
          <w:szCs w:val="24"/>
        </w:rPr>
        <w:t xml:space="preserve"> with smaller PS</w:t>
      </w:r>
      <w:r>
        <w:rPr>
          <w:rFonts w:ascii="Times New Roman" w:hAnsi="Times New Roman" w:cs="Times New Roman"/>
          <w:sz w:val="24"/>
          <w:szCs w:val="24"/>
        </w:rPr>
        <w:t xml:space="preserve">. When the concentration of GMO, a polar amphiphilic lipid, exceeds the critical micelle concentration (CMC), micelles form. </w:t>
      </w:r>
      <w:proofErr w:type="spellStart"/>
      <w:r>
        <w:rPr>
          <w:rFonts w:ascii="Times New Roman" w:hAnsi="Times New Roman" w:cs="Times New Roman"/>
          <w:sz w:val="24"/>
          <w:szCs w:val="24"/>
        </w:rPr>
        <w:t>Cubosomes</w:t>
      </w:r>
      <w:proofErr w:type="spellEnd"/>
      <w:r>
        <w:rPr>
          <w:rFonts w:ascii="Times New Roman" w:hAnsi="Times New Roman" w:cs="Times New Roman"/>
          <w:sz w:val="24"/>
          <w:szCs w:val="24"/>
        </w:rPr>
        <w:t>, on the other hand, are formed when the GMO concentration exceeds this level. Increasing GMO concentration initially resu</w:t>
      </w:r>
      <w:r>
        <w:rPr>
          <w:rFonts w:ascii="Times New Roman" w:hAnsi="Times New Roman" w:cs="Times New Roman"/>
          <w:sz w:val="24"/>
          <w:szCs w:val="24"/>
        </w:rPr>
        <w:t xml:space="preserve">lts in an increase in PS, but only up to a certain point, after which it levels off, as illustrated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Fig. 3).</w:t>
      </w:r>
    </w:p>
    <w:p w14:paraId="0F1E8A7D" w14:textId="77777777" w:rsidR="009D162F" w:rsidRDefault="006E6378">
      <w:pPr>
        <w:autoSpaceDE w:val="0"/>
        <w:autoSpaceDN w:val="0"/>
        <w:adjustRightInd w:val="0"/>
        <w:spacing w:line="360" w:lineRule="auto"/>
        <w:jc w:val="center"/>
        <w:rPr>
          <w:rFonts w:ascii="Times New Roman" w:hAnsi="Times New Roman" w:cs="Times New Roman"/>
          <w:b/>
          <w:bCs/>
          <w:color w:val="000000" w:themeColor="text1"/>
          <w:sz w:val="24"/>
          <w:szCs w:val="24"/>
          <w:lang w:val="pt-BR"/>
        </w:rPr>
      </w:pPr>
      <w:r>
        <w:rPr>
          <w:rFonts w:ascii="Times New Roman" w:hAnsi="Times New Roman" w:cs="Times New Roman"/>
          <w:b/>
          <w:noProof/>
          <w:sz w:val="24"/>
          <w:szCs w:val="24"/>
        </w:rPr>
        <w:lastRenderedPageBreak/>
        <w:drawing>
          <wp:inline distT="0" distB="0" distL="0" distR="0" wp14:anchorId="757B8551" wp14:editId="1EB65F20">
            <wp:extent cx="3686175" cy="3105150"/>
            <wp:effectExtent l="0" t="0" r="1905" b="3810"/>
            <wp:docPr id="48" name="Picture 20"/>
            <wp:cNvGraphicFramePr/>
            <a:graphic xmlns:a="http://schemas.openxmlformats.org/drawingml/2006/main">
              <a:graphicData uri="http://schemas.openxmlformats.org/drawingml/2006/picture">
                <pic:pic xmlns:pic="http://schemas.openxmlformats.org/drawingml/2006/picture">
                  <pic:nvPicPr>
                    <pic:cNvPr id="48" name="Picture 20"/>
                    <pic:cNvPicPr/>
                  </pic:nvPicPr>
                  <pic:blipFill>
                    <a:blip r:embed="rId9"/>
                    <a:stretch>
                      <a:fillRect/>
                    </a:stretch>
                  </pic:blipFill>
                  <pic:spPr>
                    <a:xfrm>
                      <a:off x="0" y="0"/>
                      <a:ext cx="3685354" cy="3104458"/>
                    </a:xfrm>
                    <a:prstGeom prst="rect">
                      <a:avLst/>
                    </a:prstGeom>
                  </pic:spPr>
                </pic:pic>
              </a:graphicData>
            </a:graphic>
          </wp:inline>
        </w:drawing>
      </w:r>
    </w:p>
    <w:p w14:paraId="21B39C21" w14:textId="77777777" w:rsidR="009D162F" w:rsidRDefault="006E6378">
      <w:pPr>
        <w:autoSpaceDE w:val="0"/>
        <w:autoSpaceDN w:val="0"/>
        <w:adjustRightInd w:val="0"/>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bCs/>
          <w:color w:val="000000" w:themeColor="text1"/>
          <w:sz w:val="24"/>
          <w:szCs w:val="24"/>
          <w:lang w:val="pt-BR"/>
        </w:rPr>
        <w:t xml:space="preserve">Fig. 3 </w:t>
      </w:r>
      <w:r>
        <w:rPr>
          <w:rFonts w:ascii="Times New Roman" w:hAnsi="Times New Roman" w:cs="Times New Roman"/>
          <w:bCs/>
          <w:color w:val="000000" w:themeColor="text1"/>
          <w:sz w:val="24"/>
          <w:szCs w:val="24"/>
          <w:lang w:val="en-US"/>
        </w:rPr>
        <w:t>Cubic plot for the response Y1</w:t>
      </w:r>
    </w:p>
    <w:p w14:paraId="027952BE"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 xml:space="preserve">The Zeta Potential (ZP) serves as an indicator of the stability of nanoparticles, reflecting their </w:t>
      </w:r>
      <w:r>
        <w:rPr>
          <w:rFonts w:ascii="Times New Roman" w:hAnsi="Times New Roman" w:cs="Times New Roman"/>
          <w:sz w:val="24"/>
          <w:szCs w:val="24"/>
        </w:rPr>
        <w:t>tendency to aggregate. The Polydispersity Index (PDI) measures the homogeneity of PS distribution, with higher values indicating greater variability (polydispersity) and lower values suggesting a more uniform distribution (</w:t>
      </w:r>
      <w:proofErr w:type="spellStart"/>
      <w:r>
        <w:rPr>
          <w:rFonts w:ascii="Times New Roman" w:hAnsi="Times New Roman" w:cs="Times New Roman"/>
          <w:sz w:val="24"/>
          <w:szCs w:val="24"/>
        </w:rPr>
        <w:t>monodispersity</w:t>
      </w:r>
      <w:proofErr w:type="spellEnd"/>
      <w:r>
        <w:rPr>
          <w:rFonts w:ascii="Times New Roman" w:hAnsi="Times New Roman" w:cs="Times New Roman"/>
          <w:sz w:val="24"/>
          <w:szCs w:val="24"/>
        </w:rPr>
        <w:t>). An increase in Z</w:t>
      </w:r>
      <w:r>
        <w:rPr>
          <w:rFonts w:ascii="Times New Roman" w:hAnsi="Times New Roman" w:cs="Times New Roman"/>
          <w:sz w:val="24"/>
          <w:szCs w:val="24"/>
        </w:rPr>
        <w:t>P signifies a stronger repulsive force that prevents particle aggregation. In (Fig. 4), the optimized formulation demonstrates a PDI of 0.407 and a ZP of -17.6. These values indicate a low PDI and a high ZP, reflecting a state of reduced polydispersity and</w:t>
      </w:r>
      <w:r>
        <w:rPr>
          <w:rFonts w:ascii="Times New Roman" w:hAnsi="Times New Roman" w:cs="Times New Roman"/>
          <w:sz w:val="24"/>
          <w:szCs w:val="24"/>
        </w:rPr>
        <w:t xml:space="preserve"> decreased particle aggregation.</w:t>
      </w:r>
    </w:p>
    <w:p w14:paraId="0367F1B5" w14:textId="77777777" w:rsidR="009D162F" w:rsidRDefault="006E6378">
      <w:pPr>
        <w:jc w:val="center"/>
        <w:rPr>
          <w:rFonts w:ascii="Times New Roman" w:hAnsi="Times New Roman" w:cs="Times New Roman"/>
          <w:color w:val="000000" w:themeColor="text1"/>
          <w:sz w:val="24"/>
          <w:szCs w:val="24"/>
        </w:rPr>
      </w:pPr>
      <w:r>
        <w:rPr>
          <w:rFonts w:ascii="Times New Roman" w:hAnsi="Times New Roman" w:cs="Times New Roman"/>
          <w:noProof/>
          <w:sz w:val="24"/>
          <w:szCs w:val="24"/>
        </w:rPr>
        <w:drawing>
          <wp:inline distT="0" distB="0" distL="0" distR="0" wp14:anchorId="556C1B47" wp14:editId="2F5F45AA">
            <wp:extent cx="3721100" cy="2121535"/>
            <wp:effectExtent l="0" t="0" r="12700" b="12065"/>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2"/>
                    <pic:cNvPicPr>
                      <a:picLocks noChangeAspect="1" noChangeArrowheads="1"/>
                    </pic:cNvPicPr>
                  </pic:nvPicPr>
                  <pic:blipFill>
                    <a:blip r:embed="rId10"/>
                    <a:srcRect/>
                    <a:stretch>
                      <a:fillRect/>
                    </a:stretch>
                  </pic:blipFill>
                  <pic:spPr>
                    <a:xfrm>
                      <a:off x="0" y="0"/>
                      <a:ext cx="3721395" cy="2121932"/>
                    </a:xfrm>
                    <a:prstGeom prst="rect">
                      <a:avLst/>
                    </a:prstGeom>
                    <a:noFill/>
                    <a:ln w="9525">
                      <a:noFill/>
                      <a:miter lim="800000"/>
                      <a:headEnd/>
                      <a:tailEnd/>
                    </a:ln>
                  </pic:spPr>
                </pic:pic>
              </a:graphicData>
            </a:graphic>
          </wp:inline>
        </w:drawing>
      </w:r>
    </w:p>
    <w:p w14:paraId="45B06673" w14:textId="77777777" w:rsidR="009D162F" w:rsidRDefault="006E6378">
      <w:pPr>
        <w:jc w:val="both"/>
        <w:rPr>
          <w:rFonts w:ascii="Times New Roman" w:hAnsi="Times New Roman" w:cs="Times New Roman"/>
          <w:sz w:val="24"/>
          <w:szCs w:val="24"/>
        </w:rPr>
      </w:pPr>
      <w:r>
        <w:rPr>
          <w:rFonts w:ascii="Times New Roman" w:hAnsi="Times New Roman" w:cs="Times New Roman"/>
          <w:b/>
          <w:bCs/>
          <w:color w:val="000000" w:themeColor="text1"/>
          <w:sz w:val="24"/>
          <w:szCs w:val="24"/>
          <w:lang w:val="pt-BR"/>
        </w:rPr>
        <w:t xml:space="preserve">Fig. 4 </w:t>
      </w:r>
      <w:r>
        <w:rPr>
          <w:rFonts w:ascii="Times New Roman" w:hAnsi="Times New Roman" w:cs="Times New Roman"/>
          <w:bCs/>
          <w:color w:val="000000" w:themeColor="text1"/>
          <w:sz w:val="24"/>
          <w:szCs w:val="24"/>
        </w:rPr>
        <w:t xml:space="preserve">Particle size distribution &amp; Zeta potential of optimized formulation of NRG </w:t>
      </w:r>
      <w:proofErr w:type="spellStart"/>
      <w:r>
        <w:rPr>
          <w:rFonts w:ascii="Times New Roman" w:hAnsi="Times New Roman" w:cs="Times New Roman"/>
          <w:bCs/>
          <w:color w:val="000000" w:themeColor="text1"/>
          <w:sz w:val="24"/>
          <w:szCs w:val="24"/>
        </w:rPr>
        <w:t>cubosomes</w:t>
      </w:r>
      <w:proofErr w:type="spellEnd"/>
    </w:p>
    <w:p w14:paraId="1B57355E" w14:textId="77777777" w:rsidR="009D162F" w:rsidRDefault="006E6378">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sz w:val="24"/>
          <w:szCs w:val="24"/>
        </w:rPr>
        <w:t>Entrapment efficiency (EE):</w:t>
      </w:r>
    </w:p>
    <w:p w14:paraId="7BA71B68"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 xml:space="preserve">The results of the multiple regression analysis showed that there is a positive association between </w:t>
      </w:r>
      <w:r>
        <w:rPr>
          <w:rFonts w:ascii="Times New Roman" w:hAnsi="Times New Roman" w:cs="Times New Roman"/>
          <w:sz w:val="24"/>
          <w:szCs w:val="24"/>
        </w:rPr>
        <w:t xml:space="preserve">the response Y2 and the coefficients β1, β2, and β3. This suggests that the EE rises in tandem with increases in GMO and poloxamer 407 concentrations. The simulated </w:t>
      </w:r>
      <w:r>
        <w:rPr>
          <w:rFonts w:ascii="Times New Roman" w:hAnsi="Times New Roman" w:cs="Times New Roman"/>
          <w:sz w:val="24"/>
          <w:szCs w:val="24"/>
        </w:rPr>
        <w:lastRenderedPageBreak/>
        <w:t>relationship between the transformation factor and the response Y2 is shown in the followin</w:t>
      </w:r>
      <w:r>
        <w:rPr>
          <w:rFonts w:ascii="Times New Roman" w:hAnsi="Times New Roman" w:cs="Times New Roman"/>
          <w:sz w:val="24"/>
          <w:szCs w:val="24"/>
        </w:rPr>
        <w:t>g equation.</w:t>
      </w:r>
    </w:p>
    <w:p w14:paraId="54D350D4"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Y2=</w:t>
      </w:r>
      <w:r>
        <w:rPr>
          <w:rFonts w:ascii="Times New Roman" w:hAnsi="Times New Roman" w:cs="Times New Roman"/>
          <w:sz w:val="24"/>
          <w:szCs w:val="24"/>
          <w:lang w:val="en-US"/>
        </w:rPr>
        <w:t>92.36+9.09 X</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+4.66 X</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+8.56 X</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-2.51X</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+6.07X</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+3.37X</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-17.85X</w:t>
      </w:r>
      <w:r>
        <w:rPr>
          <w:rFonts w:ascii="Times New Roman" w:hAnsi="Times New Roman" w:cs="Times New Roman"/>
          <w:sz w:val="24"/>
          <w:szCs w:val="24"/>
          <w:vertAlign w:val="subscript"/>
          <w:lang w:val="en-US"/>
        </w:rPr>
        <w:t>1</w:t>
      </w:r>
      <w:r>
        <w:rPr>
          <w:rFonts w:ascii="Times New Roman" w:hAnsi="Times New Roman" w:cs="Times New Roman"/>
          <w:sz w:val="24"/>
          <w:szCs w:val="24"/>
          <w:vertAlign w:val="superscript"/>
          <w:lang w:val="en-US"/>
        </w:rPr>
        <w:t xml:space="preserve">2 </w:t>
      </w:r>
      <w:r>
        <w:rPr>
          <w:rFonts w:ascii="Times New Roman" w:hAnsi="Times New Roman" w:cs="Times New Roman"/>
          <w:sz w:val="24"/>
          <w:szCs w:val="24"/>
          <w:lang w:val="en-US"/>
        </w:rPr>
        <w:t>-20.94 X</w:t>
      </w:r>
      <w:r>
        <w:rPr>
          <w:rFonts w:ascii="Times New Roman" w:hAnsi="Times New Roman" w:cs="Times New Roman"/>
          <w:sz w:val="24"/>
          <w:szCs w:val="24"/>
          <w:vertAlign w:val="subscript"/>
          <w:lang w:val="en-US"/>
        </w:rPr>
        <w:t>2</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-19.35X</w:t>
      </w:r>
      <w:r>
        <w:rPr>
          <w:rFonts w:ascii="Times New Roman" w:hAnsi="Times New Roman" w:cs="Times New Roman"/>
          <w:sz w:val="24"/>
          <w:szCs w:val="24"/>
          <w:vertAlign w:val="subscript"/>
          <w:lang w:val="en-US"/>
        </w:rPr>
        <w:t>3</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-5.56X</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-1.10X</w:t>
      </w:r>
      <w:r>
        <w:rPr>
          <w:rFonts w:ascii="Times New Roman" w:hAnsi="Times New Roman" w:cs="Times New Roman"/>
          <w:sz w:val="24"/>
          <w:szCs w:val="24"/>
          <w:vertAlign w:val="subscript"/>
          <w:lang w:val="en-US"/>
        </w:rPr>
        <w:t>1</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-2.29X</w:t>
      </w:r>
      <w:r>
        <w:rPr>
          <w:rFonts w:ascii="Times New Roman" w:hAnsi="Times New Roman" w:cs="Times New Roman"/>
          <w:sz w:val="24"/>
          <w:szCs w:val="24"/>
          <w:vertAlign w:val="subscript"/>
          <w:lang w:val="en-US"/>
        </w:rPr>
        <w:t>1</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-7.33 X</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2</w:t>
      </w:r>
      <w:r>
        <w:rPr>
          <w:rFonts w:ascii="Times New Roman" w:hAnsi="Times New Roman" w:cs="Times New Roman"/>
          <w:sz w:val="24"/>
          <w:szCs w:val="24"/>
          <w:vertAlign w:val="superscript"/>
          <w:lang w:val="en-US"/>
        </w:rPr>
        <w:t>2</w:t>
      </w:r>
    </w:p>
    <w:p w14:paraId="49D0AC28"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 xml:space="preserve">The correlation coefficient between the response Y2 and all the runs F1-F16 was 0.9987, indicating a </w:t>
      </w:r>
      <w:r>
        <w:rPr>
          <w:rFonts w:ascii="Times New Roman" w:hAnsi="Times New Roman" w:cs="Times New Roman"/>
          <w:sz w:val="24"/>
          <w:szCs w:val="24"/>
        </w:rPr>
        <w:t>strong relationship. The p-value for the variables is highly significant, with a value less than 0.0001. This suggests that each of the three factors, X1, X2, and X3, has a substantial influence on the response Y2. The impact of these factors on the respon</w:t>
      </w:r>
      <w:r>
        <w:rPr>
          <w:rFonts w:ascii="Times New Roman" w:hAnsi="Times New Roman" w:cs="Times New Roman"/>
          <w:sz w:val="24"/>
          <w:szCs w:val="24"/>
        </w:rPr>
        <w:t>se is visually evident in (Fig 5).</w:t>
      </w:r>
    </w:p>
    <w:p w14:paraId="65695DE2" w14:textId="77777777" w:rsidR="009D162F" w:rsidRDefault="006E6378">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500608C" wp14:editId="2A84DA3D">
            <wp:extent cx="4363085" cy="3081655"/>
            <wp:effectExtent l="0" t="0" r="10795" b="12065"/>
            <wp:docPr id="50" name="Picture 23"/>
            <wp:cNvGraphicFramePr/>
            <a:graphic xmlns:a="http://schemas.openxmlformats.org/drawingml/2006/main">
              <a:graphicData uri="http://schemas.openxmlformats.org/drawingml/2006/picture">
                <pic:pic xmlns:pic="http://schemas.openxmlformats.org/drawingml/2006/picture">
                  <pic:nvPicPr>
                    <pic:cNvPr id="50" name="Picture 23"/>
                    <pic:cNvPicPr/>
                  </pic:nvPicPr>
                  <pic:blipFill>
                    <a:blip r:embed="rId11" cstate="print"/>
                    <a:srcRect/>
                    <a:stretch>
                      <a:fillRect/>
                    </a:stretch>
                  </pic:blipFill>
                  <pic:spPr>
                    <a:xfrm>
                      <a:off x="0" y="0"/>
                      <a:ext cx="4363113" cy="3082124"/>
                    </a:xfrm>
                    <a:prstGeom prst="rect">
                      <a:avLst/>
                    </a:prstGeom>
                    <a:noFill/>
                    <a:ln w="9525">
                      <a:noFill/>
                      <a:miter lim="800000"/>
                      <a:headEnd/>
                      <a:tailEnd/>
                    </a:ln>
                  </pic:spPr>
                </pic:pic>
              </a:graphicData>
            </a:graphic>
          </wp:inline>
        </w:drawing>
      </w:r>
    </w:p>
    <w:p w14:paraId="3BA17694" w14:textId="77777777" w:rsidR="009D162F" w:rsidRDefault="006E6378">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bCs/>
          <w:color w:val="000000" w:themeColor="text1"/>
          <w:sz w:val="24"/>
          <w:szCs w:val="24"/>
          <w:lang w:val="pt-BR"/>
        </w:rPr>
        <w:t>Fig.5</w:t>
      </w:r>
      <w:r>
        <w:rPr>
          <w:rFonts w:ascii="Times New Roman" w:hAnsi="Times New Roman" w:cs="Times New Roman"/>
          <w:bCs/>
          <w:color w:val="000000" w:themeColor="text1"/>
          <w:sz w:val="24"/>
          <w:szCs w:val="24"/>
          <w:lang w:val="en-US"/>
        </w:rPr>
        <w:t>Cubic plot for the response Y2</w:t>
      </w:r>
    </w:p>
    <w:p w14:paraId="3C4EE335"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 xml:space="preserve">GMO, a lipid with both polar and amphiphilic properties, has the ability to independently form </w:t>
      </w:r>
      <w:proofErr w:type="spellStart"/>
      <w:r>
        <w:rPr>
          <w:rFonts w:ascii="Times New Roman" w:hAnsi="Times New Roman" w:cs="Times New Roman"/>
          <w:sz w:val="24"/>
          <w:szCs w:val="24"/>
        </w:rPr>
        <w:t>bicontinuous</w:t>
      </w:r>
      <w:proofErr w:type="spellEnd"/>
      <w:r>
        <w:rPr>
          <w:rFonts w:ascii="Times New Roman" w:hAnsi="Times New Roman" w:cs="Times New Roman"/>
          <w:sz w:val="24"/>
          <w:szCs w:val="24"/>
        </w:rPr>
        <w:t xml:space="preserve"> cubic structures in an aqueous environment. This resulting cubic structure </w:t>
      </w:r>
      <w:r>
        <w:rPr>
          <w:rFonts w:ascii="Times New Roman" w:hAnsi="Times New Roman" w:cs="Times New Roman"/>
          <w:sz w:val="24"/>
          <w:szCs w:val="24"/>
        </w:rPr>
        <w:t>exhibits a strong capacity to encase various drugs with differing molecular weights and polarities. The percentage of poloxamer had a significant influence on the encapsulation efficiency (EE%). The non-ionic triblock copolymer, poloxamer, possesses an HLB</w:t>
      </w:r>
      <w:r>
        <w:rPr>
          <w:rFonts w:ascii="Times New Roman" w:hAnsi="Times New Roman" w:cs="Times New Roman"/>
          <w:sz w:val="24"/>
          <w:szCs w:val="24"/>
        </w:rPr>
        <w:t xml:space="preserve"> value of 22. In this particular design, </w:t>
      </w:r>
      <w:proofErr w:type="spellStart"/>
      <w:r>
        <w:rPr>
          <w:rFonts w:ascii="Times New Roman" w:hAnsi="Times New Roman" w:cs="Times New Roman"/>
          <w:sz w:val="24"/>
          <w:szCs w:val="24"/>
        </w:rPr>
        <w:t>poloxamerfulfils</w:t>
      </w:r>
      <w:proofErr w:type="spellEnd"/>
      <w:r>
        <w:rPr>
          <w:rFonts w:ascii="Times New Roman" w:hAnsi="Times New Roman" w:cs="Times New Roman"/>
          <w:sz w:val="24"/>
          <w:szCs w:val="24"/>
        </w:rPr>
        <w:t xml:space="preserve"> multiple roles, such as facilitating drug solubilization, providing stability to the </w:t>
      </w:r>
      <w:proofErr w:type="spellStart"/>
      <w:r>
        <w:rPr>
          <w:rFonts w:ascii="Times New Roman" w:hAnsi="Times New Roman" w:cs="Times New Roman"/>
          <w:sz w:val="24"/>
          <w:szCs w:val="24"/>
        </w:rPr>
        <w:t>cubosomes</w:t>
      </w:r>
      <w:proofErr w:type="spellEnd"/>
      <w:r>
        <w:rPr>
          <w:rFonts w:ascii="Times New Roman" w:hAnsi="Times New Roman" w:cs="Times New Roman"/>
          <w:sz w:val="24"/>
          <w:szCs w:val="24"/>
        </w:rPr>
        <w:t xml:space="preserve">, and acting as a gelling agent. Poloxamer can enhance the water solubility of poorly soluble drugs and </w:t>
      </w:r>
      <w:r>
        <w:rPr>
          <w:rFonts w:ascii="Times New Roman" w:hAnsi="Times New Roman" w:cs="Times New Roman"/>
          <w:sz w:val="24"/>
          <w:szCs w:val="24"/>
        </w:rPr>
        <w:t xml:space="preserve">promote the entrapment of drugs within the water channels of </w:t>
      </w:r>
      <w:proofErr w:type="spellStart"/>
      <w:r>
        <w:rPr>
          <w:rFonts w:ascii="Times New Roman" w:hAnsi="Times New Roman" w:cs="Times New Roman"/>
          <w:sz w:val="24"/>
          <w:szCs w:val="24"/>
        </w:rPr>
        <w:t>cubosomes</w:t>
      </w:r>
      <w:proofErr w:type="spellEnd"/>
      <w:r>
        <w:rPr>
          <w:rFonts w:ascii="Times New Roman" w:hAnsi="Times New Roman" w:cs="Times New Roman"/>
          <w:sz w:val="24"/>
          <w:szCs w:val="24"/>
        </w:rPr>
        <w:t xml:space="preserve">. Moreover, it can also serve to stabilize drug-containing </w:t>
      </w:r>
      <w:proofErr w:type="spellStart"/>
      <w:r>
        <w:rPr>
          <w:rFonts w:ascii="Times New Roman" w:hAnsi="Times New Roman" w:cs="Times New Roman"/>
          <w:sz w:val="24"/>
          <w:szCs w:val="24"/>
        </w:rPr>
        <w:t>cubosomes</w:t>
      </w:r>
      <w:proofErr w:type="spellEnd"/>
      <w:r>
        <w:rPr>
          <w:rFonts w:ascii="Times New Roman" w:hAnsi="Times New Roman" w:cs="Times New Roman"/>
          <w:sz w:val="24"/>
          <w:szCs w:val="24"/>
        </w:rPr>
        <w:t xml:space="preserve"> by forming a protective coating around them, potentially preventing the release of excessive energy.</w:t>
      </w:r>
      <w:r>
        <w:rPr>
          <w:rFonts w:ascii="Times New Roman" w:hAnsi="Times New Roman" w:cs="Times New Roman"/>
          <w:bCs/>
          <w:vanish/>
          <w:color w:val="000000" w:themeColor="text1"/>
          <w:sz w:val="24"/>
          <w:szCs w:val="24"/>
        </w:rPr>
        <w:t>Top of Form</w:t>
      </w:r>
    </w:p>
    <w:p w14:paraId="396F411F" w14:textId="77777777" w:rsidR="009D162F" w:rsidRDefault="006E6378">
      <w:pPr>
        <w:jc w:val="both"/>
        <w:rPr>
          <w:rFonts w:ascii="Times New Roman" w:hAnsi="Times New Roman" w:cs="Times New Roman"/>
          <w:b/>
          <w:sz w:val="24"/>
          <w:szCs w:val="24"/>
        </w:rPr>
      </w:pPr>
      <w:r>
        <w:rPr>
          <w:rFonts w:ascii="Times New Roman" w:hAnsi="Times New Roman" w:cs="Times New Roman"/>
          <w:b/>
          <w:i/>
          <w:sz w:val="24"/>
          <w:szCs w:val="24"/>
        </w:rPr>
        <w:t>In-vitro</w:t>
      </w:r>
      <w:r>
        <w:rPr>
          <w:rFonts w:ascii="Times New Roman" w:hAnsi="Times New Roman" w:cs="Times New Roman"/>
          <w:b/>
          <w:sz w:val="24"/>
          <w:szCs w:val="24"/>
        </w:rPr>
        <w:t xml:space="preserve"> drug release and T</w:t>
      </w:r>
      <w:r>
        <w:rPr>
          <w:rFonts w:ascii="Times New Roman" w:hAnsi="Times New Roman" w:cs="Times New Roman"/>
          <w:b/>
          <w:sz w:val="24"/>
          <w:szCs w:val="24"/>
          <w:vertAlign w:val="subscript"/>
        </w:rPr>
        <w:t>50%</w:t>
      </w:r>
      <w:r>
        <w:rPr>
          <w:rFonts w:ascii="Times New Roman" w:hAnsi="Times New Roman" w:cs="Times New Roman"/>
          <w:b/>
          <w:sz w:val="24"/>
          <w:szCs w:val="24"/>
        </w:rPr>
        <w:t>:</w:t>
      </w:r>
    </w:p>
    <w:p w14:paraId="7C220612" w14:textId="77777777" w:rsidR="009D162F" w:rsidRDefault="006E637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The duration required for the drug concentration to decrease to 50% is referred to as </w:t>
      </w:r>
      <w:r>
        <w:rPr>
          <w:rFonts w:ascii="Times New Roman" w:hAnsi="Times New Roman" w:cs="Times New Roman"/>
          <w:bCs/>
          <w:color w:val="FF0000"/>
          <w:sz w:val="24"/>
          <w:szCs w:val="24"/>
        </w:rPr>
        <w:t>t</w:t>
      </w:r>
      <w:r>
        <w:rPr>
          <w:rFonts w:ascii="Times New Roman" w:hAnsi="Times New Roman" w:cs="Times New Roman"/>
          <w:bCs/>
          <w:color w:val="FF0000"/>
          <w:sz w:val="24"/>
          <w:szCs w:val="24"/>
          <w:vertAlign w:val="subscript"/>
        </w:rPr>
        <w:t>50</w:t>
      </w:r>
      <w:r>
        <w:rPr>
          <w:rFonts w:ascii="Times New Roman" w:hAnsi="Times New Roman" w:cs="Times New Roman"/>
          <w:bCs/>
          <w:color w:val="000000" w:themeColor="text1"/>
          <w:sz w:val="24"/>
          <w:szCs w:val="24"/>
          <w:vertAlign w:val="subscript"/>
        </w:rPr>
        <w:t>%</w:t>
      </w:r>
      <w:r>
        <w:rPr>
          <w:rFonts w:ascii="Times New Roman" w:hAnsi="Times New Roman" w:cs="Times New Roman"/>
          <w:bCs/>
          <w:color w:val="000000" w:themeColor="text1"/>
          <w:sz w:val="24"/>
          <w:szCs w:val="24"/>
        </w:rPr>
        <w:t>. The results of the multiple regression analysis for response Y3 indicated that all the coefficients β1, β2, and β3 displayed positiv</w:t>
      </w:r>
      <w:r>
        <w:rPr>
          <w:rFonts w:ascii="Times New Roman" w:hAnsi="Times New Roman" w:cs="Times New Roman"/>
          <w:bCs/>
          <w:color w:val="000000" w:themeColor="text1"/>
          <w:sz w:val="24"/>
          <w:szCs w:val="24"/>
        </w:rPr>
        <w:t>e values. The equation below represents the derived formula for response Y3 in relation to the transformation factor.</w:t>
      </w:r>
    </w:p>
    <w:p w14:paraId="404FC924"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Y3=</w:t>
      </w:r>
      <w:r>
        <w:rPr>
          <w:rFonts w:ascii="Times New Roman" w:hAnsi="Times New Roman" w:cs="Times New Roman"/>
          <w:sz w:val="24"/>
          <w:szCs w:val="24"/>
          <w:lang w:val="en-US"/>
        </w:rPr>
        <w:t>5.94+1.49 X</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+1.78 X</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+1.64 X</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+0.25X</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+1.88X</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-2.25X</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-0.85X</w:t>
      </w:r>
      <w:r>
        <w:rPr>
          <w:rFonts w:ascii="Times New Roman" w:hAnsi="Times New Roman" w:cs="Times New Roman"/>
          <w:sz w:val="24"/>
          <w:szCs w:val="24"/>
          <w:vertAlign w:val="subscript"/>
          <w:lang w:val="en-US"/>
        </w:rPr>
        <w:t>1</w:t>
      </w:r>
      <w:r>
        <w:rPr>
          <w:rFonts w:ascii="Times New Roman" w:hAnsi="Times New Roman" w:cs="Times New Roman"/>
          <w:sz w:val="24"/>
          <w:szCs w:val="24"/>
          <w:vertAlign w:val="superscript"/>
          <w:lang w:val="en-US"/>
        </w:rPr>
        <w:t xml:space="preserve">2 </w:t>
      </w:r>
      <w:r>
        <w:rPr>
          <w:rFonts w:ascii="Times New Roman" w:hAnsi="Times New Roman" w:cs="Times New Roman"/>
          <w:sz w:val="24"/>
          <w:szCs w:val="24"/>
          <w:lang w:val="en-US"/>
        </w:rPr>
        <w:t>-0.67 X</w:t>
      </w:r>
      <w:r>
        <w:rPr>
          <w:rFonts w:ascii="Times New Roman" w:hAnsi="Times New Roman" w:cs="Times New Roman"/>
          <w:sz w:val="24"/>
          <w:szCs w:val="24"/>
          <w:vertAlign w:val="subscript"/>
          <w:lang w:val="en-US"/>
        </w:rPr>
        <w:t>2</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-0.76X</w:t>
      </w:r>
      <w:r>
        <w:rPr>
          <w:rFonts w:ascii="Times New Roman" w:hAnsi="Times New Roman" w:cs="Times New Roman"/>
          <w:sz w:val="24"/>
          <w:szCs w:val="24"/>
          <w:vertAlign w:val="subscript"/>
          <w:lang w:val="en-US"/>
        </w:rPr>
        <w:t>3</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–2.50X</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-1.78X</w:t>
      </w:r>
      <w:r>
        <w:rPr>
          <w:rFonts w:ascii="Times New Roman" w:hAnsi="Times New Roman" w:cs="Times New Roman"/>
          <w:sz w:val="24"/>
          <w:szCs w:val="24"/>
          <w:vertAlign w:val="subscript"/>
          <w:lang w:val="en-US"/>
        </w:rPr>
        <w:t>1</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-3.76X</w:t>
      </w:r>
      <w:r>
        <w:rPr>
          <w:rFonts w:ascii="Times New Roman" w:hAnsi="Times New Roman" w:cs="Times New Roman"/>
          <w:sz w:val="24"/>
          <w:szCs w:val="24"/>
          <w:vertAlign w:val="subscript"/>
          <w:lang w:val="en-US"/>
        </w:rPr>
        <w:t>1</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-1.11 X</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2</w:t>
      </w:r>
      <w:r>
        <w:rPr>
          <w:rFonts w:ascii="Times New Roman" w:hAnsi="Times New Roman" w:cs="Times New Roman"/>
          <w:sz w:val="24"/>
          <w:szCs w:val="24"/>
          <w:vertAlign w:val="superscript"/>
          <w:lang w:val="en-US"/>
        </w:rPr>
        <w:t>2</w:t>
      </w:r>
    </w:p>
    <w:p w14:paraId="4FE4336F" w14:textId="77777777" w:rsidR="009D162F" w:rsidRDefault="006E637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correlation coefficient between the response variable Y3 and the runs F1-F16 was determined to be 0.9547. The P-value associated with the variables is 0.0053, indicating a significant influence of factors X1, X2, and X3 on the </w:t>
      </w:r>
      <w:r>
        <w:rPr>
          <w:rFonts w:ascii="Times New Roman" w:hAnsi="Times New Roman" w:cs="Times New Roman"/>
          <w:bCs/>
          <w:sz w:val="24"/>
          <w:szCs w:val="24"/>
        </w:rPr>
        <w:t>t</w:t>
      </w:r>
      <w:r>
        <w:rPr>
          <w:rFonts w:ascii="Times New Roman" w:hAnsi="Times New Roman" w:cs="Times New Roman"/>
          <w:bCs/>
          <w:sz w:val="24"/>
          <w:szCs w:val="24"/>
          <w:vertAlign w:val="subscript"/>
        </w:rPr>
        <w:t>50</w:t>
      </w:r>
      <w:r>
        <w:rPr>
          <w:rFonts w:ascii="Times New Roman" w:hAnsi="Times New Roman" w:cs="Times New Roman"/>
          <w:bCs/>
          <w:color w:val="000000" w:themeColor="text1"/>
          <w:sz w:val="24"/>
          <w:szCs w:val="24"/>
          <w:vertAlign w:val="subscript"/>
        </w:rPr>
        <w:t xml:space="preserve">% </w:t>
      </w:r>
      <w:r>
        <w:rPr>
          <w:rFonts w:ascii="Times New Roman" w:hAnsi="Times New Roman" w:cs="Times New Roman"/>
          <w:bCs/>
          <w:color w:val="000000" w:themeColor="text1"/>
          <w:sz w:val="24"/>
          <w:szCs w:val="24"/>
        </w:rPr>
        <w:t>parameter. Likewise,</w:t>
      </w:r>
      <w:r>
        <w:rPr>
          <w:rFonts w:ascii="Times New Roman" w:hAnsi="Times New Roman" w:cs="Times New Roman"/>
          <w:bCs/>
          <w:color w:val="000000" w:themeColor="text1"/>
          <w:sz w:val="24"/>
          <w:szCs w:val="24"/>
        </w:rPr>
        <w:t xml:space="preserve"> the drug release exhibits a parallel increase with higher concentrations of GMO, PF407, and EE. The cubic graphs depicted in (Fig.6) visually illustrate this connection.</w:t>
      </w:r>
    </w:p>
    <w:p w14:paraId="0095FC80" w14:textId="77777777" w:rsidR="009D162F" w:rsidRDefault="009D162F">
      <w:pPr>
        <w:jc w:val="both"/>
        <w:rPr>
          <w:rFonts w:ascii="Times New Roman" w:hAnsi="Times New Roman" w:cs="Times New Roman"/>
          <w:bCs/>
          <w:color w:val="000000" w:themeColor="text1"/>
          <w:sz w:val="24"/>
          <w:szCs w:val="24"/>
        </w:rPr>
      </w:pPr>
    </w:p>
    <w:p w14:paraId="15045F71" w14:textId="77777777" w:rsidR="009D162F" w:rsidRDefault="006E6378">
      <w:pPr>
        <w:autoSpaceDE w:val="0"/>
        <w:autoSpaceDN w:val="0"/>
        <w:adjustRightInd w:val="0"/>
        <w:spacing w:line="360" w:lineRule="auto"/>
        <w:jc w:val="center"/>
        <w:rPr>
          <w:rFonts w:ascii="Times New Roman" w:hAnsi="Times New Roman" w:cs="Times New Roman"/>
          <w:b/>
          <w:color w:val="000000" w:themeColor="text1"/>
          <w:sz w:val="24"/>
          <w:szCs w:val="24"/>
        </w:rPr>
      </w:pPr>
      <w:r>
        <w:rPr>
          <w:rFonts w:ascii="Times New Roman" w:hAnsi="Times New Roman" w:cs="Times New Roman"/>
          <w:bCs/>
          <w:noProof/>
          <w:color w:val="000000" w:themeColor="text1"/>
          <w:sz w:val="24"/>
          <w:szCs w:val="24"/>
        </w:rPr>
        <w:drawing>
          <wp:inline distT="0" distB="0" distL="0" distR="0" wp14:anchorId="45B527E8" wp14:editId="51C8CFA3">
            <wp:extent cx="4843145" cy="3201670"/>
            <wp:effectExtent l="0" t="0" r="3175" b="13970"/>
            <wp:docPr id="52" name="Picture 24"/>
            <wp:cNvGraphicFramePr/>
            <a:graphic xmlns:a="http://schemas.openxmlformats.org/drawingml/2006/main">
              <a:graphicData uri="http://schemas.openxmlformats.org/drawingml/2006/picture">
                <pic:pic xmlns:pic="http://schemas.openxmlformats.org/drawingml/2006/picture">
                  <pic:nvPicPr>
                    <pic:cNvPr id="52" name="Picture 24"/>
                    <pic:cNvPicPr/>
                  </pic:nvPicPr>
                  <pic:blipFill>
                    <a:blip r:embed="rId12" cstate="print"/>
                    <a:srcRect/>
                    <a:stretch>
                      <a:fillRect/>
                    </a:stretch>
                  </pic:blipFill>
                  <pic:spPr>
                    <a:xfrm>
                      <a:off x="0" y="0"/>
                      <a:ext cx="4880482" cy="3226114"/>
                    </a:xfrm>
                    <a:prstGeom prst="rect">
                      <a:avLst/>
                    </a:prstGeom>
                    <a:noFill/>
                    <a:ln w="9525">
                      <a:noFill/>
                      <a:miter lim="800000"/>
                      <a:headEnd/>
                      <a:tailEnd/>
                    </a:ln>
                  </pic:spPr>
                </pic:pic>
              </a:graphicData>
            </a:graphic>
          </wp:inline>
        </w:drawing>
      </w:r>
    </w:p>
    <w:p w14:paraId="63CE3A95" w14:textId="77777777" w:rsidR="009D162F" w:rsidRDefault="006E6378">
      <w:pPr>
        <w:autoSpaceDE w:val="0"/>
        <w:autoSpaceDN w:val="0"/>
        <w:adjustRightInd w:val="0"/>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Fig.6</w:t>
      </w:r>
      <w:r>
        <w:rPr>
          <w:rFonts w:ascii="Times New Roman" w:hAnsi="Times New Roman" w:cs="Times New Roman"/>
          <w:bCs/>
          <w:color w:val="000000" w:themeColor="text1"/>
          <w:sz w:val="24"/>
          <w:szCs w:val="24"/>
          <w:lang w:val="en-US"/>
        </w:rPr>
        <w:t>Cubic plot for the response Y3</w:t>
      </w:r>
    </w:p>
    <w:p w14:paraId="79AA44DF" w14:textId="77777777" w:rsidR="009D162F" w:rsidRDefault="006E6378">
      <w:pPr>
        <w:autoSpaceDE w:val="0"/>
        <w:autoSpaceDN w:val="0"/>
        <w:adjustRightInd w:val="0"/>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bCs/>
          <w:color w:val="000000" w:themeColor="text1"/>
          <w:sz w:val="24"/>
          <w:szCs w:val="24"/>
        </w:rPr>
        <w:t>(Fig.7)</w:t>
      </w:r>
      <w:r>
        <w:rPr>
          <w:rFonts w:ascii="Times New Roman" w:hAnsi="Times New Roman" w:cs="Times New Roman"/>
          <w:color w:val="000000" w:themeColor="text1"/>
          <w:sz w:val="24"/>
          <w:szCs w:val="24"/>
        </w:rPr>
        <w:t xml:space="preserve"> illustrates the release of NRG from various </w:t>
      </w:r>
      <w:proofErr w:type="spellStart"/>
      <w:r>
        <w:rPr>
          <w:rFonts w:ascii="Times New Roman" w:hAnsi="Times New Roman" w:cs="Times New Roman"/>
          <w:color w:val="000000" w:themeColor="text1"/>
          <w:sz w:val="24"/>
          <w:szCs w:val="24"/>
        </w:rPr>
        <w:t>cubosomal</w:t>
      </w:r>
      <w:proofErr w:type="spellEnd"/>
      <w:r>
        <w:rPr>
          <w:rFonts w:ascii="Times New Roman" w:hAnsi="Times New Roman" w:cs="Times New Roman"/>
          <w:color w:val="000000" w:themeColor="text1"/>
          <w:sz w:val="24"/>
          <w:szCs w:val="24"/>
        </w:rPr>
        <w:t xml:space="preserve"> formulations. These formulations clearly demonstrate that NRG </w:t>
      </w:r>
      <w:proofErr w:type="spellStart"/>
      <w:r>
        <w:rPr>
          <w:rFonts w:ascii="Times New Roman" w:hAnsi="Times New Roman" w:cs="Times New Roman"/>
          <w:color w:val="000000" w:themeColor="text1"/>
          <w:sz w:val="24"/>
          <w:szCs w:val="24"/>
        </w:rPr>
        <w:t>cubosomes</w:t>
      </w:r>
      <w:proofErr w:type="spellEnd"/>
      <w:r>
        <w:rPr>
          <w:rFonts w:ascii="Times New Roman" w:hAnsi="Times New Roman" w:cs="Times New Roman"/>
          <w:color w:val="000000" w:themeColor="text1"/>
          <w:sz w:val="24"/>
          <w:szCs w:val="24"/>
        </w:rPr>
        <w:t xml:space="preserve"> can provide a more extensive release of NRG with better-controlled characteristics. This enhanced release is attributed to the pr</w:t>
      </w:r>
      <w:r>
        <w:rPr>
          <w:rFonts w:ascii="Times New Roman" w:hAnsi="Times New Roman" w:cs="Times New Roman"/>
          <w:color w:val="000000" w:themeColor="text1"/>
          <w:sz w:val="24"/>
          <w:szCs w:val="24"/>
        </w:rPr>
        <w:t xml:space="preserve">esence of poloxamer on the </w:t>
      </w:r>
      <w:proofErr w:type="spellStart"/>
      <w:r>
        <w:rPr>
          <w:rFonts w:ascii="Times New Roman" w:hAnsi="Times New Roman" w:cs="Times New Roman"/>
          <w:color w:val="000000" w:themeColor="text1"/>
          <w:sz w:val="24"/>
          <w:szCs w:val="24"/>
        </w:rPr>
        <w:t>cubosomal</w:t>
      </w:r>
      <w:proofErr w:type="spellEnd"/>
      <w:r>
        <w:rPr>
          <w:rFonts w:ascii="Times New Roman" w:hAnsi="Times New Roman" w:cs="Times New Roman"/>
          <w:color w:val="000000" w:themeColor="text1"/>
          <w:sz w:val="24"/>
          <w:szCs w:val="24"/>
        </w:rPr>
        <w:t xml:space="preserve"> structure and the migration of the drug from the oil phase to the aqueous phase, resulting in a delayed and prolonged drug release. The amphiphilic copolymer PF407 acts as a pore-forming agent that enhances drug release</w:t>
      </w:r>
      <w:r>
        <w:rPr>
          <w:rFonts w:ascii="Times New Roman" w:hAnsi="Times New Roman" w:cs="Times New Roman"/>
          <w:color w:val="000000" w:themeColor="text1"/>
          <w:sz w:val="24"/>
          <w:szCs w:val="24"/>
        </w:rPr>
        <w:t>. In the drug release studies, which extended up to 12 hours, the NC5 and NC9 formulations exhibited an approximately 78% NRG release.</w:t>
      </w:r>
    </w:p>
    <w:p w14:paraId="56C86684" w14:textId="77777777" w:rsidR="009D162F" w:rsidRDefault="009D162F">
      <w:pPr>
        <w:jc w:val="both"/>
        <w:rPr>
          <w:rFonts w:ascii="Times New Roman" w:hAnsi="Times New Roman" w:cs="Times New Roman"/>
          <w:bCs/>
          <w:color w:val="000000" w:themeColor="text1"/>
          <w:sz w:val="24"/>
          <w:szCs w:val="24"/>
        </w:rPr>
      </w:pPr>
    </w:p>
    <w:p w14:paraId="6111B569" w14:textId="77777777" w:rsidR="009D162F" w:rsidRDefault="006E6378">
      <w:pPr>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drawing>
          <wp:inline distT="0" distB="0" distL="0" distR="0" wp14:anchorId="1FD290AF" wp14:editId="6C0555B3">
            <wp:extent cx="5731510" cy="3852545"/>
            <wp:effectExtent l="4445" t="4445" r="9525" b="1397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F6966B7" w14:textId="77777777" w:rsidR="009D162F" w:rsidRDefault="006E637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Fig.7</w:t>
      </w:r>
      <w:r>
        <w:rPr>
          <w:rFonts w:ascii="Times New Roman" w:hAnsi="Times New Roman" w:cs="Times New Roman"/>
          <w:color w:val="000000" w:themeColor="text1"/>
          <w:sz w:val="24"/>
          <w:szCs w:val="24"/>
        </w:rPr>
        <w:t xml:space="preserve">Drug release profile of NRG </w:t>
      </w:r>
      <w:proofErr w:type="spellStart"/>
      <w:r>
        <w:rPr>
          <w:rFonts w:ascii="Times New Roman" w:hAnsi="Times New Roman" w:cs="Times New Roman"/>
          <w:color w:val="000000" w:themeColor="text1"/>
          <w:sz w:val="24"/>
          <w:szCs w:val="24"/>
        </w:rPr>
        <w:t>Cubosomes</w:t>
      </w:r>
      <w:proofErr w:type="spellEnd"/>
      <w:r>
        <w:rPr>
          <w:rFonts w:ascii="Times New Roman" w:hAnsi="Times New Roman" w:cs="Times New Roman"/>
          <w:color w:val="000000" w:themeColor="text1"/>
          <w:sz w:val="24"/>
          <w:szCs w:val="24"/>
        </w:rPr>
        <w:t xml:space="preserve"> and pure drug</w:t>
      </w:r>
    </w:p>
    <w:p w14:paraId="09967810" w14:textId="77777777" w:rsidR="009D162F" w:rsidRDefault="006E6378">
      <w:pPr>
        <w:jc w:val="both"/>
        <w:rPr>
          <w:rFonts w:ascii="Times New Roman" w:hAnsi="Times New Roman" w:cs="Times New Roman"/>
          <w:b/>
          <w:sz w:val="24"/>
          <w:szCs w:val="24"/>
        </w:rPr>
      </w:pPr>
      <w:r>
        <w:rPr>
          <w:rFonts w:ascii="Times New Roman" w:hAnsi="Times New Roman" w:cs="Times New Roman"/>
          <w:b/>
          <w:sz w:val="24"/>
          <w:szCs w:val="24"/>
        </w:rPr>
        <w:t>Optimization:</w:t>
      </w:r>
    </w:p>
    <w:p w14:paraId="6C88C1C5" w14:textId="77777777" w:rsidR="009D162F" w:rsidRDefault="006E637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The desirability function played a pivotal role in advancing the formulation development process. In order to develop a formulation with the desired attributes, it was imperative to integrate the responses during the optimization of the formulation. The ke</w:t>
      </w:r>
      <w:r>
        <w:rPr>
          <w:rFonts w:ascii="Times New Roman" w:hAnsi="Times New Roman" w:cs="Times New Roman"/>
          <w:bCs/>
          <w:color w:val="000000" w:themeColor="text1"/>
          <w:sz w:val="24"/>
          <w:szCs w:val="24"/>
        </w:rPr>
        <w:t xml:space="preserve">y characteristics sought in an efficient </w:t>
      </w:r>
      <w:proofErr w:type="spellStart"/>
      <w:r>
        <w:rPr>
          <w:rFonts w:ascii="Times New Roman" w:hAnsi="Times New Roman" w:cs="Times New Roman"/>
          <w:bCs/>
          <w:color w:val="000000" w:themeColor="text1"/>
          <w:sz w:val="24"/>
          <w:szCs w:val="24"/>
        </w:rPr>
        <w:t>cubosomal</w:t>
      </w:r>
      <w:proofErr w:type="spellEnd"/>
      <w:r>
        <w:rPr>
          <w:rFonts w:ascii="Times New Roman" w:hAnsi="Times New Roman" w:cs="Times New Roman"/>
          <w:bCs/>
          <w:color w:val="000000" w:themeColor="text1"/>
          <w:sz w:val="24"/>
          <w:szCs w:val="24"/>
        </w:rPr>
        <w:t xml:space="preserve"> formulation encompassed particle size within the range of 100-500 nm, achieving the utmost entrapment efficiency, and minimizing the time required for 50% drug release (t</w:t>
      </w:r>
      <w:r>
        <w:rPr>
          <w:rFonts w:ascii="Times New Roman" w:hAnsi="Times New Roman" w:cs="Times New Roman"/>
          <w:bCs/>
          <w:color w:val="000000" w:themeColor="text1"/>
          <w:sz w:val="24"/>
          <w:szCs w:val="24"/>
          <w:vertAlign w:val="subscript"/>
        </w:rPr>
        <w:t>50%</w:t>
      </w:r>
      <w:r>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vertAlign w:val="subscript"/>
        </w:rPr>
        <w:t xml:space="preserve">. </w:t>
      </w:r>
      <w:r>
        <w:rPr>
          <w:rFonts w:ascii="Times New Roman" w:hAnsi="Times New Roman" w:cs="Times New Roman"/>
          <w:bCs/>
          <w:color w:val="000000" w:themeColor="text1"/>
          <w:sz w:val="24"/>
          <w:szCs w:val="24"/>
        </w:rPr>
        <w:t>The desirability function was</w:t>
      </w:r>
      <w:r>
        <w:rPr>
          <w:rFonts w:ascii="Times New Roman" w:hAnsi="Times New Roman" w:cs="Times New Roman"/>
          <w:bCs/>
          <w:color w:val="000000" w:themeColor="text1"/>
          <w:sz w:val="24"/>
          <w:szCs w:val="24"/>
        </w:rPr>
        <w:t xml:space="preserve"> employed to select the most favourable batch among the various </w:t>
      </w:r>
      <w:proofErr w:type="spellStart"/>
      <w:r>
        <w:rPr>
          <w:rFonts w:ascii="Times New Roman" w:hAnsi="Times New Roman" w:cs="Times New Roman"/>
          <w:bCs/>
          <w:color w:val="000000" w:themeColor="text1"/>
          <w:sz w:val="24"/>
          <w:szCs w:val="24"/>
        </w:rPr>
        <w:t>cubosomal</w:t>
      </w:r>
      <w:proofErr w:type="spellEnd"/>
      <w:r>
        <w:rPr>
          <w:rFonts w:ascii="Times New Roman" w:hAnsi="Times New Roman" w:cs="Times New Roman"/>
          <w:bCs/>
          <w:color w:val="000000" w:themeColor="text1"/>
          <w:sz w:val="24"/>
          <w:szCs w:val="24"/>
        </w:rPr>
        <w:t xml:space="preserve"> formulations. Remarkably, the formulation consists of 3.5% v/v oleic acid, 2.5% v/v glycerol, and 2.5% v/v poloxamer 407 exhibited the highest overall desirability score of 1.0. Cons</w:t>
      </w:r>
      <w:r>
        <w:rPr>
          <w:rFonts w:ascii="Times New Roman" w:hAnsi="Times New Roman" w:cs="Times New Roman"/>
          <w:bCs/>
          <w:color w:val="000000" w:themeColor="text1"/>
          <w:sz w:val="24"/>
          <w:szCs w:val="24"/>
        </w:rPr>
        <w:t xml:space="preserve">equently, the values of the independent variables in this particular batch were considered the optimal parameters for developing NRG </w:t>
      </w:r>
      <w:proofErr w:type="spellStart"/>
      <w:r>
        <w:rPr>
          <w:rFonts w:ascii="Times New Roman" w:hAnsi="Times New Roman" w:cs="Times New Roman"/>
          <w:bCs/>
          <w:color w:val="000000" w:themeColor="text1"/>
          <w:sz w:val="24"/>
          <w:szCs w:val="24"/>
        </w:rPr>
        <w:t>cubosomes</w:t>
      </w:r>
      <w:proofErr w:type="spellEnd"/>
      <w:r>
        <w:rPr>
          <w:rFonts w:ascii="Times New Roman" w:hAnsi="Times New Roman" w:cs="Times New Roman"/>
          <w:bCs/>
          <w:color w:val="000000" w:themeColor="text1"/>
          <w:sz w:val="24"/>
          <w:szCs w:val="24"/>
        </w:rPr>
        <w:t>, rendering it the ultimate choice among all batches. Subsequently, the ideal formulation was devised, and it beca</w:t>
      </w:r>
      <w:r>
        <w:rPr>
          <w:rFonts w:ascii="Times New Roman" w:hAnsi="Times New Roman" w:cs="Times New Roman"/>
          <w:bCs/>
          <w:color w:val="000000" w:themeColor="text1"/>
          <w:sz w:val="24"/>
          <w:szCs w:val="24"/>
        </w:rPr>
        <w:t>me evident that there was generally strong agreement between the predicted and observed values in each instance, as indicated by the low relative error values. This validation underscored the model's viability and confirmed the functionality of the reduced</w:t>
      </w:r>
      <w:r>
        <w:rPr>
          <w:rFonts w:ascii="Times New Roman" w:hAnsi="Times New Roman" w:cs="Times New Roman"/>
          <w:bCs/>
          <w:color w:val="000000" w:themeColor="text1"/>
          <w:sz w:val="24"/>
          <w:szCs w:val="24"/>
        </w:rPr>
        <w:t xml:space="preserve"> polynomial equation. Furthermore, it solidified the understanding of how oleic acid, glycerol, and poloxamer 407 influenced the dependent variables in the formulation.</w:t>
      </w:r>
    </w:p>
    <w:p w14:paraId="557E991A" w14:textId="77777777" w:rsidR="009D162F" w:rsidRDefault="006E6378">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Shape analysis</w:t>
      </w:r>
    </w:p>
    <w:p w14:paraId="74C46211" w14:textId="77777777" w:rsidR="009D162F" w:rsidRDefault="006E6378">
      <w:pPr>
        <w:jc w:val="both"/>
        <w:rPr>
          <w:rFonts w:ascii="Times New Roman" w:hAnsi="Times New Roman" w:cs="Times New Roman"/>
          <w:bCs/>
          <w:vanish/>
          <w:color w:val="000000" w:themeColor="text1"/>
          <w:sz w:val="24"/>
          <w:szCs w:val="24"/>
        </w:rPr>
      </w:pPr>
      <w:r>
        <w:rPr>
          <w:rFonts w:ascii="Times New Roman" w:hAnsi="Times New Roman" w:cs="Times New Roman"/>
          <w:bCs/>
          <w:color w:val="000000" w:themeColor="text1"/>
          <w:sz w:val="24"/>
          <w:szCs w:val="24"/>
        </w:rPr>
        <w:lastRenderedPageBreak/>
        <w:t>Phase contrast and TEM techniques were employed to assess the morphology</w:t>
      </w:r>
      <w:r>
        <w:rPr>
          <w:rFonts w:ascii="Times New Roman" w:hAnsi="Times New Roman" w:cs="Times New Roman"/>
          <w:bCs/>
          <w:color w:val="000000" w:themeColor="text1"/>
          <w:sz w:val="24"/>
          <w:szCs w:val="24"/>
        </w:rPr>
        <w:t xml:space="preserve"> of optimized </w:t>
      </w:r>
      <w:proofErr w:type="spellStart"/>
      <w:r>
        <w:rPr>
          <w:rFonts w:ascii="Times New Roman" w:hAnsi="Times New Roman" w:cs="Times New Roman"/>
          <w:bCs/>
          <w:color w:val="000000" w:themeColor="text1"/>
          <w:sz w:val="24"/>
          <w:szCs w:val="24"/>
        </w:rPr>
        <w:t>cubosomes</w:t>
      </w:r>
      <w:proofErr w:type="spellEnd"/>
      <w:r>
        <w:rPr>
          <w:rFonts w:ascii="Times New Roman" w:hAnsi="Times New Roman" w:cs="Times New Roman"/>
          <w:bCs/>
          <w:color w:val="000000" w:themeColor="text1"/>
          <w:sz w:val="24"/>
          <w:szCs w:val="24"/>
        </w:rPr>
        <w:t>. In both (Fig.8, a, b) the morphology appears to range from cubic to spherical. However, upon drug loading, a noticeable change in both shape and texture becomes evident. Large-diameter particles exhibit uneven or irregular forms, w</w:t>
      </w:r>
      <w:r>
        <w:rPr>
          <w:rFonts w:ascii="Times New Roman" w:hAnsi="Times New Roman" w:cs="Times New Roman"/>
          <w:bCs/>
          <w:color w:val="000000" w:themeColor="text1"/>
          <w:sz w:val="24"/>
          <w:szCs w:val="24"/>
        </w:rPr>
        <w:t xml:space="preserve">hereas smaller diameter particles (less than 100nm) maintain a structure </w:t>
      </w:r>
      <w:proofErr w:type="gramStart"/>
      <w:r>
        <w:rPr>
          <w:rFonts w:ascii="Times New Roman" w:hAnsi="Times New Roman" w:cs="Times New Roman"/>
          <w:bCs/>
          <w:color w:val="000000" w:themeColor="text1"/>
          <w:sz w:val="24"/>
          <w:szCs w:val="24"/>
        </w:rPr>
        <w:t>somewhat resembling cubic shapes</w:t>
      </w:r>
      <w:proofErr w:type="gramEnd"/>
      <w:r>
        <w:rPr>
          <w:rFonts w:ascii="Times New Roman" w:hAnsi="Times New Roman" w:cs="Times New Roman"/>
          <w:bCs/>
          <w:color w:val="000000" w:themeColor="text1"/>
          <w:sz w:val="24"/>
          <w:szCs w:val="24"/>
        </w:rPr>
        <w:t>. This preference for NRG, a hydrophobic drug, is to partition into the hydrophobic domain of the cubic phase. At low concentrations, the drug's molecu</w:t>
      </w:r>
      <w:r>
        <w:rPr>
          <w:rFonts w:ascii="Times New Roman" w:hAnsi="Times New Roman" w:cs="Times New Roman"/>
          <w:bCs/>
          <w:color w:val="000000" w:themeColor="text1"/>
          <w:sz w:val="24"/>
          <w:szCs w:val="24"/>
        </w:rPr>
        <w:t>le is believed to have a minimal impact on the lipid bilayer. As the drug dosage increases, the capacity for drug loading rises, and the molecule transitions from its normal cubic structure to a more spherical one. In (Fig.8 (b)), the particles display irr</w:t>
      </w:r>
      <w:r>
        <w:rPr>
          <w:rFonts w:ascii="Times New Roman" w:hAnsi="Times New Roman" w:cs="Times New Roman"/>
          <w:bCs/>
          <w:color w:val="000000" w:themeColor="text1"/>
          <w:sz w:val="24"/>
          <w:szCs w:val="24"/>
        </w:rPr>
        <w:t>egular structural boundaries and nearly spherical shapes without aggregation.</w:t>
      </w:r>
      <w:r>
        <w:rPr>
          <w:rFonts w:ascii="Times New Roman" w:hAnsi="Times New Roman" w:cs="Times New Roman"/>
          <w:bCs/>
          <w:vanish/>
          <w:color w:val="000000" w:themeColor="text1"/>
          <w:sz w:val="24"/>
          <w:szCs w:val="24"/>
        </w:rPr>
        <w:t>Top of Form</w:t>
      </w:r>
    </w:p>
    <w:p w14:paraId="2CF32E66" w14:textId="77777777" w:rsidR="009D162F" w:rsidRDefault="009D162F">
      <w:pPr>
        <w:jc w:val="both"/>
        <w:rPr>
          <w:rFonts w:ascii="Times New Roman" w:hAnsi="Times New Roman" w:cs="Times New Roman"/>
          <w:bCs/>
          <w:color w:val="000000" w:themeColor="text1"/>
          <w:sz w:val="24"/>
          <w:szCs w:val="24"/>
        </w:rPr>
      </w:pPr>
    </w:p>
    <w:p w14:paraId="0847BB3A" w14:textId="77777777" w:rsidR="009D162F" w:rsidRDefault="006E6378">
      <w:pPr>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drawing>
          <wp:inline distT="0" distB="0" distL="0" distR="0" wp14:anchorId="23B5A2D9" wp14:editId="0A352B30">
            <wp:extent cx="5731510" cy="2425065"/>
            <wp:effectExtent l="0" t="0" r="13970" b="13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srcRect/>
                    <a:stretch>
                      <a:fillRect/>
                    </a:stretch>
                  </pic:blipFill>
                  <pic:spPr>
                    <a:xfrm>
                      <a:off x="0" y="0"/>
                      <a:ext cx="5731510" cy="2425551"/>
                    </a:xfrm>
                    <a:prstGeom prst="rect">
                      <a:avLst/>
                    </a:prstGeom>
                    <a:noFill/>
                    <a:ln w="9525">
                      <a:noFill/>
                      <a:miter lim="800000"/>
                      <a:headEnd/>
                      <a:tailEnd/>
                    </a:ln>
                  </pic:spPr>
                </pic:pic>
              </a:graphicData>
            </a:graphic>
          </wp:inline>
        </w:drawing>
      </w:r>
    </w:p>
    <w:p w14:paraId="42E64E14" w14:textId="77777777" w:rsidR="009D162F" w:rsidRDefault="006E6378">
      <w:pPr>
        <w:jc w:val="both"/>
        <w:rPr>
          <w:rFonts w:ascii="Times New Roman" w:hAnsi="Times New Roman" w:cs="Times New Roman"/>
          <w:b/>
          <w:sz w:val="24"/>
          <w:szCs w:val="24"/>
        </w:rPr>
      </w:pPr>
      <w:r>
        <w:rPr>
          <w:rFonts w:ascii="Times New Roman" w:hAnsi="Times New Roman" w:cs="Times New Roman"/>
          <w:b/>
          <w:bCs/>
          <w:color w:val="000000" w:themeColor="text1"/>
          <w:sz w:val="24"/>
          <w:szCs w:val="24"/>
        </w:rPr>
        <w:t>Fig.8</w:t>
      </w:r>
      <w:r>
        <w:rPr>
          <w:rFonts w:ascii="Times New Roman" w:hAnsi="Times New Roman" w:cs="Times New Roman"/>
          <w:color w:val="000000" w:themeColor="text1"/>
          <w:sz w:val="24"/>
          <w:szCs w:val="24"/>
        </w:rPr>
        <w:t xml:space="preserve">a) Phase contrast image of NRG </w:t>
      </w:r>
      <w:proofErr w:type="spellStart"/>
      <w:r>
        <w:rPr>
          <w:rFonts w:ascii="Times New Roman" w:hAnsi="Times New Roman" w:cs="Times New Roman"/>
          <w:color w:val="000000" w:themeColor="text1"/>
          <w:sz w:val="24"/>
          <w:szCs w:val="24"/>
        </w:rPr>
        <w:t>cubosomesb</w:t>
      </w:r>
      <w:proofErr w:type="spellEnd"/>
      <w:r>
        <w:rPr>
          <w:rFonts w:ascii="Times New Roman" w:hAnsi="Times New Roman" w:cs="Times New Roman"/>
          <w:color w:val="000000" w:themeColor="text1"/>
          <w:sz w:val="24"/>
          <w:szCs w:val="24"/>
        </w:rPr>
        <w:t xml:space="preserve">) TEM image of NRG </w:t>
      </w:r>
      <w:proofErr w:type="spellStart"/>
      <w:r>
        <w:rPr>
          <w:rFonts w:ascii="Times New Roman" w:hAnsi="Times New Roman" w:cs="Times New Roman"/>
          <w:color w:val="000000" w:themeColor="text1"/>
          <w:sz w:val="24"/>
          <w:szCs w:val="24"/>
        </w:rPr>
        <w:t>cubosomes</w:t>
      </w:r>
      <w:proofErr w:type="spellEnd"/>
    </w:p>
    <w:p w14:paraId="184E1CFA" w14:textId="77777777" w:rsidR="009D162F" w:rsidRDefault="006E6378">
      <w:pPr>
        <w:jc w:val="both"/>
        <w:rPr>
          <w:rFonts w:ascii="Times New Roman" w:hAnsi="Times New Roman" w:cs="Times New Roman"/>
          <w:b/>
          <w:sz w:val="24"/>
          <w:szCs w:val="24"/>
        </w:rPr>
      </w:pPr>
      <w:r>
        <w:rPr>
          <w:rFonts w:ascii="Times New Roman" w:hAnsi="Times New Roman" w:cs="Times New Roman"/>
          <w:b/>
          <w:sz w:val="24"/>
          <w:szCs w:val="24"/>
        </w:rPr>
        <w:t xml:space="preserve">Evaluation of homogeneity, clarity, pH, gelation time, gel strength, </w:t>
      </w:r>
      <w:proofErr w:type="spellStart"/>
      <w:r>
        <w:rPr>
          <w:rFonts w:ascii="Times New Roman" w:hAnsi="Times New Roman" w:cs="Times New Roman"/>
          <w:b/>
          <w:sz w:val="24"/>
          <w:szCs w:val="24"/>
        </w:rPr>
        <w:t>Spreadability</w:t>
      </w:r>
      <w:proofErr w:type="spellEnd"/>
      <w:r>
        <w:rPr>
          <w:rFonts w:ascii="Times New Roman" w:hAnsi="Times New Roman" w:cs="Times New Roman"/>
          <w:b/>
          <w:sz w:val="24"/>
          <w:szCs w:val="24"/>
        </w:rPr>
        <w:t xml:space="preserve">, viscosity and </w:t>
      </w:r>
      <w:r>
        <w:rPr>
          <w:rFonts w:ascii="Times New Roman" w:hAnsi="Times New Roman" w:cs="Times New Roman"/>
          <w:b/>
          <w:i/>
          <w:sz w:val="24"/>
          <w:szCs w:val="24"/>
        </w:rPr>
        <w:t>in-</w:t>
      </w:r>
      <w:proofErr w:type="spellStart"/>
      <w:r>
        <w:rPr>
          <w:rFonts w:ascii="Times New Roman" w:hAnsi="Times New Roman" w:cs="Times New Roman"/>
          <w:b/>
          <w:i/>
          <w:sz w:val="24"/>
          <w:szCs w:val="24"/>
        </w:rPr>
        <w:t>vitro</w:t>
      </w:r>
      <w:r>
        <w:rPr>
          <w:rFonts w:ascii="Times New Roman" w:hAnsi="Times New Roman" w:cs="Times New Roman"/>
          <w:b/>
          <w:sz w:val="24"/>
          <w:szCs w:val="24"/>
        </w:rPr>
        <w:t>mucoadhesive</w:t>
      </w:r>
      <w:proofErr w:type="spellEnd"/>
      <w:r>
        <w:rPr>
          <w:rFonts w:ascii="Times New Roman" w:hAnsi="Times New Roman" w:cs="Times New Roman"/>
          <w:b/>
          <w:sz w:val="24"/>
          <w:szCs w:val="24"/>
        </w:rPr>
        <w:t xml:space="preserve"> strength of NRG </w:t>
      </w:r>
      <w:proofErr w:type="spellStart"/>
      <w:r>
        <w:rPr>
          <w:rFonts w:ascii="Times New Roman" w:hAnsi="Times New Roman" w:cs="Times New Roman"/>
          <w:b/>
          <w:sz w:val="24"/>
          <w:szCs w:val="24"/>
        </w:rPr>
        <w:t>cubo</w:t>
      </w:r>
      <w:r>
        <w:rPr>
          <w:rFonts w:ascii="Times New Roman" w:hAnsi="Times New Roman" w:cs="Times New Roman"/>
          <w:b/>
          <w:i/>
          <w:sz w:val="24"/>
          <w:szCs w:val="24"/>
        </w:rPr>
        <w:t>in</w:t>
      </w:r>
      <w:proofErr w:type="spellEnd"/>
      <w:r>
        <w:rPr>
          <w:rFonts w:ascii="Times New Roman" w:hAnsi="Times New Roman" w:cs="Times New Roman"/>
          <w:b/>
          <w:i/>
          <w:sz w:val="24"/>
          <w:szCs w:val="24"/>
        </w:rPr>
        <w:t>-situ</w:t>
      </w:r>
      <w:r>
        <w:rPr>
          <w:rFonts w:ascii="Times New Roman" w:hAnsi="Times New Roman" w:cs="Times New Roman"/>
          <w:b/>
          <w:sz w:val="24"/>
          <w:szCs w:val="24"/>
        </w:rPr>
        <w:t xml:space="preserve"> gels </w:t>
      </w:r>
    </w:p>
    <w:p w14:paraId="07BA4FC8"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The (Table 4) provides a comprehensive overview of the physicochemical characteristics of the NCGs. Notably, these gels NCG1 and NCG2 exhibit no coalescence in their sol form, maintaine</w:t>
      </w:r>
      <w:r>
        <w:rPr>
          <w:rFonts w:ascii="Times New Roman" w:hAnsi="Times New Roman" w:cs="Times New Roman"/>
          <w:sz w:val="24"/>
          <w:szCs w:val="24"/>
        </w:rPr>
        <w:t>d their structural integrity. The pH levels of both NCG1 and NCG2 gels fall within the range of 5.9 to 6.2, which is ideal for nasal application, ensuring comfort and compatibility with nasal mucosa.  The gelation period for NCG1 is 9 seconds, while NCG2 t</w:t>
      </w:r>
      <w:r>
        <w:rPr>
          <w:rFonts w:ascii="Times New Roman" w:hAnsi="Times New Roman" w:cs="Times New Roman"/>
          <w:sz w:val="24"/>
          <w:szCs w:val="24"/>
        </w:rPr>
        <w:t>akes 12 seconds to achieve gelation. This variation in gelation time is attributed to the interaction between the gum content and nasal secretions, with a noticeable increase in gelation time as the LBG content increases. This aspect is particularly signif</w:t>
      </w:r>
      <w:r>
        <w:rPr>
          <w:rFonts w:ascii="Times New Roman" w:hAnsi="Times New Roman" w:cs="Times New Roman"/>
          <w:sz w:val="24"/>
          <w:szCs w:val="24"/>
        </w:rPr>
        <w:t xml:space="preserve">icant in the development of </w:t>
      </w:r>
      <w:r>
        <w:rPr>
          <w:rFonts w:ascii="Times New Roman" w:hAnsi="Times New Roman" w:cs="Times New Roman"/>
          <w:i/>
          <w:sz w:val="24"/>
          <w:szCs w:val="24"/>
        </w:rPr>
        <w:t>in-situ</w:t>
      </w:r>
      <w:r>
        <w:rPr>
          <w:rFonts w:ascii="Times New Roman" w:hAnsi="Times New Roman" w:cs="Times New Roman"/>
          <w:sz w:val="24"/>
          <w:szCs w:val="24"/>
        </w:rPr>
        <w:t xml:space="preserve"> nasal gels, as gel strength plays a pivotal role. Regarding gel strength, both NCG1 and NCG2 formulations demonstrate effective gel strength, enabling easy administration of droplets from their containers and extending t</w:t>
      </w:r>
      <w:r>
        <w:rPr>
          <w:rFonts w:ascii="Times New Roman" w:hAnsi="Times New Roman" w:cs="Times New Roman"/>
          <w:sz w:val="24"/>
          <w:szCs w:val="24"/>
        </w:rPr>
        <w:t xml:space="preserve">he post-nasal drip. NCG1 exhibits a gel strength of 8 seconds, while NCG2 has a gel strength of 9 seconds. Furthermore, the </w:t>
      </w:r>
      <w:proofErr w:type="spellStart"/>
      <w:r>
        <w:rPr>
          <w:rFonts w:ascii="Times New Roman" w:hAnsi="Times New Roman" w:cs="Times New Roman"/>
          <w:sz w:val="24"/>
          <w:szCs w:val="24"/>
        </w:rPr>
        <w:t>spreadability</w:t>
      </w:r>
      <w:proofErr w:type="spellEnd"/>
      <w:r>
        <w:rPr>
          <w:rFonts w:ascii="Times New Roman" w:hAnsi="Times New Roman" w:cs="Times New Roman"/>
          <w:sz w:val="24"/>
          <w:szCs w:val="24"/>
        </w:rPr>
        <w:t xml:space="preserve"> of both formulations, measuring at 18.75±7.92 for NCG1 and 23.80±6.64 for NCG2, is favourable and conducive to extendi</w:t>
      </w:r>
      <w:r>
        <w:rPr>
          <w:rFonts w:ascii="Times New Roman" w:hAnsi="Times New Roman" w:cs="Times New Roman"/>
          <w:sz w:val="24"/>
          <w:szCs w:val="24"/>
        </w:rPr>
        <w:t xml:space="preserve">ng the residence time. Viscosity was assessed in both the sol and gel states, revealing an increase in viscosity with higher gum </w:t>
      </w:r>
      <w:r>
        <w:rPr>
          <w:rFonts w:ascii="Times New Roman" w:hAnsi="Times New Roman" w:cs="Times New Roman"/>
          <w:sz w:val="24"/>
          <w:szCs w:val="24"/>
        </w:rPr>
        <w:lastRenderedPageBreak/>
        <w:t xml:space="preserve">concentrations in both states. In addition to these characteristics, both NCG1 and NCG2 display </w:t>
      </w:r>
      <w:r>
        <w:rPr>
          <w:rFonts w:ascii="Times New Roman" w:hAnsi="Times New Roman" w:cs="Times New Roman"/>
          <w:i/>
          <w:sz w:val="24"/>
          <w:szCs w:val="24"/>
        </w:rPr>
        <w:t xml:space="preserve">in-vitro </w:t>
      </w:r>
      <w:r>
        <w:rPr>
          <w:rFonts w:ascii="Times New Roman" w:hAnsi="Times New Roman" w:cs="Times New Roman"/>
          <w:sz w:val="24"/>
          <w:szCs w:val="24"/>
        </w:rPr>
        <w:t>mucoadhesive strengths</w:t>
      </w:r>
      <w:r>
        <w:rPr>
          <w:rFonts w:ascii="Times New Roman" w:hAnsi="Times New Roman" w:cs="Times New Roman"/>
          <w:sz w:val="24"/>
          <w:szCs w:val="24"/>
        </w:rPr>
        <w:t xml:space="preserve"> of 3538.8±8.59 and 2722.2±7.77 dynes/cm</w:t>
      </w:r>
      <w:r>
        <w:rPr>
          <w:rFonts w:ascii="Times New Roman" w:hAnsi="Times New Roman" w:cs="Times New Roman"/>
          <w:sz w:val="24"/>
          <w:szCs w:val="24"/>
          <w:vertAlign w:val="superscript"/>
        </w:rPr>
        <w:t>2</w:t>
      </w:r>
      <w:r>
        <w:rPr>
          <w:rFonts w:ascii="Times New Roman" w:hAnsi="Times New Roman" w:cs="Times New Roman"/>
          <w:sz w:val="24"/>
          <w:szCs w:val="24"/>
        </w:rPr>
        <w:t>, respectively. Notably, the mucoadhesive strength increases with higher gum concentrations, indicating the formulation's ability to adhere effectively to mucosal surfaces.</w:t>
      </w:r>
    </w:p>
    <w:p w14:paraId="11935E89" w14:textId="77777777" w:rsidR="009D162F" w:rsidRDefault="006E6378">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Table 4 </w:t>
      </w:r>
      <w:proofErr w:type="spellStart"/>
      <w:r>
        <w:rPr>
          <w:rFonts w:ascii="Times New Roman" w:hAnsi="Times New Roman" w:cs="Times New Roman"/>
          <w:bCs/>
          <w:color w:val="000000" w:themeColor="text1"/>
          <w:sz w:val="24"/>
          <w:szCs w:val="24"/>
        </w:rPr>
        <w:t>Pysicochemical</w:t>
      </w:r>
      <w:proofErr w:type="spellEnd"/>
      <w:r>
        <w:rPr>
          <w:rFonts w:ascii="Times New Roman" w:hAnsi="Times New Roman" w:cs="Times New Roman"/>
          <w:bCs/>
          <w:color w:val="000000" w:themeColor="text1"/>
          <w:sz w:val="24"/>
          <w:szCs w:val="24"/>
        </w:rPr>
        <w:t xml:space="preserve"> properties of NCGs</w:t>
      </w:r>
    </w:p>
    <w:p w14:paraId="5D9E6E0E" w14:textId="77777777" w:rsidR="009D162F" w:rsidRDefault="006E6378">
      <w:pPr>
        <w:spacing w:line="36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bidi="te-IN"/>
        </w:rPr>
        <w:t>(</w:t>
      </w:r>
      <w:proofErr w:type="spellStart"/>
      <w:r>
        <w:rPr>
          <w:rFonts w:ascii="Times New Roman" w:eastAsia="Times New Roman" w:hAnsi="Times New Roman" w:cs="Times New Roman"/>
          <w:color w:val="000000" w:themeColor="text1"/>
          <w:sz w:val="24"/>
          <w:szCs w:val="24"/>
          <w:lang w:bidi="te-IN"/>
        </w:rPr>
        <w:t>mean±SD</w:t>
      </w:r>
      <w:proofErr w:type="spellEnd"/>
      <w:r>
        <w:rPr>
          <w:rFonts w:ascii="Times New Roman" w:eastAsia="Times New Roman" w:hAnsi="Times New Roman" w:cs="Times New Roman"/>
          <w:color w:val="000000" w:themeColor="text1"/>
          <w:sz w:val="24"/>
          <w:szCs w:val="24"/>
          <w:lang w:bidi="te-IN"/>
        </w:rPr>
        <w:t>, n=3)</w:t>
      </w:r>
    </w:p>
    <w:tbl>
      <w:tblPr>
        <w:tblW w:w="5000" w:type="pct"/>
        <w:tblLook w:val="04A0" w:firstRow="1" w:lastRow="0" w:firstColumn="1" w:lastColumn="0" w:noHBand="0" w:noVBand="1"/>
      </w:tblPr>
      <w:tblGrid>
        <w:gridCol w:w="4694"/>
        <w:gridCol w:w="2274"/>
        <w:gridCol w:w="2274"/>
      </w:tblGrid>
      <w:tr w:rsidR="009D162F" w14:paraId="3524EC81" w14:textId="77777777">
        <w:trPr>
          <w:cantSplit/>
        </w:trPr>
        <w:tc>
          <w:tcPr>
            <w:tcW w:w="0" w:type="auto"/>
            <w:vMerge w:val="restart"/>
            <w:tcBorders>
              <w:top w:val="single" w:sz="4" w:space="0" w:color="auto"/>
            </w:tcBorders>
            <w:shd w:val="clear" w:color="000000" w:fill="FFFFFF"/>
            <w:vAlign w:val="center"/>
          </w:tcPr>
          <w:p w14:paraId="21F10972" w14:textId="77777777" w:rsidR="009D162F" w:rsidRDefault="006E6378">
            <w:pPr>
              <w:spacing w:before="100" w:after="100" w:line="288" w:lineRule="auto"/>
              <w:jc w:val="both"/>
              <w:rPr>
                <w:rFonts w:ascii="Times New Roman" w:eastAsia="Times New Roman" w:hAnsi="Times New Roman" w:cs="Times New Roman"/>
                <w:b/>
                <w:bCs/>
                <w:color w:val="000000"/>
                <w:sz w:val="24"/>
                <w:szCs w:val="24"/>
                <w:lang w:val="en-US" w:bidi="te-IN"/>
              </w:rPr>
            </w:pPr>
            <w:r>
              <w:rPr>
                <w:rFonts w:ascii="Times New Roman" w:eastAsia="Times New Roman" w:hAnsi="Times New Roman" w:cs="Times New Roman"/>
                <w:b/>
                <w:bCs/>
                <w:color w:val="000000" w:themeColor="text1"/>
                <w:sz w:val="24"/>
                <w:szCs w:val="24"/>
                <w:lang w:bidi="te-IN"/>
              </w:rPr>
              <w:t>Evaluation Parameter</w:t>
            </w:r>
          </w:p>
        </w:tc>
        <w:tc>
          <w:tcPr>
            <w:tcW w:w="0" w:type="auto"/>
            <w:gridSpan w:val="2"/>
            <w:tcBorders>
              <w:top w:val="single" w:sz="4" w:space="0" w:color="auto"/>
              <w:bottom w:val="single" w:sz="4" w:space="0" w:color="auto"/>
            </w:tcBorders>
            <w:shd w:val="clear" w:color="000000" w:fill="FFFFFF"/>
            <w:vAlign w:val="center"/>
          </w:tcPr>
          <w:p w14:paraId="370425A5" w14:textId="77777777" w:rsidR="009D162F" w:rsidRDefault="006E6378">
            <w:pPr>
              <w:spacing w:before="100" w:after="100" w:line="288" w:lineRule="auto"/>
              <w:jc w:val="both"/>
              <w:rPr>
                <w:rFonts w:ascii="Times New Roman" w:eastAsia="Times New Roman" w:hAnsi="Times New Roman" w:cs="Times New Roman"/>
                <w:b/>
                <w:bCs/>
                <w:color w:val="000000"/>
                <w:sz w:val="24"/>
                <w:szCs w:val="24"/>
                <w:lang w:val="en-US" w:bidi="te-IN"/>
              </w:rPr>
            </w:pPr>
            <w:r>
              <w:rPr>
                <w:rFonts w:ascii="Times New Roman" w:eastAsia="Times New Roman" w:hAnsi="Times New Roman" w:cs="Times New Roman"/>
                <w:b/>
                <w:bCs/>
                <w:color w:val="000000" w:themeColor="text1"/>
                <w:sz w:val="24"/>
                <w:szCs w:val="24"/>
                <w:lang w:bidi="te-IN"/>
              </w:rPr>
              <w:t>Formulation</w:t>
            </w:r>
          </w:p>
        </w:tc>
      </w:tr>
      <w:tr w:rsidR="009D162F" w14:paraId="41E91A6D" w14:textId="77777777">
        <w:trPr>
          <w:cantSplit/>
        </w:trPr>
        <w:tc>
          <w:tcPr>
            <w:tcW w:w="0" w:type="auto"/>
            <w:vMerge/>
            <w:tcBorders>
              <w:bottom w:val="single" w:sz="4" w:space="0" w:color="auto"/>
            </w:tcBorders>
            <w:vAlign w:val="center"/>
          </w:tcPr>
          <w:p w14:paraId="6491E83A" w14:textId="77777777" w:rsidR="009D162F" w:rsidRDefault="009D162F">
            <w:pPr>
              <w:spacing w:before="100" w:after="100" w:line="288" w:lineRule="auto"/>
              <w:jc w:val="both"/>
              <w:rPr>
                <w:rFonts w:ascii="Times New Roman" w:eastAsia="Times New Roman" w:hAnsi="Times New Roman" w:cs="Times New Roman"/>
                <w:b/>
                <w:bCs/>
                <w:color w:val="000000"/>
                <w:sz w:val="24"/>
                <w:szCs w:val="24"/>
                <w:lang w:val="en-US" w:bidi="te-IN"/>
              </w:rPr>
            </w:pPr>
          </w:p>
        </w:tc>
        <w:tc>
          <w:tcPr>
            <w:tcW w:w="0" w:type="auto"/>
            <w:tcBorders>
              <w:top w:val="single" w:sz="4" w:space="0" w:color="auto"/>
              <w:bottom w:val="single" w:sz="4" w:space="0" w:color="auto"/>
            </w:tcBorders>
            <w:shd w:val="clear" w:color="000000" w:fill="FFFFFF"/>
            <w:vAlign w:val="center"/>
          </w:tcPr>
          <w:p w14:paraId="4C86F154" w14:textId="77777777" w:rsidR="009D162F" w:rsidRDefault="006E6378">
            <w:pPr>
              <w:spacing w:before="100" w:after="100" w:line="288" w:lineRule="auto"/>
              <w:jc w:val="both"/>
              <w:rPr>
                <w:rFonts w:ascii="Times New Roman" w:eastAsia="Times New Roman" w:hAnsi="Times New Roman" w:cs="Times New Roman"/>
                <w:b/>
                <w:bCs/>
                <w:color w:val="000000"/>
                <w:sz w:val="24"/>
                <w:szCs w:val="24"/>
                <w:lang w:val="en-US" w:bidi="te-IN"/>
              </w:rPr>
            </w:pPr>
            <w:r>
              <w:rPr>
                <w:rFonts w:ascii="Times New Roman" w:eastAsia="Times New Roman" w:hAnsi="Times New Roman" w:cs="Times New Roman"/>
                <w:b/>
                <w:bCs/>
                <w:color w:val="000000" w:themeColor="text1"/>
                <w:sz w:val="24"/>
                <w:szCs w:val="24"/>
                <w:lang w:bidi="te-IN"/>
              </w:rPr>
              <w:t>NCG1</w:t>
            </w:r>
          </w:p>
        </w:tc>
        <w:tc>
          <w:tcPr>
            <w:tcW w:w="0" w:type="auto"/>
            <w:tcBorders>
              <w:top w:val="single" w:sz="4" w:space="0" w:color="auto"/>
              <w:bottom w:val="single" w:sz="4" w:space="0" w:color="auto"/>
            </w:tcBorders>
            <w:shd w:val="clear" w:color="000000" w:fill="FFFFFF"/>
            <w:vAlign w:val="center"/>
          </w:tcPr>
          <w:p w14:paraId="6FE511CF" w14:textId="77777777" w:rsidR="009D162F" w:rsidRDefault="006E6378">
            <w:pPr>
              <w:spacing w:before="100" w:after="100" w:line="288" w:lineRule="auto"/>
              <w:jc w:val="both"/>
              <w:rPr>
                <w:rFonts w:ascii="Times New Roman" w:eastAsia="Times New Roman" w:hAnsi="Times New Roman" w:cs="Times New Roman"/>
                <w:b/>
                <w:bCs/>
                <w:color w:val="000000"/>
                <w:sz w:val="24"/>
                <w:szCs w:val="24"/>
                <w:lang w:val="en-US" w:bidi="te-IN"/>
              </w:rPr>
            </w:pPr>
            <w:r>
              <w:rPr>
                <w:rFonts w:ascii="Times New Roman" w:eastAsia="Times New Roman" w:hAnsi="Times New Roman" w:cs="Times New Roman"/>
                <w:b/>
                <w:bCs/>
                <w:color w:val="000000" w:themeColor="text1"/>
                <w:sz w:val="24"/>
                <w:szCs w:val="24"/>
                <w:lang w:bidi="te-IN"/>
              </w:rPr>
              <w:t>NCG2</w:t>
            </w:r>
          </w:p>
        </w:tc>
      </w:tr>
      <w:tr w:rsidR="009D162F" w14:paraId="259CFFEA" w14:textId="77777777">
        <w:trPr>
          <w:cantSplit/>
        </w:trPr>
        <w:tc>
          <w:tcPr>
            <w:tcW w:w="0" w:type="auto"/>
            <w:tcBorders>
              <w:top w:val="single" w:sz="4" w:space="0" w:color="auto"/>
            </w:tcBorders>
            <w:shd w:val="clear" w:color="000000" w:fill="FFFFFF"/>
          </w:tcPr>
          <w:p w14:paraId="26A7948D" w14:textId="77777777" w:rsidR="009D162F" w:rsidRDefault="006E6378">
            <w:pPr>
              <w:spacing w:before="100" w:after="100" w:line="288" w:lineRule="auto"/>
              <w:jc w:val="both"/>
              <w:rPr>
                <w:rFonts w:ascii="Times New Roman" w:eastAsia="Times New Roman" w:hAnsi="Times New Roman" w:cs="Times New Roman"/>
                <w:color w:val="000000"/>
                <w:sz w:val="24"/>
                <w:szCs w:val="24"/>
                <w:lang w:val="en-US" w:bidi="te-IN"/>
              </w:rPr>
            </w:pPr>
            <w:r>
              <w:rPr>
                <w:rFonts w:ascii="Times New Roman" w:eastAsia="Times New Roman" w:hAnsi="Times New Roman" w:cs="Times New Roman"/>
                <w:color w:val="000000"/>
                <w:sz w:val="24"/>
                <w:szCs w:val="24"/>
                <w:lang w:val="en-US" w:bidi="te-IN"/>
              </w:rPr>
              <w:t xml:space="preserve">Homogeneity and clarity </w:t>
            </w:r>
          </w:p>
        </w:tc>
        <w:tc>
          <w:tcPr>
            <w:tcW w:w="0" w:type="auto"/>
            <w:tcBorders>
              <w:top w:val="single" w:sz="4" w:space="0" w:color="auto"/>
            </w:tcBorders>
            <w:shd w:val="clear" w:color="000000" w:fill="FFFFFF"/>
          </w:tcPr>
          <w:p w14:paraId="05FAAD9B" w14:textId="77777777" w:rsidR="009D162F" w:rsidRDefault="006E6378">
            <w:pPr>
              <w:spacing w:before="100" w:after="100" w:line="288" w:lineRule="auto"/>
              <w:jc w:val="both"/>
              <w:rPr>
                <w:rFonts w:ascii="Times New Roman" w:eastAsia="Times New Roman" w:hAnsi="Times New Roman" w:cs="Times New Roman"/>
                <w:color w:val="000000"/>
                <w:sz w:val="24"/>
                <w:szCs w:val="24"/>
                <w:lang w:val="en-US" w:bidi="te-IN"/>
              </w:rPr>
            </w:pPr>
            <w:r>
              <w:rPr>
                <w:rFonts w:ascii="Times New Roman" w:eastAsia="Times New Roman" w:hAnsi="Times New Roman" w:cs="Times New Roman"/>
                <w:color w:val="000000" w:themeColor="text1"/>
                <w:sz w:val="24"/>
                <w:szCs w:val="24"/>
                <w:lang w:bidi="te-IN"/>
              </w:rPr>
              <w:t>Homogenate &amp; clear</w:t>
            </w:r>
          </w:p>
        </w:tc>
        <w:tc>
          <w:tcPr>
            <w:tcW w:w="0" w:type="auto"/>
            <w:tcBorders>
              <w:top w:val="single" w:sz="4" w:space="0" w:color="auto"/>
            </w:tcBorders>
            <w:shd w:val="clear" w:color="000000" w:fill="FFFFFF"/>
          </w:tcPr>
          <w:p w14:paraId="7CE2D89D" w14:textId="77777777" w:rsidR="009D162F" w:rsidRDefault="006E6378">
            <w:pPr>
              <w:spacing w:before="100" w:after="100" w:line="288" w:lineRule="auto"/>
              <w:jc w:val="both"/>
              <w:rPr>
                <w:rFonts w:ascii="Times New Roman" w:eastAsia="Times New Roman" w:hAnsi="Times New Roman" w:cs="Times New Roman"/>
                <w:color w:val="000000"/>
                <w:sz w:val="24"/>
                <w:szCs w:val="24"/>
                <w:lang w:val="en-US" w:bidi="te-IN"/>
              </w:rPr>
            </w:pPr>
            <w:r>
              <w:rPr>
                <w:rFonts w:ascii="Times New Roman" w:eastAsia="Times New Roman" w:hAnsi="Times New Roman" w:cs="Times New Roman"/>
                <w:color w:val="000000" w:themeColor="text1"/>
                <w:sz w:val="24"/>
                <w:szCs w:val="24"/>
                <w:lang w:bidi="te-IN"/>
              </w:rPr>
              <w:t>Homogenate &amp; clear</w:t>
            </w:r>
          </w:p>
        </w:tc>
      </w:tr>
      <w:tr w:rsidR="009D162F" w14:paraId="79F9CCD1" w14:textId="77777777">
        <w:trPr>
          <w:cantSplit/>
        </w:trPr>
        <w:tc>
          <w:tcPr>
            <w:tcW w:w="0" w:type="auto"/>
            <w:shd w:val="clear" w:color="000000" w:fill="FFFFFF"/>
          </w:tcPr>
          <w:p w14:paraId="131277AC" w14:textId="77777777" w:rsidR="009D162F" w:rsidRDefault="006E6378">
            <w:pPr>
              <w:spacing w:before="100" w:after="100" w:line="288" w:lineRule="auto"/>
              <w:jc w:val="both"/>
              <w:rPr>
                <w:rFonts w:ascii="Times New Roman" w:eastAsia="Times New Roman" w:hAnsi="Times New Roman" w:cs="Times New Roman"/>
                <w:color w:val="000000"/>
                <w:sz w:val="24"/>
                <w:szCs w:val="24"/>
                <w:lang w:val="en-US" w:bidi="te-IN"/>
              </w:rPr>
            </w:pPr>
            <w:r>
              <w:rPr>
                <w:rFonts w:ascii="Times New Roman" w:eastAsia="Times New Roman" w:hAnsi="Times New Roman" w:cs="Times New Roman"/>
                <w:color w:val="000000"/>
                <w:sz w:val="24"/>
                <w:szCs w:val="24"/>
                <w:lang w:val="en-US" w:bidi="te-IN"/>
              </w:rPr>
              <w:t xml:space="preserve">pH Measurement </w:t>
            </w:r>
          </w:p>
        </w:tc>
        <w:tc>
          <w:tcPr>
            <w:tcW w:w="0" w:type="auto"/>
            <w:shd w:val="clear" w:color="000000" w:fill="FFFFFF"/>
          </w:tcPr>
          <w:p w14:paraId="4685B5C9" w14:textId="77777777" w:rsidR="009D162F" w:rsidRDefault="006E6378">
            <w:pPr>
              <w:spacing w:before="100" w:after="100" w:line="288" w:lineRule="auto"/>
              <w:jc w:val="both"/>
              <w:rPr>
                <w:rFonts w:ascii="Times New Roman" w:eastAsia="Times New Roman" w:hAnsi="Times New Roman" w:cs="Times New Roman"/>
                <w:color w:val="000000"/>
                <w:sz w:val="24"/>
                <w:szCs w:val="24"/>
                <w:lang w:val="en-US" w:bidi="te-IN"/>
              </w:rPr>
            </w:pPr>
            <w:r>
              <w:rPr>
                <w:rFonts w:ascii="Times New Roman" w:eastAsia="Times New Roman" w:hAnsi="Times New Roman" w:cs="Times New Roman"/>
                <w:color w:val="000000" w:themeColor="text1"/>
                <w:sz w:val="24"/>
                <w:szCs w:val="24"/>
                <w:lang w:bidi="te-IN"/>
              </w:rPr>
              <w:t>6.2±6.49</w:t>
            </w:r>
          </w:p>
        </w:tc>
        <w:tc>
          <w:tcPr>
            <w:tcW w:w="0" w:type="auto"/>
            <w:shd w:val="clear" w:color="000000" w:fill="FFFFFF"/>
          </w:tcPr>
          <w:p w14:paraId="129BB19F" w14:textId="77777777" w:rsidR="009D162F" w:rsidRDefault="006E6378">
            <w:pPr>
              <w:spacing w:before="100" w:after="100" w:line="288" w:lineRule="auto"/>
              <w:jc w:val="both"/>
              <w:rPr>
                <w:rFonts w:ascii="Times New Roman" w:eastAsia="Times New Roman" w:hAnsi="Times New Roman" w:cs="Times New Roman"/>
                <w:color w:val="000000"/>
                <w:sz w:val="24"/>
                <w:szCs w:val="24"/>
                <w:lang w:val="en-US" w:bidi="te-IN"/>
              </w:rPr>
            </w:pPr>
            <w:r>
              <w:rPr>
                <w:rFonts w:ascii="Times New Roman" w:eastAsia="Times New Roman" w:hAnsi="Times New Roman" w:cs="Times New Roman"/>
                <w:color w:val="000000" w:themeColor="text1"/>
                <w:sz w:val="24"/>
                <w:szCs w:val="24"/>
                <w:lang w:bidi="te-IN"/>
              </w:rPr>
              <w:t>5.9±5.53</w:t>
            </w:r>
          </w:p>
        </w:tc>
      </w:tr>
      <w:tr w:rsidR="009D162F" w14:paraId="75E51FCD" w14:textId="77777777">
        <w:trPr>
          <w:cantSplit/>
        </w:trPr>
        <w:tc>
          <w:tcPr>
            <w:tcW w:w="0" w:type="auto"/>
            <w:shd w:val="clear" w:color="000000" w:fill="FFFFFF"/>
          </w:tcPr>
          <w:p w14:paraId="7F3366A2" w14:textId="77777777" w:rsidR="009D162F" w:rsidRDefault="006E6378">
            <w:pPr>
              <w:spacing w:before="100" w:after="100" w:line="288" w:lineRule="auto"/>
              <w:jc w:val="both"/>
              <w:rPr>
                <w:rFonts w:ascii="Times New Roman" w:eastAsia="Times New Roman" w:hAnsi="Times New Roman" w:cs="Times New Roman"/>
                <w:color w:val="000000"/>
                <w:sz w:val="24"/>
                <w:szCs w:val="24"/>
                <w:lang w:val="en-US" w:bidi="te-IN"/>
              </w:rPr>
            </w:pPr>
            <w:r>
              <w:rPr>
                <w:rFonts w:ascii="Times New Roman" w:eastAsia="Times New Roman" w:hAnsi="Times New Roman" w:cs="Times New Roman"/>
                <w:color w:val="000000"/>
                <w:sz w:val="24"/>
                <w:szCs w:val="24"/>
                <w:lang w:val="en-US" w:bidi="te-IN"/>
              </w:rPr>
              <w:t>Gelation time (s)</w:t>
            </w:r>
          </w:p>
        </w:tc>
        <w:tc>
          <w:tcPr>
            <w:tcW w:w="0" w:type="auto"/>
            <w:shd w:val="clear" w:color="000000" w:fill="FFFFFF"/>
          </w:tcPr>
          <w:p w14:paraId="71F546AA" w14:textId="77777777" w:rsidR="009D162F" w:rsidRDefault="006E6378">
            <w:pPr>
              <w:spacing w:before="100" w:after="100" w:line="288" w:lineRule="auto"/>
              <w:jc w:val="both"/>
              <w:rPr>
                <w:rFonts w:ascii="Times New Roman" w:eastAsia="Times New Roman" w:hAnsi="Times New Roman" w:cs="Times New Roman"/>
                <w:color w:val="000000"/>
                <w:sz w:val="24"/>
                <w:szCs w:val="24"/>
                <w:lang w:val="en-US" w:bidi="te-IN"/>
              </w:rPr>
            </w:pPr>
            <w:r>
              <w:rPr>
                <w:rFonts w:ascii="Times New Roman" w:eastAsia="Times New Roman" w:hAnsi="Times New Roman" w:cs="Times New Roman"/>
                <w:color w:val="000000" w:themeColor="text1"/>
                <w:sz w:val="24"/>
                <w:szCs w:val="24"/>
                <w:lang w:bidi="te-IN"/>
              </w:rPr>
              <w:t>9±4.92</w:t>
            </w:r>
          </w:p>
        </w:tc>
        <w:tc>
          <w:tcPr>
            <w:tcW w:w="0" w:type="auto"/>
            <w:shd w:val="clear" w:color="000000" w:fill="FFFFFF"/>
          </w:tcPr>
          <w:p w14:paraId="69A4E4A9" w14:textId="77777777" w:rsidR="009D162F" w:rsidRDefault="006E6378">
            <w:pPr>
              <w:spacing w:before="100" w:after="100" w:line="288" w:lineRule="auto"/>
              <w:jc w:val="both"/>
              <w:rPr>
                <w:rFonts w:ascii="Times New Roman" w:eastAsia="Times New Roman" w:hAnsi="Times New Roman" w:cs="Times New Roman"/>
                <w:color w:val="000000"/>
                <w:sz w:val="24"/>
                <w:szCs w:val="24"/>
                <w:lang w:val="en-US" w:bidi="te-IN"/>
              </w:rPr>
            </w:pPr>
            <w:r>
              <w:rPr>
                <w:rFonts w:ascii="Times New Roman" w:eastAsia="Times New Roman" w:hAnsi="Times New Roman" w:cs="Times New Roman"/>
                <w:color w:val="000000" w:themeColor="text1"/>
                <w:sz w:val="24"/>
                <w:szCs w:val="24"/>
                <w:lang w:bidi="te-IN"/>
              </w:rPr>
              <w:t>12±5.57</w:t>
            </w:r>
          </w:p>
        </w:tc>
      </w:tr>
      <w:tr w:rsidR="009D162F" w14:paraId="563066E2" w14:textId="77777777">
        <w:trPr>
          <w:cantSplit/>
        </w:trPr>
        <w:tc>
          <w:tcPr>
            <w:tcW w:w="0" w:type="auto"/>
            <w:shd w:val="clear" w:color="000000" w:fill="FFFFFF"/>
          </w:tcPr>
          <w:p w14:paraId="7201F7B3" w14:textId="77777777" w:rsidR="009D162F" w:rsidRDefault="006E6378">
            <w:pPr>
              <w:spacing w:before="100" w:after="100" w:line="288" w:lineRule="auto"/>
              <w:jc w:val="both"/>
              <w:rPr>
                <w:rFonts w:ascii="Times New Roman" w:eastAsia="Times New Roman" w:hAnsi="Times New Roman" w:cs="Times New Roman"/>
                <w:color w:val="000000"/>
                <w:sz w:val="24"/>
                <w:szCs w:val="24"/>
                <w:lang w:val="en-US" w:bidi="te-IN"/>
              </w:rPr>
            </w:pPr>
            <w:r>
              <w:rPr>
                <w:rFonts w:ascii="Times New Roman" w:eastAsia="Times New Roman" w:hAnsi="Times New Roman" w:cs="Times New Roman"/>
                <w:color w:val="000000"/>
                <w:sz w:val="24"/>
                <w:szCs w:val="24"/>
                <w:lang w:val="en-US" w:bidi="te-IN"/>
              </w:rPr>
              <w:t>Gel strength (s)</w:t>
            </w:r>
          </w:p>
        </w:tc>
        <w:tc>
          <w:tcPr>
            <w:tcW w:w="0" w:type="auto"/>
            <w:shd w:val="clear" w:color="000000" w:fill="FFFFFF"/>
          </w:tcPr>
          <w:p w14:paraId="50889486" w14:textId="77777777" w:rsidR="009D162F" w:rsidRDefault="006E6378">
            <w:pPr>
              <w:spacing w:before="100" w:after="100" w:line="288" w:lineRule="auto"/>
              <w:jc w:val="both"/>
              <w:rPr>
                <w:rFonts w:ascii="Times New Roman" w:eastAsia="Times New Roman" w:hAnsi="Times New Roman" w:cs="Times New Roman"/>
                <w:color w:val="000000"/>
                <w:sz w:val="24"/>
                <w:szCs w:val="24"/>
                <w:lang w:val="en-US" w:bidi="te-IN"/>
              </w:rPr>
            </w:pPr>
            <w:r>
              <w:rPr>
                <w:rFonts w:ascii="Times New Roman" w:eastAsia="Times New Roman" w:hAnsi="Times New Roman" w:cs="Times New Roman"/>
                <w:color w:val="000000" w:themeColor="text1"/>
                <w:sz w:val="24"/>
                <w:szCs w:val="24"/>
                <w:lang w:bidi="te-IN"/>
              </w:rPr>
              <w:t>8±6.91</w:t>
            </w:r>
          </w:p>
        </w:tc>
        <w:tc>
          <w:tcPr>
            <w:tcW w:w="0" w:type="auto"/>
            <w:shd w:val="clear" w:color="000000" w:fill="FFFFFF"/>
          </w:tcPr>
          <w:p w14:paraId="22B6B452" w14:textId="77777777" w:rsidR="009D162F" w:rsidRDefault="006E6378">
            <w:pPr>
              <w:spacing w:before="100" w:after="100" w:line="288" w:lineRule="auto"/>
              <w:jc w:val="both"/>
              <w:rPr>
                <w:rFonts w:ascii="Times New Roman" w:eastAsia="Times New Roman" w:hAnsi="Times New Roman" w:cs="Times New Roman"/>
                <w:color w:val="000000"/>
                <w:sz w:val="24"/>
                <w:szCs w:val="24"/>
                <w:lang w:val="en-US" w:bidi="te-IN"/>
              </w:rPr>
            </w:pPr>
            <w:r>
              <w:rPr>
                <w:rFonts w:ascii="Times New Roman" w:eastAsia="Times New Roman" w:hAnsi="Times New Roman" w:cs="Times New Roman"/>
                <w:color w:val="000000" w:themeColor="text1"/>
                <w:sz w:val="24"/>
                <w:szCs w:val="24"/>
                <w:lang w:bidi="te-IN"/>
              </w:rPr>
              <w:t>9±7.79</w:t>
            </w:r>
          </w:p>
        </w:tc>
      </w:tr>
      <w:tr w:rsidR="009D162F" w14:paraId="10952BF7" w14:textId="77777777">
        <w:trPr>
          <w:cantSplit/>
        </w:trPr>
        <w:tc>
          <w:tcPr>
            <w:tcW w:w="0" w:type="auto"/>
            <w:shd w:val="clear" w:color="000000" w:fill="FFFFFF"/>
          </w:tcPr>
          <w:p w14:paraId="19E7D5AE" w14:textId="77777777" w:rsidR="009D162F" w:rsidRDefault="006E6378">
            <w:pPr>
              <w:spacing w:before="100" w:after="100" w:line="288" w:lineRule="auto"/>
              <w:jc w:val="both"/>
              <w:rPr>
                <w:rFonts w:ascii="Times New Roman" w:eastAsia="Times New Roman" w:hAnsi="Times New Roman" w:cs="Times New Roman"/>
                <w:color w:val="000000"/>
                <w:sz w:val="24"/>
                <w:szCs w:val="24"/>
                <w:lang w:val="en-US" w:bidi="te-IN"/>
              </w:rPr>
            </w:pPr>
            <w:proofErr w:type="spellStart"/>
            <w:r>
              <w:rPr>
                <w:rFonts w:ascii="Times New Roman" w:eastAsia="Times New Roman" w:hAnsi="Times New Roman" w:cs="Times New Roman"/>
                <w:color w:val="000000"/>
                <w:sz w:val="24"/>
                <w:szCs w:val="24"/>
                <w:lang w:val="en-US" w:bidi="te-IN"/>
              </w:rPr>
              <w:t>Syringeability</w:t>
            </w:r>
            <w:proofErr w:type="spellEnd"/>
          </w:p>
        </w:tc>
        <w:tc>
          <w:tcPr>
            <w:tcW w:w="0" w:type="auto"/>
            <w:shd w:val="clear" w:color="000000" w:fill="FFFFFF"/>
          </w:tcPr>
          <w:p w14:paraId="6DFD2510" w14:textId="77777777" w:rsidR="009D162F" w:rsidRDefault="006E6378">
            <w:pPr>
              <w:spacing w:before="100" w:after="100" w:line="288" w:lineRule="auto"/>
              <w:jc w:val="both"/>
              <w:rPr>
                <w:rFonts w:ascii="Times New Roman" w:eastAsia="Times New Roman" w:hAnsi="Times New Roman" w:cs="Times New Roman"/>
                <w:color w:val="000000"/>
                <w:sz w:val="24"/>
                <w:szCs w:val="24"/>
                <w:lang w:val="en-US" w:bidi="te-IN"/>
              </w:rPr>
            </w:pPr>
            <w:r>
              <w:rPr>
                <w:rFonts w:ascii="Times New Roman" w:eastAsia="Times New Roman" w:hAnsi="Times New Roman" w:cs="Times New Roman"/>
                <w:color w:val="000000" w:themeColor="text1"/>
                <w:sz w:val="24"/>
                <w:szCs w:val="24"/>
                <w:lang w:bidi="te-IN"/>
              </w:rPr>
              <w:t>Pass</w:t>
            </w:r>
          </w:p>
        </w:tc>
        <w:tc>
          <w:tcPr>
            <w:tcW w:w="0" w:type="auto"/>
            <w:shd w:val="clear" w:color="000000" w:fill="FFFFFF"/>
          </w:tcPr>
          <w:p w14:paraId="2383C123" w14:textId="77777777" w:rsidR="009D162F" w:rsidRDefault="006E6378">
            <w:pPr>
              <w:spacing w:before="100" w:after="100" w:line="288" w:lineRule="auto"/>
              <w:jc w:val="both"/>
              <w:rPr>
                <w:rFonts w:ascii="Times New Roman" w:eastAsia="Times New Roman" w:hAnsi="Times New Roman" w:cs="Times New Roman"/>
                <w:color w:val="000000"/>
                <w:sz w:val="24"/>
                <w:szCs w:val="24"/>
                <w:lang w:val="en-US" w:bidi="te-IN"/>
              </w:rPr>
            </w:pPr>
            <w:r>
              <w:rPr>
                <w:rFonts w:ascii="Times New Roman" w:eastAsia="Times New Roman" w:hAnsi="Times New Roman" w:cs="Times New Roman"/>
                <w:color w:val="000000" w:themeColor="text1"/>
                <w:sz w:val="24"/>
                <w:szCs w:val="24"/>
                <w:lang w:bidi="te-IN"/>
              </w:rPr>
              <w:t>Pass</w:t>
            </w:r>
          </w:p>
        </w:tc>
      </w:tr>
      <w:tr w:rsidR="009D162F" w14:paraId="2B057A66" w14:textId="77777777">
        <w:trPr>
          <w:cantSplit/>
        </w:trPr>
        <w:tc>
          <w:tcPr>
            <w:tcW w:w="0" w:type="auto"/>
            <w:shd w:val="clear" w:color="000000" w:fill="FFFFFF"/>
          </w:tcPr>
          <w:p w14:paraId="45C46AD0" w14:textId="77777777" w:rsidR="009D162F" w:rsidRDefault="006E6378">
            <w:pPr>
              <w:spacing w:before="100" w:after="100" w:line="288" w:lineRule="auto"/>
              <w:jc w:val="both"/>
              <w:rPr>
                <w:rFonts w:ascii="Times New Roman" w:eastAsia="Times New Roman" w:hAnsi="Times New Roman" w:cs="Times New Roman"/>
                <w:color w:val="000000"/>
                <w:sz w:val="24"/>
                <w:szCs w:val="24"/>
                <w:lang w:val="en-US" w:bidi="te-IN"/>
              </w:rPr>
            </w:pPr>
            <w:proofErr w:type="spellStart"/>
            <w:r>
              <w:rPr>
                <w:rFonts w:ascii="Times New Roman" w:eastAsia="Times New Roman" w:hAnsi="Times New Roman" w:cs="Times New Roman"/>
                <w:color w:val="000000"/>
                <w:sz w:val="24"/>
                <w:szCs w:val="24"/>
                <w:lang w:val="en-US" w:bidi="te-IN"/>
              </w:rPr>
              <w:t>Spreadability</w:t>
            </w:r>
            <w:proofErr w:type="spellEnd"/>
            <w:r>
              <w:rPr>
                <w:rFonts w:ascii="Times New Roman" w:eastAsia="Times New Roman" w:hAnsi="Times New Roman" w:cs="Times New Roman"/>
                <w:color w:val="000000"/>
                <w:sz w:val="24"/>
                <w:szCs w:val="24"/>
                <w:lang w:val="en-US" w:bidi="te-IN"/>
              </w:rPr>
              <w:t xml:space="preserve"> (s)</w:t>
            </w:r>
          </w:p>
        </w:tc>
        <w:tc>
          <w:tcPr>
            <w:tcW w:w="0" w:type="auto"/>
            <w:shd w:val="clear" w:color="000000" w:fill="FFFFFF"/>
          </w:tcPr>
          <w:p w14:paraId="1B427D5D" w14:textId="77777777" w:rsidR="009D162F" w:rsidRDefault="006E6378">
            <w:pPr>
              <w:spacing w:before="100" w:after="100" w:line="288" w:lineRule="auto"/>
              <w:jc w:val="both"/>
              <w:rPr>
                <w:rFonts w:ascii="Times New Roman" w:eastAsia="Times New Roman" w:hAnsi="Times New Roman" w:cs="Times New Roman"/>
                <w:color w:val="000000"/>
                <w:sz w:val="24"/>
                <w:szCs w:val="24"/>
                <w:lang w:val="en-US" w:bidi="te-IN"/>
              </w:rPr>
            </w:pPr>
            <w:r>
              <w:rPr>
                <w:rFonts w:ascii="Times New Roman" w:eastAsia="Times New Roman" w:hAnsi="Times New Roman" w:cs="Times New Roman"/>
                <w:color w:val="000000" w:themeColor="text1"/>
                <w:sz w:val="24"/>
                <w:szCs w:val="24"/>
                <w:lang w:bidi="te-IN"/>
              </w:rPr>
              <w:t>18.75±7.92</w:t>
            </w:r>
          </w:p>
        </w:tc>
        <w:tc>
          <w:tcPr>
            <w:tcW w:w="0" w:type="auto"/>
            <w:shd w:val="clear" w:color="000000" w:fill="FFFFFF"/>
          </w:tcPr>
          <w:p w14:paraId="60D01D6B" w14:textId="77777777" w:rsidR="009D162F" w:rsidRDefault="006E6378">
            <w:pPr>
              <w:spacing w:before="100" w:after="100" w:line="288" w:lineRule="auto"/>
              <w:jc w:val="both"/>
              <w:rPr>
                <w:rFonts w:ascii="Times New Roman" w:eastAsia="Times New Roman" w:hAnsi="Times New Roman" w:cs="Times New Roman"/>
                <w:color w:val="000000"/>
                <w:sz w:val="24"/>
                <w:szCs w:val="24"/>
                <w:lang w:val="en-US" w:bidi="te-IN"/>
              </w:rPr>
            </w:pPr>
            <w:r>
              <w:rPr>
                <w:rFonts w:ascii="Times New Roman" w:eastAsia="Times New Roman" w:hAnsi="Times New Roman" w:cs="Times New Roman"/>
                <w:color w:val="000000" w:themeColor="text1"/>
                <w:sz w:val="24"/>
                <w:szCs w:val="24"/>
                <w:lang w:bidi="te-IN"/>
              </w:rPr>
              <w:t>23.80±6.64</w:t>
            </w:r>
          </w:p>
        </w:tc>
      </w:tr>
      <w:tr w:rsidR="009D162F" w14:paraId="62FC5C9B" w14:textId="77777777">
        <w:trPr>
          <w:cantSplit/>
        </w:trPr>
        <w:tc>
          <w:tcPr>
            <w:tcW w:w="0" w:type="auto"/>
            <w:shd w:val="clear" w:color="000000" w:fill="FFFFFF"/>
          </w:tcPr>
          <w:p w14:paraId="0C355D72" w14:textId="77777777" w:rsidR="009D162F" w:rsidRDefault="006E6378">
            <w:pPr>
              <w:spacing w:before="100" w:after="100" w:line="288" w:lineRule="auto"/>
              <w:jc w:val="both"/>
              <w:rPr>
                <w:rFonts w:ascii="Times New Roman" w:eastAsia="Times New Roman" w:hAnsi="Times New Roman" w:cs="Times New Roman"/>
                <w:color w:val="000000"/>
                <w:sz w:val="24"/>
                <w:szCs w:val="24"/>
                <w:lang w:val="en-US" w:bidi="te-IN"/>
              </w:rPr>
            </w:pPr>
            <w:r>
              <w:rPr>
                <w:rFonts w:ascii="Times New Roman" w:eastAsia="Times New Roman" w:hAnsi="Times New Roman" w:cs="Times New Roman"/>
                <w:color w:val="000000"/>
                <w:sz w:val="24"/>
                <w:szCs w:val="24"/>
                <w:lang w:val="en-US" w:bidi="te-IN"/>
              </w:rPr>
              <w:t>Viscosity Studies (cps)</w:t>
            </w:r>
          </w:p>
        </w:tc>
        <w:tc>
          <w:tcPr>
            <w:tcW w:w="0" w:type="auto"/>
            <w:shd w:val="clear" w:color="000000" w:fill="FFFFFF"/>
          </w:tcPr>
          <w:p w14:paraId="764E8F57" w14:textId="77777777" w:rsidR="009D162F" w:rsidRDefault="006E6378">
            <w:pPr>
              <w:spacing w:before="100" w:after="100" w:line="288" w:lineRule="auto"/>
              <w:ind w:firstLine="240"/>
              <w:jc w:val="both"/>
              <w:rPr>
                <w:rFonts w:ascii="Times New Roman" w:eastAsia="Times New Roman" w:hAnsi="Times New Roman" w:cs="Times New Roman"/>
                <w:color w:val="000000"/>
                <w:sz w:val="24"/>
                <w:szCs w:val="24"/>
                <w:lang w:val="en-US" w:bidi="te-IN"/>
              </w:rPr>
            </w:pPr>
            <w:r>
              <w:rPr>
                <w:rFonts w:ascii="Times New Roman" w:eastAsia="Times New Roman" w:hAnsi="Times New Roman" w:cs="Times New Roman"/>
                <w:color w:val="000000"/>
                <w:sz w:val="24"/>
                <w:szCs w:val="24"/>
                <w:lang w:val="en-US" w:bidi="te-IN"/>
              </w:rPr>
              <w:t> </w:t>
            </w:r>
          </w:p>
        </w:tc>
        <w:tc>
          <w:tcPr>
            <w:tcW w:w="0" w:type="auto"/>
            <w:shd w:val="clear" w:color="000000" w:fill="FFFFFF"/>
          </w:tcPr>
          <w:p w14:paraId="3EDDEDE6" w14:textId="77777777" w:rsidR="009D162F" w:rsidRDefault="006E6378">
            <w:pPr>
              <w:spacing w:before="100" w:after="100" w:line="288" w:lineRule="auto"/>
              <w:ind w:firstLine="240"/>
              <w:jc w:val="both"/>
              <w:rPr>
                <w:rFonts w:ascii="Times New Roman" w:eastAsia="Times New Roman" w:hAnsi="Times New Roman" w:cs="Times New Roman"/>
                <w:color w:val="000000"/>
                <w:sz w:val="24"/>
                <w:szCs w:val="24"/>
                <w:lang w:val="en-US" w:bidi="te-IN"/>
              </w:rPr>
            </w:pPr>
            <w:r>
              <w:rPr>
                <w:rFonts w:ascii="Times New Roman" w:eastAsia="Times New Roman" w:hAnsi="Times New Roman" w:cs="Times New Roman"/>
                <w:color w:val="000000"/>
                <w:sz w:val="24"/>
                <w:szCs w:val="24"/>
                <w:lang w:val="en-US" w:bidi="te-IN"/>
              </w:rPr>
              <w:t> </w:t>
            </w:r>
          </w:p>
        </w:tc>
      </w:tr>
      <w:tr w:rsidR="009D162F" w14:paraId="32BB0243" w14:textId="77777777">
        <w:trPr>
          <w:cantSplit/>
        </w:trPr>
        <w:tc>
          <w:tcPr>
            <w:tcW w:w="0" w:type="auto"/>
            <w:shd w:val="clear" w:color="000000" w:fill="FFFFFF"/>
          </w:tcPr>
          <w:p w14:paraId="06798E2A" w14:textId="77777777" w:rsidR="009D162F" w:rsidRDefault="006E6378">
            <w:pPr>
              <w:spacing w:before="100" w:after="100" w:line="288" w:lineRule="auto"/>
              <w:jc w:val="both"/>
              <w:rPr>
                <w:rFonts w:ascii="Times New Roman" w:eastAsia="Times New Roman" w:hAnsi="Times New Roman" w:cs="Times New Roman"/>
                <w:color w:val="000000"/>
                <w:sz w:val="24"/>
                <w:szCs w:val="24"/>
                <w:lang w:val="en-US" w:bidi="te-IN"/>
              </w:rPr>
            </w:pPr>
            <w:r>
              <w:rPr>
                <w:rFonts w:ascii="Times New Roman" w:eastAsia="Times New Roman" w:hAnsi="Times New Roman" w:cs="Times New Roman"/>
                <w:color w:val="000000"/>
                <w:sz w:val="24"/>
                <w:szCs w:val="24"/>
                <w:lang w:val="en-US" w:bidi="te-IN"/>
              </w:rPr>
              <w:t>Sol</w:t>
            </w:r>
          </w:p>
        </w:tc>
        <w:tc>
          <w:tcPr>
            <w:tcW w:w="0" w:type="auto"/>
            <w:shd w:val="clear" w:color="000000" w:fill="FFFFFF"/>
          </w:tcPr>
          <w:p w14:paraId="004F8B4C" w14:textId="77777777" w:rsidR="009D162F" w:rsidRDefault="006E6378">
            <w:pPr>
              <w:spacing w:before="100" w:after="100" w:line="288" w:lineRule="auto"/>
              <w:jc w:val="both"/>
              <w:rPr>
                <w:rFonts w:ascii="Times New Roman" w:eastAsia="Times New Roman" w:hAnsi="Times New Roman" w:cs="Times New Roman"/>
                <w:color w:val="000000"/>
                <w:sz w:val="24"/>
                <w:szCs w:val="24"/>
                <w:lang w:val="en-US" w:bidi="te-IN"/>
              </w:rPr>
            </w:pPr>
            <w:r>
              <w:rPr>
                <w:rFonts w:ascii="Times New Roman" w:eastAsia="Times New Roman" w:hAnsi="Times New Roman" w:cs="Times New Roman"/>
                <w:color w:val="000000" w:themeColor="text1"/>
                <w:sz w:val="24"/>
                <w:szCs w:val="24"/>
                <w:lang w:bidi="te-IN"/>
              </w:rPr>
              <w:t>34.17±5.17</w:t>
            </w:r>
          </w:p>
        </w:tc>
        <w:tc>
          <w:tcPr>
            <w:tcW w:w="0" w:type="auto"/>
            <w:shd w:val="clear" w:color="000000" w:fill="FFFFFF"/>
          </w:tcPr>
          <w:p w14:paraId="069F9245" w14:textId="77777777" w:rsidR="009D162F" w:rsidRDefault="006E6378">
            <w:pPr>
              <w:spacing w:before="100" w:after="100" w:line="288" w:lineRule="auto"/>
              <w:jc w:val="both"/>
              <w:rPr>
                <w:rFonts w:ascii="Times New Roman" w:eastAsia="Times New Roman" w:hAnsi="Times New Roman" w:cs="Times New Roman"/>
                <w:color w:val="000000"/>
                <w:sz w:val="24"/>
                <w:szCs w:val="24"/>
                <w:lang w:val="en-US" w:bidi="te-IN"/>
              </w:rPr>
            </w:pPr>
            <w:r>
              <w:rPr>
                <w:rFonts w:ascii="Times New Roman" w:eastAsia="Times New Roman" w:hAnsi="Times New Roman" w:cs="Times New Roman"/>
                <w:color w:val="000000" w:themeColor="text1"/>
                <w:sz w:val="24"/>
                <w:szCs w:val="24"/>
                <w:lang w:bidi="te-IN"/>
              </w:rPr>
              <w:t>51.62±4.17</w:t>
            </w:r>
          </w:p>
        </w:tc>
      </w:tr>
      <w:tr w:rsidR="009D162F" w14:paraId="179EBC7C" w14:textId="77777777">
        <w:trPr>
          <w:cantSplit/>
        </w:trPr>
        <w:tc>
          <w:tcPr>
            <w:tcW w:w="0" w:type="auto"/>
            <w:shd w:val="clear" w:color="000000" w:fill="FFFFFF"/>
          </w:tcPr>
          <w:p w14:paraId="4B529818" w14:textId="77777777" w:rsidR="009D162F" w:rsidRDefault="006E6378">
            <w:pPr>
              <w:spacing w:before="100" w:after="100" w:line="288" w:lineRule="auto"/>
              <w:jc w:val="both"/>
              <w:rPr>
                <w:rFonts w:ascii="Times New Roman" w:eastAsia="Times New Roman" w:hAnsi="Times New Roman" w:cs="Times New Roman"/>
                <w:color w:val="000000"/>
                <w:sz w:val="24"/>
                <w:szCs w:val="24"/>
                <w:lang w:val="en-US" w:bidi="te-IN"/>
              </w:rPr>
            </w:pPr>
            <w:r>
              <w:rPr>
                <w:rFonts w:ascii="Times New Roman" w:eastAsia="Times New Roman" w:hAnsi="Times New Roman" w:cs="Times New Roman"/>
                <w:color w:val="000000"/>
                <w:sz w:val="24"/>
                <w:szCs w:val="24"/>
                <w:lang w:val="en-US" w:bidi="te-IN"/>
              </w:rPr>
              <w:t>Gel</w:t>
            </w:r>
          </w:p>
        </w:tc>
        <w:tc>
          <w:tcPr>
            <w:tcW w:w="0" w:type="auto"/>
            <w:shd w:val="clear" w:color="000000" w:fill="FFFFFF"/>
          </w:tcPr>
          <w:p w14:paraId="3AA1BCE1" w14:textId="77777777" w:rsidR="009D162F" w:rsidRDefault="006E6378">
            <w:pPr>
              <w:spacing w:before="100" w:after="100" w:line="288" w:lineRule="auto"/>
              <w:jc w:val="both"/>
              <w:rPr>
                <w:rFonts w:ascii="Times New Roman" w:eastAsia="Times New Roman" w:hAnsi="Times New Roman" w:cs="Times New Roman"/>
                <w:color w:val="000000"/>
                <w:sz w:val="24"/>
                <w:szCs w:val="24"/>
                <w:lang w:val="en-US" w:bidi="te-IN"/>
              </w:rPr>
            </w:pPr>
            <w:r>
              <w:rPr>
                <w:rFonts w:ascii="Times New Roman" w:eastAsia="Times New Roman" w:hAnsi="Times New Roman" w:cs="Times New Roman"/>
                <w:color w:val="000000" w:themeColor="text1"/>
                <w:sz w:val="24"/>
                <w:szCs w:val="24"/>
                <w:lang w:bidi="te-IN"/>
              </w:rPr>
              <w:t>142±4.41</w:t>
            </w:r>
          </w:p>
        </w:tc>
        <w:tc>
          <w:tcPr>
            <w:tcW w:w="0" w:type="auto"/>
            <w:shd w:val="clear" w:color="000000" w:fill="FFFFFF"/>
          </w:tcPr>
          <w:p w14:paraId="69D7D1F6" w14:textId="77777777" w:rsidR="009D162F" w:rsidRDefault="006E6378">
            <w:pPr>
              <w:spacing w:before="100" w:after="100" w:line="288" w:lineRule="auto"/>
              <w:jc w:val="both"/>
              <w:rPr>
                <w:rFonts w:ascii="Times New Roman" w:eastAsia="Times New Roman" w:hAnsi="Times New Roman" w:cs="Times New Roman"/>
                <w:color w:val="000000"/>
                <w:sz w:val="24"/>
                <w:szCs w:val="24"/>
                <w:lang w:val="en-US" w:bidi="te-IN"/>
              </w:rPr>
            </w:pPr>
            <w:r>
              <w:rPr>
                <w:rFonts w:ascii="Times New Roman" w:eastAsia="Times New Roman" w:hAnsi="Times New Roman" w:cs="Times New Roman"/>
                <w:color w:val="000000" w:themeColor="text1"/>
                <w:sz w:val="24"/>
                <w:szCs w:val="24"/>
                <w:lang w:bidi="te-IN"/>
              </w:rPr>
              <w:t>174±3.19</w:t>
            </w:r>
          </w:p>
        </w:tc>
      </w:tr>
      <w:tr w:rsidR="009D162F" w14:paraId="399A4486" w14:textId="77777777">
        <w:trPr>
          <w:cantSplit/>
        </w:trPr>
        <w:tc>
          <w:tcPr>
            <w:tcW w:w="0" w:type="auto"/>
            <w:shd w:val="clear" w:color="000000" w:fill="FFFFFF"/>
          </w:tcPr>
          <w:p w14:paraId="3FB1AD06" w14:textId="77777777" w:rsidR="009D162F" w:rsidRDefault="006E6378">
            <w:pPr>
              <w:spacing w:before="100" w:after="100" w:line="288" w:lineRule="auto"/>
              <w:jc w:val="both"/>
              <w:rPr>
                <w:rFonts w:ascii="Times New Roman" w:eastAsia="Times New Roman" w:hAnsi="Times New Roman" w:cs="Times New Roman"/>
                <w:i/>
                <w:iCs/>
                <w:color w:val="000000"/>
                <w:sz w:val="24"/>
                <w:szCs w:val="24"/>
                <w:lang w:val="en-US" w:bidi="te-IN"/>
              </w:rPr>
            </w:pPr>
            <w:r>
              <w:rPr>
                <w:rFonts w:ascii="Times New Roman" w:eastAsia="Times New Roman" w:hAnsi="Times New Roman" w:cs="Times New Roman"/>
                <w:i/>
                <w:iCs/>
                <w:color w:val="000000"/>
                <w:sz w:val="24"/>
                <w:szCs w:val="24"/>
                <w:lang w:val="en-US" w:bidi="te-IN"/>
              </w:rPr>
              <w:t>In-vitro</w:t>
            </w:r>
            <w:r>
              <w:rPr>
                <w:rFonts w:ascii="Times New Roman" w:eastAsia="Times New Roman" w:hAnsi="Times New Roman" w:cs="Times New Roman"/>
                <w:color w:val="000000"/>
                <w:sz w:val="24"/>
                <w:szCs w:val="24"/>
                <w:lang w:val="en-US" w:bidi="te-IN"/>
              </w:rPr>
              <w:t> </w:t>
            </w:r>
            <w:proofErr w:type="spellStart"/>
            <w:r>
              <w:rPr>
                <w:rFonts w:ascii="Times New Roman" w:eastAsia="Times New Roman" w:hAnsi="Times New Roman" w:cs="Times New Roman"/>
                <w:color w:val="000000"/>
                <w:sz w:val="24"/>
                <w:szCs w:val="24"/>
                <w:lang w:val="en-US" w:bidi="te-IN"/>
              </w:rPr>
              <w:t>Mucoadhesion</w:t>
            </w:r>
            <w:proofErr w:type="spellEnd"/>
            <w:r>
              <w:rPr>
                <w:rFonts w:ascii="Times New Roman" w:eastAsia="Times New Roman" w:hAnsi="Times New Roman" w:cs="Times New Roman"/>
                <w:color w:val="000000"/>
                <w:sz w:val="24"/>
                <w:szCs w:val="24"/>
                <w:lang w:val="en-US" w:bidi="te-IN"/>
              </w:rPr>
              <w:t xml:space="preserve"> </w:t>
            </w:r>
            <w:proofErr w:type="gramStart"/>
            <w:r>
              <w:rPr>
                <w:rFonts w:ascii="Times New Roman" w:eastAsia="Times New Roman" w:hAnsi="Times New Roman" w:cs="Times New Roman"/>
                <w:color w:val="000000"/>
                <w:sz w:val="24"/>
                <w:szCs w:val="24"/>
                <w:lang w:val="en-US" w:bidi="te-IN"/>
              </w:rPr>
              <w:t>Strength  (</w:t>
            </w:r>
            <w:proofErr w:type="gramEnd"/>
            <w:r>
              <w:rPr>
                <w:rFonts w:ascii="Times New Roman" w:eastAsia="Times New Roman" w:hAnsi="Times New Roman" w:cs="Times New Roman"/>
                <w:color w:val="000000"/>
                <w:sz w:val="24"/>
                <w:szCs w:val="24"/>
                <w:lang w:val="en-US" w:bidi="te-IN"/>
              </w:rPr>
              <w:t>dynes/cm</w:t>
            </w:r>
            <w:r>
              <w:rPr>
                <w:rFonts w:ascii="Times New Roman" w:eastAsia="Times New Roman" w:hAnsi="Times New Roman" w:cs="Times New Roman"/>
                <w:color w:val="000000"/>
                <w:sz w:val="24"/>
                <w:szCs w:val="24"/>
                <w:vertAlign w:val="superscript"/>
                <w:lang w:val="en-US" w:bidi="te-IN"/>
              </w:rPr>
              <w:t>2</w:t>
            </w:r>
            <w:r>
              <w:rPr>
                <w:rFonts w:ascii="Times New Roman" w:eastAsia="Times New Roman" w:hAnsi="Times New Roman" w:cs="Times New Roman"/>
                <w:color w:val="000000"/>
                <w:sz w:val="24"/>
                <w:szCs w:val="24"/>
                <w:lang w:val="en-US" w:bidi="te-IN"/>
              </w:rPr>
              <w:t xml:space="preserve">) </w:t>
            </w:r>
          </w:p>
        </w:tc>
        <w:tc>
          <w:tcPr>
            <w:tcW w:w="0" w:type="auto"/>
            <w:shd w:val="clear" w:color="000000" w:fill="FFFFFF"/>
          </w:tcPr>
          <w:p w14:paraId="1E47A010" w14:textId="77777777" w:rsidR="009D162F" w:rsidRDefault="006E6378">
            <w:pPr>
              <w:spacing w:before="100" w:after="100" w:line="288" w:lineRule="auto"/>
              <w:ind w:firstLine="240"/>
              <w:jc w:val="both"/>
              <w:rPr>
                <w:rFonts w:ascii="Times New Roman" w:eastAsia="Times New Roman" w:hAnsi="Times New Roman" w:cs="Times New Roman"/>
                <w:color w:val="000000"/>
                <w:sz w:val="24"/>
                <w:szCs w:val="24"/>
                <w:lang w:val="en-US" w:bidi="te-IN"/>
              </w:rPr>
            </w:pPr>
            <w:r>
              <w:rPr>
                <w:rFonts w:ascii="Times New Roman" w:eastAsia="Times New Roman" w:hAnsi="Times New Roman" w:cs="Times New Roman"/>
                <w:color w:val="000000" w:themeColor="text1"/>
                <w:sz w:val="24"/>
                <w:szCs w:val="24"/>
                <w:lang w:bidi="te-IN"/>
              </w:rPr>
              <w:t>2722.2±7.77</w:t>
            </w:r>
          </w:p>
        </w:tc>
        <w:tc>
          <w:tcPr>
            <w:tcW w:w="0" w:type="auto"/>
            <w:shd w:val="clear" w:color="000000" w:fill="FFFFFF"/>
          </w:tcPr>
          <w:p w14:paraId="3CD45A55" w14:textId="77777777" w:rsidR="009D162F" w:rsidRDefault="006E6378">
            <w:pPr>
              <w:spacing w:before="100" w:after="100" w:line="288" w:lineRule="auto"/>
              <w:jc w:val="both"/>
              <w:rPr>
                <w:rFonts w:ascii="Times New Roman" w:eastAsia="Times New Roman" w:hAnsi="Times New Roman" w:cs="Times New Roman"/>
                <w:color w:val="000000"/>
                <w:sz w:val="24"/>
                <w:szCs w:val="24"/>
                <w:lang w:val="en-US" w:bidi="te-IN"/>
              </w:rPr>
            </w:pPr>
            <w:r>
              <w:rPr>
                <w:rFonts w:ascii="Times New Roman" w:eastAsia="Times New Roman" w:hAnsi="Times New Roman" w:cs="Times New Roman"/>
                <w:color w:val="000000" w:themeColor="text1"/>
                <w:sz w:val="24"/>
                <w:szCs w:val="24"/>
                <w:lang w:bidi="te-IN"/>
              </w:rPr>
              <w:t>3538.8±8.59</w:t>
            </w:r>
          </w:p>
        </w:tc>
      </w:tr>
      <w:tr w:rsidR="009D162F" w14:paraId="7A5F781F" w14:textId="77777777">
        <w:trPr>
          <w:cantSplit/>
        </w:trPr>
        <w:tc>
          <w:tcPr>
            <w:tcW w:w="0" w:type="auto"/>
            <w:tcBorders>
              <w:bottom w:val="single" w:sz="4" w:space="0" w:color="auto"/>
            </w:tcBorders>
            <w:shd w:val="clear" w:color="000000" w:fill="FFFFFF"/>
          </w:tcPr>
          <w:p w14:paraId="6E4393C1" w14:textId="77777777" w:rsidR="009D162F" w:rsidRDefault="006E6378">
            <w:pPr>
              <w:spacing w:before="100" w:after="100" w:line="288" w:lineRule="auto"/>
              <w:jc w:val="both"/>
              <w:rPr>
                <w:rFonts w:ascii="Times New Roman" w:eastAsia="Times New Roman" w:hAnsi="Times New Roman" w:cs="Times New Roman"/>
                <w:color w:val="000000"/>
                <w:sz w:val="24"/>
                <w:szCs w:val="24"/>
                <w:lang w:val="en-US" w:bidi="te-IN"/>
              </w:rPr>
            </w:pPr>
            <w:r>
              <w:rPr>
                <w:rFonts w:ascii="Times New Roman" w:eastAsia="Times New Roman" w:hAnsi="Times New Roman" w:cs="Times New Roman"/>
                <w:color w:val="000000" w:themeColor="text1"/>
                <w:sz w:val="24"/>
                <w:szCs w:val="24"/>
                <w:lang w:bidi="te-IN"/>
              </w:rPr>
              <w:t>Drug content (%)</w:t>
            </w:r>
          </w:p>
        </w:tc>
        <w:tc>
          <w:tcPr>
            <w:tcW w:w="0" w:type="auto"/>
            <w:tcBorders>
              <w:bottom w:val="single" w:sz="4" w:space="0" w:color="auto"/>
            </w:tcBorders>
            <w:shd w:val="clear" w:color="000000" w:fill="FFFFFF"/>
          </w:tcPr>
          <w:p w14:paraId="31885377" w14:textId="77777777" w:rsidR="009D162F" w:rsidRDefault="006E6378">
            <w:pPr>
              <w:spacing w:before="100" w:after="100" w:line="288" w:lineRule="auto"/>
              <w:jc w:val="both"/>
              <w:rPr>
                <w:rFonts w:ascii="Times New Roman" w:eastAsia="Times New Roman" w:hAnsi="Times New Roman" w:cs="Times New Roman"/>
                <w:color w:val="000000"/>
                <w:sz w:val="24"/>
                <w:szCs w:val="24"/>
                <w:lang w:val="en-US" w:bidi="te-IN"/>
              </w:rPr>
            </w:pPr>
            <w:r>
              <w:rPr>
                <w:rFonts w:ascii="Times New Roman" w:eastAsia="Times New Roman" w:hAnsi="Times New Roman" w:cs="Times New Roman"/>
                <w:color w:val="000000" w:themeColor="text1"/>
                <w:sz w:val="24"/>
                <w:szCs w:val="24"/>
                <w:lang w:bidi="te-IN"/>
              </w:rPr>
              <w:t>84.34±4.32</w:t>
            </w:r>
          </w:p>
        </w:tc>
        <w:tc>
          <w:tcPr>
            <w:tcW w:w="0" w:type="auto"/>
            <w:tcBorders>
              <w:bottom w:val="single" w:sz="4" w:space="0" w:color="auto"/>
            </w:tcBorders>
            <w:shd w:val="clear" w:color="000000" w:fill="FFFFFF"/>
          </w:tcPr>
          <w:p w14:paraId="55F6DBEA" w14:textId="77777777" w:rsidR="009D162F" w:rsidRDefault="006E6378">
            <w:pPr>
              <w:spacing w:before="100" w:after="100" w:line="288" w:lineRule="auto"/>
              <w:jc w:val="both"/>
              <w:rPr>
                <w:rFonts w:ascii="Times New Roman" w:eastAsia="Times New Roman" w:hAnsi="Times New Roman" w:cs="Times New Roman"/>
                <w:color w:val="000000"/>
                <w:sz w:val="24"/>
                <w:szCs w:val="24"/>
                <w:lang w:val="en-US" w:bidi="te-IN"/>
              </w:rPr>
            </w:pPr>
            <w:r>
              <w:rPr>
                <w:rFonts w:ascii="Times New Roman" w:eastAsia="Times New Roman" w:hAnsi="Times New Roman" w:cs="Times New Roman"/>
                <w:color w:val="000000" w:themeColor="text1"/>
                <w:sz w:val="24"/>
                <w:szCs w:val="24"/>
                <w:lang w:bidi="te-IN"/>
              </w:rPr>
              <w:t>79.61±5.01</w:t>
            </w:r>
          </w:p>
        </w:tc>
      </w:tr>
    </w:tbl>
    <w:p w14:paraId="3B902E7B" w14:textId="77777777" w:rsidR="009D162F" w:rsidRDefault="009D162F">
      <w:pPr>
        <w:jc w:val="both"/>
        <w:rPr>
          <w:rFonts w:ascii="Times New Roman" w:hAnsi="Times New Roman" w:cs="Times New Roman"/>
          <w:sz w:val="24"/>
          <w:szCs w:val="24"/>
        </w:rPr>
      </w:pPr>
    </w:p>
    <w:p w14:paraId="2553E9D8" w14:textId="77777777" w:rsidR="009D162F" w:rsidRDefault="006E6378">
      <w:pPr>
        <w:jc w:val="both"/>
        <w:rPr>
          <w:rFonts w:ascii="Times New Roman" w:hAnsi="Times New Roman" w:cs="Times New Roman"/>
          <w:b/>
          <w:sz w:val="24"/>
          <w:szCs w:val="24"/>
        </w:rPr>
      </w:pPr>
      <w:r>
        <w:rPr>
          <w:rFonts w:ascii="Times New Roman" w:hAnsi="Times New Roman" w:cs="Times New Roman"/>
          <w:b/>
          <w:i/>
          <w:sz w:val="24"/>
          <w:szCs w:val="24"/>
        </w:rPr>
        <w:t>In-</w:t>
      </w:r>
      <w:proofErr w:type="spellStart"/>
      <w:r>
        <w:rPr>
          <w:rFonts w:ascii="Times New Roman" w:hAnsi="Times New Roman" w:cs="Times New Roman"/>
          <w:b/>
          <w:i/>
          <w:sz w:val="24"/>
          <w:szCs w:val="24"/>
        </w:rPr>
        <w:t>vitro</w:t>
      </w:r>
      <w:r>
        <w:rPr>
          <w:rFonts w:ascii="Times New Roman" w:hAnsi="Times New Roman" w:cs="Times New Roman"/>
          <w:b/>
          <w:sz w:val="24"/>
          <w:szCs w:val="24"/>
        </w:rPr>
        <w:t>drug</w:t>
      </w:r>
      <w:proofErr w:type="spellEnd"/>
      <w:r>
        <w:rPr>
          <w:rFonts w:ascii="Times New Roman" w:hAnsi="Times New Roman" w:cs="Times New Roman"/>
          <w:b/>
          <w:sz w:val="24"/>
          <w:szCs w:val="24"/>
        </w:rPr>
        <w:t xml:space="preserve"> release and drug release kinetics of NCGs</w:t>
      </w:r>
    </w:p>
    <w:p w14:paraId="1F3ED00C"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As depicted in (</w:t>
      </w:r>
      <w:r>
        <w:rPr>
          <w:rFonts w:ascii="Times New Roman" w:hAnsi="Times New Roman" w:cs="Times New Roman"/>
          <w:bCs/>
          <w:sz w:val="24"/>
          <w:szCs w:val="24"/>
        </w:rPr>
        <w:t>Fig.9)</w:t>
      </w:r>
      <w:r>
        <w:rPr>
          <w:rFonts w:ascii="Times New Roman" w:hAnsi="Times New Roman" w:cs="Times New Roman"/>
          <w:sz w:val="24"/>
          <w:szCs w:val="24"/>
        </w:rPr>
        <w:t>, both formulations NCGs exhibited sustained drug release for up to 12 hours, with NCG1 achieving a release of 97.22% and NCG2 reaching 94.88%. Notably, NCG1 outperformed NCG2 in terms of dru</w:t>
      </w:r>
      <w:r>
        <w:rPr>
          <w:rFonts w:ascii="Times New Roman" w:hAnsi="Times New Roman" w:cs="Times New Roman"/>
          <w:sz w:val="24"/>
          <w:szCs w:val="24"/>
        </w:rPr>
        <w:t>g release while maintaining a lower concentration of LBG. The challenge of achieving sustained drug release intensifies as the gum concentration increases. Both formulations follow to first-order kinetics with a diffusion model.</w:t>
      </w:r>
    </w:p>
    <w:p w14:paraId="47C02843" w14:textId="77777777" w:rsidR="009D162F" w:rsidRDefault="006E6378">
      <w:pPr>
        <w:jc w:val="center"/>
        <w:rPr>
          <w:rFonts w:ascii="Times New Roman" w:hAnsi="Times New Roman" w:cs="Times New Roman"/>
          <w:b/>
          <w:sz w:val="24"/>
          <w:szCs w:val="24"/>
        </w:rPr>
      </w:pPr>
      <w:r>
        <w:rPr>
          <w:rFonts w:ascii="Times New Roman" w:hAnsi="Times New Roman" w:cs="Times New Roman"/>
          <w:noProof/>
          <w:sz w:val="24"/>
          <w:szCs w:val="24"/>
        </w:rPr>
        <w:lastRenderedPageBreak/>
        <w:drawing>
          <wp:inline distT="0" distB="0" distL="0" distR="0" wp14:anchorId="34C68770" wp14:editId="3F46939A">
            <wp:extent cx="4972050" cy="3084830"/>
            <wp:effectExtent l="4445" t="4445" r="6985" b="19685"/>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1D56C41" w14:textId="77777777" w:rsidR="009D162F" w:rsidRDefault="006E6378">
      <w:pPr>
        <w:autoSpaceDE w:val="0"/>
        <w:autoSpaceDN w:val="0"/>
        <w:adjustRightInd w:val="0"/>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t>Fig.9</w:t>
      </w:r>
      <w:r>
        <w:rPr>
          <w:rFonts w:ascii="Times New Roman" w:hAnsi="Times New Roman" w:cs="Times New Roman"/>
          <w:i/>
          <w:iCs/>
          <w:color w:val="000000" w:themeColor="text1"/>
          <w:sz w:val="24"/>
          <w:szCs w:val="24"/>
        </w:rPr>
        <w:t>In-vitro</w:t>
      </w:r>
      <w:r>
        <w:rPr>
          <w:rFonts w:ascii="Times New Roman" w:hAnsi="Times New Roman" w:cs="Times New Roman"/>
          <w:color w:val="000000" w:themeColor="text1"/>
          <w:sz w:val="24"/>
          <w:szCs w:val="24"/>
        </w:rPr>
        <w:t xml:space="preserve"> drug releas</w:t>
      </w:r>
      <w:r>
        <w:rPr>
          <w:rFonts w:ascii="Times New Roman" w:hAnsi="Times New Roman" w:cs="Times New Roman"/>
          <w:color w:val="000000" w:themeColor="text1"/>
          <w:sz w:val="24"/>
          <w:szCs w:val="24"/>
        </w:rPr>
        <w:t>e profile of NCGs</w:t>
      </w:r>
    </w:p>
    <w:p w14:paraId="63A6D240" w14:textId="77777777" w:rsidR="009D162F" w:rsidRDefault="006E6378">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i/>
          <w:color w:val="000000" w:themeColor="text1"/>
          <w:sz w:val="24"/>
          <w:szCs w:val="24"/>
        </w:rPr>
        <w:t>Ex- vivo</w:t>
      </w:r>
      <w:r>
        <w:rPr>
          <w:rFonts w:ascii="Times New Roman" w:hAnsi="Times New Roman" w:cs="Times New Roman"/>
          <w:b/>
          <w:bCs/>
          <w:color w:val="000000" w:themeColor="text1"/>
          <w:sz w:val="24"/>
          <w:szCs w:val="24"/>
        </w:rPr>
        <w:t xml:space="preserve"> study of NCGs</w:t>
      </w:r>
    </w:p>
    <w:p w14:paraId="11DCDCE3"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 xml:space="preserve">The ex-vivo testing was conducted for both NCG1 and NCG2 formulations, revealing a slight variation in the CDR compared to the </w:t>
      </w:r>
      <w:r>
        <w:rPr>
          <w:rFonts w:ascii="Times New Roman" w:hAnsi="Times New Roman" w:cs="Times New Roman"/>
          <w:i/>
          <w:sz w:val="24"/>
          <w:szCs w:val="24"/>
        </w:rPr>
        <w:t>in-vitro</w:t>
      </w:r>
      <w:r>
        <w:rPr>
          <w:rFonts w:ascii="Times New Roman" w:hAnsi="Times New Roman" w:cs="Times New Roman"/>
          <w:sz w:val="24"/>
          <w:szCs w:val="24"/>
        </w:rPr>
        <w:t xml:space="preserve"> results. As depicted in (</w:t>
      </w:r>
      <w:r>
        <w:rPr>
          <w:rFonts w:ascii="Times New Roman" w:hAnsi="Times New Roman" w:cs="Times New Roman"/>
          <w:bCs/>
          <w:sz w:val="24"/>
          <w:szCs w:val="24"/>
        </w:rPr>
        <w:t>Fig. 10)</w:t>
      </w:r>
      <w:r>
        <w:rPr>
          <w:rFonts w:ascii="Times New Roman" w:hAnsi="Times New Roman" w:cs="Times New Roman"/>
          <w:sz w:val="24"/>
          <w:szCs w:val="24"/>
        </w:rPr>
        <w:t>, NCG1 exhibited a drug release of 91.47±5.17%</w:t>
      </w:r>
      <w:r>
        <w:rPr>
          <w:rFonts w:ascii="Times New Roman" w:hAnsi="Times New Roman" w:cs="Times New Roman"/>
          <w:sz w:val="24"/>
          <w:szCs w:val="24"/>
        </w:rPr>
        <w:t xml:space="preserve"> after 12 hours, while NCG2 demonstrated a release of 82.09±4.58%. The apparent permeability coefficient (Papp) for NCG1 and NCG2 formulations was determined to be 0.023 and 0.021 cm/s, respectively.</w:t>
      </w:r>
    </w:p>
    <w:p w14:paraId="611298B3" w14:textId="77777777" w:rsidR="009D162F" w:rsidRDefault="006E6378">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11995277" wp14:editId="41FD58B3">
            <wp:extent cx="4572000" cy="2743200"/>
            <wp:effectExtent l="4445" t="4445" r="10795" b="10795"/>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178F9A0" w14:textId="77777777" w:rsidR="009D162F" w:rsidRDefault="006E6378">
      <w:pPr>
        <w:autoSpaceDE w:val="0"/>
        <w:autoSpaceDN w:val="0"/>
        <w:adjustRightInd w:val="0"/>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Fig.10</w:t>
      </w:r>
      <w:r>
        <w:rPr>
          <w:rFonts w:ascii="Times New Roman" w:hAnsi="Times New Roman" w:cs="Times New Roman"/>
          <w:b/>
          <w:color w:val="000000" w:themeColor="text1"/>
          <w:sz w:val="24"/>
          <w:szCs w:val="24"/>
          <w:lang w:val="en-US"/>
        </w:rPr>
        <w:t xml:space="preserve"> </w:t>
      </w:r>
      <w:r>
        <w:rPr>
          <w:rFonts w:ascii="Times New Roman" w:hAnsi="Times New Roman" w:cs="Times New Roman"/>
          <w:bCs/>
          <w:i/>
          <w:iCs/>
          <w:color w:val="000000" w:themeColor="text1"/>
          <w:sz w:val="24"/>
          <w:szCs w:val="24"/>
        </w:rPr>
        <w:t xml:space="preserve">Ex-vivo </w:t>
      </w:r>
      <w:r>
        <w:rPr>
          <w:rFonts w:ascii="Times New Roman" w:hAnsi="Times New Roman" w:cs="Times New Roman"/>
          <w:bCs/>
          <w:color w:val="000000" w:themeColor="text1"/>
          <w:sz w:val="24"/>
          <w:szCs w:val="24"/>
        </w:rPr>
        <w:t>drug release profile of NCGs</w:t>
      </w:r>
    </w:p>
    <w:p w14:paraId="390D267F" w14:textId="77777777" w:rsidR="009D162F" w:rsidRDefault="009D162F">
      <w:pPr>
        <w:autoSpaceDE w:val="0"/>
        <w:autoSpaceDN w:val="0"/>
        <w:adjustRightInd w:val="0"/>
        <w:spacing w:line="360" w:lineRule="auto"/>
        <w:jc w:val="both"/>
        <w:rPr>
          <w:rFonts w:ascii="Times New Roman" w:hAnsi="Times New Roman" w:cs="Times New Roman"/>
          <w:b/>
          <w:color w:val="000000" w:themeColor="text1"/>
          <w:sz w:val="24"/>
          <w:szCs w:val="24"/>
        </w:rPr>
      </w:pPr>
    </w:p>
    <w:p w14:paraId="488AB8E4" w14:textId="77777777" w:rsidR="009D162F" w:rsidRDefault="006E6378">
      <w:pPr>
        <w:autoSpaceDE w:val="0"/>
        <w:autoSpaceDN w:val="0"/>
        <w:adjustRightInd w:val="0"/>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Choosing </w:t>
      </w:r>
      <w:r>
        <w:rPr>
          <w:rFonts w:ascii="Times New Roman" w:hAnsi="Times New Roman" w:cs="Times New Roman"/>
          <w:b/>
          <w:color w:val="000000" w:themeColor="text1"/>
          <w:sz w:val="24"/>
          <w:szCs w:val="24"/>
        </w:rPr>
        <w:t>the promised NCG formula</w:t>
      </w:r>
    </w:p>
    <w:p w14:paraId="0CE3EC1B" w14:textId="77777777" w:rsidR="009D162F" w:rsidRDefault="006E6378">
      <w:pPr>
        <w:jc w:val="both"/>
        <w:rPr>
          <w:rFonts w:ascii="Times New Roman" w:hAnsi="Times New Roman" w:cs="Times New Roman"/>
          <w:sz w:val="24"/>
          <w:szCs w:val="24"/>
        </w:rPr>
      </w:pPr>
      <w:r>
        <w:rPr>
          <w:rFonts w:ascii="Times New Roman" w:hAnsi="Times New Roman" w:cs="Times New Roman"/>
          <w:sz w:val="24"/>
          <w:szCs w:val="24"/>
        </w:rPr>
        <w:t xml:space="preserve">After </w:t>
      </w:r>
      <w:proofErr w:type="spellStart"/>
      <w:r>
        <w:rPr>
          <w:rFonts w:ascii="Times New Roman" w:hAnsi="Times New Roman" w:cs="Times New Roman"/>
          <w:sz w:val="24"/>
          <w:szCs w:val="24"/>
        </w:rPr>
        <w:t>analyzing</w:t>
      </w:r>
      <w:proofErr w:type="spellEnd"/>
      <w:r>
        <w:rPr>
          <w:rFonts w:ascii="Times New Roman" w:hAnsi="Times New Roman" w:cs="Times New Roman"/>
          <w:sz w:val="24"/>
          <w:szCs w:val="24"/>
        </w:rPr>
        <w:t xml:space="preserve"> the previous </w:t>
      </w:r>
      <w:r>
        <w:rPr>
          <w:rFonts w:ascii="Times New Roman" w:hAnsi="Times New Roman" w:cs="Times New Roman"/>
          <w:i/>
          <w:sz w:val="24"/>
          <w:szCs w:val="24"/>
        </w:rPr>
        <w:t>in-vitro</w:t>
      </w:r>
      <w:r>
        <w:rPr>
          <w:rFonts w:ascii="Times New Roman" w:hAnsi="Times New Roman" w:cs="Times New Roman"/>
          <w:sz w:val="24"/>
          <w:szCs w:val="24"/>
        </w:rPr>
        <w:t xml:space="preserve"> findings, the NCG1 formulation was chosen for the upcoming   pharmacodynamic evaluations.</w:t>
      </w:r>
    </w:p>
    <w:p w14:paraId="1EE58327" w14:textId="77777777" w:rsidR="009D162F" w:rsidRDefault="006E6378">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Pharmacodynamic study</w:t>
      </w:r>
    </w:p>
    <w:p w14:paraId="65E5439C" w14:textId="77777777" w:rsidR="009D162F" w:rsidRDefault="006E637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contrast to the control group with the disease, both treatment groups (1 and 2</w:t>
      </w:r>
      <w:r>
        <w:rPr>
          <w:rFonts w:ascii="Times New Roman" w:hAnsi="Times New Roman" w:cs="Times New Roman"/>
          <w:color w:val="000000" w:themeColor="text1"/>
          <w:sz w:val="24"/>
          <w:szCs w:val="24"/>
        </w:rPr>
        <w:t>) exhibited a significantly quicker onset of seizures, as indicated by P&lt;0.05, a finding that is explicitly presented in (</w:t>
      </w:r>
      <w:r>
        <w:rPr>
          <w:rFonts w:ascii="Times New Roman" w:hAnsi="Times New Roman" w:cs="Times New Roman"/>
          <w:bCs/>
          <w:color w:val="000000" w:themeColor="text1"/>
          <w:sz w:val="24"/>
          <w:szCs w:val="24"/>
        </w:rPr>
        <w:t>Fig. 1</w:t>
      </w:r>
      <w:r>
        <w:rPr>
          <w:rFonts w:ascii="Times New Roman" w:hAnsi="Times New Roman" w:cs="Times New Roman"/>
          <w:bCs/>
          <w:color w:val="000000" w:themeColor="text1"/>
          <w:sz w:val="24"/>
          <w:szCs w:val="24"/>
          <w:lang w:val="en-US"/>
        </w:rPr>
        <w:t>1</w:t>
      </w:r>
      <w:r>
        <w:rPr>
          <w:rFonts w:ascii="Times New Roman" w:hAnsi="Times New Roman" w:cs="Times New Roman"/>
          <w:bCs/>
          <w:color w:val="000000" w:themeColor="text1"/>
          <w:sz w:val="24"/>
          <w:szCs w:val="24"/>
        </w:rPr>
        <w:t>)</w:t>
      </w:r>
      <w:r>
        <w:rPr>
          <w:rFonts w:ascii="Times New Roman" w:hAnsi="Times New Roman" w:cs="Times New Roman"/>
          <w:color w:val="000000" w:themeColor="text1"/>
          <w:sz w:val="24"/>
          <w:szCs w:val="24"/>
        </w:rPr>
        <w:t xml:space="preserve">. Notably, the nasal administration group showed a delayed onset of action when compared to the oral administration group, </w:t>
      </w:r>
      <w:r>
        <w:rPr>
          <w:rFonts w:ascii="Times New Roman" w:hAnsi="Times New Roman" w:cs="Times New Roman"/>
          <w:color w:val="000000" w:themeColor="text1"/>
          <w:sz w:val="24"/>
          <w:szCs w:val="24"/>
        </w:rPr>
        <w:t>suggesting a targeted effect. The duration of seizure activity was noticeably shorter in the treatment groups (P&lt;0.05). Furthermore, it is worth noting that the nasal group exhibited a shorter duration of effect compared to the oral group, indicating its s</w:t>
      </w:r>
      <w:r>
        <w:rPr>
          <w:rFonts w:ascii="Times New Roman" w:hAnsi="Times New Roman" w:cs="Times New Roman"/>
          <w:color w:val="000000" w:themeColor="text1"/>
          <w:sz w:val="24"/>
          <w:szCs w:val="24"/>
        </w:rPr>
        <w:t>pecificity for the intended site of action.</w:t>
      </w:r>
    </w:p>
    <w:p w14:paraId="275FACB6" w14:textId="77777777" w:rsidR="009D162F" w:rsidRDefault="009D162F">
      <w:pPr>
        <w:spacing w:line="360" w:lineRule="auto"/>
        <w:jc w:val="both"/>
        <w:rPr>
          <w:rFonts w:ascii="Times New Roman" w:hAnsi="Times New Roman" w:cs="Times New Roman"/>
          <w:b/>
          <w:color w:val="000000" w:themeColor="text1"/>
          <w:sz w:val="24"/>
          <w:szCs w:val="24"/>
        </w:rPr>
      </w:pPr>
    </w:p>
    <w:p w14:paraId="1C719152" w14:textId="77777777" w:rsidR="009D162F" w:rsidRDefault="006E6378">
      <w:pPr>
        <w:pStyle w:val="BodyText"/>
        <w:spacing w:after="200" w:line="360" w:lineRule="auto"/>
        <w:jc w:val="center"/>
        <w:rPr>
          <w:lang w:val="en-IN"/>
        </w:rPr>
      </w:pPr>
      <w:r>
        <w:rPr>
          <w:noProof/>
          <w:lang w:val="en-IN"/>
        </w:rPr>
        <w:drawing>
          <wp:inline distT="0" distB="0" distL="0" distR="0" wp14:anchorId="2F40B115" wp14:editId="5FD6353D">
            <wp:extent cx="5731510" cy="1984375"/>
            <wp:effectExtent l="0" t="0" r="13970" b="12065"/>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r:embed="rId17"/>
                    <a:srcRect/>
                    <a:stretch>
                      <a:fillRect/>
                    </a:stretch>
                  </pic:blipFill>
                  <pic:spPr>
                    <a:xfrm>
                      <a:off x="0" y="0"/>
                      <a:ext cx="5731510" cy="1984438"/>
                    </a:xfrm>
                    <a:prstGeom prst="rect">
                      <a:avLst/>
                    </a:prstGeom>
                    <a:noFill/>
                    <a:ln w="9525">
                      <a:noFill/>
                      <a:miter lim="800000"/>
                      <a:headEnd/>
                      <a:tailEnd/>
                    </a:ln>
                  </pic:spPr>
                </pic:pic>
              </a:graphicData>
            </a:graphic>
          </wp:inline>
        </w:drawing>
      </w:r>
      <w:r>
        <w:rPr>
          <w:shd w:val="clear" w:color="auto" w:fill="FFFFFF"/>
          <w:vertAlign w:val="superscript"/>
        </w:rPr>
        <w:t xml:space="preserve">* </w:t>
      </w:r>
      <w:r>
        <w:rPr>
          <w:shd w:val="clear" w:color="auto" w:fill="FFFFFF"/>
        </w:rPr>
        <w:t xml:space="preserve">p &lt;0.05 compared to diseased control, </w:t>
      </w:r>
      <w:r>
        <w:rPr>
          <w:shd w:val="clear" w:color="auto" w:fill="FFFFFF"/>
          <w:vertAlign w:val="superscript"/>
        </w:rPr>
        <w:t>#</w:t>
      </w:r>
      <w:r>
        <w:rPr>
          <w:shd w:val="clear" w:color="auto" w:fill="FFFFFF"/>
        </w:rPr>
        <w:t xml:space="preserve"> p &lt;0.05 compared to treatment 1 (pure drug 50 mg/kg/oral.)</w:t>
      </w:r>
    </w:p>
    <w:p w14:paraId="4BE0AA0A" w14:textId="77777777" w:rsidR="009D162F" w:rsidRDefault="006E6378">
      <w:pPr>
        <w:jc w:val="both"/>
        <w:rPr>
          <w:rFonts w:ascii="Times New Roman" w:hAnsi="Times New Roman" w:cs="Times New Roman"/>
          <w:b/>
          <w:sz w:val="24"/>
          <w:szCs w:val="24"/>
        </w:rPr>
      </w:pPr>
      <w:r>
        <w:rPr>
          <w:rFonts w:ascii="Times New Roman" w:hAnsi="Times New Roman" w:cs="Times New Roman"/>
          <w:b/>
          <w:color w:val="000000" w:themeColor="text1"/>
          <w:sz w:val="24"/>
          <w:szCs w:val="24"/>
        </w:rPr>
        <w:t>Fig. 1</w:t>
      </w:r>
      <w:r>
        <w:rPr>
          <w:rFonts w:ascii="Times New Roman" w:hAnsi="Times New Roman" w:cs="Times New Roman"/>
          <w:b/>
          <w:color w:val="000000" w:themeColor="text1"/>
          <w:sz w:val="24"/>
          <w:szCs w:val="24"/>
          <w:lang w:val="en-US"/>
        </w:rPr>
        <w:t>1</w:t>
      </w:r>
      <w:r>
        <w:rPr>
          <w:rFonts w:ascii="Times New Roman" w:hAnsi="Times New Roman" w:cs="Times New Roman"/>
          <w:b/>
          <w:color w:val="000000" w:themeColor="text1"/>
          <w:sz w:val="24"/>
          <w:szCs w:val="24"/>
        </w:rPr>
        <w:t xml:space="preserve"> </w:t>
      </w:r>
      <w:r>
        <w:rPr>
          <w:rFonts w:ascii="Times New Roman" w:hAnsi="Times New Roman" w:cs="Times New Roman"/>
          <w:bCs/>
          <w:sz w:val="24"/>
          <w:szCs w:val="24"/>
        </w:rPr>
        <w:t>Effect of NRG suspension and NCG on PTZ induced a) onset of seizures b) duration of seizures in rats</w:t>
      </w:r>
    </w:p>
    <w:p w14:paraId="04E824C4" w14:textId="77777777" w:rsidR="009D162F" w:rsidRDefault="006E6378">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Stability study</w:t>
      </w:r>
    </w:p>
    <w:p w14:paraId="58D73297" w14:textId="58EC037A" w:rsidR="009D162F" w:rsidRDefault="006E637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enhanced NCG formulation underwent for stability testing, and the findings from these stability studies can be found in (Table </w:t>
      </w:r>
      <w:r w:rsidR="00F53462">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The results indicated that there have been minimal alterations in parameters such as clarity, gelation time, pH, PS, drug content, and drug release. Notably, the formulation's zeta potential measured at -16.6, indicating its stability as particle aggregati</w:t>
      </w:r>
      <w:r>
        <w:rPr>
          <w:rFonts w:ascii="Times New Roman" w:hAnsi="Times New Roman" w:cs="Times New Roman"/>
          <w:color w:val="000000" w:themeColor="text1"/>
          <w:sz w:val="24"/>
          <w:szCs w:val="24"/>
        </w:rPr>
        <w:t xml:space="preserve">on is absent. In conclusion, based on this NCG stability study, the formulation showed good stability for a period of </w:t>
      </w:r>
      <w:proofErr w:type="spellStart"/>
      <w:r>
        <w:rPr>
          <w:rFonts w:ascii="Times New Roman" w:hAnsi="Times New Roman" w:cs="Times New Roman"/>
          <w:color w:val="000000" w:themeColor="text1"/>
          <w:sz w:val="24"/>
          <w:szCs w:val="24"/>
        </w:rPr>
        <w:t>upto</w:t>
      </w:r>
      <w:proofErr w:type="spellEnd"/>
      <w:r>
        <w:rPr>
          <w:rFonts w:ascii="Times New Roman" w:hAnsi="Times New Roman" w:cs="Times New Roman"/>
          <w:color w:val="000000" w:themeColor="text1"/>
          <w:sz w:val="24"/>
          <w:szCs w:val="24"/>
        </w:rPr>
        <w:t xml:space="preserve"> six months.</w:t>
      </w:r>
    </w:p>
    <w:p w14:paraId="52BCBE52" w14:textId="62411C90" w:rsidR="009D162F" w:rsidRDefault="006E6378">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Table </w:t>
      </w:r>
      <w:r w:rsidR="00F53462">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 xml:space="preserve"> </w:t>
      </w:r>
      <w:r>
        <w:rPr>
          <w:rFonts w:ascii="Times New Roman" w:hAnsi="Times New Roman" w:cs="Times New Roman"/>
          <w:bCs/>
          <w:color w:val="000000" w:themeColor="text1"/>
          <w:sz w:val="24"/>
          <w:szCs w:val="24"/>
        </w:rPr>
        <w:t>Stability study data of NCG</w:t>
      </w:r>
    </w:p>
    <w:tbl>
      <w:tblPr>
        <w:tblW w:w="5200" w:type="pct"/>
        <w:tblLook w:val="04A0" w:firstRow="1" w:lastRow="0" w:firstColumn="1" w:lastColumn="0" w:noHBand="0" w:noVBand="1"/>
      </w:tblPr>
      <w:tblGrid>
        <w:gridCol w:w="4173"/>
        <w:gridCol w:w="1813"/>
        <w:gridCol w:w="1813"/>
        <w:gridCol w:w="1813"/>
      </w:tblGrid>
      <w:tr w:rsidR="009D162F" w14:paraId="3E68BD3D" w14:textId="77777777">
        <w:trPr>
          <w:cantSplit/>
          <w:trHeight w:val="358"/>
        </w:trPr>
        <w:tc>
          <w:tcPr>
            <w:tcW w:w="4999" w:type="pct"/>
            <w:gridSpan w:val="4"/>
            <w:tcBorders>
              <w:top w:val="single" w:sz="4" w:space="0" w:color="auto"/>
              <w:bottom w:val="single" w:sz="4" w:space="0" w:color="auto"/>
            </w:tcBorders>
          </w:tcPr>
          <w:p w14:paraId="2DDE261C" w14:textId="77777777" w:rsidR="009D162F" w:rsidRDefault="006E6378">
            <w:pPr>
              <w:spacing w:before="100" w:after="100" w:line="312"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Stability study of NCG at accelerated condition (25±2</w:t>
            </w:r>
            <w:r>
              <w:rPr>
                <w:rFonts w:ascii="Times New Roman" w:hAnsi="Times New Roman" w:cs="Times New Roman"/>
                <w:b/>
                <w:color w:val="000000" w:themeColor="text1"/>
                <w:sz w:val="24"/>
                <w:szCs w:val="24"/>
                <w:vertAlign w:val="superscript"/>
              </w:rPr>
              <w:t>o</w:t>
            </w:r>
            <w:r>
              <w:rPr>
                <w:rFonts w:ascii="Times New Roman" w:hAnsi="Times New Roman" w:cs="Times New Roman"/>
                <w:b/>
                <w:color w:val="000000" w:themeColor="text1"/>
                <w:sz w:val="24"/>
                <w:szCs w:val="24"/>
              </w:rPr>
              <w:t>C, 60±5% RH)</w:t>
            </w:r>
          </w:p>
        </w:tc>
      </w:tr>
      <w:tr w:rsidR="009D162F" w14:paraId="7C2DA1B5" w14:textId="77777777">
        <w:trPr>
          <w:cantSplit/>
          <w:trHeight w:val="358"/>
        </w:trPr>
        <w:tc>
          <w:tcPr>
            <w:tcW w:w="2171" w:type="pct"/>
            <w:tcBorders>
              <w:top w:val="single" w:sz="4" w:space="0" w:color="auto"/>
              <w:bottom w:val="single" w:sz="4" w:space="0" w:color="auto"/>
            </w:tcBorders>
          </w:tcPr>
          <w:p w14:paraId="5330A86C" w14:textId="77777777" w:rsidR="009D162F" w:rsidRDefault="006E6378">
            <w:pPr>
              <w:spacing w:before="100" w:after="100" w:line="312"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Parameter</w:t>
            </w:r>
          </w:p>
        </w:tc>
        <w:tc>
          <w:tcPr>
            <w:tcW w:w="943" w:type="pct"/>
            <w:tcBorders>
              <w:top w:val="single" w:sz="4" w:space="0" w:color="auto"/>
              <w:bottom w:val="single" w:sz="4" w:space="0" w:color="auto"/>
            </w:tcBorders>
          </w:tcPr>
          <w:p w14:paraId="0CBA1A38" w14:textId="77777777" w:rsidR="009D162F" w:rsidRDefault="006E6378">
            <w:pPr>
              <w:spacing w:before="100" w:after="100" w:line="312"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Initial</w:t>
            </w:r>
          </w:p>
        </w:tc>
        <w:tc>
          <w:tcPr>
            <w:tcW w:w="943" w:type="pct"/>
            <w:tcBorders>
              <w:top w:val="single" w:sz="4" w:space="0" w:color="auto"/>
              <w:bottom w:val="single" w:sz="4" w:space="0" w:color="auto"/>
            </w:tcBorders>
          </w:tcPr>
          <w:p w14:paraId="5A8C87CC" w14:textId="77777777" w:rsidR="009D162F" w:rsidRDefault="006E6378">
            <w:pPr>
              <w:spacing w:before="100" w:after="100" w:line="312"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 Months</w:t>
            </w:r>
          </w:p>
        </w:tc>
        <w:tc>
          <w:tcPr>
            <w:tcW w:w="943" w:type="pct"/>
            <w:tcBorders>
              <w:top w:val="single" w:sz="4" w:space="0" w:color="auto"/>
              <w:bottom w:val="single" w:sz="4" w:space="0" w:color="auto"/>
            </w:tcBorders>
          </w:tcPr>
          <w:p w14:paraId="5C427274" w14:textId="77777777" w:rsidR="009D162F" w:rsidRDefault="006E6378">
            <w:pPr>
              <w:spacing w:before="100" w:after="100" w:line="312"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 Months</w:t>
            </w:r>
          </w:p>
        </w:tc>
      </w:tr>
      <w:tr w:rsidR="009D162F" w14:paraId="37EAC6CE" w14:textId="77777777">
        <w:trPr>
          <w:cantSplit/>
          <w:trHeight w:val="358"/>
        </w:trPr>
        <w:tc>
          <w:tcPr>
            <w:tcW w:w="2171" w:type="pct"/>
            <w:tcBorders>
              <w:top w:val="single" w:sz="4" w:space="0" w:color="auto"/>
            </w:tcBorders>
          </w:tcPr>
          <w:p w14:paraId="7DA18739" w14:textId="77777777" w:rsidR="009D162F" w:rsidRDefault="006E6378">
            <w:pPr>
              <w:spacing w:before="100" w:after="100" w:line="312"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Clarity</w:t>
            </w:r>
          </w:p>
        </w:tc>
        <w:tc>
          <w:tcPr>
            <w:tcW w:w="943" w:type="pct"/>
            <w:tcBorders>
              <w:top w:val="single" w:sz="4" w:space="0" w:color="auto"/>
            </w:tcBorders>
          </w:tcPr>
          <w:p w14:paraId="38CD9A42" w14:textId="77777777" w:rsidR="009D162F" w:rsidRDefault="006E6378">
            <w:pPr>
              <w:spacing w:before="100" w:after="100" w:line="312"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Clear</w:t>
            </w:r>
          </w:p>
        </w:tc>
        <w:tc>
          <w:tcPr>
            <w:tcW w:w="943" w:type="pct"/>
            <w:tcBorders>
              <w:top w:val="single" w:sz="4" w:space="0" w:color="auto"/>
            </w:tcBorders>
          </w:tcPr>
          <w:p w14:paraId="42A395E4" w14:textId="77777777" w:rsidR="009D162F" w:rsidRDefault="006E6378">
            <w:pPr>
              <w:spacing w:before="100" w:after="100" w:line="312"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Clear</w:t>
            </w:r>
          </w:p>
        </w:tc>
        <w:tc>
          <w:tcPr>
            <w:tcW w:w="943" w:type="pct"/>
            <w:tcBorders>
              <w:top w:val="single" w:sz="4" w:space="0" w:color="auto"/>
            </w:tcBorders>
          </w:tcPr>
          <w:p w14:paraId="18BA2359" w14:textId="77777777" w:rsidR="009D162F" w:rsidRDefault="006E6378">
            <w:pPr>
              <w:spacing w:before="100" w:after="100" w:line="312"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Clear</w:t>
            </w:r>
          </w:p>
        </w:tc>
      </w:tr>
      <w:tr w:rsidR="009D162F" w14:paraId="14B1FF07" w14:textId="77777777">
        <w:trPr>
          <w:cantSplit/>
          <w:trHeight w:val="651"/>
        </w:trPr>
        <w:tc>
          <w:tcPr>
            <w:tcW w:w="2171" w:type="pct"/>
          </w:tcPr>
          <w:p w14:paraId="44D98C86" w14:textId="77777777" w:rsidR="009D162F" w:rsidRDefault="006E6378">
            <w:pPr>
              <w:spacing w:before="100" w:after="10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Gelation time (S)</w:t>
            </w:r>
          </w:p>
          <w:p w14:paraId="68F0D9A7" w14:textId="77777777" w:rsidR="009D162F" w:rsidRDefault="006E6378">
            <w:pPr>
              <w:spacing w:before="100" w:after="10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pH</w:t>
            </w:r>
          </w:p>
        </w:tc>
        <w:tc>
          <w:tcPr>
            <w:tcW w:w="943" w:type="pct"/>
          </w:tcPr>
          <w:p w14:paraId="7ADAC7DC" w14:textId="77777777" w:rsidR="009D162F" w:rsidRDefault="006E6378">
            <w:pPr>
              <w:spacing w:before="100" w:after="100" w:line="312"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7±3.7</w:t>
            </w:r>
          </w:p>
          <w:p w14:paraId="36324E37" w14:textId="77777777" w:rsidR="009D162F" w:rsidRDefault="006E6378">
            <w:pPr>
              <w:spacing w:before="100" w:after="100" w:line="312"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6.1±4.2</w:t>
            </w:r>
          </w:p>
        </w:tc>
        <w:tc>
          <w:tcPr>
            <w:tcW w:w="943" w:type="pct"/>
          </w:tcPr>
          <w:p w14:paraId="42EF613B" w14:textId="77777777" w:rsidR="009D162F" w:rsidRDefault="006E6378">
            <w:pPr>
              <w:spacing w:before="100" w:after="100" w:line="312"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7±5.3</w:t>
            </w:r>
          </w:p>
          <w:p w14:paraId="7471F8AF" w14:textId="77777777" w:rsidR="009D162F" w:rsidRDefault="006E6378">
            <w:pPr>
              <w:spacing w:before="100" w:after="10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6.1±3.36</w:t>
            </w:r>
          </w:p>
        </w:tc>
        <w:tc>
          <w:tcPr>
            <w:tcW w:w="943" w:type="pct"/>
          </w:tcPr>
          <w:p w14:paraId="535E5320" w14:textId="77777777" w:rsidR="009D162F" w:rsidRDefault="006E6378">
            <w:pPr>
              <w:spacing w:before="100" w:after="100" w:line="312"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7.5±1.04</w:t>
            </w:r>
          </w:p>
          <w:p w14:paraId="64A7CEB6" w14:textId="77777777" w:rsidR="009D162F" w:rsidRDefault="006E6378">
            <w:pPr>
              <w:spacing w:before="100" w:after="10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6.2±2.73</w:t>
            </w:r>
          </w:p>
        </w:tc>
      </w:tr>
      <w:tr w:rsidR="009D162F" w14:paraId="7F899AC5" w14:textId="77777777">
        <w:trPr>
          <w:cantSplit/>
          <w:trHeight w:val="661"/>
        </w:trPr>
        <w:tc>
          <w:tcPr>
            <w:tcW w:w="2171" w:type="pct"/>
          </w:tcPr>
          <w:p w14:paraId="0B915A08" w14:textId="77777777" w:rsidR="009D162F" w:rsidRDefault="006E6378">
            <w:pPr>
              <w:spacing w:before="100" w:after="10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Particle size (nm)</w:t>
            </w:r>
          </w:p>
          <w:p w14:paraId="62379801" w14:textId="77777777" w:rsidR="009D162F" w:rsidRDefault="006E6378">
            <w:pPr>
              <w:spacing w:before="100" w:after="10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Drug content (%)</w:t>
            </w:r>
          </w:p>
        </w:tc>
        <w:tc>
          <w:tcPr>
            <w:tcW w:w="943" w:type="pct"/>
          </w:tcPr>
          <w:p w14:paraId="09CF59EC" w14:textId="77777777" w:rsidR="009D162F" w:rsidRDefault="006E6378">
            <w:pPr>
              <w:spacing w:before="100" w:after="100" w:line="312"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196±6.93</w:t>
            </w:r>
          </w:p>
          <w:p w14:paraId="72B97A5D" w14:textId="77777777" w:rsidR="009D162F" w:rsidRDefault="006E6378">
            <w:pPr>
              <w:spacing w:before="100" w:after="10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82.6±5.92</w:t>
            </w:r>
          </w:p>
        </w:tc>
        <w:tc>
          <w:tcPr>
            <w:tcW w:w="943" w:type="pct"/>
          </w:tcPr>
          <w:p w14:paraId="50983480" w14:textId="77777777" w:rsidR="009D162F" w:rsidRDefault="006E6378">
            <w:pPr>
              <w:spacing w:before="100" w:after="100" w:line="312"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196.5±5.38</w:t>
            </w:r>
          </w:p>
          <w:p w14:paraId="7A22EFEF" w14:textId="77777777" w:rsidR="009D162F" w:rsidRDefault="006E6378">
            <w:pPr>
              <w:spacing w:before="100" w:after="10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82.2±5.37</w:t>
            </w:r>
          </w:p>
        </w:tc>
        <w:tc>
          <w:tcPr>
            <w:tcW w:w="943" w:type="pct"/>
          </w:tcPr>
          <w:p w14:paraId="295B9112" w14:textId="77777777" w:rsidR="009D162F" w:rsidRDefault="006E6378">
            <w:pPr>
              <w:spacing w:before="100" w:after="100" w:line="312"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199±5.02</w:t>
            </w:r>
          </w:p>
          <w:p w14:paraId="38D93316" w14:textId="77777777" w:rsidR="009D162F" w:rsidRDefault="006E6378">
            <w:pPr>
              <w:spacing w:before="100" w:after="10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81.6±3.96</w:t>
            </w:r>
          </w:p>
        </w:tc>
      </w:tr>
      <w:tr w:rsidR="009D162F" w14:paraId="738AB5F2" w14:textId="77777777">
        <w:trPr>
          <w:cantSplit/>
          <w:trHeight w:val="358"/>
        </w:trPr>
        <w:tc>
          <w:tcPr>
            <w:tcW w:w="2171" w:type="pct"/>
            <w:tcBorders>
              <w:bottom w:val="single" w:sz="4" w:space="0" w:color="auto"/>
            </w:tcBorders>
          </w:tcPr>
          <w:p w14:paraId="5D037838" w14:textId="77777777" w:rsidR="009D162F" w:rsidRDefault="006E6378">
            <w:pPr>
              <w:spacing w:before="100" w:after="10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Drug release at 12</w:t>
            </w:r>
            <w:r>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h (%)</w:t>
            </w:r>
          </w:p>
        </w:tc>
        <w:tc>
          <w:tcPr>
            <w:tcW w:w="943" w:type="pct"/>
            <w:tcBorders>
              <w:bottom w:val="single" w:sz="4" w:space="0" w:color="auto"/>
            </w:tcBorders>
          </w:tcPr>
          <w:p w14:paraId="6927D189" w14:textId="77777777" w:rsidR="009D162F" w:rsidRDefault="006E6378">
            <w:pPr>
              <w:spacing w:before="100" w:after="100" w:line="312" w:lineRule="auto"/>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lang w:val="en-US"/>
              </w:rPr>
              <w:t>92.9±6.42</w:t>
            </w:r>
          </w:p>
        </w:tc>
        <w:tc>
          <w:tcPr>
            <w:tcW w:w="943" w:type="pct"/>
            <w:tcBorders>
              <w:bottom w:val="single" w:sz="4" w:space="0" w:color="auto"/>
            </w:tcBorders>
          </w:tcPr>
          <w:p w14:paraId="379E62C4" w14:textId="77777777" w:rsidR="009D162F" w:rsidRDefault="006E6378">
            <w:pPr>
              <w:spacing w:before="100" w:after="100" w:line="312" w:lineRule="auto"/>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lang w:val="en-US"/>
              </w:rPr>
              <w:t>92.47±5.39</w:t>
            </w:r>
          </w:p>
        </w:tc>
        <w:tc>
          <w:tcPr>
            <w:tcW w:w="943" w:type="pct"/>
            <w:tcBorders>
              <w:bottom w:val="single" w:sz="4" w:space="0" w:color="auto"/>
            </w:tcBorders>
          </w:tcPr>
          <w:p w14:paraId="523FC58E" w14:textId="77777777" w:rsidR="009D162F" w:rsidRDefault="006E6378">
            <w:pPr>
              <w:spacing w:before="100" w:after="100" w:line="312" w:lineRule="auto"/>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92.34±4.01</w:t>
            </w:r>
          </w:p>
        </w:tc>
      </w:tr>
      <w:tr w:rsidR="009D162F" w14:paraId="72B58E64" w14:textId="77777777">
        <w:trPr>
          <w:cantSplit/>
          <w:trHeight w:val="369"/>
        </w:trPr>
        <w:tc>
          <w:tcPr>
            <w:tcW w:w="4999" w:type="pct"/>
            <w:gridSpan w:val="4"/>
            <w:tcBorders>
              <w:top w:val="single" w:sz="4" w:space="0" w:color="auto"/>
              <w:bottom w:val="single" w:sz="4" w:space="0" w:color="auto"/>
            </w:tcBorders>
          </w:tcPr>
          <w:p w14:paraId="2B72EB31" w14:textId="77777777" w:rsidR="009D162F" w:rsidRDefault="006E6378">
            <w:pPr>
              <w:spacing w:before="100" w:after="100" w:line="312"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Stability study of NCG </w:t>
            </w:r>
            <w:r>
              <w:rPr>
                <w:rFonts w:ascii="Times New Roman" w:hAnsi="Times New Roman" w:cs="Times New Roman"/>
                <w:b/>
                <w:i/>
                <w:color w:val="000000" w:themeColor="text1"/>
                <w:sz w:val="24"/>
                <w:szCs w:val="24"/>
              </w:rPr>
              <w:t>in-situ</w:t>
            </w:r>
            <w:r>
              <w:rPr>
                <w:rFonts w:ascii="Times New Roman" w:hAnsi="Times New Roman" w:cs="Times New Roman"/>
                <w:b/>
                <w:color w:val="000000" w:themeColor="text1"/>
                <w:sz w:val="24"/>
                <w:szCs w:val="24"/>
              </w:rPr>
              <w:t xml:space="preserve"> gel under refrigeration (2-8</w:t>
            </w:r>
            <w:r>
              <w:rPr>
                <w:rFonts w:ascii="Times New Roman" w:hAnsi="Times New Roman" w:cs="Times New Roman"/>
                <w:b/>
                <w:color w:val="000000" w:themeColor="text1"/>
                <w:sz w:val="24"/>
                <w:szCs w:val="24"/>
                <w:vertAlign w:val="superscript"/>
              </w:rPr>
              <w:t>o</w:t>
            </w:r>
            <w:r>
              <w:rPr>
                <w:rFonts w:ascii="Times New Roman" w:hAnsi="Times New Roman" w:cs="Times New Roman"/>
                <w:b/>
                <w:color w:val="000000" w:themeColor="text1"/>
                <w:sz w:val="24"/>
                <w:szCs w:val="24"/>
              </w:rPr>
              <w:t>C)</w:t>
            </w:r>
          </w:p>
        </w:tc>
      </w:tr>
      <w:tr w:rsidR="009D162F" w14:paraId="5ADE904D" w14:textId="77777777">
        <w:trPr>
          <w:cantSplit/>
          <w:trHeight w:val="954"/>
        </w:trPr>
        <w:tc>
          <w:tcPr>
            <w:tcW w:w="2171" w:type="pct"/>
            <w:tcBorders>
              <w:top w:val="single" w:sz="4" w:space="0" w:color="auto"/>
            </w:tcBorders>
          </w:tcPr>
          <w:p w14:paraId="3A247921" w14:textId="77777777" w:rsidR="009D162F" w:rsidRDefault="006E6378">
            <w:pPr>
              <w:spacing w:before="100" w:after="10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Gelation time (S)</w:t>
            </w:r>
          </w:p>
          <w:p w14:paraId="2447C8EC" w14:textId="77777777" w:rsidR="009D162F" w:rsidRDefault="006E6378">
            <w:pPr>
              <w:spacing w:before="100" w:after="100" w:line="312"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pH</w:t>
            </w:r>
          </w:p>
          <w:p w14:paraId="70F3C8B8" w14:textId="77777777" w:rsidR="009D162F" w:rsidRDefault="006E6378">
            <w:pPr>
              <w:spacing w:before="100" w:after="10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Particle size (nm)</w:t>
            </w:r>
          </w:p>
        </w:tc>
        <w:tc>
          <w:tcPr>
            <w:tcW w:w="943" w:type="pct"/>
            <w:tcBorders>
              <w:top w:val="single" w:sz="4" w:space="0" w:color="auto"/>
            </w:tcBorders>
          </w:tcPr>
          <w:p w14:paraId="53682385" w14:textId="77777777" w:rsidR="009D162F" w:rsidRDefault="006E6378">
            <w:pPr>
              <w:spacing w:before="100" w:after="100" w:line="312"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7±3.7</w:t>
            </w:r>
          </w:p>
          <w:p w14:paraId="5D2775B7" w14:textId="77777777" w:rsidR="009D162F" w:rsidRDefault="006E6378">
            <w:pPr>
              <w:spacing w:before="100" w:after="10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6.1±4.2</w:t>
            </w:r>
          </w:p>
          <w:p w14:paraId="4DDBC37F" w14:textId="77777777" w:rsidR="009D162F" w:rsidRDefault="006E6378">
            <w:pPr>
              <w:spacing w:before="100" w:after="100" w:line="312"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192.5±6.93</w:t>
            </w:r>
          </w:p>
        </w:tc>
        <w:tc>
          <w:tcPr>
            <w:tcW w:w="943" w:type="pct"/>
            <w:tcBorders>
              <w:top w:val="single" w:sz="4" w:space="0" w:color="auto"/>
            </w:tcBorders>
          </w:tcPr>
          <w:p w14:paraId="02E7CD10" w14:textId="77777777" w:rsidR="009D162F" w:rsidRDefault="006E6378">
            <w:pPr>
              <w:spacing w:before="100" w:after="10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7±0.97</w:t>
            </w:r>
          </w:p>
          <w:p w14:paraId="11B27DD6" w14:textId="77777777" w:rsidR="009D162F" w:rsidRDefault="006E6378">
            <w:pPr>
              <w:spacing w:before="100" w:after="10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6.1±2.20</w:t>
            </w:r>
          </w:p>
          <w:p w14:paraId="079235DE" w14:textId="77777777" w:rsidR="009D162F" w:rsidRDefault="006E6378">
            <w:pPr>
              <w:spacing w:before="100" w:after="10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192±2.28</w:t>
            </w:r>
          </w:p>
        </w:tc>
        <w:tc>
          <w:tcPr>
            <w:tcW w:w="943" w:type="pct"/>
            <w:tcBorders>
              <w:top w:val="single" w:sz="4" w:space="0" w:color="auto"/>
            </w:tcBorders>
          </w:tcPr>
          <w:p w14:paraId="0F2935D5" w14:textId="77777777" w:rsidR="009D162F" w:rsidRDefault="006E6378">
            <w:pPr>
              <w:spacing w:before="100" w:after="10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7±0.95</w:t>
            </w:r>
          </w:p>
          <w:p w14:paraId="3B02D7FD" w14:textId="77777777" w:rsidR="009D162F" w:rsidRDefault="006E6378">
            <w:pPr>
              <w:spacing w:before="100" w:after="10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6.1±1.97</w:t>
            </w:r>
          </w:p>
          <w:p w14:paraId="7724D3CE" w14:textId="77777777" w:rsidR="009D162F" w:rsidRDefault="006E6378">
            <w:pPr>
              <w:spacing w:before="100" w:after="10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194.6±3.56</w:t>
            </w:r>
          </w:p>
        </w:tc>
      </w:tr>
      <w:tr w:rsidR="009D162F" w14:paraId="4B533272" w14:textId="77777777">
        <w:trPr>
          <w:cantSplit/>
          <w:trHeight w:val="358"/>
        </w:trPr>
        <w:tc>
          <w:tcPr>
            <w:tcW w:w="2171" w:type="pct"/>
          </w:tcPr>
          <w:p w14:paraId="2752CD97" w14:textId="77777777" w:rsidR="009D162F" w:rsidRDefault="006E6378">
            <w:pPr>
              <w:spacing w:before="100" w:after="10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Drug content (%)</w:t>
            </w:r>
          </w:p>
        </w:tc>
        <w:tc>
          <w:tcPr>
            <w:tcW w:w="943" w:type="pct"/>
          </w:tcPr>
          <w:p w14:paraId="2EA5D7BF" w14:textId="77777777" w:rsidR="009D162F" w:rsidRDefault="006E6378">
            <w:pPr>
              <w:spacing w:before="100" w:after="10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82.6±5.92</w:t>
            </w:r>
          </w:p>
        </w:tc>
        <w:tc>
          <w:tcPr>
            <w:tcW w:w="943" w:type="pct"/>
          </w:tcPr>
          <w:p w14:paraId="2B529593" w14:textId="77777777" w:rsidR="009D162F" w:rsidRDefault="006E6378">
            <w:pPr>
              <w:spacing w:before="100" w:after="10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82.4±3.04</w:t>
            </w:r>
          </w:p>
        </w:tc>
        <w:tc>
          <w:tcPr>
            <w:tcW w:w="943" w:type="pct"/>
          </w:tcPr>
          <w:p w14:paraId="1A41046B" w14:textId="77777777" w:rsidR="009D162F" w:rsidRDefault="006E6378">
            <w:pPr>
              <w:spacing w:before="100" w:after="10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82.12±2.95</w:t>
            </w:r>
          </w:p>
        </w:tc>
      </w:tr>
      <w:tr w:rsidR="009D162F" w14:paraId="118E64C8" w14:textId="77777777">
        <w:trPr>
          <w:cantSplit/>
          <w:trHeight w:val="369"/>
        </w:trPr>
        <w:tc>
          <w:tcPr>
            <w:tcW w:w="2171" w:type="pct"/>
            <w:tcBorders>
              <w:bottom w:val="single" w:sz="4" w:space="0" w:color="auto"/>
            </w:tcBorders>
          </w:tcPr>
          <w:p w14:paraId="51C31462" w14:textId="77777777" w:rsidR="009D162F" w:rsidRDefault="006E6378">
            <w:pPr>
              <w:spacing w:before="100" w:after="10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Drug release at 12</w:t>
            </w:r>
            <w:r>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h (%)</w:t>
            </w:r>
          </w:p>
        </w:tc>
        <w:tc>
          <w:tcPr>
            <w:tcW w:w="943" w:type="pct"/>
            <w:tcBorders>
              <w:bottom w:val="single" w:sz="4" w:space="0" w:color="auto"/>
            </w:tcBorders>
          </w:tcPr>
          <w:p w14:paraId="43F1CCB1" w14:textId="77777777" w:rsidR="009D162F" w:rsidRDefault="006E6378">
            <w:pPr>
              <w:spacing w:before="100" w:after="100" w:line="312"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lang w:val="en-US"/>
              </w:rPr>
              <w:t>92.9±6.42</w:t>
            </w:r>
          </w:p>
        </w:tc>
        <w:tc>
          <w:tcPr>
            <w:tcW w:w="943" w:type="pct"/>
            <w:tcBorders>
              <w:bottom w:val="single" w:sz="4" w:space="0" w:color="auto"/>
            </w:tcBorders>
          </w:tcPr>
          <w:p w14:paraId="2E467B04" w14:textId="77777777" w:rsidR="009D162F" w:rsidRDefault="006E6378">
            <w:pPr>
              <w:spacing w:before="100" w:after="100" w:line="312"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92.6±3.74</w:t>
            </w:r>
          </w:p>
        </w:tc>
        <w:tc>
          <w:tcPr>
            <w:tcW w:w="943" w:type="pct"/>
            <w:tcBorders>
              <w:bottom w:val="single" w:sz="4" w:space="0" w:color="auto"/>
            </w:tcBorders>
          </w:tcPr>
          <w:p w14:paraId="60EA24B0" w14:textId="77777777" w:rsidR="009D162F" w:rsidRDefault="006E6378">
            <w:pPr>
              <w:spacing w:before="100" w:after="100" w:line="312"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92.2±3.94</w:t>
            </w:r>
          </w:p>
        </w:tc>
      </w:tr>
    </w:tbl>
    <w:p w14:paraId="1EBD1544" w14:textId="77777777" w:rsidR="009D162F" w:rsidRDefault="009D162F">
      <w:pPr>
        <w:spacing w:after="0" w:line="360" w:lineRule="auto"/>
        <w:jc w:val="both"/>
        <w:rPr>
          <w:rFonts w:ascii="Times New Roman" w:hAnsi="Times New Roman" w:cs="Times New Roman"/>
          <w:b/>
          <w:color w:val="000000" w:themeColor="text1"/>
          <w:sz w:val="24"/>
          <w:szCs w:val="24"/>
        </w:rPr>
      </w:pPr>
    </w:p>
    <w:p w14:paraId="182FC02D" w14:textId="77777777" w:rsidR="009D162F" w:rsidRDefault="006E6378">
      <w:pPr>
        <w:jc w:val="both"/>
        <w:rPr>
          <w:rFonts w:ascii="Times New Roman" w:hAnsi="Times New Roman" w:cs="Times New Roman"/>
          <w:b/>
          <w:sz w:val="24"/>
          <w:szCs w:val="24"/>
        </w:rPr>
      </w:pPr>
      <w:r>
        <w:rPr>
          <w:rFonts w:ascii="Times New Roman" w:hAnsi="Times New Roman" w:cs="Times New Roman"/>
          <w:b/>
          <w:sz w:val="24"/>
          <w:szCs w:val="24"/>
        </w:rPr>
        <w:t>References</w:t>
      </w:r>
    </w:p>
    <w:p w14:paraId="7AEC36FD" w14:textId="77777777" w:rsidR="009D162F" w:rsidRDefault="006E6378">
      <w:pPr>
        <w:pStyle w:val="ListParagraph"/>
        <w:numPr>
          <w:ilvl w:val="0"/>
          <w:numId w:val="1"/>
        </w:numPr>
        <w:spacing w:line="240" w:lineRule="auto"/>
        <w:jc w:val="both"/>
        <w:rPr>
          <w:rFonts w:ascii="Times New Roman" w:eastAsia="Times New Roman" w:hAnsi="Times New Roman" w:cs="Times New Roman"/>
          <w:sz w:val="24"/>
          <w:szCs w:val="24"/>
        </w:rPr>
      </w:pPr>
      <w:r>
        <w:rPr>
          <w:rFonts w:ascii="Times New Roman" w:hAnsi="Times New Roman" w:cs="Times New Roman"/>
          <w:color w:val="222222"/>
          <w:sz w:val="24"/>
          <w:szCs w:val="24"/>
          <w:shd w:val="clear" w:color="auto" w:fill="FFFFFF"/>
        </w:rPr>
        <w:t>Nabeshima, S., Reese, T. S., Landis, D. M., &amp; Brightman, M. W (1975) Junctions in the meninges and marginal glia. </w:t>
      </w:r>
      <w:r>
        <w:rPr>
          <w:rFonts w:ascii="Times New Roman" w:hAnsi="Times New Roman" w:cs="Times New Roman"/>
          <w:i/>
          <w:iCs/>
          <w:color w:val="222222"/>
          <w:sz w:val="24"/>
          <w:szCs w:val="24"/>
          <w:shd w:val="clear" w:color="auto" w:fill="FFFFFF"/>
        </w:rPr>
        <w:t>Journal of comparative neurology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164</w:t>
      </w:r>
      <w:r>
        <w:rPr>
          <w:rFonts w:ascii="Times New Roman" w:hAnsi="Times New Roman" w:cs="Times New Roman"/>
          <w:color w:val="222222"/>
          <w:sz w:val="24"/>
          <w:szCs w:val="24"/>
          <w:shd w:val="clear" w:color="auto" w:fill="FFFFFF"/>
        </w:rPr>
        <w:t xml:space="preserve">(2):127-169. </w:t>
      </w:r>
      <w:r>
        <w:rPr>
          <w:rFonts w:ascii="Times New Roman" w:eastAsia="Times New Roman" w:hAnsi="Times New Roman" w:cs="Times New Roman"/>
          <w:color w:val="767676"/>
          <w:sz w:val="24"/>
          <w:szCs w:val="24"/>
          <w:shd w:val="clear" w:color="auto" w:fill="FFFFFF"/>
        </w:rPr>
        <w:t> </w:t>
      </w:r>
    </w:p>
    <w:p w14:paraId="53069466" w14:textId="77777777" w:rsidR="009D162F" w:rsidRDefault="006E6378">
      <w:pPr>
        <w:pStyle w:val="ListParagraph"/>
        <w:shd w:val="clear" w:color="auto" w:fill="FFFFFF"/>
        <w:spacing w:after="0"/>
        <w:jc w:val="both"/>
        <w:rPr>
          <w:rFonts w:ascii="Times New Roman" w:eastAsia="Times New Roman" w:hAnsi="Times New Roman" w:cs="Times New Roman"/>
          <w:color w:val="767676"/>
          <w:sz w:val="24"/>
          <w:szCs w:val="24"/>
        </w:rPr>
      </w:pPr>
      <w:hyperlink r:id="rId18" w:history="1">
        <w:r w:rsidR="009D162F">
          <w:rPr>
            <w:rFonts w:ascii="Times New Roman" w:eastAsia="Times New Roman" w:hAnsi="Times New Roman" w:cs="Times New Roman"/>
            <w:b/>
            <w:bCs/>
            <w:color w:val="0000FF"/>
            <w:sz w:val="24"/>
            <w:szCs w:val="24"/>
          </w:rPr>
          <w:t>https://doi.org/10.1002/cne.901640202</w:t>
        </w:r>
      </w:hyperlink>
    </w:p>
    <w:p w14:paraId="3E77FD13" w14:textId="77777777" w:rsidR="009D162F" w:rsidRDefault="006E6378">
      <w:pPr>
        <w:pStyle w:val="ListParagraph"/>
        <w:numPr>
          <w:ilvl w:val="0"/>
          <w:numId w:val="1"/>
        </w:numPr>
        <w:shd w:val="clear" w:color="auto" w:fill="FFFFFF"/>
        <w:spacing w:after="0" w:line="240" w:lineRule="auto"/>
        <w:jc w:val="both"/>
        <w:rPr>
          <w:rFonts w:ascii="Times New Roman" w:eastAsia="Times New Roman" w:hAnsi="Times New Roman" w:cs="Times New Roman"/>
          <w:color w:val="767676"/>
          <w:sz w:val="24"/>
          <w:szCs w:val="24"/>
        </w:rPr>
      </w:pPr>
      <w:r>
        <w:rPr>
          <w:rFonts w:ascii="Times New Roman" w:hAnsi="Times New Roman" w:cs="Times New Roman"/>
          <w:color w:val="222222"/>
          <w:sz w:val="24"/>
          <w:szCs w:val="24"/>
          <w:shd w:val="clear" w:color="auto" w:fill="FFFFFF"/>
        </w:rPr>
        <w:t xml:space="preserve">Acharya, S. P., </w:t>
      </w:r>
      <w:proofErr w:type="spellStart"/>
      <w:r>
        <w:rPr>
          <w:rFonts w:ascii="Times New Roman" w:hAnsi="Times New Roman" w:cs="Times New Roman"/>
          <w:color w:val="222222"/>
          <w:sz w:val="24"/>
          <w:szCs w:val="24"/>
          <w:shd w:val="clear" w:color="auto" w:fill="FFFFFF"/>
        </w:rPr>
        <w:t>Pundarikakshudu</w:t>
      </w:r>
      <w:proofErr w:type="spellEnd"/>
      <w:r>
        <w:rPr>
          <w:rFonts w:ascii="Times New Roman" w:hAnsi="Times New Roman" w:cs="Times New Roman"/>
          <w:color w:val="222222"/>
          <w:sz w:val="24"/>
          <w:szCs w:val="24"/>
          <w:shd w:val="clear" w:color="auto" w:fill="FFFFFF"/>
        </w:rPr>
        <w:t xml:space="preserve">, K., Panchal, A., &amp; Lalwani, A (2013) Preparation and evaluation of </w:t>
      </w:r>
      <w:proofErr w:type="spellStart"/>
      <w:r>
        <w:rPr>
          <w:rFonts w:ascii="Times New Roman" w:hAnsi="Times New Roman" w:cs="Times New Roman"/>
          <w:color w:val="222222"/>
          <w:sz w:val="24"/>
          <w:szCs w:val="24"/>
          <w:shd w:val="clear" w:color="auto" w:fill="FFFFFF"/>
        </w:rPr>
        <w:t>transnasal</w:t>
      </w:r>
      <w:proofErr w:type="spellEnd"/>
      <w:r>
        <w:rPr>
          <w:rFonts w:ascii="Times New Roman" w:hAnsi="Times New Roman" w:cs="Times New Roman"/>
          <w:color w:val="222222"/>
          <w:sz w:val="24"/>
          <w:szCs w:val="24"/>
          <w:shd w:val="clear" w:color="auto" w:fill="FFFFFF"/>
        </w:rPr>
        <w:t xml:space="preserve"> microemulsion of carbamazepine. </w:t>
      </w:r>
      <w:r>
        <w:rPr>
          <w:rFonts w:ascii="Times New Roman" w:hAnsi="Times New Roman" w:cs="Times New Roman"/>
          <w:i/>
          <w:iCs/>
          <w:color w:val="222222"/>
          <w:sz w:val="24"/>
          <w:szCs w:val="24"/>
          <w:shd w:val="clear" w:color="auto" w:fill="FFFFFF"/>
        </w:rPr>
        <w:t>Asian Journal of Pharmaceutical Sciences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8</w:t>
      </w:r>
      <w:r>
        <w:rPr>
          <w:rFonts w:ascii="Times New Roman" w:hAnsi="Times New Roman" w:cs="Times New Roman"/>
          <w:color w:val="222222"/>
          <w:sz w:val="24"/>
          <w:szCs w:val="24"/>
          <w:shd w:val="clear" w:color="auto" w:fill="FFFFFF"/>
        </w:rPr>
        <w:t>(1):64-70.</w:t>
      </w:r>
    </w:p>
    <w:p w14:paraId="1C348A96" w14:textId="77777777" w:rsidR="009D162F" w:rsidRDefault="006E6378">
      <w:pPr>
        <w:pStyle w:val="ListParagraph"/>
        <w:jc w:val="both"/>
        <w:rPr>
          <w:rFonts w:ascii="Times New Roman" w:hAnsi="Times New Roman" w:cs="Times New Roman"/>
          <w:sz w:val="24"/>
          <w:szCs w:val="24"/>
        </w:rPr>
      </w:pPr>
      <w:hyperlink r:id="rId19" w:tgtFrame="_blank" w:tooltip="Persistent link using digital object identifier" w:history="1">
        <w:r w:rsidR="009D162F">
          <w:rPr>
            <w:rStyle w:val="anchor-text"/>
            <w:rFonts w:ascii="Times New Roman" w:hAnsi="Times New Roman" w:cs="Times New Roman"/>
            <w:color w:val="0000FF"/>
            <w:sz w:val="24"/>
            <w:szCs w:val="24"/>
          </w:rPr>
          <w:t>https://doi.org/10.1016/j.ajps.2013.07.008</w:t>
        </w:r>
      </w:hyperlink>
    </w:p>
    <w:p w14:paraId="26B55750" w14:textId="77777777" w:rsidR="009D162F" w:rsidRDefault="006E637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Liang, L. P., &amp; Patel, M (2006) Sei</w:t>
      </w:r>
      <w:r>
        <w:rPr>
          <w:rFonts w:ascii="Times New Roman" w:hAnsi="Times New Roman" w:cs="Times New Roman"/>
          <w:color w:val="222222"/>
          <w:sz w:val="24"/>
          <w:szCs w:val="24"/>
          <w:shd w:val="clear" w:color="auto" w:fill="FFFFFF"/>
        </w:rPr>
        <w:t>zure-induced changes in mitochondrial redox status. </w:t>
      </w:r>
      <w:r>
        <w:rPr>
          <w:rFonts w:ascii="Times New Roman" w:hAnsi="Times New Roman" w:cs="Times New Roman"/>
          <w:i/>
          <w:iCs/>
          <w:color w:val="222222"/>
          <w:sz w:val="24"/>
          <w:szCs w:val="24"/>
          <w:shd w:val="clear" w:color="auto" w:fill="FFFFFF"/>
        </w:rPr>
        <w:t>Free Radical Biology and Medicine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40</w:t>
      </w:r>
      <w:r>
        <w:rPr>
          <w:rFonts w:ascii="Times New Roman" w:hAnsi="Times New Roman" w:cs="Times New Roman"/>
          <w:color w:val="222222"/>
          <w:sz w:val="24"/>
          <w:szCs w:val="24"/>
          <w:shd w:val="clear" w:color="auto" w:fill="FFFFFF"/>
        </w:rPr>
        <w:t xml:space="preserve">(2):316-322. </w:t>
      </w:r>
      <w:hyperlink r:id="rId20" w:tgtFrame="_blank" w:tooltip="Persistent link using digital object identifier" w:history="1">
        <w:r w:rsidR="009D162F">
          <w:rPr>
            <w:rStyle w:val="anchor-text"/>
            <w:rFonts w:ascii="Times New Roman" w:hAnsi="Times New Roman" w:cs="Times New Roman"/>
            <w:color w:val="0000FF"/>
            <w:sz w:val="24"/>
            <w:szCs w:val="24"/>
          </w:rPr>
          <w:t>https://doi.org/10.1016/j.freeradbiomed.2005.08.026</w:t>
        </w:r>
      </w:hyperlink>
    </w:p>
    <w:p w14:paraId="15E36218" w14:textId="77777777" w:rsidR="009D162F" w:rsidRDefault="006E6378">
      <w:pPr>
        <w:pStyle w:val="ListParagraph"/>
        <w:numPr>
          <w:ilvl w:val="0"/>
          <w:numId w:val="1"/>
        </w:numPr>
        <w:spacing w:line="240" w:lineRule="auto"/>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Gabathuler</w:t>
      </w:r>
      <w:proofErr w:type="spellEnd"/>
      <w:r>
        <w:rPr>
          <w:rFonts w:ascii="Times New Roman" w:hAnsi="Times New Roman" w:cs="Times New Roman"/>
          <w:color w:val="222222"/>
          <w:sz w:val="24"/>
          <w:szCs w:val="24"/>
          <w:shd w:val="clear" w:color="auto" w:fill="FFFFFF"/>
        </w:rPr>
        <w:t>, R (2010) Approaches to transport therapeutic drugs across the blood–brain barrier to treat brain diseases. </w:t>
      </w:r>
      <w:r>
        <w:rPr>
          <w:rFonts w:ascii="Times New Roman" w:hAnsi="Times New Roman" w:cs="Times New Roman"/>
          <w:i/>
          <w:iCs/>
          <w:color w:val="222222"/>
          <w:sz w:val="24"/>
          <w:szCs w:val="24"/>
          <w:shd w:val="clear" w:color="auto" w:fill="FFFFFF"/>
        </w:rPr>
        <w:t>Neurobiology of disease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37</w:t>
      </w:r>
      <w:r>
        <w:rPr>
          <w:rFonts w:ascii="Times New Roman" w:hAnsi="Times New Roman" w:cs="Times New Roman"/>
          <w:color w:val="222222"/>
          <w:sz w:val="24"/>
          <w:szCs w:val="24"/>
          <w:shd w:val="clear" w:color="auto" w:fill="FFFFFF"/>
        </w:rPr>
        <w:t xml:space="preserve">(1):48-57. </w:t>
      </w:r>
      <w:hyperlink r:id="rId21" w:tgtFrame="_blank" w:tooltip="Persistent link using digital object identifier" w:history="1">
        <w:r w:rsidR="009D162F">
          <w:rPr>
            <w:rStyle w:val="anchor-text"/>
            <w:rFonts w:ascii="Times New Roman" w:hAnsi="Times New Roman" w:cs="Times New Roman"/>
            <w:color w:val="0000FF"/>
            <w:sz w:val="24"/>
            <w:szCs w:val="24"/>
          </w:rPr>
          <w:t>https://doi.org/10.1016/j.nbd.2009.07.028</w:t>
        </w:r>
      </w:hyperlink>
    </w:p>
    <w:p w14:paraId="4F36F7E1" w14:textId="77777777" w:rsidR="009D162F" w:rsidRDefault="006E637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Lee, Y. S., &amp; </w:t>
      </w:r>
      <w:proofErr w:type="spellStart"/>
      <w:r>
        <w:rPr>
          <w:rFonts w:ascii="Times New Roman" w:hAnsi="Times New Roman" w:cs="Times New Roman"/>
          <w:color w:val="222222"/>
          <w:sz w:val="24"/>
          <w:szCs w:val="24"/>
          <w:shd w:val="clear" w:color="auto" w:fill="FFFFFF"/>
        </w:rPr>
        <w:t>Reidenberg</w:t>
      </w:r>
      <w:proofErr w:type="spellEnd"/>
      <w:r>
        <w:rPr>
          <w:rFonts w:ascii="Times New Roman" w:hAnsi="Times New Roman" w:cs="Times New Roman"/>
          <w:color w:val="222222"/>
          <w:sz w:val="24"/>
          <w:szCs w:val="24"/>
          <w:shd w:val="clear" w:color="auto" w:fill="FFFFFF"/>
        </w:rPr>
        <w:t>, M. M (1998) A method for measuring naringenin in biological fluids and its disposition from grapefruit juice by man. </w:t>
      </w:r>
      <w:r>
        <w:rPr>
          <w:rFonts w:ascii="Times New Roman" w:hAnsi="Times New Roman" w:cs="Times New Roman"/>
          <w:i/>
          <w:iCs/>
          <w:color w:val="222222"/>
          <w:sz w:val="24"/>
          <w:szCs w:val="24"/>
          <w:shd w:val="clear" w:color="auto" w:fill="FFFFFF"/>
        </w:rPr>
        <w:t>Pharmacology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56</w:t>
      </w:r>
      <w:r>
        <w:rPr>
          <w:rFonts w:ascii="Times New Roman" w:hAnsi="Times New Roman" w:cs="Times New Roman"/>
          <w:color w:val="222222"/>
          <w:sz w:val="24"/>
          <w:szCs w:val="24"/>
          <w:shd w:val="clear" w:color="auto" w:fill="FFFFFF"/>
        </w:rPr>
        <w:t xml:space="preserve">(6):314-317. </w:t>
      </w:r>
      <w:hyperlink r:id="rId22" w:tgtFrame="_blank" w:history="1">
        <w:r w:rsidR="009D162F">
          <w:rPr>
            <w:rStyle w:val="Hyperlink"/>
            <w:rFonts w:ascii="Times New Roman" w:hAnsi="Times New Roman" w:cs="Times New Roman"/>
            <w:sz w:val="24"/>
            <w:szCs w:val="24"/>
            <w:shd w:val="clear" w:color="auto" w:fill="FFFFFF"/>
          </w:rPr>
          <w:t>https://doi.org/10.1159/000028215</w:t>
        </w:r>
      </w:hyperlink>
    </w:p>
    <w:p w14:paraId="0AD03F52" w14:textId="77777777" w:rsidR="009D162F" w:rsidRDefault="006E6378">
      <w:pPr>
        <w:pStyle w:val="ListParagraph"/>
        <w:numPr>
          <w:ilvl w:val="0"/>
          <w:numId w:val="1"/>
        </w:numPr>
        <w:spacing w:line="240" w:lineRule="auto"/>
        <w:jc w:val="both"/>
        <w:rPr>
          <w:rFonts w:ascii="Times New Roman" w:eastAsia="Times New Roman" w:hAnsi="Times New Roman" w:cs="Times New Roman"/>
          <w:color w:val="1F1F1F"/>
          <w:sz w:val="24"/>
          <w:szCs w:val="24"/>
        </w:rPr>
      </w:pPr>
      <w:proofErr w:type="spellStart"/>
      <w:r>
        <w:rPr>
          <w:rFonts w:ascii="Times New Roman" w:hAnsi="Times New Roman" w:cs="Times New Roman"/>
          <w:color w:val="222222"/>
          <w:sz w:val="24"/>
          <w:szCs w:val="24"/>
          <w:shd w:val="clear" w:color="auto" w:fill="FFFFFF"/>
        </w:rPr>
        <w:lastRenderedPageBreak/>
        <w:t>Renugadevi</w:t>
      </w:r>
      <w:proofErr w:type="spellEnd"/>
      <w:r>
        <w:rPr>
          <w:rFonts w:ascii="Times New Roman" w:hAnsi="Times New Roman" w:cs="Times New Roman"/>
          <w:color w:val="222222"/>
          <w:sz w:val="24"/>
          <w:szCs w:val="24"/>
          <w:shd w:val="clear" w:color="auto" w:fill="FFFFFF"/>
        </w:rPr>
        <w:t>, J., &amp; Prabu, S. M (2009) Naringenin protects against cadmium-induced oxidative renal dysfunction in rats. </w:t>
      </w:r>
      <w:r>
        <w:rPr>
          <w:rFonts w:ascii="Times New Roman" w:hAnsi="Times New Roman" w:cs="Times New Roman"/>
          <w:i/>
          <w:iCs/>
          <w:color w:val="222222"/>
          <w:sz w:val="24"/>
          <w:szCs w:val="24"/>
          <w:shd w:val="clear" w:color="auto" w:fill="FFFFFF"/>
        </w:rPr>
        <w:t>Toxicology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256</w:t>
      </w:r>
      <w:r>
        <w:rPr>
          <w:rFonts w:ascii="Times New Roman" w:hAnsi="Times New Roman" w:cs="Times New Roman"/>
          <w:color w:val="222222"/>
          <w:sz w:val="24"/>
          <w:szCs w:val="24"/>
          <w:shd w:val="clear" w:color="auto" w:fill="FFFFFF"/>
        </w:rPr>
        <w:t xml:space="preserve">(1-2):128-134. </w:t>
      </w:r>
      <w:hyperlink r:id="rId23" w:tgtFrame="_blank" w:tooltip="Persistent link using digital object identifier" w:history="1">
        <w:r w:rsidR="009D162F">
          <w:rPr>
            <w:rFonts w:ascii="Times New Roman" w:eastAsia="Times New Roman" w:hAnsi="Times New Roman" w:cs="Times New Roman"/>
            <w:color w:val="0000FF"/>
            <w:sz w:val="24"/>
            <w:szCs w:val="24"/>
          </w:rPr>
          <w:t>https://doi.org/10.1016/j.tox.2008.11.012</w:t>
        </w:r>
      </w:hyperlink>
    </w:p>
    <w:p w14:paraId="7219D253" w14:textId="77777777" w:rsidR="009D162F" w:rsidRDefault="006E6378">
      <w:pPr>
        <w:pStyle w:val="ListParagraph"/>
        <w:numPr>
          <w:ilvl w:val="0"/>
          <w:numId w:val="1"/>
        </w:numPr>
        <w:spacing w:line="240" w:lineRule="auto"/>
        <w:jc w:val="both"/>
        <w:rPr>
          <w:rFonts w:ascii="Times New Roman" w:eastAsia="Times New Roman" w:hAnsi="Times New Roman" w:cs="Times New Roman"/>
          <w:color w:val="1F1F1F"/>
          <w:sz w:val="24"/>
          <w:szCs w:val="24"/>
        </w:rPr>
      </w:pPr>
      <w:r>
        <w:rPr>
          <w:rFonts w:ascii="Times New Roman" w:hAnsi="Times New Roman" w:cs="Times New Roman"/>
          <w:color w:val="222222"/>
          <w:sz w:val="24"/>
          <w:szCs w:val="24"/>
          <w:shd w:val="clear" w:color="auto" w:fill="FFFFFF"/>
        </w:rPr>
        <w:t>HL, M (2000) Radical scavenging by dietary flavonoids. A kinetic study of an</w:t>
      </w:r>
      <w:r>
        <w:rPr>
          <w:rFonts w:ascii="Times New Roman" w:hAnsi="Times New Roman" w:cs="Times New Roman"/>
          <w:color w:val="222222"/>
          <w:sz w:val="24"/>
          <w:szCs w:val="24"/>
          <w:shd w:val="clear" w:color="auto" w:fill="FFFFFF"/>
        </w:rPr>
        <w:t>tioxidant efficiencies. </w:t>
      </w:r>
      <w:r>
        <w:rPr>
          <w:rFonts w:ascii="Times New Roman" w:hAnsi="Times New Roman" w:cs="Times New Roman"/>
          <w:i/>
          <w:iCs/>
          <w:color w:val="222222"/>
          <w:sz w:val="24"/>
          <w:szCs w:val="24"/>
          <w:shd w:val="clear" w:color="auto" w:fill="FFFFFF"/>
        </w:rPr>
        <w:t xml:space="preserve">Eur Food Res </w:t>
      </w:r>
      <w:proofErr w:type="spellStart"/>
      <w:r>
        <w:rPr>
          <w:rFonts w:ascii="Times New Roman" w:hAnsi="Times New Roman" w:cs="Times New Roman"/>
          <w:i/>
          <w:iCs/>
          <w:color w:val="222222"/>
          <w:sz w:val="24"/>
          <w:szCs w:val="24"/>
          <w:shd w:val="clear" w:color="auto" w:fill="FFFFFF"/>
        </w:rPr>
        <w:t>Technol</w:t>
      </w:r>
      <w:proofErr w:type="spellEnd"/>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211</w:t>
      </w:r>
      <w:r>
        <w:rPr>
          <w:rFonts w:ascii="Times New Roman" w:hAnsi="Times New Roman" w:cs="Times New Roman"/>
          <w:color w:val="222222"/>
          <w:sz w:val="24"/>
          <w:szCs w:val="24"/>
          <w:shd w:val="clear" w:color="auto" w:fill="FFFFFF"/>
        </w:rPr>
        <w:t>:240-246.</w:t>
      </w:r>
      <w:r>
        <w:rPr>
          <w:rFonts w:ascii="Times New Roman" w:eastAsia="Times New Roman" w:hAnsi="Times New Roman" w:cs="Times New Roman"/>
          <w:color w:val="1F1F1F"/>
          <w:sz w:val="24"/>
          <w:szCs w:val="24"/>
        </w:rPr>
        <w:t xml:space="preserve"> </w:t>
      </w:r>
    </w:p>
    <w:p w14:paraId="63A6BA6D" w14:textId="77777777" w:rsidR="009D162F" w:rsidRDefault="006E637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Muthaiah, V. P. K., </w:t>
      </w:r>
      <w:proofErr w:type="spellStart"/>
      <w:r>
        <w:rPr>
          <w:rFonts w:ascii="Times New Roman" w:hAnsi="Times New Roman" w:cs="Times New Roman"/>
          <w:color w:val="222222"/>
          <w:sz w:val="24"/>
          <w:szCs w:val="24"/>
          <w:shd w:val="clear" w:color="auto" w:fill="FFFFFF"/>
        </w:rPr>
        <w:t>Venkitasamy</w:t>
      </w:r>
      <w:proofErr w:type="spellEnd"/>
      <w:r>
        <w:rPr>
          <w:rFonts w:ascii="Times New Roman" w:hAnsi="Times New Roman" w:cs="Times New Roman"/>
          <w:color w:val="222222"/>
          <w:sz w:val="24"/>
          <w:szCs w:val="24"/>
          <w:shd w:val="clear" w:color="auto" w:fill="FFFFFF"/>
        </w:rPr>
        <w:t>, L., Michael, F. M., Chandrasekar, K., &amp; Venkatachalam, S (2013) Neuroprotective role of naringenin on carbaryl induced neurotoxicity in mouse neuroblastoma cells. </w:t>
      </w:r>
      <w:r>
        <w:rPr>
          <w:rFonts w:ascii="Times New Roman" w:hAnsi="Times New Roman" w:cs="Times New Roman"/>
          <w:i/>
          <w:iCs/>
          <w:color w:val="222222"/>
          <w:sz w:val="24"/>
          <w:szCs w:val="24"/>
          <w:shd w:val="clear" w:color="auto" w:fill="FFFFFF"/>
        </w:rPr>
        <w:t>Journal of pharmacology &amp; pharmacotherapeutics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w:t>
      </w:r>
      <w:r>
        <w:rPr>
          <w:rFonts w:ascii="Times New Roman" w:hAnsi="Times New Roman" w:cs="Times New Roman"/>
          <w:color w:val="222222"/>
          <w:sz w:val="24"/>
          <w:szCs w:val="24"/>
          <w:shd w:val="clear" w:color="auto" w:fill="FFFFFF"/>
        </w:rPr>
        <w:t xml:space="preserve">(3):192.  </w:t>
      </w:r>
      <w:hyperlink r:id="rId24" w:tgtFrame="_blank" w:history="1">
        <w:r w:rsidR="009D162F">
          <w:rPr>
            <w:rStyle w:val="Hyperlink"/>
            <w:rFonts w:ascii="Times New Roman" w:hAnsi="Times New Roman" w:cs="Times New Roman"/>
            <w:color w:val="205493"/>
            <w:sz w:val="24"/>
            <w:szCs w:val="24"/>
            <w:shd w:val="clear" w:color="auto" w:fill="FFFFFF"/>
          </w:rPr>
          <w:t>10.4103/0976-500X.114599</w:t>
        </w:r>
      </w:hyperlink>
    </w:p>
    <w:p w14:paraId="0E4AE69B" w14:textId="77777777" w:rsidR="009D162F" w:rsidRDefault="006E637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Yu, J., Wang, L., </w:t>
      </w:r>
      <w:proofErr w:type="spellStart"/>
      <w:r>
        <w:rPr>
          <w:rFonts w:ascii="Times New Roman" w:hAnsi="Times New Roman" w:cs="Times New Roman"/>
          <w:color w:val="222222"/>
          <w:sz w:val="24"/>
          <w:szCs w:val="24"/>
          <w:shd w:val="clear" w:color="auto" w:fill="FFFFFF"/>
        </w:rPr>
        <w:t>Walzem</w:t>
      </w:r>
      <w:proofErr w:type="spellEnd"/>
      <w:r>
        <w:rPr>
          <w:rFonts w:ascii="Times New Roman" w:hAnsi="Times New Roman" w:cs="Times New Roman"/>
          <w:color w:val="222222"/>
          <w:sz w:val="24"/>
          <w:szCs w:val="24"/>
          <w:shd w:val="clear" w:color="auto" w:fill="FFFFFF"/>
        </w:rPr>
        <w:t>, R. L., Miller, E. G., Pike, L. M., &amp; Patil, B. S (2005) Antioxidant activit</w:t>
      </w:r>
      <w:r>
        <w:rPr>
          <w:rFonts w:ascii="Times New Roman" w:hAnsi="Times New Roman" w:cs="Times New Roman"/>
          <w:color w:val="222222"/>
          <w:sz w:val="24"/>
          <w:szCs w:val="24"/>
          <w:shd w:val="clear" w:color="auto" w:fill="FFFFFF"/>
        </w:rPr>
        <w:t>y of citrus limonoids, flavonoids, and coumarins. </w:t>
      </w:r>
      <w:r>
        <w:rPr>
          <w:rFonts w:ascii="Times New Roman" w:hAnsi="Times New Roman" w:cs="Times New Roman"/>
          <w:i/>
          <w:iCs/>
          <w:color w:val="222222"/>
          <w:sz w:val="24"/>
          <w:szCs w:val="24"/>
          <w:shd w:val="clear" w:color="auto" w:fill="FFFFFF"/>
        </w:rPr>
        <w:t>Journal of agricultural and food chemistry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53</w:t>
      </w:r>
      <w:r>
        <w:rPr>
          <w:rFonts w:ascii="Times New Roman" w:hAnsi="Times New Roman" w:cs="Times New Roman"/>
          <w:color w:val="222222"/>
          <w:sz w:val="24"/>
          <w:szCs w:val="24"/>
          <w:shd w:val="clear" w:color="auto" w:fill="FFFFFF"/>
        </w:rPr>
        <w:t xml:space="preserve">(6):2009-2014. </w:t>
      </w:r>
      <w:hyperlink r:id="rId25" w:tooltip="DOI URL" w:history="1">
        <w:r w:rsidR="009D162F">
          <w:rPr>
            <w:rStyle w:val="Hyperlink"/>
            <w:rFonts w:ascii="Times New Roman" w:hAnsi="Times New Roman" w:cs="Times New Roman"/>
            <w:sz w:val="24"/>
            <w:szCs w:val="24"/>
            <w:u w:val="none"/>
            <w:shd w:val="clear" w:color="auto" w:fill="FFFFFF"/>
          </w:rPr>
          <w:t>https://doi.org/10.1021/jf0484632</w:t>
        </w:r>
      </w:hyperlink>
    </w:p>
    <w:p w14:paraId="6A7D7736" w14:textId="77777777" w:rsidR="009D162F" w:rsidRDefault="006E6378">
      <w:pPr>
        <w:pStyle w:val="ListParagraph"/>
        <w:numPr>
          <w:ilvl w:val="0"/>
          <w:numId w:val="1"/>
        </w:numPr>
        <w:spacing w:line="240"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Chhajed</w:t>
      </w:r>
      <w:proofErr w:type="spellEnd"/>
      <w:r>
        <w:rPr>
          <w:rFonts w:ascii="Times New Roman" w:hAnsi="Times New Roman" w:cs="Times New Roman"/>
          <w:color w:val="222222"/>
          <w:sz w:val="24"/>
          <w:szCs w:val="24"/>
          <w:shd w:val="clear" w:color="auto" w:fill="FFFFFF"/>
        </w:rPr>
        <w:t>, S., Sangale, S., &amp; Barhate, S. D (2011)</w:t>
      </w:r>
      <w:r>
        <w:rPr>
          <w:rFonts w:ascii="Times New Roman" w:hAnsi="Times New Roman" w:cs="Times New Roman"/>
          <w:color w:val="222222"/>
          <w:sz w:val="24"/>
          <w:szCs w:val="24"/>
          <w:shd w:val="clear" w:color="auto" w:fill="FFFFFF"/>
        </w:rPr>
        <w:t xml:space="preserve"> Advantageous nasal drug delivery system: a review. </w:t>
      </w:r>
      <w:r>
        <w:rPr>
          <w:rFonts w:ascii="Times New Roman" w:hAnsi="Times New Roman" w:cs="Times New Roman"/>
          <w:i/>
          <w:iCs/>
          <w:color w:val="222222"/>
          <w:sz w:val="24"/>
          <w:szCs w:val="24"/>
          <w:shd w:val="clear" w:color="auto" w:fill="FFFFFF"/>
        </w:rPr>
        <w:t>International Journal of Pharmaceutical Sciences and Research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w:t>
      </w:r>
      <w:r>
        <w:rPr>
          <w:rFonts w:ascii="Times New Roman" w:hAnsi="Times New Roman" w:cs="Times New Roman"/>
          <w:color w:val="222222"/>
          <w:sz w:val="24"/>
          <w:szCs w:val="24"/>
          <w:shd w:val="clear" w:color="auto" w:fill="FFFFFF"/>
        </w:rPr>
        <w:t xml:space="preserve">(6):1322. </w:t>
      </w:r>
    </w:p>
    <w:p w14:paraId="6A534794" w14:textId="77777777" w:rsidR="009D162F" w:rsidRDefault="006E637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Kaur, S. D., Singh, G., Singh, G., Singhal, K., Kant, S., &amp; </w:t>
      </w:r>
      <w:proofErr w:type="spellStart"/>
      <w:r>
        <w:rPr>
          <w:rFonts w:ascii="Times New Roman" w:hAnsi="Times New Roman" w:cs="Times New Roman"/>
          <w:color w:val="222222"/>
          <w:sz w:val="24"/>
          <w:szCs w:val="24"/>
          <w:shd w:val="clear" w:color="auto" w:fill="FFFFFF"/>
        </w:rPr>
        <w:t>Bedi</w:t>
      </w:r>
      <w:proofErr w:type="spellEnd"/>
      <w:r>
        <w:rPr>
          <w:rFonts w:ascii="Times New Roman" w:hAnsi="Times New Roman" w:cs="Times New Roman"/>
          <w:color w:val="222222"/>
          <w:sz w:val="24"/>
          <w:szCs w:val="24"/>
          <w:shd w:val="clear" w:color="auto" w:fill="FFFFFF"/>
        </w:rPr>
        <w:t xml:space="preserve">, N (2021) </w:t>
      </w:r>
      <w:proofErr w:type="spellStart"/>
      <w:r>
        <w:rPr>
          <w:rFonts w:ascii="Times New Roman" w:hAnsi="Times New Roman" w:cs="Times New Roman"/>
          <w:color w:val="222222"/>
          <w:sz w:val="24"/>
          <w:szCs w:val="24"/>
          <w:shd w:val="clear" w:color="auto" w:fill="FFFFFF"/>
        </w:rPr>
        <w:t>Cubosomes</w:t>
      </w:r>
      <w:proofErr w:type="spellEnd"/>
      <w:r>
        <w:rPr>
          <w:rFonts w:ascii="Times New Roman" w:hAnsi="Times New Roman" w:cs="Times New Roman"/>
          <w:color w:val="222222"/>
          <w:sz w:val="24"/>
          <w:szCs w:val="24"/>
          <w:shd w:val="clear" w:color="auto" w:fill="FFFFFF"/>
        </w:rPr>
        <w:t xml:space="preserve"> as potential nanocarrier for drug delivery: </w:t>
      </w:r>
      <w:r>
        <w:rPr>
          <w:rFonts w:ascii="Times New Roman" w:hAnsi="Times New Roman" w:cs="Times New Roman"/>
          <w:color w:val="222222"/>
          <w:sz w:val="24"/>
          <w:szCs w:val="24"/>
          <w:shd w:val="clear" w:color="auto" w:fill="FFFFFF"/>
        </w:rPr>
        <w:t>a comprehensive review. </w:t>
      </w:r>
      <w:r>
        <w:rPr>
          <w:rFonts w:ascii="Times New Roman" w:hAnsi="Times New Roman" w:cs="Times New Roman"/>
          <w:i/>
          <w:iCs/>
          <w:color w:val="222222"/>
          <w:sz w:val="24"/>
          <w:szCs w:val="24"/>
          <w:shd w:val="clear" w:color="auto" w:fill="FFFFFF"/>
        </w:rPr>
        <w:t>Journal of pharmaceutical research international</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33</w:t>
      </w:r>
      <w:r>
        <w:rPr>
          <w:rFonts w:ascii="Times New Roman" w:hAnsi="Times New Roman" w:cs="Times New Roman"/>
          <w:color w:val="222222"/>
          <w:sz w:val="24"/>
          <w:szCs w:val="24"/>
          <w:shd w:val="clear" w:color="auto" w:fill="FFFFFF"/>
        </w:rPr>
        <w:t xml:space="preserve">(31B):118-135. </w:t>
      </w:r>
      <w:hyperlink r:id="rId26" w:history="1">
        <w:r w:rsidR="009D162F">
          <w:rPr>
            <w:rStyle w:val="Hyperlink"/>
            <w:rFonts w:ascii="Times New Roman" w:hAnsi="Times New Roman" w:cs="Times New Roman"/>
            <w:color w:val="0645AD"/>
            <w:sz w:val="24"/>
            <w:szCs w:val="24"/>
            <w:shd w:val="clear" w:color="auto" w:fill="FFFFFF"/>
          </w:rPr>
          <w:t>https://doi.org/10.9734/jpri/2021/v33i31B31698</w:t>
        </w:r>
      </w:hyperlink>
    </w:p>
    <w:p w14:paraId="17EDE75D" w14:textId="77777777" w:rsidR="009D162F" w:rsidRDefault="006E637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Alam, P., Shakeel, F., </w:t>
      </w:r>
      <w:proofErr w:type="spellStart"/>
      <w:r>
        <w:rPr>
          <w:rFonts w:ascii="Times New Roman" w:hAnsi="Times New Roman" w:cs="Times New Roman"/>
          <w:color w:val="222222"/>
          <w:sz w:val="24"/>
          <w:szCs w:val="24"/>
          <w:shd w:val="clear" w:color="auto" w:fill="FFFFFF"/>
        </w:rPr>
        <w:t>Foudah</w:t>
      </w:r>
      <w:proofErr w:type="spellEnd"/>
      <w:r>
        <w:rPr>
          <w:rFonts w:ascii="Times New Roman" w:hAnsi="Times New Roman" w:cs="Times New Roman"/>
          <w:color w:val="222222"/>
          <w:sz w:val="24"/>
          <w:szCs w:val="24"/>
          <w:shd w:val="clear" w:color="auto" w:fill="FFFFFF"/>
        </w:rPr>
        <w:t>, A. I., Alshehri, S., Sal</w:t>
      </w:r>
      <w:r>
        <w:rPr>
          <w:rFonts w:ascii="Times New Roman" w:hAnsi="Times New Roman" w:cs="Times New Roman"/>
          <w:color w:val="222222"/>
          <w:sz w:val="24"/>
          <w:szCs w:val="24"/>
          <w:shd w:val="clear" w:color="auto" w:fill="FFFFFF"/>
        </w:rPr>
        <w:t xml:space="preserve">fi, R., Alqarni, M. H., &amp; </w:t>
      </w:r>
      <w:proofErr w:type="spellStart"/>
      <w:r>
        <w:rPr>
          <w:rFonts w:ascii="Times New Roman" w:hAnsi="Times New Roman" w:cs="Times New Roman"/>
          <w:color w:val="222222"/>
          <w:sz w:val="24"/>
          <w:szCs w:val="24"/>
          <w:shd w:val="clear" w:color="auto" w:fill="FFFFFF"/>
        </w:rPr>
        <w:t>Aljarba</w:t>
      </w:r>
      <w:proofErr w:type="spellEnd"/>
      <w:r>
        <w:rPr>
          <w:rFonts w:ascii="Times New Roman" w:hAnsi="Times New Roman" w:cs="Times New Roman"/>
          <w:color w:val="222222"/>
          <w:sz w:val="24"/>
          <w:szCs w:val="24"/>
          <w:shd w:val="clear" w:color="auto" w:fill="FFFFFF"/>
        </w:rPr>
        <w:t xml:space="preserve">, T. </w:t>
      </w:r>
      <w:proofErr w:type="gramStart"/>
      <w:r>
        <w:rPr>
          <w:rFonts w:ascii="Times New Roman" w:hAnsi="Times New Roman" w:cs="Times New Roman"/>
          <w:color w:val="222222"/>
          <w:sz w:val="24"/>
          <w:szCs w:val="24"/>
          <w:shd w:val="clear" w:color="auto" w:fill="FFFFFF"/>
        </w:rPr>
        <w:t>M  (</w:t>
      </w:r>
      <w:proofErr w:type="gramEnd"/>
      <w:r>
        <w:rPr>
          <w:rFonts w:ascii="Times New Roman" w:hAnsi="Times New Roman" w:cs="Times New Roman"/>
          <w:color w:val="222222"/>
          <w:sz w:val="24"/>
          <w:szCs w:val="24"/>
          <w:shd w:val="clear" w:color="auto" w:fill="FFFFFF"/>
        </w:rPr>
        <w:t xml:space="preserve">2022) Central composite design (CCD) for the Optimisation of </w:t>
      </w:r>
      <w:proofErr w:type="spellStart"/>
      <w:r>
        <w:rPr>
          <w:rFonts w:ascii="Times New Roman" w:hAnsi="Times New Roman" w:cs="Times New Roman"/>
          <w:color w:val="222222"/>
          <w:sz w:val="24"/>
          <w:szCs w:val="24"/>
          <w:shd w:val="clear" w:color="auto" w:fill="FFFFFF"/>
        </w:rPr>
        <w:t>Ethosomal</w:t>
      </w:r>
      <w:proofErr w:type="spellEnd"/>
      <w:r>
        <w:rPr>
          <w:rFonts w:ascii="Times New Roman" w:hAnsi="Times New Roman" w:cs="Times New Roman"/>
          <w:color w:val="222222"/>
          <w:sz w:val="24"/>
          <w:szCs w:val="24"/>
          <w:shd w:val="clear" w:color="auto" w:fill="FFFFFF"/>
        </w:rPr>
        <w:t xml:space="preserve"> Gel Formulation of Punica granatum extract: in vitro and in vivo evaluations. </w:t>
      </w:r>
      <w:r>
        <w:rPr>
          <w:rFonts w:ascii="Times New Roman" w:hAnsi="Times New Roman" w:cs="Times New Roman"/>
          <w:i/>
          <w:iCs/>
          <w:color w:val="222222"/>
          <w:sz w:val="24"/>
          <w:szCs w:val="24"/>
          <w:shd w:val="clear" w:color="auto" w:fill="FFFFFF"/>
        </w:rPr>
        <w:t>Gels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8</w:t>
      </w:r>
      <w:r>
        <w:rPr>
          <w:rFonts w:ascii="Times New Roman" w:hAnsi="Times New Roman" w:cs="Times New Roman"/>
          <w:color w:val="222222"/>
          <w:sz w:val="24"/>
          <w:szCs w:val="24"/>
          <w:shd w:val="clear" w:color="auto" w:fill="FFFFFF"/>
        </w:rPr>
        <w:t xml:space="preserve">(8):511. </w:t>
      </w:r>
      <w:hyperlink r:id="rId27" w:history="1">
        <w:r w:rsidR="009D162F">
          <w:rPr>
            <w:rStyle w:val="Hyperlink"/>
            <w:rFonts w:ascii="Times New Roman" w:hAnsi="Times New Roman" w:cs="Times New Roman"/>
            <w:b/>
            <w:bCs/>
            <w:color w:val="4F5671"/>
            <w:sz w:val="24"/>
            <w:szCs w:val="24"/>
            <w:u w:val="none"/>
            <w:shd w:val="clear" w:color="auto" w:fill="FFFFFF"/>
          </w:rPr>
          <w:t>https://doi.org/10.3390/gels8080511</w:t>
        </w:r>
      </w:hyperlink>
    </w:p>
    <w:p w14:paraId="1CD19229" w14:textId="77777777" w:rsidR="009D162F" w:rsidRDefault="006E6378">
      <w:pPr>
        <w:pStyle w:val="ListParagraph"/>
        <w:numPr>
          <w:ilvl w:val="0"/>
          <w:numId w:val="1"/>
        </w:numPr>
        <w:spacing w:line="240" w:lineRule="auto"/>
        <w:jc w:val="both"/>
        <w:rPr>
          <w:rFonts w:ascii="Times New Roman" w:eastAsia="Times New Roman" w:hAnsi="Times New Roman" w:cs="Times New Roman"/>
          <w:sz w:val="24"/>
          <w:szCs w:val="24"/>
        </w:rPr>
      </w:pPr>
      <w:r>
        <w:rPr>
          <w:rFonts w:ascii="Times New Roman" w:hAnsi="Times New Roman" w:cs="Times New Roman"/>
          <w:color w:val="222222"/>
          <w:sz w:val="24"/>
          <w:szCs w:val="24"/>
          <w:shd w:val="clear" w:color="auto" w:fill="FFFFFF"/>
        </w:rPr>
        <w:t>Robinson, J., &amp; Eriksen, S. P (1966) Theoretical formulation of sustained</w:t>
      </w:r>
      <w:r>
        <w:rPr>
          <w:rFonts w:ascii="Cambria Math" w:hAnsi="Cambria Math" w:cs="Times New Roman"/>
          <w:color w:val="222222"/>
          <w:sz w:val="24"/>
          <w:szCs w:val="24"/>
          <w:shd w:val="clear" w:color="auto" w:fill="FFFFFF"/>
        </w:rPr>
        <w:t>‐</w:t>
      </w:r>
      <w:r>
        <w:rPr>
          <w:rFonts w:ascii="Times New Roman" w:hAnsi="Times New Roman" w:cs="Times New Roman"/>
          <w:color w:val="222222"/>
          <w:sz w:val="24"/>
          <w:szCs w:val="24"/>
          <w:shd w:val="clear" w:color="auto" w:fill="FFFFFF"/>
        </w:rPr>
        <w:t>release dosage forms. </w:t>
      </w:r>
      <w:r>
        <w:rPr>
          <w:rFonts w:ascii="Times New Roman" w:hAnsi="Times New Roman" w:cs="Times New Roman"/>
          <w:i/>
          <w:iCs/>
          <w:color w:val="222222"/>
          <w:sz w:val="24"/>
          <w:szCs w:val="24"/>
          <w:shd w:val="clear" w:color="auto" w:fill="FFFFFF"/>
        </w:rPr>
        <w:t>Journal of pharmaceutical sciences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55</w:t>
      </w:r>
      <w:r>
        <w:rPr>
          <w:rFonts w:ascii="Times New Roman" w:hAnsi="Times New Roman" w:cs="Times New Roman"/>
          <w:color w:val="222222"/>
          <w:sz w:val="24"/>
          <w:szCs w:val="24"/>
          <w:shd w:val="clear" w:color="auto" w:fill="FFFFFF"/>
        </w:rPr>
        <w:t xml:space="preserve">(11):1254-1263. </w:t>
      </w:r>
      <w:r>
        <w:rPr>
          <w:rFonts w:ascii="Times New Roman" w:eastAsia="Times New Roman" w:hAnsi="Times New Roman" w:cs="Times New Roman"/>
          <w:color w:val="767676"/>
          <w:sz w:val="24"/>
          <w:szCs w:val="24"/>
          <w:shd w:val="clear" w:color="auto" w:fill="FFFFFF"/>
        </w:rPr>
        <w:t> </w:t>
      </w:r>
    </w:p>
    <w:p w14:paraId="2EE0EB4A" w14:textId="77777777" w:rsidR="009D162F" w:rsidRDefault="006E6378">
      <w:pPr>
        <w:pStyle w:val="ListParagraph"/>
        <w:shd w:val="clear" w:color="auto" w:fill="FFFFFF"/>
        <w:spacing w:after="0"/>
        <w:jc w:val="both"/>
        <w:rPr>
          <w:rFonts w:ascii="Times New Roman" w:eastAsia="Times New Roman" w:hAnsi="Times New Roman" w:cs="Times New Roman"/>
          <w:color w:val="767676"/>
          <w:sz w:val="24"/>
          <w:szCs w:val="24"/>
        </w:rPr>
      </w:pPr>
      <w:hyperlink r:id="rId28" w:history="1">
        <w:r w:rsidR="009D162F">
          <w:rPr>
            <w:rFonts w:ascii="Times New Roman" w:eastAsia="Times New Roman" w:hAnsi="Times New Roman" w:cs="Times New Roman"/>
            <w:b/>
            <w:bCs/>
            <w:color w:val="0000FF"/>
            <w:sz w:val="24"/>
            <w:szCs w:val="24"/>
          </w:rPr>
          <w:t>https://doi.org/10.1002/jps.2600551118</w:t>
        </w:r>
      </w:hyperlink>
    </w:p>
    <w:p w14:paraId="05AF38CC" w14:textId="77777777" w:rsidR="009D162F" w:rsidRDefault="006E6378">
      <w:pPr>
        <w:pStyle w:val="ListParagraph"/>
        <w:numPr>
          <w:ilvl w:val="0"/>
          <w:numId w:val="1"/>
        </w:numPr>
        <w:shd w:val="clear" w:color="auto" w:fill="FFFFFF"/>
        <w:spacing w:after="0" w:line="240" w:lineRule="auto"/>
        <w:jc w:val="both"/>
        <w:rPr>
          <w:rFonts w:ascii="Times New Roman" w:eastAsiaTheme="minorHAnsi" w:hAnsi="Times New Roman" w:cs="Times New Roman"/>
          <w:sz w:val="24"/>
          <w:szCs w:val="24"/>
          <w:lang w:eastAsia="en-US"/>
        </w:rPr>
      </w:pPr>
      <w:r>
        <w:rPr>
          <w:rFonts w:ascii="Times New Roman" w:hAnsi="Times New Roman" w:cs="Times New Roman"/>
          <w:color w:val="222222"/>
          <w:sz w:val="24"/>
          <w:szCs w:val="24"/>
          <w:shd w:val="clear" w:color="auto" w:fill="FFFFFF"/>
        </w:rPr>
        <w:t xml:space="preserve">Kurangi, B., </w:t>
      </w:r>
      <w:proofErr w:type="spellStart"/>
      <w:r>
        <w:rPr>
          <w:rFonts w:ascii="Times New Roman" w:hAnsi="Times New Roman" w:cs="Times New Roman"/>
          <w:color w:val="222222"/>
          <w:sz w:val="24"/>
          <w:szCs w:val="24"/>
          <w:shd w:val="clear" w:color="auto" w:fill="FFFFFF"/>
        </w:rPr>
        <w:t>Jalalpure</w:t>
      </w:r>
      <w:proofErr w:type="spellEnd"/>
      <w:r>
        <w:rPr>
          <w:rFonts w:ascii="Times New Roman" w:hAnsi="Times New Roman" w:cs="Times New Roman"/>
          <w:color w:val="222222"/>
          <w:sz w:val="24"/>
          <w:szCs w:val="24"/>
          <w:shd w:val="clear" w:color="auto" w:fill="FFFFFF"/>
        </w:rPr>
        <w:t xml:space="preserve">, S., &amp; </w:t>
      </w:r>
      <w:proofErr w:type="spellStart"/>
      <w:r>
        <w:rPr>
          <w:rFonts w:ascii="Times New Roman" w:hAnsi="Times New Roman" w:cs="Times New Roman"/>
          <w:color w:val="222222"/>
          <w:sz w:val="24"/>
          <w:szCs w:val="24"/>
          <w:shd w:val="clear" w:color="auto" w:fill="FFFFFF"/>
        </w:rPr>
        <w:t>Jagwani</w:t>
      </w:r>
      <w:proofErr w:type="spellEnd"/>
      <w:r>
        <w:rPr>
          <w:rFonts w:ascii="Times New Roman" w:hAnsi="Times New Roman" w:cs="Times New Roman"/>
          <w:color w:val="222222"/>
          <w:sz w:val="24"/>
          <w:szCs w:val="24"/>
          <w:shd w:val="clear" w:color="auto" w:fill="FFFFFF"/>
        </w:rPr>
        <w:t xml:space="preserve">, S (2021) Formulation and evaluation of resveratrol loaded </w:t>
      </w:r>
      <w:proofErr w:type="spellStart"/>
      <w:r>
        <w:rPr>
          <w:rFonts w:ascii="Times New Roman" w:hAnsi="Times New Roman" w:cs="Times New Roman"/>
          <w:color w:val="222222"/>
          <w:sz w:val="24"/>
          <w:szCs w:val="24"/>
          <w:shd w:val="clear" w:color="auto" w:fill="FFFFFF"/>
        </w:rPr>
        <w:t>cubosomal</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nanoformulation</w:t>
      </w:r>
      <w:proofErr w:type="spellEnd"/>
      <w:r>
        <w:rPr>
          <w:rFonts w:ascii="Times New Roman" w:hAnsi="Times New Roman" w:cs="Times New Roman"/>
          <w:color w:val="222222"/>
          <w:sz w:val="24"/>
          <w:szCs w:val="24"/>
          <w:shd w:val="clear" w:color="auto" w:fill="FFFFFF"/>
        </w:rPr>
        <w:t xml:space="preserve"> for topical delivery. </w:t>
      </w:r>
      <w:r>
        <w:rPr>
          <w:rFonts w:ascii="Times New Roman" w:hAnsi="Times New Roman" w:cs="Times New Roman"/>
          <w:i/>
          <w:iCs/>
          <w:color w:val="222222"/>
          <w:sz w:val="24"/>
          <w:szCs w:val="24"/>
          <w:shd w:val="clear" w:color="auto" w:fill="FFFFFF"/>
        </w:rPr>
        <w:t>Current Drug Delivery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18</w:t>
      </w:r>
      <w:r>
        <w:rPr>
          <w:rFonts w:ascii="Times New Roman" w:hAnsi="Times New Roman" w:cs="Times New Roman"/>
          <w:color w:val="222222"/>
          <w:sz w:val="24"/>
          <w:szCs w:val="24"/>
          <w:shd w:val="clear" w:color="auto" w:fill="FFFFFF"/>
        </w:rPr>
        <w:t xml:space="preserve">(5):607-619. </w:t>
      </w:r>
      <w:hyperlink r:id="rId29" w:history="1">
        <w:r w:rsidR="009D162F">
          <w:rPr>
            <w:rStyle w:val="Hyperlink"/>
            <w:rFonts w:ascii="Times New Roman" w:hAnsi="Times New Roman" w:cs="Times New Roman"/>
            <w:sz w:val="24"/>
            <w:szCs w:val="24"/>
            <w:shd w:val="clear" w:color="auto" w:fill="FFFFFF"/>
          </w:rPr>
          <w:t>https://doi.org/10.2174/1567201817666200902150646</w:t>
        </w:r>
      </w:hyperlink>
    </w:p>
    <w:p w14:paraId="2E22A574" w14:textId="77777777" w:rsidR="009D162F" w:rsidRDefault="006E6378">
      <w:pPr>
        <w:pStyle w:val="ListParagraph"/>
        <w:numPr>
          <w:ilvl w:val="0"/>
          <w:numId w:val="1"/>
        </w:numPr>
        <w:shd w:val="clear" w:color="auto" w:fill="FFFFFF"/>
        <w:spacing w:after="0" w:line="240" w:lineRule="auto"/>
        <w:jc w:val="both"/>
        <w:rPr>
          <w:rFonts w:ascii="Times New Roman" w:eastAsia="Times New Roman" w:hAnsi="Times New Roman" w:cs="Times New Roman"/>
          <w:color w:val="767676"/>
          <w:sz w:val="24"/>
          <w:szCs w:val="24"/>
        </w:rPr>
      </w:pPr>
      <w:r>
        <w:rPr>
          <w:rFonts w:ascii="Times New Roman" w:hAnsi="Times New Roman" w:cs="Times New Roman"/>
          <w:color w:val="222222"/>
          <w:sz w:val="24"/>
          <w:szCs w:val="24"/>
          <w:shd w:val="clear" w:color="auto" w:fill="FFFFFF"/>
        </w:rPr>
        <w:t xml:space="preserve">Desai, G. N., </w:t>
      </w:r>
      <w:proofErr w:type="spellStart"/>
      <w:r>
        <w:rPr>
          <w:rFonts w:ascii="Times New Roman" w:hAnsi="Times New Roman" w:cs="Times New Roman"/>
          <w:color w:val="222222"/>
          <w:sz w:val="24"/>
          <w:szCs w:val="24"/>
          <w:shd w:val="clear" w:color="auto" w:fill="FFFFFF"/>
        </w:rPr>
        <w:t>Dandagi</w:t>
      </w:r>
      <w:proofErr w:type="spellEnd"/>
      <w:r>
        <w:rPr>
          <w:rFonts w:ascii="Times New Roman" w:hAnsi="Times New Roman" w:cs="Times New Roman"/>
          <w:color w:val="222222"/>
          <w:sz w:val="24"/>
          <w:szCs w:val="24"/>
          <w:shd w:val="clear" w:color="auto" w:fill="FFFFFF"/>
        </w:rPr>
        <w:t>, P. M., &amp; Kazi, T. M (2023) Nanosized intranasal delivery of novel self-assembled cubic liquid crystals: formulation and</w:t>
      </w:r>
      <w:r>
        <w:rPr>
          <w:rFonts w:ascii="Times New Roman" w:hAnsi="Times New Roman" w:cs="Times New Roman"/>
          <w:color w:val="222222"/>
          <w:sz w:val="24"/>
          <w:szCs w:val="24"/>
          <w:shd w:val="clear" w:color="auto" w:fill="FFFFFF"/>
        </w:rPr>
        <w:t xml:space="preserve"> evaluation. </w:t>
      </w:r>
      <w:r>
        <w:rPr>
          <w:rFonts w:ascii="Times New Roman" w:hAnsi="Times New Roman" w:cs="Times New Roman"/>
          <w:i/>
          <w:iCs/>
          <w:color w:val="222222"/>
          <w:sz w:val="24"/>
          <w:szCs w:val="24"/>
          <w:shd w:val="clear" w:color="auto" w:fill="FFFFFF"/>
        </w:rPr>
        <w:t>Journal of Pharmaceutical Innovation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18</w:t>
      </w:r>
      <w:r>
        <w:rPr>
          <w:rFonts w:ascii="Times New Roman" w:hAnsi="Times New Roman" w:cs="Times New Roman"/>
          <w:color w:val="222222"/>
          <w:sz w:val="24"/>
          <w:szCs w:val="24"/>
          <w:shd w:val="clear" w:color="auto" w:fill="FFFFFF"/>
        </w:rPr>
        <w:t>(3):934-951.</w:t>
      </w:r>
    </w:p>
    <w:p w14:paraId="02322797" w14:textId="77777777" w:rsidR="009D162F" w:rsidRDefault="006E6378">
      <w:pPr>
        <w:pStyle w:val="ListParagraph"/>
        <w:numPr>
          <w:ilvl w:val="0"/>
          <w:numId w:val="1"/>
        </w:numPr>
        <w:spacing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Hosny, K. M (2020) Nanosized </w:t>
      </w:r>
      <w:proofErr w:type="spellStart"/>
      <w:r>
        <w:rPr>
          <w:rFonts w:ascii="Times New Roman" w:hAnsi="Times New Roman" w:cs="Times New Roman"/>
          <w:color w:val="222222"/>
          <w:sz w:val="24"/>
          <w:szCs w:val="24"/>
          <w:shd w:val="clear" w:color="auto" w:fill="FFFFFF"/>
        </w:rPr>
        <w:t>cubosomal</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thermogelling</w:t>
      </w:r>
      <w:proofErr w:type="spellEnd"/>
      <w:r>
        <w:rPr>
          <w:rFonts w:ascii="Times New Roman" w:hAnsi="Times New Roman" w:cs="Times New Roman"/>
          <w:color w:val="222222"/>
          <w:sz w:val="24"/>
          <w:szCs w:val="24"/>
          <w:shd w:val="clear" w:color="auto" w:fill="FFFFFF"/>
        </w:rPr>
        <w:t xml:space="preserve"> dispersion loaded with saquinavir mesylate to improve its bioavailability: preparation, optimization, in vitro and in vivo evaluation. </w:t>
      </w:r>
      <w:r>
        <w:rPr>
          <w:rFonts w:ascii="Times New Roman" w:hAnsi="Times New Roman" w:cs="Times New Roman"/>
          <w:i/>
          <w:iCs/>
          <w:color w:val="222222"/>
          <w:sz w:val="24"/>
          <w:szCs w:val="24"/>
          <w:shd w:val="clear" w:color="auto" w:fill="FFFFFF"/>
        </w:rPr>
        <w:t>In</w:t>
      </w:r>
      <w:r>
        <w:rPr>
          <w:rFonts w:ascii="Times New Roman" w:hAnsi="Times New Roman" w:cs="Times New Roman"/>
          <w:i/>
          <w:iCs/>
          <w:color w:val="222222"/>
          <w:sz w:val="24"/>
          <w:szCs w:val="24"/>
          <w:shd w:val="clear" w:color="auto" w:fill="FFFFFF"/>
        </w:rPr>
        <w:t>ternational journal of nanomedicine</w:t>
      </w:r>
      <w:r>
        <w:rPr>
          <w:rFonts w:ascii="Times New Roman" w:hAnsi="Times New Roman" w:cs="Times New Roman"/>
          <w:color w:val="222222"/>
          <w:sz w:val="24"/>
          <w:szCs w:val="24"/>
          <w:shd w:val="clear" w:color="auto" w:fill="FFFFFF"/>
        </w:rPr>
        <w:t>, 5113-5129.</w:t>
      </w:r>
    </w:p>
    <w:p w14:paraId="5925742A" w14:textId="77777777" w:rsidR="009D162F" w:rsidRDefault="006E637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Wu, H., Li, J., Zhang, Q., Yan, X., Guo, L., Gao, X., ... &amp; Chen, H (2012) A novel small </w:t>
      </w:r>
      <w:proofErr w:type="spellStart"/>
      <w:r>
        <w:rPr>
          <w:rFonts w:ascii="Times New Roman" w:hAnsi="Times New Roman" w:cs="Times New Roman"/>
          <w:color w:val="222222"/>
          <w:sz w:val="24"/>
          <w:szCs w:val="24"/>
          <w:shd w:val="clear" w:color="auto" w:fill="FFFFFF"/>
        </w:rPr>
        <w:t>Odorranalectin</w:t>
      </w:r>
      <w:proofErr w:type="spellEnd"/>
      <w:r>
        <w:rPr>
          <w:rFonts w:ascii="Times New Roman" w:hAnsi="Times New Roman" w:cs="Times New Roman"/>
          <w:color w:val="222222"/>
          <w:sz w:val="24"/>
          <w:szCs w:val="24"/>
          <w:shd w:val="clear" w:color="auto" w:fill="FFFFFF"/>
        </w:rPr>
        <w:t xml:space="preserve">-bearing </w:t>
      </w:r>
      <w:proofErr w:type="spellStart"/>
      <w:r>
        <w:rPr>
          <w:rFonts w:ascii="Times New Roman" w:hAnsi="Times New Roman" w:cs="Times New Roman"/>
          <w:color w:val="222222"/>
          <w:sz w:val="24"/>
          <w:szCs w:val="24"/>
          <w:shd w:val="clear" w:color="auto" w:fill="FFFFFF"/>
        </w:rPr>
        <w:t>cubosomes</w:t>
      </w:r>
      <w:proofErr w:type="spellEnd"/>
      <w:r>
        <w:rPr>
          <w:rFonts w:ascii="Times New Roman" w:hAnsi="Times New Roman" w:cs="Times New Roman"/>
          <w:color w:val="222222"/>
          <w:sz w:val="24"/>
          <w:szCs w:val="24"/>
          <w:shd w:val="clear" w:color="auto" w:fill="FFFFFF"/>
        </w:rPr>
        <w:t xml:space="preserve">: preparation, brain delivery and pharmacodynamic study on amyloid-β25–35-treated rats </w:t>
      </w:r>
      <w:r>
        <w:rPr>
          <w:rFonts w:ascii="Times New Roman" w:hAnsi="Times New Roman" w:cs="Times New Roman"/>
          <w:color w:val="222222"/>
          <w:sz w:val="24"/>
          <w:szCs w:val="24"/>
          <w:shd w:val="clear" w:color="auto" w:fill="FFFFFF"/>
        </w:rPr>
        <w:t>following intranasal administration. </w:t>
      </w:r>
      <w:r>
        <w:rPr>
          <w:rFonts w:ascii="Times New Roman" w:hAnsi="Times New Roman" w:cs="Times New Roman"/>
          <w:i/>
          <w:iCs/>
          <w:color w:val="222222"/>
          <w:sz w:val="24"/>
          <w:szCs w:val="24"/>
          <w:shd w:val="clear" w:color="auto" w:fill="FFFFFF"/>
        </w:rPr>
        <w:t>European journal of pharmaceutics and biopharmaceutics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80</w:t>
      </w:r>
      <w:r>
        <w:rPr>
          <w:rFonts w:ascii="Times New Roman" w:hAnsi="Times New Roman" w:cs="Times New Roman"/>
          <w:color w:val="222222"/>
          <w:sz w:val="24"/>
          <w:szCs w:val="24"/>
          <w:shd w:val="clear" w:color="auto" w:fill="FFFFFF"/>
        </w:rPr>
        <w:t xml:space="preserve">(2):368-378. </w:t>
      </w:r>
      <w:hyperlink r:id="rId30" w:tgtFrame="_blank" w:tooltip="Persistent link using digital object identifier" w:history="1">
        <w:r w:rsidR="009D162F">
          <w:rPr>
            <w:rStyle w:val="anchor-text"/>
            <w:rFonts w:ascii="Times New Roman" w:hAnsi="Times New Roman" w:cs="Times New Roman"/>
            <w:color w:val="0000FF"/>
            <w:sz w:val="24"/>
            <w:szCs w:val="24"/>
          </w:rPr>
          <w:t>https://doi.org/10.1016/j.ejpb.2011.10.012</w:t>
        </w:r>
      </w:hyperlink>
    </w:p>
    <w:p w14:paraId="0CE664D3" w14:textId="77777777" w:rsidR="009D162F" w:rsidRDefault="006E6378">
      <w:pPr>
        <w:pStyle w:val="ListParagraph"/>
        <w:numPr>
          <w:ilvl w:val="0"/>
          <w:numId w:val="1"/>
        </w:numPr>
        <w:spacing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Nasr, M., Younes, H., &amp; Abdel-Rashid, R. S (2020) Formulation and evaluation of </w:t>
      </w:r>
      <w:proofErr w:type="spellStart"/>
      <w:r>
        <w:rPr>
          <w:rFonts w:ascii="Times New Roman" w:hAnsi="Times New Roman" w:cs="Times New Roman"/>
          <w:color w:val="222222"/>
          <w:sz w:val="24"/>
          <w:szCs w:val="24"/>
          <w:shd w:val="clear" w:color="auto" w:fill="FFFFFF"/>
        </w:rPr>
        <w:t>cubosomes</w:t>
      </w:r>
      <w:proofErr w:type="spellEnd"/>
      <w:r>
        <w:rPr>
          <w:rFonts w:ascii="Times New Roman" w:hAnsi="Times New Roman" w:cs="Times New Roman"/>
          <w:color w:val="222222"/>
          <w:sz w:val="24"/>
          <w:szCs w:val="24"/>
          <w:shd w:val="clear" w:color="auto" w:fill="FFFFFF"/>
        </w:rPr>
        <w:t xml:space="preserve"> containing colchicine for transdermal delivery. </w:t>
      </w:r>
      <w:r>
        <w:rPr>
          <w:rFonts w:ascii="Times New Roman" w:hAnsi="Times New Roman" w:cs="Times New Roman"/>
          <w:i/>
          <w:iCs/>
          <w:color w:val="222222"/>
          <w:sz w:val="24"/>
          <w:szCs w:val="24"/>
          <w:shd w:val="clear" w:color="auto" w:fill="FFFFFF"/>
        </w:rPr>
        <w:t>Drug delivery and translational research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10</w:t>
      </w:r>
      <w:r>
        <w:rPr>
          <w:rFonts w:ascii="Times New Roman" w:hAnsi="Times New Roman" w:cs="Times New Roman"/>
          <w:color w:val="222222"/>
          <w:sz w:val="24"/>
          <w:szCs w:val="24"/>
          <w:shd w:val="clear" w:color="auto" w:fill="FFFFFF"/>
        </w:rPr>
        <w:t xml:space="preserve">:1302-1313. </w:t>
      </w:r>
    </w:p>
    <w:p w14:paraId="7DB6BCE7" w14:textId="77777777" w:rsidR="009D162F" w:rsidRDefault="006E6378">
      <w:pPr>
        <w:pStyle w:val="ListParagraph"/>
        <w:numPr>
          <w:ilvl w:val="0"/>
          <w:numId w:val="1"/>
        </w:numPr>
        <w:spacing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Raval, M., &amp; </w:t>
      </w:r>
      <w:proofErr w:type="spellStart"/>
      <w:r>
        <w:rPr>
          <w:rFonts w:ascii="Times New Roman" w:hAnsi="Times New Roman" w:cs="Times New Roman"/>
          <w:color w:val="222222"/>
          <w:sz w:val="24"/>
          <w:szCs w:val="24"/>
          <w:shd w:val="clear" w:color="auto" w:fill="FFFFFF"/>
        </w:rPr>
        <w:t>Bagada</w:t>
      </w:r>
      <w:proofErr w:type="spellEnd"/>
      <w:r>
        <w:rPr>
          <w:rFonts w:ascii="Times New Roman" w:hAnsi="Times New Roman" w:cs="Times New Roman"/>
          <w:color w:val="222222"/>
          <w:sz w:val="24"/>
          <w:szCs w:val="24"/>
          <w:shd w:val="clear" w:color="auto" w:fill="FFFFFF"/>
        </w:rPr>
        <w:t xml:space="preserve">, H (2021) Formulation </w:t>
      </w:r>
      <w:r>
        <w:rPr>
          <w:rFonts w:ascii="Times New Roman" w:hAnsi="Times New Roman" w:cs="Times New Roman"/>
          <w:color w:val="222222"/>
          <w:sz w:val="24"/>
          <w:szCs w:val="24"/>
          <w:shd w:val="clear" w:color="auto" w:fill="FFFFFF"/>
        </w:rPr>
        <w:t>and evaluation of cyclodextrin-based thermosensitive in situ gel of azithromycin for periodontal delivery. </w:t>
      </w:r>
      <w:r>
        <w:rPr>
          <w:rFonts w:ascii="Times New Roman" w:hAnsi="Times New Roman" w:cs="Times New Roman"/>
          <w:i/>
          <w:iCs/>
          <w:color w:val="222222"/>
          <w:sz w:val="24"/>
          <w:szCs w:val="24"/>
          <w:shd w:val="clear" w:color="auto" w:fill="FFFFFF"/>
        </w:rPr>
        <w:t>Journal of Pharmaceutical Innovation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16</w:t>
      </w:r>
      <w:r>
        <w:rPr>
          <w:rFonts w:ascii="Times New Roman" w:hAnsi="Times New Roman" w:cs="Times New Roman"/>
          <w:color w:val="222222"/>
          <w:sz w:val="24"/>
          <w:szCs w:val="24"/>
          <w:shd w:val="clear" w:color="auto" w:fill="FFFFFF"/>
        </w:rPr>
        <w:t>:67-84.</w:t>
      </w:r>
    </w:p>
    <w:p w14:paraId="6679EA58" w14:textId="77777777" w:rsidR="009D162F" w:rsidRDefault="006E6378">
      <w:pPr>
        <w:pStyle w:val="ListParagraph"/>
        <w:numPr>
          <w:ilvl w:val="0"/>
          <w:numId w:val="1"/>
        </w:numPr>
        <w:spacing w:beforeAutospacing="1" w:after="0" w:afterAutospacing="1" w:line="240" w:lineRule="auto"/>
        <w:jc w:val="both"/>
        <w:rPr>
          <w:rFonts w:ascii="Times New Roman" w:eastAsia="Times New Roman" w:hAnsi="Times New Roman" w:cs="Times New Roman"/>
          <w:color w:val="333333"/>
          <w:sz w:val="24"/>
          <w:szCs w:val="24"/>
        </w:rPr>
      </w:pPr>
      <w:r>
        <w:rPr>
          <w:rFonts w:ascii="Times New Roman" w:hAnsi="Times New Roman" w:cs="Times New Roman"/>
          <w:color w:val="222222"/>
          <w:sz w:val="24"/>
          <w:szCs w:val="24"/>
          <w:shd w:val="clear" w:color="auto" w:fill="FFFFFF"/>
        </w:rPr>
        <w:t xml:space="preserve">Hosny, K. M., &amp; Banjar, Z. M (2013) The formulation of a nasal </w:t>
      </w:r>
      <w:proofErr w:type="spellStart"/>
      <w:r>
        <w:rPr>
          <w:rFonts w:ascii="Times New Roman" w:hAnsi="Times New Roman" w:cs="Times New Roman"/>
          <w:color w:val="222222"/>
          <w:sz w:val="24"/>
          <w:szCs w:val="24"/>
          <w:shd w:val="clear" w:color="auto" w:fill="FFFFFF"/>
        </w:rPr>
        <w:t>nanoemulsion</w:t>
      </w:r>
      <w:proofErr w:type="spellEnd"/>
      <w:r>
        <w:rPr>
          <w:rFonts w:ascii="Times New Roman" w:hAnsi="Times New Roman" w:cs="Times New Roman"/>
          <w:color w:val="222222"/>
          <w:sz w:val="24"/>
          <w:szCs w:val="24"/>
          <w:shd w:val="clear" w:color="auto" w:fill="FFFFFF"/>
        </w:rPr>
        <w:t xml:space="preserve"> zaleplon in situ gel for the treatment of insomnia. </w:t>
      </w:r>
      <w:r>
        <w:rPr>
          <w:rFonts w:ascii="Times New Roman" w:hAnsi="Times New Roman" w:cs="Times New Roman"/>
          <w:i/>
          <w:iCs/>
          <w:color w:val="222222"/>
          <w:sz w:val="24"/>
          <w:szCs w:val="24"/>
          <w:shd w:val="clear" w:color="auto" w:fill="FFFFFF"/>
        </w:rPr>
        <w:t>Expert opinion on drug delivery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10</w:t>
      </w:r>
      <w:r>
        <w:rPr>
          <w:rFonts w:ascii="Times New Roman" w:hAnsi="Times New Roman" w:cs="Times New Roman"/>
          <w:color w:val="222222"/>
          <w:sz w:val="24"/>
          <w:szCs w:val="24"/>
          <w:shd w:val="clear" w:color="auto" w:fill="FFFFFF"/>
        </w:rPr>
        <w:t xml:space="preserve">(8):1033-1041. </w:t>
      </w:r>
      <w:hyperlink r:id="rId31" w:history="1">
        <w:r w:rsidR="009D162F">
          <w:rPr>
            <w:rFonts w:ascii="Times New Roman" w:eastAsia="Times New Roman" w:hAnsi="Times New Roman" w:cs="Times New Roman"/>
            <w:color w:val="006DB4"/>
            <w:sz w:val="24"/>
            <w:szCs w:val="24"/>
          </w:rPr>
          <w:t>https://doi.org/10.1517/17425247.2013.812069</w:t>
        </w:r>
      </w:hyperlink>
    </w:p>
    <w:p w14:paraId="6E2018B1" w14:textId="77777777" w:rsidR="009D162F" w:rsidRDefault="006E6378">
      <w:pPr>
        <w:pStyle w:val="ListParagraph"/>
        <w:numPr>
          <w:ilvl w:val="0"/>
          <w:numId w:val="1"/>
        </w:numPr>
        <w:spacing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Mahajan, Hitendra S (2012) Thermally reversible</w:t>
      </w:r>
      <w:r>
        <w:rPr>
          <w:rFonts w:ascii="Times New Roman" w:hAnsi="Times New Roman" w:cs="Times New Roman"/>
          <w:color w:val="222222"/>
          <w:sz w:val="24"/>
          <w:szCs w:val="24"/>
          <w:shd w:val="clear" w:color="auto" w:fill="FFFFFF"/>
        </w:rPr>
        <w:t xml:space="preserve"> xyloglucan gels as vehicles for nasal drug delivery. </w:t>
      </w:r>
      <w:r>
        <w:rPr>
          <w:rFonts w:ascii="Times New Roman" w:hAnsi="Times New Roman" w:cs="Times New Roman"/>
          <w:iCs/>
          <w:color w:val="222222"/>
          <w:sz w:val="24"/>
          <w:szCs w:val="24"/>
          <w:shd w:val="clear" w:color="auto" w:fill="FFFFFF"/>
        </w:rPr>
        <w:t>Drug Delivery</w:t>
      </w:r>
      <w:r>
        <w:rPr>
          <w:rFonts w:ascii="Times New Roman" w:hAnsi="Times New Roman" w:cs="Times New Roman"/>
          <w:color w:val="222222"/>
          <w:sz w:val="24"/>
          <w:szCs w:val="24"/>
          <w:shd w:val="clear" w:color="auto" w:fill="FFFFFF"/>
        </w:rPr>
        <w:t xml:space="preserve"> 19.5:270-276 </w:t>
      </w:r>
    </w:p>
    <w:p w14:paraId="60603FA0" w14:textId="77777777" w:rsidR="009D162F" w:rsidRDefault="006E6378">
      <w:pPr>
        <w:pStyle w:val="ListParagraph"/>
        <w:numPr>
          <w:ilvl w:val="0"/>
          <w:numId w:val="1"/>
        </w:numPr>
        <w:spacing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Garala, K., Joshi, P., Shah, M., </w:t>
      </w:r>
      <w:proofErr w:type="spellStart"/>
      <w:r>
        <w:rPr>
          <w:rFonts w:ascii="Times New Roman" w:hAnsi="Times New Roman" w:cs="Times New Roman"/>
          <w:color w:val="222222"/>
          <w:sz w:val="24"/>
          <w:szCs w:val="24"/>
          <w:shd w:val="clear" w:color="auto" w:fill="FFFFFF"/>
        </w:rPr>
        <w:t>Ramkishan</w:t>
      </w:r>
      <w:proofErr w:type="spellEnd"/>
      <w:r>
        <w:rPr>
          <w:rFonts w:ascii="Times New Roman" w:hAnsi="Times New Roman" w:cs="Times New Roman"/>
          <w:color w:val="222222"/>
          <w:sz w:val="24"/>
          <w:szCs w:val="24"/>
          <w:shd w:val="clear" w:color="auto" w:fill="FFFFFF"/>
        </w:rPr>
        <w:t>, A., &amp; Patel, J (2013) Formulation and evaluation of periodontal in situ gel. </w:t>
      </w:r>
      <w:r>
        <w:rPr>
          <w:rFonts w:ascii="Times New Roman" w:hAnsi="Times New Roman" w:cs="Times New Roman"/>
          <w:i/>
          <w:iCs/>
          <w:color w:val="222222"/>
          <w:sz w:val="24"/>
          <w:szCs w:val="24"/>
          <w:shd w:val="clear" w:color="auto" w:fill="FFFFFF"/>
        </w:rPr>
        <w:t>International journal of pharmaceutical investigation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w:t>
      </w:r>
      <w:r>
        <w:rPr>
          <w:rFonts w:ascii="Times New Roman" w:hAnsi="Times New Roman" w:cs="Times New Roman"/>
          <w:color w:val="222222"/>
          <w:sz w:val="24"/>
          <w:szCs w:val="24"/>
          <w:shd w:val="clear" w:color="auto" w:fill="FFFFFF"/>
        </w:rPr>
        <w:t xml:space="preserve">(1):29. </w:t>
      </w:r>
    </w:p>
    <w:p w14:paraId="6775CABE" w14:textId="77777777" w:rsidR="009D162F" w:rsidRDefault="006E6378">
      <w:pPr>
        <w:pStyle w:val="ListParagraph"/>
        <w:jc w:val="both"/>
        <w:rPr>
          <w:rFonts w:ascii="Times New Roman" w:hAnsi="Times New Roman" w:cs="Times New Roman"/>
          <w:sz w:val="24"/>
          <w:szCs w:val="24"/>
        </w:rPr>
      </w:pPr>
      <w:hyperlink r:id="rId32" w:tgtFrame="_blank" w:history="1">
        <w:r w:rsidR="009D162F">
          <w:rPr>
            <w:rStyle w:val="Hyperlink"/>
            <w:rFonts w:ascii="Times New Roman" w:hAnsi="Times New Roman" w:cs="Times New Roman"/>
            <w:color w:val="376FAA"/>
            <w:sz w:val="24"/>
            <w:szCs w:val="24"/>
            <w:shd w:val="clear" w:color="auto" w:fill="FFFFFF"/>
          </w:rPr>
          <w:t>10.4103/2230-973X.108961</w:t>
        </w:r>
      </w:hyperlink>
    </w:p>
    <w:p w14:paraId="2CEFD143" w14:textId="77777777" w:rsidR="009D162F" w:rsidRDefault="006E637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Harish, N. M., Prabhu, P., </w:t>
      </w:r>
      <w:proofErr w:type="spellStart"/>
      <w:r>
        <w:rPr>
          <w:rFonts w:ascii="Times New Roman" w:hAnsi="Times New Roman" w:cs="Times New Roman"/>
          <w:color w:val="222222"/>
          <w:sz w:val="24"/>
          <w:szCs w:val="24"/>
          <w:shd w:val="clear" w:color="auto" w:fill="FFFFFF"/>
        </w:rPr>
        <w:t>Charyulu</w:t>
      </w:r>
      <w:proofErr w:type="spellEnd"/>
      <w:r>
        <w:rPr>
          <w:rFonts w:ascii="Times New Roman" w:hAnsi="Times New Roman" w:cs="Times New Roman"/>
          <w:color w:val="222222"/>
          <w:sz w:val="24"/>
          <w:szCs w:val="24"/>
          <w:shd w:val="clear" w:color="auto" w:fill="FFFFFF"/>
        </w:rPr>
        <w:t>, R. N., Gulzar, M. A., &amp; Subrahmanyam, E. V. S (2009) Formulation and evaluation of in situ gels containing clot</w:t>
      </w:r>
      <w:r>
        <w:rPr>
          <w:rFonts w:ascii="Times New Roman" w:hAnsi="Times New Roman" w:cs="Times New Roman"/>
          <w:color w:val="222222"/>
          <w:sz w:val="24"/>
          <w:szCs w:val="24"/>
          <w:shd w:val="clear" w:color="auto" w:fill="FFFFFF"/>
        </w:rPr>
        <w:t>rimazole for oral candidiasis. </w:t>
      </w:r>
      <w:r>
        <w:rPr>
          <w:rFonts w:ascii="Times New Roman" w:hAnsi="Times New Roman" w:cs="Times New Roman"/>
          <w:i/>
          <w:iCs/>
          <w:color w:val="222222"/>
          <w:sz w:val="24"/>
          <w:szCs w:val="24"/>
          <w:shd w:val="clear" w:color="auto" w:fill="FFFFFF"/>
        </w:rPr>
        <w:t xml:space="preserve">Indian Journal of Pharmaceutical Sci. </w:t>
      </w:r>
      <w:hyperlink r:id="rId33" w:tgtFrame="_blank" w:history="1">
        <w:r w:rsidR="009D162F">
          <w:rPr>
            <w:rStyle w:val="Hyperlink"/>
            <w:rFonts w:ascii="Times New Roman" w:hAnsi="Times New Roman" w:cs="Times New Roman"/>
            <w:color w:val="376FAA"/>
            <w:sz w:val="24"/>
            <w:szCs w:val="24"/>
            <w:shd w:val="clear" w:color="auto" w:fill="FFFFFF"/>
          </w:rPr>
          <w:t>10.4103/0250-474X.57291</w:t>
        </w:r>
      </w:hyperlink>
    </w:p>
    <w:p w14:paraId="073BC2F2" w14:textId="77777777" w:rsidR="009D162F" w:rsidRDefault="006E6378">
      <w:pPr>
        <w:pStyle w:val="ListParagraph"/>
        <w:numPr>
          <w:ilvl w:val="0"/>
          <w:numId w:val="1"/>
        </w:numPr>
        <w:spacing w:line="240" w:lineRule="auto"/>
        <w:jc w:val="both"/>
        <w:rPr>
          <w:rFonts w:ascii="Times New Roman" w:eastAsia="Times New Roman" w:hAnsi="Times New Roman" w:cs="Times New Roman"/>
          <w:sz w:val="24"/>
          <w:szCs w:val="24"/>
        </w:rPr>
      </w:pPr>
      <w:r>
        <w:rPr>
          <w:rFonts w:ascii="Times New Roman" w:hAnsi="Times New Roman" w:cs="Times New Roman"/>
          <w:color w:val="222222"/>
          <w:sz w:val="24"/>
          <w:szCs w:val="24"/>
          <w:shd w:val="clear" w:color="auto" w:fill="FFFFFF"/>
        </w:rPr>
        <w:t xml:space="preserve">Chen, Y., He, X., Sun, Q., Fang, Z., &amp; Zhou, L (2017) Effect of lamotrigine on seizure development in a rat </w:t>
      </w:r>
      <w:proofErr w:type="spellStart"/>
      <w:r>
        <w:rPr>
          <w:rFonts w:ascii="Times New Roman" w:hAnsi="Times New Roman" w:cs="Times New Roman"/>
          <w:color w:val="222222"/>
          <w:sz w:val="24"/>
          <w:szCs w:val="24"/>
          <w:shd w:val="clear" w:color="auto" w:fill="FFFFFF"/>
        </w:rPr>
        <w:t>pentylenetetrazole</w:t>
      </w:r>
      <w:proofErr w:type="spellEnd"/>
      <w:r>
        <w:rPr>
          <w:rFonts w:ascii="Times New Roman" w:hAnsi="Times New Roman" w:cs="Times New Roman"/>
          <w:color w:val="222222"/>
          <w:sz w:val="24"/>
          <w:szCs w:val="24"/>
          <w:shd w:val="clear" w:color="auto" w:fill="FFFFFF"/>
        </w:rPr>
        <w:t xml:space="preserve"> kindling model. </w:t>
      </w:r>
      <w:r>
        <w:rPr>
          <w:rFonts w:ascii="Times New Roman" w:hAnsi="Times New Roman" w:cs="Times New Roman"/>
          <w:i/>
          <w:iCs/>
          <w:color w:val="222222"/>
          <w:sz w:val="24"/>
          <w:szCs w:val="24"/>
          <w:shd w:val="clear" w:color="auto" w:fill="FFFFFF"/>
        </w:rPr>
        <w:t xml:space="preserve">Brain and </w:t>
      </w:r>
      <w:proofErr w:type="spellStart"/>
      <w:r>
        <w:rPr>
          <w:rFonts w:ascii="Times New Roman" w:hAnsi="Times New Roman" w:cs="Times New Roman"/>
          <w:i/>
          <w:iCs/>
          <w:color w:val="222222"/>
          <w:sz w:val="24"/>
          <w:szCs w:val="24"/>
          <w:shd w:val="clear" w:color="auto" w:fill="FFFFFF"/>
        </w:rPr>
        <w:t>Behavior</w:t>
      </w:r>
      <w:proofErr w:type="spellEnd"/>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w:t>
      </w:r>
      <w:r>
        <w:rPr>
          <w:rFonts w:ascii="Times New Roman" w:hAnsi="Times New Roman" w:cs="Times New Roman"/>
          <w:color w:val="222222"/>
          <w:sz w:val="24"/>
          <w:szCs w:val="24"/>
          <w:shd w:val="clear" w:color="auto" w:fill="FFFFFF"/>
        </w:rPr>
        <w:t>(7</w:t>
      </w:r>
      <w:proofErr w:type="gramStart"/>
      <w:r>
        <w:rPr>
          <w:rFonts w:ascii="Times New Roman" w:hAnsi="Times New Roman" w:cs="Times New Roman"/>
          <w:color w:val="222222"/>
          <w:sz w:val="24"/>
          <w:szCs w:val="24"/>
          <w:shd w:val="clear" w:color="auto" w:fill="FFFFFF"/>
        </w:rPr>
        <w:t>):e</w:t>
      </w:r>
      <w:proofErr w:type="gramEnd"/>
      <w:r>
        <w:rPr>
          <w:rFonts w:ascii="Times New Roman" w:hAnsi="Times New Roman" w:cs="Times New Roman"/>
          <w:color w:val="222222"/>
          <w:sz w:val="24"/>
          <w:szCs w:val="24"/>
          <w:shd w:val="clear" w:color="auto" w:fill="FFFFFF"/>
        </w:rPr>
        <w:t xml:space="preserve">00727. </w:t>
      </w:r>
      <w:r>
        <w:rPr>
          <w:rFonts w:ascii="Times New Roman" w:eastAsia="Times New Roman" w:hAnsi="Times New Roman" w:cs="Times New Roman"/>
          <w:color w:val="767676"/>
          <w:sz w:val="24"/>
          <w:szCs w:val="24"/>
          <w:shd w:val="clear" w:color="auto" w:fill="FFFFFF"/>
        </w:rPr>
        <w:t> </w:t>
      </w:r>
    </w:p>
    <w:p w14:paraId="1AB27BF5" w14:textId="77777777" w:rsidR="009D162F" w:rsidRDefault="006E6378">
      <w:pPr>
        <w:pStyle w:val="ListParagraph"/>
        <w:shd w:val="clear" w:color="auto" w:fill="FFFFFF"/>
        <w:spacing w:after="0"/>
        <w:jc w:val="both"/>
        <w:rPr>
          <w:rFonts w:ascii="Times New Roman" w:eastAsia="Times New Roman" w:hAnsi="Times New Roman" w:cs="Times New Roman"/>
          <w:color w:val="767676"/>
          <w:sz w:val="24"/>
          <w:szCs w:val="24"/>
        </w:rPr>
      </w:pPr>
      <w:hyperlink r:id="rId34" w:history="1">
        <w:r w:rsidR="009D162F">
          <w:rPr>
            <w:rFonts w:ascii="Times New Roman" w:eastAsia="Times New Roman" w:hAnsi="Times New Roman" w:cs="Times New Roman"/>
            <w:b/>
            <w:bCs/>
            <w:color w:val="0000FF"/>
            <w:sz w:val="24"/>
            <w:szCs w:val="24"/>
          </w:rPr>
          <w:t>https://doi.org/10.1002/brb3.727</w:t>
        </w:r>
      </w:hyperlink>
    </w:p>
    <w:p w14:paraId="4C4A28C4" w14:textId="77777777" w:rsidR="009D162F" w:rsidRDefault="006E6378">
      <w:pPr>
        <w:pStyle w:val="ListParagraph"/>
        <w:numPr>
          <w:ilvl w:val="0"/>
          <w:numId w:val="1"/>
        </w:numPr>
        <w:spacing w:beforeAutospacing="1" w:after="0" w:afterAutospacing="1" w:line="240" w:lineRule="auto"/>
        <w:jc w:val="both"/>
        <w:rPr>
          <w:rFonts w:ascii="Times New Roman" w:eastAsia="Times New Roman" w:hAnsi="Times New Roman" w:cs="Times New Roman"/>
          <w:color w:val="333333"/>
          <w:sz w:val="24"/>
          <w:szCs w:val="24"/>
        </w:rPr>
      </w:pPr>
      <w:r>
        <w:rPr>
          <w:rFonts w:ascii="Times New Roman" w:hAnsi="Times New Roman" w:cs="Times New Roman"/>
          <w:color w:val="222222"/>
          <w:sz w:val="24"/>
          <w:szCs w:val="24"/>
          <w:shd w:val="clear" w:color="auto" w:fill="FFFFFF"/>
        </w:rPr>
        <w:t>González-González, O., Ramirez, I. O., Ramirez, B. I., O’Connell, P., Ballesteros, M. P., Torrado, J. J., &amp; Serrano, D. R (2022) Drug stability: ICH versus accelerated predictive stability studies. </w:t>
      </w:r>
      <w:r>
        <w:rPr>
          <w:rFonts w:ascii="Times New Roman" w:hAnsi="Times New Roman" w:cs="Times New Roman"/>
          <w:i/>
          <w:iCs/>
          <w:color w:val="222222"/>
          <w:sz w:val="24"/>
          <w:szCs w:val="24"/>
          <w:shd w:val="clear" w:color="auto" w:fill="FFFFFF"/>
        </w:rPr>
        <w:t>Pharmaceutics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14</w:t>
      </w:r>
      <w:r>
        <w:rPr>
          <w:rFonts w:ascii="Times New Roman" w:hAnsi="Times New Roman" w:cs="Times New Roman"/>
          <w:color w:val="222222"/>
          <w:sz w:val="24"/>
          <w:szCs w:val="24"/>
          <w:shd w:val="clear" w:color="auto" w:fill="FFFFFF"/>
        </w:rPr>
        <w:t xml:space="preserve">(11):2324. </w:t>
      </w:r>
      <w:hyperlink r:id="rId35" w:history="1">
        <w:r w:rsidR="009D162F">
          <w:rPr>
            <w:rStyle w:val="Hyperlink"/>
            <w:rFonts w:ascii="Times New Roman" w:hAnsi="Times New Roman" w:cs="Times New Roman"/>
            <w:b/>
            <w:bCs/>
            <w:color w:val="4F5671"/>
            <w:sz w:val="24"/>
            <w:szCs w:val="24"/>
            <w:u w:val="none"/>
            <w:shd w:val="clear" w:color="auto" w:fill="FFFFFF"/>
          </w:rPr>
          <w:t>https://doi.org/10.3390/pharmaceutics14112324</w:t>
        </w:r>
      </w:hyperlink>
    </w:p>
    <w:p w14:paraId="540ABAF9" w14:textId="77777777" w:rsidR="009D162F" w:rsidRDefault="009D162F">
      <w:pPr>
        <w:jc w:val="both"/>
        <w:rPr>
          <w:rFonts w:ascii="Times New Roman" w:hAnsi="Times New Roman" w:cs="Times New Roman"/>
          <w:sz w:val="24"/>
          <w:szCs w:val="24"/>
        </w:rPr>
      </w:pPr>
    </w:p>
    <w:p w14:paraId="3AB3BF25" w14:textId="77777777" w:rsidR="009D162F" w:rsidRDefault="009D162F">
      <w:pPr>
        <w:rPr>
          <w:rFonts w:ascii="Times New Roman" w:hAnsi="Times New Roman" w:cs="Times New Roman"/>
          <w:sz w:val="24"/>
          <w:szCs w:val="24"/>
        </w:rPr>
      </w:pPr>
    </w:p>
    <w:p w14:paraId="1CB8BC5F" w14:textId="77777777" w:rsidR="009D162F" w:rsidRDefault="009D162F">
      <w:pPr>
        <w:jc w:val="both"/>
        <w:rPr>
          <w:rFonts w:ascii="Times New Roman" w:hAnsi="Times New Roman" w:cs="Times New Roman"/>
          <w:b/>
          <w:sz w:val="24"/>
          <w:szCs w:val="24"/>
        </w:rPr>
      </w:pPr>
    </w:p>
    <w:sectPr w:rsidR="009D162F">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9D4D1" w14:textId="77777777" w:rsidR="006E6378" w:rsidRDefault="006E6378">
      <w:pPr>
        <w:spacing w:line="240" w:lineRule="auto"/>
      </w:pPr>
      <w:r>
        <w:separator/>
      </w:r>
    </w:p>
  </w:endnote>
  <w:endnote w:type="continuationSeparator" w:id="0">
    <w:p w14:paraId="2D2DB5CC" w14:textId="77777777" w:rsidR="006E6378" w:rsidRDefault="006E63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97F80" w14:textId="77777777" w:rsidR="000B285B" w:rsidRDefault="000B2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B53E3" w14:textId="77777777" w:rsidR="000B285B" w:rsidRDefault="000B28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B3913" w14:textId="77777777" w:rsidR="000B285B" w:rsidRDefault="000B2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25C5E" w14:textId="77777777" w:rsidR="006E6378" w:rsidRDefault="006E6378">
      <w:pPr>
        <w:spacing w:after="0"/>
      </w:pPr>
      <w:r>
        <w:separator/>
      </w:r>
    </w:p>
  </w:footnote>
  <w:footnote w:type="continuationSeparator" w:id="0">
    <w:p w14:paraId="49D68738" w14:textId="77777777" w:rsidR="006E6378" w:rsidRDefault="006E63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96AC3" w14:textId="712AEB77" w:rsidR="000B285B" w:rsidRDefault="000B285B">
    <w:pPr>
      <w:pStyle w:val="Header"/>
    </w:pPr>
    <w:r>
      <w:rPr>
        <w:noProof/>
      </w:rPr>
      <w:pict w14:anchorId="520A5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485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D9BEF" w14:textId="35598870" w:rsidR="009D162F" w:rsidRDefault="000B285B">
    <w:pPr>
      <w:pStyle w:val="Header"/>
    </w:pPr>
    <w:r>
      <w:rPr>
        <w:noProof/>
      </w:rPr>
      <w:pict w14:anchorId="38411F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485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6A13F0BF" w14:textId="77777777" w:rsidR="009D162F" w:rsidRDefault="009D1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A0426" w14:textId="337EF675" w:rsidR="000B285B" w:rsidRDefault="000B285B">
    <w:pPr>
      <w:pStyle w:val="Header"/>
    </w:pPr>
    <w:r>
      <w:rPr>
        <w:noProof/>
      </w:rPr>
      <w:pict w14:anchorId="74426D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4853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4E3E"/>
    <w:multiLevelType w:val="multilevel"/>
    <w:tmpl w:val="07B54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8AF"/>
    <w:rsid w:val="0000117A"/>
    <w:rsid w:val="000200FB"/>
    <w:rsid w:val="000204F3"/>
    <w:rsid w:val="0003277F"/>
    <w:rsid w:val="000336D8"/>
    <w:rsid w:val="000415DA"/>
    <w:rsid w:val="0004293F"/>
    <w:rsid w:val="000751D2"/>
    <w:rsid w:val="00091C92"/>
    <w:rsid w:val="000A5F77"/>
    <w:rsid w:val="000B285B"/>
    <w:rsid w:val="000D4B88"/>
    <w:rsid w:val="000F32C0"/>
    <w:rsid w:val="00126876"/>
    <w:rsid w:val="00175832"/>
    <w:rsid w:val="00194DC5"/>
    <w:rsid w:val="001B07DE"/>
    <w:rsid w:val="001D5D7F"/>
    <w:rsid w:val="0020284E"/>
    <w:rsid w:val="00203DDE"/>
    <w:rsid w:val="002250B2"/>
    <w:rsid w:val="0022745F"/>
    <w:rsid w:val="00232348"/>
    <w:rsid w:val="0025338B"/>
    <w:rsid w:val="0026198E"/>
    <w:rsid w:val="00294605"/>
    <w:rsid w:val="002E05ED"/>
    <w:rsid w:val="002F676A"/>
    <w:rsid w:val="003032A1"/>
    <w:rsid w:val="003115EA"/>
    <w:rsid w:val="0031318B"/>
    <w:rsid w:val="003376AA"/>
    <w:rsid w:val="0037107D"/>
    <w:rsid w:val="003905D4"/>
    <w:rsid w:val="003E3DD5"/>
    <w:rsid w:val="00412ACF"/>
    <w:rsid w:val="0043444E"/>
    <w:rsid w:val="00435E70"/>
    <w:rsid w:val="00460EE6"/>
    <w:rsid w:val="0046343D"/>
    <w:rsid w:val="00463730"/>
    <w:rsid w:val="0047196C"/>
    <w:rsid w:val="00493267"/>
    <w:rsid w:val="004B521D"/>
    <w:rsid w:val="004C6994"/>
    <w:rsid w:val="004D41EC"/>
    <w:rsid w:val="005112C8"/>
    <w:rsid w:val="00542CAD"/>
    <w:rsid w:val="00556C45"/>
    <w:rsid w:val="005620D5"/>
    <w:rsid w:val="00563C9F"/>
    <w:rsid w:val="005922BD"/>
    <w:rsid w:val="005A3859"/>
    <w:rsid w:val="005C03B9"/>
    <w:rsid w:val="005D3EE2"/>
    <w:rsid w:val="005D6335"/>
    <w:rsid w:val="005E1D7D"/>
    <w:rsid w:val="006217D1"/>
    <w:rsid w:val="00624FC6"/>
    <w:rsid w:val="00643A68"/>
    <w:rsid w:val="006608E8"/>
    <w:rsid w:val="00661801"/>
    <w:rsid w:val="00683D86"/>
    <w:rsid w:val="006A06AD"/>
    <w:rsid w:val="006D0A82"/>
    <w:rsid w:val="006E6378"/>
    <w:rsid w:val="006E7157"/>
    <w:rsid w:val="006F2570"/>
    <w:rsid w:val="007052C7"/>
    <w:rsid w:val="00712224"/>
    <w:rsid w:val="007142EC"/>
    <w:rsid w:val="00732193"/>
    <w:rsid w:val="007D4686"/>
    <w:rsid w:val="007E1BFB"/>
    <w:rsid w:val="007E3174"/>
    <w:rsid w:val="007F0EBC"/>
    <w:rsid w:val="007F2A9F"/>
    <w:rsid w:val="007F7E46"/>
    <w:rsid w:val="00805FD6"/>
    <w:rsid w:val="008176A9"/>
    <w:rsid w:val="00831351"/>
    <w:rsid w:val="00834C10"/>
    <w:rsid w:val="008442DD"/>
    <w:rsid w:val="00863223"/>
    <w:rsid w:val="008823C9"/>
    <w:rsid w:val="008B4107"/>
    <w:rsid w:val="008F2048"/>
    <w:rsid w:val="008F4139"/>
    <w:rsid w:val="00900A4B"/>
    <w:rsid w:val="009210B5"/>
    <w:rsid w:val="00923F0A"/>
    <w:rsid w:val="0093392F"/>
    <w:rsid w:val="009516B2"/>
    <w:rsid w:val="00952BED"/>
    <w:rsid w:val="009741BE"/>
    <w:rsid w:val="009758AF"/>
    <w:rsid w:val="009A76BE"/>
    <w:rsid w:val="009C7827"/>
    <w:rsid w:val="009D162F"/>
    <w:rsid w:val="009D3F8D"/>
    <w:rsid w:val="009D49FC"/>
    <w:rsid w:val="009E57B0"/>
    <w:rsid w:val="00A11431"/>
    <w:rsid w:val="00A21512"/>
    <w:rsid w:val="00A55B0B"/>
    <w:rsid w:val="00A72751"/>
    <w:rsid w:val="00A92D42"/>
    <w:rsid w:val="00A95788"/>
    <w:rsid w:val="00A963C9"/>
    <w:rsid w:val="00AA11F7"/>
    <w:rsid w:val="00AC48B8"/>
    <w:rsid w:val="00AC773C"/>
    <w:rsid w:val="00AC7918"/>
    <w:rsid w:val="00AD5D36"/>
    <w:rsid w:val="00AE19FB"/>
    <w:rsid w:val="00AF39DB"/>
    <w:rsid w:val="00AF64F5"/>
    <w:rsid w:val="00B23A0D"/>
    <w:rsid w:val="00B743C0"/>
    <w:rsid w:val="00B91F69"/>
    <w:rsid w:val="00BA37C2"/>
    <w:rsid w:val="00BA71A0"/>
    <w:rsid w:val="00BC2041"/>
    <w:rsid w:val="00BF40E8"/>
    <w:rsid w:val="00C22BED"/>
    <w:rsid w:val="00C8506F"/>
    <w:rsid w:val="00CB3277"/>
    <w:rsid w:val="00CD573E"/>
    <w:rsid w:val="00CE39B1"/>
    <w:rsid w:val="00CF7C9B"/>
    <w:rsid w:val="00D21B90"/>
    <w:rsid w:val="00D32A65"/>
    <w:rsid w:val="00D465A1"/>
    <w:rsid w:val="00D84E6E"/>
    <w:rsid w:val="00D97B2D"/>
    <w:rsid w:val="00DA0447"/>
    <w:rsid w:val="00DA37F4"/>
    <w:rsid w:val="00DB09EB"/>
    <w:rsid w:val="00DC140C"/>
    <w:rsid w:val="00DC3E6D"/>
    <w:rsid w:val="00DE2696"/>
    <w:rsid w:val="00DF6CD0"/>
    <w:rsid w:val="00E15C66"/>
    <w:rsid w:val="00E1606D"/>
    <w:rsid w:val="00E24328"/>
    <w:rsid w:val="00E26A98"/>
    <w:rsid w:val="00E437DE"/>
    <w:rsid w:val="00E53E66"/>
    <w:rsid w:val="00E60DAD"/>
    <w:rsid w:val="00E65838"/>
    <w:rsid w:val="00E731D7"/>
    <w:rsid w:val="00E7631E"/>
    <w:rsid w:val="00E861FF"/>
    <w:rsid w:val="00E97DD1"/>
    <w:rsid w:val="00EA73BF"/>
    <w:rsid w:val="00EB50F5"/>
    <w:rsid w:val="00ED2CFA"/>
    <w:rsid w:val="00ED56A5"/>
    <w:rsid w:val="00EF035B"/>
    <w:rsid w:val="00F11C83"/>
    <w:rsid w:val="00F165B0"/>
    <w:rsid w:val="00F41C84"/>
    <w:rsid w:val="00F47F4B"/>
    <w:rsid w:val="00F53462"/>
    <w:rsid w:val="00F54E3B"/>
    <w:rsid w:val="00F5796F"/>
    <w:rsid w:val="00F94234"/>
    <w:rsid w:val="00FC2E1C"/>
    <w:rsid w:val="00FD5D8B"/>
    <w:rsid w:val="00FE2E3A"/>
    <w:rsid w:val="00FE5624"/>
    <w:rsid w:val="00FF26D6"/>
    <w:rsid w:val="00FF4E5A"/>
    <w:rsid w:val="2E536C44"/>
    <w:rsid w:val="2EA8597D"/>
    <w:rsid w:val="5CA10774"/>
  </w:rsids>
  <m:mathPr>
    <m:mathFont m:val="Cambria Math"/>
    <m:brkBin m:val="before"/>
    <m:brkBinSub m:val="--"/>
    <m:smallFrac/>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4CAE66"/>
  <w15:docId w15:val="{2F6E3107-58B8-4A88-91B9-D0399815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table" w:customStyle="1" w:styleId="LightShading-Accent12">
    <w:name w:val="Light Shading - Accent 12"/>
    <w:basedOn w:val="TableNormal"/>
    <w:uiPriority w:val="60"/>
    <w:qFormat/>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anchor-text">
    <w:name w:val="anchor-text"/>
    <w:basedOn w:val="DefaultParagraphFont"/>
    <w:qFormat/>
  </w:style>
  <w:style w:type="character" w:styleId="UnresolvedMention">
    <w:name w:val="Unresolved Mention"/>
    <w:basedOn w:val="DefaultParagraphFont"/>
    <w:uiPriority w:val="99"/>
    <w:semiHidden/>
    <w:unhideWhenUsed/>
    <w:rsid w:val="00F53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doi.org/10.1002/cne.901640202" TargetMode="External"/><Relationship Id="rId26" Type="http://schemas.openxmlformats.org/officeDocument/2006/relationships/hyperlink" Target="https://doi.org/10.9734/jpri/2021/v33i31B31698" TargetMode="External"/><Relationship Id="rId39" Type="http://schemas.openxmlformats.org/officeDocument/2006/relationships/footer" Target="footer2.xml"/><Relationship Id="rId21" Type="http://schemas.openxmlformats.org/officeDocument/2006/relationships/hyperlink" Target="https://doi.org/10.1016/j.nbd.2009.07.028" TargetMode="External"/><Relationship Id="rId34" Type="http://schemas.openxmlformats.org/officeDocument/2006/relationships/hyperlink" Target="https://doi.org/10.1002/brb3.727"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hyperlink" Target="https://doi.org/10.1016/j.freeradbiomed.2005.08.026" TargetMode="External"/><Relationship Id="rId29" Type="http://schemas.openxmlformats.org/officeDocument/2006/relationships/hyperlink" Target="https://doi.org/10.2174/1567201817666200902150646"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doi.org/10.4103%2F0976-500X.114599" TargetMode="External"/><Relationship Id="rId32" Type="http://schemas.openxmlformats.org/officeDocument/2006/relationships/hyperlink" Target="https://doi.org/10.4103%2F2230-973X.108961"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hyperlink" Target="https://doi.org/10.1016/j.tox.2008.11.012" TargetMode="External"/><Relationship Id="rId28" Type="http://schemas.openxmlformats.org/officeDocument/2006/relationships/hyperlink" Target="https://doi.org/10.1002/jps.2600551118" TargetMode="External"/><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yperlink" Target="https://doi.org/10.1016/j.ajps.2013.07.008" TargetMode="External"/><Relationship Id="rId31" Type="http://schemas.openxmlformats.org/officeDocument/2006/relationships/hyperlink" Target="https://doi.org/10.1517/17425247.2013.812069"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yperlink" Target="https://doi.org/10.1159/000028215" TargetMode="External"/><Relationship Id="rId27" Type="http://schemas.openxmlformats.org/officeDocument/2006/relationships/hyperlink" Target="https://doi.org/10.3390/gels8080511" TargetMode="External"/><Relationship Id="rId30" Type="http://schemas.openxmlformats.org/officeDocument/2006/relationships/hyperlink" Target="https://doi.org/10.1016/j.ejpb.2011.10.012" TargetMode="External"/><Relationship Id="rId35" Type="http://schemas.openxmlformats.org/officeDocument/2006/relationships/hyperlink" Target="https://doi.org/10.3390/pharmaceutics14112324" TargetMode="External"/><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8.png"/><Relationship Id="rId25" Type="http://schemas.openxmlformats.org/officeDocument/2006/relationships/hyperlink" Target="https://doi.org/10.1021/jf0484632" TargetMode="External"/><Relationship Id="rId33" Type="http://schemas.openxmlformats.org/officeDocument/2006/relationships/hyperlink" Target="https://doi.org/10.4103%2F0250-474X.57291" TargetMode="External"/><Relationship Id="rId38"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AREN\Downloads\Final%20drug%20release%20values%20QRT,NR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AREN\Downloads\Gel%20drug%20release%20resul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hD\THESIS%20MINE\METHADOLOGY%20(NRG)\Gel%20drug%20release%20results%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48381452318499"/>
          <c:y val="5.0925925925926097E-2"/>
          <c:w val="0.83129396325460003"/>
          <c:h val="0.63644138232720904"/>
        </c:manualLayout>
      </c:layout>
      <c:scatterChart>
        <c:scatterStyle val="smoothMarker"/>
        <c:varyColors val="0"/>
        <c:ser>
          <c:idx val="0"/>
          <c:order val="0"/>
          <c:tx>
            <c:strRef>
              <c:f>Sheet1!$B$1</c:f>
              <c:strCache>
                <c:ptCount val="1"/>
                <c:pt idx="0">
                  <c:v>NC1</c:v>
                </c:pt>
              </c:strCache>
            </c:strRef>
          </c:tx>
          <c:spPr>
            <a:ln w="19050" cap="rnd" cmpd="sng" algn="ctr">
              <a:solidFill>
                <a:schemeClr val="accent1"/>
              </a:solidFill>
              <a:prstDash val="solid"/>
              <a:round/>
            </a:ln>
            <a:effectLst/>
          </c:spPr>
          <c:marker>
            <c:symbol val="none"/>
          </c:marker>
          <c:errBars>
            <c:errDir val="y"/>
            <c:errBarType val="both"/>
            <c:errValType val="cust"/>
            <c:noEndCap val="0"/>
            <c:plus>
              <c:numRef>
                <c:f>Sheet1!$A$20:$A$33</c:f>
                <c:numCache>
                  <c:formatCode>General</c:formatCode>
                  <c:ptCount val="14"/>
                  <c:pt idx="0">
                    <c:v>0</c:v>
                  </c:pt>
                  <c:pt idx="1">
                    <c:v>2.4300000000000002</c:v>
                  </c:pt>
                  <c:pt idx="2">
                    <c:v>2.12</c:v>
                  </c:pt>
                  <c:pt idx="3">
                    <c:v>3.9</c:v>
                  </c:pt>
                  <c:pt idx="4">
                    <c:v>2.76</c:v>
                  </c:pt>
                  <c:pt idx="5">
                    <c:v>3.17</c:v>
                  </c:pt>
                  <c:pt idx="6">
                    <c:v>4.62</c:v>
                  </c:pt>
                  <c:pt idx="7">
                    <c:v>3.74</c:v>
                  </c:pt>
                  <c:pt idx="8">
                    <c:v>4.58</c:v>
                  </c:pt>
                  <c:pt idx="9">
                    <c:v>4.3899999999999997</c:v>
                  </c:pt>
                  <c:pt idx="10">
                    <c:v>2.73</c:v>
                  </c:pt>
                  <c:pt idx="11">
                    <c:v>1.47</c:v>
                  </c:pt>
                  <c:pt idx="12">
                    <c:v>4.3099999999999996</c:v>
                  </c:pt>
                  <c:pt idx="13">
                    <c:v>5.97</c:v>
                  </c:pt>
                </c:numCache>
              </c:numRef>
            </c:plus>
            <c:minus>
              <c:numRef>
                <c:f>Sheet1!$A$20:$A$33</c:f>
                <c:numCache>
                  <c:formatCode>General</c:formatCode>
                  <c:ptCount val="14"/>
                  <c:pt idx="0">
                    <c:v>0</c:v>
                  </c:pt>
                  <c:pt idx="1">
                    <c:v>2.4300000000000002</c:v>
                  </c:pt>
                  <c:pt idx="2">
                    <c:v>2.12</c:v>
                  </c:pt>
                  <c:pt idx="3">
                    <c:v>3.9</c:v>
                  </c:pt>
                  <c:pt idx="4">
                    <c:v>2.76</c:v>
                  </c:pt>
                  <c:pt idx="5">
                    <c:v>3.17</c:v>
                  </c:pt>
                  <c:pt idx="6">
                    <c:v>4.62</c:v>
                  </c:pt>
                  <c:pt idx="7">
                    <c:v>3.74</c:v>
                  </c:pt>
                  <c:pt idx="8">
                    <c:v>4.58</c:v>
                  </c:pt>
                  <c:pt idx="9">
                    <c:v>4.3899999999999997</c:v>
                  </c:pt>
                  <c:pt idx="10">
                    <c:v>2.73</c:v>
                  </c:pt>
                  <c:pt idx="11">
                    <c:v>1.47</c:v>
                  </c:pt>
                  <c:pt idx="12">
                    <c:v>4.3099999999999996</c:v>
                  </c:pt>
                  <c:pt idx="13">
                    <c:v>5.97</c:v>
                  </c:pt>
                </c:numCache>
              </c:numRef>
            </c:minus>
            <c:spPr>
              <a:noFill/>
              <a:ln w="9525" cap="flat" cmpd="sng" algn="ctr">
                <a:solidFill>
                  <a:schemeClr val="tx1">
                    <a:lumMod val="65000"/>
                    <a:lumOff val="35000"/>
                  </a:schemeClr>
                </a:solidFill>
                <a:prstDash val="solid"/>
                <a:round/>
              </a:ln>
              <a:effectLst/>
            </c:spPr>
          </c:errBars>
          <c:xVal>
            <c:numRef>
              <c:f>Sheet1!$A$2:$A$15</c:f>
              <c:numCache>
                <c:formatCode>General</c:formatCode>
                <c:ptCount val="14"/>
                <c:pt idx="0">
                  <c:v>0</c:v>
                </c:pt>
                <c:pt idx="1">
                  <c:v>0.5</c:v>
                </c:pt>
                <c:pt idx="2">
                  <c:v>1</c:v>
                </c:pt>
                <c:pt idx="3">
                  <c:v>2</c:v>
                </c:pt>
                <c:pt idx="4">
                  <c:v>3</c:v>
                </c:pt>
                <c:pt idx="5">
                  <c:v>4</c:v>
                </c:pt>
                <c:pt idx="6">
                  <c:v>5</c:v>
                </c:pt>
                <c:pt idx="7">
                  <c:v>6</c:v>
                </c:pt>
                <c:pt idx="8">
                  <c:v>7</c:v>
                </c:pt>
                <c:pt idx="9">
                  <c:v>8</c:v>
                </c:pt>
                <c:pt idx="10">
                  <c:v>9</c:v>
                </c:pt>
                <c:pt idx="11">
                  <c:v>10</c:v>
                </c:pt>
                <c:pt idx="12">
                  <c:v>11</c:v>
                </c:pt>
                <c:pt idx="13">
                  <c:v>12</c:v>
                </c:pt>
              </c:numCache>
            </c:numRef>
          </c:xVal>
          <c:yVal>
            <c:numRef>
              <c:f>Sheet1!$B$2:$B$15</c:f>
              <c:numCache>
                <c:formatCode>General</c:formatCode>
                <c:ptCount val="14"/>
                <c:pt idx="0">
                  <c:v>0</c:v>
                </c:pt>
                <c:pt idx="1">
                  <c:v>6.16</c:v>
                </c:pt>
                <c:pt idx="2">
                  <c:v>13.88</c:v>
                </c:pt>
                <c:pt idx="3">
                  <c:v>19.28</c:v>
                </c:pt>
                <c:pt idx="4">
                  <c:v>23.64</c:v>
                </c:pt>
                <c:pt idx="5">
                  <c:v>27.5</c:v>
                </c:pt>
                <c:pt idx="6">
                  <c:v>33.159999999999997</c:v>
                </c:pt>
                <c:pt idx="7">
                  <c:v>38.56</c:v>
                </c:pt>
                <c:pt idx="8">
                  <c:v>43.95</c:v>
                </c:pt>
                <c:pt idx="9">
                  <c:v>48.07</c:v>
                </c:pt>
                <c:pt idx="10">
                  <c:v>52.95</c:v>
                </c:pt>
                <c:pt idx="11">
                  <c:v>56.55</c:v>
                </c:pt>
                <c:pt idx="12">
                  <c:v>57.06</c:v>
                </c:pt>
                <c:pt idx="13">
                  <c:v>58.09</c:v>
                </c:pt>
              </c:numCache>
            </c:numRef>
          </c:yVal>
          <c:smooth val="1"/>
          <c:extLst>
            <c:ext xmlns:c16="http://schemas.microsoft.com/office/drawing/2014/chart" uri="{C3380CC4-5D6E-409C-BE32-E72D297353CC}">
              <c16:uniqueId val="{00000000-093F-4E6E-998D-C0FB15D42CA7}"/>
            </c:ext>
          </c:extLst>
        </c:ser>
        <c:ser>
          <c:idx val="1"/>
          <c:order val="1"/>
          <c:tx>
            <c:strRef>
              <c:f>Sheet1!$C$1</c:f>
              <c:strCache>
                <c:ptCount val="1"/>
                <c:pt idx="0">
                  <c:v>NC2</c:v>
                </c:pt>
              </c:strCache>
            </c:strRef>
          </c:tx>
          <c:spPr>
            <a:ln w="19050" cap="rnd" cmpd="sng" algn="ctr">
              <a:solidFill>
                <a:schemeClr val="accent2"/>
              </a:solidFill>
              <a:prstDash val="solid"/>
              <a:round/>
            </a:ln>
            <a:effectLst/>
          </c:spPr>
          <c:marker>
            <c:symbol val="none"/>
          </c:marker>
          <c:errBars>
            <c:errDir val="y"/>
            <c:errBarType val="both"/>
            <c:errValType val="cust"/>
            <c:noEndCap val="0"/>
            <c:plus>
              <c:numRef>
                <c:f>Sheet1!$B$20:$B$33</c:f>
                <c:numCache>
                  <c:formatCode>General</c:formatCode>
                  <c:ptCount val="14"/>
                  <c:pt idx="0">
                    <c:v>0</c:v>
                  </c:pt>
                  <c:pt idx="1">
                    <c:v>3.02</c:v>
                  </c:pt>
                  <c:pt idx="2">
                    <c:v>2.4300000000000002</c:v>
                  </c:pt>
                  <c:pt idx="3">
                    <c:v>4.66</c:v>
                  </c:pt>
                  <c:pt idx="4">
                    <c:v>3.84</c:v>
                  </c:pt>
                  <c:pt idx="5">
                    <c:v>1.05</c:v>
                  </c:pt>
                  <c:pt idx="6">
                    <c:v>5.63</c:v>
                  </c:pt>
                  <c:pt idx="7">
                    <c:v>3.15</c:v>
                  </c:pt>
                  <c:pt idx="8">
                    <c:v>5.69</c:v>
                  </c:pt>
                  <c:pt idx="9">
                    <c:v>4.5</c:v>
                  </c:pt>
                  <c:pt idx="10">
                    <c:v>3.46</c:v>
                  </c:pt>
                  <c:pt idx="11">
                    <c:v>6.43</c:v>
                  </c:pt>
                  <c:pt idx="12">
                    <c:v>4.87</c:v>
                  </c:pt>
                  <c:pt idx="13">
                    <c:v>2.4300000000000002</c:v>
                  </c:pt>
                </c:numCache>
              </c:numRef>
            </c:plus>
            <c:minus>
              <c:numRef>
                <c:f>Sheet1!$B$20:$B$33</c:f>
                <c:numCache>
                  <c:formatCode>General</c:formatCode>
                  <c:ptCount val="14"/>
                  <c:pt idx="0">
                    <c:v>0</c:v>
                  </c:pt>
                  <c:pt idx="1">
                    <c:v>3.02</c:v>
                  </c:pt>
                  <c:pt idx="2">
                    <c:v>2.4300000000000002</c:v>
                  </c:pt>
                  <c:pt idx="3">
                    <c:v>4.66</c:v>
                  </c:pt>
                  <c:pt idx="4">
                    <c:v>3.84</c:v>
                  </c:pt>
                  <c:pt idx="5">
                    <c:v>1.05</c:v>
                  </c:pt>
                  <c:pt idx="6">
                    <c:v>5.63</c:v>
                  </c:pt>
                  <c:pt idx="7">
                    <c:v>3.15</c:v>
                  </c:pt>
                  <c:pt idx="8">
                    <c:v>5.69</c:v>
                  </c:pt>
                  <c:pt idx="9">
                    <c:v>4.5</c:v>
                  </c:pt>
                  <c:pt idx="10">
                    <c:v>3.46</c:v>
                  </c:pt>
                  <c:pt idx="11">
                    <c:v>6.43</c:v>
                  </c:pt>
                  <c:pt idx="12">
                    <c:v>4.87</c:v>
                  </c:pt>
                  <c:pt idx="13">
                    <c:v>2.4300000000000002</c:v>
                  </c:pt>
                </c:numCache>
              </c:numRef>
            </c:minus>
            <c:spPr>
              <a:noFill/>
              <a:ln w="9525" cap="flat" cmpd="sng" algn="ctr">
                <a:solidFill>
                  <a:schemeClr val="tx1">
                    <a:lumMod val="65000"/>
                    <a:lumOff val="35000"/>
                  </a:schemeClr>
                </a:solidFill>
                <a:prstDash val="solid"/>
                <a:round/>
              </a:ln>
              <a:effectLst/>
            </c:spPr>
          </c:errBars>
          <c:xVal>
            <c:numRef>
              <c:f>Sheet1!$A$2:$A$15</c:f>
              <c:numCache>
                <c:formatCode>General</c:formatCode>
                <c:ptCount val="14"/>
                <c:pt idx="0">
                  <c:v>0</c:v>
                </c:pt>
                <c:pt idx="1">
                  <c:v>0.5</c:v>
                </c:pt>
                <c:pt idx="2">
                  <c:v>1</c:v>
                </c:pt>
                <c:pt idx="3">
                  <c:v>2</c:v>
                </c:pt>
                <c:pt idx="4">
                  <c:v>3</c:v>
                </c:pt>
                <c:pt idx="5">
                  <c:v>4</c:v>
                </c:pt>
                <c:pt idx="6">
                  <c:v>5</c:v>
                </c:pt>
                <c:pt idx="7">
                  <c:v>6</c:v>
                </c:pt>
                <c:pt idx="8">
                  <c:v>7</c:v>
                </c:pt>
                <c:pt idx="9">
                  <c:v>8</c:v>
                </c:pt>
                <c:pt idx="10">
                  <c:v>9</c:v>
                </c:pt>
                <c:pt idx="11">
                  <c:v>10</c:v>
                </c:pt>
                <c:pt idx="12">
                  <c:v>11</c:v>
                </c:pt>
                <c:pt idx="13">
                  <c:v>12</c:v>
                </c:pt>
              </c:numCache>
            </c:numRef>
          </c:xVal>
          <c:yVal>
            <c:numRef>
              <c:f>Sheet1!$C$2:$C$15</c:f>
              <c:numCache>
                <c:formatCode>General</c:formatCode>
                <c:ptCount val="14"/>
                <c:pt idx="0">
                  <c:v>0</c:v>
                </c:pt>
                <c:pt idx="1">
                  <c:v>6.94</c:v>
                </c:pt>
                <c:pt idx="2">
                  <c:v>10.28</c:v>
                </c:pt>
                <c:pt idx="3">
                  <c:v>16.190000000000001</c:v>
                </c:pt>
                <c:pt idx="4">
                  <c:v>23.9</c:v>
                </c:pt>
                <c:pt idx="5">
                  <c:v>29.04</c:v>
                </c:pt>
                <c:pt idx="6">
                  <c:v>35.979999999999997</c:v>
                </c:pt>
                <c:pt idx="7">
                  <c:v>40.1</c:v>
                </c:pt>
                <c:pt idx="8">
                  <c:v>47.04</c:v>
                </c:pt>
                <c:pt idx="9">
                  <c:v>54.49</c:v>
                </c:pt>
                <c:pt idx="10">
                  <c:v>57.32</c:v>
                </c:pt>
                <c:pt idx="11">
                  <c:v>59.89</c:v>
                </c:pt>
                <c:pt idx="12">
                  <c:v>62.72</c:v>
                </c:pt>
                <c:pt idx="13">
                  <c:v>62.98</c:v>
                </c:pt>
              </c:numCache>
            </c:numRef>
          </c:yVal>
          <c:smooth val="1"/>
          <c:extLst>
            <c:ext xmlns:c16="http://schemas.microsoft.com/office/drawing/2014/chart" uri="{C3380CC4-5D6E-409C-BE32-E72D297353CC}">
              <c16:uniqueId val="{00000001-093F-4E6E-998D-C0FB15D42CA7}"/>
            </c:ext>
          </c:extLst>
        </c:ser>
        <c:ser>
          <c:idx val="2"/>
          <c:order val="2"/>
          <c:tx>
            <c:strRef>
              <c:f>Sheet1!$D$1</c:f>
              <c:strCache>
                <c:ptCount val="1"/>
                <c:pt idx="0">
                  <c:v>NC3</c:v>
                </c:pt>
              </c:strCache>
            </c:strRef>
          </c:tx>
          <c:spPr>
            <a:ln w="19050" cap="rnd" cmpd="sng" algn="ctr">
              <a:solidFill>
                <a:schemeClr val="accent3"/>
              </a:solidFill>
              <a:prstDash val="solid"/>
              <a:round/>
            </a:ln>
            <a:effectLst/>
          </c:spPr>
          <c:marker>
            <c:symbol val="none"/>
          </c:marker>
          <c:errBars>
            <c:errDir val="y"/>
            <c:errBarType val="both"/>
            <c:errValType val="cust"/>
            <c:noEndCap val="0"/>
            <c:plus>
              <c:numRef>
                <c:f>Sheet1!$C$20:$C$33</c:f>
                <c:numCache>
                  <c:formatCode>General</c:formatCode>
                  <c:ptCount val="14"/>
                  <c:pt idx="0">
                    <c:v>0</c:v>
                  </c:pt>
                  <c:pt idx="1">
                    <c:v>4.32</c:v>
                  </c:pt>
                  <c:pt idx="2">
                    <c:v>3.54</c:v>
                  </c:pt>
                  <c:pt idx="3">
                    <c:v>2.63</c:v>
                  </c:pt>
                  <c:pt idx="4">
                    <c:v>4.6500000000000004</c:v>
                  </c:pt>
                  <c:pt idx="5">
                    <c:v>3.78</c:v>
                  </c:pt>
                  <c:pt idx="6">
                    <c:v>2.15</c:v>
                  </c:pt>
                  <c:pt idx="7">
                    <c:v>4.3899999999999997</c:v>
                  </c:pt>
                  <c:pt idx="8">
                    <c:v>4.62</c:v>
                  </c:pt>
                  <c:pt idx="9">
                    <c:v>3.93</c:v>
                  </c:pt>
                  <c:pt idx="10">
                    <c:v>1.47</c:v>
                  </c:pt>
                  <c:pt idx="11">
                    <c:v>4.32</c:v>
                  </c:pt>
                  <c:pt idx="12">
                    <c:v>5.83</c:v>
                  </c:pt>
                  <c:pt idx="13">
                    <c:v>3.72</c:v>
                  </c:pt>
                </c:numCache>
              </c:numRef>
            </c:plus>
            <c:minus>
              <c:numRef>
                <c:f>Sheet1!$C$20:$C$33</c:f>
                <c:numCache>
                  <c:formatCode>General</c:formatCode>
                  <c:ptCount val="14"/>
                  <c:pt idx="0">
                    <c:v>0</c:v>
                  </c:pt>
                  <c:pt idx="1">
                    <c:v>4.32</c:v>
                  </c:pt>
                  <c:pt idx="2">
                    <c:v>3.54</c:v>
                  </c:pt>
                  <c:pt idx="3">
                    <c:v>2.63</c:v>
                  </c:pt>
                  <c:pt idx="4">
                    <c:v>4.6500000000000004</c:v>
                  </c:pt>
                  <c:pt idx="5">
                    <c:v>3.78</c:v>
                  </c:pt>
                  <c:pt idx="6">
                    <c:v>2.15</c:v>
                  </c:pt>
                  <c:pt idx="7">
                    <c:v>4.3899999999999997</c:v>
                  </c:pt>
                  <c:pt idx="8">
                    <c:v>4.62</c:v>
                  </c:pt>
                  <c:pt idx="9">
                    <c:v>3.93</c:v>
                  </c:pt>
                  <c:pt idx="10">
                    <c:v>1.47</c:v>
                  </c:pt>
                  <c:pt idx="11">
                    <c:v>4.32</c:v>
                  </c:pt>
                  <c:pt idx="12">
                    <c:v>5.83</c:v>
                  </c:pt>
                  <c:pt idx="13">
                    <c:v>3.72</c:v>
                  </c:pt>
                </c:numCache>
              </c:numRef>
            </c:minus>
            <c:spPr>
              <a:noFill/>
              <a:ln w="9525" cap="flat" cmpd="sng" algn="ctr">
                <a:solidFill>
                  <a:schemeClr val="tx1">
                    <a:lumMod val="65000"/>
                    <a:lumOff val="35000"/>
                  </a:schemeClr>
                </a:solidFill>
                <a:prstDash val="solid"/>
                <a:round/>
              </a:ln>
              <a:effectLst/>
            </c:spPr>
          </c:errBars>
          <c:xVal>
            <c:numRef>
              <c:f>Sheet1!$A$2:$A$15</c:f>
              <c:numCache>
                <c:formatCode>General</c:formatCode>
                <c:ptCount val="14"/>
                <c:pt idx="0">
                  <c:v>0</c:v>
                </c:pt>
                <c:pt idx="1">
                  <c:v>0.5</c:v>
                </c:pt>
                <c:pt idx="2">
                  <c:v>1</c:v>
                </c:pt>
                <c:pt idx="3">
                  <c:v>2</c:v>
                </c:pt>
                <c:pt idx="4">
                  <c:v>3</c:v>
                </c:pt>
                <c:pt idx="5">
                  <c:v>4</c:v>
                </c:pt>
                <c:pt idx="6">
                  <c:v>5</c:v>
                </c:pt>
                <c:pt idx="7">
                  <c:v>6</c:v>
                </c:pt>
                <c:pt idx="8">
                  <c:v>7</c:v>
                </c:pt>
                <c:pt idx="9">
                  <c:v>8</c:v>
                </c:pt>
                <c:pt idx="10">
                  <c:v>9</c:v>
                </c:pt>
                <c:pt idx="11">
                  <c:v>10</c:v>
                </c:pt>
                <c:pt idx="12">
                  <c:v>11</c:v>
                </c:pt>
                <c:pt idx="13">
                  <c:v>12</c:v>
                </c:pt>
              </c:numCache>
            </c:numRef>
          </c:xVal>
          <c:yVal>
            <c:numRef>
              <c:f>Sheet1!$D$2:$D$15</c:f>
              <c:numCache>
                <c:formatCode>General</c:formatCode>
                <c:ptCount val="14"/>
                <c:pt idx="0">
                  <c:v>0</c:v>
                </c:pt>
                <c:pt idx="1">
                  <c:v>6.94</c:v>
                </c:pt>
                <c:pt idx="2">
                  <c:v>13.36</c:v>
                </c:pt>
                <c:pt idx="3">
                  <c:v>16.96</c:v>
                </c:pt>
                <c:pt idx="4">
                  <c:v>20.56</c:v>
                </c:pt>
                <c:pt idx="5">
                  <c:v>23.65</c:v>
                </c:pt>
                <c:pt idx="6">
                  <c:v>26.47</c:v>
                </c:pt>
                <c:pt idx="7">
                  <c:v>29.3</c:v>
                </c:pt>
                <c:pt idx="8">
                  <c:v>33.159999999999997</c:v>
                </c:pt>
                <c:pt idx="9">
                  <c:v>34.96</c:v>
                </c:pt>
                <c:pt idx="10">
                  <c:v>37.06</c:v>
                </c:pt>
                <c:pt idx="11">
                  <c:v>38.56</c:v>
                </c:pt>
                <c:pt idx="12">
                  <c:v>38.81</c:v>
                </c:pt>
                <c:pt idx="13">
                  <c:v>39.33</c:v>
                </c:pt>
              </c:numCache>
            </c:numRef>
          </c:yVal>
          <c:smooth val="1"/>
          <c:extLst>
            <c:ext xmlns:c16="http://schemas.microsoft.com/office/drawing/2014/chart" uri="{C3380CC4-5D6E-409C-BE32-E72D297353CC}">
              <c16:uniqueId val="{00000002-093F-4E6E-998D-C0FB15D42CA7}"/>
            </c:ext>
          </c:extLst>
        </c:ser>
        <c:ser>
          <c:idx val="3"/>
          <c:order val="3"/>
          <c:tx>
            <c:strRef>
              <c:f>Sheet1!$E$1</c:f>
              <c:strCache>
                <c:ptCount val="1"/>
                <c:pt idx="0">
                  <c:v>NC4</c:v>
                </c:pt>
              </c:strCache>
            </c:strRef>
          </c:tx>
          <c:spPr>
            <a:ln w="19050" cap="rnd" cmpd="sng" algn="ctr">
              <a:solidFill>
                <a:schemeClr val="accent4"/>
              </a:solidFill>
              <a:prstDash val="solid"/>
              <a:round/>
            </a:ln>
            <a:effectLst/>
          </c:spPr>
          <c:marker>
            <c:symbol val="none"/>
          </c:marker>
          <c:errBars>
            <c:errDir val="y"/>
            <c:errBarType val="both"/>
            <c:errValType val="cust"/>
            <c:noEndCap val="0"/>
            <c:plus>
              <c:numRef>
                <c:f>Sheet1!$D$20:$D$33</c:f>
                <c:numCache>
                  <c:formatCode>General</c:formatCode>
                  <c:ptCount val="14"/>
                  <c:pt idx="0">
                    <c:v>0</c:v>
                  </c:pt>
                  <c:pt idx="1">
                    <c:v>3.85</c:v>
                  </c:pt>
                  <c:pt idx="2">
                    <c:v>3.15</c:v>
                  </c:pt>
                  <c:pt idx="3">
                    <c:v>4.72</c:v>
                  </c:pt>
                  <c:pt idx="4">
                    <c:v>5.37</c:v>
                  </c:pt>
                  <c:pt idx="5">
                    <c:v>4.6900000000000004</c:v>
                  </c:pt>
                  <c:pt idx="6">
                    <c:v>3.83</c:v>
                  </c:pt>
                  <c:pt idx="7">
                    <c:v>4.0199999999999996</c:v>
                  </c:pt>
                  <c:pt idx="8">
                    <c:v>3.29</c:v>
                  </c:pt>
                  <c:pt idx="9">
                    <c:v>5.76</c:v>
                  </c:pt>
                  <c:pt idx="10">
                    <c:v>4.87</c:v>
                  </c:pt>
                  <c:pt idx="11">
                    <c:v>2.31</c:v>
                  </c:pt>
                  <c:pt idx="12">
                    <c:v>3.53</c:v>
                  </c:pt>
                  <c:pt idx="13">
                    <c:v>4.96</c:v>
                  </c:pt>
                </c:numCache>
              </c:numRef>
            </c:plus>
            <c:minus>
              <c:numRef>
                <c:f>Sheet1!$D$20:$D$33</c:f>
                <c:numCache>
                  <c:formatCode>General</c:formatCode>
                  <c:ptCount val="14"/>
                  <c:pt idx="0">
                    <c:v>0</c:v>
                  </c:pt>
                  <c:pt idx="1">
                    <c:v>3.85</c:v>
                  </c:pt>
                  <c:pt idx="2">
                    <c:v>3.15</c:v>
                  </c:pt>
                  <c:pt idx="3">
                    <c:v>4.72</c:v>
                  </c:pt>
                  <c:pt idx="4">
                    <c:v>5.37</c:v>
                  </c:pt>
                  <c:pt idx="5">
                    <c:v>4.6900000000000004</c:v>
                  </c:pt>
                  <c:pt idx="6">
                    <c:v>3.83</c:v>
                  </c:pt>
                  <c:pt idx="7">
                    <c:v>4.0199999999999996</c:v>
                  </c:pt>
                  <c:pt idx="8">
                    <c:v>3.29</c:v>
                  </c:pt>
                  <c:pt idx="9">
                    <c:v>5.76</c:v>
                  </c:pt>
                  <c:pt idx="10">
                    <c:v>4.87</c:v>
                  </c:pt>
                  <c:pt idx="11">
                    <c:v>2.31</c:v>
                  </c:pt>
                  <c:pt idx="12">
                    <c:v>3.53</c:v>
                  </c:pt>
                  <c:pt idx="13">
                    <c:v>4.96</c:v>
                  </c:pt>
                </c:numCache>
              </c:numRef>
            </c:minus>
            <c:spPr>
              <a:noFill/>
              <a:ln w="9525" cap="flat" cmpd="sng" algn="ctr">
                <a:solidFill>
                  <a:schemeClr val="tx1">
                    <a:lumMod val="65000"/>
                    <a:lumOff val="35000"/>
                  </a:schemeClr>
                </a:solidFill>
                <a:prstDash val="solid"/>
                <a:round/>
              </a:ln>
              <a:effectLst/>
            </c:spPr>
          </c:errBars>
          <c:xVal>
            <c:numRef>
              <c:f>Sheet1!$A$2:$A$15</c:f>
              <c:numCache>
                <c:formatCode>General</c:formatCode>
                <c:ptCount val="14"/>
                <c:pt idx="0">
                  <c:v>0</c:v>
                </c:pt>
                <c:pt idx="1">
                  <c:v>0.5</c:v>
                </c:pt>
                <c:pt idx="2">
                  <c:v>1</c:v>
                </c:pt>
                <c:pt idx="3">
                  <c:v>2</c:v>
                </c:pt>
                <c:pt idx="4">
                  <c:v>3</c:v>
                </c:pt>
                <c:pt idx="5">
                  <c:v>4</c:v>
                </c:pt>
                <c:pt idx="6">
                  <c:v>5</c:v>
                </c:pt>
                <c:pt idx="7">
                  <c:v>6</c:v>
                </c:pt>
                <c:pt idx="8">
                  <c:v>7</c:v>
                </c:pt>
                <c:pt idx="9">
                  <c:v>8</c:v>
                </c:pt>
                <c:pt idx="10">
                  <c:v>9</c:v>
                </c:pt>
                <c:pt idx="11">
                  <c:v>10</c:v>
                </c:pt>
                <c:pt idx="12">
                  <c:v>11</c:v>
                </c:pt>
                <c:pt idx="13">
                  <c:v>12</c:v>
                </c:pt>
              </c:numCache>
            </c:numRef>
          </c:xVal>
          <c:yVal>
            <c:numRef>
              <c:f>Sheet1!$E$2:$E$15</c:f>
              <c:numCache>
                <c:formatCode>General</c:formatCode>
                <c:ptCount val="14"/>
                <c:pt idx="0">
                  <c:v>0</c:v>
                </c:pt>
                <c:pt idx="1">
                  <c:v>6.94</c:v>
                </c:pt>
                <c:pt idx="2">
                  <c:v>22.62</c:v>
                </c:pt>
                <c:pt idx="3">
                  <c:v>27.76</c:v>
                </c:pt>
                <c:pt idx="4">
                  <c:v>34.19</c:v>
                </c:pt>
                <c:pt idx="5">
                  <c:v>39.840000000000003</c:v>
                </c:pt>
                <c:pt idx="6">
                  <c:v>46.01</c:v>
                </c:pt>
                <c:pt idx="7">
                  <c:v>52.95</c:v>
                </c:pt>
                <c:pt idx="8">
                  <c:v>58.09</c:v>
                </c:pt>
                <c:pt idx="9">
                  <c:v>61.18</c:v>
                </c:pt>
                <c:pt idx="10">
                  <c:v>64.260000000000005</c:v>
                </c:pt>
                <c:pt idx="11">
                  <c:v>68.12</c:v>
                </c:pt>
                <c:pt idx="12">
                  <c:v>68.89</c:v>
                </c:pt>
                <c:pt idx="13">
                  <c:v>68.989999999999995</c:v>
                </c:pt>
              </c:numCache>
            </c:numRef>
          </c:yVal>
          <c:smooth val="1"/>
          <c:extLst>
            <c:ext xmlns:c16="http://schemas.microsoft.com/office/drawing/2014/chart" uri="{C3380CC4-5D6E-409C-BE32-E72D297353CC}">
              <c16:uniqueId val="{00000003-093F-4E6E-998D-C0FB15D42CA7}"/>
            </c:ext>
          </c:extLst>
        </c:ser>
        <c:ser>
          <c:idx val="4"/>
          <c:order val="4"/>
          <c:tx>
            <c:strRef>
              <c:f>Sheet1!$F$1</c:f>
              <c:strCache>
                <c:ptCount val="1"/>
                <c:pt idx="0">
                  <c:v>NC5</c:v>
                </c:pt>
              </c:strCache>
            </c:strRef>
          </c:tx>
          <c:spPr>
            <a:ln w="19050" cap="rnd" cmpd="sng" algn="ctr">
              <a:solidFill>
                <a:schemeClr val="accent5"/>
              </a:solidFill>
              <a:prstDash val="solid"/>
              <a:round/>
            </a:ln>
            <a:effectLst/>
          </c:spPr>
          <c:marker>
            <c:symbol val="none"/>
          </c:marker>
          <c:xVal>
            <c:numRef>
              <c:f>Sheet1!$A$2:$A$15</c:f>
              <c:numCache>
                <c:formatCode>General</c:formatCode>
                <c:ptCount val="14"/>
                <c:pt idx="0">
                  <c:v>0</c:v>
                </c:pt>
                <c:pt idx="1">
                  <c:v>0.5</c:v>
                </c:pt>
                <c:pt idx="2">
                  <c:v>1</c:v>
                </c:pt>
                <c:pt idx="3">
                  <c:v>2</c:v>
                </c:pt>
                <c:pt idx="4">
                  <c:v>3</c:v>
                </c:pt>
                <c:pt idx="5">
                  <c:v>4</c:v>
                </c:pt>
                <c:pt idx="6">
                  <c:v>5</c:v>
                </c:pt>
                <c:pt idx="7">
                  <c:v>6</c:v>
                </c:pt>
                <c:pt idx="8">
                  <c:v>7</c:v>
                </c:pt>
                <c:pt idx="9">
                  <c:v>8</c:v>
                </c:pt>
                <c:pt idx="10">
                  <c:v>9</c:v>
                </c:pt>
                <c:pt idx="11">
                  <c:v>10</c:v>
                </c:pt>
                <c:pt idx="12">
                  <c:v>11</c:v>
                </c:pt>
                <c:pt idx="13">
                  <c:v>12</c:v>
                </c:pt>
              </c:numCache>
            </c:numRef>
          </c:xVal>
          <c:yVal>
            <c:numRef>
              <c:f>Sheet1!$F$2:$F$15</c:f>
              <c:numCache>
                <c:formatCode>General</c:formatCode>
                <c:ptCount val="14"/>
                <c:pt idx="0">
                  <c:v>0</c:v>
                </c:pt>
                <c:pt idx="1">
                  <c:v>9.25</c:v>
                </c:pt>
                <c:pt idx="2">
                  <c:v>17.48</c:v>
                </c:pt>
                <c:pt idx="3">
                  <c:v>24.67</c:v>
                </c:pt>
                <c:pt idx="4">
                  <c:v>29.82</c:v>
                </c:pt>
                <c:pt idx="5">
                  <c:v>38.299999999999997</c:v>
                </c:pt>
                <c:pt idx="6">
                  <c:v>47.55</c:v>
                </c:pt>
                <c:pt idx="7">
                  <c:v>47.26</c:v>
                </c:pt>
                <c:pt idx="8">
                  <c:v>63.49</c:v>
                </c:pt>
                <c:pt idx="9">
                  <c:v>69.150000000000006</c:v>
                </c:pt>
                <c:pt idx="10">
                  <c:v>74.290000000000006</c:v>
                </c:pt>
                <c:pt idx="11">
                  <c:v>78.92</c:v>
                </c:pt>
              </c:numCache>
            </c:numRef>
          </c:yVal>
          <c:smooth val="1"/>
          <c:extLst>
            <c:ext xmlns:c16="http://schemas.microsoft.com/office/drawing/2014/chart" uri="{C3380CC4-5D6E-409C-BE32-E72D297353CC}">
              <c16:uniqueId val="{00000004-093F-4E6E-998D-C0FB15D42CA7}"/>
            </c:ext>
          </c:extLst>
        </c:ser>
        <c:ser>
          <c:idx val="5"/>
          <c:order val="5"/>
          <c:tx>
            <c:strRef>
              <c:f>Sheet1!$G$1</c:f>
              <c:strCache>
                <c:ptCount val="1"/>
                <c:pt idx="0">
                  <c:v>NC6</c:v>
                </c:pt>
              </c:strCache>
            </c:strRef>
          </c:tx>
          <c:spPr>
            <a:ln w="19050" cap="rnd" cmpd="sng" algn="ctr">
              <a:solidFill>
                <a:schemeClr val="accent6"/>
              </a:solidFill>
              <a:prstDash val="solid"/>
              <a:round/>
            </a:ln>
            <a:effectLst/>
          </c:spPr>
          <c:marker>
            <c:symbol val="none"/>
          </c:marker>
          <c:errBars>
            <c:errDir val="y"/>
            <c:errBarType val="both"/>
            <c:errValType val="cust"/>
            <c:noEndCap val="0"/>
            <c:plus>
              <c:numRef>
                <c:f>Sheet1!$F$20:$F$33</c:f>
                <c:numCache>
                  <c:formatCode>General</c:formatCode>
                  <c:ptCount val="14"/>
                  <c:pt idx="0">
                    <c:v>0</c:v>
                  </c:pt>
                  <c:pt idx="1">
                    <c:v>2.04</c:v>
                  </c:pt>
                  <c:pt idx="2">
                    <c:v>2.59</c:v>
                  </c:pt>
                  <c:pt idx="3">
                    <c:v>3.91</c:v>
                  </c:pt>
                  <c:pt idx="4">
                    <c:v>4.8600000000000003</c:v>
                  </c:pt>
                  <c:pt idx="5">
                    <c:v>3.92</c:v>
                  </c:pt>
                  <c:pt idx="6">
                    <c:v>2.84</c:v>
                  </c:pt>
                  <c:pt idx="7">
                    <c:v>4.29</c:v>
                  </c:pt>
                  <c:pt idx="8">
                    <c:v>5.32</c:v>
                  </c:pt>
                  <c:pt idx="9">
                    <c:v>3.04</c:v>
                  </c:pt>
                  <c:pt idx="10">
                    <c:v>4.83</c:v>
                  </c:pt>
                  <c:pt idx="11">
                    <c:v>3.78</c:v>
                  </c:pt>
                  <c:pt idx="12">
                    <c:v>2.86</c:v>
                  </c:pt>
                  <c:pt idx="13">
                    <c:v>3.82</c:v>
                  </c:pt>
                </c:numCache>
              </c:numRef>
            </c:plus>
            <c:minus>
              <c:numRef>
                <c:f>Sheet1!$F$20:$F$33</c:f>
                <c:numCache>
                  <c:formatCode>General</c:formatCode>
                  <c:ptCount val="14"/>
                  <c:pt idx="0">
                    <c:v>0</c:v>
                  </c:pt>
                  <c:pt idx="1">
                    <c:v>2.04</c:v>
                  </c:pt>
                  <c:pt idx="2">
                    <c:v>2.59</c:v>
                  </c:pt>
                  <c:pt idx="3">
                    <c:v>3.91</c:v>
                  </c:pt>
                  <c:pt idx="4">
                    <c:v>4.8600000000000003</c:v>
                  </c:pt>
                  <c:pt idx="5">
                    <c:v>3.92</c:v>
                  </c:pt>
                  <c:pt idx="6">
                    <c:v>2.84</c:v>
                  </c:pt>
                  <c:pt idx="7">
                    <c:v>4.29</c:v>
                  </c:pt>
                  <c:pt idx="8">
                    <c:v>5.32</c:v>
                  </c:pt>
                  <c:pt idx="9">
                    <c:v>3.04</c:v>
                  </c:pt>
                  <c:pt idx="10">
                    <c:v>4.83</c:v>
                  </c:pt>
                  <c:pt idx="11">
                    <c:v>3.78</c:v>
                  </c:pt>
                  <c:pt idx="12">
                    <c:v>2.86</c:v>
                  </c:pt>
                  <c:pt idx="13">
                    <c:v>3.82</c:v>
                  </c:pt>
                </c:numCache>
              </c:numRef>
            </c:minus>
            <c:spPr>
              <a:noFill/>
              <a:ln w="9525" cap="flat" cmpd="sng" algn="ctr">
                <a:solidFill>
                  <a:schemeClr val="tx1">
                    <a:lumMod val="65000"/>
                    <a:lumOff val="35000"/>
                  </a:schemeClr>
                </a:solidFill>
                <a:prstDash val="solid"/>
                <a:round/>
              </a:ln>
              <a:effectLst/>
            </c:spPr>
          </c:errBars>
          <c:xVal>
            <c:numRef>
              <c:f>Sheet1!$A$2:$A$15</c:f>
              <c:numCache>
                <c:formatCode>General</c:formatCode>
                <c:ptCount val="14"/>
                <c:pt idx="0">
                  <c:v>0</c:v>
                </c:pt>
                <c:pt idx="1">
                  <c:v>0.5</c:v>
                </c:pt>
                <c:pt idx="2">
                  <c:v>1</c:v>
                </c:pt>
                <c:pt idx="3">
                  <c:v>2</c:v>
                </c:pt>
                <c:pt idx="4">
                  <c:v>3</c:v>
                </c:pt>
                <c:pt idx="5">
                  <c:v>4</c:v>
                </c:pt>
                <c:pt idx="6">
                  <c:v>5</c:v>
                </c:pt>
                <c:pt idx="7">
                  <c:v>6</c:v>
                </c:pt>
                <c:pt idx="8">
                  <c:v>7</c:v>
                </c:pt>
                <c:pt idx="9">
                  <c:v>8</c:v>
                </c:pt>
                <c:pt idx="10">
                  <c:v>9</c:v>
                </c:pt>
                <c:pt idx="11">
                  <c:v>10</c:v>
                </c:pt>
                <c:pt idx="12">
                  <c:v>11</c:v>
                </c:pt>
                <c:pt idx="13">
                  <c:v>12</c:v>
                </c:pt>
              </c:numCache>
            </c:numRef>
          </c:xVal>
          <c:yVal>
            <c:numRef>
              <c:f>Sheet1!$G$2:$G$15</c:f>
              <c:numCache>
                <c:formatCode>General</c:formatCode>
                <c:ptCount val="14"/>
                <c:pt idx="0">
                  <c:v>0</c:v>
                </c:pt>
                <c:pt idx="1">
                  <c:v>8.2200000000000006</c:v>
                </c:pt>
                <c:pt idx="2">
                  <c:v>25.96</c:v>
                </c:pt>
                <c:pt idx="3">
                  <c:v>30.07</c:v>
                </c:pt>
                <c:pt idx="4">
                  <c:v>35.979999999999997</c:v>
                </c:pt>
                <c:pt idx="5">
                  <c:v>44.21</c:v>
                </c:pt>
                <c:pt idx="6">
                  <c:v>49.87</c:v>
                </c:pt>
                <c:pt idx="7">
                  <c:v>52.95</c:v>
                </c:pt>
                <c:pt idx="8">
                  <c:v>55.26</c:v>
                </c:pt>
                <c:pt idx="9">
                  <c:v>57.58</c:v>
                </c:pt>
                <c:pt idx="10">
                  <c:v>58.09</c:v>
                </c:pt>
                <c:pt idx="11">
                  <c:v>59.89</c:v>
                </c:pt>
                <c:pt idx="12">
                  <c:v>60.92</c:v>
                </c:pt>
                <c:pt idx="13">
                  <c:v>62.21</c:v>
                </c:pt>
              </c:numCache>
            </c:numRef>
          </c:yVal>
          <c:smooth val="1"/>
          <c:extLst>
            <c:ext xmlns:c16="http://schemas.microsoft.com/office/drawing/2014/chart" uri="{C3380CC4-5D6E-409C-BE32-E72D297353CC}">
              <c16:uniqueId val="{00000005-093F-4E6E-998D-C0FB15D42CA7}"/>
            </c:ext>
          </c:extLst>
        </c:ser>
        <c:ser>
          <c:idx val="6"/>
          <c:order val="6"/>
          <c:tx>
            <c:strRef>
              <c:f>Sheet1!$H$1</c:f>
              <c:strCache>
                <c:ptCount val="1"/>
                <c:pt idx="0">
                  <c:v>NC7</c:v>
                </c:pt>
              </c:strCache>
            </c:strRef>
          </c:tx>
          <c:spPr>
            <a:ln w="19050" cap="rnd" cmpd="sng" algn="ctr">
              <a:solidFill>
                <a:schemeClr val="accent1">
                  <a:lumMod val="60000"/>
                </a:schemeClr>
              </a:solidFill>
              <a:prstDash val="solid"/>
              <a:round/>
            </a:ln>
            <a:effectLst/>
          </c:spPr>
          <c:marker>
            <c:symbol val="none"/>
          </c:marker>
          <c:xVal>
            <c:numRef>
              <c:f>Sheet1!$A$2:$A$15</c:f>
              <c:numCache>
                <c:formatCode>General</c:formatCode>
                <c:ptCount val="14"/>
                <c:pt idx="0">
                  <c:v>0</c:v>
                </c:pt>
                <c:pt idx="1">
                  <c:v>0.5</c:v>
                </c:pt>
                <c:pt idx="2">
                  <c:v>1</c:v>
                </c:pt>
                <c:pt idx="3">
                  <c:v>2</c:v>
                </c:pt>
                <c:pt idx="4">
                  <c:v>3</c:v>
                </c:pt>
                <c:pt idx="5">
                  <c:v>4</c:v>
                </c:pt>
                <c:pt idx="6">
                  <c:v>5</c:v>
                </c:pt>
                <c:pt idx="7">
                  <c:v>6</c:v>
                </c:pt>
                <c:pt idx="8">
                  <c:v>7</c:v>
                </c:pt>
                <c:pt idx="9">
                  <c:v>8</c:v>
                </c:pt>
                <c:pt idx="10">
                  <c:v>9</c:v>
                </c:pt>
                <c:pt idx="11">
                  <c:v>10</c:v>
                </c:pt>
                <c:pt idx="12">
                  <c:v>11</c:v>
                </c:pt>
                <c:pt idx="13">
                  <c:v>12</c:v>
                </c:pt>
              </c:numCache>
            </c:numRef>
          </c:xVal>
          <c:yVal>
            <c:numRef>
              <c:f>Sheet1!$H$2:$H$15</c:f>
              <c:numCache>
                <c:formatCode>General</c:formatCode>
                <c:ptCount val="14"/>
                <c:pt idx="0">
                  <c:v>0</c:v>
                </c:pt>
                <c:pt idx="1">
                  <c:v>4.88</c:v>
                </c:pt>
                <c:pt idx="2">
                  <c:v>8.74</c:v>
                </c:pt>
                <c:pt idx="3">
                  <c:v>15.42</c:v>
                </c:pt>
                <c:pt idx="4">
                  <c:v>19.02</c:v>
                </c:pt>
                <c:pt idx="5">
                  <c:v>24.93</c:v>
                </c:pt>
                <c:pt idx="6">
                  <c:v>26.99</c:v>
                </c:pt>
                <c:pt idx="7">
                  <c:v>29.82</c:v>
                </c:pt>
                <c:pt idx="8">
                  <c:v>33.159999999999997</c:v>
                </c:pt>
                <c:pt idx="9">
                  <c:v>37.53</c:v>
                </c:pt>
                <c:pt idx="10">
                  <c:v>37.78</c:v>
                </c:pt>
                <c:pt idx="11">
                  <c:v>38.299999999999997</c:v>
                </c:pt>
                <c:pt idx="12">
                  <c:v>38.56</c:v>
                </c:pt>
                <c:pt idx="13">
                  <c:v>38.56</c:v>
                </c:pt>
              </c:numCache>
            </c:numRef>
          </c:yVal>
          <c:smooth val="1"/>
          <c:extLst>
            <c:ext xmlns:c16="http://schemas.microsoft.com/office/drawing/2014/chart" uri="{C3380CC4-5D6E-409C-BE32-E72D297353CC}">
              <c16:uniqueId val="{00000006-093F-4E6E-998D-C0FB15D42CA7}"/>
            </c:ext>
          </c:extLst>
        </c:ser>
        <c:ser>
          <c:idx val="7"/>
          <c:order val="7"/>
          <c:tx>
            <c:strRef>
              <c:f>Sheet1!$I$1</c:f>
              <c:strCache>
                <c:ptCount val="1"/>
                <c:pt idx="0">
                  <c:v>NC8</c:v>
                </c:pt>
              </c:strCache>
            </c:strRef>
          </c:tx>
          <c:spPr>
            <a:ln w="19050" cap="rnd" cmpd="sng" algn="ctr">
              <a:solidFill>
                <a:schemeClr val="accent2">
                  <a:lumMod val="60000"/>
                </a:schemeClr>
              </a:solidFill>
              <a:prstDash val="solid"/>
              <a:round/>
            </a:ln>
            <a:effectLst/>
          </c:spPr>
          <c:marker>
            <c:symbol val="none"/>
          </c:marker>
          <c:errBars>
            <c:errDir val="y"/>
            <c:errBarType val="both"/>
            <c:errValType val="cust"/>
            <c:noEndCap val="0"/>
            <c:plus>
              <c:numRef>
                <c:f>Sheet1!$H$20:$H$33</c:f>
                <c:numCache>
                  <c:formatCode>General</c:formatCode>
                  <c:ptCount val="14"/>
                  <c:pt idx="0">
                    <c:v>0</c:v>
                  </c:pt>
                  <c:pt idx="1">
                    <c:v>2.0099999999999998</c:v>
                  </c:pt>
                  <c:pt idx="2">
                    <c:v>3.63</c:v>
                  </c:pt>
                  <c:pt idx="3">
                    <c:v>2.62</c:v>
                  </c:pt>
                  <c:pt idx="4">
                    <c:v>2.27</c:v>
                  </c:pt>
                  <c:pt idx="5">
                    <c:v>2.95</c:v>
                  </c:pt>
                  <c:pt idx="6">
                    <c:v>3.07</c:v>
                  </c:pt>
                  <c:pt idx="7">
                    <c:v>4.29</c:v>
                  </c:pt>
                  <c:pt idx="8">
                    <c:v>5.0199999999999996</c:v>
                  </c:pt>
                  <c:pt idx="9">
                    <c:v>4.1399999999999997</c:v>
                  </c:pt>
                  <c:pt idx="10">
                    <c:v>2.46</c:v>
                  </c:pt>
                  <c:pt idx="11">
                    <c:v>2.94</c:v>
                  </c:pt>
                </c:numCache>
              </c:numRef>
            </c:plus>
            <c:minus>
              <c:numRef>
                <c:f>Sheet1!$H$20:$H$33</c:f>
                <c:numCache>
                  <c:formatCode>General</c:formatCode>
                  <c:ptCount val="14"/>
                  <c:pt idx="0">
                    <c:v>0</c:v>
                  </c:pt>
                  <c:pt idx="1">
                    <c:v>2.0099999999999998</c:v>
                  </c:pt>
                  <c:pt idx="2">
                    <c:v>3.63</c:v>
                  </c:pt>
                  <c:pt idx="3">
                    <c:v>2.62</c:v>
                  </c:pt>
                  <c:pt idx="4">
                    <c:v>2.27</c:v>
                  </c:pt>
                  <c:pt idx="5">
                    <c:v>2.95</c:v>
                  </c:pt>
                  <c:pt idx="6">
                    <c:v>3.07</c:v>
                  </c:pt>
                  <c:pt idx="7">
                    <c:v>4.29</c:v>
                  </c:pt>
                  <c:pt idx="8">
                    <c:v>5.0199999999999996</c:v>
                  </c:pt>
                  <c:pt idx="9">
                    <c:v>4.1399999999999997</c:v>
                  </c:pt>
                  <c:pt idx="10">
                    <c:v>2.46</c:v>
                  </c:pt>
                  <c:pt idx="11">
                    <c:v>2.94</c:v>
                  </c:pt>
                </c:numCache>
              </c:numRef>
            </c:minus>
            <c:spPr>
              <a:noFill/>
              <a:ln w="9525" cap="flat" cmpd="sng" algn="ctr">
                <a:solidFill>
                  <a:schemeClr val="tx1">
                    <a:lumMod val="65000"/>
                    <a:lumOff val="35000"/>
                  </a:schemeClr>
                </a:solidFill>
                <a:prstDash val="solid"/>
                <a:round/>
              </a:ln>
              <a:effectLst/>
            </c:spPr>
          </c:errBars>
          <c:xVal>
            <c:numRef>
              <c:f>Sheet1!$A$2:$A$15</c:f>
              <c:numCache>
                <c:formatCode>General</c:formatCode>
                <c:ptCount val="14"/>
                <c:pt idx="0">
                  <c:v>0</c:v>
                </c:pt>
                <c:pt idx="1">
                  <c:v>0.5</c:v>
                </c:pt>
                <c:pt idx="2">
                  <c:v>1</c:v>
                </c:pt>
                <c:pt idx="3">
                  <c:v>2</c:v>
                </c:pt>
                <c:pt idx="4">
                  <c:v>3</c:v>
                </c:pt>
                <c:pt idx="5">
                  <c:v>4</c:v>
                </c:pt>
                <c:pt idx="6">
                  <c:v>5</c:v>
                </c:pt>
                <c:pt idx="7">
                  <c:v>6</c:v>
                </c:pt>
                <c:pt idx="8">
                  <c:v>7</c:v>
                </c:pt>
                <c:pt idx="9">
                  <c:v>8</c:v>
                </c:pt>
                <c:pt idx="10">
                  <c:v>9</c:v>
                </c:pt>
                <c:pt idx="11">
                  <c:v>10</c:v>
                </c:pt>
                <c:pt idx="12">
                  <c:v>11</c:v>
                </c:pt>
                <c:pt idx="13">
                  <c:v>12</c:v>
                </c:pt>
              </c:numCache>
            </c:numRef>
          </c:xVal>
          <c:yVal>
            <c:numRef>
              <c:f>Sheet1!$I$2:$I$15</c:f>
              <c:numCache>
                <c:formatCode>General</c:formatCode>
                <c:ptCount val="14"/>
                <c:pt idx="0">
                  <c:v>0</c:v>
                </c:pt>
                <c:pt idx="1">
                  <c:v>6.42</c:v>
                </c:pt>
                <c:pt idx="2">
                  <c:v>9.76</c:v>
                </c:pt>
                <c:pt idx="3">
                  <c:v>14.13</c:v>
                </c:pt>
                <c:pt idx="4">
                  <c:v>18.25</c:v>
                </c:pt>
                <c:pt idx="5">
                  <c:v>20.56</c:v>
                </c:pt>
                <c:pt idx="6">
                  <c:v>23.39</c:v>
                </c:pt>
                <c:pt idx="7">
                  <c:v>24.93</c:v>
                </c:pt>
                <c:pt idx="8">
                  <c:v>27.24</c:v>
                </c:pt>
                <c:pt idx="9">
                  <c:v>29.82</c:v>
                </c:pt>
                <c:pt idx="10">
                  <c:v>31.36</c:v>
                </c:pt>
                <c:pt idx="11">
                  <c:v>32.130000000000003</c:v>
                </c:pt>
              </c:numCache>
            </c:numRef>
          </c:yVal>
          <c:smooth val="1"/>
          <c:extLst>
            <c:ext xmlns:c16="http://schemas.microsoft.com/office/drawing/2014/chart" uri="{C3380CC4-5D6E-409C-BE32-E72D297353CC}">
              <c16:uniqueId val="{00000007-093F-4E6E-998D-C0FB15D42CA7}"/>
            </c:ext>
          </c:extLst>
        </c:ser>
        <c:ser>
          <c:idx val="8"/>
          <c:order val="8"/>
          <c:tx>
            <c:strRef>
              <c:f>Sheet1!$J$1</c:f>
              <c:strCache>
                <c:ptCount val="1"/>
                <c:pt idx="0">
                  <c:v>NC9</c:v>
                </c:pt>
              </c:strCache>
            </c:strRef>
          </c:tx>
          <c:spPr>
            <a:ln w="19050" cap="rnd" cmpd="sng" algn="ctr">
              <a:solidFill>
                <a:schemeClr val="accent3">
                  <a:lumMod val="60000"/>
                </a:schemeClr>
              </a:solidFill>
              <a:prstDash val="solid"/>
              <a:round/>
            </a:ln>
            <a:effectLst/>
          </c:spPr>
          <c:marker>
            <c:symbol val="none"/>
          </c:marker>
          <c:errBars>
            <c:errDir val="y"/>
            <c:errBarType val="both"/>
            <c:errValType val="cust"/>
            <c:noEndCap val="0"/>
            <c:plus>
              <c:numRef>
                <c:f>Sheet1!$I$20:$I$33</c:f>
                <c:numCache>
                  <c:formatCode>General</c:formatCode>
                  <c:ptCount val="14"/>
                  <c:pt idx="0">
                    <c:v>0</c:v>
                  </c:pt>
                  <c:pt idx="1">
                    <c:v>3.83</c:v>
                  </c:pt>
                  <c:pt idx="2">
                    <c:v>2.31</c:v>
                  </c:pt>
                  <c:pt idx="3">
                    <c:v>3.25</c:v>
                  </c:pt>
                  <c:pt idx="4">
                    <c:v>3.9</c:v>
                  </c:pt>
                  <c:pt idx="5">
                    <c:v>4.84</c:v>
                  </c:pt>
                  <c:pt idx="6">
                    <c:v>5.15</c:v>
                  </c:pt>
                  <c:pt idx="7">
                    <c:v>2.78</c:v>
                  </c:pt>
                  <c:pt idx="8">
                    <c:v>3.92</c:v>
                  </c:pt>
                  <c:pt idx="9">
                    <c:v>4.28</c:v>
                  </c:pt>
                  <c:pt idx="10">
                    <c:v>3.02</c:v>
                  </c:pt>
                  <c:pt idx="11">
                    <c:v>3.95</c:v>
                  </c:pt>
                </c:numCache>
              </c:numRef>
            </c:plus>
            <c:minus>
              <c:numRef>
                <c:f>Sheet1!$I$20:$I$33</c:f>
                <c:numCache>
                  <c:formatCode>General</c:formatCode>
                  <c:ptCount val="14"/>
                  <c:pt idx="0">
                    <c:v>0</c:v>
                  </c:pt>
                  <c:pt idx="1">
                    <c:v>3.83</c:v>
                  </c:pt>
                  <c:pt idx="2">
                    <c:v>2.31</c:v>
                  </c:pt>
                  <c:pt idx="3">
                    <c:v>3.25</c:v>
                  </c:pt>
                  <c:pt idx="4">
                    <c:v>3.9</c:v>
                  </c:pt>
                  <c:pt idx="5">
                    <c:v>4.84</c:v>
                  </c:pt>
                  <c:pt idx="6">
                    <c:v>5.15</c:v>
                  </c:pt>
                  <c:pt idx="7">
                    <c:v>2.78</c:v>
                  </c:pt>
                  <c:pt idx="8">
                    <c:v>3.92</c:v>
                  </c:pt>
                  <c:pt idx="9">
                    <c:v>4.28</c:v>
                  </c:pt>
                  <c:pt idx="10">
                    <c:v>3.02</c:v>
                  </c:pt>
                  <c:pt idx="11">
                    <c:v>3.95</c:v>
                  </c:pt>
                </c:numCache>
              </c:numRef>
            </c:minus>
            <c:spPr>
              <a:noFill/>
              <a:ln w="9525" cap="flat" cmpd="sng" algn="ctr">
                <a:solidFill>
                  <a:schemeClr val="tx1">
                    <a:lumMod val="65000"/>
                    <a:lumOff val="35000"/>
                  </a:schemeClr>
                </a:solidFill>
                <a:prstDash val="solid"/>
                <a:round/>
              </a:ln>
              <a:effectLst/>
            </c:spPr>
          </c:errBars>
          <c:xVal>
            <c:numRef>
              <c:f>Sheet1!$A$2:$A$15</c:f>
              <c:numCache>
                <c:formatCode>General</c:formatCode>
                <c:ptCount val="14"/>
                <c:pt idx="0">
                  <c:v>0</c:v>
                </c:pt>
                <c:pt idx="1">
                  <c:v>0.5</c:v>
                </c:pt>
                <c:pt idx="2">
                  <c:v>1</c:v>
                </c:pt>
                <c:pt idx="3">
                  <c:v>2</c:v>
                </c:pt>
                <c:pt idx="4">
                  <c:v>3</c:v>
                </c:pt>
                <c:pt idx="5">
                  <c:v>4</c:v>
                </c:pt>
                <c:pt idx="6">
                  <c:v>5</c:v>
                </c:pt>
                <c:pt idx="7">
                  <c:v>6</c:v>
                </c:pt>
                <c:pt idx="8">
                  <c:v>7</c:v>
                </c:pt>
                <c:pt idx="9">
                  <c:v>8</c:v>
                </c:pt>
                <c:pt idx="10">
                  <c:v>9</c:v>
                </c:pt>
                <c:pt idx="11">
                  <c:v>10</c:v>
                </c:pt>
                <c:pt idx="12">
                  <c:v>11</c:v>
                </c:pt>
                <c:pt idx="13">
                  <c:v>12</c:v>
                </c:pt>
              </c:numCache>
            </c:numRef>
          </c:xVal>
          <c:yVal>
            <c:numRef>
              <c:f>Sheet1!$J$2:$J$15</c:f>
              <c:numCache>
                <c:formatCode>General</c:formatCode>
                <c:ptCount val="14"/>
                <c:pt idx="0">
                  <c:v>0</c:v>
                </c:pt>
                <c:pt idx="1">
                  <c:v>9.25</c:v>
                </c:pt>
                <c:pt idx="2">
                  <c:v>17.48</c:v>
                </c:pt>
                <c:pt idx="3">
                  <c:v>24.67</c:v>
                </c:pt>
                <c:pt idx="4">
                  <c:v>29.82</c:v>
                </c:pt>
                <c:pt idx="5">
                  <c:v>38.299999999999997</c:v>
                </c:pt>
                <c:pt idx="6">
                  <c:v>47.55</c:v>
                </c:pt>
                <c:pt idx="7">
                  <c:v>47.26</c:v>
                </c:pt>
                <c:pt idx="8">
                  <c:v>63.49</c:v>
                </c:pt>
                <c:pt idx="9">
                  <c:v>69.150000000000006</c:v>
                </c:pt>
                <c:pt idx="10">
                  <c:v>74.290000000000006</c:v>
                </c:pt>
                <c:pt idx="11">
                  <c:v>78.92</c:v>
                </c:pt>
              </c:numCache>
            </c:numRef>
          </c:yVal>
          <c:smooth val="1"/>
          <c:extLst>
            <c:ext xmlns:c16="http://schemas.microsoft.com/office/drawing/2014/chart" uri="{C3380CC4-5D6E-409C-BE32-E72D297353CC}">
              <c16:uniqueId val="{00000008-093F-4E6E-998D-C0FB15D42CA7}"/>
            </c:ext>
          </c:extLst>
        </c:ser>
        <c:ser>
          <c:idx val="9"/>
          <c:order val="9"/>
          <c:tx>
            <c:strRef>
              <c:f>Sheet1!$K$1</c:f>
              <c:strCache>
                <c:ptCount val="1"/>
                <c:pt idx="0">
                  <c:v>NC10</c:v>
                </c:pt>
              </c:strCache>
            </c:strRef>
          </c:tx>
          <c:spPr>
            <a:ln w="19050" cap="rnd" cmpd="sng" algn="ctr">
              <a:solidFill>
                <a:schemeClr val="accent4">
                  <a:lumMod val="60000"/>
                </a:schemeClr>
              </a:solidFill>
              <a:prstDash val="solid"/>
              <a:round/>
            </a:ln>
            <a:effectLst/>
          </c:spPr>
          <c:marker>
            <c:symbol val="none"/>
          </c:marker>
          <c:errBars>
            <c:errDir val="y"/>
            <c:errBarType val="both"/>
            <c:errValType val="cust"/>
            <c:noEndCap val="0"/>
            <c:plus>
              <c:numRef>
                <c:f>Sheet1!$J$20:$J$33</c:f>
                <c:numCache>
                  <c:formatCode>General</c:formatCode>
                  <c:ptCount val="14"/>
                  <c:pt idx="0">
                    <c:v>0</c:v>
                  </c:pt>
                  <c:pt idx="1">
                    <c:v>2.94</c:v>
                  </c:pt>
                  <c:pt idx="2">
                    <c:v>3.43</c:v>
                  </c:pt>
                  <c:pt idx="3">
                    <c:v>1.57</c:v>
                  </c:pt>
                  <c:pt idx="4">
                    <c:v>3.28</c:v>
                  </c:pt>
                  <c:pt idx="5">
                    <c:v>3.75</c:v>
                  </c:pt>
                  <c:pt idx="6">
                    <c:v>2.71</c:v>
                  </c:pt>
                  <c:pt idx="7">
                    <c:v>2.92</c:v>
                  </c:pt>
                  <c:pt idx="8">
                    <c:v>4.2</c:v>
                  </c:pt>
                  <c:pt idx="9">
                    <c:v>3.81</c:v>
                  </c:pt>
                  <c:pt idx="10">
                    <c:v>2.5</c:v>
                  </c:pt>
                  <c:pt idx="11">
                    <c:v>4.1399999999999997</c:v>
                  </c:pt>
                  <c:pt idx="12">
                    <c:v>5.32</c:v>
                  </c:pt>
                </c:numCache>
              </c:numRef>
            </c:plus>
            <c:minus>
              <c:numRef>
                <c:f>Sheet1!$J$20:$J$33</c:f>
                <c:numCache>
                  <c:formatCode>General</c:formatCode>
                  <c:ptCount val="14"/>
                  <c:pt idx="0">
                    <c:v>0</c:v>
                  </c:pt>
                  <c:pt idx="1">
                    <c:v>2.94</c:v>
                  </c:pt>
                  <c:pt idx="2">
                    <c:v>3.43</c:v>
                  </c:pt>
                  <c:pt idx="3">
                    <c:v>1.57</c:v>
                  </c:pt>
                  <c:pt idx="4">
                    <c:v>3.28</c:v>
                  </c:pt>
                  <c:pt idx="5">
                    <c:v>3.75</c:v>
                  </c:pt>
                  <c:pt idx="6">
                    <c:v>2.71</c:v>
                  </c:pt>
                  <c:pt idx="7">
                    <c:v>2.92</c:v>
                  </c:pt>
                  <c:pt idx="8">
                    <c:v>4.2</c:v>
                  </c:pt>
                  <c:pt idx="9">
                    <c:v>3.81</c:v>
                  </c:pt>
                  <c:pt idx="10">
                    <c:v>2.5</c:v>
                  </c:pt>
                  <c:pt idx="11">
                    <c:v>4.1399999999999997</c:v>
                  </c:pt>
                  <c:pt idx="12">
                    <c:v>5.32</c:v>
                  </c:pt>
                </c:numCache>
              </c:numRef>
            </c:minus>
            <c:spPr>
              <a:noFill/>
              <a:ln w="9525" cap="flat" cmpd="sng" algn="ctr">
                <a:solidFill>
                  <a:schemeClr val="tx1">
                    <a:lumMod val="65000"/>
                    <a:lumOff val="35000"/>
                  </a:schemeClr>
                </a:solidFill>
                <a:prstDash val="solid"/>
                <a:round/>
              </a:ln>
              <a:effectLst/>
            </c:spPr>
          </c:errBars>
          <c:xVal>
            <c:numRef>
              <c:f>Sheet1!$A$2:$A$15</c:f>
              <c:numCache>
                <c:formatCode>General</c:formatCode>
                <c:ptCount val="14"/>
                <c:pt idx="0">
                  <c:v>0</c:v>
                </c:pt>
                <c:pt idx="1">
                  <c:v>0.5</c:v>
                </c:pt>
                <c:pt idx="2">
                  <c:v>1</c:v>
                </c:pt>
                <c:pt idx="3">
                  <c:v>2</c:v>
                </c:pt>
                <c:pt idx="4">
                  <c:v>3</c:v>
                </c:pt>
                <c:pt idx="5">
                  <c:v>4</c:v>
                </c:pt>
                <c:pt idx="6">
                  <c:v>5</c:v>
                </c:pt>
                <c:pt idx="7">
                  <c:v>6</c:v>
                </c:pt>
                <c:pt idx="8">
                  <c:v>7</c:v>
                </c:pt>
                <c:pt idx="9">
                  <c:v>8</c:v>
                </c:pt>
                <c:pt idx="10">
                  <c:v>9</c:v>
                </c:pt>
                <c:pt idx="11">
                  <c:v>10</c:v>
                </c:pt>
                <c:pt idx="12">
                  <c:v>11</c:v>
                </c:pt>
                <c:pt idx="13">
                  <c:v>12</c:v>
                </c:pt>
              </c:numCache>
            </c:numRef>
          </c:xVal>
          <c:yVal>
            <c:numRef>
              <c:f>Sheet1!$K$2:$K$15</c:f>
              <c:numCache>
                <c:formatCode>General</c:formatCode>
                <c:ptCount val="14"/>
                <c:pt idx="0">
                  <c:v>0</c:v>
                </c:pt>
                <c:pt idx="1">
                  <c:v>6.94</c:v>
                </c:pt>
                <c:pt idx="2">
                  <c:v>22.87</c:v>
                </c:pt>
                <c:pt idx="3">
                  <c:v>28.27</c:v>
                </c:pt>
                <c:pt idx="4">
                  <c:v>35.47</c:v>
                </c:pt>
                <c:pt idx="5">
                  <c:v>39.07</c:v>
                </c:pt>
                <c:pt idx="6">
                  <c:v>44.47</c:v>
                </c:pt>
                <c:pt idx="7">
                  <c:v>49.87</c:v>
                </c:pt>
                <c:pt idx="8">
                  <c:v>52.44</c:v>
                </c:pt>
                <c:pt idx="9">
                  <c:v>54.24</c:v>
                </c:pt>
                <c:pt idx="10">
                  <c:v>56.81</c:v>
                </c:pt>
                <c:pt idx="11">
                  <c:v>57.84</c:v>
                </c:pt>
                <c:pt idx="12">
                  <c:v>58.35</c:v>
                </c:pt>
              </c:numCache>
            </c:numRef>
          </c:yVal>
          <c:smooth val="1"/>
          <c:extLst>
            <c:ext xmlns:c16="http://schemas.microsoft.com/office/drawing/2014/chart" uri="{C3380CC4-5D6E-409C-BE32-E72D297353CC}">
              <c16:uniqueId val="{00000009-093F-4E6E-998D-C0FB15D42CA7}"/>
            </c:ext>
          </c:extLst>
        </c:ser>
        <c:ser>
          <c:idx val="10"/>
          <c:order val="10"/>
          <c:tx>
            <c:strRef>
              <c:f>NC11</c:f>
              <c:strCache>
                <c:ptCount val="1"/>
                <c:pt idx="0">
                  <c:v>NC11</c:v>
                </c:pt>
              </c:strCache>
            </c:strRef>
          </c:tx>
          <c:spPr>
            <a:ln w="19050" cap="rnd" cmpd="sng" algn="ctr">
              <a:solidFill>
                <a:schemeClr val="accent5">
                  <a:lumMod val="60000"/>
                </a:schemeClr>
              </a:solidFill>
              <a:prstDash val="solid"/>
              <a:round/>
            </a:ln>
            <a:effectLst/>
          </c:spPr>
          <c:marker>
            <c:symbol val="none"/>
          </c:marker>
          <c:errBars>
            <c:errDir val="y"/>
            <c:errBarType val="both"/>
            <c:errValType val="cust"/>
            <c:noEndCap val="0"/>
            <c:plus>
              <c:numRef>
                <c:f>Sheet1!$K$20:$K$33</c:f>
                <c:numCache>
                  <c:formatCode>General</c:formatCode>
                  <c:ptCount val="14"/>
                  <c:pt idx="0">
                    <c:v>0</c:v>
                  </c:pt>
                  <c:pt idx="1">
                    <c:v>3.16</c:v>
                  </c:pt>
                  <c:pt idx="2">
                    <c:v>2.95</c:v>
                  </c:pt>
                  <c:pt idx="3">
                    <c:v>3.74</c:v>
                  </c:pt>
                  <c:pt idx="4">
                    <c:v>2.1800000000000002</c:v>
                  </c:pt>
                  <c:pt idx="5">
                    <c:v>4.29</c:v>
                  </c:pt>
                  <c:pt idx="6">
                    <c:v>5.0599999999999996</c:v>
                  </c:pt>
                  <c:pt idx="7">
                    <c:v>3.83</c:v>
                  </c:pt>
                  <c:pt idx="8">
                    <c:v>2.63</c:v>
                  </c:pt>
                  <c:pt idx="9">
                    <c:v>4.95</c:v>
                  </c:pt>
                  <c:pt idx="10">
                    <c:v>3.62</c:v>
                  </c:pt>
                  <c:pt idx="11">
                    <c:v>1.97000000000001</c:v>
                  </c:pt>
                </c:numCache>
              </c:numRef>
            </c:plus>
            <c:minus>
              <c:numRef>
                <c:f>Sheet1!$K$20:$K$33</c:f>
                <c:numCache>
                  <c:formatCode>General</c:formatCode>
                  <c:ptCount val="14"/>
                  <c:pt idx="0">
                    <c:v>0</c:v>
                  </c:pt>
                  <c:pt idx="1">
                    <c:v>3.16</c:v>
                  </c:pt>
                  <c:pt idx="2">
                    <c:v>2.95</c:v>
                  </c:pt>
                  <c:pt idx="3">
                    <c:v>3.74</c:v>
                  </c:pt>
                  <c:pt idx="4">
                    <c:v>2.1800000000000002</c:v>
                  </c:pt>
                  <c:pt idx="5">
                    <c:v>4.29</c:v>
                  </c:pt>
                  <c:pt idx="6">
                    <c:v>5.0599999999999996</c:v>
                  </c:pt>
                  <c:pt idx="7">
                    <c:v>3.83</c:v>
                  </c:pt>
                  <c:pt idx="8">
                    <c:v>2.63</c:v>
                  </c:pt>
                  <c:pt idx="9">
                    <c:v>4.95</c:v>
                  </c:pt>
                  <c:pt idx="10">
                    <c:v>3.62</c:v>
                  </c:pt>
                  <c:pt idx="11">
                    <c:v>1.97000000000001</c:v>
                  </c:pt>
                </c:numCache>
              </c:numRef>
            </c:minus>
            <c:spPr>
              <a:noFill/>
              <a:ln w="9525" cap="flat" cmpd="sng" algn="ctr">
                <a:solidFill>
                  <a:schemeClr val="tx1">
                    <a:lumMod val="65000"/>
                    <a:lumOff val="35000"/>
                  </a:schemeClr>
                </a:solidFill>
                <a:prstDash val="solid"/>
                <a:round/>
              </a:ln>
              <a:effectLst/>
            </c:spPr>
          </c:errBars>
          <c:xVal>
            <c:numRef>
              <c:f>Sheet1!$A$2:$A$15</c:f>
              <c:numCache>
                <c:formatCode>General</c:formatCode>
                <c:ptCount val="14"/>
                <c:pt idx="0">
                  <c:v>0</c:v>
                </c:pt>
                <c:pt idx="1">
                  <c:v>0.5</c:v>
                </c:pt>
                <c:pt idx="2">
                  <c:v>1</c:v>
                </c:pt>
                <c:pt idx="3">
                  <c:v>2</c:v>
                </c:pt>
                <c:pt idx="4">
                  <c:v>3</c:v>
                </c:pt>
                <c:pt idx="5">
                  <c:v>4</c:v>
                </c:pt>
                <c:pt idx="6">
                  <c:v>5</c:v>
                </c:pt>
                <c:pt idx="7">
                  <c:v>6</c:v>
                </c:pt>
                <c:pt idx="8">
                  <c:v>7</c:v>
                </c:pt>
                <c:pt idx="9">
                  <c:v>8</c:v>
                </c:pt>
                <c:pt idx="10">
                  <c:v>9</c:v>
                </c:pt>
                <c:pt idx="11">
                  <c:v>10</c:v>
                </c:pt>
                <c:pt idx="12">
                  <c:v>11</c:v>
                </c:pt>
                <c:pt idx="13">
                  <c:v>12</c:v>
                </c:pt>
              </c:numCache>
            </c:numRef>
          </c:xVal>
          <c:yVal>
            <c:numRef>
              <c:f>Sheet1!$L$2:$L$13</c:f>
              <c:numCache>
                <c:formatCode>General</c:formatCode>
                <c:ptCount val="12"/>
                <c:pt idx="0">
                  <c:v>0</c:v>
                </c:pt>
                <c:pt idx="1">
                  <c:v>5.14</c:v>
                </c:pt>
                <c:pt idx="2">
                  <c:v>9.76</c:v>
                </c:pt>
                <c:pt idx="3">
                  <c:v>13.62</c:v>
                </c:pt>
                <c:pt idx="4">
                  <c:v>15.93</c:v>
                </c:pt>
                <c:pt idx="5">
                  <c:v>18.5</c:v>
                </c:pt>
                <c:pt idx="6">
                  <c:v>22.1</c:v>
                </c:pt>
                <c:pt idx="7">
                  <c:v>27.5</c:v>
                </c:pt>
                <c:pt idx="8">
                  <c:v>29.04</c:v>
                </c:pt>
                <c:pt idx="9">
                  <c:v>30.84</c:v>
                </c:pt>
                <c:pt idx="10">
                  <c:v>31.61</c:v>
                </c:pt>
                <c:pt idx="11">
                  <c:v>32.64</c:v>
                </c:pt>
              </c:numCache>
            </c:numRef>
          </c:yVal>
          <c:smooth val="1"/>
          <c:extLst>
            <c:ext xmlns:c16="http://schemas.microsoft.com/office/drawing/2014/chart" uri="{C3380CC4-5D6E-409C-BE32-E72D297353CC}">
              <c16:uniqueId val="{0000000A-093F-4E6E-998D-C0FB15D42CA7}"/>
            </c:ext>
          </c:extLst>
        </c:ser>
        <c:ser>
          <c:idx val="11"/>
          <c:order val="11"/>
          <c:tx>
            <c:strRef>
              <c:f>NC12</c:f>
              <c:strCache>
                <c:ptCount val="1"/>
                <c:pt idx="0">
                  <c:v>NC12</c:v>
                </c:pt>
              </c:strCache>
            </c:strRef>
          </c:tx>
          <c:spPr>
            <a:ln w="19050" cap="rnd" cmpd="sng" algn="ctr">
              <a:solidFill>
                <a:schemeClr val="accent6">
                  <a:lumMod val="60000"/>
                </a:schemeClr>
              </a:solidFill>
              <a:prstDash val="solid"/>
              <a:round/>
            </a:ln>
            <a:effectLst/>
          </c:spPr>
          <c:marker>
            <c:symbol val="none"/>
          </c:marker>
          <c:errBars>
            <c:errDir val="y"/>
            <c:errBarType val="both"/>
            <c:errValType val="cust"/>
            <c:noEndCap val="0"/>
            <c:plus>
              <c:numRef>
                <c:f>Sheet1!$L$20:$L$33</c:f>
                <c:numCache>
                  <c:formatCode>General</c:formatCode>
                  <c:ptCount val="14"/>
                  <c:pt idx="0">
                    <c:v>0</c:v>
                  </c:pt>
                  <c:pt idx="1">
                    <c:v>2.75</c:v>
                  </c:pt>
                  <c:pt idx="2">
                    <c:v>4.8</c:v>
                  </c:pt>
                  <c:pt idx="3">
                    <c:v>4.43</c:v>
                  </c:pt>
                  <c:pt idx="4">
                    <c:v>3.64</c:v>
                  </c:pt>
                  <c:pt idx="5">
                    <c:v>3.71</c:v>
                  </c:pt>
                  <c:pt idx="6">
                    <c:v>4.83</c:v>
                  </c:pt>
                  <c:pt idx="7">
                    <c:v>2.17</c:v>
                  </c:pt>
                  <c:pt idx="8">
                    <c:v>3.85</c:v>
                  </c:pt>
                  <c:pt idx="9">
                    <c:v>5.13</c:v>
                  </c:pt>
                  <c:pt idx="10">
                    <c:v>6.21</c:v>
                  </c:pt>
                  <c:pt idx="11">
                    <c:v>3.66</c:v>
                  </c:pt>
                </c:numCache>
              </c:numRef>
            </c:plus>
            <c:minus>
              <c:numRef>
                <c:f>Sheet1!$L$20:$L$33</c:f>
                <c:numCache>
                  <c:formatCode>General</c:formatCode>
                  <c:ptCount val="14"/>
                  <c:pt idx="0">
                    <c:v>0</c:v>
                  </c:pt>
                  <c:pt idx="1">
                    <c:v>2.75</c:v>
                  </c:pt>
                  <c:pt idx="2">
                    <c:v>4.8</c:v>
                  </c:pt>
                  <c:pt idx="3">
                    <c:v>4.43</c:v>
                  </c:pt>
                  <c:pt idx="4">
                    <c:v>3.64</c:v>
                  </c:pt>
                  <c:pt idx="5">
                    <c:v>3.71</c:v>
                  </c:pt>
                  <c:pt idx="6">
                    <c:v>4.83</c:v>
                  </c:pt>
                  <c:pt idx="7">
                    <c:v>2.17</c:v>
                  </c:pt>
                  <c:pt idx="8">
                    <c:v>3.85</c:v>
                  </c:pt>
                  <c:pt idx="9">
                    <c:v>5.13</c:v>
                  </c:pt>
                  <c:pt idx="10">
                    <c:v>6.21</c:v>
                  </c:pt>
                  <c:pt idx="11">
                    <c:v>3.66</c:v>
                  </c:pt>
                </c:numCache>
              </c:numRef>
            </c:minus>
            <c:spPr>
              <a:noFill/>
              <a:ln w="9525" cap="flat" cmpd="sng" algn="ctr">
                <a:solidFill>
                  <a:schemeClr val="tx1">
                    <a:lumMod val="65000"/>
                    <a:lumOff val="35000"/>
                  </a:schemeClr>
                </a:solidFill>
                <a:prstDash val="solid"/>
                <a:round/>
              </a:ln>
              <a:effectLst/>
            </c:spPr>
          </c:errBars>
          <c:xVal>
            <c:numRef>
              <c:f>Sheet1!$A$2:$A$15</c:f>
              <c:numCache>
                <c:formatCode>General</c:formatCode>
                <c:ptCount val="14"/>
                <c:pt idx="0">
                  <c:v>0</c:v>
                </c:pt>
                <c:pt idx="1">
                  <c:v>0.5</c:v>
                </c:pt>
                <c:pt idx="2">
                  <c:v>1</c:v>
                </c:pt>
                <c:pt idx="3">
                  <c:v>2</c:v>
                </c:pt>
                <c:pt idx="4">
                  <c:v>3</c:v>
                </c:pt>
                <c:pt idx="5">
                  <c:v>4</c:v>
                </c:pt>
                <c:pt idx="6">
                  <c:v>5</c:v>
                </c:pt>
                <c:pt idx="7">
                  <c:v>6</c:v>
                </c:pt>
                <c:pt idx="8">
                  <c:v>7</c:v>
                </c:pt>
                <c:pt idx="9">
                  <c:v>8</c:v>
                </c:pt>
                <c:pt idx="10">
                  <c:v>9</c:v>
                </c:pt>
                <c:pt idx="11">
                  <c:v>10</c:v>
                </c:pt>
                <c:pt idx="12">
                  <c:v>11</c:v>
                </c:pt>
                <c:pt idx="13">
                  <c:v>12</c:v>
                </c:pt>
              </c:numCache>
            </c:numRef>
          </c:xVal>
          <c:yVal>
            <c:numRef>
              <c:f>Sheet1!$M$2:$M$13</c:f>
              <c:numCache>
                <c:formatCode>General</c:formatCode>
                <c:ptCount val="12"/>
                <c:pt idx="0">
                  <c:v>0</c:v>
                </c:pt>
                <c:pt idx="1">
                  <c:v>5.91</c:v>
                </c:pt>
                <c:pt idx="2">
                  <c:v>11.82</c:v>
                </c:pt>
                <c:pt idx="3">
                  <c:v>14.91</c:v>
                </c:pt>
                <c:pt idx="4">
                  <c:v>17.48</c:v>
                </c:pt>
                <c:pt idx="5">
                  <c:v>20.05</c:v>
                </c:pt>
                <c:pt idx="6">
                  <c:v>24.16</c:v>
                </c:pt>
                <c:pt idx="7">
                  <c:v>28.53</c:v>
                </c:pt>
                <c:pt idx="8">
                  <c:v>30.33</c:v>
                </c:pt>
                <c:pt idx="9">
                  <c:v>31.87</c:v>
                </c:pt>
                <c:pt idx="10">
                  <c:v>32.64</c:v>
                </c:pt>
                <c:pt idx="11">
                  <c:v>33.409999999999997</c:v>
                </c:pt>
              </c:numCache>
            </c:numRef>
          </c:yVal>
          <c:smooth val="1"/>
          <c:extLst>
            <c:ext xmlns:c16="http://schemas.microsoft.com/office/drawing/2014/chart" uri="{C3380CC4-5D6E-409C-BE32-E72D297353CC}">
              <c16:uniqueId val="{0000000B-093F-4E6E-998D-C0FB15D42CA7}"/>
            </c:ext>
          </c:extLst>
        </c:ser>
        <c:ser>
          <c:idx val="12"/>
          <c:order val="12"/>
          <c:tx>
            <c:strRef>
              <c:f>NC13</c:f>
              <c:strCache>
                <c:ptCount val="1"/>
                <c:pt idx="0">
                  <c:v>NC13</c:v>
                </c:pt>
              </c:strCache>
            </c:strRef>
          </c:tx>
          <c:spPr>
            <a:ln w="19050" cap="rnd" cmpd="sng" algn="ctr">
              <a:solidFill>
                <a:schemeClr val="accent1">
                  <a:lumMod val="80000"/>
                  <a:lumOff val="20000"/>
                </a:schemeClr>
              </a:solidFill>
              <a:prstDash val="solid"/>
              <a:round/>
            </a:ln>
            <a:effectLst/>
          </c:spPr>
          <c:marker>
            <c:symbol val="none"/>
          </c:marker>
          <c:errBars>
            <c:errDir val="y"/>
            <c:errBarType val="both"/>
            <c:errValType val="cust"/>
            <c:noEndCap val="0"/>
            <c:plus>
              <c:numRef>
                <c:f>Sheet1!$M$20:$M$33</c:f>
                <c:numCache>
                  <c:formatCode>General</c:formatCode>
                  <c:ptCount val="14"/>
                  <c:pt idx="0">
                    <c:v>0</c:v>
                  </c:pt>
                  <c:pt idx="1">
                    <c:v>3.65</c:v>
                  </c:pt>
                  <c:pt idx="2">
                    <c:v>2.14</c:v>
                  </c:pt>
                  <c:pt idx="3">
                    <c:v>5.0999999999999996</c:v>
                  </c:pt>
                  <c:pt idx="4">
                    <c:v>4.7300000000000004</c:v>
                  </c:pt>
                  <c:pt idx="5">
                    <c:v>2.4700000000000002</c:v>
                  </c:pt>
                  <c:pt idx="6">
                    <c:v>4.25</c:v>
                  </c:pt>
                  <c:pt idx="7">
                    <c:v>2.16</c:v>
                  </c:pt>
                  <c:pt idx="8">
                    <c:v>3.84</c:v>
                  </c:pt>
                  <c:pt idx="9">
                    <c:v>2.0699999999999998</c:v>
                  </c:pt>
                  <c:pt idx="10">
                    <c:v>2.62</c:v>
                  </c:pt>
                  <c:pt idx="11">
                    <c:v>3.67</c:v>
                  </c:pt>
                </c:numCache>
              </c:numRef>
            </c:plus>
            <c:minus>
              <c:numRef>
                <c:f>Sheet1!$M$20:$M$33</c:f>
                <c:numCache>
                  <c:formatCode>General</c:formatCode>
                  <c:ptCount val="14"/>
                  <c:pt idx="0">
                    <c:v>0</c:v>
                  </c:pt>
                  <c:pt idx="1">
                    <c:v>3.65</c:v>
                  </c:pt>
                  <c:pt idx="2">
                    <c:v>2.14</c:v>
                  </c:pt>
                  <c:pt idx="3">
                    <c:v>5.0999999999999996</c:v>
                  </c:pt>
                  <c:pt idx="4">
                    <c:v>4.7300000000000004</c:v>
                  </c:pt>
                  <c:pt idx="5">
                    <c:v>2.4700000000000002</c:v>
                  </c:pt>
                  <c:pt idx="6">
                    <c:v>4.25</c:v>
                  </c:pt>
                  <c:pt idx="7">
                    <c:v>2.16</c:v>
                  </c:pt>
                  <c:pt idx="8">
                    <c:v>3.84</c:v>
                  </c:pt>
                  <c:pt idx="9">
                    <c:v>2.0699999999999998</c:v>
                  </c:pt>
                  <c:pt idx="10">
                    <c:v>2.62</c:v>
                  </c:pt>
                  <c:pt idx="11">
                    <c:v>3.67</c:v>
                  </c:pt>
                </c:numCache>
              </c:numRef>
            </c:minus>
            <c:spPr>
              <a:noFill/>
              <a:ln w="9525" cap="flat" cmpd="sng" algn="ctr">
                <a:solidFill>
                  <a:schemeClr val="tx1">
                    <a:lumMod val="65000"/>
                    <a:lumOff val="35000"/>
                  </a:schemeClr>
                </a:solidFill>
                <a:prstDash val="solid"/>
                <a:round/>
              </a:ln>
              <a:effectLst/>
            </c:spPr>
          </c:errBars>
          <c:xVal>
            <c:numRef>
              <c:f>Sheet1!$A$2:$A$15</c:f>
              <c:numCache>
                <c:formatCode>General</c:formatCode>
                <c:ptCount val="14"/>
                <c:pt idx="0">
                  <c:v>0</c:v>
                </c:pt>
                <c:pt idx="1">
                  <c:v>0.5</c:v>
                </c:pt>
                <c:pt idx="2">
                  <c:v>1</c:v>
                </c:pt>
                <c:pt idx="3">
                  <c:v>2</c:v>
                </c:pt>
                <c:pt idx="4">
                  <c:v>3</c:v>
                </c:pt>
                <c:pt idx="5">
                  <c:v>4</c:v>
                </c:pt>
                <c:pt idx="6">
                  <c:v>5</c:v>
                </c:pt>
                <c:pt idx="7">
                  <c:v>6</c:v>
                </c:pt>
                <c:pt idx="8">
                  <c:v>7</c:v>
                </c:pt>
                <c:pt idx="9">
                  <c:v>8</c:v>
                </c:pt>
                <c:pt idx="10">
                  <c:v>9</c:v>
                </c:pt>
                <c:pt idx="11">
                  <c:v>10</c:v>
                </c:pt>
                <c:pt idx="12">
                  <c:v>11</c:v>
                </c:pt>
                <c:pt idx="13">
                  <c:v>12</c:v>
                </c:pt>
              </c:numCache>
            </c:numRef>
          </c:xVal>
          <c:yVal>
            <c:numRef>
              <c:f>Sheet1!$N$2:$N$13</c:f>
              <c:numCache>
                <c:formatCode>General</c:formatCode>
                <c:ptCount val="12"/>
                <c:pt idx="0">
                  <c:v>0</c:v>
                </c:pt>
                <c:pt idx="1">
                  <c:v>5.39</c:v>
                </c:pt>
                <c:pt idx="2">
                  <c:v>12.59</c:v>
                </c:pt>
                <c:pt idx="3">
                  <c:v>16.190000000000001</c:v>
                </c:pt>
                <c:pt idx="4">
                  <c:v>18.25</c:v>
                </c:pt>
                <c:pt idx="5">
                  <c:v>22.1</c:v>
                </c:pt>
                <c:pt idx="6">
                  <c:v>25.44</c:v>
                </c:pt>
                <c:pt idx="7">
                  <c:v>30.07</c:v>
                </c:pt>
                <c:pt idx="8">
                  <c:v>32.39</c:v>
                </c:pt>
                <c:pt idx="9">
                  <c:v>34.19</c:v>
                </c:pt>
                <c:pt idx="10">
                  <c:v>35.979999999999997</c:v>
                </c:pt>
                <c:pt idx="11">
                  <c:v>37.270000000000003</c:v>
                </c:pt>
              </c:numCache>
            </c:numRef>
          </c:yVal>
          <c:smooth val="1"/>
          <c:extLst>
            <c:ext xmlns:c16="http://schemas.microsoft.com/office/drawing/2014/chart" uri="{C3380CC4-5D6E-409C-BE32-E72D297353CC}">
              <c16:uniqueId val="{0000000C-093F-4E6E-998D-C0FB15D42CA7}"/>
            </c:ext>
          </c:extLst>
        </c:ser>
        <c:ser>
          <c:idx val="13"/>
          <c:order val="13"/>
          <c:tx>
            <c:strRef>
              <c:f>NC14</c:f>
              <c:strCache>
                <c:ptCount val="1"/>
                <c:pt idx="0">
                  <c:v>NC14</c:v>
                </c:pt>
              </c:strCache>
            </c:strRef>
          </c:tx>
          <c:spPr>
            <a:ln w="19050" cap="rnd" cmpd="sng" algn="ctr">
              <a:solidFill>
                <a:schemeClr val="accent2">
                  <a:lumMod val="80000"/>
                  <a:lumOff val="20000"/>
                </a:schemeClr>
              </a:solidFill>
              <a:prstDash val="solid"/>
              <a:round/>
            </a:ln>
            <a:effectLst/>
          </c:spPr>
          <c:marker>
            <c:symbol val="none"/>
          </c:marker>
          <c:errBars>
            <c:errDir val="y"/>
            <c:errBarType val="both"/>
            <c:errValType val="cust"/>
            <c:noEndCap val="0"/>
            <c:plus>
              <c:numRef>
                <c:f>Sheet1!$N$20:$N$33</c:f>
                <c:numCache>
                  <c:formatCode>General</c:formatCode>
                  <c:ptCount val="14"/>
                  <c:pt idx="0">
                    <c:v>0</c:v>
                  </c:pt>
                  <c:pt idx="1">
                    <c:v>2.94</c:v>
                  </c:pt>
                  <c:pt idx="2">
                    <c:v>3.53</c:v>
                  </c:pt>
                  <c:pt idx="3">
                    <c:v>4.2699999999999996</c:v>
                  </c:pt>
                  <c:pt idx="4">
                    <c:v>4.12</c:v>
                  </c:pt>
                  <c:pt idx="5">
                    <c:v>2.85</c:v>
                  </c:pt>
                  <c:pt idx="6">
                    <c:v>2.4300000000000002</c:v>
                  </c:pt>
                  <c:pt idx="7">
                    <c:v>3.75</c:v>
                  </c:pt>
                  <c:pt idx="8">
                    <c:v>2.15</c:v>
                  </c:pt>
                  <c:pt idx="9">
                    <c:v>3.67</c:v>
                  </c:pt>
                  <c:pt idx="10">
                    <c:v>4.95</c:v>
                  </c:pt>
                  <c:pt idx="11">
                    <c:v>3.74</c:v>
                  </c:pt>
                  <c:pt idx="12">
                    <c:v>2.85</c:v>
                  </c:pt>
                  <c:pt idx="13">
                    <c:v>3.42</c:v>
                  </c:pt>
                </c:numCache>
              </c:numRef>
            </c:plus>
            <c:minus>
              <c:numRef>
                <c:f>Sheet1!$N$20:$N$33</c:f>
                <c:numCache>
                  <c:formatCode>General</c:formatCode>
                  <c:ptCount val="14"/>
                  <c:pt idx="0">
                    <c:v>0</c:v>
                  </c:pt>
                  <c:pt idx="1">
                    <c:v>2.94</c:v>
                  </c:pt>
                  <c:pt idx="2">
                    <c:v>3.53</c:v>
                  </c:pt>
                  <c:pt idx="3">
                    <c:v>4.2699999999999996</c:v>
                  </c:pt>
                  <c:pt idx="4">
                    <c:v>4.12</c:v>
                  </c:pt>
                  <c:pt idx="5">
                    <c:v>2.85</c:v>
                  </c:pt>
                  <c:pt idx="6">
                    <c:v>2.4300000000000002</c:v>
                  </c:pt>
                  <c:pt idx="7">
                    <c:v>3.75</c:v>
                  </c:pt>
                  <c:pt idx="8">
                    <c:v>2.15</c:v>
                  </c:pt>
                  <c:pt idx="9">
                    <c:v>3.67</c:v>
                  </c:pt>
                  <c:pt idx="10">
                    <c:v>4.95</c:v>
                  </c:pt>
                  <c:pt idx="11">
                    <c:v>3.74</c:v>
                  </c:pt>
                  <c:pt idx="12">
                    <c:v>2.85</c:v>
                  </c:pt>
                  <c:pt idx="13">
                    <c:v>3.42</c:v>
                  </c:pt>
                </c:numCache>
              </c:numRef>
            </c:minus>
            <c:spPr>
              <a:noFill/>
              <a:ln w="9525" cap="flat" cmpd="sng" algn="ctr">
                <a:solidFill>
                  <a:schemeClr val="tx1">
                    <a:lumMod val="65000"/>
                    <a:lumOff val="35000"/>
                  </a:schemeClr>
                </a:solidFill>
                <a:prstDash val="solid"/>
                <a:round/>
              </a:ln>
              <a:effectLst/>
            </c:spPr>
          </c:errBars>
          <c:xVal>
            <c:numRef>
              <c:f>Sheet1!$A$2:$A$15</c:f>
              <c:numCache>
                <c:formatCode>General</c:formatCode>
                <c:ptCount val="14"/>
                <c:pt idx="0">
                  <c:v>0</c:v>
                </c:pt>
                <c:pt idx="1">
                  <c:v>0.5</c:v>
                </c:pt>
                <c:pt idx="2">
                  <c:v>1</c:v>
                </c:pt>
                <c:pt idx="3">
                  <c:v>2</c:v>
                </c:pt>
                <c:pt idx="4">
                  <c:v>3</c:v>
                </c:pt>
                <c:pt idx="5">
                  <c:v>4</c:v>
                </c:pt>
                <c:pt idx="6">
                  <c:v>5</c:v>
                </c:pt>
                <c:pt idx="7">
                  <c:v>6</c:v>
                </c:pt>
                <c:pt idx="8">
                  <c:v>7</c:v>
                </c:pt>
                <c:pt idx="9">
                  <c:v>8</c:v>
                </c:pt>
                <c:pt idx="10">
                  <c:v>9</c:v>
                </c:pt>
                <c:pt idx="11">
                  <c:v>10</c:v>
                </c:pt>
                <c:pt idx="12">
                  <c:v>11</c:v>
                </c:pt>
                <c:pt idx="13">
                  <c:v>12</c:v>
                </c:pt>
              </c:numCache>
            </c:numRef>
          </c:xVal>
          <c:yVal>
            <c:numRef>
              <c:f>Sheet1!$O$2:$O$15</c:f>
              <c:numCache>
                <c:formatCode>General</c:formatCode>
                <c:ptCount val="14"/>
                <c:pt idx="0">
                  <c:v>0</c:v>
                </c:pt>
                <c:pt idx="1">
                  <c:v>8.48</c:v>
                </c:pt>
                <c:pt idx="2">
                  <c:v>11.56</c:v>
                </c:pt>
                <c:pt idx="3">
                  <c:v>15.68</c:v>
                </c:pt>
                <c:pt idx="4">
                  <c:v>21.59</c:v>
                </c:pt>
                <c:pt idx="5">
                  <c:v>26.47</c:v>
                </c:pt>
                <c:pt idx="6">
                  <c:v>29.82</c:v>
                </c:pt>
                <c:pt idx="7">
                  <c:v>34.19</c:v>
                </c:pt>
                <c:pt idx="8">
                  <c:v>39.58</c:v>
                </c:pt>
                <c:pt idx="9">
                  <c:v>42.93</c:v>
                </c:pt>
                <c:pt idx="10">
                  <c:v>49.1</c:v>
                </c:pt>
                <c:pt idx="11">
                  <c:v>52.95</c:v>
                </c:pt>
                <c:pt idx="12">
                  <c:v>54.49</c:v>
                </c:pt>
                <c:pt idx="13">
                  <c:v>55.78</c:v>
                </c:pt>
              </c:numCache>
            </c:numRef>
          </c:yVal>
          <c:smooth val="1"/>
          <c:extLst>
            <c:ext xmlns:c16="http://schemas.microsoft.com/office/drawing/2014/chart" uri="{C3380CC4-5D6E-409C-BE32-E72D297353CC}">
              <c16:uniqueId val="{0000000D-093F-4E6E-998D-C0FB15D42CA7}"/>
            </c:ext>
          </c:extLst>
        </c:ser>
        <c:ser>
          <c:idx val="14"/>
          <c:order val="14"/>
          <c:tx>
            <c:strRef>
              <c:f>NC15</c:f>
              <c:strCache>
                <c:ptCount val="1"/>
                <c:pt idx="0">
                  <c:v>NC15</c:v>
                </c:pt>
              </c:strCache>
            </c:strRef>
          </c:tx>
          <c:spPr>
            <a:ln w="19050" cap="rnd" cmpd="sng" algn="ctr">
              <a:solidFill>
                <a:schemeClr val="accent3">
                  <a:lumMod val="80000"/>
                  <a:lumOff val="20000"/>
                </a:schemeClr>
              </a:solidFill>
              <a:prstDash val="solid"/>
              <a:round/>
            </a:ln>
            <a:effectLst/>
          </c:spPr>
          <c:marker>
            <c:symbol val="none"/>
          </c:marker>
          <c:errBars>
            <c:errDir val="y"/>
            <c:errBarType val="both"/>
            <c:errValType val="cust"/>
            <c:noEndCap val="0"/>
            <c:plus>
              <c:numRef>
                <c:f>Sheet1!$O$20:$O$33</c:f>
                <c:numCache>
                  <c:formatCode>General</c:formatCode>
                  <c:ptCount val="14"/>
                  <c:pt idx="0">
                    <c:v>0</c:v>
                  </c:pt>
                  <c:pt idx="1">
                    <c:v>4.12</c:v>
                  </c:pt>
                  <c:pt idx="2">
                    <c:v>2.83</c:v>
                  </c:pt>
                  <c:pt idx="3">
                    <c:v>3.72</c:v>
                  </c:pt>
                  <c:pt idx="4">
                    <c:v>4.74</c:v>
                  </c:pt>
                  <c:pt idx="5">
                    <c:v>3.85</c:v>
                  </c:pt>
                  <c:pt idx="6">
                    <c:v>2.57</c:v>
                  </c:pt>
                  <c:pt idx="7">
                    <c:v>3.39</c:v>
                  </c:pt>
                  <c:pt idx="8">
                    <c:v>3.74</c:v>
                  </c:pt>
                  <c:pt idx="9">
                    <c:v>2.58</c:v>
                  </c:pt>
                  <c:pt idx="10">
                    <c:v>3.34</c:v>
                  </c:pt>
                  <c:pt idx="11">
                    <c:v>4.6100000000000003</c:v>
                  </c:pt>
                  <c:pt idx="12">
                    <c:v>2.37</c:v>
                  </c:pt>
                  <c:pt idx="13">
                    <c:v>2.93</c:v>
                  </c:pt>
                </c:numCache>
              </c:numRef>
            </c:plus>
            <c:minus>
              <c:numRef>
                <c:f>Sheet1!$O$20:$O$33</c:f>
                <c:numCache>
                  <c:formatCode>General</c:formatCode>
                  <c:ptCount val="14"/>
                  <c:pt idx="0">
                    <c:v>0</c:v>
                  </c:pt>
                  <c:pt idx="1">
                    <c:v>4.12</c:v>
                  </c:pt>
                  <c:pt idx="2">
                    <c:v>2.83</c:v>
                  </c:pt>
                  <c:pt idx="3">
                    <c:v>3.72</c:v>
                  </c:pt>
                  <c:pt idx="4">
                    <c:v>4.74</c:v>
                  </c:pt>
                  <c:pt idx="5">
                    <c:v>3.85</c:v>
                  </c:pt>
                  <c:pt idx="6">
                    <c:v>2.57</c:v>
                  </c:pt>
                  <c:pt idx="7">
                    <c:v>3.39</c:v>
                  </c:pt>
                  <c:pt idx="8">
                    <c:v>3.74</c:v>
                  </c:pt>
                  <c:pt idx="9">
                    <c:v>2.58</c:v>
                  </c:pt>
                  <c:pt idx="10">
                    <c:v>3.34</c:v>
                  </c:pt>
                  <c:pt idx="11">
                    <c:v>4.6100000000000003</c:v>
                  </c:pt>
                  <c:pt idx="12">
                    <c:v>2.37</c:v>
                  </c:pt>
                  <c:pt idx="13">
                    <c:v>2.93</c:v>
                  </c:pt>
                </c:numCache>
              </c:numRef>
            </c:minus>
            <c:spPr>
              <a:noFill/>
              <a:ln w="9525" cap="flat" cmpd="sng" algn="ctr">
                <a:solidFill>
                  <a:schemeClr val="tx1">
                    <a:lumMod val="65000"/>
                    <a:lumOff val="35000"/>
                  </a:schemeClr>
                </a:solidFill>
                <a:prstDash val="solid"/>
                <a:round/>
              </a:ln>
              <a:effectLst/>
            </c:spPr>
          </c:errBars>
          <c:xVal>
            <c:numRef>
              <c:f>Sheet1!$A$2:$A$15</c:f>
              <c:numCache>
                <c:formatCode>General</c:formatCode>
                <c:ptCount val="14"/>
                <c:pt idx="0">
                  <c:v>0</c:v>
                </c:pt>
                <c:pt idx="1">
                  <c:v>0.5</c:v>
                </c:pt>
                <c:pt idx="2">
                  <c:v>1</c:v>
                </c:pt>
                <c:pt idx="3">
                  <c:v>2</c:v>
                </c:pt>
                <c:pt idx="4">
                  <c:v>3</c:v>
                </c:pt>
                <c:pt idx="5">
                  <c:v>4</c:v>
                </c:pt>
                <c:pt idx="6">
                  <c:v>5</c:v>
                </c:pt>
                <c:pt idx="7">
                  <c:v>6</c:v>
                </c:pt>
                <c:pt idx="8">
                  <c:v>7</c:v>
                </c:pt>
                <c:pt idx="9">
                  <c:v>8</c:v>
                </c:pt>
                <c:pt idx="10">
                  <c:v>9</c:v>
                </c:pt>
                <c:pt idx="11">
                  <c:v>10</c:v>
                </c:pt>
                <c:pt idx="12">
                  <c:v>11</c:v>
                </c:pt>
                <c:pt idx="13">
                  <c:v>12</c:v>
                </c:pt>
              </c:numCache>
            </c:numRef>
          </c:xVal>
          <c:yVal>
            <c:numRef>
              <c:f>Sheet1!$V$2:$V$15</c:f>
              <c:numCache>
                <c:formatCode>General</c:formatCode>
                <c:ptCount val="14"/>
                <c:pt idx="1">
                  <c:v>5.14</c:v>
                </c:pt>
                <c:pt idx="2">
                  <c:v>12.23</c:v>
                </c:pt>
                <c:pt idx="3">
                  <c:v>16.48</c:v>
                </c:pt>
                <c:pt idx="4">
                  <c:v>19.84</c:v>
                </c:pt>
                <c:pt idx="5">
                  <c:v>22.17</c:v>
                </c:pt>
                <c:pt idx="6">
                  <c:v>22.52</c:v>
                </c:pt>
                <c:pt idx="7">
                  <c:v>25.74</c:v>
                </c:pt>
                <c:pt idx="8">
                  <c:v>32.659999999999997</c:v>
                </c:pt>
                <c:pt idx="9">
                  <c:v>37.130000000000003</c:v>
                </c:pt>
                <c:pt idx="10">
                  <c:v>37.67</c:v>
                </c:pt>
                <c:pt idx="11">
                  <c:v>38.130000000000003</c:v>
                </c:pt>
                <c:pt idx="12">
                  <c:v>38.39</c:v>
                </c:pt>
                <c:pt idx="13">
                  <c:v>38.46</c:v>
                </c:pt>
              </c:numCache>
            </c:numRef>
          </c:yVal>
          <c:smooth val="1"/>
          <c:extLst>
            <c:ext xmlns:c16="http://schemas.microsoft.com/office/drawing/2014/chart" uri="{C3380CC4-5D6E-409C-BE32-E72D297353CC}">
              <c16:uniqueId val="{0000000E-093F-4E6E-998D-C0FB15D42CA7}"/>
            </c:ext>
          </c:extLst>
        </c:ser>
        <c:ser>
          <c:idx val="15"/>
          <c:order val="15"/>
          <c:tx>
            <c:strRef>
              <c:f>NC16</c:f>
              <c:strCache>
                <c:ptCount val="1"/>
                <c:pt idx="0">
                  <c:v>NC16</c:v>
                </c:pt>
              </c:strCache>
            </c:strRef>
          </c:tx>
          <c:spPr>
            <a:ln w="19050" cap="rnd" cmpd="sng" algn="ctr">
              <a:solidFill>
                <a:schemeClr val="accent4">
                  <a:lumMod val="80000"/>
                  <a:lumOff val="20000"/>
                </a:schemeClr>
              </a:solidFill>
              <a:prstDash val="solid"/>
              <a:round/>
            </a:ln>
            <a:effectLst/>
          </c:spPr>
          <c:marker>
            <c:symbol val="none"/>
          </c:marker>
          <c:errBars>
            <c:errDir val="y"/>
            <c:errBarType val="both"/>
            <c:errValType val="cust"/>
            <c:noEndCap val="0"/>
            <c:plus>
              <c:numRef>
                <c:f>Sheet1!$P$20:$P$33</c:f>
                <c:numCache>
                  <c:formatCode>General</c:formatCode>
                  <c:ptCount val="14"/>
                  <c:pt idx="0">
                    <c:v>0</c:v>
                  </c:pt>
                  <c:pt idx="1">
                    <c:v>2.85</c:v>
                  </c:pt>
                  <c:pt idx="2">
                    <c:v>2.73</c:v>
                  </c:pt>
                  <c:pt idx="3">
                    <c:v>3.84</c:v>
                  </c:pt>
                  <c:pt idx="4">
                    <c:v>3.61</c:v>
                  </c:pt>
                  <c:pt idx="5">
                    <c:v>2.96</c:v>
                  </c:pt>
                  <c:pt idx="6">
                    <c:v>2.15</c:v>
                  </c:pt>
                  <c:pt idx="7">
                    <c:v>3.26</c:v>
                  </c:pt>
                  <c:pt idx="8">
                    <c:v>2.84</c:v>
                  </c:pt>
                  <c:pt idx="9">
                    <c:v>3.16</c:v>
                  </c:pt>
                  <c:pt idx="10">
                    <c:v>3.75</c:v>
                  </c:pt>
                  <c:pt idx="11">
                    <c:v>2.85</c:v>
                  </c:pt>
                  <c:pt idx="12">
                    <c:v>1.53</c:v>
                  </c:pt>
                  <c:pt idx="13">
                    <c:v>3.74</c:v>
                  </c:pt>
                </c:numCache>
              </c:numRef>
            </c:plus>
            <c:minus>
              <c:numRef>
                <c:f>Sheet1!$P$20:$P$33</c:f>
                <c:numCache>
                  <c:formatCode>General</c:formatCode>
                  <c:ptCount val="14"/>
                  <c:pt idx="0">
                    <c:v>0</c:v>
                  </c:pt>
                  <c:pt idx="1">
                    <c:v>2.85</c:v>
                  </c:pt>
                  <c:pt idx="2">
                    <c:v>2.73</c:v>
                  </c:pt>
                  <c:pt idx="3">
                    <c:v>3.84</c:v>
                  </c:pt>
                  <c:pt idx="4">
                    <c:v>3.61</c:v>
                  </c:pt>
                  <c:pt idx="5">
                    <c:v>2.96</c:v>
                  </c:pt>
                  <c:pt idx="6">
                    <c:v>2.15</c:v>
                  </c:pt>
                  <c:pt idx="7">
                    <c:v>3.26</c:v>
                  </c:pt>
                  <c:pt idx="8">
                    <c:v>2.84</c:v>
                  </c:pt>
                  <c:pt idx="9">
                    <c:v>3.16</c:v>
                  </c:pt>
                  <c:pt idx="10">
                    <c:v>3.75</c:v>
                  </c:pt>
                  <c:pt idx="11">
                    <c:v>2.85</c:v>
                  </c:pt>
                  <c:pt idx="12">
                    <c:v>1.53</c:v>
                  </c:pt>
                  <c:pt idx="13">
                    <c:v>3.74</c:v>
                  </c:pt>
                </c:numCache>
              </c:numRef>
            </c:minus>
            <c:spPr>
              <a:noFill/>
              <a:ln w="9525" cap="flat" cmpd="sng" algn="ctr">
                <a:solidFill>
                  <a:schemeClr val="tx1">
                    <a:lumMod val="65000"/>
                    <a:lumOff val="35000"/>
                  </a:schemeClr>
                </a:solidFill>
                <a:prstDash val="solid"/>
                <a:round/>
              </a:ln>
              <a:effectLst/>
            </c:spPr>
          </c:errBars>
          <c:xVal>
            <c:numRef>
              <c:f>Sheet1!$A$2:$A$15</c:f>
              <c:numCache>
                <c:formatCode>General</c:formatCode>
                <c:ptCount val="14"/>
                <c:pt idx="0">
                  <c:v>0</c:v>
                </c:pt>
                <c:pt idx="1">
                  <c:v>0.5</c:v>
                </c:pt>
                <c:pt idx="2">
                  <c:v>1</c:v>
                </c:pt>
                <c:pt idx="3">
                  <c:v>2</c:v>
                </c:pt>
                <c:pt idx="4">
                  <c:v>3</c:v>
                </c:pt>
                <c:pt idx="5">
                  <c:v>4</c:v>
                </c:pt>
                <c:pt idx="6">
                  <c:v>5</c:v>
                </c:pt>
                <c:pt idx="7">
                  <c:v>6</c:v>
                </c:pt>
                <c:pt idx="8">
                  <c:v>7</c:v>
                </c:pt>
                <c:pt idx="9">
                  <c:v>8</c:v>
                </c:pt>
                <c:pt idx="10">
                  <c:v>9</c:v>
                </c:pt>
                <c:pt idx="11">
                  <c:v>10</c:v>
                </c:pt>
                <c:pt idx="12">
                  <c:v>11</c:v>
                </c:pt>
                <c:pt idx="13">
                  <c:v>12</c:v>
                </c:pt>
              </c:numCache>
            </c:numRef>
          </c:xVal>
          <c:yVal>
            <c:numRef>
              <c:f>Sheet1!$W$2:$W$15</c:f>
              <c:numCache>
                <c:formatCode>General</c:formatCode>
                <c:ptCount val="14"/>
                <c:pt idx="0">
                  <c:v>0</c:v>
                </c:pt>
                <c:pt idx="1">
                  <c:v>7.71</c:v>
                </c:pt>
                <c:pt idx="2">
                  <c:v>10.28</c:v>
                </c:pt>
                <c:pt idx="3">
                  <c:v>12.85</c:v>
                </c:pt>
                <c:pt idx="4">
                  <c:v>17.989999999999799</c:v>
                </c:pt>
                <c:pt idx="5">
                  <c:v>23.65</c:v>
                </c:pt>
                <c:pt idx="6">
                  <c:v>28.79</c:v>
                </c:pt>
                <c:pt idx="7">
                  <c:v>33.159999999999997</c:v>
                </c:pt>
                <c:pt idx="8">
                  <c:v>37.78</c:v>
                </c:pt>
                <c:pt idx="9">
                  <c:v>43.95</c:v>
                </c:pt>
                <c:pt idx="10">
                  <c:v>48.58</c:v>
                </c:pt>
                <c:pt idx="11">
                  <c:v>50.12</c:v>
                </c:pt>
                <c:pt idx="12">
                  <c:v>51.67</c:v>
                </c:pt>
                <c:pt idx="13">
                  <c:v>52.69</c:v>
                </c:pt>
              </c:numCache>
            </c:numRef>
          </c:yVal>
          <c:smooth val="1"/>
          <c:extLst>
            <c:ext xmlns:c16="http://schemas.microsoft.com/office/drawing/2014/chart" uri="{C3380CC4-5D6E-409C-BE32-E72D297353CC}">
              <c16:uniqueId val="{0000000F-093F-4E6E-998D-C0FB15D42CA7}"/>
            </c:ext>
          </c:extLst>
        </c:ser>
        <c:ser>
          <c:idx val="16"/>
          <c:order val="16"/>
          <c:tx>
            <c:strRef>
              <c:f>pure drug</c:f>
              <c:strCache>
                <c:ptCount val="1"/>
                <c:pt idx="0">
                  <c:v>pure drug</c:v>
                </c:pt>
              </c:strCache>
            </c:strRef>
          </c:tx>
          <c:marker>
            <c:symbol val="none"/>
          </c:marker>
          <c:errBars>
            <c:errDir val="y"/>
            <c:errBarType val="both"/>
            <c:errValType val="cust"/>
            <c:noEndCap val="0"/>
            <c:plus>
              <c:numRef>
                <c:f>Sheet1!$Q$20:$Q$30</c:f>
                <c:numCache>
                  <c:formatCode>General</c:formatCode>
                  <c:ptCount val="11"/>
                  <c:pt idx="0">
                    <c:v>0</c:v>
                  </c:pt>
                  <c:pt idx="1">
                    <c:v>4.63</c:v>
                  </c:pt>
                  <c:pt idx="2">
                    <c:v>5.51</c:v>
                  </c:pt>
                  <c:pt idx="3">
                    <c:v>3.29</c:v>
                  </c:pt>
                  <c:pt idx="4">
                    <c:v>4.4000000000000004</c:v>
                  </c:pt>
                  <c:pt idx="5">
                    <c:v>5.52</c:v>
                  </c:pt>
                  <c:pt idx="6">
                    <c:v>3.37</c:v>
                  </c:pt>
                  <c:pt idx="7">
                    <c:v>2.0099999999999998</c:v>
                  </c:pt>
                  <c:pt idx="8">
                    <c:v>5.39</c:v>
                  </c:pt>
                  <c:pt idx="9">
                    <c:v>4.0599999999999996</c:v>
                  </c:pt>
                  <c:pt idx="10">
                    <c:v>5.94</c:v>
                  </c:pt>
                </c:numCache>
              </c:numRef>
            </c:plus>
            <c:minus>
              <c:numRef>
                <c:f>Sheet1!$Q$20:$Q$30</c:f>
                <c:numCache>
                  <c:formatCode>General</c:formatCode>
                  <c:ptCount val="11"/>
                  <c:pt idx="0">
                    <c:v>0</c:v>
                  </c:pt>
                  <c:pt idx="1">
                    <c:v>4.63</c:v>
                  </c:pt>
                  <c:pt idx="2">
                    <c:v>5.51</c:v>
                  </c:pt>
                  <c:pt idx="3">
                    <c:v>3.29</c:v>
                  </c:pt>
                  <c:pt idx="4">
                    <c:v>4.4000000000000004</c:v>
                  </c:pt>
                  <c:pt idx="5">
                    <c:v>5.52</c:v>
                  </c:pt>
                  <c:pt idx="6">
                    <c:v>3.37</c:v>
                  </c:pt>
                  <c:pt idx="7">
                    <c:v>2.0099999999999998</c:v>
                  </c:pt>
                  <c:pt idx="8">
                    <c:v>5.39</c:v>
                  </c:pt>
                  <c:pt idx="9">
                    <c:v>4.0599999999999996</c:v>
                  </c:pt>
                  <c:pt idx="10">
                    <c:v>5.94</c:v>
                  </c:pt>
                </c:numCache>
              </c:numRef>
            </c:minus>
          </c:errBars>
          <c:xVal>
            <c:numRef>
              <c:f>Sheet1!$A$2:$A$15</c:f>
              <c:numCache>
                <c:formatCode>General</c:formatCode>
                <c:ptCount val="14"/>
                <c:pt idx="0">
                  <c:v>0</c:v>
                </c:pt>
                <c:pt idx="1">
                  <c:v>0.5</c:v>
                </c:pt>
                <c:pt idx="2">
                  <c:v>1</c:v>
                </c:pt>
                <c:pt idx="3">
                  <c:v>2</c:v>
                </c:pt>
                <c:pt idx="4">
                  <c:v>3</c:v>
                </c:pt>
                <c:pt idx="5">
                  <c:v>4</c:v>
                </c:pt>
                <c:pt idx="6">
                  <c:v>5</c:v>
                </c:pt>
                <c:pt idx="7">
                  <c:v>6</c:v>
                </c:pt>
                <c:pt idx="8">
                  <c:v>7</c:v>
                </c:pt>
                <c:pt idx="9">
                  <c:v>8</c:v>
                </c:pt>
                <c:pt idx="10">
                  <c:v>9</c:v>
                </c:pt>
                <c:pt idx="11">
                  <c:v>10</c:v>
                </c:pt>
                <c:pt idx="12">
                  <c:v>11</c:v>
                </c:pt>
                <c:pt idx="13">
                  <c:v>12</c:v>
                </c:pt>
              </c:numCache>
            </c:numRef>
          </c:xVal>
          <c:yVal>
            <c:numRef>
              <c:f>Sheet1!$P$2:$P$15</c:f>
              <c:numCache>
                <c:formatCode>General</c:formatCode>
                <c:ptCount val="14"/>
                <c:pt idx="0">
                  <c:v>0</c:v>
                </c:pt>
                <c:pt idx="1">
                  <c:v>2.34</c:v>
                </c:pt>
                <c:pt idx="2">
                  <c:v>4.6900000000000004</c:v>
                </c:pt>
                <c:pt idx="3">
                  <c:v>15.11</c:v>
                </c:pt>
                <c:pt idx="4">
                  <c:v>16.93</c:v>
                </c:pt>
                <c:pt idx="5">
                  <c:v>18.52</c:v>
                </c:pt>
                <c:pt idx="6">
                  <c:v>19.55</c:v>
                </c:pt>
                <c:pt idx="7">
                  <c:v>19.920000000000002</c:v>
                </c:pt>
                <c:pt idx="8">
                  <c:v>20.010000000000002</c:v>
                </c:pt>
                <c:pt idx="9">
                  <c:v>20.22</c:v>
                </c:pt>
                <c:pt idx="10">
                  <c:v>20.23</c:v>
                </c:pt>
              </c:numCache>
            </c:numRef>
          </c:yVal>
          <c:smooth val="1"/>
          <c:extLst>
            <c:ext xmlns:c16="http://schemas.microsoft.com/office/drawing/2014/chart" uri="{C3380CC4-5D6E-409C-BE32-E72D297353CC}">
              <c16:uniqueId val="{00000010-093F-4E6E-998D-C0FB15D42CA7}"/>
            </c:ext>
          </c:extLst>
        </c:ser>
        <c:dLbls>
          <c:showLegendKey val="0"/>
          <c:showVal val="0"/>
          <c:showCatName val="0"/>
          <c:showSerName val="0"/>
          <c:showPercent val="0"/>
          <c:showBubbleSize val="0"/>
        </c:dLbls>
        <c:axId val="57706752"/>
        <c:axId val="57729408"/>
      </c:scatterChart>
      <c:valAx>
        <c:axId val="57706752"/>
        <c:scaling>
          <c:orientation val="minMax"/>
          <c:max val="12"/>
        </c:scaling>
        <c:delete val="0"/>
        <c:axPos val="b"/>
        <c:title>
          <c:tx>
            <c:rich>
              <a:bodyPr rot="0" spcFirstLastPara="1" vertOverflow="ellipsis" vert="horz" wrap="square" anchor="ctr" anchorCtr="1"/>
              <a:lstStyle/>
              <a:p>
                <a:pPr>
                  <a:defRPr lang="en-US" sz="1000" b="1" i="0" u="none" strike="noStrike" kern="1200" baseline="0">
                    <a:solidFill>
                      <a:schemeClr val="dk1"/>
                    </a:solidFill>
                    <a:latin typeface="+mn-lt"/>
                    <a:ea typeface="+mn-ea"/>
                    <a:cs typeface="+mn-cs"/>
                  </a:defRPr>
                </a:pPr>
                <a:r>
                  <a:rPr lang="en-IN" sz="1200">
                    <a:solidFill>
                      <a:schemeClr val="dk1"/>
                    </a:solidFill>
                    <a:latin typeface="+mn-lt"/>
                    <a:ea typeface="+mn-ea"/>
                    <a:cs typeface="+mn-cs"/>
                  </a:rPr>
                  <a:t>  Time</a:t>
                </a:r>
                <a:r>
                  <a:rPr lang="en-IN" sz="1200" baseline="0">
                    <a:solidFill>
                      <a:schemeClr val="dk1"/>
                    </a:solidFill>
                    <a:latin typeface="+mn-lt"/>
                    <a:ea typeface="+mn-ea"/>
                    <a:cs typeface="+mn-cs"/>
                  </a:rPr>
                  <a:t> (hrs)</a:t>
                </a:r>
                <a:endParaRPr lang="en-IN" sz="1200">
                  <a:solidFill>
                    <a:schemeClr val="dk1"/>
                  </a:solidFill>
                  <a:latin typeface="+mn-lt"/>
                  <a:ea typeface="+mn-ea"/>
                  <a:cs typeface="+mn-cs"/>
                </a:endParaRPr>
              </a:p>
            </c:rich>
          </c:tx>
          <c:layout>
            <c:manualLayout>
              <c:xMode val="edge"/>
              <c:yMode val="edge"/>
              <c:x val="0.45831824146982297"/>
              <c:y val="0.75310002916302399"/>
            </c:manualLayout>
          </c:layout>
          <c:overlay val="0"/>
          <c:spPr>
            <a:solidFill>
              <a:schemeClr val="lt1"/>
            </a:solidFill>
            <a:ln w="25400" cap="flat" cmpd="sng" algn="ctr">
              <a:noFill/>
              <a:prstDash val="solid"/>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7729408"/>
        <c:crosses val="autoZero"/>
        <c:crossBetween val="midCat"/>
      </c:valAx>
      <c:valAx>
        <c:axId val="57729408"/>
        <c:scaling>
          <c:orientation val="minMax"/>
          <c:max val="100"/>
          <c:min val="0"/>
        </c:scaling>
        <c:delete val="0"/>
        <c:axPos val="l"/>
        <c:title>
          <c:tx>
            <c:rich>
              <a:bodyPr rot="-5400000" spcFirstLastPara="1" vertOverflow="ellipsis" vert="horz" wrap="square" anchor="ctr" anchorCtr="1"/>
              <a:lstStyle/>
              <a:p>
                <a:pPr>
                  <a:defRPr lang="en-US" sz="1000" b="1" i="0" u="none" strike="noStrike" kern="1200" baseline="0">
                    <a:solidFill>
                      <a:schemeClr val="dk1"/>
                    </a:solidFill>
                    <a:latin typeface="+mn-lt"/>
                    <a:ea typeface="+mn-ea"/>
                    <a:cs typeface="+mn-cs"/>
                  </a:defRPr>
                </a:pPr>
                <a:r>
                  <a:rPr lang="en-IN" sz="1200">
                    <a:solidFill>
                      <a:schemeClr val="dk1"/>
                    </a:solidFill>
                    <a:latin typeface="+mn-lt"/>
                    <a:ea typeface="+mn-ea"/>
                    <a:cs typeface="+mn-cs"/>
                  </a:rPr>
                  <a:t> %Drug</a:t>
                </a:r>
                <a:r>
                  <a:rPr lang="en-IN" sz="1200" baseline="0">
                    <a:solidFill>
                      <a:schemeClr val="dk1"/>
                    </a:solidFill>
                    <a:latin typeface="+mn-lt"/>
                    <a:ea typeface="+mn-ea"/>
                    <a:cs typeface="+mn-cs"/>
                  </a:rPr>
                  <a:t> release</a:t>
                </a:r>
                <a:endParaRPr lang="en-IN" sz="1200">
                  <a:solidFill>
                    <a:schemeClr val="dk1"/>
                  </a:solidFill>
                  <a:latin typeface="+mn-lt"/>
                  <a:ea typeface="+mn-ea"/>
                  <a:cs typeface="+mn-cs"/>
                </a:endParaRPr>
              </a:p>
            </c:rich>
          </c:tx>
          <c:overlay val="0"/>
          <c:spPr>
            <a:solidFill>
              <a:schemeClr val="lt1"/>
            </a:solidFill>
            <a:ln w="25400" cap="flat" cmpd="sng" algn="ctr">
              <a:noFill/>
              <a:prstDash val="solid"/>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7706752"/>
        <c:crosses val="autoZero"/>
        <c:crossBetween val="midCat"/>
      </c:valAx>
      <c:spPr>
        <a:noFill/>
        <a:ln>
          <a:noFill/>
        </a:ln>
        <a:effectLst/>
      </c:spPr>
    </c:plotArea>
    <c:legend>
      <c:legendPos val="b"/>
      <c:layout>
        <c:manualLayout>
          <c:xMode val="edge"/>
          <c:yMode val="edge"/>
          <c:x val="9.1138888888889505E-2"/>
          <c:y val="0.83275298920968199"/>
          <c:w val="0.89144946620633903"/>
          <c:h val="0.12669337029196301"/>
        </c:manualLayout>
      </c:layout>
      <c:overlay val="0"/>
      <c:spPr>
        <a:solidFill>
          <a:schemeClr val="lt1"/>
        </a:solidFill>
        <a:ln w="25400" cap="flat" cmpd="sng" algn="ctr">
          <a:noFill/>
          <a:prstDash val="solid"/>
        </a:ln>
        <a:effectLst/>
      </c:spPr>
      <c:txPr>
        <a:bodyPr rot="0" spcFirstLastPara="1" vertOverflow="ellipsis" vert="horz" wrap="square" anchor="ctr" anchorCtr="1"/>
        <a:lstStyle/>
        <a:p>
          <a:pPr>
            <a:defRPr lang="en-US" sz="1000" b="0" i="0" u="none" strike="noStrike" kern="1200" baseline="0">
              <a:solidFill>
                <a:schemeClr val="dk1"/>
              </a:solidFill>
              <a:latin typeface="+mn-lt"/>
              <a:ea typeface="+mn-ea"/>
              <a:cs typeface="+mn-cs"/>
            </a:defRPr>
          </a:pPr>
          <a:endParaRPr lang="en-US"/>
        </a:p>
      </c:txPr>
    </c:legend>
    <c:plotVisOnly val="1"/>
    <c:dispBlanksAs val="gap"/>
    <c:showDLblsOverMax val="0"/>
    <c:extLst>
      <c:ext uri="{0b15fc19-7d7d-44ad-8c2d-2c3a37ce22c3}">
        <chartProps xmlns="https://web.wps.cn/et/2018/main" chartId="{2f001b05-12d1-4591-bbc6-4fe9172b4874}"/>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a:t> </a:t>
            </a:r>
          </a:p>
        </c:rich>
      </c:tx>
      <c:overlay val="0"/>
      <c:spPr>
        <a:noFill/>
        <a:ln>
          <a:noFill/>
        </a:ln>
        <a:effectLst/>
      </c:spPr>
    </c:title>
    <c:autoTitleDeleted val="0"/>
    <c:plotArea>
      <c:layout/>
      <c:scatterChart>
        <c:scatterStyle val="smoothMarker"/>
        <c:varyColors val="0"/>
        <c:ser>
          <c:idx val="0"/>
          <c:order val="0"/>
          <c:tx>
            <c:strRef>
              <c:f>Sheet1!$B$2</c:f>
              <c:strCache>
                <c:ptCount val="1"/>
                <c:pt idx="0">
                  <c:v>NCG1</c:v>
                </c:pt>
              </c:strCache>
            </c:strRef>
          </c:tx>
          <c:spPr>
            <a:ln w="19050"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errBars>
            <c:errDir val="y"/>
            <c:errBarType val="both"/>
            <c:errValType val="cust"/>
            <c:noEndCap val="0"/>
            <c:plus>
              <c:numRef>
                <c:f>Sheet1!$C$3:$C$17</c:f>
                <c:numCache>
                  <c:formatCode>General</c:formatCode>
                  <c:ptCount val="15"/>
                  <c:pt idx="0">
                    <c:v>0</c:v>
                  </c:pt>
                  <c:pt idx="1">
                    <c:v>5.26</c:v>
                  </c:pt>
                  <c:pt idx="2">
                    <c:v>2.41</c:v>
                  </c:pt>
                  <c:pt idx="3">
                    <c:v>3.67</c:v>
                  </c:pt>
                  <c:pt idx="4">
                    <c:v>2.25</c:v>
                  </c:pt>
                  <c:pt idx="5">
                    <c:v>3.58</c:v>
                  </c:pt>
                  <c:pt idx="6">
                    <c:v>4.2699999999999996</c:v>
                  </c:pt>
                  <c:pt idx="7">
                    <c:v>6.34</c:v>
                  </c:pt>
                  <c:pt idx="8">
                    <c:v>4.76</c:v>
                  </c:pt>
                  <c:pt idx="9">
                    <c:v>5.87</c:v>
                  </c:pt>
                  <c:pt idx="10">
                    <c:v>4.92</c:v>
                  </c:pt>
                  <c:pt idx="11">
                    <c:v>5.99</c:v>
                  </c:pt>
                  <c:pt idx="12">
                    <c:v>7.32</c:v>
                  </c:pt>
                  <c:pt idx="13">
                    <c:v>8.41</c:v>
                  </c:pt>
                  <c:pt idx="14">
                    <c:v>7.6</c:v>
                  </c:pt>
                </c:numCache>
              </c:numRef>
            </c:plus>
            <c:minus>
              <c:numRef>
                <c:f>Sheet1!$C$3:$C$17</c:f>
                <c:numCache>
                  <c:formatCode>General</c:formatCode>
                  <c:ptCount val="15"/>
                  <c:pt idx="0">
                    <c:v>0</c:v>
                  </c:pt>
                  <c:pt idx="1">
                    <c:v>5.26</c:v>
                  </c:pt>
                  <c:pt idx="2">
                    <c:v>2.41</c:v>
                  </c:pt>
                  <c:pt idx="3">
                    <c:v>3.67</c:v>
                  </c:pt>
                  <c:pt idx="4">
                    <c:v>2.25</c:v>
                  </c:pt>
                  <c:pt idx="5">
                    <c:v>3.58</c:v>
                  </c:pt>
                  <c:pt idx="6">
                    <c:v>4.2699999999999996</c:v>
                  </c:pt>
                  <c:pt idx="7">
                    <c:v>6.34</c:v>
                  </c:pt>
                  <c:pt idx="8">
                    <c:v>4.76</c:v>
                  </c:pt>
                  <c:pt idx="9">
                    <c:v>5.87</c:v>
                  </c:pt>
                  <c:pt idx="10">
                    <c:v>4.92</c:v>
                  </c:pt>
                  <c:pt idx="11">
                    <c:v>5.99</c:v>
                  </c:pt>
                  <c:pt idx="12">
                    <c:v>7.32</c:v>
                  </c:pt>
                  <c:pt idx="13">
                    <c:v>8.41</c:v>
                  </c:pt>
                  <c:pt idx="14">
                    <c:v>7.6</c:v>
                  </c:pt>
                </c:numCache>
              </c:numRef>
            </c:minus>
            <c:spPr>
              <a:noFill/>
              <a:ln w="9525" cap="flat" cmpd="sng" algn="ctr">
                <a:solidFill>
                  <a:schemeClr val="tx1">
                    <a:lumMod val="65000"/>
                    <a:lumOff val="35000"/>
                  </a:schemeClr>
                </a:solidFill>
                <a:prstDash val="solid"/>
                <a:round/>
              </a:ln>
              <a:effectLst/>
            </c:spPr>
          </c:errBars>
          <c:xVal>
            <c:numRef>
              <c:f>Sheet1!$A$3:$A$17</c:f>
              <c:numCache>
                <c:formatCode>General</c:formatCode>
                <c:ptCount val="15"/>
                <c:pt idx="0">
                  <c:v>0</c:v>
                </c:pt>
                <c:pt idx="1">
                  <c:v>0.25</c:v>
                </c:pt>
                <c:pt idx="2">
                  <c:v>0.5</c:v>
                </c:pt>
                <c:pt idx="3">
                  <c:v>1</c:v>
                </c:pt>
                <c:pt idx="4">
                  <c:v>2</c:v>
                </c:pt>
                <c:pt idx="5">
                  <c:v>3</c:v>
                </c:pt>
                <c:pt idx="6">
                  <c:v>4</c:v>
                </c:pt>
                <c:pt idx="7">
                  <c:v>5</c:v>
                </c:pt>
                <c:pt idx="8">
                  <c:v>6</c:v>
                </c:pt>
                <c:pt idx="9">
                  <c:v>7</c:v>
                </c:pt>
                <c:pt idx="10">
                  <c:v>8</c:v>
                </c:pt>
                <c:pt idx="11">
                  <c:v>9</c:v>
                </c:pt>
                <c:pt idx="12">
                  <c:v>10</c:v>
                </c:pt>
                <c:pt idx="13">
                  <c:v>11</c:v>
                </c:pt>
                <c:pt idx="14">
                  <c:v>12</c:v>
                </c:pt>
              </c:numCache>
            </c:numRef>
          </c:xVal>
          <c:yVal>
            <c:numRef>
              <c:f>Sheet1!$B$3:$B$17</c:f>
              <c:numCache>
                <c:formatCode>General</c:formatCode>
                <c:ptCount val="15"/>
                <c:pt idx="0">
                  <c:v>0</c:v>
                </c:pt>
                <c:pt idx="1">
                  <c:v>20.71</c:v>
                </c:pt>
                <c:pt idx="2">
                  <c:v>27.97</c:v>
                </c:pt>
                <c:pt idx="3">
                  <c:v>39.47</c:v>
                </c:pt>
                <c:pt idx="4">
                  <c:v>51.09</c:v>
                </c:pt>
                <c:pt idx="5">
                  <c:v>58.64</c:v>
                </c:pt>
                <c:pt idx="6">
                  <c:v>67.11</c:v>
                </c:pt>
                <c:pt idx="7">
                  <c:v>74.53</c:v>
                </c:pt>
                <c:pt idx="8">
                  <c:v>86.38</c:v>
                </c:pt>
                <c:pt idx="9">
                  <c:v>94.07</c:v>
                </c:pt>
                <c:pt idx="10">
                  <c:v>96.72</c:v>
                </c:pt>
                <c:pt idx="11">
                  <c:v>96.81</c:v>
                </c:pt>
                <c:pt idx="12">
                  <c:v>97.09</c:v>
                </c:pt>
                <c:pt idx="13">
                  <c:v>97.17</c:v>
                </c:pt>
                <c:pt idx="14">
                  <c:v>97.22</c:v>
                </c:pt>
              </c:numCache>
            </c:numRef>
          </c:yVal>
          <c:smooth val="1"/>
          <c:extLst>
            <c:ext xmlns:c16="http://schemas.microsoft.com/office/drawing/2014/chart" uri="{C3380CC4-5D6E-409C-BE32-E72D297353CC}">
              <c16:uniqueId val="{00000000-A2D6-46DD-B99D-1F49216E21A6}"/>
            </c:ext>
          </c:extLst>
        </c:ser>
        <c:ser>
          <c:idx val="1"/>
          <c:order val="1"/>
          <c:tx>
            <c:strRef>
              <c:f>Sheet1!$D$2</c:f>
              <c:strCache>
                <c:ptCount val="1"/>
                <c:pt idx="0">
                  <c:v>NCG2</c:v>
                </c:pt>
              </c:strCache>
            </c:strRef>
          </c:tx>
          <c:spPr>
            <a:ln w="19050"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errBars>
            <c:errDir val="y"/>
            <c:errBarType val="both"/>
            <c:errValType val="cust"/>
            <c:noEndCap val="0"/>
            <c:plus>
              <c:numRef>
                <c:f>Sheet1!$E$3:$E$17</c:f>
                <c:numCache>
                  <c:formatCode>General</c:formatCode>
                  <c:ptCount val="15"/>
                  <c:pt idx="0">
                    <c:v>0</c:v>
                  </c:pt>
                  <c:pt idx="1">
                    <c:v>2.1800000000000002</c:v>
                  </c:pt>
                  <c:pt idx="2">
                    <c:v>4.5199999999999996</c:v>
                  </c:pt>
                  <c:pt idx="3">
                    <c:v>3.27</c:v>
                  </c:pt>
                  <c:pt idx="4">
                    <c:v>6.14</c:v>
                  </c:pt>
                  <c:pt idx="5">
                    <c:v>5.53</c:v>
                  </c:pt>
                  <c:pt idx="6">
                    <c:v>6.65</c:v>
                  </c:pt>
                  <c:pt idx="7">
                    <c:v>5.84</c:v>
                  </c:pt>
                  <c:pt idx="8">
                    <c:v>3.93</c:v>
                  </c:pt>
                  <c:pt idx="9">
                    <c:v>2.82</c:v>
                  </c:pt>
                  <c:pt idx="10">
                    <c:v>4.87</c:v>
                  </c:pt>
                  <c:pt idx="11">
                    <c:v>6.65</c:v>
                  </c:pt>
                  <c:pt idx="12">
                    <c:v>4.74</c:v>
                  </c:pt>
                  <c:pt idx="13">
                    <c:v>5.0599999999999996</c:v>
                  </c:pt>
                  <c:pt idx="14">
                    <c:v>6.67</c:v>
                  </c:pt>
                </c:numCache>
              </c:numRef>
            </c:plus>
            <c:minus>
              <c:numRef>
                <c:f>Sheet1!$E$3:$E$17</c:f>
                <c:numCache>
                  <c:formatCode>General</c:formatCode>
                  <c:ptCount val="15"/>
                  <c:pt idx="0">
                    <c:v>0</c:v>
                  </c:pt>
                  <c:pt idx="1">
                    <c:v>2.1800000000000002</c:v>
                  </c:pt>
                  <c:pt idx="2">
                    <c:v>4.5199999999999996</c:v>
                  </c:pt>
                  <c:pt idx="3">
                    <c:v>3.27</c:v>
                  </c:pt>
                  <c:pt idx="4">
                    <c:v>6.14</c:v>
                  </c:pt>
                  <c:pt idx="5">
                    <c:v>5.53</c:v>
                  </c:pt>
                  <c:pt idx="6">
                    <c:v>6.65</c:v>
                  </c:pt>
                  <c:pt idx="7">
                    <c:v>5.84</c:v>
                  </c:pt>
                  <c:pt idx="8">
                    <c:v>3.93</c:v>
                  </c:pt>
                  <c:pt idx="9">
                    <c:v>2.82</c:v>
                  </c:pt>
                  <c:pt idx="10">
                    <c:v>4.87</c:v>
                  </c:pt>
                  <c:pt idx="11">
                    <c:v>6.65</c:v>
                  </c:pt>
                  <c:pt idx="12">
                    <c:v>4.74</c:v>
                  </c:pt>
                  <c:pt idx="13">
                    <c:v>5.0599999999999996</c:v>
                  </c:pt>
                  <c:pt idx="14">
                    <c:v>6.67</c:v>
                  </c:pt>
                </c:numCache>
              </c:numRef>
            </c:minus>
            <c:spPr>
              <a:noFill/>
              <a:ln w="9525" cap="flat" cmpd="sng" algn="ctr">
                <a:solidFill>
                  <a:schemeClr val="tx1">
                    <a:lumMod val="65000"/>
                    <a:lumOff val="35000"/>
                  </a:schemeClr>
                </a:solidFill>
                <a:prstDash val="solid"/>
                <a:round/>
              </a:ln>
              <a:effectLst/>
            </c:spPr>
          </c:errBars>
          <c:xVal>
            <c:numRef>
              <c:f>Sheet1!$A$3:$A$17</c:f>
              <c:numCache>
                <c:formatCode>General</c:formatCode>
                <c:ptCount val="15"/>
                <c:pt idx="0">
                  <c:v>0</c:v>
                </c:pt>
                <c:pt idx="1">
                  <c:v>0.25</c:v>
                </c:pt>
                <c:pt idx="2">
                  <c:v>0.5</c:v>
                </c:pt>
                <c:pt idx="3">
                  <c:v>1</c:v>
                </c:pt>
                <c:pt idx="4">
                  <c:v>2</c:v>
                </c:pt>
                <c:pt idx="5">
                  <c:v>3</c:v>
                </c:pt>
                <c:pt idx="6">
                  <c:v>4</c:v>
                </c:pt>
                <c:pt idx="7">
                  <c:v>5</c:v>
                </c:pt>
                <c:pt idx="8">
                  <c:v>6</c:v>
                </c:pt>
                <c:pt idx="9">
                  <c:v>7</c:v>
                </c:pt>
                <c:pt idx="10">
                  <c:v>8</c:v>
                </c:pt>
                <c:pt idx="11">
                  <c:v>9</c:v>
                </c:pt>
                <c:pt idx="12">
                  <c:v>10</c:v>
                </c:pt>
                <c:pt idx="13">
                  <c:v>11</c:v>
                </c:pt>
                <c:pt idx="14">
                  <c:v>12</c:v>
                </c:pt>
              </c:numCache>
            </c:numRef>
          </c:xVal>
          <c:yVal>
            <c:numRef>
              <c:f>Sheet1!$D$3:$D$17</c:f>
              <c:numCache>
                <c:formatCode>General</c:formatCode>
                <c:ptCount val="15"/>
                <c:pt idx="0">
                  <c:v>0</c:v>
                </c:pt>
                <c:pt idx="1">
                  <c:v>22.21</c:v>
                </c:pt>
                <c:pt idx="2">
                  <c:v>26.13</c:v>
                </c:pt>
                <c:pt idx="3">
                  <c:v>35.409999999999997</c:v>
                </c:pt>
                <c:pt idx="4">
                  <c:v>52.84</c:v>
                </c:pt>
                <c:pt idx="5">
                  <c:v>57.19</c:v>
                </c:pt>
                <c:pt idx="6">
                  <c:v>66.63</c:v>
                </c:pt>
                <c:pt idx="7">
                  <c:v>71.97</c:v>
                </c:pt>
                <c:pt idx="8">
                  <c:v>78.41</c:v>
                </c:pt>
                <c:pt idx="9">
                  <c:v>84.25</c:v>
                </c:pt>
                <c:pt idx="10">
                  <c:v>89.97</c:v>
                </c:pt>
                <c:pt idx="11">
                  <c:v>92.63</c:v>
                </c:pt>
                <c:pt idx="12">
                  <c:v>94.18</c:v>
                </c:pt>
                <c:pt idx="13">
                  <c:v>94.85</c:v>
                </c:pt>
                <c:pt idx="14">
                  <c:v>94.88</c:v>
                </c:pt>
              </c:numCache>
            </c:numRef>
          </c:yVal>
          <c:smooth val="1"/>
          <c:extLst>
            <c:ext xmlns:c16="http://schemas.microsoft.com/office/drawing/2014/chart" uri="{C3380CC4-5D6E-409C-BE32-E72D297353CC}">
              <c16:uniqueId val="{00000001-A2D6-46DD-B99D-1F49216E21A6}"/>
            </c:ext>
          </c:extLst>
        </c:ser>
        <c:dLbls>
          <c:showLegendKey val="0"/>
          <c:showVal val="0"/>
          <c:showCatName val="0"/>
          <c:showSerName val="0"/>
          <c:showPercent val="0"/>
          <c:showBubbleSize val="0"/>
        </c:dLbls>
        <c:axId val="58721792"/>
        <c:axId val="58723712"/>
      </c:scatterChart>
      <c:valAx>
        <c:axId val="58721792"/>
        <c:scaling>
          <c:orientation val="minMax"/>
          <c:max val="12"/>
        </c:scaling>
        <c:delete val="0"/>
        <c:axPos val="b"/>
        <c:title>
          <c:tx>
            <c:rich>
              <a:bodyPr rot="0" spcFirstLastPara="1" vertOverflow="ellipsis" vert="horz" wrap="square" anchor="ctr" anchorCtr="1"/>
              <a:lstStyle/>
              <a:p>
                <a:pPr>
                  <a:defRPr lang="en-US" sz="1000" b="0" i="0" u="none" strike="noStrike" kern="1200" baseline="0">
                    <a:solidFill>
                      <a:sysClr val="windowText" lastClr="000000"/>
                    </a:solidFill>
                    <a:latin typeface="+mn-lt"/>
                    <a:ea typeface="+mn-ea"/>
                    <a:cs typeface="+mn-cs"/>
                  </a:defRPr>
                </a:pPr>
                <a:r>
                  <a:rPr lang="en-IN">
                    <a:solidFill>
                      <a:sysClr val="windowText" lastClr="000000"/>
                    </a:solidFill>
                  </a:rPr>
                  <a:t> Time (h)</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58723712"/>
        <c:crosses val="autoZero"/>
        <c:crossBetween val="midCat"/>
        <c:majorUnit val="1"/>
      </c:valAx>
      <c:valAx>
        <c:axId val="58723712"/>
        <c:scaling>
          <c:orientation val="minMax"/>
          <c:max val="100"/>
        </c:scaling>
        <c:delete val="0"/>
        <c:axPos val="l"/>
        <c:title>
          <c:tx>
            <c:rich>
              <a:bodyPr rot="-5400000" spcFirstLastPara="1" vertOverflow="ellipsis" vert="horz" wrap="square" anchor="ctr" anchorCtr="1"/>
              <a:lstStyle/>
              <a:p>
                <a:pPr>
                  <a:defRPr lang="en-US" sz="1000" b="0" i="0" u="none" strike="noStrike" kern="1200" baseline="0">
                    <a:solidFill>
                      <a:sysClr val="windowText" lastClr="000000"/>
                    </a:solidFill>
                    <a:latin typeface="+mn-lt"/>
                    <a:ea typeface="+mn-ea"/>
                    <a:cs typeface="+mn-cs"/>
                  </a:defRPr>
                </a:pPr>
                <a:r>
                  <a:rPr lang="en-IN">
                    <a:solidFill>
                      <a:sysClr val="windowText" lastClr="000000"/>
                    </a:solidFill>
                  </a:rPr>
                  <a:t> %Drug release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5872179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uri="{0b15fc19-7d7d-44ad-8c2d-2c3a37ce22c3}">
        <chartProps xmlns="https://web.wps.cn/et/2018/main" chartId="{a2b856a6-2ffb-4c57-a246-d6af2582fd5a}"/>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NCG1</c:f>
              <c:strCache>
                <c:ptCount val="1"/>
                <c:pt idx="0">
                  <c:v>NCG1</c:v>
                </c:pt>
              </c:strCache>
            </c:strRef>
          </c:tx>
          <c:spPr>
            <a:ln w="19050"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errBars>
            <c:errDir val="y"/>
            <c:errBarType val="both"/>
            <c:errValType val="cust"/>
            <c:noEndCap val="0"/>
            <c:plus>
              <c:numRef>
                <c:f>Sheet2!$C$4:$C$17</c:f>
                <c:numCache>
                  <c:formatCode>General</c:formatCode>
                  <c:ptCount val="14"/>
                  <c:pt idx="0">
                    <c:v>0</c:v>
                  </c:pt>
                  <c:pt idx="1">
                    <c:v>2.73</c:v>
                  </c:pt>
                  <c:pt idx="2">
                    <c:v>1.9400000000000099</c:v>
                  </c:pt>
                  <c:pt idx="3">
                    <c:v>4.8499999999999996</c:v>
                  </c:pt>
                  <c:pt idx="4">
                    <c:v>3.43</c:v>
                  </c:pt>
                  <c:pt idx="5">
                    <c:v>5.98</c:v>
                  </c:pt>
                  <c:pt idx="6">
                    <c:v>6.77</c:v>
                  </c:pt>
                  <c:pt idx="7">
                    <c:v>5.23</c:v>
                  </c:pt>
                  <c:pt idx="8">
                    <c:v>3.99</c:v>
                  </c:pt>
                  <c:pt idx="9">
                    <c:v>4.3600000000000003</c:v>
                  </c:pt>
                  <c:pt idx="10">
                    <c:v>5.91</c:v>
                  </c:pt>
                  <c:pt idx="11">
                    <c:v>4.84</c:v>
                  </c:pt>
                  <c:pt idx="12">
                    <c:v>3.72</c:v>
                  </c:pt>
                  <c:pt idx="13">
                    <c:v>5.17</c:v>
                  </c:pt>
                </c:numCache>
              </c:numRef>
            </c:plus>
            <c:minus>
              <c:numRef>
                <c:f>Sheet2!$C$4:$C$17</c:f>
                <c:numCache>
                  <c:formatCode>General</c:formatCode>
                  <c:ptCount val="14"/>
                  <c:pt idx="0">
                    <c:v>0</c:v>
                  </c:pt>
                  <c:pt idx="1">
                    <c:v>2.73</c:v>
                  </c:pt>
                  <c:pt idx="2">
                    <c:v>1.9400000000000099</c:v>
                  </c:pt>
                  <c:pt idx="3">
                    <c:v>4.8499999999999996</c:v>
                  </c:pt>
                  <c:pt idx="4">
                    <c:v>3.43</c:v>
                  </c:pt>
                  <c:pt idx="5">
                    <c:v>5.98</c:v>
                  </c:pt>
                  <c:pt idx="6">
                    <c:v>6.77</c:v>
                  </c:pt>
                  <c:pt idx="7">
                    <c:v>5.23</c:v>
                  </c:pt>
                  <c:pt idx="8">
                    <c:v>3.99</c:v>
                  </c:pt>
                  <c:pt idx="9">
                    <c:v>4.3600000000000003</c:v>
                  </c:pt>
                  <c:pt idx="10">
                    <c:v>5.91</c:v>
                  </c:pt>
                  <c:pt idx="11">
                    <c:v>4.84</c:v>
                  </c:pt>
                  <c:pt idx="12">
                    <c:v>3.72</c:v>
                  </c:pt>
                  <c:pt idx="13">
                    <c:v>5.17</c:v>
                  </c:pt>
                </c:numCache>
              </c:numRef>
            </c:minus>
          </c:errBars>
          <c:xVal>
            <c:numRef>
              <c:f>Sheet2!$A$4:$A$17</c:f>
              <c:numCache>
                <c:formatCode>General</c:formatCode>
                <c:ptCount val="14"/>
                <c:pt idx="0">
                  <c:v>0</c:v>
                </c:pt>
                <c:pt idx="1">
                  <c:v>0.5</c:v>
                </c:pt>
                <c:pt idx="2">
                  <c:v>1</c:v>
                </c:pt>
                <c:pt idx="3">
                  <c:v>2</c:v>
                </c:pt>
                <c:pt idx="4">
                  <c:v>3</c:v>
                </c:pt>
                <c:pt idx="5">
                  <c:v>4</c:v>
                </c:pt>
                <c:pt idx="6">
                  <c:v>5</c:v>
                </c:pt>
                <c:pt idx="7">
                  <c:v>6</c:v>
                </c:pt>
                <c:pt idx="8">
                  <c:v>7</c:v>
                </c:pt>
                <c:pt idx="9">
                  <c:v>8</c:v>
                </c:pt>
                <c:pt idx="10">
                  <c:v>9</c:v>
                </c:pt>
                <c:pt idx="11">
                  <c:v>10</c:v>
                </c:pt>
                <c:pt idx="12">
                  <c:v>11</c:v>
                </c:pt>
                <c:pt idx="13">
                  <c:v>12</c:v>
                </c:pt>
              </c:numCache>
            </c:numRef>
          </c:xVal>
          <c:yVal>
            <c:numRef>
              <c:f>Sheet2!$B$4:$B$17</c:f>
              <c:numCache>
                <c:formatCode>General</c:formatCode>
                <c:ptCount val="14"/>
                <c:pt idx="0">
                  <c:v>0</c:v>
                </c:pt>
                <c:pt idx="1">
                  <c:v>12.92</c:v>
                </c:pt>
                <c:pt idx="2">
                  <c:v>24.02</c:v>
                </c:pt>
                <c:pt idx="3">
                  <c:v>34.270000000000003</c:v>
                </c:pt>
                <c:pt idx="4">
                  <c:v>43.43</c:v>
                </c:pt>
                <c:pt idx="5">
                  <c:v>52.02</c:v>
                </c:pt>
                <c:pt idx="6">
                  <c:v>64.19</c:v>
                </c:pt>
                <c:pt idx="7">
                  <c:v>70.91</c:v>
                </c:pt>
                <c:pt idx="8">
                  <c:v>75.62</c:v>
                </c:pt>
                <c:pt idx="9">
                  <c:v>79.540000000000006</c:v>
                </c:pt>
                <c:pt idx="10">
                  <c:v>84.93</c:v>
                </c:pt>
                <c:pt idx="11">
                  <c:v>87.56</c:v>
                </c:pt>
                <c:pt idx="12">
                  <c:v>91.03</c:v>
                </c:pt>
                <c:pt idx="13">
                  <c:v>91.47</c:v>
                </c:pt>
              </c:numCache>
            </c:numRef>
          </c:yVal>
          <c:smooth val="1"/>
          <c:extLst>
            <c:ext xmlns:c16="http://schemas.microsoft.com/office/drawing/2014/chart" uri="{C3380CC4-5D6E-409C-BE32-E72D297353CC}">
              <c16:uniqueId val="{00000000-3C07-4369-B34D-B55ABF81E0B7}"/>
            </c:ext>
          </c:extLst>
        </c:ser>
        <c:ser>
          <c:idx val="1"/>
          <c:order val="1"/>
          <c:tx>
            <c:strRef>
              <c:f>NCG2</c:f>
              <c:strCache>
                <c:ptCount val="1"/>
                <c:pt idx="0">
                  <c:v>NCG2</c:v>
                </c:pt>
              </c:strCache>
            </c:strRef>
          </c:tx>
          <c:spPr>
            <a:ln w="19050"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errBars>
            <c:errDir val="y"/>
            <c:errBarType val="both"/>
            <c:errValType val="cust"/>
            <c:noEndCap val="0"/>
            <c:plus>
              <c:numRef>
                <c:f>Sheet2!$E$4:$E$17</c:f>
                <c:numCache>
                  <c:formatCode>General</c:formatCode>
                  <c:ptCount val="14"/>
                  <c:pt idx="0">
                    <c:v>0</c:v>
                  </c:pt>
                  <c:pt idx="1">
                    <c:v>3.36</c:v>
                  </c:pt>
                  <c:pt idx="2">
                    <c:v>5.74</c:v>
                  </c:pt>
                  <c:pt idx="3">
                    <c:v>3.85</c:v>
                  </c:pt>
                  <c:pt idx="4">
                    <c:v>5.51</c:v>
                  </c:pt>
                  <c:pt idx="5">
                    <c:v>3.43</c:v>
                  </c:pt>
                  <c:pt idx="6">
                    <c:v>4.0199999999999996</c:v>
                  </c:pt>
                  <c:pt idx="7">
                    <c:v>6.07</c:v>
                  </c:pt>
                  <c:pt idx="8">
                    <c:v>5.88</c:v>
                  </c:pt>
                  <c:pt idx="9">
                    <c:v>4.58</c:v>
                  </c:pt>
                  <c:pt idx="10">
                    <c:v>6.15</c:v>
                  </c:pt>
                  <c:pt idx="11">
                    <c:v>5.92</c:v>
                  </c:pt>
                  <c:pt idx="12">
                    <c:v>3.61</c:v>
                  </c:pt>
                  <c:pt idx="13">
                    <c:v>4.58</c:v>
                  </c:pt>
                </c:numCache>
              </c:numRef>
            </c:plus>
            <c:minus>
              <c:numRef>
                <c:f>Sheet2!$E$4:$E$17</c:f>
                <c:numCache>
                  <c:formatCode>General</c:formatCode>
                  <c:ptCount val="14"/>
                  <c:pt idx="0">
                    <c:v>0</c:v>
                  </c:pt>
                  <c:pt idx="1">
                    <c:v>3.36</c:v>
                  </c:pt>
                  <c:pt idx="2">
                    <c:v>5.74</c:v>
                  </c:pt>
                  <c:pt idx="3">
                    <c:v>3.85</c:v>
                  </c:pt>
                  <c:pt idx="4">
                    <c:v>5.51</c:v>
                  </c:pt>
                  <c:pt idx="5">
                    <c:v>3.43</c:v>
                  </c:pt>
                  <c:pt idx="6">
                    <c:v>4.0199999999999996</c:v>
                  </c:pt>
                  <c:pt idx="7">
                    <c:v>6.07</c:v>
                  </c:pt>
                  <c:pt idx="8">
                    <c:v>5.88</c:v>
                  </c:pt>
                  <c:pt idx="9">
                    <c:v>4.58</c:v>
                  </c:pt>
                  <c:pt idx="10">
                    <c:v>6.15</c:v>
                  </c:pt>
                  <c:pt idx="11">
                    <c:v>5.92</c:v>
                  </c:pt>
                  <c:pt idx="12">
                    <c:v>3.61</c:v>
                  </c:pt>
                  <c:pt idx="13">
                    <c:v>4.58</c:v>
                  </c:pt>
                </c:numCache>
              </c:numRef>
            </c:minus>
          </c:errBars>
          <c:xVal>
            <c:numRef>
              <c:f>Sheet2!$A$4:$A$17</c:f>
              <c:numCache>
                <c:formatCode>General</c:formatCode>
                <c:ptCount val="14"/>
                <c:pt idx="0">
                  <c:v>0</c:v>
                </c:pt>
                <c:pt idx="1">
                  <c:v>0.5</c:v>
                </c:pt>
                <c:pt idx="2">
                  <c:v>1</c:v>
                </c:pt>
                <c:pt idx="3">
                  <c:v>2</c:v>
                </c:pt>
                <c:pt idx="4">
                  <c:v>3</c:v>
                </c:pt>
                <c:pt idx="5">
                  <c:v>4</c:v>
                </c:pt>
                <c:pt idx="6">
                  <c:v>5</c:v>
                </c:pt>
                <c:pt idx="7">
                  <c:v>6</c:v>
                </c:pt>
                <c:pt idx="8">
                  <c:v>7</c:v>
                </c:pt>
                <c:pt idx="9">
                  <c:v>8</c:v>
                </c:pt>
                <c:pt idx="10">
                  <c:v>9</c:v>
                </c:pt>
                <c:pt idx="11">
                  <c:v>10</c:v>
                </c:pt>
                <c:pt idx="12">
                  <c:v>11</c:v>
                </c:pt>
                <c:pt idx="13">
                  <c:v>12</c:v>
                </c:pt>
              </c:numCache>
            </c:numRef>
          </c:xVal>
          <c:yVal>
            <c:numRef>
              <c:f>Sheet2!$D$4:$D$17</c:f>
              <c:numCache>
                <c:formatCode>General</c:formatCode>
                <c:ptCount val="14"/>
                <c:pt idx="0">
                  <c:v>0</c:v>
                </c:pt>
                <c:pt idx="1">
                  <c:v>9.41</c:v>
                </c:pt>
                <c:pt idx="2">
                  <c:v>19.920000000000002</c:v>
                </c:pt>
                <c:pt idx="3">
                  <c:v>31.48</c:v>
                </c:pt>
                <c:pt idx="4">
                  <c:v>39.340000000000003</c:v>
                </c:pt>
                <c:pt idx="5">
                  <c:v>47.28</c:v>
                </c:pt>
                <c:pt idx="6">
                  <c:v>58.52</c:v>
                </c:pt>
                <c:pt idx="7">
                  <c:v>64.31</c:v>
                </c:pt>
                <c:pt idx="8">
                  <c:v>70.17</c:v>
                </c:pt>
                <c:pt idx="9">
                  <c:v>74.27</c:v>
                </c:pt>
                <c:pt idx="10">
                  <c:v>77.930000000000007</c:v>
                </c:pt>
                <c:pt idx="11">
                  <c:v>82.04</c:v>
                </c:pt>
                <c:pt idx="12">
                  <c:v>82.09</c:v>
                </c:pt>
                <c:pt idx="13">
                  <c:v>82.09</c:v>
                </c:pt>
              </c:numCache>
            </c:numRef>
          </c:yVal>
          <c:smooth val="1"/>
          <c:extLst>
            <c:ext xmlns:c16="http://schemas.microsoft.com/office/drawing/2014/chart" uri="{C3380CC4-5D6E-409C-BE32-E72D297353CC}">
              <c16:uniqueId val="{00000001-3C07-4369-B34D-B55ABF81E0B7}"/>
            </c:ext>
          </c:extLst>
        </c:ser>
        <c:dLbls>
          <c:showLegendKey val="0"/>
          <c:showVal val="0"/>
          <c:showCatName val="0"/>
          <c:showSerName val="0"/>
          <c:showPercent val="0"/>
          <c:showBubbleSize val="0"/>
        </c:dLbls>
        <c:axId val="58774656"/>
        <c:axId val="58776576"/>
      </c:scatterChart>
      <c:valAx>
        <c:axId val="58774656"/>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a:t> Time (h)</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8776576"/>
        <c:crosses val="autoZero"/>
        <c:crossBetween val="midCat"/>
      </c:valAx>
      <c:valAx>
        <c:axId val="58776576"/>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a:t> %Drug</a:t>
                </a:r>
                <a:r>
                  <a:rPr lang="en-IN" baseline="0"/>
                  <a:t> release</a:t>
                </a:r>
                <a:endParaRPr lang="en-IN"/>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8774656"/>
        <c:crosses val="autoZero"/>
        <c:crossBetween val="midCat"/>
      </c:valAx>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e2b904be-490e-46da-9015-95285cb76b13}"/>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21</Pages>
  <Words>6289</Words>
  <Characters>35850</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NAREN</dc:creator>
  <cp:lastModifiedBy>SDI 1084</cp:lastModifiedBy>
  <cp:revision>10</cp:revision>
  <dcterms:created xsi:type="dcterms:W3CDTF">2024-08-01T06:21:00Z</dcterms:created>
  <dcterms:modified xsi:type="dcterms:W3CDTF">2025-05-31T11:20:00Z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1A0B22B8C1BD4390B7842F35C9006328_13</vt:lpwstr>
  </property>
</Properties>
</file>