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97F2E" w14:textId="77777777" w:rsidR="002A3E0F" w:rsidRPr="002A3E0F" w:rsidRDefault="002A3E0F" w:rsidP="002A3E0F">
      <w:pPr>
        <w:pStyle w:val="CommentText"/>
        <w:rPr>
          <w:rFonts w:ascii="Arial" w:hAnsi="Arial" w:cs="Arial"/>
          <w:b/>
          <w:bCs/>
          <w:i/>
          <w:iCs/>
          <w:sz w:val="32"/>
          <w:szCs w:val="32"/>
          <w:u w:val="single"/>
          <w:lang w:val="en-US"/>
        </w:rPr>
      </w:pPr>
      <w:r w:rsidRPr="002A3E0F">
        <w:rPr>
          <w:rFonts w:ascii="Arial" w:hAnsi="Arial" w:cs="Arial"/>
          <w:b/>
          <w:bCs/>
          <w:i/>
          <w:iCs/>
          <w:sz w:val="32"/>
          <w:szCs w:val="32"/>
          <w:u w:val="single"/>
          <w:lang w:val="en-US"/>
        </w:rPr>
        <w:t>Original Research Article</w:t>
      </w:r>
    </w:p>
    <w:p w14:paraId="1C6DEDD3" w14:textId="2AAF39E3" w:rsidR="00080BC1" w:rsidRPr="0045483D" w:rsidRDefault="00080BC1" w:rsidP="00080BC1">
      <w:pPr>
        <w:pStyle w:val="CommentText"/>
        <w:jc w:val="right"/>
        <w:rPr>
          <w:sz w:val="32"/>
          <w:szCs w:val="32"/>
        </w:rPr>
      </w:pPr>
      <w:r w:rsidRPr="0045483D">
        <w:rPr>
          <w:rFonts w:ascii="Arial" w:hAnsi="Arial" w:cs="Arial"/>
          <w:b/>
          <w:bCs/>
          <w:i/>
          <w:iCs/>
          <w:sz w:val="32"/>
          <w:szCs w:val="32"/>
        </w:rPr>
        <w:t xml:space="preserve">Substantiating </w:t>
      </w:r>
      <w:r w:rsidR="00DE25C7">
        <w:rPr>
          <w:rFonts w:ascii="Arial" w:hAnsi="Arial" w:cs="Arial"/>
          <w:b/>
          <w:bCs/>
          <w:i/>
          <w:iCs/>
          <w:sz w:val="32"/>
          <w:szCs w:val="32"/>
        </w:rPr>
        <w:t>the</w:t>
      </w:r>
      <w:r w:rsidRPr="0045483D">
        <w:rPr>
          <w:rFonts w:ascii="Arial" w:hAnsi="Arial" w:cs="Arial"/>
          <w:b/>
          <w:bCs/>
          <w:i/>
          <w:iCs/>
          <w:sz w:val="32"/>
          <w:szCs w:val="32"/>
        </w:rPr>
        <w:t xml:space="preserve"> traditional use of Elephantorrhiza Elephantina pharmacological activity and bio safety in pancreatic insufficiency end points</w:t>
      </w:r>
    </w:p>
    <w:p w14:paraId="40498B7F" w14:textId="77777777" w:rsidR="00080BC1" w:rsidRDefault="00080BC1" w:rsidP="00080BC1">
      <w:pPr>
        <w:pStyle w:val="Author"/>
        <w:spacing w:line="240" w:lineRule="auto"/>
        <w:rPr>
          <w:rFonts w:ascii="Arial" w:hAnsi="Arial" w:cs="Arial"/>
          <w:bCs/>
          <w:i/>
          <w:sz w:val="20"/>
          <w:lang w:val="en-ZW"/>
        </w:rPr>
      </w:pPr>
    </w:p>
    <w:p w14:paraId="60796ACA" w14:textId="77777777" w:rsidR="00080BC1" w:rsidRDefault="00080BC1" w:rsidP="00080BC1">
      <w:pPr>
        <w:pStyle w:val="Author"/>
        <w:spacing w:line="240" w:lineRule="auto"/>
        <w:jc w:val="both"/>
        <w:rPr>
          <w:rFonts w:ascii="Arial" w:hAnsi="Arial" w:cs="Arial"/>
          <w:bCs/>
          <w:iCs/>
          <w:kern w:val="28"/>
          <w:sz w:val="20"/>
        </w:rPr>
      </w:pPr>
    </w:p>
    <w:p w14:paraId="01A95A68" w14:textId="77777777" w:rsidR="000121BD" w:rsidRDefault="000121BD" w:rsidP="00080BC1">
      <w:pPr>
        <w:pStyle w:val="Affiliation"/>
        <w:rPr>
          <w:rFonts w:ascii="Arial" w:hAnsi="Arial" w:cs="Arial"/>
          <w:sz w:val="18"/>
          <w:szCs w:val="18"/>
        </w:rPr>
      </w:pPr>
    </w:p>
    <w:p w14:paraId="01A7B01A" w14:textId="77777777" w:rsidR="00080BC1" w:rsidRDefault="00080BC1" w:rsidP="00080BC1">
      <w:pPr>
        <w:autoSpaceDE w:val="0"/>
        <w:autoSpaceDN w:val="0"/>
        <w:adjustRightInd w:val="0"/>
        <w:jc w:val="both"/>
        <w:rPr>
          <w:rFonts w:ascii="Arial" w:hAnsi="Arial" w:cs="Arial"/>
          <w:b/>
          <w:caps/>
          <w:sz w:val="20"/>
          <w:szCs w:val="20"/>
          <w:lang w:val="en-US"/>
        </w:rPr>
      </w:pPr>
    </w:p>
    <w:p w14:paraId="29FF4624" w14:textId="22571404" w:rsidR="00080BC1" w:rsidRDefault="00080BC1" w:rsidP="00080BC1">
      <w:pPr>
        <w:autoSpaceDE w:val="0"/>
        <w:autoSpaceDN w:val="0"/>
        <w:adjustRightInd w:val="0"/>
        <w:jc w:val="both"/>
        <w:rPr>
          <w:rFonts w:ascii="Arial" w:hAnsi="Arial" w:cs="Arial"/>
          <w:b/>
          <w:caps/>
          <w:sz w:val="20"/>
          <w:szCs w:val="20"/>
          <w:lang w:val="en-US"/>
        </w:rPr>
      </w:pPr>
      <w:r>
        <w:rPr>
          <w:rFonts w:ascii="Arial" w:hAnsi="Arial" w:cs="Arial"/>
          <w:b/>
          <w:caps/>
          <w:sz w:val="20"/>
          <w:szCs w:val="20"/>
          <w:lang w:val="en-US"/>
        </w:rPr>
        <w:t xml:space="preserve">Abstract </w:t>
      </w:r>
    </w:p>
    <w:p w14:paraId="3B33548F" w14:textId="77777777" w:rsidR="000121BD" w:rsidRPr="001A5402" w:rsidRDefault="000121BD" w:rsidP="000121BD">
      <w:pPr>
        <w:spacing w:after="160" w:line="259" w:lineRule="auto"/>
      </w:pPr>
      <w:proofErr w:type="spellStart"/>
      <w:r w:rsidRPr="001A5402">
        <w:rPr>
          <w:i/>
          <w:iCs/>
        </w:rPr>
        <w:t>Elephantorrhiza</w:t>
      </w:r>
      <w:proofErr w:type="spellEnd"/>
      <w:r w:rsidRPr="001A5402">
        <w:rPr>
          <w:i/>
          <w:iCs/>
        </w:rPr>
        <w:t xml:space="preserve"> </w:t>
      </w:r>
      <w:proofErr w:type="spellStart"/>
      <w:r w:rsidRPr="001A5402">
        <w:rPr>
          <w:i/>
          <w:iCs/>
        </w:rPr>
        <w:t>elephantina</w:t>
      </w:r>
      <w:proofErr w:type="spellEnd"/>
      <w:r w:rsidRPr="001A5402">
        <w:t xml:space="preserve"> been traditionally used for various medicinal purposes including management of gastrointestinal disorders and inflammatory conditions. </w:t>
      </w:r>
      <w:bookmarkStart w:id="0" w:name="_Hlk197352491"/>
      <w:r w:rsidRPr="001A5402">
        <w:t xml:space="preserve">Despite its extensive use in traditional medicine, </w:t>
      </w:r>
      <w:r w:rsidRPr="001A5402">
        <w:rPr>
          <w:i/>
          <w:iCs/>
        </w:rPr>
        <w:t xml:space="preserve">E. </w:t>
      </w:r>
      <w:proofErr w:type="spellStart"/>
      <w:r w:rsidRPr="001A5402">
        <w:rPr>
          <w:i/>
          <w:iCs/>
        </w:rPr>
        <w:t>elephantina</w:t>
      </w:r>
      <w:proofErr w:type="spellEnd"/>
      <w:r w:rsidRPr="001A5402">
        <w:rPr>
          <w:i/>
          <w:iCs/>
        </w:rPr>
        <w:t xml:space="preserve"> </w:t>
      </w:r>
      <w:r w:rsidRPr="001A5402">
        <w:t>remains largely underutilized due to the limited scientific validation of its therapeutic applications</w:t>
      </w:r>
      <w:bookmarkEnd w:id="0"/>
      <w:r w:rsidRPr="001A5402">
        <w:t xml:space="preserve">. This study investigated the metabolomics, pharmacological activity, and toxicity profiles of hydro-ethanolic extracts of </w:t>
      </w:r>
      <w:r w:rsidRPr="001A5402">
        <w:rPr>
          <w:i/>
          <w:iCs/>
        </w:rPr>
        <w:t xml:space="preserve">E. </w:t>
      </w:r>
      <w:proofErr w:type="spellStart"/>
      <w:r w:rsidRPr="001A5402">
        <w:rPr>
          <w:i/>
          <w:iCs/>
        </w:rPr>
        <w:t>elephantina</w:t>
      </w:r>
      <w:proofErr w:type="spellEnd"/>
      <w:r w:rsidRPr="001A5402">
        <w:t>, biased towards biological end points of exotic pancreatic insufficiency</w:t>
      </w:r>
      <w:r w:rsidRPr="001A5402">
        <w:rPr>
          <w:b/>
        </w:rPr>
        <w:t>.</w:t>
      </w:r>
      <w:r w:rsidRPr="001A5402">
        <w:rPr>
          <w:bCs/>
        </w:rPr>
        <w:t xml:space="preserve"> Various classical techniques were employed to screen for the pr</w:t>
      </w:r>
      <w:bookmarkStart w:id="1" w:name="_GoBack"/>
      <w:bookmarkEnd w:id="1"/>
      <w:r w:rsidRPr="001A5402">
        <w:rPr>
          <w:bCs/>
        </w:rPr>
        <w:t xml:space="preserve">esence of pharmacologically </w:t>
      </w:r>
      <w:proofErr w:type="gramStart"/>
      <w:r w:rsidRPr="001A5402">
        <w:rPr>
          <w:bCs/>
        </w:rPr>
        <w:t>relevant  metabolites</w:t>
      </w:r>
      <w:proofErr w:type="gramEnd"/>
      <w:r w:rsidRPr="001A5402">
        <w:rPr>
          <w:bCs/>
        </w:rPr>
        <w:t xml:space="preserve">. The total phenolic content was quantified using the </w:t>
      </w:r>
      <w:proofErr w:type="spellStart"/>
      <w:r w:rsidRPr="001A5402">
        <w:rPr>
          <w:bCs/>
        </w:rPr>
        <w:t>Folin-Ciocalteu</w:t>
      </w:r>
      <w:proofErr w:type="spellEnd"/>
      <w:r w:rsidRPr="001A5402">
        <w:rPr>
          <w:bCs/>
        </w:rPr>
        <w:t xml:space="preserve"> method. The antibacterial properties were investigated using the agar well diffusion method, measuring zones of inhibition against </w:t>
      </w:r>
      <w:proofErr w:type="gramStart"/>
      <w:r w:rsidRPr="001A5402">
        <w:rPr>
          <w:bCs/>
          <w:i/>
          <w:iCs/>
        </w:rPr>
        <w:t>E.coli</w:t>
      </w:r>
      <w:proofErr w:type="gramEnd"/>
      <w:r w:rsidRPr="001A5402">
        <w:rPr>
          <w:bCs/>
        </w:rPr>
        <w:t>. The anti-inflammatory potential was assessed through the egg albumin test. The toxicity profiling was conducted following OECD technical guideline 426. The</w:t>
      </w:r>
      <w:r w:rsidRPr="001A5402">
        <w:t xml:space="preserve"> phytochemical screening confirmed the prevalence of flavonoids, phenolics, tannins and glycosides. The total phenolic content (TPC) was quantified at 338.0 mg GAE/</w:t>
      </w:r>
      <w:proofErr w:type="gramStart"/>
      <w:r w:rsidRPr="001A5402">
        <w:t>g,.</w:t>
      </w:r>
      <w:proofErr w:type="gramEnd"/>
      <w:r w:rsidRPr="001A5402">
        <w:t xml:space="preserve"> Antibacterial analysis demonstrated dose-dependent inhibition, with 79.2% efficacy at 100 mg/mL relative to ciprofloxacin. The anti-inflammatory assays showed an 83.55% inhibition of inflammatory markers. Acute and subacute toxicity assessments confirmed the extract's safety, with no mortality observed at doses up to 5000 mg/kg body weight. The haematological and biochemical evaluations indicated </w:t>
      </w:r>
      <w:proofErr w:type="gramStart"/>
      <w:r w:rsidRPr="001A5402">
        <w:t>insignificant  nephrotoxic</w:t>
      </w:r>
      <w:proofErr w:type="gramEnd"/>
      <w:r w:rsidRPr="001A5402">
        <w:t xml:space="preserve"> and hepatocellular adverse effects. The foregoing findings validate the bioactivity and safety </w:t>
      </w:r>
      <w:proofErr w:type="gramStart"/>
      <w:r w:rsidRPr="001A5402">
        <w:t xml:space="preserve">of  </w:t>
      </w:r>
      <w:r w:rsidRPr="001A5402">
        <w:rPr>
          <w:i/>
          <w:iCs/>
        </w:rPr>
        <w:t>E.</w:t>
      </w:r>
      <w:proofErr w:type="gramEnd"/>
      <w:r w:rsidRPr="001A5402">
        <w:rPr>
          <w:i/>
          <w:iCs/>
        </w:rPr>
        <w:t xml:space="preserve"> </w:t>
      </w:r>
      <w:proofErr w:type="spellStart"/>
      <w:r w:rsidRPr="001A5402">
        <w:rPr>
          <w:i/>
          <w:iCs/>
        </w:rPr>
        <w:t>elephantina</w:t>
      </w:r>
      <w:proofErr w:type="spellEnd"/>
      <w:r w:rsidRPr="001A5402">
        <w:t xml:space="preserve"> use in the management of common endpoints of exotic pancreatic insufficiency in Zimbabwean traditional medicine.</w:t>
      </w:r>
    </w:p>
    <w:p w14:paraId="28D7C4D8" w14:textId="77777777" w:rsidR="00080BC1" w:rsidRDefault="00080BC1" w:rsidP="00080BC1">
      <w:pPr>
        <w:autoSpaceDE w:val="0"/>
        <w:autoSpaceDN w:val="0"/>
        <w:adjustRightInd w:val="0"/>
        <w:jc w:val="both"/>
        <w:rPr>
          <w:rFonts w:ascii="Arial" w:hAnsi="Arial" w:cs="Arial"/>
          <w:b/>
          <w:caps/>
          <w:sz w:val="20"/>
          <w:szCs w:val="20"/>
          <w:lang w:val="en-US"/>
        </w:rPr>
      </w:pPr>
    </w:p>
    <w:p w14:paraId="78A7492A" w14:textId="77777777" w:rsidR="00080BC1" w:rsidRDefault="00080BC1" w:rsidP="00080BC1">
      <w:pPr>
        <w:autoSpaceDE w:val="0"/>
        <w:autoSpaceDN w:val="0"/>
        <w:adjustRightInd w:val="0"/>
        <w:jc w:val="both"/>
        <w:rPr>
          <w:rFonts w:ascii="Arial" w:hAnsi="Arial" w:cs="Arial"/>
          <w:sz w:val="20"/>
          <w:szCs w:val="20"/>
        </w:rPr>
      </w:pPr>
      <w:r>
        <w:rPr>
          <w:rFonts w:ascii="Arial" w:hAnsi="Arial" w:cs="Arial"/>
          <w:b/>
          <w:sz w:val="20"/>
          <w:szCs w:val="20"/>
        </w:rPr>
        <w:t>Key words</w:t>
      </w:r>
      <w:r>
        <w:rPr>
          <w:rFonts w:ascii="Arial" w:hAnsi="Arial" w:cs="Arial"/>
          <w:sz w:val="20"/>
          <w:szCs w:val="20"/>
        </w:rPr>
        <w:t xml:space="preserve">: </w:t>
      </w:r>
      <w:r>
        <w:rPr>
          <w:rFonts w:ascii="Arial" w:hAnsi="Arial" w:cs="Arial"/>
          <w:i/>
          <w:sz w:val="20"/>
          <w:szCs w:val="20"/>
        </w:rPr>
        <w:t>Elephantorrhiza</w:t>
      </w:r>
      <w:r>
        <w:rPr>
          <w:rFonts w:ascii="Arial" w:hAnsi="Arial" w:cs="Arial"/>
          <w:i/>
          <w:iCs/>
          <w:sz w:val="20"/>
          <w:szCs w:val="20"/>
        </w:rPr>
        <w:t xml:space="preserve"> elephantina</w:t>
      </w:r>
      <w:r>
        <w:rPr>
          <w:rFonts w:ascii="Arial" w:hAnsi="Arial" w:cs="Arial"/>
          <w:sz w:val="20"/>
          <w:szCs w:val="20"/>
        </w:rPr>
        <w:t>, pancreatic insufficiency, antibacterial,</w:t>
      </w:r>
      <w:r>
        <w:rPr>
          <w:rFonts w:ascii="Arial" w:hAnsi="Arial" w:cs="Arial"/>
          <w:sz w:val="20"/>
          <w:szCs w:val="20"/>
          <w:lang w:val="en-US"/>
        </w:rPr>
        <w:t xml:space="preserve"> acute toxicity, subacute toxicity</w:t>
      </w:r>
    </w:p>
    <w:p w14:paraId="44AEC106" w14:textId="77777777" w:rsidR="00080BC1" w:rsidRDefault="00080BC1" w:rsidP="00080BC1">
      <w:pPr>
        <w:autoSpaceDE w:val="0"/>
        <w:autoSpaceDN w:val="0"/>
        <w:adjustRightInd w:val="0"/>
        <w:jc w:val="both"/>
        <w:rPr>
          <w:rFonts w:ascii="Arial" w:hAnsi="Arial" w:cs="Arial"/>
          <w:sz w:val="20"/>
          <w:szCs w:val="20"/>
        </w:rPr>
      </w:pPr>
    </w:p>
    <w:p w14:paraId="7F2FEB40" w14:textId="77777777" w:rsidR="00080BC1" w:rsidRDefault="00080BC1" w:rsidP="00080BC1">
      <w:pPr>
        <w:autoSpaceDE w:val="0"/>
        <w:autoSpaceDN w:val="0"/>
        <w:adjustRightInd w:val="0"/>
        <w:jc w:val="both"/>
        <w:rPr>
          <w:rFonts w:ascii="Arial" w:hAnsi="Arial" w:cs="Arial"/>
          <w:sz w:val="20"/>
          <w:szCs w:val="20"/>
        </w:rPr>
      </w:pPr>
    </w:p>
    <w:p w14:paraId="6C6101EA" w14:textId="77777777" w:rsidR="00080BC1" w:rsidRDefault="00080BC1" w:rsidP="00080BC1">
      <w:pPr>
        <w:autoSpaceDE w:val="0"/>
        <w:autoSpaceDN w:val="0"/>
        <w:adjustRightInd w:val="0"/>
        <w:jc w:val="both"/>
        <w:rPr>
          <w:rFonts w:ascii="Arial" w:hAnsi="Arial" w:cs="Arial"/>
          <w:sz w:val="20"/>
          <w:szCs w:val="20"/>
        </w:rPr>
      </w:pPr>
    </w:p>
    <w:p w14:paraId="5AFCC671" w14:textId="77777777" w:rsidR="00A80A21" w:rsidRDefault="00A80A21">
      <w:pPr>
        <w:autoSpaceDE w:val="0"/>
        <w:autoSpaceDN w:val="0"/>
        <w:adjustRightInd w:val="0"/>
        <w:jc w:val="both"/>
        <w:rPr>
          <w:rFonts w:ascii="Arial" w:hAnsi="Arial" w:cs="Arial"/>
          <w:sz w:val="20"/>
          <w:szCs w:val="20"/>
        </w:rPr>
      </w:pPr>
    </w:p>
    <w:p w14:paraId="2E55B16C" w14:textId="77777777" w:rsidR="00A80A21" w:rsidRDefault="00A80A21">
      <w:pPr>
        <w:autoSpaceDE w:val="0"/>
        <w:autoSpaceDN w:val="0"/>
        <w:adjustRightInd w:val="0"/>
        <w:jc w:val="both"/>
        <w:rPr>
          <w:rFonts w:ascii="Arial" w:hAnsi="Arial" w:cs="Arial"/>
          <w:sz w:val="20"/>
          <w:szCs w:val="20"/>
        </w:rPr>
      </w:pPr>
    </w:p>
    <w:p w14:paraId="288443F1" w14:textId="77777777" w:rsidR="00A80A21" w:rsidRDefault="00A80A21">
      <w:pPr>
        <w:autoSpaceDE w:val="0"/>
        <w:autoSpaceDN w:val="0"/>
        <w:adjustRightInd w:val="0"/>
        <w:jc w:val="both"/>
        <w:rPr>
          <w:rFonts w:ascii="Arial" w:hAnsi="Arial" w:cs="Arial"/>
          <w:sz w:val="20"/>
          <w:szCs w:val="20"/>
        </w:rPr>
      </w:pPr>
    </w:p>
    <w:p w14:paraId="752F47DE" w14:textId="77777777" w:rsidR="00A80A21" w:rsidRDefault="00A80A21">
      <w:pPr>
        <w:jc w:val="both"/>
        <w:rPr>
          <w:rFonts w:ascii="Arial" w:hAnsi="Arial" w:cs="Arial"/>
          <w:sz w:val="20"/>
          <w:szCs w:val="20"/>
        </w:rPr>
      </w:pPr>
    </w:p>
    <w:p w14:paraId="06E83899" w14:textId="77777777" w:rsidR="00DE25C7" w:rsidRDefault="00DE25C7">
      <w:pPr>
        <w:jc w:val="both"/>
        <w:rPr>
          <w:rFonts w:ascii="Arial" w:hAnsi="Arial" w:cs="Arial"/>
          <w:sz w:val="20"/>
          <w:szCs w:val="20"/>
        </w:rPr>
      </w:pPr>
    </w:p>
    <w:p w14:paraId="68BA6D4A" w14:textId="77777777" w:rsidR="00DE25C7" w:rsidRDefault="00DE25C7">
      <w:pPr>
        <w:jc w:val="both"/>
        <w:rPr>
          <w:rFonts w:ascii="Arial" w:hAnsi="Arial" w:cs="Arial"/>
          <w:sz w:val="20"/>
          <w:szCs w:val="20"/>
        </w:rPr>
      </w:pPr>
    </w:p>
    <w:p w14:paraId="3269F7D3" w14:textId="77777777" w:rsidR="00DE25C7" w:rsidRDefault="00DE25C7">
      <w:pPr>
        <w:jc w:val="both"/>
        <w:rPr>
          <w:rFonts w:ascii="Arial" w:hAnsi="Arial" w:cs="Arial"/>
          <w:sz w:val="20"/>
          <w:szCs w:val="20"/>
        </w:rPr>
      </w:pPr>
    </w:p>
    <w:p w14:paraId="31E50F41" w14:textId="77777777" w:rsidR="00A80A21" w:rsidRDefault="00A80A21">
      <w:pPr>
        <w:jc w:val="both"/>
        <w:rPr>
          <w:rFonts w:ascii="Arial" w:hAnsi="Arial" w:cs="Arial"/>
          <w:sz w:val="20"/>
          <w:szCs w:val="20"/>
        </w:rPr>
      </w:pPr>
    </w:p>
    <w:p w14:paraId="3B86F0FA" w14:textId="77777777" w:rsidR="00A80A21" w:rsidRDefault="00A80A21">
      <w:pPr>
        <w:jc w:val="both"/>
        <w:rPr>
          <w:rFonts w:ascii="Arial" w:hAnsi="Arial" w:cs="Arial"/>
          <w:sz w:val="20"/>
          <w:szCs w:val="20"/>
        </w:rPr>
      </w:pPr>
    </w:p>
    <w:p w14:paraId="29AA79F2" w14:textId="77777777" w:rsidR="00A80A21" w:rsidRDefault="00BC5F10" w:rsidP="00EB33F2">
      <w:pPr>
        <w:pStyle w:val="Heading1"/>
        <w:spacing w:before="0"/>
        <w:jc w:val="both"/>
        <w:rPr>
          <w:rFonts w:cs="Arial"/>
          <w:sz w:val="20"/>
          <w:szCs w:val="20"/>
        </w:rPr>
      </w:pPr>
      <w:r>
        <w:rPr>
          <w:rFonts w:cs="Arial"/>
          <w:sz w:val="20"/>
          <w:szCs w:val="20"/>
        </w:rPr>
        <w:lastRenderedPageBreak/>
        <w:t>Introduction</w:t>
      </w:r>
    </w:p>
    <w:p w14:paraId="3CD56D0F" w14:textId="76F082B9" w:rsidR="00EB3D1B" w:rsidRPr="00EB3D1B" w:rsidRDefault="00EB3D1B" w:rsidP="00EB33F2">
      <w:pPr>
        <w:pStyle w:val="Heading2"/>
        <w:spacing w:before="0"/>
        <w:jc w:val="both"/>
        <w:rPr>
          <w:rFonts w:cs="Arial"/>
          <w:sz w:val="20"/>
          <w:szCs w:val="20"/>
        </w:rPr>
      </w:pPr>
      <w:r>
        <w:rPr>
          <w:rFonts w:cs="Arial"/>
          <w:i/>
          <w:iCs/>
          <w:sz w:val="20"/>
          <w:szCs w:val="20"/>
        </w:rPr>
        <w:t>Elephantorrhiza elephantina</w:t>
      </w:r>
    </w:p>
    <w:p w14:paraId="0C14F635" w14:textId="664C535F" w:rsidR="00A80A21" w:rsidRDefault="00BC5F10">
      <w:pPr>
        <w:pStyle w:val="NormalWeb"/>
        <w:spacing w:line="276" w:lineRule="auto"/>
        <w:jc w:val="both"/>
        <w:rPr>
          <w:rFonts w:ascii="Arial" w:hAnsi="Arial"/>
          <w:sz w:val="20"/>
          <w:szCs w:val="20"/>
        </w:rPr>
      </w:pPr>
      <w:r>
        <w:rPr>
          <w:rFonts w:ascii="Arial" w:hAnsi="Arial"/>
          <w:i/>
          <w:iCs/>
          <w:sz w:val="20"/>
          <w:szCs w:val="20"/>
        </w:rPr>
        <w:t>Elephantorrhiza elephantina</w:t>
      </w:r>
      <w:r>
        <w:rPr>
          <w:rFonts w:ascii="Arial" w:hAnsi="Arial"/>
          <w:sz w:val="20"/>
          <w:szCs w:val="20"/>
        </w:rPr>
        <w:t>,</w:t>
      </w:r>
      <w:r>
        <w:rPr>
          <w:rFonts w:ascii="Arial" w:hAnsi="Arial"/>
          <w:sz w:val="20"/>
          <w:szCs w:val="20"/>
        </w:rPr>
        <w:t xml:space="preserve"> commonly known as elephant's root, is a deciduous shrub or small tree belonging to the family Fabaceae and is indigenous to Southern Africa. It is widely distributed across various regions, including South Africa, Botswana, Zimbabwe, and Namibia. The plan</w:t>
      </w:r>
      <w:r>
        <w:rPr>
          <w:rFonts w:ascii="Arial" w:hAnsi="Arial"/>
          <w:sz w:val="20"/>
          <w:szCs w:val="20"/>
        </w:rPr>
        <w:t>t is characterised by its large, tuberous roots, which can weigh up to 50 kg, and its relatively small size above ground, typically reaching a height of 1 to 2 meters</w:t>
      </w:r>
      <w:r w:rsidR="009B64BE">
        <w:rPr>
          <w:rFonts w:ascii="Arial" w:hAnsi="Arial"/>
          <w:sz w:val="20"/>
          <w:szCs w:val="20"/>
        </w:rPr>
        <w:t xml:space="preserve"> (Figure 1)</w:t>
      </w:r>
      <w:r>
        <w:rPr>
          <w:rFonts w:ascii="Arial" w:hAnsi="Arial"/>
          <w:sz w:val="20"/>
          <w:szCs w:val="20"/>
        </w:rPr>
        <w:t xml:space="preserve">. Traditionally, </w:t>
      </w:r>
      <w:r>
        <w:rPr>
          <w:rFonts w:ascii="Arial" w:hAnsi="Arial"/>
          <w:i/>
          <w:iCs/>
          <w:sz w:val="20"/>
          <w:szCs w:val="20"/>
        </w:rPr>
        <w:t xml:space="preserve">E. elephantina </w:t>
      </w:r>
      <w:r>
        <w:rPr>
          <w:rFonts w:ascii="Arial" w:hAnsi="Arial"/>
          <w:sz w:val="20"/>
          <w:szCs w:val="20"/>
        </w:rPr>
        <w:t>has been used in African traditional medicine f</w:t>
      </w:r>
      <w:r>
        <w:rPr>
          <w:rFonts w:ascii="Arial" w:hAnsi="Arial"/>
          <w:sz w:val="20"/>
          <w:szCs w:val="20"/>
        </w:rPr>
        <w:t>or its therapeutic properties, with various parts of the plant, particularly the roots, being employed to treat a wide range of ailments including gastrointestinal disorders</w:t>
      </w:r>
      <w:r>
        <w:rPr>
          <w:rFonts w:ascii="Arial" w:hAnsi="Arial"/>
          <w:sz w:val="20"/>
          <w:szCs w:val="20"/>
          <w:vertAlign w:val="superscript"/>
        </w:rPr>
        <w:t>1</w:t>
      </w:r>
      <w:r w:rsidR="00EB3D1B">
        <w:rPr>
          <w:rFonts w:ascii="Arial" w:hAnsi="Arial"/>
          <w:sz w:val="20"/>
          <w:szCs w:val="20"/>
        </w:rPr>
        <w:t xml:space="preserve">. </w:t>
      </w:r>
      <w:r>
        <w:rPr>
          <w:rFonts w:ascii="Arial" w:hAnsi="Arial"/>
          <w:sz w:val="20"/>
          <w:szCs w:val="20"/>
        </w:rPr>
        <w:t>These gastrointestinal disorders include the common end points of pancreatic ins</w:t>
      </w:r>
      <w:r>
        <w:rPr>
          <w:rFonts w:ascii="Arial" w:hAnsi="Arial"/>
          <w:sz w:val="20"/>
          <w:szCs w:val="20"/>
        </w:rPr>
        <w:t xml:space="preserve">ufficiency which are diarrhoea, dysentery, bloating, nausea and vomiting. It has also been used in food and ethno-veterinary in many cultures of the </w:t>
      </w:r>
      <w:r w:rsidRPr="00EB3D1B">
        <w:rPr>
          <w:rFonts w:ascii="Arial" w:hAnsi="Arial"/>
          <w:sz w:val="20"/>
          <w:szCs w:val="20"/>
        </w:rPr>
        <w:t>world</w:t>
      </w:r>
      <w:r w:rsidR="00EB3D1B" w:rsidRPr="00EB3D1B">
        <w:rPr>
          <w:rFonts w:ascii="Arial" w:hAnsi="Arial"/>
          <w:sz w:val="20"/>
          <w:szCs w:val="20"/>
          <w:vertAlign w:val="superscript"/>
        </w:rPr>
        <w:t>2</w:t>
      </w:r>
      <w:r w:rsidRPr="00EB3D1B">
        <w:rPr>
          <w:rFonts w:ascii="Arial" w:hAnsi="Arial"/>
          <w:sz w:val="20"/>
          <w:szCs w:val="20"/>
        </w:rPr>
        <w:t>.</w:t>
      </w:r>
      <w:r>
        <w:rPr>
          <w:rFonts w:ascii="Arial" w:hAnsi="Arial"/>
          <w:sz w:val="20"/>
          <w:szCs w:val="20"/>
        </w:rPr>
        <w:t xml:space="preserve"> </w:t>
      </w:r>
      <w:r>
        <w:rPr>
          <w:rFonts w:ascii="Arial" w:hAnsi="Arial"/>
          <w:i/>
          <w:iCs/>
          <w:sz w:val="20"/>
          <w:szCs w:val="20"/>
        </w:rPr>
        <w:t>E. elephantina</w:t>
      </w:r>
      <w:r>
        <w:rPr>
          <w:rFonts w:ascii="Arial" w:hAnsi="Arial"/>
          <w:sz w:val="20"/>
          <w:szCs w:val="20"/>
        </w:rPr>
        <w:t xml:space="preserve"> has been reported to exhibit a diverse array of pharmacological activities, includin</w:t>
      </w:r>
      <w:r>
        <w:rPr>
          <w:rFonts w:ascii="Arial" w:hAnsi="Arial"/>
          <w:sz w:val="20"/>
          <w:szCs w:val="20"/>
        </w:rPr>
        <w:t xml:space="preserve">g antibacterial, anti-inflammatory, antioxidant, and antidiabetic effects, which can be attributed to the presence of various bioactive compounds. The roots of </w:t>
      </w:r>
      <w:r>
        <w:rPr>
          <w:rFonts w:ascii="Arial" w:hAnsi="Arial"/>
          <w:i/>
          <w:iCs/>
          <w:sz w:val="20"/>
          <w:szCs w:val="20"/>
        </w:rPr>
        <w:t>E. elephantina</w:t>
      </w:r>
      <w:r>
        <w:rPr>
          <w:rFonts w:ascii="Arial" w:hAnsi="Arial"/>
          <w:sz w:val="20"/>
          <w:szCs w:val="20"/>
        </w:rPr>
        <w:t xml:space="preserve"> contain a rich reservoir of secondary metabolites, including flavonoids, tannins,</w:t>
      </w:r>
      <w:r>
        <w:rPr>
          <w:rFonts w:ascii="Arial" w:hAnsi="Arial"/>
          <w:sz w:val="20"/>
          <w:szCs w:val="20"/>
        </w:rPr>
        <w:t xml:space="preserve"> saponins, and phenolic compounds, which contribute to its medicinal properties</w:t>
      </w:r>
      <w:r>
        <w:rPr>
          <w:rFonts w:ascii="Arial" w:hAnsi="Arial"/>
          <w:i/>
          <w:iCs/>
          <w:sz w:val="20"/>
          <w:szCs w:val="20"/>
        </w:rPr>
        <w:t>. E. elephantina</w:t>
      </w:r>
      <w:r>
        <w:rPr>
          <w:rFonts w:ascii="Arial" w:hAnsi="Arial"/>
          <w:sz w:val="20"/>
          <w:szCs w:val="20"/>
        </w:rPr>
        <w:t xml:space="preserve"> root and rhizome extracts have been commonly prepared as decoctions for treating a wide array of illnesses in humans, including respiratory diseases, sexually t</w:t>
      </w:r>
      <w:r>
        <w:rPr>
          <w:rFonts w:ascii="Arial" w:hAnsi="Arial"/>
          <w:sz w:val="20"/>
          <w:szCs w:val="20"/>
        </w:rPr>
        <w:t>ransmitted diseases, impotence, diarrhoea, cough, tuberculosis, pain relief, and fev</w:t>
      </w:r>
      <w:r w:rsidRPr="00EB3D1B">
        <w:rPr>
          <w:rFonts w:ascii="Arial" w:hAnsi="Arial"/>
          <w:sz w:val="20"/>
          <w:szCs w:val="20"/>
        </w:rPr>
        <w:t xml:space="preserve">er </w:t>
      </w:r>
      <w:r w:rsidR="00EB3D1B">
        <w:rPr>
          <w:rFonts w:ascii="Arial" w:hAnsi="Arial"/>
          <w:sz w:val="20"/>
          <w:szCs w:val="20"/>
          <w:vertAlign w:val="superscript"/>
        </w:rPr>
        <w:t>2</w:t>
      </w:r>
      <w:r w:rsidRPr="00EB3D1B">
        <w:rPr>
          <w:rFonts w:ascii="Arial" w:hAnsi="Arial"/>
          <w:sz w:val="20"/>
          <w:szCs w:val="20"/>
        </w:rPr>
        <w:t>.</w:t>
      </w:r>
      <w:r>
        <w:rPr>
          <w:rFonts w:ascii="Arial" w:hAnsi="Arial"/>
          <w:sz w:val="20"/>
          <w:szCs w:val="20"/>
        </w:rPr>
        <w:t xml:space="preserve"> Various reports also indicated the use of </w:t>
      </w:r>
      <w:r>
        <w:rPr>
          <w:rFonts w:ascii="Arial" w:hAnsi="Arial"/>
          <w:i/>
          <w:iCs/>
          <w:sz w:val="20"/>
          <w:szCs w:val="20"/>
        </w:rPr>
        <w:t>E. elephantina</w:t>
      </w:r>
      <w:r>
        <w:rPr>
          <w:rFonts w:ascii="Arial" w:hAnsi="Arial"/>
          <w:sz w:val="20"/>
          <w:szCs w:val="20"/>
        </w:rPr>
        <w:t xml:space="preserve"> for topical application to relie</w:t>
      </w:r>
      <w:r w:rsidR="00DE25C7">
        <w:rPr>
          <w:rFonts w:ascii="Arial" w:hAnsi="Arial"/>
          <w:sz w:val="20"/>
          <w:szCs w:val="20"/>
        </w:rPr>
        <w:t>ve</w:t>
      </w:r>
      <w:r>
        <w:rPr>
          <w:rFonts w:ascii="Arial" w:hAnsi="Arial"/>
          <w:sz w:val="20"/>
          <w:szCs w:val="20"/>
        </w:rPr>
        <w:t xml:space="preserve"> skin ailments such as eczema and measles. Despite its extensive use in traditional medicine, </w:t>
      </w:r>
      <w:r>
        <w:rPr>
          <w:rFonts w:ascii="Arial" w:hAnsi="Arial"/>
          <w:i/>
          <w:iCs/>
          <w:sz w:val="20"/>
          <w:szCs w:val="20"/>
        </w:rPr>
        <w:t>E. elephantina</w:t>
      </w:r>
      <w:r>
        <w:rPr>
          <w:rFonts w:ascii="Arial" w:hAnsi="Arial"/>
          <w:sz w:val="20"/>
          <w:szCs w:val="20"/>
        </w:rPr>
        <w:t xml:space="preserve"> remains largely underutilized due to the limited scientific validation of its therapeutic applications. </w:t>
      </w:r>
    </w:p>
    <w:p w14:paraId="056C2B12" w14:textId="2D2CA4F0" w:rsidR="00A80A21" w:rsidRDefault="00DE25C7">
      <w:pPr>
        <w:keepNext/>
      </w:pPr>
      <w:r>
        <w:t xml:space="preserve">           </w:t>
      </w:r>
      <w:r>
        <w:rPr>
          <w:noProof/>
        </w:rPr>
        <w:drawing>
          <wp:inline distT="0" distB="0" distL="0" distR="0" wp14:anchorId="378141E9" wp14:editId="75F198CC">
            <wp:extent cx="4411980" cy="2434894"/>
            <wp:effectExtent l="0" t="0" r="7620" b="3810"/>
            <wp:docPr id="14557295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729542" name="Picture 2"/>
                    <pic:cNvPicPr>
                      <a:picLocks noChangeAspect="1"/>
                    </pic:cNvPicPr>
                  </pic:nvPicPr>
                  <pic:blipFill>
                    <a:blip r:embed="rId9" cstate="print">
                      <a:extLst>
                        <a:ext uri="{28A0092B-C50C-407E-A947-70E740481C1C}">
                          <a14:useLocalDpi xmlns:a14="http://schemas.microsoft.com/office/drawing/2010/main" val="0"/>
                        </a:ext>
                      </a:extLst>
                    </a:blip>
                    <a:srcRect t="10570" b="17084"/>
                    <a:stretch>
                      <a:fillRect/>
                    </a:stretch>
                  </pic:blipFill>
                  <pic:spPr>
                    <a:xfrm>
                      <a:off x="0" y="0"/>
                      <a:ext cx="4422500" cy="2440700"/>
                    </a:xfrm>
                    <a:prstGeom prst="rect">
                      <a:avLst/>
                    </a:prstGeom>
                    <a:ln>
                      <a:noFill/>
                    </a:ln>
                  </pic:spPr>
                </pic:pic>
              </a:graphicData>
            </a:graphic>
          </wp:inline>
        </w:drawing>
      </w:r>
    </w:p>
    <w:p w14:paraId="21BD041E" w14:textId="5C3A893B" w:rsidR="00A80A21" w:rsidRDefault="00BC5F10">
      <w:pPr>
        <w:pStyle w:val="Caption"/>
      </w:pPr>
      <w:r>
        <w:t xml:space="preserve">Figure </w:t>
      </w:r>
      <w:r>
        <w:fldChar w:fldCharType="begin"/>
      </w:r>
      <w:r>
        <w:instrText xml:space="preserve"> SEQ Figure \* ARABI</w:instrText>
      </w:r>
      <w:r>
        <w:instrText xml:space="preserve">C </w:instrText>
      </w:r>
      <w:r>
        <w:fldChar w:fldCharType="separate"/>
      </w:r>
      <w:r w:rsidR="001E4886">
        <w:rPr>
          <w:noProof/>
        </w:rPr>
        <w:t>1</w:t>
      </w:r>
      <w:r>
        <w:rPr>
          <w:noProof/>
        </w:rPr>
        <w:fldChar w:fldCharType="end"/>
      </w:r>
      <w:r>
        <w:t xml:space="preserve"> E. elephantina </w:t>
      </w:r>
      <w:r w:rsidR="00DE25C7">
        <w:t>plant</w:t>
      </w:r>
    </w:p>
    <w:p w14:paraId="6B53BDAD" w14:textId="77777777" w:rsidR="00A80A21" w:rsidRDefault="00BC5F10">
      <w:r>
        <w:br w:type="page"/>
      </w:r>
    </w:p>
    <w:p w14:paraId="6C5DBF65" w14:textId="7B6A9449" w:rsidR="00EB3D1B" w:rsidRPr="00EB3D1B" w:rsidRDefault="00EB3D1B" w:rsidP="00EB33F2">
      <w:pPr>
        <w:pStyle w:val="Heading2"/>
        <w:spacing w:after="240"/>
        <w:jc w:val="both"/>
        <w:rPr>
          <w:rFonts w:cs="Arial"/>
          <w:sz w:val="20"/>
          <w:szCs w:val="20"/>
        </w:rPr>
      </w:pPr>
      <w:r>
        <w:rPr>
          <w:rFonts w:cs="Arial"/>
          <w:sz w:val="20"/>
          <w:szCs w:val="20"/>
        </w:rPr>
        <w:lastRenderedPageBreak/>
        <w:t>Pancreatic insufficiency</w:t>
      </w:r>
    </w:p>
    <w:p w14:paraId="6BA2CA67" w14:textId="6EA47B19" w:rsidR="00A80A21" w:rsidRDefault="00BC5F10" w:rsidP="00EB33F2">
      <w:pPr>
        <w:spacing w:after="240" w:line="276" w:lineRule="auto"/>
        <w:jc w:val="both"/>
        <w:rPr>
          <w:rFonts w:ascii="Arial" w:hAnsi="Arial" w:cs="Arial"/>
          <w:sz w:val="20"/>
          <w:szCs w:val="20"/>
        </w:rPr>
      </w:pPr>
      <w:r>
        <w:rPr>
          <w:rFonts w:ascii="Arial" w:hAnsi="Arial" w:cs="Arial"/>
          <w:sz w:val="20"/>
          <w:szCs w:val="20"/>
        </w:rPr>
        <w:t xml:space="preserve">Exocrine Pancreatic Insufficiency (EPI) is a complex condition characterised by the inadequate production and secretion of digestive enzymes by the pancreas, leading to impaired nutrient digestion and </w:t>
      </w:r>
      <w:r w:rsidRPr="00EB3D1B">
        <w:rPr>
          <w:rFonts w:ascii="Arial" w:hAnsi="Arial" w:cs="Arial"/>
          <w:sz w:val="20"/>
          <w:szCs w:val="20"/>
        </w:rPr>
        <w:t>absorption</w:t>
      </w:r>
      <w:r w:rsidRPr="00EB3D1B">
        <w:rPr>
          <w:rFonts w:ascii="Arial" w:hAnsi="Arial" w:cs="Arial"/>
          <w:sz w:val="20"/>
          <w:szCs w:val="20"/>
          <w:vertAlign w:val="superscript"/>
        </w:rPr>
        <w:t>3</w:t>
      </w:r>
      <w:r w:rsidR="00EB3D1B">
        <w:rPr>
          <w:rFonts w:ascii="Arial" w:hAnsi="Arial" w:cs="Arial"/>
          <w:sz w:val="20"/>
          <w:szCs w:val="20"/>
        </w:rPr>
        <w:t xml:space="preserve">. </w:t>
      </w:r>
      <w:r>
        <w:rPr>
          <w:rFonts w:ascii="Arial" w:hAnsi="Arial" w:cs="Arial"/>
          <w:sz w:val="20"/>
          <w:szCs w:val="20"/>
        </w:rPr>
        <w:t>This deficiency results in a cascade of malabsorption issues, significantly impacting the quality of life for affected individuals</w:t>
      </w:r>
      <w:r w:rsidR="00EB3D1B">
        <w:rPr>
          <w:rFonts w:ascii="Arial" w:hAnsi="Arial" w:cs="Arial"/>
          <w:sz w:val="20"/>
          <w:szCs w:val="20"/>
          <w:vertAlign w:val="superscript"/>
        </w:rPr>
        <w:t>4</w:t>
      </w:r>
      <w:r>
        <w:rPr>
          <w:rFonts w:ascii="Arial" w:hAnsi="Arial" w:cs="Arial"/>
          <w:sz w:val="20"/>
          <w:szCs w:val="20"/>
        </w:rPr>
        <w:t>. The aetiology of EPI is diverse, encompassing both pancreatic and non-pancreatic disorders. Chronic pancreatit</w:t>
      </w:r>
      <w:r>
        <w:rPr>
          <w:rFonts w:ascii="Arial" w:hAnsi="Arial" w:cs="Arial"/>
          <w:sz w:val="20"/>
          <w:szCs w:val="20"/>
        </w:rPr>
        <w:t>is, cystic fibrosis, pancreatic cancer, and surgical resections of the pancreas are among the primary pancreatic causes, whereas non-pancreatic causes include conditions like coeliac disease, Crohn's disease, and diabetes mellitus</w:t>
      </w:r>
      <w:r w:rsidR="00EB3D1B">
        <w:rPr>
          <w:rFonts w:ascii="Arial" w:hAnsi="Arial" w:cs="Arial"/>
          <w:sz w:val="20"/>
          <w:szCs w:val="20"/>
          <w:vertAlign w:val="superscript"/>
        </w:rPr>
        <w:t>5</w:t>
      </w:r>
      <w:r>
        <w:rPr>
          <w:rFonts w:ascii="Arial" w:hAnsi="Arial" w:cs="Arial"/>
          <w:sz w:val="20"/>
          <w:szCs w:val="20"/>
        </w:rPr>
        <w:t>. The diagnosis of EPI ty</w:t>
      </w:r>
      <w:r>
        <w:rPr>
          <w:rFonts w:ascii="Arial" w:hAnsi="Arial" w:cs="Arial"/>
          <w:sz w:val="20"/>
          <w:szCs w:val="20"/>
        </w:rPr>
        <w:t>pically involves a combination of clinical assessment, stool tests (e.g., faecal elastase-1), and imaging techniques such as magnetic resonance imaging or computed tomography to evaluate pancreatic structure and function. The gold standard for diagnosing E</w:t>
      </w:r>
      <w:r>
        <w:rPr>
          <w:rFonts w:ascii="Arial" w:hAnsi="Arial" w:cs="Arial"/>
          <w:sz w:val="20"/>
          <w:szCs w:val="20"/>
        </w:rPr>
        <w:t>PI</w:t>
      </w:r>
      <w:r w:rsidR="00DE25C7">
        <w:rPr>
          <w:rFonts w:ascii="Arial" w:hAnsi="Arial" w:cs="Arial"/>
          <w:sz w:val="20"/>
          <w:szCs w:val="20"/>
        </w:rPr>
        <w:t>;</w:t>
      </w:r>
      <w:r>
        <w:rPr>
          <w:rFonts w:ascii="Arial" w:hAnsi="Arial" w:cs="Arial"/>
          <w:sz w:val="20"/>
          <w:szCs w:val="20"/>
        </w:rPr>
        <w:t xml:space="preserve"> the direct pancreatic function test </w:t>
      </w:r>
      <w:r w:rsidR="00DE25C7">
        <w:rPr>
          <w:rFonts w:ascii="Arial" w:hAnsi="Arial" w:cs="Arial"/>
          <w:sz w:val="20"/>
          <w:szCs w:val="20"/>
        </w:rPr>
        <w:t xml:space="preserve">which </w:t>
      </w:r>
      <w:r>
        <w:rPr>
          <w:rFonts w:ascii="Arial" w:hAnsi="Arial" w:cs="Arial"/>
          <w:sz w:val="20"/>
          <w:szCs w:val="20"/>
        </w:rPr>
        <w:t xml:space="preserve">involves the intubation of the duodenum and the direct measurement of pancreatic enzyme secretion following cholecystokinin stimulation is invasive and not routinely performed in clinical practice. The </w:t>
      </w:r>
      <w:r>
        <w:rPr>
          <w:rFonts w:ascii="Arial" w:hAnsi="Arial" w:cs="Arial"/>
          <w:sz w:val="20"/>
          <w:szCs w:val="20"/>
        </w:rPr>
        <w:t>management of EPI primarily focuses on pancreatic enzyme replacement therapy, which aims to supplement the deficient enzymes and improve nutrient absorption</w:t>
      </w:r>
      <w:r w:rsidR="00EB3D1B">
        <w:rPr>
          <w:rFonts w:ascii="Arial" w:hAnsi="Arial" w:cs="Arial"/>
          <w:sz w:val="20"/>
          <w:szCs w:val="20"/>
          <w:vertAlign w:val="superscript"/>
        </w:rPr>
        <w:t>6</w:t>
      </w:r>
      <w:r>
        <w:rPr>
          <w:rFonts w:ascii="Arial" w:hAnsi="Arial" w:cs="Arial"/>
          <w:sz w:val="20"/>
          <w:szCs w:val="20"/>
        </w:rPr>
        <w:t>. Additional supportive measures include dietary modifications such as reducing fat intake and incr</w:t>
      </w:r>
      <w:r>
        <w:rPr>
          <w:rFonts w:ascii="Arial" w:hAnsi="Arial" w:cs="Arial"/>
          <w:sz w:val="20"/>
          <w:szCs w:val="20"/>
        </w:rPr>
        <w:t>easing the frequency of meals, as well as supplementation with fat-soluble vitamins to address deficiencies caused by malabsorption</w:t>
      </w:r>
      <w:r>
        <w:rPr>
          <w:rFonts w:ascii="Arial" w:hAnsi="Arial" w:cs="Arial"/>
          <w:sz w:val="20"/>
          <w:szCs w:val="20"/>
          <w:vertAlign w:val="superscript"/>
        </w:rPr>
        <w:t>1</w:t>
      </w:r>
      <w:r>
        <w:rPr>
          <w:rFonts w:ascii="Arial" w:hAnsi="Arial" w:cs="Arial"/>
          <w:sz w:val="20"/>
          <w:szCs w:val="20"/>
        </w:rPr>
        <w:t>. Under normal physiological conditions, the synthesis and secretion of exocrine pancreatic enzymes by acinar cells are regu</w:t>
      </w:r>
      <w:r>
        <w:rPr>
          <w:rFonts w:ascii="Arial" w:hAnsi="Arial" w:cs="Arial"/>
          <w:sz w:val="20"/>
          <w:szCs w:val="20"/>
        </w:rPr>
        <w:t>lated by a complex interplay of neural, endocrine, and paracrine mechanisms in response to gastrointestinal distension and food intake</w:t>
      </w:r>
      <w:r w:rsidR="00EB3D1B">
        <w:rPr>
          <w:rFonts w:ascii="Arial" w:hAnsi="Arial" w:cs="Arial"/>
          <w:sz w:val="20"/>
          <w:szCs w:val="20"/>
          <w:vertAlign w:val="superscript"/>
        </w:rPr>
        <w:t>4</w:t>
      </w:r>
      <w:r>
        <w:rPr>
          <w:rFonts w:ascii="Arial" w:hAnsi="Arial" w:cs="Arial"/>
          <w:sz w:val="20"/>
          <w:szCs w:val="20"/>
        </w:rPr>
        <w:t>. The severity of EPI can range from mild to severe, depending on the extent of pancreatic damage and the degree of enzym</w:t>
      </w:r>
      <w:r>
        <w:rPr>
          <w:rFonts w:ascii="Arial" w:hAnsi="Arial" w:cs="Arial"/>
          <w:sz w:val="20"/>
          <w:szCs w:val="20"/>
        </w:rPr>
        <w:t>e deficiency. Individuals diagnosed with cystic fibrosis should undergo testing for pancreatic insufficiency as soon as possible, and the management of pancreatic insufficiency in cystic fibrosis patients requires lifelong treatment</w:t>
      </w:r>
      <w:r w:rsidR="00964044">
        <w:rPr>
          <w:rFonts w:ascii="Arial" w:hAnsi="Arial" w:cs="Arial"/>
          <w:sz w:val="20"/>
          <w:szCs w:val="20"/>
          <w:vertAlign w:val="superscript"/>
        </w:rPr>
        <w:t>7</w:t>
      </w:r>
      <w:r>
        <w:rPr>
          <w:rFonts w:ascii="Arial" w:hAnsi="Arial" w:cs="Arial"/>
          <w:sz w:val="20"/>
          <w:szCs w:val="20"/>
        </w:rPr>
        <w:t xml:space="preserve">. </w:t>
      </w:r>
      <w:proofErr w:type="spellStart"/>
      <w:r>
        <w:rPr>
          <w:rFonts w:ascii="Arial" w:hAnsi="Arial" w:cs="Arial"/>
          <w:sz w:val="20"/>
          <w:szCs w:val="20"/>
        </w:rPr>
        <w:t>Tumor</w:t>
      </w:r>
      <w:proofErr w:type="spellEnd"/>
      <w:r>
        <w:rPr>
          <w:rFonts w:ascii="Arial" w:hAnsi="Arial" w:cs="Arial"/>
          <w:sz w:val="20"/>
          <w:szCs w:val="20"/>
        </w:rPr>
        <w:t>-induced EPI can</w:t>
      </w:r>
      <w:r>
        <w:rPr>
          <w:rFonts w:ascii="Arial" w:hAnsi="Arial" w:cs="Arial"/>
          <w:sz w:val="20"/>
          <w:szCs w:val="20"/>
        </w:rPr>
        <w:t xml:space="preserve"> arise from the primary pancreatic duct obstruction, gland fibrosis, and the depletion of pancreatic exocrine tissue, leading to reduced pancreatic enzymes production or hindered pancreatic enzymes transportation to the duodenum</w:t>
      </w:r>
      <w:r w:rsidR="00964044">
        <w:rPr>
          <w:vertAlign w:val="superscript"/>
        </w:rPr>
        <w:t>4</w:t>
      </w:r>
      <w:r>
        <w:rPr>
          <w:rFonts w:ascii="Arial" w:hAnsi="Arial" w:cs="Arial"/>
          <w:sz w:val="20"/>
          <w:szCs w:val="20"/>
        </w:rPr>
        <w:t>.</w:t>
      </w:r>
    </w:p>
    <w:p w14:paraId="14C31410" w14:textId="77777777" w:rsidR="00A80A21" w:rsidRDefault="00BC5F10" w:rsidP="00964044">
      <w:pPr>
        <w:pStyle w:val="Heading2"/>
        <w:spacing w:after="240" w:line="276" w:lineRule="auto"/>
        <w:jc w:val="both"/>
        <w:rPr>
          <w:rFonts w:cs="Arial"/>
          <w:sz w:val="20"/>
          <w:szCs w:val="20"/>
        </w:rPr>
      </w:pPr>
      <w:r>
        <w:rPr>
          <w:rFonts w:cs="Arial"/>
          <w:sz w:val="20"/>
          <w:szCs w:val="20"/>
        </w:rPr>
        <w:t>Secondary Metabolites and</w:t>
      </w:r>
      <w:r>
        <w:rPr>
          <w:rFonts w:cs="Arial"/>
          <w:sz w:val="20"/>
          <w:szCs w:val="20"/>
        </w:rPr>
        <w:t xml:space="preserve"> Pancreatic insufficiency</w:t>
      </w:r>
    </w:p>
    <w:p w14:paraId="1AE56EE6" w14:textId="7B6E4C6D" w:rsidR="00A80A21" w:rsidRDefault="00BC5F10" w:rsidP="00964044">
      <w:pPr>
        <w:spacing w:after="240" w:line="276" w:lineRule="auto"/>
        <w:jc w:val="both"/>
        <w:rPr>
          <w:rFonts w:ascii="Arial" w:hAnsi="Arial" w:cs="Arial"/>
          <w:sz w:val="20"/>
          <w:szCs w:val="20"/>
        </w:rPr>
      </w:pPr>
      <w:r>
        <w:rPr>
          <w:rFonts w:ascii="Arial" w:hAnsi="Arial" w:cs="Arial"/>
          <w:color w:val="000000"/>
          <w:sz w:val="20"/>
          <w:szCs w:val="20"/>
        </w:rPr>
        <w:t>Secondary metabolites are organic compounds produced by plants that are not directly involved in their growth, development, or reproduction, but rather serve various ecological and defensive functions. These compounds often exhibi</w:t>
      </w:r>
      <w:r>
        <w:rPr>
          <w:rFonts w:ascii="Arial" w:hAnsi="Arial" w:cs="Arial"/>
          <w:color w:val="000000"/>
          <w:sz w:val="20"/>
          <w:szCs w:val="20"/>
        </w:rPr>
        <w:t>t diverse biological activities and have been extensively studied for their potential therapeutic applications. The role of secondary metabolites in the context of pancreatic insufficiency is multifaceted, encompassing antioxidant, anti-inflammatory, and e</w:t>
      </w:r>
      <w:r>
        <w:rPr>
          <w:rFonts w:ascii="Arial" w:hAnsi="Arial" w:cs="Arial"/>
          <w:color w:val="000000"/>
          <w:sz w:val="20"/>
          <w:szCs w:val="20"/>
        </w:rPr>
        <w:t>nzyme-modulating effects. Given the critical function of the pancreas in maintaining proper digestion and blood sugar regulation, the study of secondary metabolites could provide a path to the development of novel treatments for disorders affecting the pan</w:t>
      </w:r>
      <w:r>
        <w:rPr>
          <w:rFonts w:ascii="Arial" w:hAnsi="Arial" w:cs="Arial"/>
          <w:color w:val="000000"/>
          <w:sz w:val="20"/>
          <w:szCs w:val="20"/>
        </w:rPr>
        <w:t>creas. Secondary metabolites derived from plants have been shown to exhibit inhibitory activity against enzymes involved in carbohydrate digestion, such as α-amylase and α-glucosidase, therefore managing postprandial hyperglycaemia. Plant-derived compounds</w:t>
      </w:r>
      <w:r>
        <w:rPr>
          <w:rFonts w:ascii="Arial" w:hAnsi="Arial" w:cs="Arial"/>
          <w:color w:val="000000"/>
          <w:sz w:val="20"/>
          <w:szCs w:val="20"/>
        </w:rPr>
        <w:t xml:space="preserve"> such as alkaloids, flavonoids, terpenoids, phenolic acids, and saponins have demonstrated significant anti-diabetic effects through a variety of mechanisms</w:t>
      </w:r>
      <w:r w:rsidR="00964044">
        <w:rPr>
          <w:rFonts w:ascii="Arial" w:hAnsi="Arial" w:cs="Arial"/>
          <w:color w:val="000000"/>
          <w:sz w:val="20"/>
          <w:szCs w:val="20"/>
          <w:vertAlign w:val="superscript"/>
        </w:rPr>
        <w:t>8</w:t>
      </w:r>
      <w:r>
        <w:rPr>
          <w:rFonts w:ascii="Arial" w:hAnsi="Arial" w:cs="Arial"/>
          <w:color w:val="000000"/>
          <w:sz w:val="20"/>
          <w:szCs w:val="20"/>
        </w:rPr>
        <w:t>. The diversity of their mechanisms, which include enhancing insulin sensitivity, modulating glucos</w:t>
      </w:r>
      <w:r>
        <w:rPr>
          <w:rFonts w:ascii="Arial" w:hAnsi="Arial" w:cs="Arial"/>
          <w:color w:val="000000"/>
          <w:sz w:val="20"/>
          <w:szCs w:val="20"/>
        </w:rPr>
        <w:t>e metabolism, and lowering postprandial glucose levels, highlights their potential as therapeutic agents for end stage pancreatic insufficiency management</w:t>
      </w:r>
      <w:r w:rsidR="00964044">
        <w:rPr>
          <w:rFonts w:ascii="Arial" w:hAnsi="Arial" w:cs="Arial"/>
          <w:color w:val="000000"/>
          <w:sz w:val="20"/>
          <w:szCs w:val="20"/>
          <w:vertAlign w:val="superscript"/>
        </w:rPr>
        <w:t>9</w:t>
      </w:r>
      <w:r>
        <w:rPr>
          <w:rFonts w:ascii="Arial" w:hAnsi="Arial" w:cs="Arial"/>
          <w:color w:val="000000"/>
          <w:sz w:val="20"/>
          <w:szCs w:val="20"/>
        </w:rPr>
        <w:t>.</w:t>
      </w:r>
    </w:p>
    <w:p w14:paraId="70957DB1" w14:textId="77777777" w:rsidR="00A80A21" w:rsidRDefault="00BC5F10">
      <w:pPr>
        <w:pStyle w:val="Heading2"/>
        <w:spacing w:line="360" w:lineRule="auto"/>
        <w:jc w:val="both"/>
        <w:rPr>
          <w:rFonts w:cs="Arial"/>
          <w:sz w:val="20"/>
          <w:szCs w:val="20"/>
        </w:rPr>
      </w:pPr>
      <w:r>
        <w:rPr>
          <w:rFonts w:cs="Arial"/>
          <w:sz w:val="20"/>
          <w:szCs w:val="20"/>
        </w:rPr>
        <w:t>Antioxidants and Pancreatic insufficiency</w:t>
      </w:r>
    </w:p>
    <w:p w14:paraId="3203F1D4" w14:textId="4C81978E" w:rsidR="00A80A21" w:rsidRDefault="00BC5F10">
      <w:pPr>
        <w:spacing w:line="276" w:lineRule="auto"/>
        <w:jc w:val="both"/>
        <w:rPr>
          <w:rFonts w:ascii="Arial" w:hAnsi="Arial" w:cs="Arial"/>
          <w:color w:val="000000"/>
          <w:sz w:val="20"/>
          <w:szCs w:val="20"/>
        </w:rPr>
      </w:pPr>
      <w:r>
        <w:rPr>
          <w:rFonts w:ascii="Arial" w:hAnsi="Arial" w:cs="Arial"/>
          <w:color w:val="000000"/>
          <w:sz w:val="20"/>
          <w:szCs w:val="20"/>
        </w:rPr>
        <w:t>Antioxidants are key players in mitigating oxidative stre</w:t>
      </w:r>
      <w:r>
        <w:rPr>
          <w:rFonts w:ascii="Arial" w:hAnsi="Arial" w:cs="Arial"/>
          <w:color w:val="000000"/>
          <w:sz w:val="20"/>
          <w:szCs w:val="20"/>
        </w:rPr>
        <w:t>ss, a condition characterised by an imbalance between the production of reactive oxygen species and the capacity of the cellular antioxidant defence systems to neutralise them</w:t>
      </w:r>
      <w:r w:rsidR="00964044">
        <w:rPr>
          <w:rFonts w:ascii="Arial" w:hAnsi="Arial" w:cs="Arial"/>
          <w:color w:val="000000"/>
          <w:sz w:val="20"/>
          <w:szCs w:val="20"/>
          <w:vertAlign w:val="superscript"/>
        </w:rPr>
        <w:t>10</w:t>
      </w:r>
      <w:r>
        <w:rPr>
          <w:rFonts w:ascii="Arial" w:hAnsi="Arial" w:cs="Arial"/>
          <w:color w:val="000000"/>
          <w:sz w:val="20"/>
          <w:szCs w:val="20"/>
        </w:rPr>
        <w:t>. Oxidative stress has been implicated in the pathogenesis of various diseases,</w:t>
      </w:r>
      <w:r>
        <w:rPr>
          <w:rFonts w:ascii="Arial" w:hAnsi="Arial" w:cs="Arial"/>
          <w:color w:val="000000"/>
          <w:sz w:val="20"/>
          <w:szCs w:val="20"/>
        </w:rPr>
        <w:t xml:space="preserve"> including pancreatic insufficiency, where it can contribute to cellular damage and impaired pancreatic function. Supplementation with dietary antioxidants, such as polyamines, carotenoids, </w:t>
      </w:r>
      <w:r>
        <w:rPr>
          <w:rFonts w:ascii="Arial" w:hAnsi="Arial" w:cs="Arial"/>
          <w:color w:val="000000"/>
          <w:sz w:val="20"/>
          <w:szCs w:val="20"/>
        </w:rPr>
        <w:lastRenderedPageBreak/>
        <w:t>flavonoids, glutathione, alpha-lipoic acid, and vitamins E, A, and</w:t>
      </w:r>
      <w:r>
        <w:rPr>
          <w:rFonts w:ascii="Arial" w:hAnsi="Arial" w:cs="Arial"/>
          <w:color w:val="000000"/>
          <w:sz w:val="20"/>
          <w:szCs w:val="20"/>
        </w:rPr>
        <w:t xml:space="preserve"> C, provides substantial protection against diabetes mellitus</w:t>
      </w:r>
      <w:r w:rsidR="00964044">
        <w:rPr>
          <w:rFonts w:ascii="Arial" w:hAnsi="Arial" w:cs="Arial"/>
          <w:color w:val="000000"/>
          <w:sz w:val="20"/>
          <w:szCs w:val="20"/>
          <w:vertAlign w:val="superscript"/>
        </w:rPr>
        <w:t>9</w:t>
      </w:r>
      <w:r>
        <w:rPr>
          <w:rFonts w:ascii="Arial" w:hAnsi="Arial" w:cs="Arial"/>
          <w:color w:val="000000"/>
          <w:sz w:val="20"/>
          <w:szCs w:val="20"/>
        </w:rPr>
        <w:t>. Antioxidants protect pancreatic cells from injury and promote their normal function by scavenging free radicals and reducing oxidative damage. Studies suggest that dietary intervention with po</w:t>
      </w:r>
      <w:r>
        <w:rPr>
          <w:rFonts w:ascii="Arial" w:hAnsi="Arial" w:cs="Arial"/>
          <w:color w:val="000000"/>
          <w:sz w:val="20"/>
          <w:szCs w:val="20"/>
        </w:rPr>
        <w:t>lyphenols, which possess excellent antioxidant activity and can inhibit α-amylase, could prevent or delay the onset of type 2 diabetes mellitus</w:t>
      </w:r>
      <w:r>
        <w:rPr>
          <w:rFonts w:ascii="Arial" w:hAnsi="Arial" w:cs="Arial"/>
          <w:color w:val="000000"/>
          <w:sz w:val="20"/>
          <w:szCs w:val="20"/>
          <w:vertAlign w:val="superscript"/>
        </w:rPr>
        <w:t>1</w:t>
      </w:r>
      <w:r w:rsidR="00964044">
        <w:rPr>
          <w:rFonts w:ascii="Arial" w:hAnsi="Arial" w:cs="Arial"/>
          <w:color w:val="000000"/>
          <w:sz w:val="20"/>
          <w:szCs w:val="20"/>
          <w:vertAlign w:val="superscript"/>
        </w:rPr>
        <w:t>1</w:t>
      </w:r>
      <w:r>
        <w:rPr>
          <w:rFonts w:ascii="Arial" w:hAnsi="Arial" w:cs="Arial"/>
          <w:color w:val="000000"/>
          <w:sz w:val="20"/>
          <w:szCs w:val="20"/>
        </w:rPr>
        <w:t>. Therefore, incorporating antioxidants into the therapeutic regimen for pancreatic insufficiency may help to p</w:t>
      </w:r>
      <w:r>
        <w:rPr>
          <w:rFonts w:ascii="Arial" w:hAnsi="Arial" w:cs="Arial"/>
          <w:color w:val="000000"/>
          <w:sz w:val="20"/>
          <w:szCs w:val="20"/>
        </w:rPr>
        <w:t>reserve pancreatic function and reduce disease progression.</w:t>
      </w:r>
    </w:p>
    <w:p w14:paraId="13896884" w14:textId="77777777" w:rsidR="00A80A21" w:rsidRDefault="00BC5F10" w:rsidP="00964044">
      <w:pPr>
        <w:pStyle w:val="Heading2"/>
        <w:spacing w:after="240"/>
        <w:jc w:val="both"/>
        <w:rPr>
          <w:rFonts w:cs="Arial"/>
          <w:sz w:val="20"/>
          <w:szCs w:val="20"/>
        </w:rPr>
      </w:pPr>
      <w:r>
        <w:rPr>
          <w:rFonts w:cs="Arial"/>
          <w:sz w:val="20"/>
          <w:szCs w:val="20"/>
        </w:rPr>
        <w:t>Anti-inflammatory role in pancreatic insufficiency treatment</w:t>
      </w:r>
    </w:p>
    <w:p w14:paraId="197B3B30" w14:textId="2223DE93" w:rsidR="00A80A21" w:rsidRDefault="00BC5F10" w:rsidP="00964044">
      <w:pPr>
        <w:spacing w:after="240" w:line="276" w:lineRule="auto"/>
        <w:jc w:val="both"/>
        <w:rPr>
          <w:rFonts w:ascii="Arial" w:hAnsi="Arial" w:cs="Arial"/>
          <w:sz w:val="20"/>
          <w:szCs w:val="20"/>
        </w:rPr>
      </w:pPr>
      <w:r>
        <w:rPr>
          <w:rFonts w:ascii="Arial" w:hAnsi="Arial" w:cs="Arial"/>
          <w:color w:val="000000"/>
          <w:sz w:val="20"/>
          <w:szCs w:val="20"/>
        </w:rPr>
        <w:t xml:space="preserve">Diabetes and pancreatic insufficiency are intrinsically linked, as inflammation plays a critical role in the development and </w:t>
      </w:r>
      <w:r>
        <w:rPr>
          <w:rFonts w:ascii="Arial" w:hAnsi="Arial" w:cs="Arial"/>
          <w:color w:val="000000"/>
          <w:sz w:val="20"/>
          <w:szCs w:val="20"/>
        </w:rPr>
        <w:t>progression of both type 1 and type 2 diabetes mellitus. In the context of pancreatic insufficiency, inflammation can exacerbate pancreatic damage and impair its exocrine function, leading to reduced enzyme secretion and digestive dysfunction</w:t>
      </w:r>
      <w:r w:rsidR="00964044">
        <w:rPr>
          <w:rFonts w:ascii="Arial" w:hAnsi="Arial" w:cs="Arial"/>
          <w:color w:val="000000"/>
          <w:sz w:val="20"/>
          <w:szCs w:val="20"/>
          <w:vertAlign w:val="superscript"/>
        </w:rPr>
        <w:t>9</w:t>
      </w:r>
      <w:r>
        <w:rPr>
          <w:rFonts w:ascii="Arial" w:hAnsi="Arial" w:cs="Arial"/>
          <w:color w:val="000000"/>
          <w:sz w:val="20"/>
          <w:szCs w:val="20"/>
        </w:rPr>
        <w:t>. This condit</w:t>
      </w:r>
      <w:r>
        <w:rPr>
          <w:rFonts w:ascii="Arial" w:hAnsi="Arial" w:cs="Arial"/>
          <w:color w:val="000000"/>
          <w:sz w:val="20"/>
          <w:szCs w:val="20"/>
        </w:rPr>
        <w:t>ion, known as insulitis, involves inflammation in the pancreatic Langerhans beta cell islets, which appears to be a hallmark among all types of diabetes, resulting in a decrease in beta cell quantity and function. Anti-inflammatory agents, including both s</w:t>
      </w:r>
      <w:r>
        <w:rPr>
          <w:rFonts w:ascii="Arial" w:hAnsi="Arial" w:cs="Arial"/>
          <w:color w:val="000000"/>
          <w:sz w:val="20"/>
          <w:szCs w:val="20"/>
        </w:rPr>
        <w:t>teroidal and non-steroidal drugs, have been shown to mitigate pancreatic inflammation and improve pancreatic function in experimental models of pancreatic insufficiency</w:t>
      </w:r>
      <w:r w:rsidR="00964044">
        <w:rPr>
          <w:rFonts w:ascii="Arial" w:hAnsi="Arial" w:cs="Arial"/>
          <w:color w:val="000000"/>
          <w:sz w:val="20"/>
          <w:szCs w:val="20"/>
          <w:vertAlign w:val="superscript"/>
        </w:rPr>
        <w:t>12</w:t>
      </w:r>
      <w:r>
        <w:rPr>
          <w:rFonts w:ascii="Arial" w:hAnsi="Arial" w:cs="Arial"/>
          <w:color w:val="000000"/>
          <w:sz w:val="20"/>
          <w:szCs w:val="20"/>
        </w:rPr>
        <w:t>. Vitamin D and its receptor signalling can induce anti-inflammatory and anti-fibrotic</w:t>
      </w:r>
      <w:r>
        <w:rPr>
          <w:rFonts w:ascii="Arial" w:hAnsi="Arial" w:cs="Arial"/>
          <w:color w:val="000000"/>
          <w:sz w:val="20"/>
          <w:szCs w:val="20"/>
        </w:rPr>
        <w:t xml:space="preserve"> effects in pancreatitis, underscoring the potential of vitamin D and its </w:t>
      </w:r>
      <w:proofErr w:type="spellStart"/>
      <w:r>
        <w:rPr>
          <w:rFonts w:ascii="Arial" w:hAnsi="Arial" w:cs="Arial"/>
          <w:color w:val="000000"/>
          <w:sz w:val="20"/>
          <w:szCs w:val="20"/>
        </w:rPr>
        <w:t>analogs</w:t>
      </w:r>
      <w:proofErr w:type="spellEnd"/>
      <w:r>
        <w:rPr>
          <w:rFonts w:ascii="Arial" w:hAnsi="Arial" w:cs="Arial"/>
          <w:color w:val="000000"/>
          <w:sz w:val="20"/>
          <w:szCs w:val="20"/>
        </w:rPr>
        <w:t xml:space="preserve"> in treating inflammatory and fibrotic diseases associated with pancreatic insufficiency. Vitamin D supplementation could also downregulate toll-like receptors in inflammatory</w:t>
      </w:r>
      <w:r>
        <w:rPr>
          <w:rFonts w:ascii="Arial" w:hAnsi="Arial" w:cs="Arial"/>
          <w:color w:val="000000"/>
          <w:sz w:val="20"/>
          <w:szCs w:val="20"/>
        </w:rPr>
        <w:t xml:space="preserve"> diseases, suggesting a role in modulating the immune response</w:t>
      </w:r>
      <w:r w:rsidR="00964044">
        <w:rPr>
          <w:rFonts w:ascii="Arial" w:hAnsi="Arial" w:cs="Arial"/>
          <w:color w:val="000000"/>
          <w:sz w:val="20"/>
          <w:szCs w:val="20"/>
          <w:vertAlign w:val="superscript"/>
        </w:rPr>
        <w:t>12</w:t>
      </w:r>
      <w:r>
        <w:rPr>
          <w:rFonts w:ascii="Arial" w:hAnsi="Arial" w:cs="Arial"/>
          <w:color w:val="000000"/>
          <w:sz w:val="20"/>
          <w:szCs w:val="20"/>
        </w:rPr>
        <w:t>. These findings highlight the importance of targeting inflammation as a therapeutic approach for managing pancreatic insufficiency and its associated comorbidities, such as diabetes mellitus</w:t>
      </w:r>
      <w:r w:rsidR="00964044">
        <w:rPr>
          <w:rFonts w:ascii="Arial" w:hAnsi="Arial" w:cs="Arial"/>
          <w:color w:val="000000"/>
          <w:sz w:val="20"/>
          <w:szCs w:val="20"/>
        </w:rPr>
        <w:t>.</w:t>
      </w:r>
    </w:p>
    <w:p w14:paraId="279A72DC" w14:textId="77777777" w:rsidR="00A80A21" w:rsidRDefault="00A80A21">
      <w:pPr>
        <w:jc w:val="both"/>
        <w:rPr>
          <w:rFonts w:ascii="Arial" w:hAnsi="Arial" w:cs="Arial"/>
          <w:sz w:val="20"/>
          <w:szCs w:val="20"/>
        </w:rPr>
      </w:pPr>
    </w:p>
    <w:p w14:paraId="6B353444" w14:textId="77777777" w:rsidR="00A80A21" w:rsidRDefault="00BC5F10" w:rsidP="00964044">
      <w:pPr>
        <w:pStyle w:val="Heading2"/>
        <w:spacing w:after="240"/>
        <w:jc w:val="both"/>
        <w:rPr>
          <w:rFonts w:cs="Arial"/>
          <w:sz w:val="20"/>
          <w:szCs w:val="20"/>
        </w:rPr>
      </w:pPr>
      <w:r>
        <w:rPr>
          <w:rFonts w:cs="Arial"/>
          <w:sz w:val="20"/>
          <w:szCs w:val="20"/>
        </w:rPr>
        <w:t>Antibacterial role in pancreatic insufficiency</w:t>
      </w:r>
    </w:p>
    <w:p w14:paraId="73230671" w14:textId="0FCE6075" w:rsidR="00A80A21" w:rsidRDefault="00BC5F10" w:rsidP="00964044">
      <w:pPr>
        <w:spacing w:after="240" w:line="276" w:lineRule="auto"/>
        <w:jc w:val="both"/>
        <w:rPr>
          <w:rFonts w:ascii="Arial" w:hAnsi="Arial" w:cs="Arial"/>
          <w:sz w:val="20"/>
          <w:szCs w:val="20"/>
        </w:rPr>
      </w:pPr>
      <w:r>
        <w:rPr>
          <w:rFonts w:ascii="Arial" w:hAnsi="Arial" w:cs="Arial"/>
          <w:color w:val="000000"/>
          <w:sz w:val="20"/>
          <w:szCs w:val="20"/>
        </w:rPr>
        <w:t xml:space="preserve">The antibacterial properties of </w:t>
      </w:r>
      <w:r>
        <w:rPr>
          <w:rFonts w:ascii="Arial" w:hAnsi="Arial" w:cs="Arial"/>
          <w:i/>
          <w:iCs/>
          <w:color w:val="000000"/>
          <w:sz w:val="20"/>
          <w:szCs w:val="20"/>
        </w:rPr>
        <w:t xml:space="preserve">Elephantorrhiza elephantina </w:t>
      </w:r>
      <w:r>
        <w:rPr>
          <w:rFonts w:ascii="Arial" w:hAnsi="Arial" w:cs="Arial"/>
          <w:color w:val="000000"/>
          <w:sz w:val="20"/>
          <w:szCs w:val="20"/>
        </w:rPr>
        <w:t xml:space="preserve">extracts may offer additional benefits in the context of pancreatic insufficiency, particularly in cases where bacterial infections, such as </w:t>
      </w:r>
      <w:r>
        <w:rPr>
          <w:rFonts w:ascii="Arial" w:hAnsi="Arial" w:cs="Arial"/>
          <w:i/>
          <w:iCs/>
          <w:color w:val="000000"/>
          <w:sz w:val="20"/>
          <w:szCs w:val="20"/>
        </w:rPr>
        <w:t>Escher</w:t>
      </w:r>
      <w:r>
        <w:rPr>
          <w:rFonts w:ascii="Arial" w:hAnsi="Arial" w:cs="Arial"/>
          <w:i/>
          <w:iCs/>
          <w:color w:val="000000"/>
          <w:sz w:val="20"/>
          <w:szCs w:val="20"/>
        </w:rPr>
        <w:t>ichia coli</w:t>
      </w:r>
      <w:r>
        <w:rPr>
          <w:rFonts w:ascii="Arial" w:hAnsi="Arial" w:cs="Arial"/>
          <w:color w:val="000000"/>
          <w:sz w:val="20"/>
          <w:szCs w:val="20"/>
        </w:rPr>
        <w:t>, contribute to disease exacerbation or complications</w:t>
      </w:r>
      <w:r w:rsidR="00EB33F2">
        <w:rPr>
          <w:rFonts w:ascii="Arial" w:hAnsi="Arial" w:cs="Arial"/>
          <w:color w:val="000000"/>
          <w:sz w:val="20"/>
          <w:szCs w:val="20"/>
          <w:vertAlign w:val="superscript"/>
        </w:rPr>
        <w:t>4</w:t>
      </w:r>
      <w:r>
        <w:rPr>
          <w:rFonts w:ascii="Arial" w:hAnsi="Arial" w:cs="Arial"/>
          <w:color w:val="000000"/>
          <w:sz w:val="20"/>
          <w:szCs w:val="20"/>
        </w:rPr>
        <w:t xml:space="preserve">. Pancreatic insufficiency can disrupt the normal gut microbiota, predisposing individuals to bacterial overgrowth and infections, which can further compromise pancreatic function and overall </w:t>
      </w:r>
      <w:r>
        <w:rPr>
          <w:rFonts w:ascii="Arial" w:hAnsi="Arial" w:cs="Arial"/>
          <w:color w:val="000000"/>
          <w:sz w:val="20"/>
          <w:szCs w:val="20"/>
        </w:rPr>
        <w:t xml:space="preserve">health. </w:t>
      </w:r>
      <w:r w:rsidR="00EB33F2">
        <w:rPr>
          <w:rFonts w:ascii="Arial" w:hAnsi="Arial" w:cs="Arial"/>
          <w:color w:val="000000"/>
          <w:sz w:val="20"/>
          <w:szCs w:val="20"/>
        </w:rPr>
        <w:t xml:space="preserve">Some </w:t>
      </w:r>
      <w:r>
        <w:rPr>
          <w:rFonts w:ascii="Arial" w:hAnsi="Arial" w:cs="Arial"/>
          <w:color w:val="000000"/>
          <w:sz w:val="20"/>
          <w:szCs w:val="20"/>
        </w:rPr>
        <w:t>antibiotics have been linked to lower efficacy of immunotherapy in solid tumours, but systematic assessment of antibiotic administration in pancreatic cancer patients remains to be performed</w:t>
      </w:r>
      <w:r>
        <w:rPr>
          <w:rFonts w:ascii="Arial" w:hAnsi="Arial" w:cs="Arial"/>
          <w:color w:val="000000"/>
          <w:sz w:val="20"/>
          <w:szCs w:val="20"/>
          <w:vertAlign w:val="superscript"/>
        </w:rPr>
        <w:t>1</w:t>
      </w:r>
      <w:r w:rsidR="00EB33F2">
        <w:rPr>
          <w:rFonts w:ascii="Arial" w:hAnsi="Arial" w:cs="Arial"/>
          <w:color w:val="000000"/>
          <w:sz w:val="20"/>
          <w:szCs w:val="20"/>
          <w:vertAlign w:val="superscript"/>
        </w:rPr>
        <w:t>1</w:t>
      </w:r>
      <w:r>
        <w:rPr>
          <w:rFonts w:ascii="Arial" w:hAnsi="Arial" w:cs="Arial"/>
          <w:color w:val="000000"/>
          <w:sz w:val="20"/>
          <w:szCs w:val="20"/>
        </w:rPr>
        <w:t xml:space="preserve">. </w:t>
      </w:r>
    </w:p>
    <w:p w14:paraId="21BB1311" w14:textId="77777777" w:rsidR="00A80A21" w:rsidRDefault="00BC5F10" w:rsidP="00EB33F2">
      <w:pPr>
        <w:pStyle w:val="Heading1"/>
        <w:spacing w:after="240"/>
        <w:jc w:val="both"/>
        <w:rPr>
          <w:rFonts w:cs="Arial"/>
          <w:sz w:val="20"/>
          <w:szCs w:val="20"/>
        </w:rPr>
      </w:pPr>
      <w:r>
        <w:rPr>
          <w:rFonts w:cs="Arial"/>
          <w:sz w:val="20"/>
          <w:szCs w:val="20"/>
        </w:rPr>
        <w:t>Materials and methods</w:t>
      </w:r>
    </w:p>
    <w:p w14:paraId="20D729F3" w14:textId="77777777" w:rsidR="00A80A21" w:rsidRDefault="00BC5F10" w:rsidP="00EB33F2">
      <w:pPr>
        <w:pStyle w:val="Heading2"/>
        <w:spacing w:after="240" w:line="276" w:lineRule="auto"/>
        <w:jc w:val="both"/>
        <w:rPr>
          <w:rFonts w:cs="Arial"/>
          <w:sz w:val="20"/>
          <w:szCs w:val="20"/>
        </w:rPr>
      </w:pPr>
      <w:r>
        <w:rPr>
          <w:rFonts w:cs="Arial"/>
          <w:sz w:val="20"/>
          <w:szCs w:val="20"/>
        </w:rPr>
        <w:t>Materials, equipment and f</w:t>
      </w:r>
      <w:r>
        <w:rPr>
          <w:rFonts w:cs="Arial"/>
          <w:sz w:val="20"/>
          <w:szCs w:val="20"/>
        </w:rPr>
        <w:t>acilities</w:t>
      </w:r>
    </w:p>
    <w:p w14:paraId="797120A5" w14:textId="77821700" w:rsidR="00A80A21" w:rsidRDefault="00BC5F10" w:rsidP="00EB33F2">
      <w:pPr>
        <w:spacing w:after="240" w:line="276" w:lineRule="auto"/>
        <w:jc w:val="both"/>
        <w:rPr>
          <w:rFonts w:ascii="Arial" w:hAnsi="Arial" w:cs="Arial"/>
          <w:color w:val="000000"/>
          <w:sz w:val="20"/>
          <w:szCs w:val="20"/>
        </w:rPr>
      </w:pPr>
      <w:r>
        <w:rPr>
          <w:rFonts w:ascii="Arial" w:hAnsi="Arial" w:cs="Arial"/>
          <w:color w:val="000000"/>
          <w:sz w:val="20"/>
          <w:szCs w:val="20"/>
        </w:rPr>
        <w:t>Prior to the investigations, animal use and research</w:t>
      </w:r>
      <w:r w:rsidR="00EB33F2">
        <w:rPr>
          <w:rFonts w:ascii="Arial" w:hAnsi="Arial" w:cs="Arial"/>
          <w:color w:val="000000"/>
          <w:sz w:val="20"/>
          <w:szCs w:val="20"/>
        </w:rPr>
        <w:t xml:space="preserve">, </w:t>
      </w:r>
      <w:r>
        <w:rPr>
          <w:rFonts w:ascii="Arial" w:hAnsi="Arial" w:cs="Arial"/>
          <w:color w:val="000000"/>
          <w:sz w:val="20"/>
          <w:szCs w:val="20"/>
        </w:rPr>
        <w:t xml:space="preserve">ethics approvals were obtained from the Joint Parirenyatwa Research Ethics Committee (JREC) which is the local </w:t>
      </w:r>
      <w:r w:rsidR="00EB33F2">
        <w:rPr>
          <w:rFonts w:ascii="Arial" w:hAnsi="Arial" w:cs="Arial"/>
          <w:color w:val="000000"/>
          <w:sz w:val="20"/>
          <w:szCs w:val="20"/>
        </w:rPr>
        <w:t>r</w:t>
      </w:r>
      <w:r>
        <w:rPr>
          <w:rFonts w:ascii="Arial" w:hAnsi="Arial" w:cs="Arial"/>
          <w:color w:val="000000"/>
          <w:sz w:val="20"/>
          <w:szCs w:val="20"/>
        </w:rPr>
        <w:t xml:space="preserve">esearch </w:t>
      </w:r>
      <w:r w:rsidR="00EB33F2">
        <w:rPr>
          <w:rFonts w:ascii="Arial" w:hAnsi="Arial" w:cs="Arial"/>
          <w:color w:val="000000"/>
          <w:sz w:val="20"/>
          <w:szCs w:val="20"/>
        </w:rPr>
        <w:t>i</w:t>
      </w:r>
      <w:r>
        <w:rPr>
          <w:rFonts w:ascii="Arial" w:hAnsi="Arial" w:cs="Arial"/>
          <w:color w:val="000000"/>
          <w:sz w:val="20"/>
          <w:szCs w:val="20"/>
        </w:rPr>
        <w:t xml:space="preserve">nstitutional </w:t>
      </w:r>
      <w:r w:rsidR="00EB33F2">
        <w:rPr>
          <w:rFonts w:ascii="Arial" w:hAnsi="Arial" w:cs="Arial"/>
          <w:color w:val="000000"/>
          <w:sz w:val="20"/>
          <w:szCs w:val="20"/>
        </w:rPr>
        <w:t>r</w:t>
      </w:r>
      <w:r>
        <w:rPr>
          <w:rFonts w:ascii="Arial" w:hAnsi="Arial" w:cs="Arial"/>
          <w:color w:val="000000"/>
          <w:sz w:val="20"/>
          <w:szCs w:val="20"/>
        </w:rPr>
        <w:t>eview board for the University of Zimbabwe. Animals were handled according to ethical animal use and those exhibiting any form of adverse reactions were euthanized upon completion of the experiment. Prior to commencement of the study, all the equipment was</w:t>
      </w:r>
      <w:r>
        <w:rPr>
          <w:rFonts w:ascii="Arial" w:hAnsi="Arial" w:cs="Arial"/>
          <w:color w:val="000000"/>
          <w:sz w:val="20"/>
          <w:szCs w:val="20"/>
        </w:rPr>
        <w:t xml:space="preserve"> inspected for functionality and calibrated for reliable and reproducible data acquisition. The execution of this study necessitated the utilisation of a range of sophisticated equipment and specialised facilities to ensure the integrity and accuracy of th</w:t>
      </w:r>
      <w:r>
        <w:rPr>
          <w:rFonts w:ascii="Arial" w:hAnsi="Arial" w:cs="Arial"/>
          <w:color w:val="000000"/>
          <w:sz w:val="20"/>
          <w:szCs w:val="20"/>
        </w:rPr>
        <w:t xml:space="preserve">e experimental data. All chemicals, associated reagents, equipment and facilities for the </w:t>
      </w:r>
      <w:r>
        <w:rPr>
          <w:rFonts w:ascii="Arial" w:hAnsi="Arial" w:cs="Arial"/>
          <w:i/>
          <w:iCs/>
          <w:color w:val="000000"/>
          <w:sz w:val="20"/>
          <w:szCs w:val="20"/>
        </w:rPr>
        <w:t>in-vivo</w:t>
      </w:r>
      <w:r>
        <w:rPr>
          <w:rFonts w:ascii="Arial" w:hAnsi="Arial" w:cs="Arial"/>
          <w:color w:val="000000"/>
          <w:sz w:val="20"/>
          <w:szCs w:val="20"/>
        </w:rPr>
        <w:t xml:space="preserve"> laboratory animal toxicity investigations and the bioactivity assays were obtained from the University of Zimbabwe, Faculty of Medicine and Health Sciences la</w:t>
      </w:r>
      <w:r>
        <w:rPr>
          <w:rFonts w:ascii="Arial" w:hAnsi="Arial" w:cs="Arial"/>
          <w:color w:val="000000"/>
          <w:sz w:val="20"/>
          <w:szCs w:val="20"/>
        </w:rPr>
        <w:t>boratories.</w:t>
      </w:r>
    </w:p>
    <w:p w14:paraId="03FE6430" w14:textId="77777777" w:rsidR="00A80A21" w:rsidRDefault="00A80A21">
      <w:pPr>
        <w:jc w:val="both"/>
        <w:rPr>
          <w:rFonts w:ascii="Arial" w:hAnsi="Arial" w:cs="Arial"/>
          <w:color w:val="000000"/>
          <w:sz w:val="20"/>
          <w:szCs w:val="20"/>
        </w:rPr>
      </w:pPr>
    </w:p>
    <w:p w14:paraId="51563DDC" w14:textId="77777777" w:rsidR="00A80A21" w:rsidRDefault="00BC5F10" w:rsidP="00942516">
      <w:pPr>
        <w:pStyle w:val="Heading2"/>
        <w:spacing w:after="240" w:line="276" w:lineRule="auto"/>
        <w:jc w:val="both"/>
        <w:rPr>
          <w:rFonts w:cs="Arial"/>
          <w:sz w:val="20"/>
          <w:szCs w:val="20"/>
        </w:rPr>
      </w:pPr>
      <w:r>
        <w:rPr>
          <w:rFonts w:cs="Arial"/>
          <w:sz w:val="20"/>
          <w:szCs w:val="20"/>
        </w:rPr>
        <w:lastRenderedPageBreak/>
        <w:t>Plant material collection and preparation</w:t>
      </w:r>
    </w:p>
    <w:p w14:paraId="748FF224" w14:textId="6A38BEC4" w:rsidR="00A80A21" w:rsidRDefault="00BC5F10" w:rsidP="00942516">
      <w:pPr>
        <w:spacing w:after="240" w:line="276" w:lineRule="auto"/>
        <w:jc w:val="both"/>
        <w:rPr>
          <w:rFonts w:ascii="Arial" w:hAnsi="Arial" w:cs="Arial"/>
          <w:color w:val="000000"/>
          <w:sz w:val="20"/>
          <w:szCs w:val="20"/>
        </w:rPr>
      </w:pPr>
      <w:r>
        <w:rPr>
          <w:rFonts w:ascii="Arial" w:hAnsi="Arial" w:cs="Arial"/>
          <w:color w:val="000000"/>
          <w:sz w:val="20"/>
          <w:szCs w:val="20"/>
        </w:rPr>
        <w:t xml:space="preserve">Fresh roots of </w:t>
      </w:r>
      <w:r>
        <w:rPr>
          <w:rFonts w:ascii="Arial" w:hAnsi="Arial" w:cs="Arial"/>
          <w:i/>
          <w:iCs/>
          <w:color w:val="000000"/>
          <w:sz w:val="20"/>
          <w:szCs w:val="20"/>
        </w:rPr>
        <w:t xml:space="preserve">Elephantorrhiza elephantina </w:t>
      </w:r>
      <w:r>
        <w:rPr>
          <w:rFonts w:ascii="Arial" w:hAnsi="Arial" w:cs="Arial"/>
          <w:color w:val="000000"/>
          <w:sz w:val="20"/>
          <w:szCs w:val="20"/>
        </w:rPr>
        <w:t xml:space="preserve"> were harvested from wild populations in areas around Zvimba area communal lands in Zimbabwe during the months of September and October</w:t>
      </w:r>
      <w:r w:rsidR="00DE25C7">
        <w:rPr>
          <w:rFonts w:ascii="Arial" w:hAnsi="Arial" w:cs="Arial"/>
          <w:color w:val="000000"/>
          <w:sz w:val="20"/>
          <w:szCs w:val="20"/>
        </w:rPr>
        <w:t xml:space="preserve"> 2024</w:t>
      </w:r>
      <w:r>
        <w:rPr>
          <w:rFonts w:ascii="Arial" w:hAnsi="Arial" w:cs="Arial"/>
          <w:color w:val="000000"/>
          <w:sz w:val="20"/>
          <w:szCs w:val="20"/>
        </w:rPr>
        <w:t>. These months are</w:t>
      </w:r>
      <w:r>
        <w:rPr>
          <w:rFonts w:ascii="Arial" w:hAnsi="Arial" w:cs="Arial"/>
          <w:color w:val="000000"/>
          <w:sz w:val="20"/>
          <w:szCs w:val="20"/>
        </w:rPr>
        <w:t xml:space="preserve"> ideal since they represent the end of the rainy season when plants are actively growing and accumulating secondary metabolites</w:t>
      </w:r>
      <w:r w:rsidR="00EB33F2">
        <w:rPr>
          <w:rFonts w:ascii="Arial" w:hAnsi="Arial" w:cs="Arial"/>
          <w:b/>
          <w:bCs/>
          <w:color w:val="000000"/>
          <w:sz w:val="20"/>
          <w:szCs w:val="20"/>
          <w:vertAlign w:val="superscript"/>
        </w:rPr>
        <w:t>9</w:t>
      </w:r>
      <w:r>
        <w:rPr>
          <w:rFonts w:ascii="Arial" w:hAnsi="Arial" w:cs="Arial"/>
          <w:color w:val="000000"/>
          <w:sz w:val="20"/>
          <w:szCs w:val="20"/>
        </w:rPr>
        <w:t>. The identity of the plant material was confirmed by a trained botanist at the National Herbarium of Zimbabwe. A voucher specim</w:t>
      </w:r>
      <w:r>
        <w:rPr>
          <w:rFonts w:ascii="Arial" w:hAnsi="Arial" w:cs="Arial"/>
          <w:color w:val="000000"/>
          <w:sz w:val="20"/>
          <w:szCs w:val="20"/>
        </w:rPr>
        <w:t>en was deposited at the herbarium for future reference. The collected roots were thoroughly washed with distilled water to remove any soil and debris. The plant material was air-dried under shade at room temperature until a constant weight was achieved. Th</w:t>
      </w:r>
      <w:r>
        <w:rPr>
          <w:rFonts w:ascii="Arial" w:hAnsi="Arial" w:cs="Arial"/>
          <w:color w:val="000000"/>
          <w:sz w:val="20"/>
          <w:szCs w:val="20"/>
        </w:rPr>
        <w:t xml:space="preserve">e shade drying process took 3 weeks and ensured that moisture content was minimised, thereby preventing microbial growth and enzymatic degradation of the plant material. The dried roots were then pulverized into a fine powder using a laboratory mechanical </w:t>
      </w:r>
      <w:r>
        <w:rPr>
          <w:rFonts w:ascii="Arial" w:hAnsi="Arial" w:cs="Arial"/>
          <w:color w:val="000000"/>
          <w:sz w:val="20"/>
          <w:szCs w:val="20"/>
        </w:rPr>
        <w:t xml:space="preserve">grinder. The powder was stored in airtight containers at room temperature, protected from light and moisture, until further use. </w:t>
      </w:r>
    </w:p>
    <w:p w14:paraId="03DDD5A2" w14:textId="77777777" w:rsidR="00A80A21" w:rsidRDefault="00BC5F10" w:rsidP="00942516">
      <w:pPr>
        <w:pStyle w:val="Heading2"/>
        <w:spacing w:after="240" w:line="276" w:lineRule="auto"/>
        <w:jc w:val="both"/>
        <w:rPr>
          <w:rFonts w:cs="Arial"/>
          <w:sz w:val="20"/>
          <w:szCs w:val="20"/>
        </w:rPr>
      </w:pPr>
      <w:r>
        <w:rPr>
          <w:rFonts w:cs="Arial"/>
          <w:sz w:val="20"/>
          <w:szCs w:val="20"/>
        </w:rPr>
        <w:t>Phytochemical extraction</w:t>
      </w:r>
    </w:p>
    <w:p w14:paraId="705951F5" w14:textId="7A7792EC" w:rsidR="00A80A21" w:rsidRDefault="00BC5F10" w:rsidP="00942516">
      <w:pPr>
        <w:spacing w:after="240" w:line="276" w:lineRule="auto"/>
        <w:jc w:val="both"/>
        <w:rPr>
          <w:rFonts w:ascii="Arial" w:hAnsi="Arial" w:cs="Arial"/>
          <w:color w:val="000000"/>
          <w:sz w:val="20"/>
          <w:szCs w:val="20"/>
        </w:rPr>
      </w:pPr>
      <w:r>
        <w:rPr>
          <w:rFonts w:ascii="Arial" w:hAnsi="Arial" w:cs="Arial"/>
          <w:color w:val="000000"/>
          <w:sz w:val="20"/>
          <w:szCs w:val="20"/>
        </w:rPr>
        <w:t xml:space="preserve">The extraction method </w:t>
      </w:r>
      <w:r w:rsidR="00DE25C7">
        <w:rPr>
          <w:rFonts w:ascii="Arial" w:hAnsi="Arial" w:cs="Arial"/>
          <w:color w:val="000000"/>
          <w:sz w:val="20"/>
          <w:szCs w:val="20"/>
        </w:rPr>
        <w:t xml:space="preserve">published </w:t>
      </w:r>
      <w:r>
        <w:rPr>
          <w:rFonts w:ascii="Arial" w:hAnsi="Arial" w:cs="Arial"/>
          <w:color w:val="000000"/>
          <w:sz w:val="20"/>
          <w:szCs w:val="20"/>
        </w:rPr>
        <w:t xml:space="preserve">by </w:t>
      </w:r>
      <w:r w:rsidR="00942516">
        <w:rPr>
          <w:rFonts w:ascii="Arial" w:hAnsi="Arial" w:cs="Arial"/>
          <w:color w:val="000000"/>
          <w:sz w:val="20"/>
          <w:szCs w:val="20"/>
        </w:rPr>
        <w:t xml:space="preserve">Chipato </w:t>
      </w:r>
      <w:r>
        <w:rPr>
          <w:rFonts w:ascii="Arial" w:hAnsi="Arial" w:cs="Arial"/>
          <w:color w:val="000000"/>
          <w:sz w:val="20"/>
          <w:szCs w:val="20"/>
        </w:rPr>
        <w:t>et al</w:t>
      </w:r>
      <w:r w:rsidR="00DE25C7">
        <w:rPr>
          <w:rFonts w:ascii="Arial" w:hAnsi="Arial" w:cs="Arial"/>
          <w:color w:val="000000"/>
          <w:sz w:val="20"/>
          <w:szCs w:val="20"/>
        </w:rPr>
        <w:t xml:space="preserve"> (2024)</w:t>
      </w:r>
      <w:r>
        <w:rPr>
          <w:rFonts w:ascii="Arial" w:hAnsi="Arial" w:cs="Arial"/>
          <w:color w:val="000000"/>
          <w:sz w:val="20"/>
          <w:szCs w:val="20"/>
        </w:rPr>
        <w:t>.</w:t>
      </w:r>
      <w:r w:rsidR="00942516">
        <w:rPr>
          <w:rFonts w:ascii="Arial" w:hAnsi="Arial" w:cs="Arial"/>
          <w:color w:val="000000"/>
          <w:sz w:val="20"/>
          <w:szCs w:val="20"/>
          <w:vertAlign w:val="superscript"/>
        </w:rPr>
        <w:t>2</w:t>
      </w:r>
      <w:r>
        <w:rPr>
          <w:rFonts w:ascii="Arial" w:hAnsi="Arial" w:cs="Arial"/>
          <w:color w:val="000000"/>
          <w:sz w:val="20"/>
          <w:szCs w:val="20"/>
        </w:rPr>
        <w:t xml:space="preserve">, was adopted with minor modification. 255g </w:t>
      </w:r>
      <w:r>
        <w:rPr>
          <w:rFonts w:ascii="Arial" w:hAnsi="Arial" w:cs="Arial"/>
          <w:color w:val="000000"/>
          <w:sz w:val="20"/>
          <w:szCs w:val="20"/>
        </w:rPr>
        <w:t xml:space="preserve">of </w:t>
      </w:r>
      <w:r>
        <w:rPr>
          <w:rFonts w:ascii="Arial" w:hAnsi="Arial" w:cs="Arial"/>
          <w:i/>
          <w:iCs/>
          <w:color w:val="000000"/>
          <w:sz w:val="20"/>
          <w:szCs w:val="20"/>
        </w:rPr>
        <w:t xml:space="preserve">E. elephantina </w:t>
      </w:r>
      <w:r>
        <w:rPr>
          <w:rFonts w:ascii="Arial" w:hAnsi="Arial" w:cs="Arial"/>
          <w:color w:val="000000"/>
          <w:sz w:val="20"/>
          <w:szCs w:val="20"/>
        </w:rPr>
        <w:t>root powder were weighed using an analytical balance and transferred to a sterile 2L amber bottle. 1200ml of 70% hydro-ethanolic mixture was added to the bottle containing the root powder. The mixture was then subjected to continuous agitation on an orbita</w:t>
      </w:r>
      <w:r>
        <w:rPr>
          <w:rFonts w:ascii="Arial" w:hAnsi="Arial" w:cs="Arial"/>
          <w:color w:val="000000"/>
          <w:sz w:val="20"/>
          <w:szCs w:val="20"/>
        </w:rPr>
        <w:t xml:space="preserve">l shaker at 120 rpm for 72 hours at room temperature. This duration was chosen to ensure maximal extraction of the secondary metabolites from the plant matrix. Following maceration, the mixture was filtered through several layers of muslin cloth to remove </w:t>
      </w:r>
      <w:r>
        <w:rPr>
          <w:rFonts w:ascii="Arial" w:hAnsi="Arial" w:cs="Arial"/>
          <w:color w:val="000000"/>
          <w:sz w:val="20"/>
          <w:szCs w:val="20"/>
        </w:rPr>
        <w:t>coarse particulate matter. The filtrate was then passed through Whatman No. 1 filter paper to remove any remaining fine particles. The resulting filtrate was concentrated under reduced pressure at 40°C using a rotary evaporator (Rotavapor® R-300, Buchi, Sw</w:t>
      </w:r>
      <w:r>
        <w:rPr>
          <w:rFonts w:ascii="Arial" w:hAnsi="Arial" w:cs="Arial"/>
          <w:color w:val="000000"/>
          <w:sz w:val="20"/>
          <w:szCs w:val="20"/>
        </w:rPr>
        <w:t xml:space="preserve">itzerland) until a crude extract was obtained. The concentrated extract was then lyophilized (Lyovapor l-200, </w:t>
      </w:r>
      <w:r w:rsidR="00DE25C7">
        <w:rPr>
          <w:rFonts w:ascii="Arial" w:hAnsi="Arial" w:cs="Arial"/>
          <w:color w:val="000000"/>
          <w:sz w:val="20"/>
          <w:szCs w:val="20"/>
        </w:rPr>
        <w:t>Buchi, Switzerland</w:t>
      </w:r>
      <w:r>
        <w:rPr>
          <w:rFonts w:ascii="Arial" w:hAnsi="Arial" w:cs="Arial"/>
          <w:color w:val="000000"/>
          <w:sz w:val="20"/>
          <w:szCs w:val="20"/>
        </w:rPr>
        <w:t>) to remove any residual solvent, resulting in a dry powder. The dry extract was weighed and stored in airtight containers at 4°</w:t>
      </w:r>
      <w:r>
        <w:rPr>
          <w:rFonts w:ascii="Arial" w:hAnsi="Arial" w:cs="Arial"/>
          <w:color w:val="000000"/>
          <w:sz w:val="20"/>
          <w:szCs w:val="20"/>
        </w:rPr>
        <w:t>C until further analysis.</w:t>
      </w:r>
    </w:p>
    <w:p w14:paraId="73B49191" w14:textId="77777777" w:rsidR="00A80A21" w:rsidRDefault="00BC5F10" w:rsidP="00D254C2">
      <w:pPr>
        <w:pStyle w:val="Heading2"/>
        <w:spacing w:after="240"/>
        <w:jc w:val="both"/>
        <w:rPr>
          <w:rFonts w:cs="Arial"/>
          <w:sz w:val="20"/>
          <w:szCs w:val="20"/>
        </w:rPr>
      </w:pPr>
      <w:r>
        <w:rPr>
          <w:rFonts w:cs="Arial"/>
          <w:sz w:val="20"/>
          <w:szCs w:val="20"/>
        </w:rPr>
        <w:t>Qualitative phytochemical analysis</w:t>
      </w:r>
    </w:p>
    <w:p w14:paraId="71415AC3" w14:textId="7D8A8E22" w:rsidR="00A80A21" w:rsidRDefault="00BC5F10" w:rsidP="00D254C2">
      <w:pPr>
        <w:spacing w:after="240" w:line="276" w:lineRule="auto"/>
        <w:jc w:val="both"/>
        <w:rPr>
          <w:rFonts w:ascii="Arial" w:hAnsi="Arial" w:cs="Arial"/>
          <w:color w:val="000000"/>
          <w:sz w:val="20"/>
          <w:szCs w:val="20"/>
        </w:rPr>
      </w:pPr>
      <w:r>
        <w:rPr>
          <w:rFonts w:ascii="Arial" w:hAnsi="Arial" w:cs="Arial"/>
          <w:color w:val="000000"/>
          <w:sz w:val="20"/>
          <w:szCs w:val="20"/>
        </w:rPr>
        <w:t xml:space="preserve">The qualitative tests for phytochemicals were done using standards test as described </w:t>
      </w:r>
      <w:r w:rsidR="00942516">
        <w:rPr>
          <w:rFonts w:ascii="Arial" w:hAnsi="Arial" w:cs="Arial"/>
          <w:color w:val="000000"/>
          <w:sz w:val="20"/>
          <w:szCs w:val="20"/>
        </w:rPr>
        <w:t xml:space="preserve">by </w:t>
      </w:r>
      <w:r>
        <w:rPr>
          <w:rFonts w:ascii="Arial" w:hAnsi="Arial" w:cs="Arial"/>
          <w:color w:val="000000"/>
          <w:sz w:val="20"/>
          <w:szCs w:val="20"/>
        </w:rPr>
        <w:t>Gwaze et al, 2025</w:t>
      </w:r>
      <w:r w:rsidR="00942516">
        <w:rPr>
          <w:rFonts w:ascii="Arial" w:hAnsi="Arial" w:cs="Arial"/>
          <w:color w:val="000000"/>
          <w:sz w:val="20"/>
          <w:szCs w:val="20"/>
          <w:vertAlign w:val="superscript"/>
        </w:rPr>
        <w:t>9</w:t>
      </w:r>
      <w:r>
        <w:rPr>
          <w:rFonts w:ascii="Arial" w:hAnsi="Arial" w:cs="Arial"/>
          <w:color w:val="000000"/>
          <w:sz w:val="20"/>
          <w:szCs w:val="20"/>
        </w:rPr>
        <w:t>,</w:t>
      </w:r>
      <w:r w:rsidR="00942516">
        <w:rPr>
          <w:rFonts w:ascii="Arial" w:hAnsi="Arial" w:cs="Arial"/>
          <w:color w:val="000000"/>
          <w:sz w:val="20"/>
          <w:szCs w:val="20"/>
        </w:rPr>
        <w:t xml:space="preserve"> with modifications to </w:t>
      </w:r>
      <w:r>
        <w:rPr>
          <w:rFonts w:ascii="Arial" w:hAnsi="Arial" w:cs="Arial"/>
          <w:color w:val="000000"/>
          <w:sz w:val="20"/>
          <w:szCs w:val="20"/>
        </w:rPr>
        <w:t>metabolomics studies. The qualitative tests were done to determin</w:t>
      </w:r>
      <w:r>
        <w:rPr>
          <w:rFonts w:ascii="Arial" w:hAnsi="Arial" w:cs="Arial"/>
          <w:color w:val="000000"/>
          <w:sz w:val="20"/>
          <w:szCs w:val="20"/>
        </w:rPr>
        <w:t>e the presence of absence of alkaloids, tannins, flavonoids, glycosides, phenolic compounds, saponins, and terpenoids</w:t>
      </w:r>
      <w:r w:rsidR="009B64BE">
        <w:rPr>
          <w:rFonts w:ascii="Arial" w:hAnsi="Arial" w:cs="Arial"/>
          <w:color w:val="000000"/>
          <w:sz w:val="20"/>
          <w:szCs w:val="20"/>
        </w:rPr>
        <w:t xml:space="preserve"> (Table 1)</w:t>
      </w:r>
      <w:r>
        <w:rPr>
          <w:rFonts w:ascii="Arial" w:hAnsi="Arial" w:cs="Arial"/>
          <w:color w:val="000000"/>
          <w:sz w:val="20"/>
          <w:szCs w:val="20"/>
        </w:rPr>
        <w:t>.</w:t>
      </w:r>
    </w:p>
    <w:p w14:paraId="54E565B3" w14:textId="77777777" w:rsidR="00DE25C7" w:rsidRPr="009B64BE" w:rsidRDefault="00DE25C7" w:rsidP="009B64BE">
      <w:pPr>
        <w:pStyle w:val="Caption"/>
      </w:pPr>
      <w:r w:rsidRPr="009B64BE">
        <w:t>Table 1. Metabolomics screening tests done on Elephantorrhiza elephantina  lyophilized extract</w:t>
      </w:r>
    </w:p>
    <w:tbl>
      <w:tblPr>
        <w:tblStyle w:val="ListTable21"/>
        <w:tblW w:w="0" w:type="auto"/>
        <w:tblLook w:val="04A0" w:firstRow="1" w:lastRow="0" w:firstColumn="1" w:lastColumn="0" w:noHBand="0" w:noVBand="1"/>
      </w:tblPr>
      <w:tblGrid>
        <w:gridCol w:w="2268"/>
        <w:gridCol w:w="3742"/>
        <w:gridCol w:w="3006"/>
      </w:tblGrid>
      <w:tr w:rsidR="00DE25C7" w14:paraId="44BA94F4" w14:textId="77777777" w:rsidTr="00DE25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F7B655B" w14:textId="77777777" w:rsidR="00DE25C7" w:rsidRDefault="00DE25C7" w:rsidP="009B64BE">
            <w:pPr>
              <w:rPr>
                <w:rFonts w:ascii="Arial" w:hAnsi="Arial" w:cs="Arial"/>
                <w:b w:val="0"/>
                <w:bCs w:val="0"/>
                <w:sz w:val="20"/>
                <w:szCs w:val="20"/>
              </w:rPr>
            </w:pPr>
            <w:r>
              <w:rPr>
                <w:rFonts w:ascii="Arial" w:hAnsi="Arial" w:cs="Arial"/>
                <w:sz w:val="20"/>
                <w:szCs w:val="20"/>
              </w:rPr>
              <w:t>Metabolomics</w:t>
            </w:r>
          </w:p>
        </w:tc>
        <w:tc>
          <w:tcPr>
            <w:tcW w:w="3742" w:type="dxa"/>
          </w:tcPr>
          <w:p w14:paraId="3BEC5263" w14:textId="77777777" w:rsidR="00DE25C7" w:rsidRDefault="00DE25C7" w:rsidP="009B64BE">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sz w:val="20"/>
                <w:szCs w:val="20"/>
              </w:rPr>
              <w:t>Screening test done</w:t>
            </w:r>
          </w:p>
        </w:tc>
        <w:tc>
          <w:tcPr>
            <w:tcW w:w="3006" w:type="dxa"/>
          </w:tcPr>
          <w:p w14:paraId="74218364" w14:textId="77777777" w:rsidR="00DE25C7" w:rsidRDefault="00DE25C7" w:rsidP="009B64BE">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sz w:val="20"/>
                <w:szCs w:val="20"/>
              </w:rPr>
              <w:t>Results interpretation</w:t>
            </w:r>
          </w:p>
        </w:tc>
      </w:tr>
      <w:tr w:rsidR="00DE25C7" w14:paraId="6C19599D" w14:textId="77777777" w:rsidTr="00DE25C7">
        <w:trPr>
          <w:trHeight w:val="2497"/>
        </w:trPr>
        <w:tc>
          <w:tcPr>
            <w:cnfStyle w:val="001000000000" w:firstRow="0" w:lastRow="0" w:firstColumn="1" w:lastColumn="0" w:oddVBand="0" w:evenVBand="0" w:oddHBand="0" w:evenHBand="0" w:firstRowFirstColumn="0" w:firstRowLastColumn="0" w:lastRowFirstColumn="0" w:lastRowLastColumn="0"/>
            <w:tcW w:w="2268" w:type="dxa"/>
          </w:tcPr>
          <w:p w14:paraId="44F137C5" w14:textId="77777777" w:rsidR="00DE25C7" w:rsidRDefault="00DE25C7" w:rsidP="009B64BE">
            <w:pPr>
              <w:rPr>
                <w:rFonts w:ascii="Arial" w:hAnsi="Arial" w:cs="Arial"/>
                <w:sz w:val="20"/>
                <w:szCs w:val="20"/>
              </w:rPr>
            </w:pPr>
            <w:r>
              <w:rPr>
                <w:rFonts w:ascii="Arial" w:hAnsi="Arial" w:cs="Arial"/>
                <w:sz w:val="20"/>
                <w:szCs w:val="20"/>
              </w:rPr>
              <w:t>Test for alkaloids</w:t>
            </w:r>
          </w:p>
        </w:tc>
        <w:tc>
          <w:tcPr>
            <w:tcW w:w="3742" w:type="dxa"/>
          </w:tcPr>
          <w:p w14:paraId="74F56651"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sz w:val="20"/>
                <w:szCs w:val="20"/>
              </w:rPr>
              <w:t>Dragendroff’s test.</w:t>
            </w:r>
            <w:r>
              <w:rPr>
                <w:rFonts w:ascii="Arial" w:hAnsi="Arial" w:cs="Arial"/>
                <w:sz w:val="20"/>
                <w:szCs w:val="20"/>
              </w:rPr>
              <w:t xml:space="preserve"> To 5ml of the lyophilized extract solution in a test tube, 2 drops of Dragendroff’s reagent were added.</w:t>
            </w:r>
          </w:p>
          <w:p w14:paraId="056324E5"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78B1538"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sz w:val="20"/>
                <w:szCs w:val="20"/>
              </w:rPr>
              <w:t>Iodine test</w:t>
            </w:r>
            <w:r>
              <w:rPr>
                <w:rFonts w:ascii="Arial" w:hAnsi="Arial" w:cs="Arial"/>
                <w:sz w:val="20"/>
                <w:szCs w:val="20"/>
              </w:rPr>
              <w:t>. Few drops of iodine solution were slowly added along the sides of the test tube containing 3ml of the lyophilized extract solution</w:t>
            </w:r>
          </w:p>
        </w:tc>
        <w:tc>
          <w:tcPr>
            <w:tcW w:w="3006" w:type="dxa"/>
          </w:tcPr>
          <w:p w14:paraId="3DB9EFBE"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 presence of alkaloids was determined by the reddish-brown precipitate</w:t>
            </w:r>
          </w:p>
          <w:p w14:paraId="212F232B"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864E59D"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1C98C54"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 presence of alkaloids was then identified by the appearance of a blue colour, which disappears on boiling and reappears on cooling.</w:t>
            </w:r>
          </w:p>
        </w:tc>
      </w:tr>
      <w:tr w:rsidR="00DE25C7" w14:paraId="17B50BE5" w14:textId="77777777" w:rsidTr="00DE25C7">
        <w:trPr>
          <w:trHeight w:val="1413"/>
        </w:trPr>
        <w:tc>
          <w:tcPr>
            <w:cnfStyle w:val="001000000000" w:firstRow="0" w:lastRow="0" w:firstColumn="1" w:lastColumn="0" w:oddVBand="0" w:evenVBand="0" w:oddHBand="0" w:evenHBand="0" w:firstRowFirstColumn="0" w:firstRowLastColumn="0" w:lastRowFirstColumn="0" w:lastRowLastColumn="0"/>
            <w:tcW w:w="2268" w:type="dxa"/>
          </w:tcPr>
          <w:p w14:paraId="238FD9D8" w14:textId="77777777" w:rsidR="00DE25C7" w:rsidRDefault="00DE25C7" w:rsidP="009B64BE">
            <w:pPr>
              <w:rPr>
                <w:rFonts w:ascii="Arial" w:hAnsi="Arial" w:cs="Arial"/>
                <w:sz w:val="20"/>
                <w:szCs w:val="20"/>
              </w:rPr>
            </w:pPr>
            <w:r>
              <w:rPr>
                <w:rFonts w:ascii="Arial" w:hAnsi="Arial" w:cs="Arial"/>
                <w:sz w:val="20"/>
                <w:szCs w:val="20"/>
              </w:rPr>
              <w:lastRenderedPageBreak/>
              <w:t>Test for tannins</w:t>
            </w:r>
          </w:p>
        </w:tc>
        <w:tc>
          <w:tcPr>
            <w:tcW w:w="3742" w:type="dxa"/>
          </w:tcPr>
          <w:p w14:paraId="60A4E60B"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color w:val="000000"/>
                <w:sz w:val="20"/>
                <w:szCs w:val="20"/>
              </w:rPr>
              <w:t>Braymer’s test</w:t>
            </w:r>
          </w:p>
          <w:p w14:paraId="311A2524"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Ferric chloride test. 2 drops of ferric chloride were added to 5ml of the prepared extract of lyophilized </w:t>
            </w:r>
            <w:r>
              <w:rPr>
                <w:rFonts w:ascii="Arial" w:hAnsi="Arial" w:cs="Arial"/>
                <w:i/>
                <w:iCs/>
                <w:sz w:val="20"/>
                <w:szCs w:val="20"/>
              </w:rPr>
              <w:t>E. elephantina</w:t>
            </w:r>
            <w:r>
              <w:rPr>
                <w:rFonts w:ascii="Arial" w:hAnsi="Arial" w:cs="Arial"/>
                <w:sz w:val="20"/>
                <w:szCs w:val="20"/>
              </w:rPr>
              <w:t xml:space="preserve"> solution</w:t>
            </w:r>
          </w:p>
        </w:tc>
        <w:tc>
          <w:tcPr>
            <w:tcW w:w="3006" w:type="dxa"/>
          </w:tcPr>
          <w:p w14:paraId="530F9431"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 presence of catechic tannins signalled by the development of a green-blue colour, a black-blue colour indicated the presence of Gallic tannins</w:t>
            </w:r>
          </w:p>
        </w:tc>
      </w:tr>
      <w:tr w:rsidR="00DE25C7" w14:paraId="60FFB241" w14:textId="77777777" w:rsidTr="00DE25C7">
        <w:trPr>
          <w:trHeight w:val="1263"/>
        </w:trPr>
        <w:tc>
          <w:tcPr>
            <w:cnfStyle w:val="001000000000" w:firstRow="0" w:lastRow="0" w:firstColumn="1" w:lastColumn="0" w:oddVBand="0" w:evenVBand="0" w:oddHBand="0" w:evenHBand="0" w:firstRowFirstColumn="0" w:firstRowLastColumn="0" w:lastRowFirstColumn="0" w:lastRowLastColumn="0"/>
            <w:tcW w:w="2268" w:type="dxa"/>
          </w:tcPr>
          <w:p w14:paraId="17961FD8" w14:textId="77777777" w:rsidR="00DE25C7" w:rsidRDefault="00DE25C7" w:rsidP="009B64BE">
            <w:pPr>
              <w:rPr>
                <w:rFonts w:ascii="Arial" w:hAnsi="Arial" w:cs="Arial"/>
                <w:sz w:val="20"/>
                <w:szCs w:val="20"/>
              </w:rPr>
            </w:pPr>
            <w:r>
              <w:rPr>
                <w:rFonts w:ascii="Arial" w:hAnsi="Arial" w:cs="Arial"/>
                <w:sz w:val="20"/>
                <w:szCs w:val="20"/>
              </w:rPr>
              <w:t>Test for flavonoids</w:t>
            </w:r>
          </w:p>
        </w:tc>
        <w:tc>
          <w:tcPr>
            <w:tcW w:w="3742" w:type="dxa"/>
          </w:tcPr>
          <w:p w14:paraId="7550582A"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sz w:val="20"/>
                <w:szCs w:val="20"/>
              </w:rPr>
              <w:t>Ammonia test.</w:t>
            </w:r>
            <w:r>
              <w:rPr>
                <w:rFonts w:ascii="Arial" w:hAnsi="Arial" w:cs="Arial"/>
                <w:sz w:val="20"/>
                <w:szCs w:val="20"/>
              </w:rPr>
              <w:t xml:space="preserve"> </w:t>
            </w:r>
            <w:r>
              <w:rPr>
                <w:rFonts w:ascii="Arial" w:hAnsi="Arial" w:cs="Arial"/>
                <w:color w:val="000000"/>
                <w:sz w:val="20"/>
                <w:szCs w:val="20"/>
              </w:rPr>
              <w:t>5ml dilute ammonia solution was added to 5ml of the prepared lyophilized extract solution followed by a few drops of conc. H2SO4</w:t>
            </w:r>
          </w:p>
        </w:tc>
        <w:tc>
          <w:tcPr>
            <w:tcW w:w="3006" w:type="dxa"/>
          </w:tcPr>
          <w:p w14:paraId="26533407"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rPr>
              <w:t>The emergence of a yellow colour indicates the presence of flavonoids.</w:t>
            </w:r>
          </w:p>
        </w:tc>
      </w:tr>
      <w:tr w:rsidR="00DE25C7" w14:paraId="128711E4" w14:textId="77777777" w:rsidTr="00DE25C7">
        <w:trPr>
          <w:trHeight w:val="1547"/>
        </w:trPr>
        <w:tc>
          <w:tcPr>
            <w:cnfStyle w:val="001000000000" w:firstRow="0" w:lastRow="0" w:firstColumn="1" w:lastColumn="0" w:oddVBand="0" w:evenVBand="0" w:oddHBand="0" w:evenHBand="0" w:firstRowFirstColumn="0" w:firstRowLastColumn="0" w:lastRowFirstColumn="0" w:lastRowLastColumn="0"/>
            <w:tcW w:w="2268" w:type="dxa"/>
          </w:tcPr>
          <w:p w14:paraId="4C664CEA" w14:textId="77777777" w:rsidR="00DE25C7" w:rsidRDefault="00DE25C7" w:rsidP="009B64BE">
            <w:pPr>
              <w:rPr>
                <w:rFonts w:ascii="Arial" w:hAnsi="Arial" w:cs="Arial"/>
                <w:sz w:val="20"/>
                <w:szCs w:val="20"/>
              </w:rPr>
            </w:pPr>
            <w:r>
              <w:rPr>
                <w:rFonts w:ascii="Arial" w:hAnsi="Arial" w:cs="Arial"/>
                <w:sz w:val="20"/>
                <w:szCs w:val="20"/>
              </w:rPr>
              <w:t>Test for saponins</w:t>
            </w:r>
          </w:p>
        </w:tc>
        <w:tc>
          <w:tcPr>
            <w:tcW w:w="3742" w:type="dxa"/>
          </w:tcPr>
          <w:p w14:paraId="0BA19D07"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sz w:val="20"/>
                <w:szCs w:val="20"/>
              </w:rPr>
              <w:t>The simplified foam test</w:t>
            </w:r>
            <w:r>
              <w:rPr>
                <w:rFonts w:ascii="Arial" w:hAnsi="Arial" w:cs="Arial"/>
                <w:sz w:val="20"/>
                <w:szCs w:val="20"/>
              </w:rPr>
              <w:t>. 5ml of the extract solution was added to 30ml distilled water in a 100ml measuring cylinder. The mixture was then shaken for 2 mins.</w:t>
            </w:r>
          </w:p>
        </w:tc>
        <w:tc>
          <w:tcPr>
            <w:tcW w:w="3006" w:type="dxa"/>
          </w:tcPr>
          <w:p w14:paraId="5211DE39"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 development of head form more than 1cm in the measuring cylinder confirmed the presence of saponins.</w:t>
            </w:r>
          </w:p>
        </w:tc>
      </w:tr>
      <w:tr w:rsidR="00DE25C7" w14:paraId="56E4B128" w14:textId="77777777" w:rsidTr="00DE25C7">
        <w:trPr>
          <w:trHeight w:val="983"/>
        </w:trPr>
        <w:tc>
          <w:tcPr>
            <w:cnfStyle w:val="001000000000" w:firstRow="0" w:lastRow="0" w:firstColumn="1" w:lastColumn="0" w:oddVBand="0" w:evenVBand="0" w:oddHBand="0" w:evenHBand="0" w:firstRowFirstColumn="0" w:firstRowLastColumn="0" w:lastRowFirstColumn="0" w:lastRowLastColumn="0"/>
            <w:tcW w:w="2268" w:type="dxa"/>
          </w:tcPr>
          <w:p w14:paraId="62C621DB" w14:textId="77777777" w:rsidR="00DE25C7" w:rsidRDefault="00DE25C7" w:rsidP="009B64BE">
            <w:pPr>
              <w:rPr>
                <w:rFonts w:ascii="Arial" w:hAnsi="Arial" w:cs="Arial"/>
                <w:sz w:val="20"/>
                <w:szCs w:val="20"/>
              </w:rPr>
            </w:pPr>
            <w:r>
              <w:rPr>
                <w:rFonts w:ascii="Arial" w:hAnsi="Arial" w:cs="Arial"/>
                <w:sz w:val="20"/>
                <w:szCs w:val="20"/>
              </w:rPr>
              <w:t>Test for terpenoids</w:t>
            </w:r>
          </w:p>
        </w:tc>
        <w:tc>
          <w:tcPr>
            <w:tcW w:w="3742" w:type="dxa"/>
          </w:tcPr>
          <w:p w14:paraId="660DBA14"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sz w:val="20"/>
                <w:szCs w:val="20"/>
              </w:rPr>
              <w:t>The Salkowski test</w:t>
            </w:r>
            <w:r>
              <w:rPr>
                <w:rFonts w:ascii="Arial" w:hAnsi="Arial" w:cs="Arial"/>
                <w:sz w:val="20"/>
                <w:szCs w:val="20"/>
              </w:rPr>
              <w:t>. 5ml of chloroform were added to 5ml of the extract liquor in a test tube followed by the addition of 1ml of concentrated H</w:t>
            </w:r>
            <w:r>
              <w:rPr>
                <w:rFonts w:ascii="Arial" w:hAnsi="Arial" w:cs="Arial"/>
                <w:sz w:val="20"/>
                <w:szCs w:val="20"/>
                <w:vertAlign w:val="subscript"/>
              </w:rPr>
              <w:t>2</w:t>
            </w:r>
            <w:r>
              <w:rPr>
                <w:rFonts w:ascii="Arial" w:hAnsi="Arial" w:cs="Arial"/>
                <w:sz w:val="20"/>
                <w:szCs w:val="20"/>
              </w:rPr>
              <w:t>SO</w:t>
            </w:r>
            <w:r>
              <w:rPr>
                <w:rFonts w:ascii="Arial" w:hAnsi="Arial" w:cs="Arial"/>
                <w:sz w:val="20"/>
                <w:szCs w:val="20"/>
                <w:vertAlign w:val="subscript"/>
              </w:rPr>
              <w:t>4.</w:t>
            </w:r>
          </w:p>
        </w:tc>
        <w:tc>
          <w:tcPr>
            <w:tcW w:w="3006" w:type="dxa"/>
          </w:tcPr>
          <w:p w14:paraId="37A88435"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 grey coloured solution indicated the presence of terpenoids.</w:t>
            </w:r>
          </w:p>
        </w:tc>
      </w:tr>
      <w:tr w:rsidR="00DE25C7" w14:paraId="2A8EF638" w14:textId="77777777" w:rsidTr="00DE25C7">
        <w:trPr>
          <w:trHeight w:val="1979"/>
        </w:trPr>
        <w:tc>
          <w:tcPr>
            <w:cnfStyle w:val="001000000000" w:firstRow="0" w:lastRow="0" w:firstColumn="1" w:lastColumn="0" w:oddVBand="0" w:evenVBand="0" w:oddHBand="0" w:evenHBand="0" w:firstRowFirstColumn="0" w:firstRowLastColumn="0" w:lastRowFirstColumn="0" w:lastRowLastColumn="0"/>
            <w:tcW w:w="2268" w:type="dxa"/>
          </w:tcPr>
          <w:p w14:paraId="1E6D2573" w14:textId="77777777" w:rsidR="00DE25C7" w:rsidRDefault="00DE25C7" w:rsidP="009B64BE">
            <w:pPr>
              <w:rPr>
                <w:rFonts w:ascii="Arial" w:hAnsi="Arial" w:cs="Arial"/>
                <w:sz w:val="20"/>
                <w:szCs w:val="20"/>
              </w:rPr>
            </w:pPr>
            <w:r>
              <w:rPr>
                <w:rFonts w:ascii="Arial" w:hAnsi="Arial" w:cs="Arial"/>
                <w:sz w:val="20"/>
                <w:szCs w:val="20"/>
              </w:rPr>
              <w:t>Test for phenols</w:t>
            </w:r>
          </w:p>
        </w:tc>
        <w:tc>
          <w:tcPr>
            <w:tcW w:w="3742" w:type="dxa"/>
          </w:tcPr>
          <w:p w14:paraId="5C425F0E"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sz w:val="20"/>
                <w:szCs w:val="20"/>
              </w:rPr>
              <w:t>Ferric chloride test</w:t>
            </w:r>
            <w:r>
              <w:rPr>
                <w:rFonts w:ascii="Arial" w:hAnsi="Arial" w:cs="Arial"/>
                <w:sz w:val="20"/>
                <w:szCs w:val="20"/>
              </w:rPr>
              <w:t>. 2 drops of ferric chloride were added to 5ml of the extract solution.</w:t>
            </w:r>
          </w:p>
          <w:p w14:paraId="7945715A"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81A7EA8"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color w:val="000000"/>
                <w:sz w:val="20"/>
                <w:szCs w:val="20"/>
              </w:rPr>
              <w:t>Gelatin test</w:t>
            </w:r>
            <w:r>
              <w:rPr>
                <w:rFonts w:ascii="Arial" w:hAnsi="Arial" w:cs="Arial"/>
                <w:color w:val="000000"/>
                <w:sz w:val="20"/>
                <w:szCs w:val="20"/>
              </w:rPr>
              <w:t>. 2ml of the lyophilised extract solution were added to 5ml of a 1% gelatin solution and 5 drops of a 10% NaCl were further added</w:t>
            </w:r>
          </w:p>
        </w:tc>
        <w:tc>
          <w:tcPr>
            <w:tcW w:w="3006" w:type="dxa"/>
          </w:tcPr>
          <w:p w14:paraId="2B79E1B4"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 presence of phenols was indicated by the development of a dark green/bluish back colour.</w:t>
            </w:r>
          </w:p>
          <w:p w14:paraId="7DD474CD"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A91E870"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Phenolics were identified by the appearance of a white precipitate.</w:t>
            </w:r>
          </w:p>
        </w:tc>
      </w:tr>
      <w:tr w:rsidR="00DE25C7" w14:paraId="33AC451F" w14:textId="77777777" w:rsidTr="00DE25C7">
        <w:trPr>
          <w:trHeight w:val="548"/>
        </w:trPr>
        <w:tc>
          <w:tcPr>
            <w:cnfStyle w:val="001000000000" w:firstRow="0" w:lastRow="0" w:firstColumn="1" w:lastColumn="0" w:oddVBand="0" w:evenVBand="0" w:oddHBand="0" w:evenHBand="0" w:firstRowFirstColumn="0" w:firstRowLastColumn="0" w:lastRowFirstColumn="0" w:lastRowLastColumn="0"/>
            <w:tcW w:w="2268" w:type="dxa"/>
          </w:tcPr>
          <w:p w14:paraId="49887A8A" w14:textId="77777777" w:rsidR="00DE25C7" w:rsidRDefault="00DE25C7" w:rsidP="009B64BE">
            <w:pPr>
              <w:rPr>
                <w:rFonts w:ascii="Arial" w:hAnsi="Arial" w:cs="Arial"/>
                <w:sz w:val="20"/>
                <w:szCs w:val="20"/>
              </w:rPr>
            </w:pPr>
            <w:r>
              <w:rPr>
                <w:rFonts w:ascii="Arial" w:hAnsi="Arial" w:cs="Arial"/>
                <w:sz w:val="20"/>
                <w:szCs w:val="20"/>
              </w:rPr>
              <w:t>Test for glycosides</w:t>
            </w:r>
          </w:p>
        </w:tc>
        <w:tc>
          <w:tcPr>
            <w:tcW w:w="3742" w:type="dxa"/>
          </w:tcPr>
          <w:p w14:paraId="13D1E2D1"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sz w:val="20"/>
                <w:szCs w:val="20"/>
              </w:rPr>
              <w:t>The modified Borntrager’s assay</w:t>
            </w:r>
            <w:r>
              <w:rPr>
                <w:rFonts w:ascii="Arial" w:hAnsi="Arial" w:cs="Arial"/>
                <w:sz w:val="20"/>
                <w:szCs w:val="20"/>
              </w:rPr>
              <w:t>. 5ml of the prepared extract solution was mixed with 5ml of dilute hydrochloric acid in a test tube. The mixture was placed in a water bath for 10mins at 80</w:t>
            </w:r>
            <w:r>
              <w:rPr>
                <w:rFonts w:ascii="Arial" w:hAnsi="Arial" w:cs="Arial"/>
                <w:sz w:val="20"/>
                <w:szCs w:val="20"/>
                <w:vertAlign w:val="superscript"/>
              </w:rPr>
              <w:t>o</w:t>
            </w:r>
            <w:r>
              <w:rPr>
                <w:rFonts w:ascii="Arial" w:hAnsi="Arial" w:cs="Arial"/>
                <w:sz w:val="20"/>
                <w:szCs w:val="20"/>
              </w:rPr>
              <w:t>c after being treated with 3ml of ferric chloride solution. The mixture was allowed to cool. After cooling, extraction was done with 10ml of benzene. The resultant layer of benzene was decanted and treated with 5ml ammonia solution.</w:t>
            </w:r>
          </w:p>
          <w:p w14:paraId="75F727DE"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sz w:val="20"/>
                <w:szCs w:val="20"/>
              </w:rPr>
              <w:t>The Keller-Killani Test</w:t>
            </w:r>
            <w:r>
              <w:rPr>
                <w:rFonts w:ascii="Arial" w:hAnsi="Arial" w:cs="Arial"/>
                <w:sz w:val="20"/>
                <w:szCs w:val="20"/>
              </w:rPr>
              <w:t xml:space="preserve">. </w:t>
            </w:r>
            <w:r>
              <w:rPr>
                <w:rFonts w:ascii="Arial" w:hAnsi="Arial" w:cs="Arial"/>
                <w:color w:val="000000"/>
                <w:sz w:val="20"/>
                <w:szCs w:val="20"/>
              </w:rPr>
              <w:t>To 1ml of the lyophilised solution, 1.5ml glacial acetic acid was added and a few drops of 5% ferric chloride were added as well as conc. H2SO4</w:t>
            </w:r>
          </w:p>
        </w:tc>
        <w:tc>
          <w:tcPr>
            <w:tcW w:w="3006" w:type="dxa"/>
          </w:tcPr>
          <w:p w14:paraId="25C1557A"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 development of a pink colour indicated the presence of anthranol glycosides</w:t>
            </w:r>
          </w:p>
          <w:p w14:paraId="04F8FD78"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F209765"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05CDD61"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5A583FF"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9C57221"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6B82F71"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300F8BD"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75339B6" w14:textId="77777777"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ED9C6CB" w14:textId="0BF01739" w:rsidR="00DE25C7" w:rsidRDefault="00DE25C7" w:rsidP="009B64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rPr>
              <w:t>The presence of glycosides was confirmed by the emergence of a blue coloured solution in mixture acetic acid layer.</w:t>
            </w:r>
          </w:p>
        </w:tc>
      </w:tr>
    </w:tbl>
    <w:p w14:paraId="72E474F9" w14:textId="77777777" w:rsidR="00DE25C7" w:rsidRDefault="00DE25C7" w:rsidP="00DE25C7">
      <w:pPr>
        <w:spacing w:line="276" w:lineRule="auto"/>
        <w:jc w:val="both"/>
        <w:rPr>
          <w:rFonts w:ascii="Arial" w:hAnsi="Arial" w:cs="Arial"/>
          <w:sz w:val="20"/>
          <w:szCs w:val="20"/>
        </w:rPr>
      </w:pPr>
    </w:p>
    <w:p w14:paraId="7C4096C8" w14:textId="77777777" w:rsidR="00DE25C7" w:rsidRDefault="00DE25C7" w:rsidP="00D254C2">
      <w:pPr>
        <w:spacing w:after="240" w:line="276" w:lineRule="auto"/>
        <w:jc w:val="both"/>
        <w:rPr>
          <w:rFonts w:ascii="Arial" w:hAnsi="Arial" w:cs="Arial"/>
          <w:color w:val="000000"/>
          <w:sz w:val="20"/>
          <w:szCs w:val="20"/>
        </w:rPr>
      </w:pPr>
    </w:p>
    <w:p w14:paraId="0F9CD6BF" w14:textId="77777777" w:rsidR="00A80A21" w:rsidRDefault="00BC5F10" w:rsidP="00D254C2">
      <w:pPr>
        <w:pStyle w:val="Heading2"/>
        <w:spacing w:after="240" w:line="276" w:lineRule="auto"/>
        <w:jc w:val="both"/>
        <w:rPr>
          <w:rFonts w:cs="Arial"/>
          <w:sz w:val="20"/>
          <w:szCs w:val="20"/>
        </w:rPr>
      </w:pPr>
      <w:r>
        <w:rPr>
          <w:rFonts w:cs="Arial"/>
          <w:sz w:val="20"/>
          <w:szCs w:val="20"/>
        </w:rPr>
        <w:t>Quantitative phytochemical analysis</w:t>
      </w:r>
    </w:p>
    <w:p w14:paraId="0EE71776" w14:textId="7C582AFF" w:rsidR="00A80A21" w:rsidRDefault="00BC5F10" w:rsidP="00D254C2">
      <w:pPr>
        <w:spacing w:after="240" w:line="276" w:lineRule="auto"/>
        <w:jc w:val="both"/>
        <w:rPr>
          <w:rFonts w:ascii="Arial" w:hAnsi="Arial" w:cs="Arial"/>
          <w:sz w:val="20"/>
          <w:szCs w:val="20"/>
        </w:rPr>
      </w:pPr>
      <w:r>
        <w:rPr>
          <w:rFonts w:ascii="Arial" w:hAnsi="Arial" w:cs="Arial"/>
          <w:b/>
          <w:bCs/>
          <w:color w:val="000000"/>
          <w:sz w:val="20"/>
          <w:szCs w:val="20"/>
        </w:rPr>
        <w:t xml:space="preserve">Quantification of total phenolic: </w:t>
      </w:r>
      <w:r>
        <w:rPr>
          <w:rFonts w:ascii="Arial" w:hAnsi="Arial" w:cs="Arial"/>
          <w:color w:val="000000"/>
          <w:sz w:val="20"/>
          <w:szCs w:val="20"/>
        </w:rPr>
        <w:t xml:space="preserve">The total phenolic content of the </w:t>
      </w:r>
      <w:r>
        <w:rPr>
          <w:rFonts w:ascii="Arial" w:hAnsi="Arial" w:cs="Arial"/>
          <w:i/>
          <w:iCs/>
          <w:color w:val="000000"/>
          <w:sz w:val="20"/>
          <w:szCs w:val="20"/>
        </w:rPr>
        <w:t xml:space="preserve">Elephantorrhiza elephantina </w:t>
      </w:r>
      <w:r>
        <w:rPr>
          <w:rFonts w:ascii="Arial" w:hAnsi="Arial" w:cs="Arial"/>
          <w:color w:val="000000"/>
          <w:sz w:val="20"/>
          <w:szCs w:val="20"/>
        </w:rPr>
        <w:t>root extract was determined using the Folin-Ciocalteu reagent assay, as previously described with some modificati</w:t>
      </w:r>
      <w:r>
        <w:rPr>
          <w:rFonts w:ascii="Arial" w:hAnsi="Arial" w:cs="Arial"/>
          <w:color w:val="000000"/>
          <w:sz w:val="20"/>
          <w:szCs w:val="20"/>
        </w:rPr>
        <w:t>ons</w:t>
      </w:r>
      <w:r w:rsidR="007A54EC">
        <w:rPr>
          <w:rFonts w:ascii="Arial" w:hAnsi="Arial" w:cs="Arial"/>
          <w:color w:val="000000"/>
          <w:sz w:val="20"/>
          <w:szCs w:val="20"/>
          <w:vertAlign w:val="superscript"/>
        </w:rPr>
        <w:t>13</w:t>
      </w:r>
      <w:r>
        <w:rPr>
          <w:rFonts w:ascii="Arial" w:hAnsi="Arial" w:cs="Arial"/>
          <w:color w:val="000000"/>
          <w:sz w:val="20"/>
          <w:szCs w:val="20"/>
        </w:rPr>
        <w:t xml:space="preserve">.  A gallic acid stock solution was prepared by dissolving 5 mg of gallic acid in 1 mL of distilled water to achieve a concentration of 5 mg/mL. Five different concentrations of gallic acid standard solutions were prepared by serial dilution from the </w:t>
      </w:r>
      <w:r>
        <w:rPr>
          <w:rFonts w:ascii="Arial" w:hAnsi="Arial" w:cs="Arial"/>
          <w:color w:val="000000"/>
          <w:sz w:val="20"/>
          <w:szCs w:val="20"/>
        </w:rPr>
        <w:t xml:space="preserve">stock solution. The lyophilized </w:t>
      </w:r>
      <w:r>
        <w:rPr>
          <w:rFonts w:ascii="Arial" w:hAnsi="Arial" w:cs="Arial"/>
          <w:i/>
          <w:iCs/>
          <w:color w:val="000000"/>
          <w:sz w:val="20"/>
          <w:szCs w:val="20"/>
        </w:rPr>
        <w:lastRenderedPageBreak/>
        <w:t xml:space="preserve">Elephantorrhiza elephantina </w:t>
      </w:r>
      <w:r>
        <w:rPr>
          <w:rFonts w:ascii="Arial" w:hAnsi="Arial" w:cs="Arial"/>
          <w:color w:val="000000"/>
          <w:sz w:val="20"/>
          <w:szCs w:val="20"/>
        </w:rPr>
        <w:t xml:space="preserve"> extract was dissolved in distilled water to create a concentration of 0.2 mg/mL. The Folin-Ciocalteu reagent was diluted 10-fold with deionized water immediately before use. 0.25 mL of each galli</w:t>
      </w:r>
      <w:r>
        <w:rPr>
          <w:rFonts w:ascii="Arial" w:hAnsi="Arial" w:cs="Arial"/>
          <w:color w:val="000000"/>
          <w:sz w:val="20"/>
          <w:szCs w:val="20"/>
        </w:rPr>
        <w:t xml:space="preserve">c acid standard solution and 0.25 mL of the </w:t>
      </w:r>
      <w:r>
        <w:rPr>
          <w:rFonts w:ascii="Arial" w:hAnsi="Arial" w:cs="Arial"/>
          <w:i/>
          <w:iCs/>
          <w:color w:val="000000"/>
          <w:sz w:val="20"/>
          <w:szCs w:val="20"/>
        </w:rPr>
        <w:t xml:space="preserve">Elephantorrhiza elephantina </w:t>
      </w:r>
      <w:r>
        <w:rPr>
          <w:rFonts w:ascii="Arial" w:hAnsi="Arial" w:cs="Arial"/>
          <w:color w:val="000000"/>
          <w:sz w:val="20"/>
          <w:szCs w:val="20"/>
        </w:rPr>
        <w:t xml:space="preserve"> extract solution were pipetted into separate test tubes. 1.25 mL of the 10-fold diluted Folin-Ciocalteu reagent was added to each test tube, and the mixture was allowed to react for 5</w:t>
      </w:r>
      <w:r>
        <w:rPr>
          <w:rFonts w:ascii="Arial" w:hAnsi="Arial" w:cs="Arial"/>
          <w:color w:val="000000"/>
          <w:sz w:val="20"/>
          <w:szCs w:val="20"/>
        </w:rPr>
        <w:t xml:space="preserve"> minutes at room temperature. 2 mL of 7.5% sodium carbonate combined with folin solution was added to each test tube, and the final volume in each test tube was adjusted to 5 mL with the folin and sodium carbonate solution. The test tubes were incubated in</w:t>
      </w:r>
      <w:r>
        <w:rPr>
          <w:rFonts w:ascii="Arial" w:hAnsi="Arial" w:cs="Arial"/>
          <w:color w:val="000000"/>
          <w:sz w:val="20"/>
          <w:szCs w:val="20"/>
        </w:rPr>
        <w:t xml:space="preserve"> the dark at room temperature for 60 minutes to allow for colour development. After 1 hour</w:t>
      </w:r>
      <w:r w:rsidR="00D254C2">
        <w:rPr>
          <w:rFonts w:ascii="Arial" w:hAnsi="Arial" w:cs="Arial"/>
          <w:color w:val="000000"/>
          <w:sz w:val="20"/>
          <w:szCs w:val="20"/>
        </w:rPr>
        <w:t xml:space="preserve">, </w:t>
      </w:r>
      <w:r>
        <w:rPr>
          <w:rFonts w:ascii="Arial" w:hAnsi="Arial" w:cs="Arial"/>
          <w:color w:val="000000"/>
          <w:sz w:val="20"/>
          <w:szCs w:val="20"/>
        </w:rPr>
        <w:t xml:space="preserve">the absorbance at 760 nm was determined spectrophotometrically (Lambda 35 UV/Vis-Spectrometer, Perkin Elmer Instruments), with the Folin-Ciocalteu reagent combined </w:t>
      </w:r>
      <w:r>
        <w:rPr>
          <w:rFonts w:ascii="Arial" w:hAnsi="Arial" w:cs="Arial"/>
          <w:color w:val="000000"/>
          <w:sz w:val="20"/>
          <w:szCs w:val="20"/>
        </w:rPr>
        <w:t>with sodium carbonate solution used as a blank. A calibration curve</w:t>
      </w:r>
      <w:r>
        <w:rPr>
          <w:rFonts w:ascii="Arial" w:hAnsi="Arial" w:cs="Arial"/>
          <w:color w:val="FF0000"/>
          <w:sz w:val="20"/>
          <w:szCs w:val="20"/>
        </w:rPr>
        <w:t xml:space="preserve"> </w:t>
      </w:r>
      <w:r>
        <w:rPr>
          <w:rFonts w:ascii="Arial" w:hAnsi="Arial" w:cs="Arial"/>
          <w:color w:val="000000"/>
          <w:sz w:val="20"/>
          <w:szCs w:val="20"/>
        </w:rPr>
        <w:t xml:space="preserve">was prepared by plotting the absorbance values of the gallic acid standard solutions against their corresponding concentrations to determine the total phenolic content in </w:t>
      </w:r>
      <w:r>
        <w:rPr>
          <w:rFonts w:ascii="Arial" w:hAnsi="Arial" w:cs="Arial"/>
          <w:i/>
          <w:iCs/>
          <w:color w:val="000000"/>
          <w:sz w:val="20"/>
          <w:szCs w:val="20"/>
        </w:rPr>
        <w:t>E. elephantina</w:t>
      </w:r>
      <w:r>
        <w:rPr>
          <w:rFonts w:ascii="Arial" w:hAnsi="Arial" w:cs="Arial"/>
          <w:color w:val="000000"/>
          <w:sz w:val="20"/>
          <w:szCs w:val="20"/>
        </w:rPr>
        <w:t xml:space="preserve"> ro</w:t>
      </w:r>
      <w:r>
        <w:rPr>
          <w:rFonts w:ascii="Arial" w:hAnsi="Arial" w:cs="Arial"/>
          <w:color w:val="000000"/>
          <w:sz w:val="20"/>
          <w:szCs w:val="20"/>
        </w:rPr>
        <w:t xml:space="preserve">ot extracts, comparing the absorbance of the extract solution to the gallic acid calibration curve, and the results were expressed as milligrams of gallic acid equivalents per gram of the sample. The total phenolic content was calculated using the formula </w:t>
      </w:r>
      <w:r>
        <w:rPr>
          <w:rFonts w:ascii="Arial" w:hAnsi="Arial" w:cs="Arial"/>
          <w:color w:val="000000"/>
          <w:sz w:val="20"/>
          <w:szCs w:val="20"/>
        </w:rPr>
        <w:t xml:space="preserve">obtained from the gallic acid calibration curve: </w:t>
      </w:r>
    </w:p>
    <w:p w14:paraId="527BB493" w14:textId="77777777" w:rsidR="00A80A21" w:rsidRDefault="00A80A21">
      <w:pPr>
        <w:spacing w:line="276" w:lineRule="auto"/>
        <w:jc w:val="both"/>
        <w:rPr>
          <w:rFonts w:ascii="Arial" w:hAnsi="Arial" w:cs="Arial"/>
          <w:sz w:val="18"/>
          <w:szCs w:val="18"/>
        </w:rPr>
      </w:pPr>
    </w:p>
    <w:p w14:paraId="6ECB59C5" w14:textId="77777777" w:rsidR="00A80A21" w:rsidRDefault="00BC5F10">
      <w:pPr>
        <w:spacing w:line="276" w:lineRule="auto"/>
        <w:ind w:left="2880" w:firstLine="720"/>
        <w:jc w:val="both"/>
        <w:rPr>
          <w:rFonts w:ascii="Arial" w:hAnsi="Arial" w:cs="Arial"/>
          <w:i/>
          <w:iCs/>
          <w:sz w:val="18"/>
          <w:szCs w:val="18"/>
        </w:rPr>
      </w:pPr>
      <w:r>
        <w:rPr>
          <w:rFonts w:ascii="Arial" w:hAnsi="Arial" w:cs="Arial"/>
          <w:i/>
          <w:iCs/>
          <w:color w:val="000000"/>
          <w:sz w:val="18"/>
          <w:szCs w:val="18"/>
        </w:rPr>
        <w:t>T = (C x V)/M</w:t>
      </w:r>
    </w:p>
    <w:p w14:paraId="0A3FC9C3" w14:textId="77777777" w:rsidR="00A80A21" w:rsidRDefault="00BC5F10">
      <w:pPr>
        <w:spacing w:line="276" w:lineRule="auto"/>
        <w:jc w:val="both"/>
        <w:rPr>
          <w:rFonts w:ascii="Arial" w:hAnsi="Arial" w:cs="Arial"/>
          <w:i/>
          <w:iCs/>
          <w:color w:val="000000"/>
          <w:sz w:val="18"/>
          <w:szCs w:val="18"/>
        </w:rPr>
      </w:pPr>
      <w:r>
        <w:rPr>
          <w:rFonts w:ascii="Arial" w:hAnsi="Arial" w:cs="Arial"/>
          <w:i/>
          <w:iCs/>
          <w:color w:val="000000"/>
          <w:sz w:val="18"/>
          <w:szCs w:val="18"/>
        </w:rPr>
        <w:t>Where: T is the total phenolic content in mg GAE/g of dry extract, C is concentration of gallic acid obtained from the calibration curve( mg/ml), M is the mass of the extract in grams.</w:t>
      </w:r>
    </w:p>
    <w:p w14:paraId="4C2C0698" w14:textId="77777777" w:rsidR="00A80A21" w:rsidRDefault="00A80A21">
      <w:pPr>
        <w:spacing w:line="276" w:lineRule="auto"/>
        <w:jc w:val="both"/>
        <w:rPr>
          <w:rFonts w:ascii="Arial" w:hAnsi="Arial" w:cs="Arial"/>
          <w:i/>
          <w:iCs/>
          <w:sz w:val="20"/>
          <w:szCs w:val="20"/>
        </w:rPr>
      </w:pPr>
    </w:p>
    <w:p w14:paraId="5005DD5E" w14:textId="77777777" w:rsidR="00A80A21" w:rsidRDefault="00A80A21">
      <w:pPr>
        <w:jc w:val="both"/>
        <w:rPr>
          <w:rFonts w:ascii="Arial" w:hAnsi="Arial" w:cs="Arial"/>
          <w:sz w:val="20"/>
          <w:szCs w:val="20"/>
        </w:rPr>
      </w:pPr>
    </w:p>
    <w:p w14:paraId="0C0A4B6C" w14:textId="77777777" w:rsidR="00A80A21" w:rsidRDefault="00BC5F10" w:rsidP="007A54EC">
      <w:pPr>
        <w:pStyle w:val="Heading2"/>
        <w:spacing w:after="240" w:line="276" w:lineRule="auto"/>
        <w:jc w:val="both"/>
        <w:rPr>
          <w:rFonts w:cs="Arial"/>
          <w:sz w:val="20"/>
          <w:szCs w:val="20"/>
        </w:rPr>
      </w:pPr>
      <w:r>
        <w:rPr>
          <w:rFonts w:cs="Arial"/>
          <w:sz w:val="20"/>
          <w:szCs w:val="20"/>
        </w:rPr>
        <w:t xml:space="preserve">Anti-inflammatory activity of </w:t>
      </w:r>
      <w:r>
        <w:rPr>
          <w:rFonts w:cs="Arial"/>
          <w:i/>
          <w:iCs/>
          <w:sz w:val="20"/>
          <w:szCs w:val="20"/>
        </w:rPr>
        <w:t xml:space="preserve">E. elephantina </w:t>
      </w:r>
      <w:r>
        <w:rPr>
          <w:rFonts w:cs="Arial"/>
          <w:sz w:val="20"/>
          <w:szCs w:val="20"/>
        </w:rPr>
        <w:t>(Egg Albumin test)</w:t>
      </w:r>
    </w:p>
    <w:p w14:paraId="01FC33C6" w14:textId="5E1BE0AF" w:rsidR="00A80A21" w:rsidRDefault="00BC5F10" w:rsidP="007A54EC">
      <w:pPr>
        <w:spacing w:after="240" w:line="276" w:lineRule="auto"/>
        <w:jc w:val="both"/>
        <w:rPr>
          <w:rFonts w:ascii="Arial" w:hAnsi="Arial" w:cs="Arial"/>
          <w:color w:val="000000"/>
          <w:sz w:val="20"/>
          <w:szCs w:val="20"/>
        </w:rPr>
      </w:pPr>
      <w:r>
        <w:rPr>
          <w:rFonts w:ascii="Arial" w:hAnsi="Arial" w:cs="Arial"/>
          <w:color w:val="000000"/>
          <w:sz w:val="20"/>
          <w:szCs w:val="20"/>
        </w:rPr>
        <w:t xml:space="preserve">Stock solution of the extract was prepared at a concentration of 10 mg/mL in 0.4% DMSO, the positive control, stock solution of diclofenac, was prepared at a concentration of 10 mg/mL in 0.4% </w:t>
      </w:r>
      <w:r>
        <w:rPr>
          <w:rFonts w:ascii="Arial" w:hAnsi="Arial" w:cs="Arial"/>
          <w:color w:val="000000"/>
          <w:sz w:val="20"/>
          <w:szCs w:val="20"/>
        </w:rPr>
        <w:t>DMSO. Serial dilutions were made for both the extract and the positive control to achieve final concentrations of 50, 100, 250, 500, 750 and 1000 µg/mL in the reaction mixture. The test tubes were labelled, and each received 0.4 mL of fresh egg albumin, 0.</w:t>
      </w:r>
      <w:r>
        <w:rPr>
          <w:rFonts w:ascii="Arial" w:hAnsi="Arial" w:cs="Arial"/>
          <w:color w:val="000000"/>
          <w:sz w:val="20"/>
          <w:szCs w:val="20"/>
        </w:rPr>
        <w:t xml:space="preserve">5 mL of the </w:t>
      </w:r>
      <w:r>
        <w:rPr>
          <w:rFonts w:ascii="Arial" w:hAnsi="Arial" w:cs="Arial"/>
          <w:i/>
          <w:iCs/>
          <w:color w:val="000000"/>
          <w:sz w:val="20"/>
          <w:szCs w:val="20"/>
        </w:rPr>
        <w:t xml:space="preserve">Elephantorrhiza elephantina </w:t>
      </w:r>
      <w:r>
        <w:rPr>
          <w:rFonts w:ascii="Arial" w:hAnsi="Arial" w:cs="Arial"/>
          <w:color w:val="000000"/>
          <w:sz w:val="20"/>
          <w:szCs w:val="20"/>
        </w:rPr>
        <w:t xml:space="preserve"> extract or diclofenac at the target concentration, and 3 mL of PBS. For a negative control, 0.4 mL egg albumin, 0.5 mL 0.4% DMSO, and 3 mL PBS were added to the tube. The mixtures were incubated at 37°C for 20 minut</w:t>
      </w:r>
      <w:r>
        <w:rPr>
          <w:rFonts w:ascii="Arial" w:hAnsi="Arial" w:cs="Arial"/>
          <w:color w:val="000000"/>
          <w:sz w:val="20"/>
          <w:szCs w:val="20"/>
        </w:rPr>
        <w:t>es, followed by heating in a water bath at 65°C for 30 minutes to induce denaturation. After cooling, the absorbance of each sample was measured at 660 nm using a UV  spectrophotometer, Lambda 35 UV/VIS Spectrometer, with 0.4% DMSO as the blank. The percen</w:t>
      </w:r>
      <w:r>
        <w:rPr>
          <w:rFonts w:ascii="Arial" w:hAnsi="Arial" w:cs="Arial"/>
          <w:color w:val="000000"/>
          <w:sz w:val="20"/>
          <w:szCs w:val="20"/>
        </w:rPr>
        <w:t>tage inhibition of protein denaturation was then calculated.</w:t>
      </w:r>
    </w:p>
    <w:p w14:paraId="6E8789D0" w14:textId="4479F0DB" w:rsidR="00E4751E" w:rsidRPr="007F3AA9" w:rsidRDefault="00E4751E" w:rsidP="00E4751E">
      <w:pPr>
        <w:spacing w:line="276" w:lineRule="auto"/>
        <w:jc w:val="both"/>
        <w:rPr>
          <w:rFonts w:ascii="Arial" w:hAnsi="Arial" w:cs="Arial"/>
          <w:color w:val="000000"/>
          <w:sz w:val="20"/>
          <w:szCs w:val="20"/>
        </w:rPr>
      </w:pPr>
      <m:oMathPara>
        <m:oMath>
          <m:r>
            <w:rPr>
              <w:rFonts w:ascii="Cambria Math" w:hAnsi="Cambria Math" w:cs="Arial"/>
              <w:color w:val="000000"/>
              <w:sz w:val="20"/>
              <w:szCs w:val="20"/>
            </w:rPr>
            <m:t>Inhibition %=</m:t>
          </m:r>
          <m:f>
            <m:fPr>
              <m:ctrlPr>
                <w:rPr>
                  <w:rFonts w:ascii="Cambria Math" w:hAnsi="Cambria Math" w:cs="Arial"/>
                  <w:i/>
                  <w:color w:val="000000"/>
                  <w:sz w:val="20"/>
                  <w:szCs w:val="20"/>
                </w:rPr>
              </m:ctrlPr>
            </m:fPr>
            <m:num>
              <m:sSub>
                <m:sSubPr>
                  <m:ctrlPr>
                    <w:rPr>
                      <w:rFonts w:ascii="Cambria Math" w:hAnsi="Cambria Math" w:cs="Arial"/>
                      <w:i/>
                      <w:color w:val="000000"/>
                      <w:sz w:val="20"/>
                      <w:szCs w:val="20"/>
                    </w:rPr>
                  </m:ctrlPr>
                </m:sSubPr>
                <m:e>
                  <m:r>
                    <w:rPr>
                      <w:rFonts w:ascii="Cambria Math" w:hAnsi="Cambria Math" w:cs="Arial"/>
                      <w:color w:val="000000"/>
                      <w:sz w:val="20"/>
                      <w:szCs w:val="20"/>
                    </w:rPr>
                    <m:t>Abs</m:t>
                  </m:r>
                </m:e>
                <m:sub>
                  <m:r>
                    <w:rPr>
                      <w:rFonts w:ascii="Cambria Math" w:hAnsi="Cambria Math" w:cs="Arial"/>
                      <w:color w:val="000000"/>
                      <w:sz w:val="20"/>
                      <w:szCs w:val="20"/>
                    </w:rPr>
                    <m:t>control</m:t>
                  </m:r>
                </m:sub>
              </m:sSub>
              <m:r>
                <w:rPr>
                  <w:rFonts w:ascii="Cambria Math" w:hAnsi="Cambria Math" w:cs="Arial"/>
                  <w:color w:val="000000"/>
                  <w:sz w:val="20"/>
                  <w:szCs w:val="20"/>
                </w:rPr>
                <m:t>-</m:t>
              </m:r>
              <m:sSub>
                <m:sSubPr>
                  <m:ctrlPr>
                    <w:rPr>
                      <w:rFonts w:ascii="Cambria Math" w:hAnsi="Cambria Math" w:cs="Arial"/>
                      <w:i/>
                      <w:color w:val="000000"/>
                      <w:sz w:val="20"/>
                      <w:szCs w:val="20"/>
                    </w:rPr>
                  </m:ctrlPr>
                </m:sSubPr>
                <m:e>
                  <m:r>
                    <w:rPr>
                      <w:rFonts w:ascii="Cambria Math" w:hAnsi="Cambria Math" w:cs="Arial"/>
                      <w:color w:val="000000"/>
                      <w:sz w:val="20"/>
                      <w:szCs w:val="20"/>
                    </w:rPr>
                    <m:t>Abs</m:t>
                  </m:r>
                </m:e>
                <m:sub>
                  <m:r>
                    <w:rPr>
                      <w:rFonts w:ascii="Cambria Math" w:hAnsi="Cambria Math" w:cs="Arial"/>
                      <w:color w:val="000000"/>
                      <w:sz w:val="20"/>
                      <w:szCs w:val="20"/>
                    </w:rPr>
                    <m:t>sample</m:t>
                  </m:r>
                </m:sub>
              </m:sSub>
            </m:num>
            <m:den>
              <m:sSub>
                <m:sSubPr>
                  <m:ctrlPr>
                    <w:rPr>
                      <w:rFonts w:ascii="Cambria Math" w:hAnsi="Cambria Math" w:cs="Arial"/>
                      <w:i/>
                      <w:color w:val="000000"/>
                      <w:sz w:val="20"/>
                      <w:szCs w:val="20"/>
                    </w:rPr>
                  </m:ctrlPr>
                </m:sSubPr>
                <m:e>
                  <m:r>
                    <w:rPr>
                      <w:rFonts w:ascii="Cambria Math" w:hAnsi="Cambria Math" w:cs="Arial"/>
                      <w:color w:val="000000"/>
                      <w:sz w:val="20"/>
                      <w:szCs w:val="20"/>
                    </w:rPr>
                    <m:t>Abs</m:t>
                  </m:r>
                </m:e>
                <m:sub>
                  <m:r>
                    <w:rPr>
                      <w:rFonts w:ascii="Cambria Math" w:hAnsi="Cambria Math" w:cs="Arial"/>
                      <w:color w:val="000000"/>
                      <w:sz w:val="20"/>
                      <w:szCs w:val="20"/>
                    </w:rPr>
                    <m:t>control</m:t>
                  </m:r>
                </m:sub>
              </m:sSub>
            </m:den>
          </m:f>
          <m:r>
            <m:rPr>
              <m:sty m:val="p"/>
            </m:rPr>
            <w:rPr>
              <w:rFonts w:ascii="Cambria Math" w:hAnsi="Cambria Math" w:cs="Arial"/>
              <w:color w:val="000000"/>
              <w:sz w:val="20"/>
              <w:szCs w:val="20"/>
            </w:rPr>
            <m:t>x</m:t>
          </m:r>
          <m:r>
            <w:rPr>
              <w:rFonts w:ascii="Cambria Math" w:hAnsi="Cambria Math" w:cs="Arial"/>
              <w:color w:val="000000"/>
              <w:sz w:val="20"/>
              <w:szCs w:val="20"/>
            </w:rPr>
            <m:t xml:space="preserve"> 100</m:t>
          </m:r>
        </m:oMath>
      </m:oMathPara>
    </w:p>
    <w:p w14:paraId="435AD59F" w14:textId="6B046F54" w:rsidR="00A80A21" w:rsidRDefault="00A80A21">
      <w:pPr>
        <w:spacing w:line="276" w:lineRule="auto"/>
        <w:jc w:val="both"/>
        <w:rPr>
          <w:rFonts w:ascii="Arial" w:hAnsi="Arial" w:cs="Arial"/>
          <w:color w:val="000000"/>
          <w:sz w:val="20"/>
          <w:szCs w:val="20"/>
        </w:rPr>
      </w:pPr>
    </w:p>
    <w:p w14:paraId="0EC2126E" w14:textId="77777777" w:rsidR="00A80A21" w:rsidRDefault="00A80A21">
      <w:pPr>
        <w:spacing w:line="276" w:lineRule="auto"/>
        <w:jc w:val="both"/>
        <w:rPr>
          <w:rFonts w:ascii="Arial" w:hAnsi="Arial" w:cs="Arial"/>
          <w:color w:val="000000"/>
          <w:sz w:val="20"/>
          <w:szCs w:val="20"/>
        </w:rPr>
      </w:pPr>
    </w:p>
    <w:p w14:paraId="4649AC06" w14:textId="77777777" w:rsidR="00A80A21" w:rsidRDefault="00A80A21">
      <w:pPr>
        <w:jc w:val="both"/>
        <w:rPr>
          <w:rFonts w:ascii="Arial" w:hAnsi="Arial" w:cs="Arial"/>
          <w:color w:val="000000"/>
          <w:sz w:val="20"/>
          <w:szCs w:val="20"/>
        </w:rPr>
      </w:pPr>
    </w:p>
    <w:p w14:paraId="13594683" w14:textId="22AF8074" w:rsidR="00A80A21" w:rsidRDefault="00BC5F10" w:rsidP="007A54EC">
      <w:pPr>
        <w:pStyle w:val="Heading2"/>
        <w:spacing w:after="240"/>
        <w:jc w:val="both"/>
        <w:rPr>
          <w:rFonts w:cs="Arial"/>
          <w:bCs/>
          <w:sz w:val="20"/>
          <w:szCs w:val="20"/>
        </w:rPr>
      </w:pPr>
      <w:r>
        <w:rPr>
          <w:rFonts w:cs="Arial"/>
          <w:bCs/>
          <w:sz w:val="20"/>
          <w:szCs w:val="20"/>
        </w:rPr>
        <w:t xml:space="preserve">Antibacterial Activity of </w:t>
      </w:r>
      <w:r>
        <w:rPr>
          <w:rFonts w:cs="Arial"/>
          <w:bCs/>
          <w:i/>
          <w:iCs/>
          <w:sz w:val="20"/>
          <w:szCs w:val="20"/>
        </w:rPr>
        <w:t>E. elephantina</w:t>
      </w:r>
      <w:r>
        <w:rPr>
          <w:rFonts w:cs="Arial"/>
          <w:bCs/>
          <w:sz w:val="20"/>
          <w:szCs w:val="20"/>
        </w:rPr>
        <w:t xml:space="preserve"> (Agar well </w:t>
      </w:r>
      <w:r w:rsidR="00CC1D22">
        <w:rPr>
          <w:rFonts w:cs="Arial"/>
          <w:bCs/>
          <w:sz w:val="20"/>
          <w:szCs w:val="20"/>
        </w:rPr>
        <w:t>diffusion</w:t>
      </w:r>
      <w:r>
        <w:rPr>
          <w:rFonts w:cs="Arial"/>
          <w:bCs/>
          <w:sz w:val="20"/>
          <w:szCs w:val="20"/>
        </w:rPr>
        <w:t xml:space="preserve"> method)</w:t>
      </w:r>
    </w:p>
    <w:p w14:paraId="62F2CB61" w14:textId="52B685A9" w:rsidR="00A80A21" w:rsidRDefault="00BC5F10" w:rsidP="007A54EC">
      <w:pPr>
        <w:spacing w:after="240" w:line="276" w:lineRule="auto"/>
        <w:jc w:val="both"/>
        <w:rPr>
          <w:rFonts w:ascii="Arial" w:hAnsi="Arial" w:cs="Arial"/>
          <w:color w:val="000000"/>
          <w:sz w:val="20"/>
          <w:szCs w:val="20"/>
        </w:rPr>
      </w:pPr>
      <w:r>
        <w:rPr>
          <w:rFonts w:ascii="Arial" w:hAnsi="Arial" w:cs="Arial"/>
          <w:color w:val="000000"/>
          <w:sz w:val="20"/>
          <w:szCs w:val="20"/>
        </w:rPr>
        <w:t xml:space="preserve">The antibacterial activity of </w:t>
      </w:r>
      <w:r>
        <w:rPr>
          <w:rFonts w:ascii="Arial" w:hAnsi="Arial" w:cs="Arial"/>
          <w:i/>
          <w:iCs/>
          <w:color w:val="000000"/>
          <w:sz w:val="20"/>
          <w:szCs w:val="20"/>
        </w:rPr>
        <w:t>E.</w:t>
      </w:r>
      <w:r w:rsidR="00F418A6">
        <w:rPr>
          <w:rFonts w:ascii="Arial" w:hAnsi="Arial" w:cs="Arial"/>
          <w:i/>
          <w:iCs/>
          <w:color w:val="000000"/>
          <w:sz w:val="20"/>
          <w:szCs w:val="20"/>
        </w:rPr>
        <w:t xml:space="preserve"> </w:t>
      </w:r>
      <w:r>
        <w:rPr>
          <w:rFonts w:ascii="Arial" w:hAnsi="Arial" w:cs="Arial"/>
          <w:i/>
          <w:iCs/>
          <w:color w:val="000000"/>
          <w:sz w:val="20"/>
          <w:szCs w:val="20"/>
        </w:rPr>
        <w:t xml:space="preserve">elephantina </w:t>
      </w:r>
      <w:r>
        <w:rPr>
          <w:rFonts w:ascii="Arial" w:hAnsi="Arial" w:cs="Arial"/>
          <w:color w:val="000000"/>
          <w:sz w:val="20"/>
          <w:szCs w:val="20"/>
        </w:rPr>
        <w:t xml:space="preserve">was examined on </w:t>
      </w:r>
      <w:r>
        <w:rPr>
          <w:rFonts w:ascii="Arial" w:hAnsi="Arial" w:cs="Arial"/>
          <w:i/>
          <w:iCs/>
          <w:color w:val="000000"/>
          <w:sz w:val="20"/>
          <w:szCs w:val="20"/>
        </w:rPr>
        <w:t>Escherichia Coli (E. Coli)</w:t>
      </w:r>
      <w:r>
        <w:rPr>
          <w:rFonts w:ascii="Arial" w:hAnsi="Arial" w:cs="Arial"/>
          <w:color w:val="000000"/>
          <w:sz w:val="20"/>
          <w:szCs w:val="20"/>
        </w:rPr>
        <w:t xml:space="preserve">, using a qualitative method, measuring zones of inhibition. Mueller-Hinton agar plates were prepared and inoculated with </w:t>
      </w:r>
      <w:r>
        <w:rPr>
          <w:rFonts w:ascii="Arial" w:hAnsi="Arial" w:cs="Arial"/>
          <w:i/>
          <w:iCs/>
          <w:color w:val="000000"/>
          <w:sz w:val="20"/>
          <w:szCs w:val="20"/>
        </w:rPr>
        <w:t>E. coli</w:t>
      </w:r>
      <w:r>
        <w:rPr>
          <w:rFonts w:ascii="Arial" w:hAnsi="Arial" w:cs="Arial"/>
          <w:color w:val="000000"/>
          <w:sz w:val="20"/>
          <w:szCs w:val="20"/>
        </w:rPr>
        <w:t xml:space="preserve"> adjusted to a 0.5 McFarland standard</w:t>
      </w:r>
      <w:r w:rsidR="007A54EC">
        <w:rPr>
          <w:rFonts w:ascii="Arial" w:hAnsi="Arial" w:cs="Arial"/>
          <w:color w:val="000000"/>
          <w:sz w:val="20"/>
          <w:szCs w:val="20"/>
          <w:vertAlign w:val="superscript"/>
        </w:rPr>
        <w:t>2</w:t>
      </w:r>
      <w:r>
        <w:rPr>
          <w:rFonts w:ascii="Arial" w:hAnsi="Arial" w:cs="Arial"/>
          <w:color w:val="000000"/>
          <w:sz w:val="20"/>
          <w:szCs w:val="20"/>
        </w:rPr>
        <w:t>. Wells were created in the agar, a</w:t>
      </w:r>
      <w:r>
        <w:rPr>
          <w:rFonts w:ascii="Arial" w:hAnsi="Arial" w:cs="Arial"/>
          <w:color w:val="000000"/>
          <w:sz w:val="20"/>
          <w:szCs w:val="20"/>
        </w:rPr>
        <w:t xml:space="preserve">nd different concentrations of the plant extract (100 mg/mL, 50 mg/mL, 25 mg/mL, and 12.5 mg/mL), ciprofloxacin (positive control), and sterile distilled water (negative control) were added to the wells. The plates were incubated at 37°C for 24 hours, and </w:t>
      </w:r>
      <w:r>
        <w:rPr>
          <w:rFonts w:ascii="Arial" w:hAnsi="Arial" w:cs="Arial"/>
          <w:color w:val="000000"/>
          <w:sz w:val="20"/>
          <w:szCs w:val="20"/>
        </w:rPr>
        <w:t>the diameters of the inhibition zones were measured to determine antibacterial activity. The experiment was performed in triplicate, and the mean and standard deviation of the inhibition zone diameters were calculated for each treatment group, comparing th</w:t>
      </w:r>
      <w:r>
        <w:rPr>
          <w:rFonts w:ascii="Arial" w:hAnsi="Arial" w:cs="Arial"/>
          <w:color w:val="000000"/>
          <w:sz w:val="20"/>
          <w:szCs w:val="20"/>
        </w:rPr>
        <w:t>em to the positive and negative controls.</w:t>
      </w:r>
    </w:p>
    <w:p w14:paraId="6FAA2C15" w14:textId="77777777" w:rsidR="00A80A21" w:rsidRDefault="00BC5F10" w:rsidP="000008E9">
      <w:pPr>
        <w:pStyle w:val="Heading2"/>
        <w:spacing w:after="240"/>
        <w:jc w:val="both"/>
        <w:rPr>
          <w:rFonts w:cs="Arial"/>
          <w:bCs/>
          <w:sz w:val="20"/>
          <w:szCs w:val="20"/>
        </w:rPr>
      </w:pPr>
      <w:r>
        <w:rPr>
          <w:rFonts w:cs="Arial"/>
          <w:bCs/>
          <w:sz w:val="20"/>
          <w:szCs w:val="20"/>
        </w:rPr>
        <w:lastRenderedPageBreak/>
        <w:t>Acute toxicity studies</w:t>
      </w:r>
    </w:p>
    <w:p w14:paraId="6E6A1970" w14:textId="55000F86" w:rsidR="00A80A21" w:rsidRDefault="00BC5F10" w:rsidP="000008E9">
      <w:pPr>
        <w:spacing w:after="240" w:line="276" w:lineRule="auto"/>
        <w:jc w:val="both"/>
        <w:rPr>
          <w:rFonts w:ascii="Arial" w:hAnsi="Arial" w:cs="Arial"/>
          <w:sz w:val="20"/>
          <w:szCs w:val="20"/>
        </w:rPr>
      </w:pPr>
      <w:r>
        <w:rPr>
          <w:rFonts w:ascii="Arial" w:hAnsi="Arial" w:cs="Arial"/>
          <w:color w:val="000000"/>
          <w:sz w:val="20"/>
          <w:szCs w:val="20"/>
        </w:rPr>
        <w:t xml:space="preserve">Lyophilized extracts of </w:t>
      </w:r>
      <w:r>
        <w:rPr>
          <w:rFonts w:ascii="Arial" w:hAnsi="Arial" w:cs="Arial"/>
          <w:i/>
          <w:iCs/>
          <w:color w:val="000000"/>
          <w:sz w:val="20"/>
          <w:szCs w:val="20"/>
        </w:rPr>
        <w:t>E. elephantina</w:t>
      </w:r>
      <w:r>
        <w:rPr>
          <w:rFonts w:ascii="Arial" w:hAnsi="Arial" w:cs="Arial"/>
          <w:color w:val="000000"/>
          <w:sz w:val="20"/>
          <w:szCs w:val="20"/>
        </w:rPr>
        <w:t xml:space="preserve"> were evaluated in Sprague-Dawley rats, following the OECD Test Guideline 42</w:t>
      </w:r>
      <w:r w:rsidR="00DD3339">
        <w:rPr>
          <w:rFonts w:ascii="Arial" w:hAnsi="Arial" w:cs="Arial"/>
          <w:color w:val="000000"/>
          <w:sz w:val="20"/>
          <w:szCs w:val="20"/>
        </w:rPr>
        <w:t>3</w:t>
      </w:r>
      <w:r>
        <w:rPr>
          <w:rFonts w:ascii="Arial" w:hAnsi="Arial" w:cs="Arial"/>
          <w:color w:val="000000"/>
          <w:sz w:val="20"/>
          <w:szCs w:val="20"/>
        </w:rPr>
        <w:t xml:space="preserve">. Twelve healthy, nulliparous, and non-pregnant female Sprague-Dawley rats, </w:t>
      </w:r>
      <w:r>
        <w:rPr>
          <w:rFonts w:ascii="Arial" w:hAnsi="Arial" w:cs="Arial"/>
          <w:color w:val="000000"/>
          <w:sz w:val="20"/>
          <w:szCs w:val="20"/>
        </w:rPr>
        <w:t>aged 8-12 weeks and weighing between 200-250g, were used. The rats were housed individually and acclimatized to the laboratory conditions for a minimum of 5 days, with free access to commercial rodent feed and water.</w:t>
      </w:r>
      <w:r>
        <w:rPr>
          <w:rFonts w:ascii="Arial" w:hAnsi="Arial" w:cs="Arial"/>
          <w:sz w:val="20"/>
          <w:szCs w:val="20"/>
        </w:rPr>
        <w:t xml:space="preserve"> </w:t>
      </w:r>
      <w:r>
        <w:rPr>
          <w:rFonts w:ascii="Arial" w:hAnsi="Arial" w:cs="Arial"/>
          <w:color w:val="000000"/>
          <w:sz w:val="20"/>
          <w:szCs w:val="20"/>
        </w:rPr>
        <w:t>A stock solution of the extract was pre</w:t>
      </w:r>
      <w:r>
        <w:rPr>
          <w:rFonts w:ascii="Arial" w:hAnsi="Arial" w:cs="Arial"/>
          <w:color w:val="000000"/>
          <w:sz w:val="20"/>
          <w:szCs w:val="20"/>
        </w:rPr>
        <w:t>pared by dissolving the lyophilized extract in distilled water to achieve a concentration of 5000mg/mL. Rats were randomly divided into a 3 treatment groups (n=3) and a control group (n=3). Following an overnight fast, the treatment groups received a singl</w:t>
      </w:r>
      <w:r>
        <w:rPr>
          <w:rFonts w:ascii="Arial" w:hAnsi="Arial" w:cs="Arial"/>
          <w:color w:val="000000"/>
          <w:sz w:val="20"/>
          <w:szCs w:val="20"/>
        </w:rPr>
        <w:t>e oral dose of the plant extract at 500mg/kg, 2500mg/kg and 5000 mg/kg body weight respectively, while the control group received an equivalent volume of distilled water. The extracts were administered via oral gavage.</w:t>
      </w:r>
      <w:r>
        <w:rPr>
          <w:rFonts w:ascii="Arial" w:hAnsi="Arial" w:cs="Arial"/>
          <w:sz w:val="20"/>
          <w:szCs w:val="20"/>
        </w:rPr>
        <w:t xml:space="preserve"> </w:t>
      </w:r>
      <w:r>
        <w:rPr>
          <w:rFonts w:ascii="Arial" w:hAnsi="Arial" w:cs="Arial"/>
          <w:color w:val="000000"/>
          <w:sz w:val="20"/>
          <w:szCs w:val="20"/>
        </w:rPr>
        <w:t>The animals were observed continuousl</w:t>
      </w:r>
      <w:r>
        <w:rPr>
          <w:rFonts w:ascii="Arial" w:hAnsi="Arial" w:cs="Arial"/>
          <w:color w:val="000000"/>
          <w:sz w:val="20"/>
          <w:szCs w:val="20"/>
        </w:rPr>
        <w:t xml:space="preserve">y for the first 4 hours after dosing, with attention to signs of tremors, convulsions, salivation, diarrhea, or any other abnormal </w:t>
      </w:r>
      <w:r w:rsidR="00F418A6">
        <w:rPr>
          <w:rFonts w:ascii="Arial" w:hAnsi="Arial" w:cs="Arial"/>
          <w:color w:val="000000"/>
          <w:sz w:val="20"/>
          <w:szCs w:val="20"/>
        </w:rPr>
        <w:t>behaviour</w:t>
      </w:r>
      <w:r>
        <w:rPr>
          <w:rFonts w:ascii="Arial" w:hAnsi="Arial" w:cs="Arial"/>
          <w:color w:val="000000"/>
          <w:sz w:val="20"/>
          <w:szCs w:val="20"/>
        </w:rPr>
        <w:t>. Thereafter, observations were made daily for 14 days, recording mortality, changes in skin and fur, changes in eye</w:t>
      </w:r>
      <w:r>
        <w:rPr>
          <w:rFonts w:ascii="Arial" w:hAnsi="Arial" w:cs="Arial"/>
          <w:color w:val="000000"/>
          <w:sz w:val="20"/>
          <w:szCs w:val="20"/>
        </w:rPr>
        <w:t>s and mucous membranes, respiratory rate and pattern, activity level, gait abnormalities, changes in food and water consumption, and presence of diarrhea or changes in urine output. The body weight of each animal was recorded on day 0, 7, and 14 post-dosin</w:t>
      </w:r>
      <w:r>
        <w:rPr>
          <w:rFonts w:ascii="Arial" w:hAnsi="Arial" w:cs="Arial"/>
          <w:color w:val="000000"/>
          <w:sz w:val="20"/>
          <w:szCs w:val="20"/>
        </w:rPr>
        <w:t>g. Food and water intake were measured daily for each group. A veterinary specialist was involved throughout the study, monitoring the animals daily for any signs of distress or toxicity and any adverse clinical signs or unexpected deaths were recorded imm</w:t>
      </w:r>
      <w:r>
        <w:rPr>
          <w:rFonts w:ascii="Arial" w:hAnsi="Arial" w:cs="Arial"/>
          <w:color w:val="000000"/>
          <w:sz w:val="20"/>
          <w:szCs w:val="20"/>
        </w:rPr>
        <w:t>ediately. Mortality rates were recorded for both groups.</w:t>
      </w:r>
    </w:p>
    <w:p w14:paraId="775EC89B" w14:textId="77777777" w:rsidR="00A80A21" w:rsidRDefault="00A80A21">
      <w:pPr>
        <w:jc w:val="both"/>
        <w:rPr>
          <w:rFonts w:ascii="Arial" w:hAnsi="Arial" w:cs="Arial"/>
          <w:sz w:val="20"/>
          <w:szCs w:val="20"/>
        </w:rPr>
      </w:pPr>
    </w:p>
    <w:p w14:paraId="0A42EA4F" w14:textId="77777777" w:rsidR="00A80A21" w:rsidRDefault="00BC5F10" w:rsidP="000008E9">
      <w:pPr>
        <w:pStyle w:val="Heading2"/>
        <w:spacing w:after="240"/>
        <w:jc w:val="both"/>
        <w:rPr>
          <w:rFonts w:cs="Arial"/>
          <w:bCs/>
          <w:sz w:val="20"/>
          <w:szCs w:val="20"/>
        </w:rPr>
      </w:pPr>
      <w:r>
        <w:rPr>
          <w:rFonts w:cs="Arial"/>
          <w:bCs/>
          <w:sz w:val="20"/>
          <w:szCs w:val="20"/>
        </w:rPr>
        <w:t>Subacute toxicity studies</w:t>
      </w:r>
    </w:p>
    <w:p w14:paraId="44237FE3" w14:textId="1A38DB0F" w:rsidR="00A80A21" w:rsidRDefault="00BC5F10" w:rsidP="000008E9">
      <w:pPr>
        <w:spacing w:after="240" w:line="276" w:lineRule="auto"/>
        <w:jc w:val="both"/>
        <w:rPr>
          <w:rFonts w:ascii="Arial" w:hAnsi="Arial" w:cs="Arial"/>
          <w:color w:val="000000"/>
          <w:sz w:val="20"/>
          <w:szCs w:val="20"/>
        </w:rPr>
      </w:pPr>
      <w:r>
        <w:rPr>
          <w:rFonts w:ascii="Arial" w:hAnsi="Arial" w:cs="Arial"/>
          <w:color w:val="000000"/>
          <w:sz w:val="20"/>
          <w:szCs w:val="20"/>
        </w:rPr>
        <w:t xml:space="preserve">The subacute oral toxicity of lyophilized extracts of </w:t>
      </w:r>
      <w:r>
        <w:rPr>
          <w:rFonts w:ascii="Arial" w:hAnsi="Arial" w:cs="Arial"/>
          <w:i/>
          <w:iCs/>
          <w:color w:val="000000"/>
          <w:sz w:val="20"/>
          <w:szCs w:val="20"/>
        </w:rPr>
        <w:t>Elephantorrhiza elephantina</w:t>
      </w:r>
      <w:r>
        <w:rPr>
          <w:rFonts w:ascii="Arial" w:hAnsi="Arial" w:cs="Arial"/>
          <w:color w:val="000000"/>
          <w:sz w:val="20"/>
          <w:szCs w:val="20"/>
        </w:rPr>
        <w:t xml:space="preserve"> was evaluated in Sprague-Dawley rats, following OECD Test Guideline 407</w:t>
      </w:r>
      <w:r w:rsidR="000008E9">
        <w:rPr>
          <w:rFonts w:ascii="Arial" w:hAnsi="Arial" w:cs="Arial"/>
          <w:color w:val="000000"/>
          <w:sz w:val="20"/>
          <w:szCs w:val="20"/>
          <w:vertAlign w:val="superscript"/>
        </w:rPr>
        <w:t>14</w:t>
      </w:r>
      <w:r>
        <w:rPr>
          <w:rFonts w:ascii="Arial" w:hAnsi="Arial" w:cs="Arial"/>
          <w:color w:val="000000"/>
          <w:sz w:val="20"/>
          <w:szCs w:val="20"/>
        </w:rPr>
        <w:t>. Eighteen health</w:t>
      </w:r>
      <w:r>
        <w:rPr>
          <w:rFonts w:ascii="Arial" w:hAnsi="Arial" w:cs="Arial"/>
          <w:color w:val="000000"/>
          <w:sz w:val="20"/>
          <w:szCs w:val="20"/>
        </w:rPr>
        <w:t>y, nulliparous, and non-pregnant female Sprague-Dawley rats, aged 8-12 weeks and weighing between 200-250g, were used. The rats were obtained from a certified animal breeding facility, the University of Zimbabwe Animal House and acclimatized to the laborat</w:t>
      </w:r>
      <w:r>
        <w:rPr>
          <w:rFonts w:ascii="Arial" w:hAnsi="Arial" w:cs="Arial"/>
          <w:color w:val="000000"/>
          <w:sz w:val="20"/>
          <w:szCs w:val="20"/>
        </w:rPr>
        <w:t xml:space="preserve">ory conditions for a minimum of 7 days, with free access to commercial rodent feed and water </w:t>
      </w:r>
      <w:r>
        <w:rPr>
          <w:rFonts w:ascii="Arial" w:hAnsi="Arial" w:cs="Arial"/>
          <w:i/>
          <w:iCs/>
          <w:color w:val="000000"/>
          <w:sz w:val="20"/>
          <w:szCs w:val="20"/>
        </w:rPr>
        <w:t>ad libitum</w:t>
      </w:r>
      <w:r>
        <w:rPr>
          <w:rFonts w:ascii="Arial" w:hAnsi="Arial" w:cs="Arial"/>
          <w:color w:val="000000"/>
          <w:sz w:val="20"/>
          <w:szCs w:val="20"/>
        </w:rPr>
        <w:t>. Animals were housed individually in standard rat cages with stainless steel wire mesh floors. The animal room was maintained at a temperature of 22 ± 3</w:t>
      </w:r>
      <w:r>
        <w:rPr>
          <w:rFonts w:ascii="Arial" w:hAnsi="Arial" w:cs="Arial"/>
          <w:color w:val="000000"/>
          <w:sz w:val="20"/>
          <w:szCs w:val="20"/>
        </w:rPr>
        <w:t>°C, with a relative humidity of 50-60% and a 12-hour light/dark cycle.</w:t>
      </w:r>
      <w:r>
        <w:rPr>
          <w:rFonts w:ascii="Arial" w:hAnsi="Arial" w:cs="Arial"/>
          <w:sz w:val="20"/>
          <w:szCs w:val="20"/>
        </w:rPr>
        <w:t xml:space="preserve"> </w:t>
      </w:r>
      <w:r>
        <w:rPr>
          <w:rFonts w:ascii="Arial" w:hAnsi="Arial" w:cs="Arial"/>
          <w:color w:val="000000"/>
          <w:sz w:val="20"/>
          <w:szCs w:val="20"/>
        </w:rPr>
        <w:t xml:space="preserve">Fresh stock solution of the </w:t>
      </w:r>
      <w:r>
        <w:rPr>
          <w:rFonts w:ascii="Arial" w:hAnsi="Arial" w:cs="Arial"/>
          <w:i/>
          <w:iCs/>
          <w:color w:val="000000"/>
          <w:sz w:val="20"/>
          <w:szCs w:val="20"/>
        </w:rPr>
        <w:t xml:space="preserve">Elephantorrhiza elephantina </w:t>
      </w:r>
      <w:r>
        <w:rPr>
          <w:rFonts w:ascii="Arial" w:hAnsi="Arial" w:cs="Arial"/>
          <w:color w:val="000000"/>
          <w:sz w:val="20"/>
          <w:szCs w:val="20"/>
        </w:rPr>
        <w:t>extract was prepared daily by dissolving the lyophilized extract in distilled water. The rats were divided into three dosage grou</w:t>
      </w:r>
      <w:r>
        <w:rPr>
          <w:rFonts w:ascii="Arial" w:hAnsi="Arial" w:cs="Arial"/>
          <w:color w:val="000000"/>
          <w:sz w:val="20"/>
          <w:szCs w:val="20"/>
        </w:rPr>
        <w:t>ps (n=6): a control group receiving distilled water only, a low-dose group receiving plant extract at 500 mg/kg body weight, and a high-dose group receiving plant extract at 1000 mg/kg body weight. The concentrations were adjusted to allow administration o</w:t>
      </w:r>
      <w:r>
        <w:rPr>
          <w:rFonts w:ascii="Arial" w:hAnsi="Arial" w:cs="Arial"/>
          <w:color w:val="000000"/>
          <w:sz w:val="20"/>
          <w:szCs w:val="20"/>
        </w:rPr>
        <w:t>f the required dose within a maximum volume of 2 mL per animal via oral gavage. The dosage for each rat was calculated daily based on its individual body weight.</w:t>
      </w:r>
      <w:r>
        <w:rPr>
          <w:rFonts w:ascii="Arial" w:hAnsi="Arial" w:cs="Arial"/>
          <w:sz w:val="20"/>
          <w:szCs w:val="20"/>
        </w:rPr>
        <w:t xml:space="preserve"> </w:t>
      </w:r>
      <w:r>
        <w:rPr>
          <w:rFonts w:ascii="Arial" w:hAnsi="Arial" w:cs="Arial"/>
          <w:color w:val="000000"/>
          <w:sz w:val="20"/>
          <w:szCs w:val="20"/>
        </w:rPr>
        <w:t>After acclimatization period, rats were dosed daily via oral gavage for 28 consecutive days. T</w:t>
      </w:r>
      <w:r>
        <w:rPr>
          <w:rFonts w:ascii="Arial" w:hAnsi="Arial" w:cs="Arial"/>
          <w:color w:val="000000"/>
          <w:sz w:val="20"/>
          <w:szCs w:val="20"/>
        </w:rPr>
        <w:t>he rats were observed twice daily for any clinical signs of toxicity. Detailed observations, including mortality, changes in skin and fur, changes in eyes and mucous membranes, respiratory rate and pattern, activity level, gait abnormalities, changes in fo</w:t>
      </w:r>
      <w:r>
        <w:rPr>
          <w:rFonts w:ascii="Arial" w:hAnsi="Arial" w:cs="Arial"/>
          <w:color w:val="000000"/>
          <w:sz w:val="20"/>
          <w:szCs w:val="20"/>
        </w:rPr>
        <w:t xml:space="preserve">od and water consumption, presence of diarrhea or changes in urine output, and erection of fur, were recorded daily. </w:t>
      </w:r>
    </w:p>
    <w:p w14:paraId="20EE013B" w14:textId="77777777" w:rsidR="00A80A21" w:rsidRDefault="00A80A21">
      <w:pPr>
        <w:jc w:val="both"/>
        <w:rPr>
          <w:rFonts w:ascii="Arial" w:hAnsi="Arial" w:cs="Arial"/>
          <w:color w:val="000000"/>
          <w:sz w:val="20"/>
          <w:szCs w:val="20"/>
        </w:rPr>
      </w:pPr>
    </w:p>
    <w:p w14:paraId="65B1FF23" w14:textId="77777777" w:rsidR="00A80A21" w:rsidRDefault="00BC5F10">
      <w:pPr>
        <w:pStyle w:val="Heading3"/>
        <w:spacing w:line="276" w:lineRule="auto"/>
        <w:jc w:val="both"/>
        <w:rPr>
          <w:rFonts w:cs="Arial"/>
          <w:b/>
          <w:bCs/>
          <w:i w:val="0"/>
          <w:iCs/>
          <w:szCs w:val="20"/>
        </w:rPr>
      </w:pPr>
      <w:r>
        <w:rPr>
          <w:rFonts w:cs="Arial"/>
          <w:b/>
          <w:bCs/>
          <w:i w:val="0"/>
          <w:iCs/>
          <w:szCs w:val="20"/>
        </w:rPr>
        <w:t>Haematology, biochemistry and histopathology</w:t>
      </w:r>
    </w:p>
    <w:p w14:paraId="7895BF39" w14:textId="77777777" w:rsidR="00A80A21" w:rsidRDefault="00A80A21">
      <w:pPr>
        <w:spacing w:line="276" w:lineRule="auto"/>
        <w:jc w:val="both"/>
        <w:rPr>
          <w:rFonts w:ascii="Arial" w:hAnsi="Arial" w:cs="Arial"/>
          <w:iCs/>
          <w:color w:val="000000"/>
          <w:sz w:val="20"/>
          <w:szCs w:val="20"/>
        </w:rPr>
      </w:pPr>
    </w:p>
    <w:p w14:paraId="23D5E1EC" w14:textId="77777777" w:rsidR="00A80A21" w:rsidRPr="000008E9" w:rsidRDefault="00BC5F10" w:rsidP="000008E9">
      <w:pPr>
        <w:pStyle w:val="NormalWeb"/>
        <w:spacing w:before="0" w:beforeAutospacing="0" w:after="0" w:afterAutospacing="0"/>
        <w:rPr>
          <w:rFonts w:ascii="Arial" w:hAnsi="Arial" w:cs="Arial"/>
          <w:b/>
          <w:bCs/>
          <w:i/>
          <w:sz w:val="20"/>
          <w:szCs w:val="20"/>
          <w:lang w:val="en-US"/>
        </w:rPr>
      </w:pPr>
      <w:r w:rsidRPr="000008E9">
        <w:rPr>
          <w:rFonts w:ascii="Arial" w:hAnsi="Arial" w:cs="Arial"/>
          <w:b/>
          <w:bCs/>
          <w:sz w:val="20"/>
          <w:szCs w:val="20"/>
          <w:lang w:val="en-US"/>
        </w:rPr>
        <w:t>Materials and Methods</w:t>
      </w:r>
    </w:p>
    <w:p w14:paraId="25B044FB" w14:textId="37552B95" w:rsidR="00A80A21" w:rsidRPr="00DE25C7" w:rsidRDefault="00DE25C7" w:rsidP="00DE25C7">
      <w:pPr>
        <w:spacing w:line="276" w:lineRule="auto"/>
        <w:jc w:val="both"/>
        <w:rPr>
          <w:rFonts w:ascii="Arial" w:hAnsi="Arial" w:cs="Arial"/>
          <w:color w:val="000000"/>
          <w:sz w:val="20"/>
          <w:szCs w:val="20"/>
        </w:rPr>
      </w:pPr>
      <w:r w:rsidRPr="00DE25C7">
        <w:rPr>
          <w:rFonts w:ascii="Arial" w:hAnsi="Arial" w:cs="Arial"/>
          <w:color w:val="000000"/>
          <w:sz w:val="20"/>
          <w:szCs w:val="20"/>
        </w:rPr>
        <w:t xml:space="preserve">In this assay, 18 Sprague Dawley rats </w:t>
      </w:r>
      <w:r>
        <w:rPr>
          <w:rFonts w:ascii="Arial" w:hAnsi="Arial" w:cs="Arial"/>
          <w:color w:val="000000"/>
          <w:sz w:val="20"/>
          <w:szCs w:val="20"/>
        </w:rPr>
        <w:t xml:space="preserve">which participated in the study </w:t>
      </w:r>
      <w:r w:rsidRPr="00DE25C7">
        <w:rPr>
          <w:rFonts w:ascii="Arial" w:hAnsi="Arial" w:cs="Arial"/>
          <w:color w:val="000000"/>
          <w:sz w:val="20"/>
          <w:szCs w:val="20"/>
        </w:rPr>
        <w:t>were divided into three groups (n=6 per group): control, low-dose (500 mg/kg), and high-dose (1000 mg/kg).The control group received distilled water. The rats were treated daily with respective doses for 28 days via oral gavage. Blood samples were collected from selected rats in each group (rat 1 from control, rats 1, 3, and 5 from each treatment group) for hematology and biochemistry analyses.</w:t>
      </w:r>
    </w:p>
    <w:p w14:paraId="7653093A" w14:textId="77777777" w:rsidR="00A80A21" w:rsidRDefault="00A80A21">
      <w:pPr>
        <w:spacing w:line="276" w:lineRule="auto"/>
        <w:jc w:val="both"/>
        <w:rPr>
          <w:rFonts w:ascii="Arial" w:hAnsi="Arial" w:cs="Arial"/>
          <w:b/>
          <w:bCs/>
          <w:color w:val="000000"/>
          <w:sz w:val="20"/>
          <w:szCs w:val="20"/>
          <w:lang w:val="en-US"/>
        </w:rPr>
      </w:pPr>
    </w:p>
    <w:p w14:paraId="6A95F12D" w14:textId="77777777" w:rsidR="00A80A21" w:rsidRDefault="00BC5F10">
      <w:pPr>
        <w:pStyle w:val="Heading3"/>
        <w:spacing w:line="276" w:lineRule="auto"/>
        <w:jc w:val="both"/>
        <w:rPr>
          <w:rFonts w:cs="Arial"/>
          <w:b/>
          <w:bCs/>
          <w:i w:val="0"/>
          <w:iCs/>
          <w:szCs w:val="20"/>
          <w:lang w:val="en-US"/>
        </w:rPr>
      </w:pPr>
      <w:r>
        <w:rPr>
          <w:rFonts w:cs="Arial"/>
          <w:b/>
          <w:bCs/>
          <w:i w:val="0"/>
          <w:iCs/>
          <w:szCs w:val="20"/>
          <w:lang w:val="en-US"/>
        </w:rPr>
        <w:t xml:space="preserve">Preparation of blood samples for hematological and biochemical analysis: </w:t>
      </w:r>
    </w:p>
    <w:p w14:paraId="155235F9" w14:textId="77777777" w:rsidR="00A80A21" w:rsidRDefault="00BC5F10">
      <w:pPr>
        <w:spacing w:line="276" w:lineRule="auto"/>
        <w:jc w:val="both"/>
        <w:rPr>
          <w:rFonts w:ascii="Arial" w:hAnsi="Arial" w:cs="Arial"/>
          <w:color w:val="000000"/>
          <w:sz w:val="20"/>
          <w:szCs w:val="20"/>
          <w:lang w:val="en-US"/>
        </w:rPr>
      </w:pPr>
      <w:r>
        <w:rPr>
          <w:rFonts w:ascii="Arial" w:hAnsi="Arial" w:cs="Arial"/>
          <w:color w:val="000000"/>
          <w:sz w:val="20"/>
          <w:szCs w:val="20"/>
          <w:lang w:val="en-US"/>
        </w:rPr>
        <w:t xml:space="preserve">At the </w:t>
      </w:r>
      <w:r>
        <w:rPr>
          <w:rFonts w:ascii="Arial" w:hAnsi="Arial" w:cs="Arial"/>
          <w:color w:val="000000"/>
          <w:sz w:val="20"/>
          <w:szCs w:val="20"/>
          <w:lang w:val="en-US"/>
        </w:rPr>
        <w:t>end of the experimental period, the animals were fasted overnight and anaesthetized using diethyl ether. Blood samples were collected by cardiac puncture. About 2 mL of blood was collected from each rat into EDTA anticoagulant bottles for hematological ana</w:t>
      </w:r>
      <w:r>
        <w:rPr>
          <w:rFonts w:ascii="Arial" w:hAnsi="Arial" w:cs="Arial"/>
          <w:color w:val="000000"/>
          <w:sz w:val="20"/>
          <w:szCs w:val="20"/>
          <w:lang w:val="en-US"/>
        </w:rPr>
        <w:t xml:space="preserve">lysis, and about 3 mL was collected into non-EDTA bottles for serum biochemical analysis. </w:t>
      </w:r>
    </w:p>
    <w:p w14:paraId="0DED5725" w14:textId="77777777" w:rsidR="00A80A21" w:rsidRDefault="00A80A21">
      <w:pPr>
        <w:spacing w:line="276" w:lineRule="auto"/>
        <w:ind w:left="720"/>
        <w:jc w:val="both"/>
        <w:rPr>
          <w:rFonts w:ascii="Arial" w:hAnsi="Arial" w:cs="Arial"/>
          <w:b/>
          <w:bCs/>
          <w:iCs/>
          <w:color w:val="000000"/>
          <w:sz w:val="20"/>
          <w:szCs w:val="20"/>
          <w:lang w:val="en-US"/>
        </w:rPr>
      </w:pPr>
    </w:p>
    <w:p w14:paraId="6534D711" w14:textId="77777777" w:rsidR="00A80A21" w:rsidRDefault="00BC5F10">
      <w:pPr>
        <w:pStyle w:val="Heading3"/>
        <w:spacing w:line="276" w:lineRule="auto"/>
        <w:jc w:val="both"/>
        <w:rPr>
          <w:rFonts w:cs="Arial"/>
          <w:b/>
          <w:bCs/>
          <w:i w:val="0"/>
          <w:iCs/>
          <w:szCs w:val="20"/>
          <w:lang w:val="en-US"/>
        </w:rPr>
      </w:pPr>
      <w:r>
        <w:rPr>
          <w:rFonts w:cs="Arial"/>
          <w:b/>
          <w:bCs/>
          <w:i w:val="0"/>
          <w:iCs/>
          <w:szCs w:val="20"/>
          <w:lang w:val="en-US"/>
        </w:rPr>
        <w:t>Hematology</w:t>
      </w:r>
    </w:p>
    <w:p w14:paraId="372BA2F5" w14:textId="77777777" w:rsidR="00A80A21" w:rsidRDefault="00BC5F10">
      <w:pPr>
        <w:spacing w:line="276" w:lineRule="auto"/>
        <w:jc w:val="both"/>
        <w:rPr>
          <w:rFonts w:ascii="Arial" w:hAnsi="Arial" w:cs="Arial"/>
          <w:color w:val="000000"/>
          <w:sz w:val="20"/>
          <w:szCs w:val="20"/>
          <w:lang w:val="en-US"/>
        </w:rPr>
      </w:pPr>
      <w:r>
        <w:rPr>
          <w:rFonts w:ascii="Arial" w:hAnsi="Arial" w:cs="Arial"/>
          <w:color w:val="000000"/>
          <w:sz w:val="20"/>
          <w:szCs w:val="20"/>
          <w:lang w:val="en-US"/>
        </w:rPr>
        <w:t>The following parameters were measured: WBC, RBC, Hb, HCT, MCV, MCH, MCHC, RDW, PLT, and MPV. These parameters were measured using a hematology analyzer.</w:t>
      </w:r>
    </w:p>
    <w:p w14:paraId="20176D8B" w14:textId="77777777" w:rsidR="00A80A21" w:rsidRDefault="00A80A21">
      <w:pPr>
        <w:spacing w:line="276" w:lineRule="auto"/>
        <w:jc w:val="both"/>
        <w:rPr>
          <w:rFonts w:ascii="Arial" w:hAnsi="Arial" w:cs="Arial"/>
          <w:color w:val="000000"/>
          <w:sz w:val="20"/>
          <w:szCs w:val="20"/>
          <w:lang w:val="en-US"/>
        </w:rPr>
      </w:pPr>
    </w:p>
    <w:p w14:paraId="3DD22D7C" w14:textId="77777777" w:rsidR="00A80A21" w:rsidRDefault="00BC5F10">
      <w:pPr>
        <w:pStyle w:val="Heading3"/>
        <w:spacing w:line="276" w:lineRule="auto"/>
        <w:jc w:val="both"/>
        <w:rPr>
          <w:rFonts w:cs="Arial"/>
          <w:b/>
          <w:bCs/>
          <w:i w:val="0"/>
          <w:iCs/>
          <w:szCs w:val="20"/>
          <w:lang w:val="en-US"/>
        </w:rPr>
      </w:pPr>
      <w:r>
        <w:rPr>
          <w:rFonts w:cs="Arial"/>
          <w:b/>
          <w:bCs/>
          <w:i w:val="0"/>
          <w:iCs/>
          <w:szCs w:val="20"/>
          <w:lang w:val="en-US"/>
        </w:rPr>
        <w:t>Preparation of serum for biochemistry parameters</w:t>
      </w:r>
    </w:p>
    <w:p w14:paraId="4327CC88" w14:textId="77777777" w:rsidR="00A80A21" w:rsidRDefault="00BC5F10">
      <w:pPr>
        <w:spacing w:line="276" w:lineRule="auto"/>
        <w:jc w:val="both"/>
        <w:rPr>
          <w:rFonts w:ascii="Arial" w:hAnsi="Arial" w:cs="Arial"/>
          <w:color w:val="000000"/>
          <w:sz w:val="20"/>
          <w:szCs w:val="20"/>
          <w:lang w:val="en-US"/>
        </w:rPr>
      </w:pPr>
      <w:r>
        <w:rPr>
          <w:rFonts w:ascii="Arial" w:hAnsi="Arial" w:cs="Arial"/>
          <w:color w:val="000000"/>
          <w:sz w:val="20"/>
          <w:szCs w:val="20"/>
          <w:lang w:val="en-US"/>
        </w:rPr>
        <w:t xml:space="preserve">The blood samples collected into non-EDTA bottles were allowed to clot by standing at room temperature for 30 min. Serum was separated by centrifugation at 3000 rpm for 15 min using a benchtop centrifuge. </w:t>
      </w:r>
      <w:r>
        <w:rPr>
          <w:rFonts w:ascii="Arial" w:hAnsi="Arial" w:cs="Arial"/>
          <w:color w:val="000000"/>
          <w:sz w:val="20"/>
          <w:szCs w:val="20"/>
          <w:lang w:val="en-US"/>
        </w:rPr>
        <w:t>The serum samples were collected using Pasteur pipettes into clean, dry, and well-labeled sample bottles. The serum samples were stored frozen at -20°C until analyzed.</w:t>
      </w:r>
    </w:p>
    <w:p w14:paraId="68DE591E" w14:textId="77777777" w:rsidR="00A80A21" w:rsidRDefault="00A80A21">
      <w:pPr>
        <w:spacing w:line="276" w:lineRule="auto"/>
        <w:jc w:val="both"/>
        <w:rPr>
          <w:rFonts w:ascii="Arial" w:hAnsi="Arial" w:cs="Arial"/>
          <w:b/>
          <w:bCs/>
          <w:color w:val="000000"/>
          <w:sz w:val="20"/>
          <w:szCs w:val="20"/>
          <w:lang w:val="en-US"/>
        </w:rPr>
      </w:pPr>
    </w:p>
    <w:p w14:paraId="350DBA54" w14:textId="77777777" w:rsidR="00A80A21" w:rsidRDefault="00BC5F10">
      <w:pPr>
        <w:pStyle w:val="Heading3"/>
        <w:spacing w:line="276" w:lineRule="auto"/>
        <w:jc w:val="both"/>
        <w:rPr>
          <w:rFonts w:cs="Arial"/>
          <w:b/>
          <w:bCs/>
          <w:i w:val="0"/>
          <w:iCs/>
          <w:szCs w:val="20"/>
          <w:lang w:val="en-US"/>
        </w:rPr>
      </w:pPr>
      <w:r>
        <w:rPr>
          <w:rFonts w:cs="Arial"/>
          <w:b/>
          <w:bCs/>
          <w:i w:val="0"/>
          <w:iCs/>
          <w:szCs w:val="20"/>
          <w:lang w:val="en-US"/>
        </w:rPr>
        <w:t>Biochemistry</w:t>
      </w:r>
    </w:p>
    <w:p w14:paraId="6AB1E79A" w14:textId="77777777" w:rsidR="00A80A21" w:rsidRDefault="00BC5F10">
      <w:pPr>
        <w:spacing w:line="276" w:lineRule="auto"/>
        <w:jc w:val="both"/>
        <w:rPr>
          <w:rFonts w:ascii="Arial" w:hAnsi="Arial" w:cs="Arial"/>
          <w:color w:val="000000"/>
          <w:sz w:val="20"/>
          <w:szCs w:val="20"/>
          <w:lang w:val="en-US"/>
        </w:rPr>
      </w:pPr>
      <w:r>
        <w:rPr>
          <w:rFonts w:ascii="Arial" w:hAnsi="Arial" w:cs="Arial"/>
          <w:color w:val="000000"/>
          <w:sz w:val="20"/>
          <w:szCs w:val="20"/>
          <w:lang w:val="en-US"/>
        </w:rPr>
        <w:t>The following parameters were analyzed: Urea, AST, ALT, ALP, Creatinine, T</w:t>
      </w:r>
      <w:r>
        <w:rPr>
          <w:rFonts w:ascii="Arial" w:hAnsi="Arial" w:cs="Arial"/>
          <w:color w:val="000000"/>
          <w:sz w:val="20"/>
          <w:szCs w:val="20"/>
          <w:lang w:val="en-US"/>
        </w:rPr>
        <w:t>P, and Albumin. Serum samples were analyzed using a clinical chemistry analyzer.</w:t>
      </w:r>
    </w:p>
    <w:p w14:paraId="460EFCE6" w14:textId="77777777" w:rsidR="00A80A21" w:rsidRDefault="00A80A21">
      <w:pPr>
        <w:numPr>
          <w:ilvl w:val="1"/>
          <w:numId w:val="3"/>
        </w:numPr>
        <w:spacing w:line="276" w:lineRule="auto"/>
        <w:jc w:val="both"/>
        <w:rPr>
          <w:rFonts w:ascii="Arial" w:hAnsi="Arial" w:cs="Arial"/>
          <w:b/>
          <w:bCs/>
          <w:color w:val="000000"/>
          <w:sz w:val="20"/>
          <w:szCs w:val="20"/>
          <w:lang w:val="en-US"/>
        </w:rPr>
      </w:pPr>
    </w:p>
    <w:p w14:paraId="191386FE" w14:textId="78D60168" w:rsidR="00A80A21" w:rsidRPr="00EC6FF2" w:rsidRDefault="00BC5F10" w:rsidP="00EC6FF2">
      <w:pPr>
        <w:pStyle w:val="Heading3"/>
        <w:spacing w:line="276" w:lineRule="auto"/>
        <w:jc w:val="both"/>
        <w:rPr>
          <w:rFonts w:cs="Arial"/>
          <w:b/>
          <w:bCs/>
          <w:i w:val="0"/>
          <w:iCs/>
          <w:szCs w:val="20"/>
          <w:lang w:val="en-US"/>
        </w:rPr>
      </w:pPr>
      <w:r>
        <w:rPr>
          <w:rFonts w:cs="Arial"/>
          <w:b/>
          <w:bCs/>
          <w:i w:val="0"/>
          <w:iCs/>
          <w:szCs w:val="20"/>
          <w:lang w:val="en-US"/>
        </w:rPr>
        <w:t>Histopathology</w:t>
      </w:r>
    </w:p>
    <w:p w14:paraId="1D2E8143" w14:textId="77777777" w:rsidR="00A80A21" w:rsidRDefault="00BC5F10">
      <w:pPr>
        <w:spacing w:line="276" w:lineRule="auto"/>
        <w:jc w:val="both"/>
        <w:rPr>
          <w:rFonts w:ascii="Arial" w:hAnsi="Arial" w:cs="Arial"/>
          <w:color w:val="000000"/>
          <w:sz w:val="20"/>
          <w:szCs w:val="20"/>
          <w:lang w:val="en-US"/>
        </w:rPr>
      </w:pPr>
      <w:r>
        <w:rPr>
          <w:rFonts w:ascii="Arial" w:hAnsi="Arial" w:cs="Arial"/>
          <w:color w:val="000000"/>
          <w:sz w:val="20"/>
          <w:szCs w:val="20"/>
          <w:lang w:val="en-US"/>
        </w:rPr>
        <w:t xml:space="preserve">Heart, liver, and kidney tissues were dissected from the same rats used for blood sampling. The organs were immediately fixed in 10% formalin for histological </w:t>
      </w:r>
      <w:r>
        <w:rPr>
          <w:rFonts w:ascii="Arial" w:hAnsi="Arial" w:cs="Arial"/>
          <w:color w:val="000000"/>
          <w:sz w:val="20"/>
          <w:szCs w:val="20"/>
          <w:lang w:val="en-US"/>
        </w:rPr>
        <w:t>examination. Tissue sections were prepared and stained with hematoxylin and eosin stains. The stained sections were examined under a microscope, and histopathological changes were observed and recorded.</w:t>
      </w:r>
    </w:p>
    <w:p w14:paraId="1C21A9A7" w14:textId="77777777" w:rsidR="00A80A21" w:rsidRDefault="00A80A21">
      <w:pPr>
        <w:spacing w:line="276" w:lineRule="auto"/>
        <w:jc w:val="both"/>
        <w:rPr>
          <w:rFonts w:ascii="Arial" w:hAnsi="Arial" w:cs="Arial"/>
          <w:b/>
          <w:bCs/>
          <w:color w:val="000000"/>
          <w:sz w:val="20"/>
          <w:szCs w:val="20"/>
          <w:lang w:val="en-US"/>
        </w:rPr>
      </w:pPr>
    </w:p>
    <w:p w14:paraId="1CE84E53" w14:textId="6EB29630" w:rsidR="00A80A21" w:rsidRPr="00EC6FF2" w:rsidRDefault="00BC5F10" w:rsidP="00EC6FF2">
      <w:pPr>
        <w:pStyle w:val="Heading3"/>
        <w:spacing w:line="276" w:lineRule="auto"/>
        <w:jc w:val="both"/>
        <w:rPr>
          <w:rFonts w:cs="Arial"/>
          <w:b/>
          <w:bCs/>
          <w:i w:val="0"/>
          <w:iCs/>
          <w:szCs w:val="20"/>
          <w:lang w:val="en-US"/>
        </w:rPr>
      </w:pPr>
      <w:r>
        <w:rPr>
          <w:rFonts w:cs="Arial"/>
          <w:b/>
          <w:bCs/>
          <w:i w:val="0"/>
          <w:iCs/>
          <w:szCs w:val="20"/>
          <w:lang w:val="en-US"/>
        </w:rPr>
        <w:t>Data Analysis</w:t>
      </w:r>
    </w:p>
    <w:p w14:paraId="171191D5" w14:textId="77777777" w:rsidR="00A80A21" w:rsidRDefault="00BC5F10">
      <w:pPr>
        <w:spacing w:line="276" w:lineRule="auto"/>
        <w:jc w:val="both"/>
        <w:rPr>
          <w:rFonts w:ascii="Arial" w:hAnsi="Arial" w:cs="Arial"/>
          <w:color w:val="000000"/>
          <w:sz w:val="20"/>
          <w:szCs w:val="20"/>
          <w:lang w:val="en-US"/>
        </w:rPr>
      </w:pPr>
      <w:r>
        <w:rPr>
          <w:rFonts w:ascii="Arial" w:hAnsi="Arial" w:cs="Arial"/>
          <w:color w:val="000000"/>
          <w:sz w:val="20"/>
          <w:szCs w:val="20"/>
          <w:lang w:val="en-US"/>
        </w:rPr>
        <w:t>Data was analyzed using appropriate st</w:t>
      </w:r>
      <w:r>
        <w:rPr>
          <w:rFonts w:ascii="Arial" w:hAnsi="Arial" w:cs="Arial"/>
          <w:color w:val="000000"/>
          <w:sz w:val="20"/>
          <w:szCs w:val="20"/>
          <w:lang w:val="en-US"/>
        </w:rPr>
        <w:t>atistical methods, including one-way ANOVA and post-hoc comparisons, to determine significant differences between the control and treatment groups. Differences were considered statistically significant at p &lt; 0.05. Descriptive statistics, including mean an</w:t>
      </w:r>
      <w:r>
        <w:rPr>
          <w:rFonts w:ascii="Arial" w:hAnsi="Arial" w:cs="Arial"/>
          <w:color w:val="000000"/>
          <w:sz w:val="20"/>
          <w:szCs w:val="20"/>
          <w:lang w:val="en-US"/>
        </w:rPr>
        <w:t>d standard deviation, were calculated for all measured parameters.</w:t>
      </w:r>
    </w:p>
    <w:p w14:paraId="18145D64" w14:textId="77777777" w:rsidR="00A80A21" w:rsidRDefault="00A80A21">
      <w:pPr>
        <w:jc w:val="both"/>
        <w:rPr>
          <w:rFonts w:ascii="Arial" w:hAnsi="Arial" w:cs="Arial"/>
          <w:b/>
          <w:bCs/>
          <w:color w:val="000000"/>
          <w:sz w:val="20"/>
          <w:szCs w:val="20"/>
        </w:rPr>
      </w:pPr>
    </w:p>
    <w:p w14:paraId="77181E52" w14:textId="77777777" w:rsidR="00A80A21" w:rsidRDefault="00BC5F10">
      <w:pPr>
        <w:pStyle w:val="Heading1"/>
        <w:contextualSpacing/>
        <w:jc w:val="both"/>
        <w:rPr>
          <w:rFonts w:cs="Arial"/>
          <w:sz w:val="20"/>
          <w:szCs w:val="20"/>
        </w:rPr>
      </w:pPr>
      <w:r>
        <w:rPr>
          <w:rFonts w:cs="Arial"/>
          <w:sz w:val="20"/>
          <w:szCs w:val="20"/>
        </w:rPr>
        <w:t>Results and discussion</w:t>
      </w:r>
    </w:p>
    <w:p w14:paraId="735035D5" w14:textId="77777777" w:rsidR="00A80A21" w:rsidRDefault="00A80A21">
      <w:pPr>
        <w:jc w:val="both"/>
        <w:rPr>
          <w:rFonts w:ascii="Arial" w:hAnsi="Arial" w:cs="Arial"/>
          <w:sz w:val="20"/>
          <w:szCs w:val="20"/>
        </w:rPr>
      </w:pPr>
    </w:p>
    <w:p w14:paraId="672E2AEE" w14:textId="77777777" w:rsidR="00A80A21" w:rsidRDefault="00BC5F10">
      <w:pPr>
        <w:pStyle w:val="Heading2"/>
        <w:spacing w:after="240"/>
        <w:jc w:val="both"/>
        <w:rPr>
          <w:rFonts w:cs="Arial"/>
          <w:sz w:val="20"/>
          <w:szCs w:val="20"/>
        </w:rPr>
      </w:pPr>
      <w:r>
        <w:rPr>
          <w:rFonts w:cs="Arial"/>
          <w:sz w:val="20"/>
          <w:szCs w:val="20"/>
        </w:rPr>
        <w:t>Phytochemical screening</w:t>
      </w:r>
    </w:p>
    <w:p w14:paraId="7131E4B8" w14:textId="36441C9B" w:rsidR="00A80A21" w:rsidRDefault="00BC5F10">
      <w:pPr>
        <w:spacing w:after="240" w:line="276" w:lineRule="auto"/>
        <w:jc w:val="both"/>
        <w:rPr>
          <w:rFonts w:ascii="Arial" w:hAnsi="Arial" w:cs="Arial"/>
          <w:iCs/>
          <w:color w:val="000000"/>
          <w:sz w:val="20"/>
          <w:szCs w:val="20"/>
        </w:rPr>
      </w:pPr>
      <w:r>
        <w:rPr>
          <w:rFonts w:ascii="Arial" w:hAnsi="Arial" w:cs="Arial"/>
          <w:sz w:val="20"/>
          <w:szCs w:val="20"/>
        </w:rPr>
        <w:t xml:space="preserve">The investigations confirmed the abundance of primary and secondary metabolites of biomedical relevance with regards to pancreatic </w:t>
      </w:r>
      <w:r>
        <w:rPr>
          <w:rFonts w:ascii="Arial" w:hAnsi="Arial" w:cs="Arial"/>
          <w:sz w:val="20"/>
          <w:szCs w:val="20"/>
        </w:rPr>
        <w:t>insufficiency. The compounds with the strongest presence in the plant were flavonoids and phenols</w:t>
      </w:r>
      <w:r w:rsidR="009B64BE">
        <w:rPr>
          <w:rFonts w:ascii="Arial" w:hAnsi="Arial" w:cs="Arial"/>
          <w:sz w:val="20"/>
          <w:szCs w:val="20"/>
        </w:rPr>
        <w:t xml:space="preserve"> (Table 2)</w:t>
      </w:r>
      <w:r>
        <w:rPr>
          <w:rFonts w:ascii="Arial" w:hAnsi="Arial" w:cs="Arial"/>
          <w:sz w:val="20"/>
          <w:szCs w:val="20"/>
        </w:rPr>
        <w:t xml:space="preserve">. These results correlate with studies by </w:t>
      </w:r>
      <w:r>
        <w:rPr>
          <w:rFonts w:ascii="Arial" w:hAnsi="Arial" w:cs="Arial"/>
          <w:sz w:val="20"/>
          <w:szCs w:val="20"/>
          <w:lang w:val="en-US"/>
        </w:rPr>
        <w:t>Chipato and Chifamba</w:t>
      </w:r>
      <w:r>
        <w:rPr>
          <w:rFonts w:ascii="Arial" w:hAnsi="Arial" w:cs="Arial"/>
          <w:sz w:val="20"/>
          <w:szCs w:val="20"/>
          <w:vertAlign w:val="superscript"/>
        </w:rPr>
        <w:t xml:space="preserve"> </w:t>
      </w:r>
      <w:r>
        <w:rPr>
          <w:rFonts w:ascii="Arial" w:hAnsi="Arial" w:cs="Arial"/>
          <w:sz w:val="20"/>
          <w:szCs w:val="20"/>
        </w:rPr>
        <w:t xml:space="preserve">who </w:t>
      </w:r>
      <w:r w:rsidR="00F418A6">
        <w:rPr>
          <w:rFonts w:ascii="Arial" w:hAnsi="Arial" w:cs="Arial"/>
          <w:sz w:val="20"/>
          <w:szCs w:val="20"/>
        </w:rPr>
        <w:t>identified</w:t>
      </w:r>
      <w:r>
        <w:rPr>
          <w:rFonts w:ascii="Arial" w:hAnsi="Arial" w:cs="Arial"/>
          <w:sz w:val="20"/>
          <w:szCs w:val="20"/>
          <w:lang w:val="en-US"/>
        </w:rPr>
        <w:t xml:space="preserve"> glycosides, </w:t>
      </w:r>
      <w:r>
        <w:rPr>
          <w:rFonts w:ascii="Arial" w:hAnsi="Arial" w:cs="Arial"/>
          <w:sz w:val="20"/>
          <w:szCs w:val="20"/>
        </w:rPr>
        <w:t xml:space="preserve">tannins, flavonoids, </w:t>
      </w:r>
      <w:r>
        <w:rPr>
          <w:rFonts w:ascii="Arial" w:hAnsi="Arial" w:cs="Arial"/>
          <w:sz w:val="20"/>
          <w:szCs w:val="20"/>
          <w:lang w:val="en-US"/>
        </w:rPr>
        <w:t>alkaloids</w:t>
      </w:r>
      <w:r>
        <w:rPr>
          <w:rFonts w:ascii="Arial" w:hAnsi="Arial" w:cs="Arial"/>
          <w:sz w:val="20"/>
          <w:szCs w:val="20"/>
        </w:rPr>
        <w:t xml:space="preserve">, </w:t>
      </w:r>
      <w:proofErr w:type="spellStart"/>
      <w:r>
        <w:rPr>
          <w:rFonts w:ascii="Arial" w:hAnsi="Arial" w:cs="Arial"/>
          <w:sz w:val="20"/>
          <w:szCs w:val="20"/>
        </w:rPr>
        <w:t>phen</w:t>
      </w:r>
      <w:r>
        <w:rPr>
          <w:rFonts w:ascii="Arial" w:hAnsi="Arial" w:cs="Arial"/>
          <w:sz w:val="20"/>
          <w:szCs w:val="20"/>
          <w:lang w:val="en-US"/>
        </w:rPr>
        <w:t>olic</w:t>
      </w:r>
      <w:proofErr w:type="spellEnd"/>
      <w:r>
        <w:rPr>
          <w:rFonts w:ascii="Arial" w:hAnsi="Arial" w:cs="Arial"/>
          <w:sz w:val="20"/>
          <w:szCs w:val="20"/>
          <w:lang w:val="en-US"/>
        </w:rPr>
        <w:t xml:space="preserve"> compounds</w:t>
      </w:r>
      <w:r>
        <w:rPr>
          <w:rFonts w:ascii="Arial" w:hAnsi="Arial" w:cs="Arial"/>
          <w:sz w:val="20"/>
          <w:szCs w:val="20"/>
        </w:rPr>
        <w:t xml:space="preserve">, </w:t>
      </w:r>
      <w:r>
        <w:rPr>
          <w:rFonts w:ascii="Arial" w:hAnsi="Arial" w:cs="Arial"/>
          <w:sz w:val="20"/>
          <w:szCs w:val="20"/>
          <w:lang w:val="en-US"/>
        </w:rPr>
        <w:t>saponin</w:t>
      </w:r>
      <w:r>
        <w:rPr>
          <w:rFonts w:ascii="Arial" w:hAnsi="Arial" w:cs="Arial"/>
          <w:sz w:val="20"/>
          <w:szCs w:val="20"/>
          <w:lang w:val="en-US"/>
        </w:rPr>
        <w:t>s</w:t>
      </w:r>
      <w:r>
        <w:rPr>
          <w:rFonts w:ascii="Arial" w:hAnsi="Arial" w:cs="Arial"/>
          <w:sz w:val="20"/>
          <w:szCs w:val="20"/>
        </w:rPr>
        <w:t>,</w:t>
      </w:r>
      <w:r>
        <w:rPr>
          <w:rFonts w:ascii="Arial" w:hAnsi="Arial" w:cs="Arial"/>
          <w:sz w:val="20"/>
          <w:szCs w:val="20"/>
          <w:lang w:val="en-US"/>
        </w:rPr>
        <w:t xml:space="preserve"> </w:t>
      </w:r>
      <w:r>
        <w:rPr>
          <w:rFonts w:ascii="Arial" w:hAnsi="Arial" w:cs="Arial"/>
          <w:sz w:val="20"/>
          <w:szCs w:val="20"/>
        </w:rPr>
        <w:t xml:space="preserve">and </w:t>
      </w:r>
      <w:r>
        <w:rPr>
          <w:rFonts w:ascii="Arial" w:hAnsi="Arial" w:cs="Arial"/>
          <w:sz w:val="20"/>
          <w:szCs w:val="20"/>
          <w:lang w:val="en-US"/>
        </w:rPr>
        <w:t xml:space="preserve">steroids in the </w:t>
      </w:r>
      <w:r>
        <w:rPr>
          <w:rFonts w:ascii="Arial" w:hAnsi="Arial" w:cs="Arial"/>
          <w:i/>
          <w:iCs/>
          <w:sz w:val="20"/>
          <w:szCs w:val="20"/>
          <w:lang w:val="en-US"/>
        </w:rPr>
        <w:t>E. elephantina</w:t>
      </w:r>
      <w:r>
        <w:rPr>
          <w:rFonts w:ascii="Arial" w:hAnsi="Arial" w:cs="Arial"/>
          <w:sz w:val="20"/>
          <w:szCs w:val="20"/>
          <w:lang w:val="en-US"/>
        </w:rPr>
        <w:t xml:space="preserve"> lyophilized extracts</w:t>
      </w:r>
      <w:r>
        <w:rPr>
          <w:rFonts w:ascii="Arial" w:hAnsi="Arial" w:cs="Arial"/>
          <w:sz w:val="20"/>
          <w:szCs w:val="20"/>
        </w:rPr>
        <w:t>.</w:t>
      </w:r>
      <w:r>
        <w:rPr>
          <w:rFonts w:ascii="Arial" w:hAnsi="Arial" w:cs="Arial"/>
          <w:sz w:val="20"/>
          <w:szCs w:val="20"/>
          <w:lang w:val="en-US"/>
        </w:rPr>
        <w:t xml:space="preserve"> Alkaloids have traceable pharmacological properties which include anti-inflammatory and analgesic effects. According to Nugent, 2025</w:t>
      </w:r>
      <w:r w:rsidR="00EC6FF2">
        <w:rPr>
          <w:rFonts w:ascii="Arial" w:hAnsi="Arial" w:cs="Arial"/>
          <w:sz w:val="20"/>
          <w:szCs w:val="20"/>
          <w:vertAlign w:val="superscript"/>
          <w:lang w:val="en-US"/>
        </w:rPr>
        <w:t>15</w:t>
      </w:r>
      <w:r>
        <w:rPr>
          <w:rFonts w:ascii="Arial" w:hAnsi="Arial" w:cs="Arial"/>
          <w:sz w:val="20"/>
          <w:szCs w:val="20"/>
          <w:lang w:val="en-US"/>
        </w:rPr>
        <w:t>, alkaloids have the capacity to modulate pancreatic enzymes a</w:t>
      </w:r>
      <w:r>
        <w:rPr>
          <w:rFonts w:ascii="Arial" w:hAnsi="Arial" w:cs="Arial"/>
          <w:sz w:val="20"/>
          <w:szCs w:val="20"/>
          <w:lang w:val="en-US"/>
        </w:rPr>
        <w:t>nd improve the digestive function in cases of pancreatic insufficiency. Alkaloids also contribute to the regulation of insulin secretion, which is often disrupted in pancreatic disorders</w:t>
      </w:r>
      <w:r w:rsidR="00EC6FF2">
        <w:rPr>
          <w:rFonts w:ascii="Arial" w:hAnsi="Arial" w:cs="Arial"/>
          <w:sz w:val="20"/>
          <w:szCs w:val="20"/>
          <w:vertAlign w:val="superscript"/>
          <w:lang w:val="en-US"/>
        </w:rPr>
        <w:t>16</w:t>
      </w:r>
      <w:r>
        <w:rPr>
          <w:rFonts w:ascii="Arial" w:hAnsi="Arial" w:cs="Arial"/>
          <w:sz w:val="20"/>
          <w:szCs w:val="20"/>
        </w:rPr>
        <w:t xml:space="preserve">. </w:t>
      </w:r>
      <w:r>
        <w:rPr>
          <w:rFonts w:ascii="Arial" w:hAnsi="Arial" w:cs="Arial"/>
          <w:iCs/>
          <w:sz w:val="20"/>
          <w:szCs w:val="20"/>
        </w:rPr>
        <w:t>Flavonoids and phenols exhibit significant antioxidant and anti-in</w:t>
      </w:r>
      <w:r>
        <w:rPr>
          <w:rFonts w:ascii="Arial" w:hAnsi="Arial" w:cs="Arial"/>
          <w:iCs/>
          <w:sz w:val="20"/>
          <w:szCs w:val="20"/>
        </w:rPr>
        <w:t>flammatory effects, helping to protect pancreatic cells from oxidative stress and inflammation, both of which are common in pancreatic disorders</w:t>
      </w:r>
      <w:r w:rsidR="00EC6FF2">
        <w:rPr>
          <w:rFonts w:ascii="Arial" w:hAnsi="Arial" w:cs="Arial"/>
          <w:iCs/>
          <w:sz w:val="20"/>
          <w:szCs w:val="20"/>
          <w:vertAlign w:val="superscript"/>
        </w:rPr>
        <w:t>17</w:t>
      </w:r>
      <w:r>
        <w:rPr>
          <w:rFonts w:ascii="Arial" w:hAnsi="Arial" w:cs="Arial"/>
          <w:iCs/>
          <w:sz w:val="20"/>
          <w:szCs w:val="20"/>
          <w:vertAlign w:val="superscript"/>
        </w:rPr>
        <w:t xml:space="preserve">, </w:t>
      </w:r>
      <w:r w:rsidR="00EC6FF2">
        <w:rPr>
          <w:rFonts w:ascii="Arial" w:hAnsi="Arial" w:cs="Arial"/>
          <w:iCs/>
          <w:sz w:val="20"/>
          <w:szCs w:val="20"/>
          <w:vertAlign w:val="superscript"/>
        </w:rPr>
        <w:t>18</w:t>
      </w:r>
      <w:r>
        <w:rPr>
          <w:rFonts w:ascii="Arial" w:hAnsi="Arial" w:cs="Arial"/>
          <w:iCs/>
          <w:sz w:val="20"/>
          <w:szCs w:val="20"/>
        </w:rPr>
        <w:t xml:space="preserve">. Glycosides and saponins enhance pancreatic enzyme secretion, facilitating improved digestion and </w:t>
      </w:r>
      <w:r>
        <w:rPr>
          <w:rFonts w:ascii="Arial" w:hAnsi="Arial" w:cs="Arial"/>
          <w:iCs/>
          <w:sz w:val="20"/>
          <w:szCs w:val="20"/>
        </w:rPr>
        <w:t>nutrient absorption, which is crucial in addressing malabsorption associated with pancreatic insufficiency</w:t>
      </w:r>
      <w:r w:rsidR="00EC6FF2">
        <w:rPr>
          <w:rFonts w:ascii="Arial" w:hAnsi="Arial" w:cs="Arial"/>
          <w:iCs/>
          <w:sz w:val="20"/>
          <w:szCs w:val="20"/>
          <w:vertAlign w:val="superscript"/>
        </w:rPr>
        <w:t>8,</w:t>
      </w:r>
      <w:r>
        <w:rPr>
          <w:rFonts w:ascii="Arial" w:hAnsi="Arial" w:cs="Arial"/>
          <w:iCs/>
          <w:sz w:val="20"/>
          <w:szCs w:val="20"/>
          <w:vertAlign w:val="superscript"/>
        </w:rPr>
        <w:t xml:space="preserve"> 1</w:t>
      </w:r>
      <w:r w:rsidR="00EC6FF2">
        <w:rPr>
          <w:rFonts w:ascii="Arial" w:hAnsi="Arial" w:cs="Arial"/>
          <w:iCs/>
          <w:sz w:val="20"/>
          <w:szCs w:val="20"/>
          <w:vertAlign w:val="superscript"/>
        </w:rPr>
        <w:t>9</w:t>
      </w:r>
      <w:r>
        <w:rPr>
          <w:rFonts w:ascii="Arial" w:hAnsi="Arial" w:cs="Arial"/>
          <w:iCs/>
          <w:sz w:val="20"/>
          <w:szCs w:val="20"/>
        </w:rPr>
        <w:t>. Tannins, recognized for their astringent properties, may contribute to pancreatic enzyme regulation, supporting the digestive process and mitig</w:t>
      </w:r>
      <w:r>
        <w:rPr>
          <w:rFonts w:ascii="Arial" w:hAnsi="Arial" w:cs="Arial"/>
          <w:iCs/>
          <w:sz w:val="20"/>
          <w:szCs w:val="20"/>
        </w:rPr>
        <w:t xml:space="preserve">ating enzyme </w:t>
      </w:r>
      <w:r>
        <w:rPr>
          <w:rFonts w:ascii="Arial" w:hAnsi="Arial" w:cs="Arial"/>
          <w:iCs/>
          <w:sz w:val="20"/>
          <w:szCs w:val="20"/>
        </w:rPr>
        <w:lastRenderedPageBreak/>
        <w:t>deficiencies. Terpenoids have shown potential in restoring pancreatic function and reducing inflammation, suggesting a broader role in maintaining pancreatic health</w:t>
      </w:r>
      <w:r w:rsidR="002C3E30">
        <w:rPr>
          <w:rFonts w:ascii="Arial" w:hAnsi="Arial" w:cs="Arial"/>
          <w:iCs/>
          <w:sz w:val="20"/>
          <w:szCs w:val="20"/>
          <w:vertAlign w:val="superscript"/>
        </w:rPr>
        <w:t>20</w:t>
      </w:r>
      <w:r>
        <w:rPr>
          <w:rFonts w:ascii="Arial" w:hAnsi="Arial" w:cs="Arial"/>
          <w:iCs/>
          <w:sz w:val="20"/>
          <w:szCs w:val="20"/>
        </w:rPr>
        <w:t xml:space="preserve">. The combined effects of these phytochemicals indicate that </w:t>
      </w:r>
      <w:r>
        <w:rPr>
          <w:rFonts w:ascii="Arial" w:hAnsi="Arial" w:cs="Arial"/>
          <w:i/>
          <w:sz w:val="20"/>
          <w:szCs w:val="20"/>
        </w:rPr>
        <w:t>E. elephantina</w:t>
      </w:r>
      <w:r>
        <w:rPr>
          <w:rFonts w:ascii="Arial" w:hAnsi="Arial" w:cs="Arial"/>
          <w:iCs/>
          <w:sz w:val="20"/>
          <w:szCs w:val="20"/>
        </w:rPr>
        <w:t xml:space="preserve"> h</w:t>
      </w:r>
      <w:r>
        <w:rPr>
          <w:rFonts w:ascii="Arial" w:hAnsi="Arial" w:cs="Arial"/>
          <w:iCs/>
          <w:sz w:val="20"/>
          <w:szCs w:val="20"/>
        </w:rPr>
        <w:t xml:space="preserve">as potential for alleviating symptoms associated with pancreatic insufficiency. </w:t>
      </w:r>
    </w:p>
    <w:p w14:paraId="22205524" w14:textId="77777777" w:rsidR="00A80A21" w:rsidRDefault="00A80A21">
      <w:pPr>
        <w:jc w:val="both"/>
        <w:rPr>
          <w:rFonts w:ascii="Arial" w:hAnsi="Arial" w:cs="Arial"/>
          <w:sz w:val="20"/>
          <w:szCs w:val="20"/>
        </w:rPr>
      </w:pPr>
    </w:p>
    <w:p w14:paraId="3402BD5A" w14:textId="561696F3" w:rsidR="00A80A21" w:rsidRPr="009B64BE" w:rsidRDefault="00BC5F10">
      <w:pPr>
        <w:jc w:val="both"/>
        <w:rPr>
          <w:i/>
          <w:iCs/>
          <w:color w:val="44546A"/>
          <w:sz w:val="18"/>
          <w:szCs w:val="18"/>
        </w:rPr>
      </w:pPr>
      <w:r w:rsidRPr="009B64BE">
        <w:rPr>
          <w:i/>
          <w:iCs/>
          <w:color w:val="44546A"/>
          <w:sz w:val="18"/>
          <w:szCs w:val="18"/>
        </w:rPr>
        <w:t>Table 2.</w:t>
      </w:r>
      <w:r w:rsidR="00DE25C7" w:rsidRPr="009B64BE">
        <w:rPr>
          <w:i/>
          <w:iCs/>
          <w:color w:val="44546A"/>
          <w:sz w:val="18"/>
          <w:szCs w:val="18"/>
        </w:rPr>
        <w:t>Results for the p</w:t>
      </w:r>
      <w:r w:rsidRPr="009B64BE">
        <w:rPr>
          <w:i/>
          <w:iCs/>
          <w:color w:val="44546A"/>
          <w:sz w:val="18"/>
          <w:szCs w:val="18"/>
        </w:rPr>
        <w:t>hytochemical screening of hydro-ethanolic extracts of E. elephantina</w:t>
      </w:r>
    </w:p>
    <w:p w14:paraId="33C62668" w14:textId="77777777" w:rsidR="00DE25C7" w:rsidRDefault="00DE25C7">
      <w:pPr>
        <w:jc w:val="both"/>
        <w:rPr>
          <w:rFonts w:ascii="Arial" w:hAnsi="Arial" w:cs="Arial"/>
          <w:b/>
          <w:sz w:val="20"/>
          <w:szCs w:val="20"/>
        </w:rPr>
      </w:pPr>
    </w:p>
    <w:tbl>
      <w:tblPr>
        <w:tblStyle w:val="ListTable21"/>
        <w:tblW w:w="9450" w:type="dxa"/>
        <w:jc w:val="center"/>
        <w:tblLook w:val="04A0" w:firstRow="1" w:lastRow="0" w:firstColumn="1" w:lastColumn="0" w:noHBand="0" w:noVBand="1"/>
      </w:tblPr>
      <w:tblGrid>
        <w:gridCol w:w="3870"/>
        <w:gridCol w:w="5580"/>
      </w:tblGrid>
      <w:tr w:rsidR="00A80A21" w:rsidRPr="00DE25C7" w14:paraId="79F3003D" w14:textId="77777777" w:rsidTr="00DE25C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70" w:type="dxa"/>
          </w:tcPr>
          <w:p w14:paraId="6827053A" w14:textId="77777777" w:rsidR="00A80A21" w:rsidRPr="00D40FF3" w:rsidRDefault="00BC5F10" w:rsidP="00DE25C7">
            <w:pPr>
              <w:jc w:val="center"/>
              <w:rPr>
                <w:rFonts w:ascii="Arial" w:hAnsi="Arial" w:cs="Arial"/>
                <w:sz w:val="20"/>
                <w:szCs w:val="20"/>
              </w:rPr>
            </w:pPr>
            <w:r w:rsidRPr="00D40FF3">
              <w:rPr>
                <w:rFonts w:ascii="Arial" w:hAnsi="Arial" w:cs="Arial"/>
                <w:sz w:val="20"/>
                <w:szCs w:val="20"/>
              </w:rPr>
              <w:t>Phytoconstituent</w:t>
            </w:r>
          </w:p>
        </w:tc>
        <w:tc>
          <w:tcPr>
            <w:tcW w:w="5580" w:type="dxa"/>
          </w:tcPr>
          <w:p w14:paraId="3C007E1D" w14:textId="77777777" w:rsidR="00A80A21" w:rsidRPr="00D40FF3" w:rsidRDefault="00BC5F10" w:rsidP="00DE25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40FF3">
              <w:rPr>
                <w:rFonts w:ascii="Arial" w:hAnsi="Arial" w:cs="Arial"/>
                <w:sz w:val="20"/>
                <w:szCs w:val="20"/>
              </w:rPr>
              <w:t>Presence in hydro-ethanolic extract</w:t>
            </w:r>
          </w:p>
        </w:tc>
      </w:tr>
      <w:tr w:rsidR="00A80A21" w:rsidRPr="00DE25C7" w14:paraId="1B66DAB7" w14:textId="77777777" w:rsidTr="00DE25C7">
        <w:trPr>
          <w:trHeight w:val="260"/>
          <w:jc w:val="center"/>
        </w:trPr>
        <w:tc>
          <w:tcPr>
            <w:cnfStyle w:val="001000000000" w:firstRow="0" w:lastRow="0" w:firstColumn="1" w:lastColumn="0" w:oddVBand="0" w:evenVBand="0" w:oddHBand="0" w:evenHBand="0" w:firstRowFirstColumn="0" w:firstRowLastColumn="0" w:lastRowFirstColumn="0" w:lastRowLastColumn="0"/>
            <w:tcW w:w="3870" w:type="dxa"/>
          </w:tcPr>
          <w:p w14:paraId="7A5D1EF7" w14:textId="77777777" w:rsidR="00A80A21" w:rsidRPr="00DE25C7" w:rsidRDefault="00BC5F10" w:rsidP="00DE25C7">
            <w:pPr>
              <w:jc w:val="center"/>
              <w:rPr>
                <w:rFonts w:ascii="Arial" w:hAnsi="Arial" w:cs="Arial"/>
                <w:b w:val="0"/>
                <w:bCs w:val="0"/>
                <w:sz w:val="20"/>
                <w:szCs w:val="20"/>
              </w:rPr>
            </w:pPr>
            <w:r w:rsidRPr="00DE25C7">
              <w:rPr>
                <w:rFonts w:ascii="Arial" w:hAnsi="Arial" w:cs="Arial"/>
                <w:b w:val="0"/>
                <w:bCs w:val="0"/>
                <w:sz w:val="20"/>
                <w:szCs w:val="20"/>
              </w:rPr>
              <w:t>Alkaloids</w:t>
            </w:r>
          </w:p>
        </w:tc>
        <w:tc>
          <w:tcPr>
            <w:tcW w:w="5580" w:type="dxa"/>
          </w:tcPr>
          <w:p w14:paraId="6179DED7" w14:textId="77777777" w:rsidR="00A80A21" w:rsidRPr="00DE25C7" w:rsidRDefault="00BC5F10" w:rsidP="00DE25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25C7">
              <w:rPr>
                <w:rFonts w:ascii="Arial" w:hAnsi="Arial" w:cs="Arial"/>
                <w:sz w:val="20"/>
                <w:szCs w:val="20"/>
              </w:rPr>
              <w:t>+</w:t>
            </w:r>
          </w:p>
        </w:tc>
      </w:tr>
      <w:tr w:rsidR="00A80A21" w:rsidRPr="00DE25C7" w14:paraId="0DAB416A" w14:textId="77777777" w:rsidTr="00DE25C7">
        <w:trPr>
          <w:trHeight w:val="260"/>
          <w:jc w:val="center"/>
        </w:trPr>
        <w:tc>
          <w:tcPr>
            <w:cnfStyle w:val="001000000000" w:firstRow="0" w:lastRow="0" w:firstColumn="1" w:lastColumn="0" w:oddVBand="0" w:evenVBand="0" w:oddHBand="0" w:evenHBand="0" w:firstRowFirstColumn="0" w:firstRowLastColumn="0" w:lastRowFirstColumn="0" w:lastRowLastColumn="0"/>
            <w:tcW w:w="3870" w:type="dxa"/>
          </w:tcPr>
          <w:p w14:paraId="53E15494" w14:textId="77777777" w:rsidR="00A80A21" w:rsidRPr="00DE25C7" w:rsidRDefault="00BC5F10" w:rsidP="00DE25C7">
            <w:pPr>
              <w:jc w:val="center"/>
              <w:rPr>
                <w:rFonts w:ascii="Arial" w:hAnsi="Arial" w:cs="Arial"/>
                <w:b w:val="0"/>
                <w:bCs w:val="0"/>
                <w:sz w:val="20"/>
                <w:szCs w:val="20"/>
              </w:rPr>
            </w:pPr>
            <w:r w:rsidRPr="00DE25C7">
              <w:rPr>
                <w:rFonts w:ascii="Arial" w:hAnsi="Arial" w:cs="Arial"/>
                <w:b w:val="0"/>
                <w:bCs w:val="0"/>
                <w:sz w:val="20"/>
                <w:szCs w:val="20"/>
              </w:rPr>
              <w:t>Flavonoids</w:t>
            </w:r>
          </w:p>
        </w:tc>
        <w:tc>
          <w:tcPr>
            <w:tcW w:w="5580" w:type="dxa"/>
          </w:tcPr>
          <w:p w14:paraId="06769127" w14:textId="77777777" w:rsidR="00A80A21" w:rsidRPr="00DE25C7" w:rsidRDefault="00BC5F10" w:rsidP="00DE25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25C7">
              <w:rPr>
                <w:rFonts w:ascii="Arial" w:hAnsi="Arial" w:cs="Arial"/>
                <w:sz w:val="20"/>
                <w:szCs w:val="20"/>
              </w:rPr>
              <w:t>+++</w:t>
            </w:r>
          </w:p>
        </w:tc>
      </w:tr>
      <w:tr w:rsidR="00A80A21" w:rsidRPr="00DE25C7" w14:paraId="4CA5E6B2" w14:textId="77777777" w:rsidTr="00DE25C7">
        <w:trPr>
          <w:trHeight w:val="260"/>
          <w:jc w:val="center"/>
        </w:trPr>
        <w:tc>
          <w:tcPr>
            <w:cnfStyle w:val="001000000000" w:firstRow="0" w:lastRow="0" w:firstColumn="1" w:lastColumn="0" w:oddVBand="0" w:evenVBand="0" w:oddHBand="0" w:evenHBand="0" w:firstRowFirstColumn="0" w:firstRowLastColumn="0" w:lastRowFirstColumn="0" w:lastRowLastColumn="0"/>
            <w:tcW w:w="3870" w:type="dxa"/>
          </w:tcPr>
          <w:p w14:paraId="7DF9347B" w14:textId="77777777" w:rsidR="00A80A21" w:rsidRPr="00DE25C7" w:rsidRDefault="00BC5F10" w:rsidP="00DE25C7">
            <w:pPr>
              <w:jc w:val="center"/>
              <w:rPr>
                <w:rFonts w:ascii="Arial" w:hAnsi="Arial" w:cs="Arial"/>
                <w:b w:val="0"/>
                <w:bCs w:val="0"/>
                <w:sz w:val="20"/>
                <w:szCs w:val="20"/>
              </w:rPr>
            </w:pPr>
            <w:r w:rsidRPr="00DE25C7">
              <w:rPr>
                <w:rFonts w:ascii="Arial" w:hAnsi="Arial" w:cs="Arial"/>
                <w:b w:val="0"/>
                <w:bCs w:val="0"/>
                <w:sz w:val="20"/>
                <w:szCs w:val="20"/>
              </w:rPr>
              <w:t>Glycosides</w:t>
            </w:r>
          </w:p>
        </w:tc>
        <w:tc>
          <w:tcPr>
            <w:tcW w:w="5580" w:type="dxa"/>
          </w:tcPr>
          <w:p w14:paraId="5C5F3CA1" w14:textId="77777777" w:rsidR="00A80A21" w:rsidRPr="00DE25C7" w:rsidRDefault="00BC5F10" w:rsidP="00DE25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25C7">
              <w:rPr>
                <w:rFonts w:ascii="Arial" w:hAnsi="Arial" w:cs="Arial"/>
                <w:sz w:val="20"/>
                <w:szCs w:val="20"/>
              </w:rPr>
              <w:t>+</w:t>
            </w:r>
          </w:p>
        </w:tc>
      </w:tr>
      <w:tr w:rsidR="00A80A21" w:rsidRPr="00DE25C7" w14:paraId="505F12D6" w14:textId="77777777" w:rsidTr="00DE25C7">
        <w:trPr>
          <w:trHeight w:val="260"/>
          <w:jc w:val="center"/>
        </w:trPr>
        <w:tc>
          <w:tcPr>
            <w:cnfStyle w:val="001000000000" w:firstRow="0" w:lastRow="0" w:firstColumn="1" w:lastColumn="0" w:oddVBand="0" w:evenVBand="0" w:oddHBand="0" w:evenHBand="0" w:firstRowFirstColumn="0" w:firstRowLastColumn="0" w:lastRowFirstColumn="0" w:lastRowLastColumn="0"/>
            <w:tcW w:w="3870" w:type="dxa"/>
          </w:tcPr>
          <w:p w14:paraId="13901E52" w14:textId="77777777" w:rsidR="00A80A21" w:rsidRPr="00DE25C7" w:rsidRDefault="00BC5F10" w:rsidP="00DE25C7">
            <w:pPr>
              <w:jc w:val="center"/>
              <w:rPr>
                <w:rFonts w:ascii="Arial" w:hAnsi="Arial" w:cs="Arial"/>
                <w:b w:val="0"/>
                <w:bCs w:val="0"/>
                <w:sz w:val="20"/>
                <w:szCs w:val="20"/>
              </w:rPr>
            </w:pPr>
            <w:r w:rsidRPr="00DE25C7">
              <w:rPr>
                <w:rFonts w:ascii="Arial" w:hAnsi="Arial" w:cs="Arial"/>
                <w:b w:val="0"/>
                <w:bCs w:val="0"/>
                <w:sz w:val="20"/>
                <w:szCs w:val="20"/>
              </w:rPr>
              <w:t>Phenols</w:t>
            </w:r>
          </w:p>
        </w:tc>
        <w:tc>
          <w:tcPr>
            <w:tcW w:w="5580" w:type="dxa"/>
          </w:tcPr>
          <w:p w14:paraId="1AE7F999" w14:textId="77777777" w:rsidR="00A80A21" w:rsidRPr="00DE25C7" w:rsidRDefault="00BC5F10" w:rsidP="00DE25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25C7">
              <w:rPr>
                <w:rFonts w:ascii="Arial" w:hAnsi="Arial" w:cs="Arial"/>
                <w:sz w:val="20"/>
                <w:szCs w:val="20"/>
              </w:rPr>
              <w:t>+++</w:t>
            </w:r>
          </w:p>
        </w:tc>
      </w:tr>
      <w:tr w:rsidR="00A80A21" w:rsidRPr="00DE25C7" w14:paraId="05CFE92E" w14:textId="77777777" w:rsidTr="00DE25C7">
        <w:trPr>
          <w:trHeight w:val="260"/>
          <w:jc w:val="center"/>
        </w:trPr>
        <w:tc>
          <w:tcPr>
            <w:cnfStyle w:val="001000000000" w:firstRow="0" w:lastRow="0" w:firstColumn="1" w:lastColumn="0" w:oddVBand="0" w:evenVBand="0" w:oddHBand="0" w:evenHBand="0" w:firstRowFirstColumn="0" w:firstRowLastColumn="0" w:lastRowFirstColumn="0" w:lastRowLastColumn="0"/>
            <w:tcW w:w="3870" w:type="dxa"/>
          </w:tcPr>
          <w:p w14:paraId="6A6274AE" w14:textId="77777777" w:rsidR="00A80A21" w:rsidRPr="00DE25C7" w:rsidRDefault="00BC5F10" w:rsidP="00DE25C7">
            <w:pPr>
              <w:jc w:val="center"/>
              <w:rPr>
                <w:rFonts w:ascii="Arial" w:hAnsi="Arial" w:cs="Arial"/>
                <w:b w:val="0"/>
                <w:bCs w:val="0"/>
                <w:sz w:val="20"/>
                <w:szCs w:val="20"/>
              </w:rPr>
            </w:pPr>
            <w:r w:rsidRPr="00DE25C7">
              <w:rPr>
                <w:rFonts w:ascii="Arial" w:hAnsi="Arial" w:cs="Arial"/>
                <w:b w:val="0"/>
                <w:bCs w:val="0"/>
                <w:sz w:val="20"/>
                <w:szCs w:val="20"/>
              </w:rPr>
              <w:t>Saponins</w:t>
            </w:r>
          </w:p>
        </w:tc>
        <w:tc>
          <w:tcPr>
            <w:tcW w:w="5580" w:type="dxa"/>
          </w:tcPr>
          <w:p w14:paraId="5E23285A" w14:textId="77777777" w:rsidR="00A80A21" w:rsidRPr="00DE25C7" w:rsidRDefault="00BC5F10" w:rsidP="00DE25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25C7">
              <w:rPr>
                <w:rFonts w:ascii="Arial" w:hAnsi="Arial" w:cs="Arial"/>
                <w:sz w:val="20"/>
                <w:szCs w:val="20"/>
              </w:rPr>
              <w:t>+</w:t>
            </w:r>
          </w:p>
        </w:tc>
      </w:tr>
      <w:tr w:rsidR="00A80A21" w:rsidRPr="00DE25C7" w14:paraId="04571913" w14:textId="77777777" w:rsidTr="00DE25C7">
        <w:trPr>
          <w:trHeight w:val="260"/>
          <w:jc w:val="center"/>
        </w:trPr>
        <w:tc>
          <w:tcPr>
            <w:cnfStyle w:val="001000000000" w:firstRow="0" w:lastRow="0" w:firstColumn="1" w:lastColumn="0" w:oddVBand="0" w:evenVBand="0" w:oddHBand="0" w:evenHBand="0" w:firstRowFirstColumn="0" w:firstRowLastColumn="0" w:lastRowFirstColumn="0" w:lastRowLastColumn="0"/>
            <w:tcW w:w="3870" w:type="dxa"/>
          </w:tcPr>
          <w:p w14:paraId="14312D15" w14:textId="77777777" w:rsidR="00A80A21" w:rsidRPr="00DE25C7" w:rsidRDefault="00BC5F10" w:rsidP="00DE25C7">
            <w:pPr>
              <w:jc w:val="center"/>
              <w:rPr>
                <w:rFonts w:ascii="Arial" w:hAnsi="Arial" w:cs="Arial"/>
                <w:b w:val="0"/>
                <w:bCs w:val="0"/>
                <w:sz w:val="20"/>
                <w:szCs w:val="20"/>
              </w:rPr>
            </w:pPr>
            <w:r w:rsidRPr="00DE25C7">
              <w:rPr>
                <w:rFonts w:ascii="Arial" w:hAnsi="Arial" w:cs="Arial"/>
                <w:b w:val="0"/>
                <w:bCs w:val="0"/>
                <w:sz w:val="20"/>
                <w:szCs w:val="20"/>
              </w:rPr>
              <w:t>Tannins</w:t>
            </w:r>
          </w:p>
        </w:tc>
        <w:tc>
          <w:tcPr>
            <w:tcW w:w="5580" w:type="dxa"/>
          </w:tcPr>
          <w:p w14:paraId="3D9B27EA" w14:textId="77777777" w:rsidR="00A80A21" w:rsidRPr="00DE25C7" w:rsidRDefault="00BC5F10" w:rsidP="00DE25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25C7">
              <w:rPr>
                <w:rFonts w:ascii="Arial" w:hAnsi="Arial" w:cs="Arial"/>
                <w:sz w:val="20"/>
                <w:szCs w:val="20"/>
              </w:rPr>
              <w:t>++</w:t>
            </w:r>
          </w:p>
        </w:tc>
      </w:tr>
      <w:tr w:rsidR="00A80A21" w:rsidRPr="00DE25C7" w14:paraId="309EA98F" w14:textId="77777777" w:rsidTr="00DE25C7">
        <w:trPr>
          <w:trHeight w:val="260"/>
          <w:jc w:val="center"/>
        </w:trPr>
        <w:tc>
          <w:tcPr>
            <w:cnfStyle w:val="001000000000" w:firstRow="0" w:lastRow="0" w:firstColumn="1" w:lastColumn="0" w:oddVBand="0" w:evenVBand="0" w:oddHBand="0" w:evenHBand="0" w:firstRowFirstColumn="0" w:firstRowLastColumn="0" w:lastRowFirstColumn="0" w:lastRowLastColumn="0"/>
            <w:tcW w:w="3870" w:type="dxa"/>
          </w:tcPr>
          <w:p w14:paraId="1C6991F2" w14:textId="77777777" w:rsidR="00A80A21" w:rsidRPr="00DE25C7" w:rsidRDefault="00BC5F10" w:rsidP="00DE25C7">
            <w:pPr>
              <w:jc w:val="center"/>
              <w:rPr>
                <w:rFonts w:ascii="Arial" w:hAnsi="Arial" w:cs="Arial"/>
                <w:b w:val="0"/>
                <w:bCs w:val="0"/>
                <w:sz w:val="20"/>
                <w:szCs w:val="20"/>
              </w:rPr>
            </w:pPr>
            <w:r w:rsidRPr="00DE25C7">
              <w:rPr>
                <w:rFonts w:ascii="Arial" w:hAnsi="Arial" w:cs="Arial"/>
                <w:b w:val="0"/>
                <w:bCs w:val="0"/>
                <w:sz w:val="20"/>
                <w:szCs w:val="20"/>
              </w:rPr>
              <w:t>Terpenoids</w:t>
            </w:r>
          </w:p>
        </w:tc>
        <w:tc>
          <w:tcPr>
            <w:tcW w:w="5580" w:type="dxa"/>
          </w:tcPr>
          <w:p w14:paraId="1910B28E" w14:textId="77777777" w:rsidR="00A80A21" w:rsidRPr="00DE25C7" w:rsidRDefault="00BC5F10" w:rsidP="00DE25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25C7">
              <w:rPr>
                <w:rFonts w:ascii="Arial" w:hAnsi="Arial" w:cs="Arial"/>
                <w:sz w:val="20"/>
                <w:szCs w:val="20"/>
              </w:rPr>
              <w:t>+</w:t>
            </w:r>
          </w:p>
        </w:tc>
      </w:tr>
    </w:tbl>
    <w:p w14:paraId="51DBA0B9" w14:textId="77777777" w:rsidR="00A80A21" w:rsidRDefault="00BC5F10">
      <w:pPr>
        <w:contextualSpacing/>
        <w:jc w:val="both"/>
        <w:rPr>
          <w:rFonts w:ascii="Arial" w:hAnsi="Arial" w:cs="Arial"/>
          <w:iCs/>
          <w:sz w:val="20"/>
          <w:szCs w:val="20"/>
        </w:rPr>
      </w:pPr>
      <w:r>
        <w:rPr>
          <w:rFonts w:ascii="Arial" w:hAnsi="Arial" w:cs="Arial"/>
          <w:i/>
          <w:sz w:val="20"/>
          <w:szCs w:val="20"/>
        </w:rPr>
        <w:br w:type="textWrapping" w:clear="all"/>
      </w:r>
      <w:r>
        <w:rPr>
          <w:rFonts w:ascii="Arial" w:hAnsi="Arial" w:cs="Arial"/>
          <w:iCs/>
          <w:sz w:val="20"/>
          <w:szCs w:val="20"/>
        </w:rPr>
        <w:t xml:space="preserve">(-): Indicates the absence of the phytochemical </w:t>
      </w:r>
    </w:p>
    <w:p w14:paraId="71B1C7E0" w14:textId="77777777" w:rsidR="00A80A21" w:rsidRDefault="00BC5F10">
      <w:pPr>
        <w:contextualSpacing/>
        <w:jc w:val="both"/>
        <w:rPr>
          <w:rFonts w:ascii="Arial" w:hAnsi="Arial" w:cs="Arial"/>
          <w:iCs/>
          <w:sz w:val="20"/>
          <w:szCs w:val="20"/>
        </w:rPr>
      </w:pPr>
      <w:r>
        <w:rPr>
          <w:rFonts w:ascii="Arial" w:hAnsi="Arial" w:cs="Arial"/>
          <w:iCs/>
          <w:sz w:val="20"/>
          <w:szCs w:val="20"/>
        </w:rPr>
        <w:t xml:space="preserve"> (+): Indicates the presence of the phytochemical </w:t>
      </w:r>
    </w:p>
    <w:p w14:paraId="4C4DC114" w14:textId="77777777" w:rsidR="00A80A21" w:rsidRDefault="00BC5F10">
      <w:pPr>
        <w:contextualSpacing/>
        <w:jc w:val="both"/>
        <w:rPr>
          <w:rFonts w:ascii="Arial" w:hAnsi="Arial" w:cs="Arial"/>
          <w:iCs/>
          <w:sz w:val="20"/>
          <w:szCs w:val="20"/>
        </w:rPr>
      </w:pPr>
      <w:r>
        <w:rPr>
          <w:rFonts w:ascii="Arial" w:hAnsi="Arial" w:cs="Arial"/>
          <w:iCs/>
          <w:sz w:val="20"/>
          <w:szCs w:val="20"/>
        </w:rPr>
        <w:t>(++): Indicates moderate presence of the phytochemical</w:t>
      </w:r>
    </w:p>
    <w:p w14:paraId="5DF4FAE6" w14:textId="77777777" w:rsidR="00A80A21" w:rsidRDefault="00BC5F10">
      <w:pPr>
        <w:contextualSpacing/>
        <w:jc w:val="both"/>
        <w:rPr>
          <w:rFonts w:ascii="Arial" w:hAnsi="Arial" w:cs="Arial"/>
          <w:iCs/>
          <w:sz w:val="20"/>
          <w:szCs w:val="20"/>
        </w:rPr>
      </w:pPr>
      <w:r>
        <w:rPr>
          <w:rFonts w:ascii="Arial" w:hAnsi="Arial" w:cs="Arial"/>
          <w:iCs/>
          <w:sz w:val="20"/>
          <w:szCs w:val="20"/>
        </w:rPr>
        <w:t xml:space="preserve">(+++): Indicates strong presence of the phytochemical </w:t>
      </w:r>
    </w:p>
    <w:p w14:paraId="1A4A3335" w14:textId="77777777" w:rsidR="00A80A21" w:rsidRDefault="00A80A21">
      <w:pPr>
        <w:contextualSpacing/>
        <w:jc w:val="both"/>
        <w:rPr>
          <w:rFonts w:ascii="Arial" w:hAnsi="Arial" w:cs="Arial"/>
          <w:i/>
          <w:iCs/>
          <w:sz w:val="20"/>
          <w:szCs w:val="20"/>
        </w:rPr>
      </w:pPr>
    </w:p>
    <w:p w14:paraId="2B9B3014" w14:textId="77777777" w:rsidR="00A80A21" w:rsidRDefault="00BC5F10" w:rsidP="005F65D6">
      <w:pPr>
        <w:pStyle w:val="Heading2"/>
        <w:spacing w:after="240"/>
        <w:jc w:val="both"/>
        <w:rPr>
          <w:rFonts w:cs="Arial"/>
          <w:sz w:val="20"/>
          <w:szCs w:val="20"/>
        </w:rPr>
      </w:pPr>
      <w:r>
        <w:rPr>
          <w:rFonts w:cs="Arial"/>
          <w:sz w:val="20"/>
          <w:szCs w:val="20"/>
        </w:rPr>
        <w:t>Total Phenolic Content</w:t>
      </w:r>
    </w:p>
    <w:p w14:paraId="656BEF5B" w14:textId="34E60DDB" w:rsidR="00A80A21" w:rsidRDefault="00BC5F10" w:rsidP="001E4886">
      <w:pPr>
        <w:spacing w:after="240" w:line="276" w:lineRule="auto"/>
        <w:jc w:val="both"/>
        <w:rPr>
          <w:rFonts w:ascii="Arial" w:hAnsi="Arial" w:cs="Arial"/>
          <w:sz w:val="20"/>
          <w:szCs w:val="20"/>
        </w:rPr>
      </w:pPr>
      <w:r>
        <w:rPr>
          <w:rFonts w:ascii="Arial" w:hAnsi="Arial" w:cs="Arial"/>
          <w:sz w:val="20"/>
          <w:szCs w:val="20"/>
        </w:rPr>
        <w:t xml:space="preserve">The total phenolic content (TPC) of </w:t>
      </w:r>
      <w:r>
        <w:rPr>
          <w:rFonts w:ascii="Arial" w:hAnsi="Arial" w:cs="Arial"/>
          <w:i/>
          <w:iCs/>
          <w:sz w:val="20"/>
          <w:szCs w:val="20"/>
        </w:rPr>
        <w:t>E. elephantina</w:t>
      </w:r>
      <w:r>
        <w:rPr>
          <w:rFonts w:ascii="Arial" w:hAnsi="Arial" w:cs="Arial"/>
          <w:sz w:val="20"/>
          <w:szCs w:val="20"/>
        </w:rPr>
        <w:t xml:space="preserve"> was determined to be 338.0 mg gallic acid equivalents per gram (mg GAE/g), a value that aligns well with those reported in previous studies, where TPC values typically range from approximately 300 to 400 mg GAE/g </w:t>
      </w:r>
      <w:r>
        <w:rPr>
          <w:rFonts w:ascii="Arial" w:hAnsi="Arial" w:cs="Arial"/>
          <w:sz w:val="20"/>
          <w:szCs w:val="20"/>
          <w:vertAlign w:val="superscript"/>
        </w:rPr>
        <w:t xml:space="preserve">21, </w:t>
      </w:r>
      <w:r w:rsidR="005F65D6">
        <w:rPr>
          <w:rFonts w:ascii="Arial" w:hAnsi="Arial" w:cs="Arial"/>
          <w:sz w:val="20"/>
          <w:szCs w:val="20"/>
          <w:vertAlign w:val="superscript"/>
        </w:rPr>
        <w:t>6</w:t>
      </w:r>
      <w:r>
        <w:rPr>
          <w:rFonts w:ascii="Arial" w:hAnsi="Arial" w:cs="Arial"/>
          <w:sz w:val="20"/>
          <w:szCs w:val="20"/>
        </w:rPr>
        <w:t xml:space="preserve">. The calibration curve obtained for </w:t>
      </w:r>
      <w:r>
        <w:rPr>
          <w:rFonts w:ascii="Arial" w:hAnsi="Arial" w:cs="Arial"/>
          <w:sz w:val="20"/>
          <w:szCs w:val="20"/>
        </w:rPr>
        <w:t>the phenolic assay was described by the equation y = 4.67x + 0.0226 (where y represents absorbance and x the gallic acid concentration in mg/mL)</w:t>
      </w:r>
      <w:r w:rsidR="009B64BE">
        <w:rPr>
          <w:rFonts w:ascii="Arial" w:hAnsi="Arial" w:cs="Arial"/>
          <w:sz w:val="20"/>
          <w:szCs w:val="20"/>
        </w:rPr>
        <w:t xml:space="preserve"> (Figure 2)</w:t>
      </w:r>
      <w:r>
        <w:rPr>
          <w:rFonts w:ascii="Arial" w:hAnsi="Arial" w:cs="Arial"/>
          <w:sz w:val="20"/>
          <w:szCs w:val="20"/>
        </w:rPr>
        <w:t>, with an exceptionally high coefficient of determination (R² = 0.9985</w:t>
      </w:r>
      <w:r w:rsidR="005F65D6">
        <w:rPr>
          <w:rFonts w:ascii="Arial" w:hAnsi="Arial" w:cs="Arial"/>
          <w:sz w:val="20"/>
          <w:szCs w:val="20"/>
        </w:rPr>
        <w:t>)</w:t>
      </w:r>
      <w:r w:rsidR="009B64BE">
        <w:rPr>
          <w:rFonts w:ascii="Arial" w:hAnsi="Arial" w:cs="Arial"/>
          <w:sz w:val="20"/>
          <w:szCs w:val="20"/>
        </w:rPr>
        <w:t xml:space="preserve"> </w:t>
      </w:r>
      <w:r>
        <w:rPr>
          <w:rFonts w:ascii="Arial" w:hAnsi="Arial" w:cs="Arial"/>
          <w:sz w:val="20"/>
          <w:szCs w:val="20"/>
        </w:rPr>
        <w:t>. The high TPC reflects a sub</w:t>
      </w:r>
      <w:r>
        <w:rPr>
          <w:rFonts w:ascii="Arial" w:hAnsi="Arial" w:cs="Arial"/>
          <w:sz w:val="20"/>
          <w:szCs w:val="20"/>
        </w:rPr>
        <w:t xml:space="preserve">stantial presence of bioactive polyphenolic compounds, which have been strongly associated with robust antibacterial and antioxidant activities through mechanisms such as free radical scavenging and inhibition of microbial proliferation </w:t>
      </w:r>
      <w:r w:rsidR="005F65D6">
        <w:rPr>
          <w:rFonts w:ascii="Arial" w:hAnsi="Arial" w:cs="Arial"/>
          <w:sz w:val="20"/>
          <w:szCs w:val="20"/>
          <w:vertAlign w:val="superscript"/>
        </w:rPr>
        <w:t>21, 22</w:t>
      </w:r>
      <w:r>
        <w:rPr>
          <w:rFonts w:ascii="Arial" w:hAnsi="Arial" w:cs="Arial"/>
          <w:sz w:val="20"/>
          <w:szCs w:val="20"/>
        </w:rPr>
        <w:t>. The antioxi</w:t>
      </w:r>
      <w:r>
        <w:rPr>
          <w:rFonts w:ascii="Arial" w:hAnsi="Arial" w:cs="Arial"/>
          <w:sz w:val="20"/>
          <w:szCs w:val="20"/>
        </w:rPr>
        <w:t xml:space="preserve">dant properties inherent to such phenolic constituents hold therapeutic promise for mitigating oxidative stress, a critical pathological factor in pancreatic insufficiency disorders, thereby suggesting that </w:t>
      </w:r>
      <w:r>
        <w:rPr>
          <w:rFonts w:ascii="Arial" w:hAnsi="Arial" w:cs="Arial"/>
          <w:i/>
          <w:iCs/>
          <w:sz w:val="20"/>
          <w:szCs w:val="20"/>
        </w:rPr>
        <w:t>E. elephantina</w:t>
      </w:r>
      <w:r>
        <w:rPr>
          <w:rFonts w:ascii="Arial" w:hAnsi="Arial" w:cs="Arial"/>
          <w:sz w:val="20"/>
          <w:szCs w:val="20"/>
        </w:rPr>
        <w:t xml:space="preserve"> may be an effective candidate for </w:t>
      </w:r>
      <w:r>
        <w:rPr>
          <w:rFonts w:ascii="Arial" w:hAnsi="Arial" w:cs="Arial"/>
          <w:sz w:val="20"/>
          <w:szCs w:val="20"/>
        </w:rPr>
        <w:t>the development of novel treatments or adjunct therapies in managing these conditions.</w:t>
      </w:r>
    </w:p>
    <w:p w14:paraId="78CA5A16" w14:textId="77777777" w:rsidR="00A80A21" w:rsidRDefault="00BC5F10">
      <w:pPr>
        <w:pStyle w:val="Heading2"/>
        <w:numPr>
          <w:ilvl w:val="0"/>
          <w:numId w:val="0"/>
        </w:numPr>
        <w:ind w:left="576" w:hanging="576"/>
        <w:jc w:val="both"/>
        <w:rPr>
          <w:rFonts w:cs="Arial"/>
          <w:sz w:val="20"/>
          <w:szCs w:val="20"/>
        </w:rPr>
      </w:pPr>
      <w:r>
        <w:rPr>
          <w:rFonts w:cs="Arial"/>
          <w:noProof/>
          <w:sz w:val="20"/>
          <w:szCs w:val="20"/>
        </w:rPr>
        <w:drawing>
          <wp:inline distT="0" distB="0" distL="0" distR="0" wp14:anchorId="339F10FF" wp14:editId="785BC7E5">
            <wp:extent cx="5806440" cy="2407920"/>
            <wp:effectExtent l="0" t="0" r="3810" b="11430"/>
            <wp:docPr id="26530850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C8BD65E" w14:textId="77777777" w:rsidR="009B64BE" w:rsidRDefault="009B64BE" w:rsidP="009B64BE">
      <w:pPr>
        <w:jc w:val="both"/>
        <w:rPr>
          <w:i/>
          <w:iCs/>
          <w:color w:val="44546A"/>
          <w:sz w:val="18"/>
          <w:szCs w:val="18"/>
        </w:rPr>
      </w:pPr>
    </w:p>
    <w:p w14:paraId="05EEEAA4" w14:textId="6B685DFA" w:rsidR="00A80A21" w:rsidRPr="009B64BE" w:rsidRDefault="00BC5F10" w:rsidP="009B64BE">
      <w:pPr>
        <w:jc w:val="both"/>
        <w:rPr>
          <w:i/>
          <w:iCs/>
          <w:color w:val="44546A"/>
          <w:sz w:val="18"/>
          <w:szCs w:val="18"/>
        </w:rPr>
      </w:pPr>
      <w:r w:rsidRPr="009B64BE">
        <w:rPr>
          <w:i/>
          <w:iCs/>
          <w:color w:val="44546A"/>
          <w:sz w:val="18"/>
          <w:szCs w:val="18"/>
        </w:rPr>
        <w:t xml:space="preserve">Figure </w:t>
      </w:r>
      <w:r w:rsidRPr="009B64BE">
        <w:rPr>
          <w:i/>
          <w:iCs/>
          <w:color w:val="44546A"/>
          <w:sz w:val="18"/>
          <w:szCs w:val="18"/>
        </w:rPr>
        <w:fldChar w:fldCharType="begin"/>
      </w:r>
      <w:r w:rsidRPr="009B64BE">
        <w:rPr>
          <w:i/>
          <w:iCs/>
          <w:color w:val="44546A"/>
          <w:sz w:val="18"/>
          <w:szCs w:val="18"/>
        </w:rPr>
        <w:instrText xml:space="preserve"> SEQ Figure \* ARABIC </w:instrText>
      </w:r>
      <w:r w:rsidRPr="009B64BE">
        <w:rPr>
          <w:i/>
          <w:iCs/>
          <w:color w:val="44546A"/>
          <w:sz w:val="18"/>
          <w:szCs w:val="18"/>
        </w:rPr>
        <w:fldChar w:fldCharType="separate"/>
      </w:r>
      <w:r w:rsidR="001E4886" w:rsidRPr="009B64BE">
        <w:rPr>
          <w:i/>
          <w:iCs/>
          <w:color w:val="44546A"/>
          <w:sz w:val="18"/>
          <w:szCs w:val="18"/>
        </w:rPr>
        <w:t>2</w:t>
      </w:r>
      <w:r w:rsidRPr="009B64BE">
        <w:rPr>
          <w:i/>
          <w:iCs/>
          <w:color w:val="44546A"/>
          <w:sz w:val="18"/>
          <w:szCs w:val="18"/>
        </w:rPr>
        <w:fldChar w:fldCharType="end"/>
      </w:r>
      <w:r w:rsidRPr="009B64BE">
        <w:rPr>
          <w:i/>
          <w:iCs/>
          <w:color w:val="44546A"/>
          <w:sz w:val="18"/>
          <w:szCs w:val="18"/>
        </w:rPr>
        <w:t xml:space="preserve"> Total phenolic </w:t>
      </w:r>
      <w:r w:rsidR="009B64BE">
        <w:rPr>
          <w:i/>
          <w:iCs/>
          <w:color w:val="44546A"/>
          <w:sz w:val="18"/>
          <w:szCs w:val="18"/>
        </w:rPr>
        <w:t>evaluation graph</w:t>
      </w:r>
      <w:r w:rsidR="001E4886" w:rsidRPr="009B64BE">
        <w:rPr>
          <w:i/>
          <w:iCs/>
          <w:color w:val="44546A"/>
          <w:sz w:val="18"/>
          <w:szCs w:val="18"/>
        </w:rPr>
        <w:t xml:space="preserve">. </w:t>
      </w:r>
    </w:p>
    <w:p w14:paraId="39AC57BE" w14:textId="77777777" w:rsidR="00A80A21" w:rsidRDefault="00BC5F10" w:rsidP="005F65D6">
      <w:pPr>
        <w:pStyle w:val="Heading2"/>
        <w:spacing w:after="240" w:line="276" w:lineRule="auto"/>
        <w:contextualSpacing/>
        <w:jc w:val="both"/>
        <w:rPr>
          <w:rFonts w:cs="Arial"/>
          <w:sz w:val="20"/>
          <w:szCs w:val="20"/>
        </w:rPr>
      </w:pPr>
      <w:r>
        <w:rPr>
          <w:rFonts w:cs="Arial"/>
          <w:sz w:val="20"/>
          <w:szCs w:val="20"/>
        </w:rPr>
        <w:lastRenderedPageBreak/>
        <w:t>Anti-inflammatory tests</w:t>
      </w:r>
    </w:p>
    <w:p w14:paraId="3D88E040" w14:textId="5A9DE30F" w:rsidR="005F65D6" w:rsidRPr="00E4751E" w:rsidRDefault="00BC5F10" w:rsidP="00E4751E">
      <w:pPr>
        <w:spacing w:after="240" w:line="276" w:lineRule="auto"/>
        <w:jc w:val="both"/>
        <w:rPr>
          <w:rFonts w:ascii="Arial" w:hAnsi="Arial" w:cs="Arial"/>
          <w:sz w:val="20"/>
          <w:szCs w:val="20"/>
          <w:lang w:val="en-US"/>
        </w:rPr>
      </w:pPr>
      <w:r>
        <w:rPr>
          <w:rFonts w:ascii="Arial" w:hAnsi="Arial" w:cs="Arial"/>
          <w:i/>
          <w:iCs/>
          <w:sz w:val="20"/>
          <w:szCs w:val="20"/>
          <w:lang w:val="en-US"/>
        </w:rPr>
        <w:t>Elephantorrhiza elephantina</w:t>
      </w:r>
      <w:r>
        <w:rPr>
          <w:rFonts w:ascii="Arial" w:hAnsi="Arial" w:cs="Arial"/>
          <w:sz w:val="20"/>
          <w:szCs w:val="20"/>
          <w:lang w:val="en-US"/>
        </w:rPr>
        <w:t xml:space="preserve"> exhibited a significant anti-inflammatory activity, demonstrating a maximum of </w:t>
      </w:r>
      <w:r w:rsidR="00425BBA">
        <w:rPr>
          <w:rFonts w:ascii="Arial" w:hAnsi="Arial" w:cs="Arial"/>
          <w:sz w:val="20"/>
          <w:szCs w:val="20"/>
          <w:lang w:val="en-US"/>
        </w:rPr>
        <w:t>64</w:t>
      </w:r>
      <w:r>
        <w:rPr>
          <w:rFonts w:ascii="Arial" w:hAnsi="Arial" w:cs="Arial"/>
          <w:sz w:val="20"/>
          <w:szCs w:val="20"/>
          <w:lang w:val="en-US"/>
        </w:rPr>
        <w:t>.5</w:t>
      </w:r>
      <w:r w:rsidR="00425BBA">
        <w:rPr>
          <w:rFonts w:ascii="Arial" w:hAnsi="Arial" w:cs="Arial"/>
          <w:sz w:val="20"/>
          <w:szCs w:val="20"/>
          <w:lang w:val="en-US"/>
        </w:rPr>
        <w:t>0</w:t>
      </w:r>
      <w:r>
        <w:rPr>
          <w:rFonts w:ascii="Arial" w:hAnsi="Arial" w:cs="Arial"/>
          <w:sz w:val="20"/>
          <w:szCs w:val="20"/>
          <w:lang w:val="en-US"/>
        </w:rPr>
        <w:t>% inhibition of inflammation</w:t>
      </w:r>
      <w:r w:rsidR="00425BBA">
        <w:rPr>
          <w:rFonts w:ascii="Arial" w:hAnsi="Arial" w:cs="Arial"/>
          <w:sz w:val="20"/>
          <w:szCs w:val="20"/>
          <w:lang w:val="en-US"/>
        </w:rPr>
        <w:t xml:space="preserve"> against diclofenac</w:t>
      </w:r>
      <w:r w:rsidR="009B64BE">
        <w:rPr>
          <w:rFonts w:ascii="Arial" w:hAnsi="Arial" w:cs="Arial"/>
          <w:sz w:val="20"/>
          <w:szCs w:val="20"/>
          <w:lang w:val="en-US"/>
        </w:rPr>
        <w:t xml:space="preserve"> (Table 3</w:t>
      </w:r>
      <w:r w:rsidR="00612F42">
        <w:rPr>
          <w:rFonts w:ascii="Arial" w:hAnsi="Arial" w:cs="Arial"/>
          <w:sz w:val="20"/>
          <w:szCs w:val="20"/>
          <w:lang w:val="en-US"/>
        </w:rPr>
        <w:t>, figure 3</w:t>
      </w:r>
      <w:r w:rsidR="009B64BE">
        <w:rPr>
          <w:rFonts w:ascii="Arial" w:hAnsi="Arial" w:cs="Arial"/>
          <w:sz w:val="20"/>
          <w:szCs w:val="20"/>
          <w:lang w:val="en-US"/>
        </w:rPr>
        <w:t>)</w:t>
      </w:r>
      <w:r>
        <w:rPr>
          <w:rFonts w:ascii="Arial" w:hAnsi="Arial" w:cs="Arial"/>
          <w:sz w:val="20"/>
          <w:szCs w:val="20"/>
          <w:lang w:val="en-US"/>
        </w:rPr>
        <w:t>. The high degree of inhibition suggests the plant's extracts have a potent anti-inflammatory effect, wh</w:t>
      </w:r>
      <w:r>
        <w:rPr>
          <w:rFonts w:ascii="Arial" w:hAnsi="Arial" w:cs="Arial"/>
          <w:sz w:val="20"/>
          <w:szCs w:val="20"/>
          <w:lang w:val="en-US"/>
        </w:rPr>
        <w:t>ich may be beneficial for managing pancreatic insufficiency, given the role of inflammation in its pathophysiology. The observed anti-inflammatory activity is likely due to the presence of bioactive compounds like anthraquinones, which have been shown to h</w:t>
      </w:r>
      <w:r>
        <w:rPr>
          <w:rFonts w:ascii="Arial" w:hAnsi="Arial" w:cs="Arial"/>
          <w:sz w:val="20"/>
          <w:szCs w:val="20"/>
          <w:lang w:val="en-US"/>
        </w:rPr>
        <w:t>ave anti-inflammatory properties in other studies</w:t>
      </w:r>
      <w:r w:rsidR="005F65D6">
        <w:rPr>
          <w:rFonts w:ascii="Arial" w:hAnsi="Arial" w:cs="Arial"/>
          <w:sz w:val="20"/>
          <w:szCs w:val="20"/>
          <w:vertAlign w:val="superscript"/>
          <w:lang w:val="en-US"/>
        </w:rPr>
        <w:t>23</w:t>
      </w:r>
      <w:r>
        <w:rPr>
          <w:rFonts w:ascii="Arial" w:hAnsi="Arial" w:cs="Arial"/>
          <w:sz w:val="20"/>
          <w:szCs w:val="20"/>
          <w:lang w:val="en-US"/>
        </w:rPr>
        <w:t xml:space="preserve">. Studies have also confirmed flavonoids, terpenoids, alkaloids and saponins to possess a significant anti-inflammatory activity.  The ability of </w:t>
      </w:r>
      <w:r>
        <w:rPr>
          <w:rFonts w:ascii="Arial" w:hAnsi="Arial" w:cs="Arial"/>
          <w:i/>
          <w:iCs/>
          <w:sz w:val="20"/>
          <w:szCs w:val="20"/>
          <w:lang w:val="en-US"/>
        </w:rPr>
        <w:t>E. elephantina</w:t>
      </w:r>
      <w:r>
        <w:rPr>
          <w:rFonts w:ascii="Arial" w:hAnsi="Arial" w:cs="Arial"/>
          <w:sz w:val="20"/>
          <w:szCs w:val="20"/>
          <w:lang w:val="en-US"/>
        </w:rPr>
        <w:t xml:space="preserve"> to significantly inhibit inflammation suppor</w:t>
      </w:r>
      <w:r>
        <w:rPr>
          <w:rFonts w:ascii="Arial" w:hAnsi="Arial" w:cs="Arial"/>
          <w:sz w:val="20"/>
          <w:szCs w:val="20"/>
          <w:lang w:val="en-US"/>
        </w:rPr>
        <w:t>ts its potential as a therapeutic option for conditions involving pancreatic insufficiency.</w:t>
      </w:r>
    </w:p>
    <w:p w14:paraId="05645171" w14:textId="600F1441" w:rsidR="00A80A21" w:rsidRPr="009B64BE" w:rsidRDefault="00BC5F10">
      <w:pPr>
        <w:pStyle w:val="Heading2"/>
        <w:numPr>
          <w:ilvl w:val="0"/>
          <w:numId w:val="0"/>
        </w:numPr>
        <w:jc w:val="both"/>
        <w:rPr>
          <w:rFonts w:ascii="Times New Roman" w:eastAsia="Times New Roman" w:hAnsi="Times New Roman" w:cs="Times New Roman"/>
          <w:b w:val="0"/>
          <w:i/>
          <w:iCs/>
          <w:color w:val="44546A"/>
          <w:sz w:val="18"/>
          <w:szCs w:val="18"/>
        </w:rPr>
      </w:pPr>
      <w:r w:rsidRPr="009B64BE">
        <w:rPr>
          <w:rFonts w:ascii="Times New Roman" w:eastAsia="Times New Roman" w:hAnsi="Times New Roman" w:cs="Times New Roman"/>
          <w:b w:val="0"/>
          <w:i/>
          <w:iCs/>
          <w:color w:val="44546A"/>
          <w:sz w:val="18"/>
          <w:szCs w:val="18"/>
        </w:rPr>
        <w:t>Table 3. Anti-inflammatory test of extracts of E. elephantina</w:t>
      </w:r>
    </w:p>
    <w:tbl>
      <w:tblPr>
        <w:tblStyle w:val="TableGrid"/>
        <w:tblW w:w="0" w:type="auto"/>
        <w:tblLook w:val="04A0" w:firstRow="1" w:lastRow="0" w:firstColumn="1" w:lastColumn="0" w:noHBand="0" w:noVBand="1"/>
      </w:tblPr>
      <w:tblGrid>
        <w:gridCol w:w="2880"/>
        <w:gridCol w:w="2520"/>
        <w:gridCol w:w="1386"/>
        <w:gridCol w:w="2240"/>
      </w:tblGrid>
      <w:tr w:rsidR="00A80A21" w14:paraId="6AE44C85" w14:textId="77777777">
        <w:trPr>
          <w:trHeight w:val="395"/>
        </w:trPr>
        <w:tc>
          <w:tcPr>
            <w:tcW w:w="2880" w:type="dxa"/>
            <w:tcBorders>
              <w:left w:val="nil"/>
              <w:bottom w:val="single" w:sz="4" w:space="0" w:color="auto"/>
              <w:right w:val="nil"/>
            </w:tcBorders>
          </w:tcPr>
          <w:p w14:paraId="7495009D" w14:textId="77777777" w:rsidR="00A80A21" w:rsidRDefault="00BC5F10" w:rsidP="00D40FF3">
            <w:pPr>
              <w:jc w:val="center"/>
              <w:rPr>
                <w:rFonts w:ascii="Arial" w:hAnsi="Arial" w:cs="Arial"/>
                <w:b/>
                <w:bCs/>
                <w:sz w:val="20"/>
                <w:szCs w:val="20"/>
              </w:rPr>
            </w:pPr>
            <w:r>
              <w:rPr>
                <w:rFonts w:ascii="Arial" w:hAnsi="Arial" w:cs="Arial"/>
                <w:b/>
                <w:bCs/>
                <w:sz w:val="20"/>
                <w:szCs w:val="20"/>
              </w:rPr>
              <w:t>Sample</w:t>
            </w:r>
          </w:p>
        </w:tc>
        <w:tc>
          <w:tcPr>
            <w:tcW w:w="2520" w:type="dxa"/>
            <w:tcBorders>
              <w:left w:val="nil"/>
              <w:bottom w:val="single" w:sz="4" w:space="0" w:color="auto"/>
              <w:right w:val="nil"/>
            </w:tcBorders>
          </w:tcPr>
          <w:p w14:paraId="13457974" w14:textId="77777777" w:rsidR="00A80A21" w:rsidRDefault="00BC5F10" w:rsidP="00D40FF3">
            <w:pPr>
              <w:jc w:val="center"/>
              <w:rPr>
                <w:rFonts w:ascii="Arial" w:hAnsi="Arial" w:cs="Arial"/>
                <w:b/>
                <w:bCs/>
                <w:sz w:val="20"/>
                <w:szCs w:val="20"/>
              </w:rPr>
            </w:pPr>
            <w:r>
              <w:rPr>
                <w:rFonts w:ascii="Arial" w:hAnsi="Arial" w:cs="Arial"/>
                <w:b/>
                <w:bCs/>
                <w:sz w:val="20"/>
                <w:szCs w:val="20"/>
              </w:rPr>
              <w:t>Concentration(ug/ml)</w:t>
            </w:r>
          </w:p>
        </w:tc>
        <w:tc>
          <w:tcPr>
            <w:tcW w:w="1386" w:type="dxa"/>
            <w:tcBorders>
              <w:left w:val="nil"/>
              <w:bottom w:val="single" w:sz="4" w:space="0" w:color="auto"/>
              <w:right w:val="nil"/>
            </w:tcBorders>
          </w:tcPr>
          <w:p w14:paraId="6B5118B3" w14:textId="77777777" w:rsidR="00A80A21" w:rsidRDefault="00BC5F10" w:rsidP="00D40FF3">
            <w:pPr>
              <w:jc w:val="center"/>
              <w:rPr>
                <w:rFonts w:ascii="Arial" w:hAnsi="Arial" w:cs="Arial"/>
                <w:b/>
                <w:bCs/>
                <w:sz w:val="20"/>
                <w:szCs w:val="20"/>
              </w:rPr>
            </w:pPr>
            <w:r>
              <w:rPr>
                <w:rFonts w:ascii="Arial" w:hAnsi="Arial" w:cs="Arial"/>
                <w:b/>
                <w:bCs/>
                <w:sz w:val="20"/>
                <w:szCs w:val="20"/>
              </w:rPr>
              <w:t>Absorbance</w:t>
            </w:r>
          </w:p>
        </w:tc>
        <w:tc>
          <w:tcPr>
            <w:tcW w:w="2240" w:type="dxa"/>
            <w:tcBorders>
              <w:left w:val="nil"/>
              <w:bottom w:val="single" w:sz="4" w:space="0" w:color="auto"/>
              <w:right w:val="nil"/>
            </w:tcBorders>
          </w:tcPr>
          <w:p w14:paraId="212D88C2" w14:textId="77777777" w:rsidR="00A80A21" w:rsidRDefault="00BC5F10" w:rsidP="00D40FF3">
            <w:pPr>
              <w:jc w:val="center"/>
              <w:rPr>
                <w:rFonts w:ascii="Arial" w:hAnsi="Arial" w:cs="Arial"/>
                <w:b/>
                <w:bCs/>
                <w:sz w:val="20"/>
                <w:szCs w:val="20"/>
              </w:rPr>
            </w:pPr>
            <w:r>
              <w:rPr>
                <w:rFonts w:ascii="Arial" w:hAnsi="Arial" w:cs="Arial"/>
                <w:b/>
                <w:bCs/>
                <w:sz w:val="20"/>
                <w:szCs w:val="20"/>
              </w:rPr>
              <w:t>% Inhibition</w:t>
            </w:r>
          </w:p>
        </w:tc>
      </w:tr>
      <w:tr w:rsidR="00A80A21" w14:paraId="7DC4F220" w14:textId="77777777">
        <w:trPr>
          <w:trHeight w:val="512"/>
        </w:trPr>
        <w:tc>
          <w:tcPr>
            <w:tcW w:w="2880" w:type="dxa"/>
            <w:tcBorders>
              <w:left w:val="nil"/>
              <w:bottom w:val="nil"/>
              <w:right w:val="nil"/>
            </w:tcBorders>
          </w:tcPr>
          <w:p w14:paraId="5358868C" w14:textId="77777777" w:rsidR="00A80A21" w:rsidRPr="00D40FF3" w:rsidRDefault="00BC5F10" w:rsidP="00D40FF3">
            <w:pPr>
              <w:jc w:val="center"/>
              <w:rPr>
                <w:rFonts w:ascii="Arial" w:hAnsi="Arial" w:cs="Arial"/>
                <w:sz w:val="20"/>
                <w:szCs w:val="20"/>
              </w:rPr>
            </w:pPr>
            <w:r w:rsidRPr="00D40FF3">
              <w:rPr>
                <w:rFonts w:ascii="Arial" w:hAnsi="Arial" w:cs="Arial"/>
                <w:sz w:val="20"/>
                <w:szCs w:val="20"/>
              </w:rPr>
              <w:t>Negative control</w:t>
            </w:r>
          </w:p>
        </w:tc>
        <w:tc>
          <w:tcPr>
            <w:tcW w:w="2520" w:type="dxa"/>
            <w:tcBorders>
              <w:left w:val="nil"/>
              <w:bottom w:val="nil"/>
              <w:right w:val="nil"/>
            </w:tcBorders>
          </w:tcPr>
          <w:p w14:paraId="062E88FF" w14:textId="77777777" w:rsidR="00A80A21" w:rsidRPr="00D40FF3" w:rsidRDefault="00BC5F10" w:rsidP="00D40FF3">
            <w:pPr>
              <w:jc w:val="center"/>
              <w:rPr>
                <w:rFonts w:ascii="Arial" w:hAnsi="Arial" w:cs="Arial"/>
                <w:sz w:val="20"/>
                <w:szCs w:val="20"/>
              </w:rPr>
            </w:pPr>
            <w:r w:rsidRPr="00D40FF3">
              <w:rPr>
                <w:rFonts w:ascii="Arial" w:hAnsi="Arial" w:cs="Arial"/>
                <w:sz w:val="20"/>
                <w:szCs w:val="20"/>
              </w:rPr>
              <w:t>0.4% DMSO</w:t>
            </w:r>
          </w:p>
        </w:tc>
        <w:tc>
          <w:tcPr>
            <w:tcW w:w="1386" w:type="dxa"/>
            <w:tcBorders>
              <w:left w:val="nil"/>
              <w:bottom w:val="nil"/>
              <w:right w:val="nil"/>
            </w:tcBorders>
          </w:tcPr>
          <w:p w14:paraId="424A53D6" w14:textId="77777777" w:rsidR="00A80A21" w:rsidRDefault="00BC5F10" w:rsidP="00D40FF3">
            <w:pPr>
              <w:jc w:val="center"/>
              <w:rPr>
                <w:rFonts w:ascii="Arial" w:hAnsi="Arial" w:cs="Arial"/>
                <w:sz w:val="20"/>
                <w:szCs w:val="20"/>
              </w:rPr>
            </w:pPr>
            <w:r>
              <w:rPr>
                <w:rFonts w:ascii="Arial" w:hAnsi="Arial" w:cs="Arial"/>
                <w:sz w:val="20"/>
                <w:szCs w:val="20"/>
              </w:rPr>
              <w:t>0.924</w:t>
            </w:r>
          </w:p>
        </w:tc>
        <w:tc>
          <w:tcPr>
            <w:tcW w:w="2240" w:type="dxa"/>
            <w:tcBorders>
              <w:left w:val="nil"/>
              <w:bottom w:val="nil"/>
              <w:right w:val="nil"/>
            </w:tcBorders>
          </w:tcPr>
          <w:p w14:paraId="387F113C" w14:textId="77777777" w:rsidR="00A80A21" w:rsidRDefault="00BC5F10" w:rsidP="00D40FF3">
            <w:pPr>
              <w:jc w:val="center"/>
              <w:rPr>
                <w:rFonts w:ascii="Arial" w:hAnsi="Arial" w:cs="Arial"/>
                <w:sz w:val="20"/>
                <w:szCs w:val="20"/>
              </w:rPr>
            </w:pPr>
            <w:r>
              <w:rPr>
                <w:rFonts w:ascii="Arial" w:hAnsi="Arial" w:cs="Arial"/>
                <w:sz w:val="20"/>
                <w:szCs w:val="20"/>
              </w:rPr>
              <w:t>0.00</w:t>
            </w:r>
          </w:p>
        </w:tc>
      </w:tr>
      <w:tr w:rsidR="00A80A21" w14:paraId="2E94B64C" w14:textId="77777777">
        <w:tc>
          <w:tcPr>
            <w:tcW w:w="2880" w:type="dxa"/>
            <w:tcBorders>
              <w:top w:val="nil"/>
              <w:left w:val="nil"/>
              <w:bottom w:val="nil"/>
              <w:right w:val="nil"/>
            </w:tcBorders>
          </w:tcPr>
          <w:p w14:paraId="0789B2D5" w14:textId="7C51D926" w:rsidR="00A80A21" w:rsidRPr="00D40FF3" w:rsidRDefault="00BC5F10" w:rsidP="00D40FF3">
            <w:pPr>
              <w:jc w:val="center"/>
              <w:rPr>
                <w:rFonts w:ascii="Arial" w:hAnsi="Arial" w:cs="Arial"/>
                <w:sz w:val="20"/>
                <w:szCs w:val="20"/>
              </w:rPr>
            </w:pPr>
            <w:r w:rsidRPr="00D40FF3">
              <w:rPr>
                <w:rFonts w:ascii="Arial" w:hAnsi="Arial" w:cs="Arial"/>
                <w:sz w:val="20"/>
                <w:szCs w:val="20"/>
              </w:rPr>
              <w:t>Diclofenac</w:t>
            </w:r>
          </w:p>
        </w:tc>
        <w:tc>
          <w:tcPr>
            <w:tcW w:w="2520" w:type="dxa"/>
            <w:tcBorders>
              <w:top w:val="nil"/>
              <w:left w:val="nil"/>
              <w:bottom w:val="nil"/>
              <w:right w:val="nil"/>
            </w:tcBorders>
          </w:tcPr>
          <w:p w14:paraId="489E5CEF" w14:textId="77777777" w:rsidR="00A80A21" w:rsidRPr="00D40FF3" w:rsidRDefault="00BC5F10" w:rsidP="00D40FF3">
            <w:pPr>
              <w:jc w:val="center"/>
              <w:rPr>
                <w:rFonts w:ascii="Arial" w:hAnsi="Arial" w:cs="Arial"/>
                <w:sz w:val="20"/>
                <w:szCs w:val="20"/>
              </w:rPr>
            </w:pPr>
            <w:r w:rsidRPr="00D40FF3">
              <w:rPr>
                <w:rFonts w:ascii="Arial" w:hAnsi="Arial" w:cs="Arial"/>
                <w:sz w:val="20"/>
                <w:szCs w:val="20"/>
              </w:rPr>
              <w:t>50</w:t>
            </w:r>
          </w:p>
        </w:tc>
        <w:tc>
          <w:tcPr>
            <w:tcW w:w="1386" w:type="dxa"/>
            <w:tcBorders>
              <w:top w:val="nil"/>
              <w:left w:val="nil"/>
              <w:bottom w:val="nil"/>
              <w:right w:val="nil"/>
            </w:tcBorders>
          </w:tcPr>
          <w:p w14:paraId="7E602891" w14:textId="77777777" w:rsidR="00A80A21" w:rsidRDefault="00BC5F10" w:rsidP="00D40FF3">
            <w:pPr>
              <w:jc w:val="center"/>
              <w:rPr>
                <w:rFonts w:ascii="Arial" w:hAnsi="Arial" w:cs="Arial"/>
                <w:sz w:val="20"/>
                <w:szCs w:val="20"/>
              </w:rPr>
            </w:pPr>
            <w:r>
              <w:rPr>
                <w:rFonts w:ascii="Arial" w:hAnsi="Arial" w:cs="Arial"/>
                <w:sz w:val="20"/>
                <w:szCs w:val="20"/>
              </w:rPr>
              <w:t>0.781</w:t>
            </w:r>
          </w:p>
        </w:tc>
        <w:tc>
          <w:tcPr>
            <w:tcW w:w="2240" w:type="dxa"/>
            <w:tcBorders>
              <w:top w:val="nil"/>
              <w:left w:val="nil"/>
              <w:bottom w:val="nil"/>
              <w:right w:val="nil"/>
            </w:tcBorders>
          </w:tcPr>
          <w:p w14:paraId="4A014A85" w14:textId="77777777" w:rsidR="00A80A21" w:rsidRDefault="00BC5F10" w:rsidP="00D40FF3">
            <w:pPr>
              <w:jc w:val="center"/>
              <w:rPr>
                <w:rFonts w:ascii="Arial" w:hAnsi="Arial" w:cs="Arial"/>
                <w:sz w:val="20"/>
                <w:szCs w:val="20"/>
              </w:rPr>
            </w:pPr>
            <w:r>
              <w:rPr>
                <w:rFonts w:ascii="Arial" w:hAnsi="Arial" w:cs="Arial"/>
                <w:sz w:val="20"/>
                <w:szCs w:val="20"/>
              </w:rPr>
              <w:t>15.48</w:t>
            </w:r>
          </w:p>
        </w:tc>
      </w:tr>
      <w:tr w:rsidR="00A80A21" w14:paraId="49D932E1" w14:textId="77777777">
        <w:tc>
          <w:tcPr>
            <w:tcW w:w="2880" w:type="dxa"/>
            <w:tcBorders>
              <w:top w:val="nil"/>
              <w:left w:val="nil"/>
              <w:bottom w:val="nil"/>
              <w:right w:val="nil"/>
            </w:tcBorders>
          </w:tcPr>
          <w:p w14:paraId="1A223D41" w14:textId="77777777" w:rsidR="00A80A21" w:rsidRPr="00D40FF3" w:rsidRDefault="00A80A21" w:rsidP="00D40FF3">
            <w:pPr>
              <w:jc w:val="center"/>
              <w:rPr>
                <w:rFonts w:ascii="Arial" w:hAnsi="Arial" w:cs="Arial"/>
                <w:sz w:val="20"/>
                <w:szCs w:val="20"/>
              </w:rPr>
            </w:pPr>
          </w:p>
        </w:tc>
        <w:tc>
          <w:tcPr>
            <w:tcW w:w="2520" w:type="dxa"/>
            <w:tcBorders>
              <w:top w:val="nil"/>
              <w:left w:val="nil"/>
              <w:bottom w:val="nil"/>
              <w:right w:val="nil"/>
            </w:tcBorders>
          </w:tcPr>
          <w:p w14:paraId="2E94B092" w14:textId="77777777" w:rsidR="00A80A21" w:rsidRPr="00D40FF3" w:rsidRDefault="00BC5F10" w:rsidP="00D40FF3">
            <w:pPr>
              <w:jc w:val="center"/>
              <w:rPr>
                <w:rFonts w:ascii="Arial" w:hAnsi="Arial" w:cs="Arial"/>
                <w:sz w:val="20"/>
                <w:szCs w:val="20"/>
              </w:rPr>
            </w:pPr>
            <w:r w:rsidRPr="00D40FF3">
              <w:rPr>
                <w:rFonts w:ascii="Arial" w:hAnsi="Arial" w:cs="Arial"/>
                <w:sz w:val="20"/>
                <w:szCs w:val="20"/>
              </w:rPr>
              <w:t>100</w:t>
            </w:r>
          </w:p>
        </w:tc>
        <w:tc>
          <w:tcPr>
            <w:tcW w:w="1386" w:type="dxa"/>
            <w:tcBorders>
              <w:top w:val="nil"/>
              <w:left w:val="nil"/>
              <w:bottom w:val="nil"/>
              <w:right w:val="nil"/>
            </w:tcBorders>
          </w:tcPr>
          <w:p w14:paraId="19468F3B" w14:textId="77777777" w:rsidR="00A80A21" w:rsidRDefault="00BC5F10" w:rsidP="00D40FF3">
            <w:pPr>
              <w:jc w:val="center"/>
              <w:rPr>
                <w:rFonts w:ascii="Arial" w:hAnsi="Arial" w:cs="Arial"/>
                <w:sz w:val="20"/>
                <w:szCs w:val="20"/>
              </w:rPr>
            </w:pPr>
            <w:r>
              <w:rPr>
                <w:rFonts w:ascii="Arial" w:hAnsi="Arial" w:cs="Arial"/>
                <w:sz w:val="20"/>
                <w:szCs w:val="20"/>
              </w:rPr>
              <w:t>0.653</w:t>
            </w:r>
          </w:p>
        </w:tc>
        <w:tc>
          <w:tcPr>
            <w:tcW w:w="2240" w:type="dxa"/>
            <w:tcBorders>
              <w:top w:val="nil"/>
              <w:left w:val="nil"/>
              <w:bottom w:val="nil"/>
              <w:right w:val="nil"/>
            </w:tcBorders>
          </w:tcPr>
          <w:p w14:paraId="42F19B22" w14:textId="77777777" w:rsidR="00A80A21" w:rsidRDefault="00BC5F10" w:rsidP="00D40FF3">
            <w:pPr>
              <w:jc w:val="center"/>
              <w:rPr>
                <w:rFonts w:ascii="Arial" w:hAnsi="Arial" w:cs="Arial"/>
                <w:sz w:val="20"/>
                <w:szCs w:val="20"/>
              </w:rPr>
            </w:pPr>
            <w:r>
              <w:rPr>
                <w:rFonts w:ascii="Arial" w:hAnsi="Arial" w:cs="Arial"/>
                <w:sz w:val="20"/>
                <w:szCs w:val="20"/>
              </w:rPr>
              <w:t>29.33</w:t>
            </w:r>
          </w:p>
        </w:tc>
      </w:tr>
      <w:tr w:rsidR="00A80A21" w14:paraId="035F603E" w14:textId="77777777">
        <w:tc>
          <w:tcPr>
            <w:tcW w:w="2880" w:type="dxa"/>
            <w:tcBorders>
              <w:top w:val="nil"/>
              <w:left w:val="nil"/>
              <w:bottom w:val="nil"/>
              <w:right w:val="nil"/>
            </w:tcBorders>
          </w:tcPr>
          <w:p w14:paraId="2C81BF2D" w14:textId="77777777" w:rsidR="00A80A21" w:rsidRPr="00D40FF3" w:rsidRDefault="00A80A21" w:rsidP="00D40FF3">
            <w:pPr>
              <w:jc w:val="center"/>
              <w:rPr>
                <w:rFonts w:ascii="Arial" w:hAnsi="Arial" w:cs="Arial"/>
                <w:sz w:val="20"/>
                <w:szCs w:val="20"/>
              </w:rPr>
            </w:pPr>
          </w:p>
        </w:tc>
        <w:tc>
          <w:tcPr>
            <w:tcW w:w="2520" w:type="dxa"/>
            <w:tcBorders>
              <w:top w:val="nil"/>
              <w:left w:val="nil"/>
              <w:bottom w:val="nil"/>
              <w:right w:val="nil"/>
            </w:tcBorders>
          </w:tcPr>
          <w:p w14:paraId="088FE83C" w14:textId="77777777" w:rsidR="00A80A21" w:rsidRPr="00D40FF3" w:rsidRDefault="00BC5F10" w:rsidP="00D40FF3">
            <w:pPr>
              <w:jc w:val="center"/>
              <w:rPr>
                <w:rFonts w:ascii="Arial" w:hAnsi="Arial" w:cs="Arial"/>
                <w:sz w:val="20"/>
                <w:szCs w:val="20"/>
              </w:rPr>
            </w:pPr>
            <w:r w:rsidRPr="00D40FF3">
              <w:rPr>
                <w:rFonts w:ascii="Arial" w:hAnsi="Arial" w:cs="Arial"/>
                <w:sz w:val="20"/>
                <w:szCs w:val="20"/>
              </w:rPr>
              <w:t>250</w:t>
            </w:r>
          </w:p>
        </w:tc>
        <w:tc>
          <w:tcPr>
            <w:tcW w:w="1386" w:type="dxa"/>
            <w:tcBorders>
              <w:top w:val="nil"/>
              <w:left w:val="nil"/>
              <w:bottom w:val="nil"/>
              <w:right w:val="nil"/>
            </w:tcBorders>
          </w:tcPr>
          <w:p w14:paraId="13CCF2D5" w14:textId="77777777" w:rsidR="00A80A21" w:rsidRDefault="00BC5F10" w:rsidP="00D40FF3">
            <w:pPr>
              <w:jc w:val="center"/>
              <w:rPr>
                <w:rFonts w:ascii="Arial" w:hAnsi="Arial" w:cs="Arial"/>
                <w:sz w:val="20"/>
                <w:szCs w:val="20"/>
              </w:rPr>
            </w:pPr>
            <w:r>
              <w:rPr>
                <w:rFonts w:ascii="Arial" w:hAnsi="Arial" w:cs="Arial"/>
                <w:sz w:val="20"/>
                <w:szCs w:val="20"/>
              </w:rPr>
              <w:t>0.482</w:t>
            </w:r>
          </w:p>
        </w:tc>
        <w:tc>
          <w:tcPr>
            <w:tcW w:w="2240" w:type="dxa"/>
            <w:tcBorders>
              <w:top w:val="nil"/>
              <w:left w:val="nil"/>
              <w:bottom w:val="nil"/>
              <w:right w:val="nil"/>
            </w:tcBorders>
          </w:tcPr>
          <w:p w14:paraId="388C8F39" w14:textId="77777777" w:rsidR="00A80A21" w:rsidRDefault="00BC5F10" w:rsidP="00D40FF3">
            <w:pPr>
              <w:jc w:val="center"/>
              <w:rPr>
                <w:rFonts w:ascii="Arial" w:hAnsi="Arial" w:cs="Arial"/>
                <w:sz w:val="20"/>
                <w:szCs w:val="20"/>
              </w:rPr>
            </w:pPr>
            <w:r>
              <w:rPr>
                <w:rFonts w:ascii="Arial" w:hAnsi="Arial" w:cs="Arial"/>
                <w:sz w:val="20"/>
                <w:szCs w:val="20"/>
              </w:rPr>
              <w:t>47.84</w:t>
            </w:r>
          </w:p>
        </w:tc>
      </w:tr>
      <w:tr w:rsidR="00A80A21" w14:paraId="4AAF8CA7" w14:textId="77777777">
        <w:tc>
          <w:tcPr>
            <w:tcW w:w="2880" w:type="dxa"/>
            <w:tcBorders>
              <w:top w:val="nil"/>
              <w:left w:val="nil"/>
              <w:bottom w:val="nil"/>
              <w:right w:val="nil"/>
            </w:tcBorders>
          </w:tcPr>
          <w:p w14:paraId="7CFBD887" w14:textId="77777777" w:rsidR="00A80A21" w:rsidRPr="00D40FF3" w:rsidRDefault="00A80A21" w:rsidP="00D40FF3">
            <w:pPr>
              <w:jc w:val="center"/>
              <w:rPr>
                <w:rFonts w:ascii="Arial" w:hAnsi="Arial" w:cs="Arial"/>
                <w:sz w:val="20"/>
                <w:szCs w:val="20"/>
              </w:rPr>
            </w:pPr>
          </w:p>
        </w:tc>
        <w:tc>
          <w:tcPr>
            <w:tcW w:w="2520" w:type="dxa"/>
            <w:tcBorders>
              <w:top w:val="nil"/>
              <w:left w:val="nil"/>
              <w:bottom w:val="nil"/>
              <w:right w:val="nil"/>
            </w:tcBorders>
          </w:tcPr>
          <w:p w14:paraId="64AEA11C" w14:textId="77777777" w:rsidR="00A80A21" w:rsidRPr="00D40FF3" w:rsidRDefault="00BC5F10" w:rsidP="00D40FF3">
            <w:pPr>
              <w:jc w:val="center"/>
              <w:rPr>
                <w:rFonts w:ascii="Arial" w:hAnsi="Arial" w:cs="Arial"/>
                <w:sz w:val="20"/>
                <w:szCs w:val="20"/>
              </w:rPr>
            </w:pPr>
            <w:r w:rsidRPr="00D40FF3">
              <w:rPr>
                <w:rFonts w:ascii="Arial" w:hAnsi="Arial" w:cs="Arial"/>
                <w:sz w:val="20"/>
                <w:szCs w:val="20"/>
              </w:rPr>
              <w:t>500</w:t>
            </w:r>
          </w:p>
        </w:tc>
        <w:tc>
          <w:tcPr>
            <w:tcW w:w="1386" w:type="dxa"/>
            <w:tcBorders>
              <w:top w:val="nil"/>
              <w:left w:val="nil"/>
              <w:bottom w:val="nil"/>
              <w:right w:val="nil"/>
            </w:tcBorders>
          </w:tcPr>
          <w:p w14:paraId="1A67A8EF" w14:textId="77777777" w:rsidR="00A80A21" w:rsidRDefault="00BC5F10" w:rsidP="00D40FF3">
            <w:pPr>
              <w:jc w:val="center"/>
              <w:rPr>
                <w:rFonts w:ascii="Arial" w:hAnsi="Arial" w:cs="Arial"/>
                <w:sz w:val="20"/>
                <w:szCs w:val="20"/>
              </w:rPr>
            </w:pPr>
            <w:r>
              <w:rPr>
                <w:rFonts w:ascii="Arial" w:hAnsi="Arial" w:cs="Arial"/>
                <w:sz w:val="20"/>
                <w:szCs w:val="20"/>
              </w:rPr>
              <w:t>0.317</w:t>
            </w:r>
          </w:p>
        </w:tc>
        <w:tc>
          <w:tcPr>
            <w:tcW w:w="2240" w:type="dxa"/>
            <w:tcBorders>
              <w:top w:val="nil"/>
              <w:left w:val="nil"/>
              <w:bottom w:val="nil"/>
              <w:right w:val="nil"/>
            </w:tcBorders>
          </w:tcPr>
          <w:p w14:paraId="15C892AC" w14:textId="77777777" w:rsidR="00A80A21" w:rsidRDefault="00BC5F10" w:rsidP="00D40FF3">
            <w:pPr>
              <w:jc w:val="center"/>
              <w:rPr>
                <w:rFonts w:ascii="Arial" w:hAnsi="Arial" w:cs="Arial"/>
                <w:sz w:val="20"/>
                <w:szCs w:val="20"/>
              </w:rPr>
            </w:pPr>
            <w:r>
              <w:rPr>
                <w:rFonts w:ascii="Arial" w:hAnsi="Arial" w:cs="Arial"/>
                <w:sz w:val="20"/>
                <w:szCs w:val="20"/>
              </w:rPr>
              <w:t>65.69</w:t>
            </w:r>
          </w:p>
        </w:tc>
      </w:tr>
      <w:tr w:rsidR="00A80A21" w14:paraId="5C4C18E4" w14:textId="77777777">
        <w:tc>
          <w:tcPr>
            <w:tcW w:w="2880" w:type="dxa"/>
            <w:tcBorders>
              <w:top w:val="nil"/>
              <w:left w:val="nil"/>
              <w:bottom w:val="nil"/>
              <w:right w:val="nil"/>
            </w:tcBorders>
          </w:tcPr>
          <w:p w14:paraId="4BB3B709" w14:textId="77777777" w:rsidR="00A80A21" w:rsidRPr="00D40FF3" w:rsidRDefault="00A80A21" w:rsidP="00D40FF3">
            <w:pPr>
              <w:jc w:val="center"/>
              <w:rPr>
                <w:rFonts w:ascii="Arial" w:hAnsi="Arial" w:cs="Arial"/>
                <w:sz w:val="20"/>
                <w:szCs w:val="20"/>
              </w:rPr>
            </w:pPr>
          </w:p>
        </w:tc>
        <w:tc>
          <w:tcPr>
            <w:tcW w:w="2520" w:type="dxa"/>
            <w:tcBorders>
              <w:top w:val="nil"/>
              <w:left w:val="nil"/>
              <w:bottom w:val="nil"/>
              <w:right w:val="nil"/>
            </w:tcBorders>
          </w:tcPr>
          <w:p w14:paraId="4881C257" w14:textId="77777777" w:rsidR="00A80A21" w:rsidRPr="00D40FF3" w:rsidRDefault="00BC5F10" w:rsidP="00D40FF3">
            <w:pPr>
              <w:jc w:val="center"/>
              <w:rPr>
                <w:rFonts w:ascii="Arial" w:hAnsi="Arial" w:cs="Arial"/>
                <w:sz w:val="20"/>
                <w:szCs w:val="20"/>
              </w:rPr>
            </w:pPr>
            <w:r w:rsidRPr="00D40FF3">
              <w:rPr>
                <w:rFonts w:ascii="Arial" w:hAnsi="Arial" w:cs="Arial"/>
                <w:sz w:val="20"/>
                <w:szCs w:val="20"/>
              </w:rPr>
              <w:t>750</w:t>
            </w:r>
          </w:p>
        </w:tc>
        <w:tc>
          <w:tcPr>
            <w:tcW w:w="1386" w:type="dxa"/>
            <w:tcBorders>
              <w:top w:val="nil"/>
              <w:left w:val="nil"/>
              <w:bottom w:val="nil"/>
              <w:right w:val="nil"/>
            </w:tcBorders>
          </w:tcPr>
          <w:p w14:paraId="350956ED" w14:textId="77777777" w:rsidR="00A80A21" w:rsidRDefault="00BC5F10" w:rsidP="00D40FF3">
            <w:pPr>
              <w:jc w:val="center"/>
              <w:rPr>
                <w:rFonts w:ascii="Arial" w:hAnsi="Arial" w:cs="Arial"/>
                <w:sz w:val="20"/>
                <w:szCs w:val="20"/>
              </w:rPr>
            </w:pPr>
            <w:r>
              <w:rPr>
                <w:rFonts w:ascii="Arial" w:hAnsi="Arial" w:cs="Arial"/>
                <w:sz w:val="20"/>
                <w:szCs w:val="20"/>
              </w:rPr>
              <w:t>0.209</w:t>
            </w:r>
          </w:p>
        </w:tc>
        <w:tc>
          <w:tcPr>
            <w:tcW w:w="2240" w:type="dxa"/>
            <w:tcBorders>
              <w:top w:val="nil"/>
              <w:left w:val="nil"/>
              <w:bottom w:val="nil"/>
              <w:right w:val="nil"/>
            </w:tcBorders>
          </w:tcPr>
          <w:p w14:paraId="42589B56" w14:textId="77777777" w:rsidR="00A80A21" w:rsidRDefault="00BC5F10" w:rsidP="00D40FF3">
            <w:pPr>
              <w:jc w:val="center"/>
              <w:rPr>
                <w:rFonts w:ascii="Arial" w:hAnsi="Arial" w:cs="Arial"/>
                <w:sz w:val="20"/>
                <w:szCs w:val="20"/>
              </w:rPr>
            </w:pPr>
            <w:r>
              <w:rPr>
                <w:rFonts w:ascii="Arial" w:hAnsi="Arial" w:cs="Arial"/>
                <w:sz w:val="20"/>
                <w:szCs w:val="20"/>
              </w:rPr>
              <w:t>77.38</w:t>
            </w:r>
          </w:p>
        </w:tc>
      </w:tr>
      <w:tr w:rsidR="00A80A21" w14:paraId="10374173" w14:textId="77777777">
        <w:trPr>
          <w:trHeight w:val="459"/>
        </w:trPr>
        <w:tc>
          <w:tcPr>
            <w:tcW w:w="2880" w:type="dxa"/>
            <w:tcBorders>
              <w:top w:val="nil"/>
              <w:left w:val="nil"/>
              <w:bottom w:val="nil"/>
              <w:right w:val="nil"/>
            </w:tcBorders>
          </w:tcPr>
          <w:p w14:paraId="6E63DD2F" w14:textId="77777777" w:rsidR="00A80A21" w:rsidRPr="00D40FF3" w:rsidRDefault="00A80A21" w:rsidP="00D40FF3">
            <w:pPr>
              <w:jc w:val="center"/>
              <w:rPr>
                <w:rFonts w:ascii="Arial" w:hAnsi="Arial" w:cs="Arial"/>
                <w:sz w:val="20"/>
                <w:szCs w:val="20"/>
              </w:rPr>
            </w:pPr>
          </w:p>
        </w:tc>
        <w:tc>
          <w:tcPr>
            <w:tcW w:w="2520" w:type="dxa"/>
            <w:tcBorders>
              <w:top w:val="nil"/>
              <w:left w:val="nil"/>
              <w:bottom w:val="nil"/>
              <w:right w:val="nil"/>
            </w:tcBorders>
          </w:tcPr>
          <w:p w14:paraId="082945AB" w14:textId="77777777" w:rsidR="00A80A21" w:rsidRPr="00D40FF3" w:rsidRDefault="00BC5F10" w:rsidP="00D40FF3">
            <w:pPr>
              <w:jc w:val="center"/>
              <w:rPr>
                <w:rFonts w:ascii="Arial" w:hAnsi="Arial" w:cs="Arial"/>
                <w:sz w:val="20"/>
                <w:szCs w:val="20"/>
              </w:rPr>
            </w:pPr>
            <w:r w:rsidRPr="00D40FF3">
              <w:rPr>
                <w:rFonts w:ascii="Arial" w:hAnsi="Arial" w:cs="Arial"/>
                <w:sz w:val="20"/>
                <w:szCs w:val="20"/>
              </w:rPr>
              <w:t>1000</w:t>
            </w:r>
          </w:p>
        </w:tc>
        <w:tc>
          <w:tcPr>
            <w:tcW w:w="1386" w:type="dxa"/>
            <w:tcBorders>
              <w:top w:val="nil"/>
              <w:left w:val="nil"/>
              <w:bottom w:val="nil"/>
              <w:right w:val="nil"/>
            </w:tcBorders>
          </w:tcPr>
          <w:p w14:paraId="326272AF" w14:textId="77777777" w:rsidR="00A80A21" w:rsidRDefault="00BC5F10" w:rsidP="00D40FF3">
            <w:pPr>
              <w:jc w:val="center"/>
              <w:rPr>
                <w:rFonts w:ascii="Arial" w:hAnsi="Arial" w:cs="Arial"/>
                <w:sz w:val="20"/>
                <w:szCs w:val="20"/>
              </w:rPr>
            </w:pPr>
            <w:r>
              <w:rPr>
                <w:rFonts w:ascii="Arial" w:hAnsi="Arial" w:cs="Arial"/>
                <w:sz w:val="20"/>
                <w:szCs w:val="20"/>
              </w:rPr>
              <w:t>0.152</w:t>
            </w:r>
          </w:p>
        </w:tc>
        <w:tc>
          <w:tcPr>
            <w:tcW w:w="2240" w:type="dxa"/>
            <w:tcBorders>
              <w:top w:val="nil"/>
              <w:left w:val="nil"/>
              <w:bottom w:val="nil"/>
              <w:right w:val="nil"/>
            </w:tcBorders>
          </w:tcPr>
          <w:p w14:paraId="05D67AF2" w14:textId="77777777" w:rsidR="00A80A21" w:rsidRDefault="00BC5F10" w:rsidP="00D40FF3">
            <w:pPr>
              <w:jc w:val="center"/>
              <w:rPr>
                <w:rFonts w:ascii="Arial" w:hAnsi="Arial" w:cs="Arial"/>
                <w:sz w:val="20"/>
                <w:szCs w:val="20"/>
              </w:rPr>
            </w:pPr>
            <w:r>
              <w:rPr>
                <w:rFonts w:ascii="Arial" w:hAnsi="Arial" w:cs="Arial"/>
                <w:sz w:val="20"/>
                <w:szCs w:val="20"/>
              </w:rPr>
              <w:t>83.55</w:t>
            </w:r>
          </w:p>
        </w:tc>
      </w:tr>
      <w:tr w:rsidR="00A80A21" w14:paraId="4616623E" w14:textId="77777777">
        <w:tc>
          <w:tcPr>
            <w:tcW w:w="2880" w:type="dxa"/>
            <w:tcBorders>
              <w:top w:val="nil"/>
              <w:left w:val="nil"/>
              <w:bottom w:val="nil"/>
              <w:right w:val="nil"/>
            </w:tcBorders>
          </w:tcPr>
          <w:p w14:paraId="32D6A0B6" w14:textId="77777777" w:rsidR="00A80A21" w:rsidRPr="00D40FF3" w:rsidRDefault="00BC5F10" w:rsidP="00D40FF3">
            <w:pPr>
              <w:jc w:val="center"/>
              <w:rPr>
                <w:rFonts w:ascii="Arial" w:hAnsi="Arial" w:cs="Arial"/>
                <w:i/>
                <w:iCs/>
                <w:sz w:val="20"/>
                <w:szCs w:val="20"/>
              </w:rPr>
            </w:pPr>
            <w:r w:rsidRPr="00D40FF3">
              <w:rPr>
                <w:rFonts w:ascii="Arial" w:hAnsi="Arial" w:cs="Arial"/>
                <w:i/>
                <w:iCs/>
                <w:sz w:val="20"/>
                <w:szCs w:val="20"/>
              </w:rPr>
              <w:t>E. Elephantina</w:t>
            </w:r>
          </w:p>
        </w:tc>
        <w:tc>
          <w:tcPr>
            <w:tcW w:w="2520" w:type="dxa"/>
            <w:tcBorders>
              <w:top w:val="nil"/>
              <w:left w:val="nil"/>
              <w:bottom w:val="nil"/>
              <w:right w:val="nil"/>
            </w:tcBorders>
          </w:tcPr>
          <w:p w14:paraId="6EE027FA" w14:textId="77777777" w:rsidR="00A80A21" w:rsidRPr="00D40FF3" w:rsidRDefault="00BC5F10" w:rsidP="00D40FF3">
            <w:pPr>
              <w:jc w:val="center"/>
              <w:rPr>
                <w:rFonts w:ascii="Arial" w:hAnsi="Arial" w:cs="Arial"/>
                <w:sz w:val="20"/>
                <w:szCs w:val="20"/>
              </w:rPr>
            </w:pPr>
            <w:r w:rsidRPr="00D40FF3">
              <w:rPr>
                <w:rFonts w:ascii="Arial" w:hAnsi="Arial" w:cs="Arial"/>
                <w:sz w:val="20"/>
                <w:szCs w:val="20"/>
              </w:rPr>
              <w:t>50</w:t>
            </w:r>
          </w:p>
        </w:tc>
        <w:tc>
          <w:tcPr>
            <w:tcW w:w="1386" w:type="dxa"/>
            <w:tcBorders>
              <w:top w:val="nil"/>
              <w:left w:val="nil"/>
              <w:bottom w:val="nil"/>
              <w:right w:val="nil"/>
            </w:tcBorders>
          </w:tcPr>
          <w:p w14:paraId="286A9510" w14:textId="77777777" w:rsidR="00A80A21" w:rsidRDefault="00BC5F10" w:rsidP="00D40FF3">
            <w:pPr>
              <w:jc w:val="center"/>
              <w:rPr>
                <w:rFonts w:ascii="Arial" w:hAnsi="Arial" w:cs="Arial"/>
                <w:sz w:val="20"/>
                <w:szCs w:val="20"/>
              </w:rPr>
            </w:pPr>
            <w:r>
              <w:rPr>
                <w:rFonts w:ascii="Arial" w:hAnsi="Arial" w:cs="Arial"/>
                <w:sz w:val="20"/>
                <w:szCs w:val="20"/>
              </w:rPr>
              <w:t>0.879</w:t>
            </w:r>
          </w:p>
        </w:tc>
        <w:tc>
          <w:tcPr>
            <w:tcW w:w="2240" w:type="dxa"/>
            <w:tcBorders>
              <w:top w:val="nil"/>
              <w:left w:val="nil"/>
              <w:bottom w:val="nil"/>
              <w:right w:val="nil"/>
            </w:tcBorders>
          </w:tcPr>
          <w:p w14:paraId="1BE54861" w14:textId="77777777" w:rsidR="00A80A21" w:rsidRDefault="00BC5F10" w:rsidP="00D40FF3">
            <w:pPr>
              <w:jc w:val="center"/>
              <w:rPr>
                <w:rFonts w:ascii="Arial" w:hAnsi="Arial" w:cs="Arial"/>
                <w:sz w:val="20"/>
                <w:szCs w:val="20"/>
              </w:rPr>
            </w:pPr>
            <w:r>
              <w:rPr>
                <w:rFonts w:ascii="Arial" w:hAnsi="Arial" w:cs="Arial"/>
                <w:sz w:val="20"/>
                <w:szCs w:val="20"/>
              </w:rPr>
              <w:t>4.87</w:t>
            </w:r>
          </w:p>
        </w:tc>
      </w:tr>
      <w:tr w:rsidR="00A80A21" w14:paraId="4840F683" w14:textId="77777777">
        <w:tc>
          <w:tcPr>
            <w:tcW w:w="2880" w:type="dxa"/>
            <w:tcBorders>
              <w:top w:val="nil"/>
              <w:left w:val="nil"/>
              <w:bottom w:val="nil"/>
              <w:right w:val="nil"/>
            </w:tcBorders>
          </w:tcPr>
          <w:p w14:paraId="63C3B66B" w14:textId="77777777" w:rsidR="00A80A21" w:rsidRPr="00D40FF3" w:rsidRDefault="00A80A21" w:rsidP="00D40FF3">
            <w:pPr>
              <w:jc w:val="center"/>
              <w:rPr>
                <w:rFonts w:ascii="Arial" w:hAnsi="Arial" w:cs="Arial"/>
                <w:i/>
                <w:iCs/>
                <w:sz w:val="20"/>
                <w:szCs w:val="20"/>
              </w:rPr>
            </w:pPr>
          </w:p>
        </w:tc>
        <w:tc>
          <w:tcPr>
            <w:tcW w:w="2520" w:type="dxa"/>
            <w:tcBorders>
              <w:top w:val="nil"/>
              <w:left w:val="nil"/>
              <w:bottom w:val="nil"/>
              <w:right w:val="nil"/>
            </w:tcBorders>
          </w:tcPr>
          <w:p w14:paraId="663A152A" w14:textId="77777777" w:rsidR="00A80A21" w:rsidRPr="00D40FF3" w:rsidRDefault="00BC5F10" w:rsidP="00D40FF3">
            <w:pPr>
              <w:jc w:val="center"/>
              <w:rPr>
                <w:rFonts w:ascii="Arial" w:hAnsi="Arial" w:cs="Arial"/>
                <w:sz w:val="20"/>
                <w:szCs w:val="20"/>
              </w:rPr>
            </w:pPr>
            <w:r w:rsidRPr="00D40FF3">
              <w:rPr>
                <w:rFonts w:ascii="Arial" w:hAnsi="Arial" w:cs="Arial"/>
                <w:sz w:val="20"/>
                <w:szCs w:val="20"/>
              </w:rPr>
              <w:t>100</w:t>
            </w:r>
          </w:p>
        </w:tc>
        <w:tc>
          <w:tcPr>
            <w:tcW w:w="1386" w:type="dxa"/>
            <w:tcBorders>
              <w:top w:val="nil"/>
              <w:left w:val="nil"/>
              <w:bottom w:val="nil"/>
              <w:right w:val="nil"/>
            </w:tcBorders>
          </w:tcPr>
          <w:p w14:paraId="5D4AD47B" w14:textId="77777777" w:rsidR="00A80A21" w:rsidRDefault="00BC5F10" w:rsidP="00D40FF3">
            <w:pPr>
              <w:jc w:val="center"/>
              <w:rPr>
                <w:rFonts w:ascii="Arial" w:hAnsi="Arial" w:cs="Arial"/>
                <w:sz w:val="20"/>
                <w:szCs w:val="20"/>
              </w:rPr>
            </w:pPr>
            <w:r>
              <w:rPr>
                <w:rFonts w:ascii="Arial" w:hAnsi="Arial" w:cs="Arial"/>
                <w:sz w:val="20"/>
                <w:szCs w:val="20"/>
              </w:rPr>
              <w:t>0.796</w:t>
            </w:r>
          </w:p>
        </w:tc>
        <w:tc>
          <w:tcPr>
            <w:tcW w:w="2240" w:type="dxa"/>
            <w:tcBorders>
              <w:top w:val="nil"/>
              <w:left w:val="nil"/>
              <w:bottom w:val="nil"/>
              <w:right w:val="nil"/>
            </w:tcBorders>
          </w:tcPr>
          <w:p w14:paraId="1AC665ED" w14:textId="77777777" w:rsidR="00A80A21" w:rsidRDefault="00BC5F10" w:rsidP="00D40FF3">
            <w:pPr>
              <w:jc w:val="center"/>
              <w:rPr>
                <w:rFonts w:ascii="Arial" w:hAnsi="Arial" w:cs="Arial"/>
                <w:sz w:val="20"/>
                <w:szCs w:val="20"/>
              </w:rPr>
            </w:pPr>
            <w:r>
              <w:rPr>
                <w:rFonts w:ascii="Arial" w:hAnsi="Arial" w:cs="Arial"/>
                <w:sz w:val="20"/>
                <w:szCs w:val="20"/>
              </w:rPr>
              <w:t>13.85</w:t>
            </w:r>
          </w:p>
        </w:tc>
      </w:tr>
      <w:tr w:rsidR="00A80A21" w14:paraId="5BBC4DF8" w14:textId="77777777">
        <w:tc>
          <w:tcPr>
            <w:tcW w:w="2880" w:type="dxa"/>
            <w:tcBorders>
              <w:top w:val="nil"/>
              <w:left w:val="nil"/>
              <w:bottom w:val="nil"/>
              <w:right w:val="nil"/>
            </w:tcBorders>
          </w:tcPr>
          <w:p w14:paraId="7F3DC904" w14:textId="77777777" w:rsidR="00A80A21" w:rsidRDefault="00A80A21" w:rsidP="00D40FF3">
            <w:pPr>
              <w:jc w:val="center"/>
              <w:rPr>
                <w:rFonts w:ascii="Arial" w:hAnsi="Arial" w:cs="Arial"/>
                <w:b/>
                <w:bCs/>
                <w:i/>
                <w:iCs/>
                <w:sz w:val="20"/>
                <w:szCs w:val="20"/>
              </w:rPr>
            </w:pPr>
          </w:p>
        </w:tc>
        <w:tc>
          <w:tcPr>
            <w:tcW w:w="2520" w:type="dxa"/>
            <w:tcBorders>
              <w:top w:val="nil"/>
              <w:left w:val="nil"/>
              <w:bottom w:val="nil"/>
              <w:right w:val="nil"/>
            </w:tcBorders>
          </w:tcPr>
          <w:p w14:paraId="00559EF6" w14:textId="77777777" w:rsidR="00A80A21" w:rsidRDefault="00BC5F10" w:rsidP="00D40FF3">
            <w:pPr>
              <w:jc w:val="center"/>
              <w:rPr>
                <w:rFonts w:ascii="Arial" w:hAnsi="Arial" w:cs="Arial"/>
                <w:sz w:val="20"/>
                <w:szCs w:val="20"/>
              </w:rPr>
            </w:pPr>
            <w:r>
              <w:rPr>
                <w:rFonts w:ascii="Arial" w:hAnsi="Arial" w:cs="Arial"/>
                <w:sz w:val="20"/>
                <w:szCs w:val="20"/>
              </w:rPr>
              <w:t>250</w:t>
            </w:r>
          </w:p>
        </w:tc>
        <w:tc>
          <w:tcPr>
            <w:tcW w:w="1386" w:type="dxa"/>
            <w:tcBorders>
              <w:top w:val="nil"/>
              <w:left w:val="nil"/>
              <w:bottom w:val="nil"/>
              <w:right w:val="nil"/>
            </w:tcBorders>
          </w:tcPr>
          <w:p w14:paraId="6FBFE442" w14:textId="77777777" w:rsidR="00A80A21" w:rsidRDefault="00BC5F10" w:rsidP="00D40FF3">
            <w:pPr>
              <w:jc w:val="center"/>
              <w:rPr>
                <w:rFonts w:ascii="Arial" w:hAnsi="Arial" w:cs="Arial"/>
                <w:sz w:val="20"/>
                <w:szCs w:val="20"/>
              </w:rPr>
            </w:pPr>
            <w:r>
              <w:rPr>
                <w:rFonts w:ascii="Arial" w:hAnsi="Arial" w:cs="Arial"/>
                <w:sz w:val="20"/>
                <w:szCs w:val="20"/>
              </w:rPr>
              <w:t>0.681</w:t>
            </w:r>
          </w:p>
        </w:tc>
        <w:tc>
          <w:tcPr>
            <w:tcW w:w="2240" w:type="dxa"/>
            <w:tcBorders>
              <w:top w:val="nil"/>
              <w:left w:val="nil"/>
              <w:bottom w:val="nil"/>
              <w:right w:val="nil"/>
            </w:tcBorders>
          </w:tcPr>
          <w:p w14:paraId="2FA4AE37" w14:textId="77777777" w:rsidR="00A80A21" w:rsidRDefault="00BC5F10" w:rsidP="00D40FF3">
            <w:pPr>
              <w:jc w:val="center"/>
              <w:rPr>
                <w:rFonts w:ascii="Arial" w:hAnsi="Arial" w:cs="Arial"/>
                <w:sz w:val="20"/>
                <w:szCs w:val="20"/>
              </w:rPr>
            </w:pPr>
            <w:r>
              <w:rPr>
                <w:rFonts w:ascii="Arial" w:hAnsi="Arial" w:cs="Arial"/>
                <w:sz w:val="20"/>
                <w:szCs w:val="20"/>
              </w:rPr>
              <w:t>26.30</w:t>
            </w:r>
          </w:p>
        </w:tc>
      </w:tr>
      <w:tr w:rsidR="00A80A21" w14:paraId="5B5EBE3B" w14:textId="77777777">
        <w:tc>
          <w:tcPr>
            <w:tcW w:w="2880" w:type="dxa"/>
            <w:tcBorders>
              <w:top w:val="nil"/>
              <w:left w:val="nil"/>
              <w:bottom w:val="nil"/>
              <w:right w:val="nil"/>
            </w:tcBorders>
          </w:tcPr>
          <w:p w14:paraId="620802B3" w14:textId="77777777" w:rsidR="00A80A21" w:rsidRDefault="00A80A21" w:rsidP="00D40FF3">
            <w:pPr>
              <w:jc w:val="center"/>
              <w:rPr>
                <w:rFonts w:ascii="Arial" w:hAnsi="Arial" w:cs="Arial"/>
                <w:b/>
                <w:bCs/>
                <w:i/>
                <w:iCs/>
                <w:sz w:val="20"/>
                <w:szCs w:val="20"/>
              </w:rPr>
            </w:pPr>
          </w:p>
        </w:tc>
        <w:tc>
          <w:tcPr>
            <w:tcW w:w="2520" w:type="dxa"/>
            <w:tcBorders>
              <w:top w:val="nil"/>
              <w:left w:val="nil"/>
              <w:bottom w:val="nil"/>
              <w:right w:val="nil"/>
            </w:tcBorders>
          </w:tcPr>
          <w:p w14:paraId="685C8489" w14:textId="77777777" w:rsidR="00A80A21" w:rsidRDefault="00BC5F10" w:rsidP="00D40FF3">
            <w:pPr>
              <w:jc w:val="center"/>
              <w:rPr>
                <w:rFonts w:ascii="Arial" w:hAnsi="Arial" w:cs="Arial"/>
                <w:sz w:val="20"/>
                <w:szCs w:val="20"/>
              </w:rPr>
            </w:pPr>
            <w:r>
              <w:rPr>
                <w:rFonts w:ascii="Arial" w:hAnsi="Arial" w:cs="Arial"/>
                <w:sz w:val="20"/>
                <w:szCs w:val="20"/>
              </w:rPr>
              <w:t>500</w:t>
            </w:r>
          </w:p>
        </w:tc>
        <w:tc>
          <w:tcPr>
            <w:tcW w:w="1386" w:type="dxa"/>
            <w:tcBorders>
              <w:top w:val="nil"/>
              <w:left w:val="nil"/>
              <w:bottom w:val="nil"/>
              <w:right w:val="nil"/>
            </w:tcBorders>
          </w:tcPr>
          <w:p w14:paraId="4055711C" w14:textId="77777777" w:rsidR="00A80A21" w:rsidRDefault="00BC5F10" w:rsidP="00D40FF3">
            <w:pPr>
              <w:jc w:val="center"/>
              <w:rPr>
                <w:rFonts w:ascii="Arial" w:hAnsi="Arial" w:cs="Arial"/>
                <w:sz w:val="20"/>
                <w:szCs w:val="20"/>
              </w:rPr>
            </w:pPr>
            <w:r>
              <w:rPr>
                <w:rFonts w:ascii="Arial" w:hAnsi="Arial" w:cs="Arial"/>
                <w:sz w:val="20"/>
                <w:szCs w:val="20"/>
              </w:rPr>
              <w:t>0.553</w:t>
            </w:r>
          </w:p>
        </w:tc>
        <w:tc>
          <w:tcPr>
            <w:tcW w:w="2240" w:type="dxa"/>
            <w:tcBorders>
              <w:top w:val="nil"/>
              <w:left w:val="nil"/>
              <w:bottom w:val="nil"/>
              <w:right w:val="nil"/>
            </w:tcBorders>
          </w:tcPr>
          <w:p w14:paraId="28E103E2" w14:textId="77777777" w:rsidR="00A80A21" w:rsidRDefault="00BC5F10" w:rsidP="00D40FF3">
            <w:pPr>
              <w:jc w:val="center"/>
              <w:rPr>
                <w:rFonts w:ascii="Arial" w:hAnsi="Arial" w:cs="Arial"/>
                <w:sz w:val="20"/>
                <w:szCs w:val="20"/>
              </w:rPr>
            </w:pPr>
            <w:r>
              <w:rPr>
                <w:rFonts w:ascii="Arial" w:hAnsi="Arial" w:cs="Arial"/>
                <w:sz w:val="20"/>
                <w:szCs w:val="20"/>
              </w:rPr>
              <w:t>40.15</w:t>
            </w:r>
          </w:p>
        </w:tc>
      </w:tr>
      <w:tr w:rsidR="00A80A21" w14:paraId="5BD43DFB" w14:textId="77777777">
        <w:tc>
          <w:tcPr>
            <w:tcW w:w="2880" w:type="dxa"/>
            <w:tcBorders>
              <w:top w:val="nil"/>
              <w:left w:val="nil"/>
              <w:bottom w:val="nil"/>
              <w:right w:val="nil"/>
            </w:tcBorders>
          </w:tcPr>
          <w:p w14:paraId="5CB4C210" w14:textId="77777777" w:rsidR="00A80A21" w:rsidRDefault="00A80A21" w:rsidP="00D40FF3">
            <w:pPr>
              <w:jc w:val="center"/>
              <w:rPr>
                <w:rFonts w:ascii="Arial" w:hAnsi="Arial" w:cs="Arial"/>
                <w:b/>
                <w:bCs/>
                <w:i/>
                <w:iCs/>
                <w:sz w:val="20"/>
                <w:szCs w:val="20"/>
              </w:rPr>
            </w:pPr>
          </w:p>
        </w:tc>
        <w:tc>
          <w:tcPr>
            <w:tcW w:w="2520" w:type="dxa"/>
            <w:tcBorders>
              <w:top w:val="nil"/>
              <w:left w:val="nil"/>
              <w:bottom w:val="nil"/>
              <w:right w:val="nil"/>
            </w:tcBorders>
          </w:tcPr>
          <w:p w14:paraId="1D85B77B" w14:textId="77777777" w:rsidR="00A80A21" w:rsidRDefault="00BC5F10" w:rsidP="00D40FF3">
            <w:pPr>
              <w:jc w:val="center"/>
              <w:rPr>
                <w:rFonts w:ascii="Arial" w:hAnsi="Arial" w:cs="Arial"/>
                <w:sz w:val="20"/>
                <w:szCs w:val="20"/>
              </w:rPr>
            </w:pPr>
            <w:r>
              <w:rPr>
                <w:rFonts w:ascii="Arial" w:hAnsi="Arial" w:cs="Arial"/>
                <w:sz w:val="20"/>
                <w:szCs w:val="20"/>
              </w:rPr>
              <w:t>750</w:t>
            </w:r>
          </w:p>
        </w:tc>
        <w:tc>
          <w:tcPr>
            <w:tcW w:w="1386" w:type="dxa"/>
            <w:tcBorders>
              <w:top w:val="nil"/>
              <w:left w:val="nil"/>
              <w:bottom w:val="nil"/>
              <w:right w:val="nil"/>
            </w:tcBorders>
          </w:tcPr>
          <w:p w14:paraId="2DDCB117" w14:textId="77777777" w:rsidR="00A80A21" w:rsidRDefault="00BC5F10" w:rsidP="00D40FF3">
            <w:pPr>
              <w:jc w:val="center"/>
              <w:rPr>
                <w:rFonts w:ascii="Arial" w:hAnsi="Arial" w:cs="Arial"/>
                <w:sz w:val="20"/>
                <w:szCs w:val="20"/>
              </w:rPr>
            </w:pPr>
            <w:r>
              <w:rPr>
                <w:rFonts w:ascii="Arial" w:hAnsi="Arial" w:cs="Arial"/>
                <w:sz w:val="20"/>
                <w:szCs w:val="20"/>
              </w:rPr>
              <w:t>0.419</w:t>
            </w:r>
          </w:p>
        </w:tc>
        <w:tc>
          <w:tcPr>
            <w:tcW w:w="2240" w:type="dxa"/>
            <w:tcBorders>
              <w:top w:val="nil"/>
              <w:left w:val="nil"/>
              <w:bottom w:val="nil"/>
              <w:right w:val="nil"/>
            </w:tcBorders>
          </w:tcPr>
          <w:p w14:paraId="06829D2B" w14:textId="77777777" w:rsidR="00A80A21" w:rsidRDefault="00BC5F10" w:rsidP="00D40FF3">
            <w:pPr>
              <w:jc w:val="center"/>
              <w:rPr>
                <w:rFonts w:ascii="Arial" w:hAnsi="Arial" w:cs="Arial"/>
                <w:sz w:val="20"/>
                <w:szCs w:val="20"/>
              </w:rPr>
            </w:pPr>
            <w:r>
              <w:rPr>
                <w:rFonts w:ascii="Arial" w:hAnsi="Arial" w:cs="Arial"/>
                <w:sz w:val="20"/>
                <w:szCs w:val="20"/>
              </w:rPr>
              <w:t>54.65</w:t>
            </w:r>
          </w:p>
        </w:tc>
      </w:tr>
      <w:tr w:rsidR="00A80A21" w14:paraId="4398D035" w14:textId="77777777">
        <w:trPr>
          <w:trHeight w:val="495"/>
        </w:trPr>
        <w:tc>
          <w:tcPr>
            <w:tcW w:w="2880" w:type="dxa"/>
            <w:tcBorders>
              <w:top w:val="nil"/>
              <w:left w:val="nil"/>
              <w:bottom w:val="single" w:sz="4" w:space="0" w:color="auto"/>
              <w:right w:val="nil"/>
            </w:tcBorders>
          </w:tcPr>
          <w:p w14:paraId="785AAB55" w14:textId="77777777" w:rsidR="00A80A21" w:rsidRDefault="00A80A21" w:rsidP="00D40FF3">
            <w:pPr>
              <w:jc w:val="center"/>
              <w:rPr>
                <w:rFonts w:ascii="Arial" w:hAnsi="Arial" w:cs="Arial"/>
                <w:b/>
                <w:bCs/>
                <w:i/>
                <w:iCs/>
                <w:sz w:val="20"/>
                <w:szCs w:val="20"/>
              </w:rPr>
            </w:pPr>
          </w:p>
        </w:tc>
        <w:tc>
          <w:tcPr>
            <w:tcW w:w="2520" w:type="dxa"/>
            <w:tcBorders>
              <w:top w:val="nil"/>
              <w:left w:val="nil"/>
              <w:bottom w:val="single" w:sz="4" w:space="0" w:color="auto"/>
              <w:right w:val="nil"/>
            </w:tcBorders>
          </w:tcPr>
          <w:p w14:paraId="496BE453" w14:textId="77777777" w:rsidR="00A80A21" w:rsidRDefault="00BC5F10" w:rsidP="00D40FF3">
            <w:pPr>
              <w:jc w:val="center"/>
              <w:rPr>
                <w:rFonts w:ascii="Arial" w:hAnsi="Arial" w:cs="Arial"/>
                <w:sz w:val="20"/>
                <w:szCs w:val="20"/>
              </w:rPr>
            </w:pPr>
            <w:r>
              <w:rPr>
                <w:rFonts w:ascii="Arial" w:hAnsi="Arial" w:cs="Arial"/>
                <w:sz w:val="20"/>
                <w:szCs w:val="20"/>
              </w:rPr>
              <w:t>1000</w:t>
            </w:r>
          </w:p>
        </w:tc>
        <w:tc>
          <w:tcPr>
            <w:tcW w:w="1386" w:type="dxa"/>
            <w:tcBorders>
              <w:top w:val="nil"/>
              <w:left w:val="nil"/>
              <w:bottom w:val="single" w:sz="4" w:space="0" w:color="auto"/>
              <w:right w:val="nil"/>
            </w:tcBorders>
          </w:tcPr>
          <w:p w14:paraId="4B231526" w14:textId="77777777" w:rsidR="00A80A21" w:rsidRDefault="00BC5F10" w:rsidP="00D40FF3">
            <w:pPr>
              <w:jc w:val="center"/>
              <w:rPr>
                <w:rFonts w:ascii="Arial" w:hAnsi="Arial" w:cs="Arial"/>
                <w:sz w:val="20"/>
                <w:szCs w:val="20"/>
              </w:rPr>
            </w:pPr>
            <w:r>
              <w:rPr>
                <w:rFonts w:ascii="Arial" w:hAnsi="Arial" w:cs="Arial"/>
                <w:sz w:val="20"/>
                <w:szCs w:val="20"/>
              </w:rPr>
              <w:t>0.328</w:t>
            </w:r>
          </w:p>
        </w:tc>
        <w:tc>
          <w:tcPr>
            <w:tcW w:w="2240" w:type="dxa"/>
            <w:tcBorders>
              <w:top w:val="nil"/>
              <w:left w:val="nil"/>
              <w:bottom w:val="single" w:sz="4" w:space="0" w:color="auto"/>
              <w:right w:val="nil"/>
            </w:tcBorders>
          </w:tcPr>
          <w:p w14:paraId="1BEF3A35" w14:textId="77777777" w:rsidR="00A80A21" w:rsidRDefault="00BC5F10" w:rsidP="00D40FF3">
            <w:pPr>
              <w:jc w:val="center"/>
              <w:rPr>
                <w:rFonts w:ascii="Arial" w:hAnsi="Arial" w:cs="Arial"/>
                <w:sz w:val="20"/>
                <w:szCs w:val="20"/>
              </w:rPr>
            </w:pPr>
            <w:r>
              <w:rPr>
                <w:rFonts w:ascii="Arial" w:hAnsi="Arial" w:cs="Arial"/>
                <w:sz w:val="20"/>
                <w:szCs w:val="20"/>
              </w:rPr>
              <w:t>64.50</w:t>
            </w:r>
          </w:p>
        </w:tc>
      </w:tr>
    </w:tbl>
    <w:p w14:paraId="587849A2" w14:textId="77777777" w:rsidR="00A80A21" w:rsidRDefault="00A80A21">
      <w:pPr>
        <w:keepNext/>
        <w:jc w:val="both"/>
        <w:rPr>
          <w:rFonts w:ascii="Arial" w:hAnsi="Arial" w:cs="Arial"/>
          <w:sz w:val="20"/>
          <w:szCs w:val="20"/>
        </w:rPr>
      </w:pPr>
    </w:p>
    <w:p w14:paraId="19ADB787" w14:textId="77777777" w:rsidR="00A80A21" w:rsidRDefault="00BC5F10">
      <w:pPr>
        <w:keepNext/>
        <w:jc w:val="both"/>
        <w:rPr>
          <w:rFonts w:ascii="Arial" w:hAnsi="Arial" w:cs="Arial"/>
          <w:sz w:val="20"/>
          <w:szCs w:val="20"/>
        </w:rPr>
      </w:pPr>
      <w:r>
        <w:rPr>
          <w:rFonts w:ascii="Arial" w:hAnsi="Arial" w:cs="Arial"/>
          <w:noProof/>
          <w:sz w:val="20"/>
          <w:szCs w:val="20"/>
        </w:rPr>
        <w:drawing>
          <wp:inline distT="0" distB="0" distL="0" distR="0" wp14:anchorId="7410A468" wp14:editId="3D8032AD">
            <wp:extent cx="5791200" cy="2819400"/>
            <wp:effectExtent l="0" t="0" r="0" b="0"/>
            <wp:docPr id="114313409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8666A32" w14:textId="49F92BE7" w:rsidR="00A80A21" w:rsidRPr="009B64BE" w:rsidRDefault="00BC5F10">
      <w:pPr>
        <w:pStyle w:val="Caption"/>
        <w:jc w:val="both"/>
      </w:pPr>
      <w:r w:rsidRPr="009B64BE">
        <w:t xml:space="preserve">Figure </w:t>
      </w:r>
      <w:r w:rsidR="009B64BE">
        <w:t>3</w:t>
      </w:r>
      <w:r w:rsidRPr="009B64BE">
        <w:t xml:space="preserve"> </w:t>
      </w:r>
      <w:r w:rsidR="00612F42">
        <w:t>T</w:t>
      </w:r>
      <w:r w:rsidRPr="009B64BE">
        <w:t xml:space="preserve">he </w:t>
      </w:r>
      <w:r w:rsidRPr="009B64BE">
        <w:t>inflammation inhibition of E. Elephantina compared to the existing anti-inflammatory drug, Diclofenac</w:t>
      </w:r>
    </w:p>
    <w:p w14:paraId="4C04C3D3" w14:textId="77777777" w:rsidR="00A80A21" w:rsidRDefault="00BC5F10">
      <w:pPr>
        <w:pStyle w:val="Heading2"/>
        <w:jc w:val="both"/>
        <w:rPr>
          <w:rFonts w:cs="Arial"/>
          <w:sz w:val="20"/>
          <w:szCs w:val="20"/>
        </w:rPr>
      </w:pPr>
      <w:r>
        <w:rPr>
          <w:rFonts w:cs="Arial"/>
          <w:sz w:val="20"/>
          <w:szCs w:val="20"/>
        </w:rPr>
        <w:t>Evaluation of antibacterial activity</w:t>
      </w:r>
    </w:p>
    <w:p w14:paraId="6DD95050" w14:textId="77777777" w:rsidR="00A80A21" w:rsidRDefault="00A80A21" w:rsidP="005F65D6">
      <w:pPr>
        <w:spacing w:line="276" w:lineRule="auto"/>
        <w:jc w:val="both"/>
        <w:rPr>
          <w:rFonts w:ascii="Arial" w:hAnsi="Arial" w:cs="Arial"/>
          <w:i/>
          <w:iCs/>
          <w:sz w:val="20"/>
          <w:szCs w:val="20"/>
        </w:rPr>
      </w:pPr>
    </w:p>
    <w:p w14:paraId="6243986A" w14:textId="1569D03D" w:rsidR="005F65D6" w:rsidRDefault="00BC5F10" w:rsidP="005F65D6">
      <w:pPr>
        <w:spacing w:line="276" w:lineRule="auto"/>
        <w:jc w:val="both"/>
        <w:rPr>
          <w:rFonts w:ascii="Arial" w:hAnsi="Arial" w:cs="Arial"/>
          <w:color w:val="000000"/>
          <w:sz w:val="20"/>
          <w:szCs w:val="20"/>
        </w:rPr>
      </w:pPr>
      <w:r>
        <w:rPr>
          <w:rFonts w:ascii="Arial" w:hAnsi="Arial" w:cs="Arial"/>
          <w:sz w:val="20"/>
          <w:szCs w:val="20"/>
          <w:lang w:val="en-US"/>
        </w:rPr>
        <w:t xml:space="preserve">The results reveal that the </w:t>
      </w:r>
      <w:r>
        <w:rPr>
          <w:rFonts w:ascii="Arial" w:hAnsi="Arial" w:cs="Arial"/>
          <w:i/>
          <w:iCs/>
          <w:sz w:val="20"/>
          <w:szCs w:val="20"/>
          <w:lang w:val="en-US"/>
        </w:rPr>
        <w:t>E. elephantina</w:t>
      </w:r>
      <w:r>
        <w:rPr>
          <w:rFonts w:ascii="Arial" w:hAnsi="Arial" w:cs="Arial"/>
          <w:sz w:val="20"/>
          <w:szCs w:val="20"/>
          <w:lang w:val="en-US"/>
        </w:rPr>
        <w:t xml:space="preserve"> extract exhibits potent antibacterial activity</w:t>
      </w:r>
      <w:r w:rsidR="00612F42">
        <w:rPr>
          <w:rFonts w:ascii="Arial" w:hAnsi="Arial" w:cs="Arial"/>
          <w:sz w:val="20"/>
          <w:szCs w:val="20"/>
          <w:lang w:val="en-US"/>
        </w:rPr>
        <w:t xml:space="preserve"> (Table 4)</w:t>
      </w:r>
      <w:r>
        <w:rPr>
          <w:rFonts w:ascii="Arial" w:hAnsi="Arial" w:cs="Arial"/>
          <w:sz w:val="20"/>
          <w:szCs w:val="20"/>
          <w:lang w:val="en-US"/>
        </w:rPr>
        <w:t xml:space="preserve">. At a concentration of 100mg/ml, the extract showed 79% inhibition compared to the positive control, ciprofloxacin, indicating its strong antibacterial potential. Furthermore, the 50mg/ml concentration </w:t>
      </w:r>
      <w:r>
        <w:rPr>
          <w:rFonts w:ascii="Arial" w:hAnsi="Arial" w:cs="Arial"/>
          <w:sz w:val="20"/>
          <w:szCs w:val="20"/>
          <w:lang w:val="en-US"/>
        </w:rPr>
        <w:lastRenderedPageBreak/>
        <w:t xml:space="preserve">retained 50% inhibition, suggesting a dose-dependent </w:t>
      </w:r>
      <w:r>
        <w:rPr>
          <w:rFonts w:ascii="Arial" w:hAnsi="Arial" w:cs="Arial"/>
          <w:sz w:val="20"/>
          <w:szCs w:val="20"/>
          <w:lang w:val="en-US"/>
        </w:rPr>
        <w:t>effect</w:t>
      </w:r>
      <w:r w:rsidR="00612F42">
        <w:rPr>
          <w:rFonts w:ascii="Arial" w:hAnsi="Arial" w:cs="Arial"/>
          <w:sz w:val="20"/>
          <w:szCs w:val="20"/>
          <w:lang w:val="en-US"/>
        </w:rPr>
        <w:t xml:space="preserve"> (Figure 4,5)</w:t>
      </w:r>
      <w:r>
        <w:rPr>
          <w:rFonts w:ascii="Arial" w:hAnsi="Arial" w:cs="Arial"/>
          <w:sz w:val="20"/>
          <w:szCs w:val="20"/>
          <w:lang w:val="en-US"/>
        </w:rPr>
        <w:t xml:space="preserve">. Concentrations below 50mg/ml exhibited reduced activity. The negative control, distilled water, confirms the absence of false-positive results. These findings suggest that </w:t>
      </w:r>
      <w:r>
        <w:rPr>
          <w:rFonts w:ascii="Arial" w:hAnsi="Arial" w:cs="Arial"/>
          <w:i/>
          <w:iCs/>
          <w:sz w:val="20"/>
          <w:szCs w:val="20"/>
          <w:lang w:val="en-US"/>
        </w:rPr>
        <w:t>E. elephantina</w:t>
      </w:r>
      <w:r>
        <w:rPr>
          <w:rFonts w:ascii="Arial" w:hAnsi="Arial" w:cs="Arial"/>
          <w:sz w:val="20"/>
          <w:szCs w:val="20"/>
          <w:lang w:val="en-US"/>
        </w:rPr>
        <w:t xml:space="preserve"> could be a valuable therapeutic option for manag</w:t>
      </w:r>
      <w:r>
        <w:rPr>
          <w:rFonts w:ascii="Arial" w:hAnsi="Arial" w:cs="Arial"/>
          <w:sz w:val="20"/>
          <w:szCs w:val="20"/>
          <w:lang w:val="en-US"/>
        </w:rPr>
        <w:t xml:space="preserve">ing bacterial infections associated with pancreatic insufficiency, given it demonstrated antibacterial potency. The study corroborates the antibacterial properties of </w:t>
      </w:r>
      <w:r>
        <w:rPr>
          <w:rFonts w:ascii="Arial" w:hAnsi="Arial" w:cs="Arial"/>
          <w:i/>
          <w:iCs/>
          <w:sz w:val="20"/>
          <w:szCs w:val="20"/>
          <w:lang w:val="en-US"/>
        </w:rPr>
        <w:t>E. elephantina</w:t>
      </w:r>
      <w:r>
        <w:rPr>
          <w:rFonts w:ascii="Arial" w:hAnsi="Arial" w:cs="Arial"/>
          <w:sz w:val="20"/>
          <w:szCs w:val="20"/>
          <w:lang w:val="en-US"/>
        </w:rPr>
        <w:t xml:space="preserve"> reported in the literature</w:t>
      </w:r>
      <w:r w:rsidR="005F65D6">
        <w:rPr>
          <w:rFonts w:ascii="Arial" w:hAnsi="Arial" w:cs="Arial"/>
          <w:sz w:val="20"/>
          <w:szCs w:val="20"/>
          <w:vertAlign w:val="superscript"/>
          <w:lang w:val="en-US"/>
        </w:rPr>
        <w:t>23</w:t>
      </w:r>
      <w:r>
        <w:rPr>
          <w:rFonts w:ascii="Arial" w:hAnsi="Arial" w:cs="Arial"/>
          <w:sz w:val="20"/>
          <w:szCs w:val="20"/>
          <w:lang w:val="en-US"/>
        </w:rPr>
        <w:t xml:space="preserve">. </w:t>
      </w:r>
      <w:r>
        <w:rPr>
          <w:rFonts w:ascii="Arial" w:hAnsi="Arial" w:cs="Arial"/>
          <w:color w:val="000000"/>
          <w:sz w:val="20"/>
          <w:szCs w:val="20"/>
        </w:rPr>
        <w:t>By inhibiting the growth of pathogenic bacte</w:t>
      </w:r>
      <w:r>
        <w:rPr>
          <w:rFonts w:ascii="Arial" w:hAnsi="Arial" w:cs="Arial"/>
          <w:color w:val="000000"/>
          <w:sz w:val="20"/>
          <w:szCs w:val="20"/>
        </w:rPr>
        <w:t xml:space="preserve">ria, </w:t>
      </w:r>
      <w:r>
        <w:rPr>
          <w:rFonts w:ascii="Arial" w:hAnsi="Arial" w:cs="Arial"/>
          <w:i/>
          <w:iCs/>
          <w:color w:val="000000"/>
          <w:sz w:val="20"/>
          <w:szCs w:val="20"/>
        </w:rPr>
        <w:t>E. coli</w:t>
      </w:r>
      <w:r>
        <w:rPr>
          <w:rFonts w:ascii="Arial" w:hAnsi="Arial" w:cs="Arial"/>
          <w:color w:val="000000"/>
          <w:sz w:val="20"/>
          <w:szCs w:val="20"/>
        </w:rPr>
        <w:t xml:space="preserve">, extracts from </w:t>
      </w:r>
      <w:r>
        <w:rPr>
          <w:rFonts w:ascii="Arial" w:hAnsi="Arial" w:cs="Arial"/>
          <w:i/>
          <w:iCs/>
          <w:color w:val="000000"/>
          <w:sz w:val="20"/>
          <w:szCs w:val="20"/>
        </w:rPr>
        <w:t xml:space="preserve">Elephantorrhiza elephantina </w:t>
      </w:r>
      <w:r>
        <w:rPr>
          <w:rFonts w:ascii="Arial" w:hAnsi="Arial" w:cs="Arial"/>
          <w:color w:val="000000"/>
          <w:sz w:val="20"/>
          <w:szCs w:val="20"/>
        </w:rPr>
        <w:t>could help restore a more balanced gut microbiota, reduce inflammation, and improve nutrient absorption. This effect is especially relevant considering that inflammatory bowel disease is associated wi</w:t>
      </w:r>
      <w:r>
        <w:rPr>
          <w:rFonts w:ascii="Arial" w:hAnsi="Arial" w:cs="Arial"/>
          <w:color w:val="000000"/>
          <w:sz w:val="20"/>
          <w:szCs w:val="20"/>
        </w:rPr>
        <w:t>th a higher risk of developing exocrine pancreatic insufficiency</w:t>
      </w:r>
      <w:r w:rsidR="005F65D6">
        <w:rPr>
          <w:rFonts w:ascii="Arial" w:hAnsi="Arial" w:cs="Arial"/>
          <w:color w:val="000000"/>
          <w:sz w:val="20"/>
          <w:szCs w:val="20"/>
          <w:vertAlign w:val="superscript"/>
        </w:rPr>
        <w:t>4</w:t>
      </w:r>
      <w:r>
        <w:rPr>
          <w:rFonts w:ascii="Arial" w:hAnsi="Arial" w:cs="Arial"/>
          <w:color w:val="000000"/>
          <w:sz w:val="20"/>
          <w:szCs w:val="20"/>
        </w:rPr>
        <w:t xml:space="preserve">. Moreover, the antibacterial activity of </w:t>
      </w:r>
      <w:r>
        <w:rPr>
          <w:rFonts w:ascii="Arial" w:hAnsi="Arial" w:cs="Arial"/>
          <w:i/>
          <w:iCs/>
          <w:color w:val="000000"/>
          <w:sz w:val="20"/>
          <w:szCs w:val="20"/>
        </w:rPr>
        <w:t>Elephantorrhiza elephantina</w:t>
      </w:r>
      <w:r>
        <w:rPr>
          <w:rFonts w:ascii="Arial" w:hAnsi="Arial" w:cs="Arial"/>
          <w:color w:val="000000"/>
          <w:sz w:val="20"/>
          <w:szCs w:val="20"/>
        </w:rPr>
        <w:t xml:space="preserve"> extracts could help prevent or treat bacterial infections, such as those caused by E. coli, in individuals with pancreati</w:t>
      </w:r>
      <w:r>
        <w:rPr>
          <w:rFonts w:ascii="Arial" w:hAnsi="Arial" w:cs="Arial"/>
          <w:color w:val="000000"/>
          <w:sz w:val="20"/>
          <w:szCs w:val="20"/>
        </w:rPr>
        <w:t xml:space="preserve">c insufficiency, reducing the risk of complications such as sepsis and pneumonia. </w:t>
      </w:r>
    </w:p>
    <w:p w14:paraId="4D449166" w14:textId="77777777" w:rsidR="009B64BE" w:rsidRDefault="009B64BE" w:rsidP="005F65D6">
      <w:pPr>
        <w:spacing w:line="276" w:lineRule="auto"/>
        <w:jc w:val="both"/>
        <w:rPr>
          <w:rFonts w:ascii="Arial" w:hAnsi="Arial" w:cs="Arial"/>
          <w:color w:val="000000"/>
          <w:sz w:val="20"/>
          <w:szCs w:val="20"/>
        </w:rPr>
      </w:pPr>
    </w:p>
    <w:p w14:paraId="072C89AE" w14:textId="4C723773" w:rsidR="00A80A21" w:rsidRDefault="009B64BE">
      <w:pPr>
        <w:jc w:val="both"/>
        <w:rPr>
          <w:rFonts w:ascii="Arial" w:hAnsi="Arial" w:cs="Arial"/>
          <w:sz w:val="20"/>
          <w:szCs w:val="20"/>
        </w:rPr>
      </w:pPr>
      <w:r>
        <w:rPr>
          <w:rFonts w:ascii="Arial" w:hAnsi="Arial" w:cs="Arial"/>
          <w:sz w:val="20"/>
          <w:szCs w:val="20"/>
        </w:rPr>
        <w:t xml:space="preserve">          </w:t>
      </w:r>
      <w:r>
        <w:rPr>
          <w:noProof/>
        </w:rPr>
        <w:drawing>
          <wp:inline distT="0" distB="0" distL="0" distR="0" wp14:anchorId="7A24EB4A" wp14:editId="556F1BC8">
            <wp:extent cx="4549140" cy="2377440"/>
            <wp:effectExtent l="0" t="0" r="3810" b="3810"/>
            <wp:docPr id="47457524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745F175" w14:textId="6818E76E" w:rsidR="009B64BE" w:rsidRDefault="009B64BE" w:rsidP="009B64BE">
      <w:pPr>
        <w:pStyle w:val="Caption"/>
        <w:rPr>
          <w:rFonts w:ascii="Arial" w:hAnsi="Arial" w:cs="Arial"/>
          <w:sz w:val="20"/>
          <w:szCs w:val="20"/>
        </w:rPr>
      </w:pPr>
      <w:r>
        <w:t xml:space="preserve">Figure </w:t>
      </w:r>
      <w:r w:rsidR="00612F42">
        <w:t>4</w:t>
      </w:r>
      <w:r>
        <w:t xml:space="preserve"> Zones of inhibition diameters with respect to </w:t>
      </w:r>
      <w:r w:rsidR="00612F42">
        <w:t>concentration</w:t>
      </w:r>
    </w:p>
    <w:p w14:paraId="19E35B0A" w14:textId="77777777" w:rsidR="009B64BE" w:rsidRDefault="009B64BE">
      <w:pPr>
        <w:jc w:val="both"/>
        <w:rPr>
          <w:rFonts w:ascii="Arial" w:hAnsi="Arial" w:cs="Arial"/>
          <w:sz w:val="20"/>
          <w:szCs w:val="20"/>
        </w:rPr>
      </w:pPr>
    </w:p>
    <w:p w14:paraId="73A99183" w14:textId="2FE9E935" w:rsidR="00A80A21" w:rsidRDefault="00BC5F10" w:rsidP="00612F42">
      <w:pPr>
        <w:pStyle w:val="Heading2"/>
        <w:numPr>
          <w:ilvl w:val="0"/>
          <w:numId w:val="0"/>
        </w:numPr>
        <w:ind w:left="576" w:hanging="576"/>
        <w:jc w:val="both"/>
        <w:rPr>
          <w:rFonts w:ascii="Times New Roman" w:eastAsia="Times New Roman" w:hAnsi="Times New Roman" w:cs="Times New Roman"/>
          <w:b w:val="0"/>
          <w:i/>
          <w:iCs/>
          <w:color w:val="44546A"/>
          <w:sz w:val="18"/>
          <w:szCs w:val="18"/>
        </w:rPr>
      </w:pPr>
      <w:r w:rsidRPr="00612F42">
        <w:rPr>
          <w:rFonts w:ascii="Times New Roman" w:eastAsia="Times New Roman" w:hAnsi="Times New Roman" w:cs="Times New Roman"/>
          <w:b w:val="0"/>
          <w:i/>
          <w:iCs/>
          <w:color w:val="44546A"/>
          <w:sz w:val="18"/>
          <w:szCs w:val="18"/>
        </w:rPr>
        <w:t>Table 4. Antibacterial activity of E. Elephantina (well diffusion method)</w:t>
      </w:r>
    </w:p>
    <w:p w14:paraId="266B261C" w14:textId="77777777" w:rsidR="00612F42" w:rsidRPr="00612F42" w:rsidRDefault="00612F42" w:rsidP="00612F42"/>
    <w:tbl>
      <w:tblPr>
        <w:tblStyle w:val="TableGrid"/>
        <w:tblW w:w="9321" w:type="dxa"/>
        <w:tblLook w:val="04A0" w:firstRow="1" w:lastRow="0" w:firstColumn="1" w:lastColumn="0" w:noHBand="0" w:noVBand="1"/>
      </w:tblPr>
      <w:tblGrid>
        <w:gridCol w:w="1985"/>
        <w:gridCol w:w="1701"/>
        <w:gridCol w:w="1843"/>
        <w:gridCol w:w="1701"/>
        <w:gridCol w:w="2091"/>
      </w:tblGrid>
      <w:tr w:rsidR="00A80A21" w14:paraId="2769BAE7" w14:textId="77777777">
        <w:trPr>
          <w:trHeight w:val="395"/>
        </w:trPr>
        <w:tc>
          <w:tcPr>
            <w:tcW w:w="1985" w:type="dxa"/>
            <w:tcBorders>
              <w:left w:val="nil"/>
              <w:bottom w:val="single" w:sz="4" w:space="0" w:color="auto"/>
              <w:right w:val="nil"/>
            </w:tcBorders>
          </w:tcPr>
          <w:p w14:paraId="4B4044D4" w14:textId="77777777" w:rsidR="00A80A21" w:rsidRDefault="00A80A21" w:rsidP="00D40FF3">
            <w:pPr>
              <w:jc w:val="center"/>
              <w:rPr>
                <w:rFonts w:ascii="Arial" w:hAnsi="Arial" w:cs="Arial"/>
                <w:b/>
                <w:bCs/>
                <w:sz w:val="20"/>
                <w:szCs w:val="20"/>
              </w:rPr>
            </w:pPr>
          </w:p>
        </w:tc>
        <w:tc>
          <w:tcPr>
            <w:tcW w:w="1701" w:type="dxa"/>
            <w:tcBorders>
              <w:left w:val="nil"/>
              <w:bottom w:val="single" w:sz="4" w:space="0" w:color="auto"/>
              <w:right w:val="nil"/>
            </w:tcBorders>
          </w:tcPr>
          <w:p w14:paraId="7B9D44C4" w14:textId="77777777" w:rsidR="00A80A21" w:rsidRDefault="00BC5F10" w:rsidP="00D40FF3">
            <w:pPr>
              <w:jc w:val="center"/>
              <w:rPr>
                <w:rFonts w:ascii="Arial" w:hAnsi="Arial" w:cs="Arial"/>
                <w:b/>
                <w:bCs/>
                <w:sz w:val="20"/>
                <w:szCs w:val="20"/>
              </w:rPr>
            </w:pPr>
            <w:r>
              <w:rPr>
                <w:rFonts w:ascii="Arial" w:hAnsi="Arial" w:cs="Arial"/>
                <w:b/>
                <w:bCs/>
                <w:sz w:val="20"/>
                <w:szCs w:val="20"/>
              </w:rPr>
              <w:t xml:space="preserve">Concentration </w:t>
            </w:r>
            <w:r>
              <w:rPr>
                <w:rFonts w:ascii="Arial" w:hAnsi="Arial" w:cs="Arial"/>
                <w:b/>
                <w:bCs/>
                <w:sz w:val="20"/>
                <w:szCs w:val="20"/>
              </w:rPr>
              <w:t>(mg/ml)</w:t>
            </w:r>
          </w:p>
        </w:tc>
        <w:tc>
          <w:tcPr>
            <w:tcW w:w="1843" w:type="dxa"/>
            <w:tcBorders>
              <w:left w:val="nil"/>
              <w:bottom w:val="single" w:sz="4" w:space="0" w:color="auto"/>
              <w:right w:val="nil"/>
            </w:tcBorders>
          </w:tcPr>
          <w:p w14:paraId="5B64058B" w14:textId="77777777" w:rsidR="00A80A21" w:rsidRDefault="00BC5F10" w:rsidP="00D40FF3">
            <w:pPr>
              <w:jc w:val="center"/>
              <w:rPr>
                <w:rFonts w:ascii="Arial" w:hAnsi="Arial" w:cs="Arial"/>
                <w:b/>
                <w:bCs/>
                <w:sz w:val="20"/>
                <w:szCs w:val="20"/>
              </w:rPr>
            </w:pPr>
            <w:r>
              <w:rPr>
                <w:rFonts w:ascii="Arial" w:hAnsi="Arial" w:cs="Arial"/>
                <w:b/>
                <w:bCs/>
                <w:sz w:val="20"/>
                <w:szCs w:val="20"/>
              </w:rPr>
              <w:t>Measured ZOI (mm)</w:t>
            </w:r>
          </w:p>
        </w:tc>
        <w:tc>
          <w:tcPr>
            <w:tcW w:w="1701" w:type="dxa"/>
            <w:tcBorders>
              <w:left w:val="nil"/>
              <w:bottom w:val="single" w:sz="4" w:space="0" w:color="auto"/>
              <w:right w:val="nil"/>
            </w:tcBorders>
          </w:tcPr>
          <w:p w14:paraId="27358688" w14:textId="77777777" w:rsidR="00A80A21" w:rsidRDefault="00BC5F10" w:rsidP="00D40FF3">
            <w:pPr>
              <w:jc w:val="center"/>
              <w:rPr>
                <w:rFonts w:ascii="Arial" w:hAnsi="Arial" w:cs="Arial"/>
                <w:b/>
                <w:bCs/>
                <w:sz w:val="20"/>
                <w:szCs w:val="20"/>
              </w:rPr>
            </w:pPr>
            <w:r>
              <w:rPr>
                <w:rFonts w:ascii="Arial" w:hAnsi="Arial" w:cs="Arial"/>
                <w:b/>
                <w:bCs/>
                <w:sz w:val="20"/>
                <w:szCs w:val="20"/>
              </w:rPr>
              <w:t>Corrected ZOI</w:t>
            </w:r>
          </w:p>
        </w:tc>
        <w:tc>
          <w:tcPr>
            <w:tcW w:w="2091" w:type="dxa"/>
            <w:tcBorders>
              <w:left w:val="nil"/>
              <w:bottom w:val="single" w:sz="4" w:space="0" w:color="auto"/>
              <w:right w:val="nil"/>
            </w:tcBorders>
          </w:tcPr>
          <w:p w14:paraId="4B76CB80" w14:textId="77777777" w:rsidR="00A80A21" w:rsidRDefault="00BC5F10" w:rsidP="00D40FF3">
            <w:pPr>
              <w:jc w:val="center"/>
              <w:rPr>
                <w:rFonts w:ascii="Arial" w:hAnsi="Arial" w:cs="Arial"/>
                <w:b/>
                <w:bCs/>
                <w:sz w:val="20"/>
                <w:szCs w:val="20"/>
              </w:rPr>
            </w:pPr>
            <w:r>
              <w:rPr>
                <w:rFonts w:ascii="Arial" w:hAnsi="Arial" w:cs="Arial"/>
                <w:b/>
                <w:bCs/>
                <w:sz w:val="20"/>
                <w:szCs w:val="20"/>
              </w:rPr>
              <w:t>% Inhibition relative to Ciprofloxacin</w:t>
            </w:r>
          </w:p>
        </w:tc>
      </w:tr>
      <w:tr w:rsidR="00A80A21" w14:paraId="0BDF75FA" w14:textId="77777777">
        <w:tc>
          <w:tcPr>
            <w:tcW w:w="1985" w:type="dxa"/>
            <w:tcBorders>
              <w:top w:val="nil"/>
              <w:left w:val="nil"/>
              <w:bottom w:val="nil"/>
              <w:right w:val="nil"/>
            </w:tcBorders>
          </w:tcPr>
          <w:p w14:paraId="1E33FBBF" w14:textId="77777777" w:rsidR="00A80A21" w:rsidRDefault="00BC5F10" w:rsidP="00D40FF3">
            <w:pPr>
              <w:jc w:val="center"/>
              <w:rPr>
                <w:rFonts w:ascii="Arial" w:hAnsi="Arial" w:cs="Arial"/>
                <w:b/>
                <w:bCs/>
                <w:sz w:val="18"/>
                <w:szCs w:val="18"/>
              </w:rPr>
            </w:pPr>
            <w:r>
              <w:rPr>
                <w:rFonts w:ascii="Arial" w:hAnsi="Arial" w:cs="Arial"/>
                <w:b/>
                <w:bCs/>
                <w:sz w:val="18"/>
                <w:szCs w:val="18"/>
              </w:rPr>
              <w:t>Positive control</w:t>
            </w:r>
          </w:p>
        </w:tc>
        <w:tc>
          <w:tcPr>
            <w:tcW w:w="1701" w:type="dxa"/>
            <w:tcBorders>
              <w:top w:val="nil"/>
              <w:left w:val="nil"/>
              <w:bottom w:val="nil"/>
              <w:right w:val="nil"/>
            </w:tcBorders>
          </w:tcPr>
          <w:p w14:paraId="4B4DA155" w14:textId="77777777" w:rsidR="00A80A21" w:rsidRDefault="00A80A21" w:rsidP="00D40FF3">
            <w:pPr>
              <w:jc w:val="center"/>
              <w:rPr>
                <w:rFonts w:ascii="Arial" w:hAnsi="Arial" w:cs="Arial"/>
                <w:sz w:val="18"/>
                <w:szCs w:val="18"/>
              </w:rPr>
            </w:pPr>
          </w:p>
        </w:tc>
        <w:tc>
          <w:tcPr>
            <w:tcW w:w="1843" w:type="dxa"/>
            <w:tcBorders>
              <w:top w:val="nil"/>
              <w:left w:val="nil"/>
              <w:bottom w:val="nil"/>
              <w:right w:val="nil"/>
            </w:tcBorders>
          </w:tcPr>
          <w:p w14:paraId="7C3316A3" w14:textId="77777777" w:rsidR="00A80A21" w:rsidRDefault="00A80A21" w:rsidP="00D40FF3">
            <w:pPr>
              <w:jc w:val="center"/>
              <w:rPr>
                <w:rFonts w:ascii="Arial" w:hAnsi="Arial" w:cs="Arial"/>
                <w:sz w:val="18"/>
                <w:szCs w:val="18"/>
              </w:rPr>
            </w:pPr>
          </w:p>
        </w:tc>
        <w:tc>
          <w:tcPr>
            <w:tcW w:w="1701" w:type="dxa"/>
            <w:tcBorders>
              <w:top w:val="nil"/>
              <w:left w:val="nil"/>
              <w:bottom w:val="nil"/>
              <w:right w:val="nil"/>
            </w:tcBorders>
          </w:tcPr>
          <w:p w14:paraId="4EF86679" w14:textId="77777777" w:rsidR="00A80A21" w:rsidRDefault="00A80A21" w:rsidP="00D40FF3">
            <w:pPr>
              <w:jc w:val="center"/>
              <w:rPr>
                <w:rFonts w:ascii="Arial" w:hAnsi="Arial" w:cs="Arial"/>
                <w:sz w:val="18"/>
                <w:szCs w:val="18"/>
              </w:rPr>
            </w:pPr>
          </w:p>
        </w:tc>
        <w:tc>
          <w:tcPr>
            <w:tcW w:w="2091" w:type="dxa"/>
            <w:tcBorders>
              <w:top w:val="nil"/>
              <w:left w:val="nil"/>
              <w:bottom w:val="nil"/>
              <w:right w:val="nil"/>
            </w:tcBorders>
          </w:tcPr>
          <w:p w14:paraId="2A800228" w14:textId="77777777" w:rsidR="00A80A21" w:rsidRDefault="00A80A21" w:rsidP="00D40FF3">
            <w:pPr>
              <w:jc w:val="center"/>
              <w:rPr>
                <w:rFonts w:ascii="Arial" w:hAnsi="Arial" w:cs="Arial"/>
                <w:sz w:val="18"/>
                <w:szCs w:val="18"/>
              </w:rPr>
            </w:pPr>
          </w:p>
        </w:tc>
      </w:tr>
      <w:tr w:rsidR="00A80A21" w14:paraId="033808FD" w14:textId="77777777">
        <w:tc>
          <w:tcPr>
            <w:tcW w:w="1985" w:type="dxa"/>
            <w:tcBorders>
              <w:top w:val="nil"/>
              <w:left w:val="nil"/>
              <w:bottom w:val="nil"/>
              <w:right w:val="nil"/>
            </w:tcBorders>
          </w:tcPr>
          <w:p w14:paraId="16BDA933" w14:textId="77777777" w:rsidR="00A80A21" w:rsidRDefault="00BC5F10" w:rsidP="00D40FF3">
            <w:pPr>
              <w:jc w:val="center"/>
              <w:rPr>
                <w:rFonts w:ascii="Arial" w:hAnsi="Arial" w:cs="Arial"/>
                <w:sz w:val="18"/>
                <w:szCs w:val="18"/>
              </w:rPr>
            </w:pPr>
            <w:r>
              <w:rPr>
                <w:rFonts w:ascii="Arial" w:hAnsi="Arial" w:cs="Arial"/>
                <w:sz w:val="18"/>
                <w:szCs w:val="18"/>
              </w:rPr>
              <w:t>Ciprofloxacin</w:t>
            </w:r>
          </w:p>
        </w:tc>
        <w:tc>
          <w:tcPr>
            <w:tcW w:w="1701" w:type="dxa"/>
            <w:tcBorders>
              <w:top w:val="nil"/>
              <w:left w:val="nil"/>
              <w:bottom w:val="nil"/>
              <w:right w:val="nil"/>
            </w:tcBorders>
          </w:tcPr>
          <w:p w14:paraId="0510D7E8" w14:textId="77777777" w:rsidR="00A80A21" w:rsidRDefault="00BC5F10" w:rsidP="00D40FF3">
            <w:pPr>
              <w:jc w:val="center"/>
              <w:rPr>
                <w:rFonts w:ascii="Arial" w:hAnsi="Arial" w:cs="Arial"/>
                <w:sz w:val="18"/>
                <w:szCs w:val="18"/>
              </w:rPr>
            </w:pPr>
            <w:r>
              <w:rPr>
                <w:rFonts w:ascii="Arial" w:hAnsi="Arial" w:cs="Arial"/>
                <w:sz w:val="18"/>
                <w:szCs w:val="18"/>
              </w:rPr>
              <w:t>100</w:t>
            </w:r>
          </w:p>
        </w:tc>
        <w:tc>
          <w:tcPr>
            <w:tcW w:w="1843" w:type="dxa"/>
            <w:tcBorders>
              <w:top w:val="nil"/>
              <w:left w:val="nil"/>
              <w:bottom w:val="nil"/>
              <w:right w:val="nil"/>
            </w:tcBorders>
          </w:tcPr>
          <w:p w14:paraId="7237929B" w14:textId="77777777" w:rsidR="00A80A21" w:rsidRDefault="00BC5F10" w:rsidP="00D40FF3">
            <w:pPr>
              <w:jc w:val="center"/>
              <w:rPr>
                <w:rFonts w:ascii="Arial" w:hAnsi="Arial" w:cs="Arial"/>
                <w:sz w:val="18"/>
                <w:szCs w:val="18"/>
              </w:rPr>
            </w:pPr>
            <w:r>
              <w:rPr>
                <w:rFonts w:ascii="Arial" w:hAnsi="Arial" w:cs="Arial"/>
                <w:sz w:val="18"/>
                <w:szCs w:val="18"/>
              </w:rPr>
              <w:t>30</w:t>
            </w:r>
          </w:p>
        </w:tc>
        <w:tc>
          <w:tcPr>
            <w:tcW w:w="1701" w:type="dxa"/>
            <w:tcBorders>
              <w:top w:val="nil"/>
              <w:left w:val="nil"/>
              <w:bottom w:val="nil"/>
              <w:right w:val="nil"/>
            </w:tcBorders>
          </w:tcPr>
          <w:p w14:paraId="59002E68" w14:textId="77777777" w:rsidR="00A80A21" w:rsidRDefault="00BC5F10" w:rsidP="00D40FF3">
            <w:pPr>
              <w:jc w:val="center"/>
              <w:rPr>
                <w:rFonts w:ascii="Arial" w:hAnsi="Arial" w:cs="Arial"/>
                <w:sz w:val="18"/>
                <w:szCs w:val="18"/>
              </w:rPr>
            </w:pPr>
            <w:r>
              <w:rPr>
                <w:rFonts w:ascii="Arial" w:hAnsi="Arial" w:cs="Arial"/>
                <w:sz w:val="18"/>
                <w:szCs w:val="18"/>
              </w:rPr>
              <w:t>24</w:t>
            </w:r>
          </w:p>
        </w:tc>
        <w:tc>
          <w:tcPr>
            <w:tcW w:w="2091" w:type="dxa"/>
            <w:tcBorders>
              <w:top w:val="nil"/>
              <w:left w:val="nil"/>
              <w:bottom w:val="nil"/>
              <w:right w:val="nil"/>
            </w:tcBorders>
          </w:tcPr>
          <w:p w14:paraId="77012D69" w14:textId="77777777" w:rsidR="00A80A21" w:rsidRDefault="00BC5F10" w:rsidP="00D40FF3">
            <w:pPr>
              <w:jc w:val="center"/>
              <w:rPr>
                <w:rFonts w:ascii="Arial" w:hAnsi="Arial" w:cs="Arial"/>
                <w:sz w:val="18"/>
                <w:szCs w:val="18"/>
              </w:rPr>
            </w:pPr>
            <w:r>
              <w:rPr>
                <w:rFonts w:ascii="Arial" w:hAnsi="Arial" w:cs="Arial"/>
                <w:sz w:val="18"/>
                <w:szCs w:val="18"/>
              </w:rPr>
              <w:t>-</w:t>
            </w:r>
          </w:p>
        </w:tc>
      </w:tr>
      <w:tr w:rsidR="00A80A21" w14:paraId="41D34884" w14:textId="77777777">
        <w:tc>
          <w:tcPr>
            <w:tcW w:w="1985" w:type="dxa"/>
            <w:tcBorders>
              <w:top w:val="nil"/>
              <w:left w:val="nil"/>
              <w:bottom w:val="nil"/>
              <w:right w:val="nil"/>
            </w:tcBorders>
          </w:tcPr>
          <w:p w14:paraId="17BD7E7F" w14:textId="77777777" w:rsidR="00A80A21" w:rsidRDefault="00A80A21" w:rsidP="00D40FF3">
            <w:pPr>
              <w:jc w:val="center"/>
              <w:rPr>
                <w:rFonts w:ascii="Arial" w:hAnsi="Arial" w:cs="Arial"/>
                <w:b/>
                <w:bCs/>
                <w:sz w:val="18"/>
                <w:szCs w:val="18"/>
              </w:rPr>
            </w:pPr>
          </w:p>
        </w:tc>
        <w:tc>
          <w:tcPr>
            <w:tcW w:w="1701" w:type="dxa"/>
            <w:tcBorders>
              <w:top w:val="nil"/>
              <w:left w:val="nil"/>
              <w:bottom w:val="nil"/>
              <w:right w:val="nil"/>
            </w:tcBorders>
          </w:tcPr>
          <w:p w14:paraId="5BAA8489" w14:textId="77777777" w:rsidR="00A80A21" w:rsidRDefault="00BC5F10" w:rsidP="00D40FF3">
            <w:pPr>
              <w:jc w:val="center"/>
              <w:rPr>
                <w:rFonts w:ascii="Arial" w:hAnsi="Arial" w:cs="Arial"/>
                <w:sz w:val="18"/>
                <w:szCs w:val="18"/>
              </w:rPr>
            </w:pPr>
            <w:r>
              <w:rPr>
                <w:rFonts w:ascii="Arial" w:hAnsi="Arial" w:cs="Arial"/>
                <w:sz w:val="18"/>
                <w:szCs w:val="18"/>
              </w:rPr>
              <w:t>50</w:t>
            </w:r>
          </w:p>
        </w:tc>
        <w:tc>
          <w:tcPr>
            <w:tcW w:w="1843" w:type="dxa"/>
            <w:tcBorders>
              <w:top w:val="nil"/>
              <w:left w:val="nil"/>
              <w:bottom w:val="nil"/>
              <w:right w:val="nil"/>
            </w:tcBorders>
          </w:tcPr>
          <w:p w14:paraId="37AB67AB" w14:textId="77777777" w:rsidR="00A80A21" w:rsidRDefault="00BC5F10" w:rsidP="00D40FF3">
            <w:pPr>
              <w:jc w:val="center"/>
              <w:rPr>
                <w:rFonts w:ascii="Arial" w:hAnsi="Arial" w:cs="Arial"/>
                <w:sz w:val="18"/>
                <w:szCs w:val="18"/>
              </w:rPr>
            </w:pPr>
            <w:r>
              <w:rPr>
                <w:rFonts w:ascii="Arial" w:hAnsi="Arial" w:cs="Arial"/>
                <w:sz w:val="18"/>
                <w:szCs w:val="18"/>
              </w:rPr>
              <w:t>26</w:t>
            </w:r>
          </w:p>
        </w:tc>
        <w:tc>
          <w:tcPr>
            <w:tcW w:w="1701" w:type="dxa"/>
            <w:tcBorders>
              <w:top w:val="nil"/>
              <w:left w:val="nil"/>
              <w:bottom w:val="nil"/>
              <w:right w:val="nil"/>
            </w:tcBorders>
          </w:tcPr>
          <w:p w14:paraId="45B4D42D" w14:textId="77777777" w:rsidR="00A80A21" w:rsidRDefault="00BC5F10" w:rsidP="00D40FF3">
            <w:pPr>
              <w:jc w:val="center"/>
              <w:rPr>
                <w:rFonts w:ascii="Arial" w:hAnsi="Arial" w:cs="Arial"/>
                <w:sz w:val="18"/>
                <w:szCs w:val="18"/>
              </w:rPr>
            </w:pPr>
            <w:r>
              <w:rPr>
                <w:rFonts w:ascii="Arial" w:hAnsi="Arial" w:cs="Arial"/>
                <w:sz w:val="18"/>
                <w:szCs w:val="18"/>
              </w:rPr>
              <w:t>20</w:t>
            </w:r>
          </w:p>
        </w:tc>
        <w:tc>
          <w:tcPr>
            <w:tcW w:w="2091" w:type="dxa"/>
            <w:tcBorders>
              <w:top w:val="nil"/>
              <w:left w:val="nil"/>
              <w:bottom w:val="nil"/>
              <w:right w:val="nil"/>
            </w:tcBorders>
          </w:tcPr>
          <w:p w14:paraId="453CA002" w14:textId="77777777" w:rsidR="00A80A21" w:rsidRDefault="00BC5F10" w:rsidP="00D40FF3">
            <w:pPr>
              <w:jc w:val="center"/>
              <w:rPr>
                <w:rFonts w:ascii="Arial" w:hAnsi="Arial" w:cs="Arial"/>
                <w:sz w:val="18"/>
                <w:szCs w:val="18"/>
              </w:rPr>
            </w:pPr>
            <w:r>
              <w:rPr>
                <w:rFonts w:ascii="Arial" w:hAnsi="Arial" w:cs="Arial"/>
                <w:sz w:val="18"/>
                <w:szCs w:val="18"/>
              </w:rPr>
              <w:t>-</w:t>
            </w:r>
          </w:p>
        </w:tc>
      </w:tr>
      <w:tr w:rsidR="00A80A21" w14:paraId="783E204A" w14:textId="77777777">
        <w:tc>
          <w:tcPr>
            <w:tcW w:w="1985" w:type="dxa"/>
            <w:tcBorders>
              <w:top w:val="nil"/>
              <w:left w:val="nil"/>
              <w:bottom w:val="nil"/>
              <w:right w:val="nil"/>
            </w:tcBorders>
          </w:tcPr>
          <w:p w14:paraId="6191B6FC" w14:textId="77777777" w:rsidR="00A80A21" w:rsidRDefault="00A80A21" w:rsidP="00D40FF3">
            <w:pPr>
              <w:jc w:val="center"/>
              <w:rPr>
                <w:rFonts w:ascii="Arial" w:hAnsi="Arial" w:cs="Arial"/>
                <w:b/>
                <w:bCs/>
                <w:sz w:val="18"/>
                <w:szCs w:val="18"/>
              </w:rPr>
            </w:pPr>
          </w:p>
        </w:tc>
        <w:tc>
          <w:tcPr>
            <w:tcW w:w="1701" w:type="dxa"/>
            <w:tcBorders>
              <w:top w:val="nil"/>
              <w:left w:val="nil"/>
              <w:bottom w:val="nil"/>
              <w:right w:val="nil"/>
            </w:tcBorders>
          </w:tcPr>
          <w:p w14:paraId="2E25C2E1" w14:textId="77777777" w:rsidR="00A80A21" w:rsidRDefault="00BC5F10" w:rsidP="00D40FF3">
            <w:pPr>
              <w:jc w:val="center"/>
              <w:rPr>
                <w:rFonts w:ascii="Arial" w:hAnsi="Arial" w:cs="Arial"/>
                <w:sz w:val="18"/>
                <w:szCs w:val="18"/>
              </w:rPr>
            </w:pPr>
            <w:r>
              <w:rPr>
                <w:rFonts w:ascii="Arial" w:hAnsi="Arial" w:cs="Arial"/>
                <w:sz w:val="18"/>
                <w:szCs w:val="18"/>
              </w:rPr>
              <w:t>25</w:t>
            </w:r>
          </w:p>
        </w:tc>
        <w:tc>
          <w:tcPr>
            <w:tcW w:w="1843" w:type="dxa"/>
            <w:tcBorders>
              <w:top w:val="nil"/>
              <w:left w:val="nil"/>
              <w:bottom w:val="nil"/>
              <w:right w:val="nil"/>
            </w:tcBorders>
          </w:tcPr>
          <w:p w14:paraId="79B209B3" w14:textId="77777777" w:rsidR="00A80A21" w:rsidRDefault="00BC5F10" w:rsidP="00D40FF3">
            <w:pPr>
              <w:jc w:val="center"/>
              <w:rPr>
                <w:rFonts w:ascii="Arial" w:hAnsi="Arial" w:cs="Arial"/>
                <w:sz w:val="18"/>
                <w:szCs w:val="18"/>
              </w:rPr>
            </w:pPr>
            <w:r>
              <w:rPr>
                <w:rFonts w:ascii="Arial" w:hAnsi="Arial" w:cs="Arial"/>
                <w:sz w:val="18"/>
                <w:szCs w:val="18"/>
              </w:rPr>
              <w:t>22</w:t>
            </w:r>
          </w:p>
        </w:tc>
        <w:tc>
          <w:tcPr>
            <w:tcW w:w="1701" w:type="dxa"/>
            <w:tcBorders>
              <w:top w:val="nil"/>
              <w:left w:val="nil"/>
              <w:bottom w:val="nil"/>
              <w:right w:val="nil"/>
            </w:tcBorders>
          </w:tcPr>
          <w:p w14:paraId="3E2B21AC" w14:textId="77777777" w:rsidR="00A80A21" w:rsidRDefault="00BC5F10" w:rsidP="00D40FF3">
            <w:pPr>
              <w:jc w:val="center"/>
              <w:rPr>
                <w:rFonts w:ascii="Arial" w:hAnsi="Arial" w:cs="Arial"/>
                <w:sz w:val="18"/>
                <w:szCs w:val="18"/>
              </w:rPr>
            </w:pPr>
            <w:r>
              <w:rPr>
                <w:rFonts w:ascii="Arial" w:hAnsi="Arial" w:cs="Arial"/>
                <w:sz w:val="18"/>
                <w:szCs w:val="18"/>
              </w:rPr>
              <w:t>16</w:t>
            </w:r>
          </w:p>
        </w:tc>
        <w:tc>
          <w:tcPr>
            <w:tcW w:w="2091" w:type="dxa"/>
            <w:tcBorders>
              <w:top w:val="nil"/>
              <w:left w:val="nil"/>
              <w:bottom w:val="nil"/>
              <w:right w:val="nil"/>
            </w:tcBorders>
          </w:tcPr>
          <w:p w14:paraId="17B790E3" w14:textId="77777777" w:rsidR="00A80A21" w:rsidRDefault="00BC5F10" w:rsidP="00D40FF3">
            <w:pPr>
              <w:jc w:val="center"/>
              <w:rPr>
                <w:rFonts w:ascii="Arial" w:hAnsi="Arial" w:cs="Arial"/>
                <w:sz w:val="18"/>
                <w:szCs w:val="18"/>
              </w:rPr>
            </w:pPr>
            <w:r>
              <w:rPr>
                <w:rFonts w:ascii="Arial" w:hAnsi="Arial" w:cs="Arial"/>
                <w:sz w:val="18"/>
                <w:szCs w:val="18"/>
              </w:rPr>
              <w:t>-</w:t>
            </w:r>
          </w:p>
        </w:tc>
      </w:tr>
      <w:tr w:rsidR="00A80A21" w14:paraId="02F464C9" w14:textId="77777777">
        <w:tc>
          <w:tcPr>
            <w:tcW w:w="1985" w:type="dxa"/>
            <w:tcBorders>
              <w:top w:val="nil"/>
              <w:left w:val="nil"/>
              <w:bottom w:val="nil"/>
              <w:right w:val="nil"/>
            </w:tcBorders>
          </w:tcPr>
          <w:p w14:paraId="0269B032" w14:textId="77777777" w:rsidR="00A80A21" w:rsidRDefault="00A80A21" w:rsidP="00D40FF3">
            <w:pPr>
              <w:jc w:val="center"/>
              <w:rPr>
                <w:rFonts w:ascii="Arial" w:hAnsi="Arial" w:cs="Arial"/>
                <w:b/>
                <w:bCs/>
                <w:sz w:val="18"/>
                <w:szCs w:val="18"/>
              </w:rPr>
            </w:pPr>
          </w:p>
        </w:tc>
        <w:tc>
          <w:tcPr>
            <w:tcW w:w="1701" w:type="dxa"/>
            <w:tcBorders>
              <w:top w:val="nil"/>
              <w:left w:val="nil"/>
              <w:bottom w:val="nil"/>
              <w:right w:val="nil"/>
            </w:tcBorders>
          </w:tcPr>
          <w:p w14:paraId="2B9924A3" w14:textId="77777777" w:rsidR="00A80A21" w:rsidRDefault="00BC5F10" w:rsidP="00D40FF3">
            <w:pPr>
              <w:jc w:val="center"/>
              <w:rPr>
                <w:rFonts w:ascii="Arial" w:hAnsi="Arial" w:cs="Arial"/>
                <w:sz w:val="18"/>
                <w:szCs w:val="18"/>
              </w:rPr>
            </w:pPr>
            <w:r>
              <w:rPr>
                <w:rFonts w:ascii="Arial" w:hAnsi="Arial" w:cs="Arial"/>
                <w:sz w:val="18"/>
                <w:szCs w:val="18"/>
              </w:rPr>
              <w:t>12.5</w:t>
            </w:r>
          </w:p>
        </w:tc>
        <w:tc>
          <w:tcPr>
            <w:tcW w:w="1843" w:type="dxa"/>
            <w:tcBorders>
              <w:top w:val="nil"/>
              <w:left w:val="nil"/>
              <w:bottom w:val="nil"/>
              <w:right w:val="nil"/>
            </w:tcBorders>
          </w:tcPr>
          <w:p w14:paraId="2D1F5D15" w14:textId="77777777" w:rsidR="00A80A21" w:rsidRDefault="00BC5F10" w:rsidP="00D40FF3">
            <w:pPr>
              <w:jc w:val="center"/>
              <w:rPr>
                <w:rFonts w:ascii="Arial" w:hAnsi="Arial" w:cs="Arial"/>
                <w:sz w:val="18"/>
                <w:szCs w:val="18"/>
              </w:rPr>
            </w:pPr>
            <w:r>
              <w:rPr>
                <w:rFonts w:ascii="Arial" w:hAnsi="Arial" w:cs="Arial"/>
                <w:sz w:val="18"/>
                <w:szCs w:val="18"/>
              </w:rPr>
              <w:t>18</w:t>
            </w:r>
          </w:p>
        </w:tc>
        <w:tc>
          <w:tcPr>
            <w:tcW w:w="1701" w:type="dxa"/>
            <w:tcBorders>
              <w:top w:val="nil"/>
              <w:left w:val="nil"/>
              <w:bottom w:val="nil"/>
              <w:right w:val="nil"/>
            </w:tcBorders>
          </w:tcPr>
          <w:p w14:paraId="2742AD45" w14:textId="77777777" w:rsidR="00A80A21" w:rsidRDefault="00BC5F10" w:rsidP="00D40FF3">
            <w:pPr>
              <w:jc w:val="center"/>
              <w:rPr>
                <w:rFonts w:ascii="Arial" w:hAnsi="Arial" w:cs="Arial"/>
                <w:sz w:val="18"/>
                <w:szCs w:val="18"/>
              </w:rPr>
            </w:pPr>
            <w:r>
              <w:rPr>
                <w:rFonts w:ascii="Arial" w:hAnsi="Arial" w:cs="Arial"/>
                <w:sz w:val="18"/>
                <w:szCs w:val="18"/>
              </w:rPr>
              <w:t>12</w:t>
            </w:r>
          </w:p>
        </w:tc>
        <w:tc>
          <w:tcPr>
            <w:tcW w:w="2091" w:type="dxa"/>
            <w:tcBorders>
              <w:top w:val="nil"/>
              <w:left w:val="nil"/>
              <w:bottom w:val="nil"/>
              <w:right w:val="nil"/>
            </w:tcBorders>
          </w:tcPr>
          <w:p w14:paraId="43FE0436" w14:textId="77777777" w:rsidR="00A80A21" w:rsidRDefault="00BC5F10" w:rsidP="00D40FF3">
            <w:pPr>
              <w:jc w:val="center"/>
              <w:rPr>
                <w:rFonts w:ascii="Arial" w:hAnsi="Arial" w:cs="Arial"/>
                <w:sz w:val="18"/>
                <w:szCs w:val="18"/>
              </w:rPr>
            </w:pPr>
            <w:r>
              <w:rPr>
                <w:rFonts w:ascii="Arial" w:hAnsi="Arial" w:cs="Arial"/>
                <w:sz w:val="18"/>
                <w:szCs w:val="18"/>
              </w:rPr>
              <w:t>-</w:t>
            </w:r>
          </w:p>
        </w:tc>
      </w:tr>
      <w:tr w:rsidR="00A80A21" w14:paraId="1DFEBDBC" w14:textId="77777777">
        <w:trPr>
          <w:trHeight w:val="219"/>
        </w:trPr>
        <w:tc>
          <w:tcPr>
            <w:tcW w:w="1985" w:type="dxa"/>
            <w:tcBorders>
              <w:top w:val="nil"/>
              <w:left w:val="nil"/>
              <w:bottom w:val="nil"/>
              <w:right w:val="nil"/>
            </w:tcBorders>
          </w:tcPr>
          <w:p w14:paraId="74CB2C56" w14:textId="77777777" w:rsidR="00A80A21" w:rsidRDefault="00BC5F10" w:rsidP="00D40FF3">
            <w:pPr>
              <w:jc w:val="center"/>
              <w:rPr>
                <w:rFonts w:ascii="Arial" w:hAnsi="Arial" w:cs="Arial"/>
                <w:b/>
                <w:bCs/>
                <w:sz w:val="18"/>
                <w:szCs w:val="18"/>
              </w:rPr>
            </w:pPr>
            <w:r>
              <w:rPr>
                <w:rFonts w:ascii="Arial" w:hAnsi="Arial" w:cs="Arial"/>
                <w:b/>
                <w:bCs/>
                <w:sz w:val="18"/>
                <w:szCs w:val="18"/>
              </w:rPr>
              <w:t>Negative control</w:t>
            </w:r>
          </w:p>
        </w:tc>
        <w:tc>
          <w:tcPr>
            <w:tcW w:w="1701" w:type="dxa"/>
            <w:tcBorders>
              <w:top w:val="nil"/>
              <w:left w:val="nil"/>
              <w:bottom w:val="nil"/>
              <w:right w:val="nil"/>
            </w:tcBorders>
          </w:tcPr>
          <w:p w14:paraId="3170DDBA" w14:textId="77777777" w:rsidR="00A80A21" w:rsidRDefault="00A80A21" w:rsidP="00D40FF3">
            <w:pPr>
              <w:jc w:val="center"/>
              <w:rPr>
                <w:rFonts w:ascii="Arial" w:hAnsi="Arial" w:cs="Arial"/>
                <w:sz w:val="18"/>
                <w:szCs w:val="18"/>
              </w:rPr>
            </w:pPr>
          </w:p>
        </w:tc>
        <w:tc>
          <w:tcPr>
            <w:tcW w:w="1843" w:type="dxa"/>
            <w:tcBorders>
              <w:top w:val="nil"/>
              <w:left w:val="nil"/>
              <w:bottom w:val="nil"/>
              <w:right w:val="nil"/>
            </w:tcBorders>
          </w:tcPr>
          <w:p w14:paraId="51F6E423" w14:textId="77777777" w:rsidR="00A80A21" w:rsidRDefault="00A80A21" w:rsidP="00D40FF3">
            <w:pPr>
              <w:jc w:val="center"/>
              <w:rPr>
                <w:rFonts w:ascii="Arial" w:hAnsi="Arial" w:cs="Arial"/>
                <w:sz w:val="18"/>
                <w:szCs w:val="18"/>
              </w:rPr>
            </w:pPr>
          </w:p>
        </w:tc>
        <w:tc>
          <w:tcPr>
            <w:tcW w:w="1701" w:type="dxa"/>
            <w:tcBorders>
              <w:top w:val="nil"/>
              <w:left w:val="nil"/>
              <w:bottom w:val="nil"/>
              <w:right w:val="nil"/>
            </w:tcBorders>
          </w:tcPr>
          <w:p w14:paraId="079AFC11" w14:textId="77777777" w:rsidR="00A80A21" w:rsidRDefault="00A80A21" w:rsidP="00D40FF3">
            <w:pPr>
              <w:jc w:val="center"/>
              <w:rPr>
                <w:rFonts w:ascii="Arial" w:hAnsi="Arial" w:cs="Arial"/>
                <w:sz w:val="18"/>
                <w:szCs w:val="18"/>
              </w:rPr>
            </w:pPr>
          </w:p>
        </w:tc>
        <w:tc>
          <w:tcPr>
            <w:tcW w:w="2091" w:type="dxa"/>
            <w:tcBorders>
              <w:top w:val="nil"/>
              <w:left w:val="nil"/>
              <w:bottom w:val="nil"/>
              <w:right w:val="nil"/>
            </w:tcBorders>
          </w:tcPr>
          <w:p w14:paraId="5FC4DA7C" w14:textId="77777777" w:rsidR="00A80A21" w:rsidRDefault="00A80A21" w:rsidP="00D40FF3">
            <w:pPr>
              <w:jc w:val="center"/>
              <w:rPr>
                <w:rFonts w:ascii="Arial" w:hAnsi="Arial" w:cs="Arial"/>
                <w:sz w:val="18"/>
                <w:szCs w:val="18"/>
              </w:rPr>
            </w:pPr>
          </w:p>
        </w:tc>
      </w:tr>
      <w:tr w:rsidR="00A80A21" w14:paraId="108D29E2" w14:textId="77777777">
        <w:tc>
          <w:tcPr>
            <w:tcW w:w="1985" w:type="dxa"/>
            <w:tcBorders>
              <w:top w:val="nil"/>
              <w:left w:val="nil"/>
              <w:bottom w:val="nil"/>
              <w:right w:val="nil"/>
            </w:tcBorders>
          </w:tcPr>
          <w:p w14:paraId="50C1A458" w14:textId="77777777" w:rsidR="00A80A21" w:rsidRDefault="00BC5F10" w:rsidP="00D40FF3">
            <w:pPr>
              <w:jc w:val="center"/>
              <w:rPr>
                <w:rFonts w:ascii="Arial" w:hAnsi="Arial" w:cs="Arial"/>
                <w:b/>
                <w:bCs/>
                <w:i/>
                <w:iCs/>
                <w:sz w:val="18"/>
                <w:szCs w:val="18"/>
              </w:rPr>
            </w:pPr>
            <w:r>
              <w:rPr>
                <w:rFonts w:ascii="Arial" w:hAnsi="Arial" w:cs="Arial"/>
                <w:sz w:val="18"/>
                <w:szCs w:val="18"/>
              </w:rPr>
              <w:t>Distilled Water</w:t>
            </w:r>
          </w:p>
        </w:tc>
        <w:tc>
          <w:tcPr>
            <w:tcW w:w="1701" w:type="dxa"/>
            <w:tcBorders>
              <w:top w:val="nil"/>
              <w:left w:val="nil"/>
              <w:bottom w:val="nil"/>
              <w:right w:val="nil"/>
            </w:tcBorders>
          </w:tcPr>
          <w:p w14:paraId="2FCAB603" w14:textId="77777777" w:rsidR="00A80A21" w:rsidRDefault="00BC5F10" w:rsidP="00D40FF3">
            <w:pPr>
              <w:jc w:val="center"/>
              <w:rPr>
                <w:rFonts w:ascii="Arial" w:hAnsi="Arial" w:cs="Arial"/>
                <w:sz w:val="18"/>
                <w:szCs w:val="18"/>
              </w:rPr>
            </w:pPr>
            <w:r>
              <w:rPr>
                <w:rFonts w:ascii="Arial" w:hAnsi="Arial" w:cs="Arial"/>
                <w:sz w:val="18"/>
                <w:szCs w:val="18"/>
              </w:rPr>
              <w:t>-</w:t>
            </w:r>
          </w:p>
        </w:tc>
        <w:tc>
          <w:tcPr>
            <w:tcW w:w="1843" w:type="dxa"/>
            <w:tcBorders>
              <w:top w:val="nil"/>
              <w:left w:val="nil"/>
              <w:bottom w:val="nil"/>
              <w:right w:val="nil"/>
            </w:tcBorders>
          </w:tcPr>
          <w:p w14:paraId="0EB5561A" w14:textId="77777777" w:rsidR="00A80A21" w:rsidRDefault="00BC5F10" w:rsidP="00D40FF3">
            <w:pPr>
              <w:jc w:val="center"/>
              <w:rPr>
                <w:rFonts w:ascii="Arial" w:hAnsi="Arial" w:cs="Arial"/>
                <w:sz w:val="18"/>
                <w:szCs w:val="18"/>
              </w:rPr>
            </w:pPr>
            <w:r>
              <w:rPr>
                <w:rFonts w:ascii="Arial" w:hAnsi="Arial" w:cs="Arial"/>
                <w:sz w:val="18"/>
                <w:szCs w:val="18"/>
              </w:rPr>
              <w:t>0</w:t>
            </w:r>
          </w:p>
        </w:tc>
        <w:tc>
          <w:tcPr>
            <w:tcW w:w="1701" w:type="dxa"/>
            <w:tcBorders>
              <w:top w:val="nil"/>
              <w:left w:val="nil"/>
              <w:bottom w:val="nil"/>
              <w:right w:val="nil"/>
            </w:tcBorders>
          </w:tcPr>
          <w:p w14:paraId="5DB4E215" w14:textId="77777777" w:rsidR="00A80A21" w:rsidRDefault="00BC5F10" w:rsidP="00D40FF3">
            <w:pPr>
              <w:jc w:val="center"/>
              <w:rPr>
                <w:rFonts w:ascii="Arial" w:hAnsi="Arial" w:cs="Arial"/>
                <w:sz w:val="18"/>
                <w:szCs w:val="18"/>
              </w:rPr>
            </w:pPr>
            <w:r>
              <w:rPr>
                <w:rFonts w:ascii="Arial" w:hAnsi="Arial" w:cs="Arial"/>
                <w:sz w:val="18"/>
                <w:szCs w:val="18"/>
              </w:rPr>
              <w:t>0</w:t>
            </w:r>
          </w:p>
        </w:tc>
        <w:tc>
          <w:tcPr>
            <w:tcW w:w="2091" w:type="dxa"/>
            <w:tcBorders>
              <w:top w:val="nil"/>
              <w:left w:val="nil"/>
              <w:bottom w:val="nil"/>
              <w:right w:val="nil"/>
            </w:tcBorders>
          </w:tcPr>
          <w:p w14:paraId="7F523A22" w14:textId="77777777" w:rsidR="00A80A21" w:rsidRDefault="00BC5F10" w:rsidP="00D40FF3">
            <w:pPr>
              <w:jc w:val="center"/>
              <w:rPr>
                <w:rFonts w:ascii="Arial" w:hAnsi="Arial" w:cs="Arial"/>
                <w:sz w:val="18"/>
                <w:szCs w:val="18"/>
              </w:rPr>
            </w:pPr>
            <w:r>
              <w:rPr>
                <w:rFonts w:ascii="Arial" w:hAnsi="Arial" w:cs="Arial"/>
                <w:sz w:val="18"/>
                <w:szCs w:val="18"/>
              </w:rPr>
              <w:t>0</w:t>
            </w:r>
          </w:p>
        </w:tc>
      </w:tr>
      <w:tr w:rsidR="00A80A21" w14:paraId="7D075488" w14:textId="77777777">
        <w:tc>
          <w:tcPr>
            <w:tcW w:w="1985" w:type="dxa"/>
            <w:tcBorders>
              <w:top w:val="nil"/>
              <w:left w:val="nil"/>
              <w:bottom w:val="nil"/>
              <w:right w:val="nil"/>
            </w:tcBorders>
          </w:tcPr>
          <w:p w14:paraId="128C7C93" w14:textId="77777777" w:rsidR="00A80A21" w:rsidRDefault="00A80A21" w:rsidP="00D40FF3">
            <w:pPr>
              <w:jc w:val="center"/>
              <w:rPr>
                <w:rFonts w:ascii="Arial" w:hAnsi="Arial" w:cs="Arial"/>
                <w:b/>
                <w:bCs/>
                <w:i/>
                <w:iCs/>
                <w:sz w:val="18"/>
                <w:szCs w:val="18"/>
              </w:rPr>
            </w:pPr>
          </w:p>
        </w:tc>
        <w:tc>
          <w:tcPr>
            <w:tcW w:w="1701" w:type="dxa"/>
            <w:tcBorders>
              <w:top w:val="nil"/>
              <w:left w:val="nil"/>
              <w:bottom w:val="nil"/>
              <w:right w:val="nil"/>
            </w:tcBorders>
          </w:tcPr>
          <w:p w14:paraId="3293D318" w14:textId="77777777" w:rsidR="00A80A21" w:rsidRDefault="00A80A21" w:rsidP="00D40FF3">
            <w:pPr>
              <w:jc w:val="center"/>
              <w:rPr>
                <w:rFonts w:ascii="Arial" w:hAnsi="Arial" w:cs="Arial"/>
                <w:sz w:val="18"/>
                <w:szCs w:val="18"/>
              </w:rPr>
            </w:pPr>
          </w:p>
        </w:tc>
        <w:tc>
          <w:tcPr>
            <w:tcW w:w="1843" w:type="dxa"/>
            <w:tcBorders>
              <w:top w:val="nil"/>
              <w:left w:val="nil"/>
              <w:bottom w:val="nil"/>
              <w:right w:val="nil"/>
            </w:tcBorders>
          </w:tcPr>
          <w:p w14:paraId="6C160254" w14:textId="77777777" w:rsidR="00A80A21" w:rsidRDefault="00A80A21" w:rsidP="00D40FF3">
            <w:pPr>
              <w:jc w:val="center"/>
              <w:rPr>
                <w:rFonts w:ascii="Arial" w:hAnsi="Arial" w:cs="Arial"/>
                <w:sz w:val="18"/>
                <w:szCs w:val="18"/>
              </w:rPr>
            </w:pPr>
          </w:p>
        </w:tc>
        <w:tc>
          <w:tcPr>
            <w:tcW w:w="1701" w:type="dxa"/>
            <w:tcBorders>
              <w:top w:val="nil"/>
              <w:left w:val="nil"/>
              <w:bottom w:val="nil"/>
              <w:right w:val="nil"/>
            </w:tcBorders>
          </w:tcPr>
          <w:p w14:paraId="23643CB7" w14:textId="77777777" w:rsidR="00A80A21" w:rsidRDefault="00A80A21" w:rsidP="00D40FF3">
            <w:pPr>
              <w:jc w:val="center"/>
              <w:rPr>
                <w:rFonts w:ascii="Arial" w:hAnsi="Arial" w:cs="Arial"/>
                <w:sz w:val="18"/>
                <w:szCs w:val="18"/>
              </w:rPr>
            </w:pPr>
          </w:p>
        </w:tc>
        <w:tc>
          <w:tcPr>
            <w:tcW w:w="2091" w:type="dxa"/>
            <w:tcBorders>
              <w:top w:val="nil"/>
              <w:left w:val="nil"/>
              <w:bottom w:val="nil"/>
              <w:right w:val="nil"/>
            </w:tcBorders>
          </w:tcPr>
          <w:p w14:paraId="5779F70B" w14:textId="77777777" w:rsidR="00A80A21" w:rsidRDefault="00A80A21" w:rsidP="00D40FF3">
            <w:pPr>
              <w:jc w:val="center"/>
              <w:rPr>
                <w:rFonts w:ascii="Arial" w:hAnsi="Arial" w:cs="Arial"/>
                <w:sz w:val="18"/>
                <w:szCs w:val="18"/>
              </w:rPr>
            </w:pPr>
          </w:p>
        </w:tc>
      </w:tr>
      <w:tr w:rsidR="00A80A21" w14:paraId="49F1F37E" w14:textId="77777777">
        <w:tc>
          <w:tcPr>
            <w:tcW w:w="1985" w:type="dxa"/>
            <w:tcBorders>
              <w:top w:val="nil"/>
              <w:left w:val="nil"/>
              <w:bottom w:val="nil"/>
              <w:right w:val="nil"/>
            </w:tcBorders>
          </w:tcPr>
          <w:p w14:paraId="1D42E90F" w14:textId="77777777" w:rsidR="00A80A21" w:rsidRDefault="00BC5F10" w:rsidP="00D40FF3">
            <w:pPr>
              <w:jc w:val="center"/>
              <w:rPr>
                <w:rFonts w:ascii="Arial" w:hAnsi="Arial" w:cs="Arial"/>
                <w:b/>
                <w:bCs/>
                <w:i/>
                <w:iCs/>
                <w:sz w:val="18"/>
                <w:szCs w:val="18"/>
              </w:rPr>
            </w:pPr>
            <w:r>
              <w:rPr>
                <w:rFonts w:ascii="Arial" w:hAnsi="Arial" w:cs="Arial"/>
                <w:b/>
                <w:bCs/>
                <w:i/>
                <w:iCs/>
                <w:sz w:val="18"/>
                <w:szCs w:val="18"/>
              </w:rPr>
              <w:t>E. Elephantina</w:t>
            </w:r>
          </w:p>
        </w:tc>
        <w:tc>
          <w:tcPr>
            <w:tcW w:w="1701" w:type="dxa"/>
            <w:tcBorders>
              <w:top w:val="nil"/>
              <w:left w:val="nil"/>
              <w:bottom w:val="nil"/>
              <w:right w:val="nil"/>
            </w:tcBorders>
          </w:tcPr>
          <w:p w14:paraId="2AF39D79" w14:textId="77777777" w:rsidR="00A80A21" w:rsidRDefault="00BC5F10" w:rsidP="00D40FF3">
            <w:pPr>
              <w:jc w:val="center"/>
              <w:rPr>
                <w:rFonts w:ascii="Arial" w:hAnsi="Arial" w:cs="Arial"/>
                <w:sz w:val="18"/>
                <w:szCs w:val="18"/>
              </w:rPr>
            </w:pPr>
            <w:r>
              <w:rPr>
                <w:rFonts w:ascii="Arial" w:hAnsi="Arial" w:cs="Arial"/>
                <w:sz w:val="18"/>
                <w:szCs w:val="18"/>
              </w:rPr>
              <w:t>100</w:t>
            </w:r>
          </w:p>
        </w:tc>
        <w:tc>
          <w:tcPr>
            <w:tcW w:w="1843" w:type="dxa"/>
            <w:tcBorders>
              <w:top w:val="nil"/>
              <w:left w:val="nil"/>
              <w:bottom w:val="nil"/>
              <w:right w:val="nil"/>
            </w:tcBorders>
          </w:tcPr>
          <w:p w14:paraId="5EECE733" w14:textId="77777777" w:rsidR="00A80A21" w:rsidRDefault="00BC5F10" w:rsidP="00D40FF3">
            <w:pPr>
              <w:jc w:val="center"/>
              <w:rPr>
                <w:rFonts w:ascii="Arial" w:hAnsi="Arial" w:cs="Arial"/>
                <w:sz w:val="18"/>
                <w:szCs w:val="18"/>
              </w:rPr>
            </w:pPr>
            <w:r>
              <w:rPr>
                <w:rFonts w:ascii="Arial" w:hAnsi="Arial" w:cs="Arial"/>
                <w:sz w:val="18"/>
                <w:szCs w:val="18"/>
              </w:rPr>
              <w:t>25</w:t>
            </w:r>
          </w:p>
        </w:tc>
        <w:tc>
          <w:tcPr>
            <w:tcW w:w="1701" w:type="dxa"/>
            <w:tcBorders>
              <w:top w:val="nil"/>
              <w:left w:val="nil"/>
              <w:bottom w:val="nil"/>
              <w:right w:val="nil"/>
            </w:tcBorders>
          </w:tcPr>
          <w:p w14:paraId="416E6ADD" w14:textId="77777777" w:rsidR="00A80A21" w:rsidRDefault="00BC5F10" w:rsidP="00D40FF3">
            <w:pPr>
              <w:jc w:val="center"/>
              <w:rPr>
                <w:rFonts w:ascii="Arial" w:hAnsi="Arial" w:cs="Arial"/>
                <w:sz w:val="18"/>
                <w:szCs w:val="18"/>
              </w:rPr>
            </w:pPr>
            <w:r>
              <w:rPr>
                <w:rFonts w:ascii="Arial" w:hAnsi="Arial" w:cs="Arial"/>
                <w:sz w:val="18"/>
                <w:szCs w:val="18"/>
              </w:rPr>
              <w:t>19</w:t>
            </w:r>
          </w:p>
        </w:tc>
        <w:tc>
          <w:tcPr>
            <w:tcW w:w="2091" w:type="dxa"/>
            <w:tcBorders>
              <w:top w:val="nil"/>
              <w:left w:val="nil"/>
              <w:bottom w:val="nil"/>
              <w:right w:val="nil"/>
            </w:tcBorders>
          </w:tcPr>
          <w:p w14:paraId="44068A3C" w14:textId="77777777" w:rsidR="00A80A21" w:rsidRDefault="00BC5F10" w:rsidP="00D40FF3">
            <w:pPr>
              <w:jc w:val="center"/>
              <w:rPr>
                <w:rFonts w:ascii="Arial" w:hAnsi="Arial" w:cs="Arial"/>
                <w:sz w:val="18"/>
                <w:szCs w:val="18"/>
              </w:rPr>
            </w:pPr>
            <w:r>
              <w:rPr>
                <w:rFonts w:ascii="Arial" w:hAnsi="Arial" w:cs="Arial"/>
                <w:sz w:val="18"/>
                <w:szCs w:val="18"/>
              </w:rPr>
              <w:t>79.2</w:t>
            </w:r>
          </w:p>
        </w:tc>
      </w:tr>
      <w:tr w:rsidR="00A80A21" w14:paraId="28524C80" w14:textId="77777777">
        <w:tc>
          <w:tcPr>
            <w:tcW w:w="1985" w:type="dxa"/>
            <w:tcBorders>
              <w:top w:val="nil"/>
              <w:left w:val="nil"/>
              <w:bottom w:val="nil"/>
              <w:right w:val="nil"/>
            </w:tcBorders>
          </w:tcPr>
          <w:p w14:paraId="6216FE7D" w14:textId="77777777" w:rsidR="00A80A21" w:rsidRDefault="00A80A21" w:rsidP="00D40FF3">
            <w:pPr>
              <w:jc w:val="center"/>
              <w:rPr>
                <w:rFonts w:ascii="Arial" w:hAnsi="Arial" w:cs="Arial"/>
                <w:b/>
                <w:bCs/>
                <w:i/>
                <w:iCs/>
                <w:sz w:val="18"/>
                <w:szCs w:val="18"/>
              </w:rPr>
            </w:pPr>
          </w:p>
        </w:tc>
        <w:tc>
          <w:tcPr>
            <w:tcW w:w="1701" w:type="dxa"/>
            <w:tcBorders>
              <w:top w:val="nil"/>
              <w:left w:val="nil"/>
              <w:bottom w:val="nil"/>
              <w:right w:val="nil"/>
            </w:tcBorders>
          </w:tcPr>
          <w:p w14:paraId="272DF9D2" w14:textId="77777777" w:rsidR="00A80A21" w:rsidRDefault="00BC5F10" w:rsidP="00D40FF3">
            <w:pPr>
              <w:jc w:val="center"/>
              <w:rPr>
                <w:rFonts w:ascii="Arial" w:hAnsi="Arial" w:cs="Arial"/>
                <w:sz w:val="18"/>
                <w:szCs w:val="18"/>
              </w:rPr>
            </w:pPr>
            <w:r>
              <w:rPr>
                <w:rFonts w:ascii="Arial" w:hAnsi="Arial" w:cs="Arial"/>
                <w:sz w:val="18"/>
                <w:szCs w:val="18"/>
              </w:rPr>
              <w:t>50</w:t>
            </w:r>
          </w:p>
        </w:tc>
        <w:tc>
          <w:tcPr>
            <w:tcW w:w="1843" w:type="dxa"/>
            <w:tcBorders>
              <w:top w:val="nil"/>
              <w:left w:val="nil"/>
              <w:bottom w:val="nil"/>
              <w:right w:val="nil"/>
            </w:tcBorders>
          </w:tcPr>
          <w:p w14:paraId="29D5C329" w14:textId="77777777" w:rsidR="00A80A21" w:rsidRDefault="00BC5F10" w:rsidP="00D40FF3">
            <w:pPr>
              <w:jc w:val="center"/>
              <w:rPr>
                <w:rFonts w:ascii="Arial" w:hAnsi="Arial" w:cs="Arial"/>
                <w:sz w:val="18"/>
                <w:szCs w:val="18"/>
              </w:rPr>
            </w:pPr>
            <w:r>
              <w:rPr>
                <w:rFonts w:ascii="Arial" w:hAnsi="Arial" w:cs="Arial"/>
                <w:sz w:val="18"/>
                <w:szCs w:val="18"/>
              </w:rPr>
              <w:t>18</w:t>
            </w:r>
          </w:p>
        </w:tc>
        <w:tc>
          <w:tcPr>
            <w:tcW w:w="1701" w:type="dxa"/>
            <w:tcBorders>
              <w:top w:val="nil"/>
              <w:left w:val="nil"/>
              <w:bottom w:val="nil"/>
              <w:right w:val="nil"/>
            </w:tcBorders>
          </w:tcPr>
          <w:p w14:paraId="08ACB585" w14:textId="77777777" w:rsidR="00A80A21" w:rsidRDefault="00BC5F10" w:rsidP="00D40FF3">
            <w:pPr>
              <w:jc w:val="center"/>
              <w:rPr>
                <w:rFonts w:ascii="Arial" w:hAnsi="Arial" w:cs="Arial"/>
                <w:sz w:val="18"/>
                <w:szCs w:val="18"/>
              </w:rPr>
            </w:pPr>
            <w:r>
              <w:rPr>
                <w:rFonts w:ascii="Arial" w:hAnsi="Arial" w:cs="Arial"/>
                <w:sz w:val="18"/>
                <w:szCs w:val="18"/>
              </w:rPr>
              <w:t>12</w:t>
            </w:r>
          </w:p>
        </w:tc>
        <w:tc>
          <w:tcPr>
            <w:tcW w:w="2091" w:type="dxa"/>
            <w:tcBorders>
              <w:top w:val="nil"/>
              <w:left w:val="nil"/>
              <w:bottom w:val="nil"/>
              <w:right w:val="nil"/>
            </w:tcBorders>
          </w:tcPr>
          <w:p w14:paraId="64BC5694" w14:textId="77777777" w:rsidR="00A80A21" w:rsidRDefault="00BC5F10" w:rsidP="00D40FF3">
            <w:pPr>
              <w:jc w:val="center"/>
              <w:rPr>
                <w:rFonts w:ascii="Arial" w:hAnsi="Arial" w:cs="Arial"/>
                <w:sz w:val="18"/>
                <w:szCs w:val="18"/>
              </w:rPr>
            </w:pPr>
            <w:r>
              <w:rPr>
                <w:rFonts w:ascii="Arial" w:hAnsi="Arial" w:cs="Arial"/>
                <w:sz w:val="18"/>
                <w:szCs w:val="18"/>
              </w:rPr>
              <w:t>50.0</w:t>
            </w:r>
          </w:p>
        </w:tc>
      </w:tr>
      <w:tr w:rsidR="00A80A21" w14:paraId="60B222CB" w14:textId="77777777">
        <w:tc>
          <w:tcPr>
            <w:tcW w:w="1985" w:type="dxa"/>
            <w:tcBorders>
              <w:top w:val="nil"/>
              <w:left w:val="nil"/>
              <w:bottom w:val="nil"/>
              <w:right w:val="nil"/>
            </w:tcBorders>
          </w:tcPr>
          <w:p w14:paraId="784D9114" w14:textId="77777777" w:rsidR="00A80A21" w:rsidRDefault="00A80A21" w:rsidP="00D40FF3">
            <w:pPr>
              <w:jc w:val="center"/>
              <w:rPr>
                <w:rFonts w:ascii="Arial" w:hAnsi="Arial" w:cs="Arial"/>
                <w:b/>
                <w:bCs/>
                <w:i/>
                <w:iCs/>
                <w:sz w:val="18"/>
                <w:szCs w:val="18"/>
              </w:rPr>
            </w:pPr>
          </w:p>
        </w:tc>
        <w:tc>
          <w:tcPr>
            <w:tcW w:w="1701" w:type="dxa"/>
            <w:tcBorders>
              <w:top w:val="nil"/>
              <w:left w:val="nil"/>
              <w:bottom w:val="nil"/>
              <w:right w:val="nil"/>
            </w:tcBorders>
          </w:tcPr>
          <w:p w14:paraId="52C3B083" w14:textId="77777777" w:rsidR="00A80A21" w:rsidRDefault="00BC5F10" w:rsidP="00D40FF3">
            <w:pPr>
              <w:jc w:val="center"/>
              <w:rPr>
                <w:rFonts w:ascii="Arial" w:hAnsi="Arial" w:cs="Arial"/>
                <w:sz w:val="18"/>
                <w:szCs w:val="18"/>
              </w:rPr>
            </w:pPr>
            <w:r>
              <w:rPr>
                <w:rFonts w:ascii="Arial" w:hAnsi="Arial" w:cs="Arial"/>
                <w:sz w:val="18"/>
                <w:szCs w:val="18"/>
              </w:rPr>
              <w:t>25</w:t>
            </w:r>
          </w:p>
        </w:tc>
        <w:tc>
          <w:tcPr>
            <w:tcW w:w="1843" w:type="dxa"/>
            <w:tcBorders>
              <w:top w:val="nil"/>
              <w:left w:val="nil"/>
              <w:bottom w:val="nil"/>
              <w:right w:val="nil"/>
            </w:tcBorders>
          </w:tcPr>
          <w:p w14:paraId="3857825C" w14:textId="77777777" w:rsidR="00A80A21" w:rsidRDefault="00BC5F10" w:rsidP="00D40FF3">
            <w:pPr>
              <w:jc w:val="center"/>
              <w:rPr>
                <w:rFonts w:ascii="Arial" w:hAnsi="Arial" w:cs="Arial"/>
                <w:sz w:val="18"/>
                <w:szCs w:val="18"/>
              </w:rPr>
            </w:pPr>
            <w:r>
              <w:rPr>
                <w:rFonts w:ascii="Arial" w:hAnsi="Arial" w:cs="Arial"/>
                <w:sz w:val="18"/>
                <w:szCs w:val="18"/>
              </w:rPr>
              <w:t>13</w:t>
            </w:r>
          </w:p>
        </w:tc>
        <w:tc>
          <w:tcPr>
            <w:tcW w:w="1701" w:type="dxa"/>
            <w:tcBorders>
              <w:top w:val="nil"/>
              <w:left w:val="nil"/>
              <w:bottom w:val="nil"/>
              <w:right w:val="nil"/>
            </w:tcBorders>
          </w:tcPr>
          <w:p w14:paraId="1030C510" w14:textId="77777777" w:rsidR="00A80A21" w:rsidRDefault="00BC5F10" w:rsidP="00D40FF3">
            <w:pPr>
              <w:jc w:val="center"/>
              <w:rPr>
                <w:rFonts w:ascii="Arial" w:hAnsi="Arial" w:cs="Arial"/>
                <w:sz w:val="18"/>
                <w:szCs w:val="18"/>
              </w:rPr>
            </w:pPr>
            <w:r>
              <w:rPr>
                <w:rFonts w:ascii="Arial" w:hAnsi="Arial" w:cs="Arial"/>
                <w:sz w:val="18"/>
                <w:szCs w:val="18"/>
              </w:rPr>
              <w:t>7</w:t>
            </w:r>
          </w:p>
        </w:tc>
        <w:tc>
          <w:tcPr>
            <w:tcW w:w="2091" w:type="dxa"/>
            <w:tcBorders>
              <w:top w:val="nil"/>
              <w:left w:val="nil"/>
              <w:bottom w:val="nil"/>
              <w:right w:val="nil"/>
            </w:tcBorders>
          </w:tcPr>
          <w:p w14:paraId="3A04AEC9" w14:textId="77777777" w:rsidR="00A80A21" w:rsidRDefault="00BC5F10" w:rsidP="00D40FF3">
            <w:pPr>
              <w:jc w:val="center"/>
              <w:rPr>
                <w:rFonts w:ascii="Arial" w:hAnsi="Arial" w:cs="Arial"/>
                <w:sz w:val="18"/>
                <w:szCs w:val="18"/>
              </w:rPr>
            </w:pPr>
            <w:r>
              <w:rPr>
                <w:rFonts w:ascii="Arial" w:hAnsi="Arial" w:cs="Arial"/>
                <w:sz w:val="18"/>
                <w:szCs w:val="18"/>
              </w:rPr>
              <w:t>29.2</w:t>
            </w:r>
          </w:p>
        </w:tc>
      </w:tr>
      <w:tr w:rsidR="00A80A21" w14:paraId="238B82DE" w14:textId="77777777">
        <w:trPr>
          <w:trHeight w:val="495"/>
        </w:trPr>
        <w:tc>
          <w:tcPr>
            <w:tcW w:w="1985" w:type="dxa"/>
            <w:tcBorders>
              <w:top w:val="nil"/>
              <w:left w:val="nil"/>
              <w:bottom w:val="single" w:sz="4" w:space="0" w:color="auto"/>
              <w:right w:val="nil"/>
            </w:tcBorders>
          </w:tcPr>
          <w:p w14:paraId="2CEDB46B" w14:textId="77777777" w:rsidR="00A80A21" w:rsidRDefault="00A80A21" w:rsidP="00D40FF3">
            <w:pPr>
              <w:jc w:val="center"/>
              <w:rPr>
                <w:rFonts w:ascii="Arial" w:hAnsi="Arial" w:cs="Arial"/>
                <w:b/>
                <w:bCs/>
                <w:i/>
                <w:iCs/>
                <w:sz w:val="18"/>
                <w:szCs w:val="18"/>
              </w:rPr>
            </w:pPr>
          </w:p>
        </w:tc>
        <w:tc>
          <w:tcPr>
            <w:tcW w:w="1701" w:type="dxa"/>
            <w:tcBorders>
              <w:top w:val="nil"/>
              <w:left w:val="nil"/>
              <w:bottom w:val="single" w:sz="4" w:space="0" w:color="auto"/>
              <w:right w:val="nil"/>
            </w:tcBorders>
          </w:tcPr>
          <w:p w14:paraId="362F2B36" w14:textId="77777777" w:rsidR="00A80A21" w:rsidRDefault="00BC5F10" w:rsidP="00D40FF3">
            <w:pPr>
              <w:jc w:val="center"/>
              <w:rPr>
                <w:rFonts w:ascii="Arial" w:hAnsi="Arial" w:cs="Arial"/>
                <w:sz w:val="18"/>
                <w:szCs w:val="18"/>
              </w:rPr>
            </w:pPr>
            <w:r>
              <w:rPr>
                <w:rFonts w:ascii="Arial" w:hAnsi="Arial" w:cs="Arial"/>
                <w:sz w:val="18"/>
                <w:szCs w:val="18"/>
              </w:rPr>
              <w:t>12.5</w:t>
            </w:r>
          </w:p>
        </w:tc>
        <w:tc>
          <w:tcPr>
            <w:tcW w:w="1843" w:type="dxa"/>
            <w:tcBorders>
              <w:top w:val="nil"/>
              <w:left w:val="nil"/>
              <w:bottom w:val="single" w:sz="4" w:space="0" w:color="auto"/>
              <w:right w:val="nil"/>
            </w:tcBorders>
          </w:tcPr>
          <w:p w14:paraId="4A999540" w14:textId="77777777" w:rsidR="00A80A21" w:rsidRDefault="00BC5F10" w:rsidP="00D40FF3">
            <w:pPr>
              <w:jc w:val="center"/>
              <w:rPr>
                <w:rFonts w:ascii="Arial" w:hAnsi="Arial" w:cs="Arial"/>
                <w:sz w:val="18"/>
                <w:szCs w:val="18"/>
              </w:rPr>
            </w:pPr>
            <w:r>
              <w:rPr>
                <w:rFonts w:ascii="Arial" w:hAnsi="Arial" w:cs="Arial"/>
                <w:sz w:val="18"/>
                <w:szCs w:val="18"/>
              </w:rPr>
              <w:t>10</w:t>
            </w:r>
          </w:p>
        </w:tc>
        <w:tc>
          <w:tcPr>
            <w:tcW w:w="1701" w:type="dxa"/>
            <w:tcBorders>
              <w:top w:val="nil"/>
              <w:left w:val="nil"/>
              <w:bottom w:val="single" w:sz="4" w:space="0" w:color="auto"/>
              <w:right w:val="nil"/>
            </w:tcBorders>
          </w:tcPr>
          <w:p w14:paraId="00FFA1E7" w14:textId="77777777" w:rsidR="00A80A21" w:rsidRDefault="00BC5F10" w:rsidP="00D40FF3">
            <w:pPr>
              <w:jc w:val="center"/>
              <w:rPr>
                <w:rFonts w:ascii="Arial" w:hAnsi="Arial" w:cs="Arial"/>
                <w:sz w:val="18"/>
                <w:szCs w:val="18"/>
              </w:rPr>
            </w:pPr>
            <w:r>
              <w:rPr>
                <w:rFonts w:ascii="Arial" w:hAnsi="Arial" w:cs="Arial"/>
                <w:sz w:val="18"/>
                <w:szCs w:val="18"/>
              </w:rPr>
              <w:t>4</w:t>
            </w:r>
          </w:p>
        </w:tc>
        <w:tc>
          <w:tcPr>
            <w:tcW w:w="2091" w:type="dxa"/>
            <w:tcBorders>
              <w:top w:val="nil"/>
              <w:left w:val="nil"/>
              <w:bottom w:val="single" w:sz="4" w:space="0" w:color="auto"/>
              <w:right w:val="nil"/>
            </w:tcBorders>
          </w:tcPr>
          <w:p w14:paraId="69F2D2BD" w14:textId="77777777" w:rsidR="00A80A21" w:rsidRDefault="00BC5F10" w:rsidP="00D40FF3">
            <w:pPr>
              <w:jc w:val="center"/>
              <w:rPr>
                <w:rFonts w:ascii="Arial" w:hAnsi="Arial" w:cs="Arial"/>
                <w:sz w:val="18"/>
                <w:szCs w:val="18"/>
              </w:rPr>
            </w:pPr>
            <w:r>
              <w:rPr>
                <w:rFonts w:ascii="Arial" w:hAnsi="Arial" w:cs="Arial"/>
                <w:sz w:val="18"/>
                <w:szCs w:val="18"/>
              </w:rPr>
              <w:t>16.7</w:t>
            </w:r>
          </w:p>
        </w:tc>
      </w:tr>
    </w:tbl>
    <w:p w14:paraId="3A28344C" w14:textId="7E90023F" w:rsidR="00A80A21" w:rsidRPr="00261731" w:rsidRDefault="00BC5F10" w:rsidP="00D40FF3">
      <w:pPr>
        <w:jc w:val="center"/>
        <w:rPr>
          <w:rFonts w:ascii="Arial" w:hAnsi="Arial" w:cs="Arial"/>
          <w:i/>
          <w:iCs/>
          <w:sz w:val="18"/>
          <w:szCs w:val="18"/>
        </w:rPr>
      </w:pPr>
      <w:r w:rsidRPr="00261731">
        <w:rPr>
          <w:rFonts w:ascii="Arial" w:hAnsi="Arial" w:cs="Arial"/>
          <w:i/>
          <w:iCs/>
          <w:sz w:val="18"/>
          <w:szCs w:val="18"/>
        </w:rPr>
        <w:t>ZOI: Zone Of Inhibition</w:t>
      </w:r>
    </w:p>
    <w:p w14:paraId="303F86D4" w14:textId="6E13511D" w:rsidR="00A80A21" w:rsidRDefault="00BC5F10" w:rsidP="00261731">
      <w:pPr>
        <w:spacing w:line="276" w:lineRule="auto"/>
        <w:jc w:val="both"/>
        <w:rPr>
          <w:rFonts w:ascii="Arial" w:hAnsi="Arial" w:cs="Arial"/>
          <w:i/>
          <w:iCs/>
          <w:sz w:val="20"/>
          <w:szCs w:val="20"/>
        </w:rPr>
      </w:pPr>
      <w:r w:rsidRPr="00261731">
        <w:rPr>
          <w:rFonts w:ascii="Arial" w:hAnsi="Arial" w:cs="Arial"/>
          <w:i/>
          <w:iCs/>
          <w:sz w:val="18"/>
          <w:szCs w:val="18"/>
        </w:rPr>
        <w:t>Well diameter = 6mm</w:t>
      </w:r>
      <w:r w:rsidR="00261731">
        <w:rPr>
          <w:rFonts w:ascii="Arial" w:hAnsi="Arial" w:cs="Arial"/>
          <w:i/>
          <w:iCs/>
          <w:sz w:val="20"/>
          <w:szCs w:val="20"/>
        </w:rPr>
        <w:tab/>
      </w:r>
      <w:r w:rsidR="00261731">
        <w:rPr>
          <w:rFonts w:ascii="Arial" w:hAnsi="Arial" w:cs="Arial"/>
          <w:i/>
          <w:iCs/>
          <w:sz w:val="20"/>
          <w:szCs w:val="20"/>
        </w:rPr>
        <w:tab/>
        <w:t xml:space="preserve"> </w:t>
      </w:r>
      <m:oMath>
        <m:r>
          <w:rPr>
            <w:rFonts w:ascii="Cambria Math" w:hAnsi="Cambria Math" w:cs="Arial"/>
            <w:sz w:val="20"/>
            <w:szCs w:val="20"/>
          </w:rPr>
          <m:t>Correct</m:t>
        </m:r>
        <m:r>
          <w:rPr>
            <w:rFonts w:ascii="Cambria Math" w:hAnsi="Cambria Math" w:cs="Arial"/>
            <w:sz w:val="20"/>
            <w:szCs w:val="20"/>
          </w:rPr>
          <m:t xml:space="preserve"> </m:t>
        </m:r>
        <m:r>
          <w:rPr>
            <w:rFonts w:ascii="Cambria Math" w:hAnsi="Cambria Math" w:cs="Arial"/>
            <w:sz w:val="20"/>
            <w:szCs w:val="20"/>
          </w:rPr>
          <m:t>ZOI</m:t>
        </m:r>
        <m:d>
          <m:dPr>
            <m:ctrlPr>
              <w:rPr>
                <w:rFonts w:ascii="Cambria Math" w:hAnsi="Cambria Math" w:cs="Arial"/>
                <w:i/>
                <w:iCs/>
                <w:sz w:val="20"/>
                <w:szCs w:val="20"/>
              </w:rPr>
            </m:ctrlPr>
          </m:dPr>
          <m:e>
            <m:r>
              <w:rPr>
                <w:rFonts w:ascii="Cambria Math" w:hAnsi="Cambria Math" w:cs="Arial"/>
                <w:sz w:val="20"/>
                <w:szCs w:val="20"/>
              </w:rPr>
              <m:t>mm</m:t>
            </m:r>
          </m:e>
        </m:d>
        <m:r>
          <w:rPr>
            <w:rFonts w:ascii="Cambria Math" w:hAnsi="Cambria Math" w:cs="Arial"/>
            <w:sz w:val="20"/>
            <w:szCs w:val="20"/>
          </w:rPr>
          <m:t>=</m:t>
        </m:r>
        <m:r>
          <w:rPr>
            <w:rFonts w:ascii="Cambria Math" w:hAnsi="Cambria Math" w:cs="Arial"/>
            <w:sz w:val="20"/>
            <w:szCs w:val="20"/>
          </w:rPr>
          <m:t>Measured</m:t>
        </m:r>
        <m:r>
          <w:rPr>
            <w:rFonts w:ascii="Cambria Math" w:hAnsi="Cambria Math" w:cs="Arial"/>
            <w:sz w:val="20"/>
            <w:szCs w:val="20"/>
          </w:rPr>
          <m:t xml:space="preserve"> </m:t>
        </m:r>
        <m:r>
          <w:rPr>
            <w:rFonts w:ascii="Cambria Math" w:hAnsi="Cambria Math" w:cs="Arial"/>
            <w:sz w:val="20"/>
            <w:szCs w:val="20"/>
          </w:rPr>
          <m:t>ZOI</m:t>
        </m:r>
        <m:d>
          <m:dPr>
            <m:ctrlPr>
              <w:rPr>
                <w:rFonts w:ascii="Cambria Math" w:hAnsi="Cambria Math" w:cs="Arial"/>
                <w:i/>
                <w:iCs/>
                <w:sz w:val="20"/>
                <w:szCs w:val="20"/>
              </w:rPr>
            </m:ctrlPr>
          </m:dPr>
          <m:e>
            <m:r>
              <w:rPr>
                <w:rFonts w:ascii="Cambria Math" w:hAnsi="Cambria Math" w:cs="Arial"/>
                <w:sz w:val="20"/>
                <w:szCs w:val="20"/>
              </w:rPr>
              <m:t>mm</m:t>
            </m:r>
          </m:e>
        </m:d>
        <m:r>
          <w:rPr>
            <w:rFonts w:ascii="Cambria Math" w:hAnsi="Cambria Math" w:cs="Arial"/>
            <w:sz w:val="20"/>
            <w:szCs w:val="20"/>
          </w:rPr>
          <m:t>-</m:t>
        </m:r>
        <m:r>
          <w:rPr>
            <w:rFonts w:ascii="Cambria Math" w:hAnsi="Cambria Math" w:cs="Arial"/>
            <w:sz w:val="20"/>
            <w:szCs w:val="20"/>
          </w:rPr>
          <m:t>Well</m:t>
        </m:r>
        <m:r>
          <w:rPr>
            <w:rFonts w:ascii="Cambria Math" w:hAnsi="Cambria Math" w:cs="Arial"/>
            <w:sz w:val="20"/>
            <w:szCs w:val="20"/>
          </w:rPr>
          <m:t xml:space="preserve"> </m:t>
        </m:r>
        <m:r>
          <w:rPr>
            <w:rFonts w:ascii="Cambria Math" w:hAnsi="Cambria Math" w:cs="Arial"/>
            <w:sz w:val="20"/>
            <w:szCs w:val="20"/>
          </w:rPr>
          <m:t>diameter</m:t>
        </m:r>
        <m:r>
          <w:rPr>
            <w:rFonts w:ascii="Cambria Math" w:hAnsi="Cambria Math" w:cs="Arial"/>
            <w:sz w:val="20"/>
            <w:szCs w:val="20"/>
          </w:rPr>
          <m:t xml:space="preserve"> (6</m:t>
        </m:r>
        <m:r>
          <w:rPr>
            <w:rFonts w:ascii="Cambria Math" w:hAnsi="Cambria Math" w:cs="Arial"/>
            <w:sz w:val="20"/>
            <w:szCs w:val="20"/>
          </w:rPr>
          <m:t>mm</m:t>
        </m:r>
        <m:r>
          <w:rPr>
            <w:rFonts w:ascii="Cambria Math" w:hAnsi="Cambria Math" w:cs="Arial"/>
            <w:sz w:val="20"/>
            <w:szCs w:val="20"/>
          </w:rPr>
          <m:t>)</m:t>
        </m:r>
      </m:oMath>
    </w:p>
    <w:p w14:paraId="17F3C13F" w14:textId="3EE0BE76" w:rsidR="00444B0F" w:rsidRDefault="00261731" w:rsidP="00261731">
      <w:pPr>
        <w:spacing w:line="276" w:lineRule="auto"/>
        <w:ind w:left="2160" w:firstLine="720"/>
        <w:jc w:val="both"/>
        <w:rPr>
          <w:rFonts w:ascii="Arial" w:hAnsi="Arial" w:cs="Arial"/>
          <w:i/>
          <w:iCs/>
          <w:sz w:val="22"/>
          <w:szCs w:val="22"/>
        </w:rPr>
      </w:pPr>
      <w:r>
        <w:rPr>
          <w:rFonts w:ascii="Arial" w:hAnsi="Arial" w:cs="Arial"/>
          <w:i/>
          <w:iCs/>
          <w:sz w:val="20"/>
          <w:szCs w:val="20"/>
        </w:rPr>
        <w:t xml:space="preserve"> </w:t>
      </w:r>
      <m:oMath>
        <m:r>
          <w:rPr>
            <w:rFonts w:ascii="Cambria Math" w:hAnsi="Cambria Math" w:cs="Arial"/>
            <w:sz w:val="20"/>
            <w:szCs w:val="20"/>
          </w:rPr>
          <m:t>%Inhibition=</m:t>
        </m:r>
        <m:f>
          <m:fPr>
            <m:ctrlPr>
              <w:rPr>
                <w:rFonts w:ascii="Cambria Math" w:hAnsi="Cambria Math" w:cs="Arial"/>
                <w:i/>
                <w:iCs/>
                <w:sz w:val="22"/>
                <w:szCs w:val="22"/>
              </w:rPr>
            </m:ctrlPr>
          </m:fPr>
          <m:num>
            <m:r>
              <w:rPr>
                <w:rFonts w:ascii="Cambria Math" w:hAnsi="Cambria Math" w:cs="Arial"/>
                <w:sz w:val="22"/>
                <w:szCs w:val="22"/>
              </w:rPr>
              <m:t>corrected ZOI of extract at concentration X</m:t>
            </m:r>
          </m:num>
          <m:den>
            <m:r>
              <w:rPr>
                <w:rFonts w:ascii="Cambria Math" w:hAnsi="Cambria Math" w:cs="Arial"/>
                <w:sz w:val="22"/>
                <w:szCs w:val="22"/>
              </w:rPr>
              <m:t>corrected ZOI of Ciprofloxacin at concentration X</m:t>
            </m:r>
          </m:den>
        </m:f>
        <m:r>
          <w:rPr>
            <w:rFonts w:ascii="Cambria Math" w:hAnsi="Cambria Math" w:cs="Arial"/>
            <w:sz w:val="22"/>
            <w:szCs w:val="22"/>
          </w:rPr>
          <m:t>*100</m:t>
        </m:r>
      </m:oMath>
    </w:p>
    <w:p w14:paraId="4D956495" w14:textId="77777777" w:rsidR="00261731" w:rsidRDefault="00261731" w:rsidP="00261731">
      <w:pPr>
        <w:spacing w:line="276" w:lineRule="auto"/>
        <w:ind w:left="2160" w:firstLine="720"/>
        <w:jc w:val="both"/>
        <w:rPr>
          <w:rFonts w:ascii="Arial" w:hAnsi="Arial" w:cs="Arial"/>
          <w:i/>
          <w:iCs/>
          <w:sz w:val="20"/>
          <w:szCs w:val="20"/>
        </w:rPr>
      </w:pPr>
    </w:p>
    <w:p w14:paraId="7E73B1D9" w14:textId="48CEADC9" w:rsidR="00A80A21" w:rsidRDefault="00D40FF3" w:rsidP="00261731">
      <w:pPr>
        <w:jc w:val="both"/>
      </w:pPr>
      <w:r>
        <w:rPr>
          <w:rFonts w:ascii="Arial" w:hAnsi="Arial" w:cs="Arial"/>
          <w:noProof/>
          <w:sz w:val="20"/>
          <w:szCs w:val="20"/>
        </w:rPr>
        <w:lastRenderedPageBreak/>
        <w:t xml:space="preserve">                           </w:t>
      </w:r>
      <w:r w:rsidR="00261731">
        <w:rPr>
          <w:rFonts w:ascii="Arial" w:hAnsi="Arial" w:cs="Arial"/>
          <w:noProof/>
          <w:sz w:val="20"/>
          <w:szCs w:val="20"/>
        </w:rPr>
        <w:drawing>
          <wp:inline distT="0" distB="0" distL="0" distR="0" wp14:anchorId="0DE2AAFC" wp14:editId="39FA3CBD">
            <wp:extent cx="2178139" cy="3472014"/>
            <wp:effectExtent l="952" t="0" r="0" b="0"/>
            <wp:docPr id="10551668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166874" name="Picture 3"/>
                    <pic:cNvPicPr>
                      <a:picLocks noChangeAspect="1"/>
                    </pic:cNvPicPr>
                  </pic:nvPicPr>
                  <pic:blipFill>
                    <a:blip r:embed="rId13">
                      <a:extLst>
                        <a:ext uri="{28A0092B-C50C-407E-A947-70E740481C1C}">
                          <a14:useLocalDpi xmlns:a14="http://schemas.microsoft.com/office/drawing/2010/main" val="0"/>
                        </a:ext>
                      </a:extLst>
                    </a:blip>
                    <a:srcRect l="4613" t="7253" r="27090" b="14154"/>
                    <a:stretch>
                      <a:fillRect/>
                    </a:stretch>
                  </pic:blipFill>
                  <pic:spPr>
                    <a:xfrm rot="5400000">
                      <a:off x="0" y="0"/>
                      <a:ext cx="2190964" cy="3492457"/>
                    </a:xfrm>
                    <a:prstGeom prst="rect">
                      <a:avLst/>
                    </a:prstGeom>
                    <a:ln>
                      <a:noFill/>
                    </a:ln>
                  </pic:spPr>
                </pic:pic>
              </a:graphicData>
            </a:graphic>
          </wp:inline>
        </w:drawing>
      </w:r>
    </w:p>
    <w:p w14:paraId="377AC0CD" w14:textId="2E5B48DC" w:rsidR="00A80A21" w:rsidRDefault="00BC5F10">
      <w:pPr>
        <w:pStyle w:val="Caption"/>
        <w:rPr>
          <w:rFonts w:ascii="Arial" w:hAnsi="Arial" w:cs="Arial"/>
          <w:sz w:val="20"/>
          <w:szCs w:val="20"/>
        </w:rPr>
      </w:pPr>
      <w:bookmarkStart w:id="2" w:name="_Hlk200850365"/>
      <w:r>
        <w:t xml:space="preserve">Figure </w:t>
      </w:r>
      <w:r>
        <w:fldChar w:fldCharType="begin"/>
      </w:r>
      <w:r>
        <w:instrText xml:space="preserve"> SEQ Figure \* ARABIC </w:instrText>
      </w:r>
      <w:r>
        <w:fldChar w:fldCharType="separate"/>
      </w:r>
      <w:r w:rsidR="001E4886">
        <w:rPr>
          <w:noProof/>
        </w:rPr>
        <w:t>5</w:t>
      </w:r>
      <w:r>
        <w:rPr>
          <w:noProof/>
        </w:rPr>
        <w:fldChar w:fldCharType="end"/>
      </w:r>
      <w:r>
        <w:t xml:space="preserve"> Antibacterial </w:t>
      </w:r>
      <w:r w:rsidR="00D40FF3">
        <w:t>evaluation of E elephantina showing zones of inhibition</w:t>
      </w:r>
    </w:p>
    <w:bookmarkEnd w:id="2"/>
    <w:p w14:paraId="7B4352C2" w14:textId="77777777" w:rsidR="00A80A21" w:rsidRDefault="00BC5F10">
      <w:pPr>
        <w:pStyle w:val="Heading2"/>
        <w:contextualSpacing/>
        <w:jc w:val="both"/>
        <w:rPr>
          <w:rFonts w:cs="Arial"/>
          <w:sz w:val="20"/>
          <w:szCs w:val="20"/>
        </w:rPr>
      </w:pPr>
      <w:r>
        <w:rPr>
          <w:rFonts w:cs="Arial"/>
          <w:sz w:val="20"/>
          <w:szCs w:val="20"/>
        </w:rPr>
        <w:t>Toxicity evaluation</w:t>
      </w:r>
    </w:p>
    <w:p w14:paraId="60CAD7F5" w14:textId="045B565E" w:rsidR="00A80A21" w:rsidRPr="00612F42" w:rsidRDefault="00BC5F10">
      <w:pPr>
        <w:pStyle w:val="NormalWeb"/>
        <w:spacing w:line="276" w:lineRule="auto"/>
        <w:jc w:val="both"/>
        <w:rPr>
          <w:i/>
          <w:iCs/>
          <w:color w:val="44546A"/>
          <w:sz w:val="18"/>
          <w:szCs w:val="18"/>
        </w:rPr>
      </w:pPr>
      <w:r>
        <w:rPr>
          <w:rFonts w:ascii="Arial" w:hAnsi="Arial" w:cs="Arial"/>
          <w:sz w:val="20"/>
          <w:szCs w:val="20"/>
          <w:lang w:val="en-US"/>
        </w:rPr>
        <w:t xml:space="preserve">The acute toxicity study was carried out as per OECD technical guideline 425. </w:t>
      </w:r>
      <w:r>
        <w:rPr>
          <w:rFonts w:ascii="Arial" w:hAnsi="Arial" w:cs="Arial"/>
          <w:color w:val="000000"/>
          <w:sz w:val="20"/>
          <w:szCs w:val="20"/>
          <w:lang w:val="en-US" w:eastAsia="en-US"/>
        </w:rPr>
        <w:t>The acute toxicity test results showed no major physiological changes from all the treated groups of a</w:t>
      </w:r>
      <w:r>
        <w:rPr>
          <w:rFonts w:ascii="Arial" w:hAnsi="Arial" w:cs="Arial"/>
          <w:color w:val="000000"/>
          <w:sz w:val="20"/>
          <w:szCs w:val="20"/>
          <w:lang w:val="en-US" w:eastAsia="en-US"/>
        </w:rPr>
        <w:t xml:space="preserve">nimals that formed the study. The animals in all treatment groups exhibited no statistically relevant differences in weight from the control group. </w:t>
      </w:r>
      <w:r>
        <w:rPr>
          <w:rFonts w:ascii="Arial" w:hAnsi="Arial" w:cs="Arial"/>
          <w:sz w:val="20"/>
          <w:szCs w:val="20"/>
          <w:lang w:val="en-US"/>
        </w:rPr>
        <w:t>No animals were withdrawn from the study for any reason during the observation period</w:t>
      </w:r>
      <w:r w:rsidR="00612F42">
        <w:rPr>
          <w:rFonts w:ascii="Arial" w:hAnsi="Arial" w:cs="Arial"/>
          <w:sz w:val="20"/>
          <w:szCs w:val="20"/>
          <w:lang w:val="en-US"/>
        </w:rPr>
        <w:t xml:space="preserve"> (Table 5)</w:t>
      </w:r>
      <w:r>
        <w:rPr>
          <w:rFonts w:ascii="Arial" w:hAnsi="Arial" w:cs="Arial"/>
          <w:sz w:val="20"/>
          <w:szCs w:val="20"/>
          <w:lang w:val="en-US"/>
        </w:rPr>
        <w:t>. Reduction i</w:t>
      </w:r>
      <w:r>
        <w:rPr>
          <w:rFonts w:ascii="Arial" w:hAnsi="Arial" w:cs="Arial"/>
          <w:sz w:val="20"/>
          <w:szCs w:val="20"/>
          <w:lang w:val="en-US"/>
        </w:rPr>
        <w:t>n water intake was observed in the 2500mg/kg and 5000mg/kg treated group. There was also a decrease in food intake in the 5000mg/kg treated group coupled with staggered defecation. The observations resolved within 24 hours after the 14-day period of the st</w:t>
      </w:r>
      <w:r>
        <w:rPr>
          <w:rFonts w:ascii="Arial" w:hAnsi="Arial" w:cs="Arial"/>
          <w:sz w:val="20"/>
          <w:szCs w:val="20"/>
          <w:lang w:val="en-US"/>
        </w:rPr>
        <w:t xml:space="preserve">udy. This indicates that </w:t>
      </w:r>
      <w:r>
        <w:rPr>
          <w:rFonts w:ascii="Arial" w:hAnsi="Arial" w:cs="Arial"/>
          <w:i/>
          <w:iCs/>
          <w:sz w:val="20"/>
          <w:szCs w:val="20"/>
          <w:lang w:val="en-US"/>
        </w:rPr>
        <w:t xml:space="preserve">E. elephantina </w:t>
      </w:r>
      <w:r>
        <w:rPr>
          <w:rFonts w:ascii="Arial" w:hAnsi="Arial" w:cs="Arial"/>
          <w:sz w:val="20"/>
          <w:szCs w:val="20"/>
          <w:lang w:val="en-US"/>
        </w:rPr>
        <w:t xml:space="preserve">may result in constipation at high doses above 5000mg/kg. Drowsiness which was observed in the 2500mg/kg and 5000mg/kg also resolved after 24 hours of the study period. Our findings indicated that the </w:t>
      </w:r>
      <w:r>
        <w:rPr>
          <w:rFonts w:ascii="Arial" w:hAnsi="Arial" w:cs="Arial"/>
          <w:i/>
          <w:iCs/>
          <w:sz w:val="20"/>
          <w:szCs w:val="20"/>
          <w:lang w:val="en-US"/>
        </w:rPr>
        <w:t>E. elephantina</w:t>
      </w:r>
      <w:r>
        <w:rPr>
          <w:rFonts w:ascii="Arial" w:hAnsi="Arial" w:cs="Arial"/>
          <w:sz w:val="20"/>
          <w:szCs w:val="20"/>
          <w:lang w:val="en-US"/>
        </w:rPr>
        <w:t xml:space="preserve"> extract at doses up to 5000 mg/kg body weight do not cause death nor any serious physiological complications. The use of </w:t>
      </w:r>
      <w:r>
        <w:rPr>
          <w:rFonts w:ascii="Arial" w:hAnsi="Arial" w:cs="Arial"/>
          <w:i/>
          <w:iCs/>
          <w:sz w:val="20"/>
          <w:szCs w:val="20"/>
          <w:lang w:val="en-US"/>
        </w:rPr>
        <w:t>Elephantorrhiza elephantina</w:t>
      </w:r>
      <w:r>
        <w:rPr>
          <w:rFonts w:ascii="Arial" w:hAnsi="Arial" w:cs="Arial"/>
          <w:sz w:val="20"/>
          <w:szCs w:val="20"/>
          <w:lang w:val="en-US"/>
        </w:rPr>
        <w:t xml:space="preserve"> extracts at concentration less than 5000mg/kg to achieve the desired bioactivity effects will not pose any</w:t>
      </w:r>
      <w:r>
        <w:rPr>
          <w:rFonts w:ascii="Arial" w:hAnsi="Arial" w:cs="Arial"/>
          <w:sz w:val="20"/>
          <w:szCs w:val="20"/>
          <w:lang w:val="en-US"/>
        </w:rPr>
        <w:t xml:space="preserve"> toxicity </w:t>
      </w:r>
      <w:r w:rsidRPr="00612F42">
        <w:rPr>
          <w:rFonts w:ascii="Arial" w:hAnsi="Arial" w:cs="Arial"/>
          <w:sz w:val="20"/>
          <w:szCs w:val="20"/>
          <w:lang w:val="en-US"/>
        </w:rPr>
        <w:t>in E. elephantina based treatments</w:t>
      </w:r>
    </w:p>
    <w:p w14:paraId="4D2F5DCB" w14:textId="7B725170" w:rsidR="00A80A21" w:rsidRPr="00612F42" w:rsidRDefault="00BC5F10">
      <w:pPr>
        <w:spacing w:before="144" w:after="72"/>
        <w:jc w:val="both"/>
        <w:outlineLvl w:val="1"/>
        <w:rPr>
          <w:i/>
          <w:iCs/>
          <w:color w:val="44546A"/>
          <w:sz w:val="18"/>
          <w:szCs w:val="18"/>
        </w:rPr>
      </w:pPr>
      <w:r w:rsidRPr="00612F42">
        <w:rPr>
          <w:i/>
          <w:iCs/>
          <w:color w:val="44546A"/>
          <w:sz w:val="18"/>
          <w:szCs w:val="18"/>
        </w:rPr>
        <w:t xml:space="preserve">Table </w:t>
      </w:r>
      <w:r w:rsidR="00612F42" w:rsidRPr="00612F42">
        <w:rPr>
          <w:i/>
          <w:iCs/>
          <w:color w:val="44546A"/>
          <w:sz w:val="18"/>
          <w:szCs w:val="18"/>
        </w:rPr>
        <w:t>5</w:t>
      </w:r>
      <w:r w:rsidRPr="00612F42">
        <w:rPr>
          <w:i/>
          <w:iCs/>
          <w:color w:val="44546A"/>
          <w:sz w:val="18"/>
          <w:szCs w:val="18"/>
        </w:rPr>
        <w:t>. Observations from acute toxicity profiling of E. Elephantina</w:t>
      </w:r>
    </w:p>
    <w:tbl>
      <w:tblPr>
        <w:tblStyle w:val="TableGrid2"/>
        <w:tblpPr w:leftFromText="180" w:rightFromText="180" w:vertAnchor="text" w:horzAnchor="margin" w:tblpY="133"/>
        <w:tblW w:w="0" w:type="auto"/>
        <w:tblLook w:val="04A0" w:firstRow="1" w:lastRow="0" w:firstColumn="1" w:lastColumn="0" w:noHBand="0" w:noVBand="1"/>
      </w:tblPr>
      <w:tblGrid>
        <w:gridCol w:w="1858"/>
        <w:gridCol w:w="2102"/>
        <w:gridCol w:w="1620"/>
        <w:gridCol w:w="1800"/>
        <w:gridCol w:w="1646"/>
      </w:tblGrid>
      <w:tr w:rsidR="00A80A21" w14:paraId="2F221960" w14:textId="77777777">
        <w:trPr>
          <w:trHeight w:val="395"/>
        </w:trPr>
        <w:tc>
          <w:tcPr>
            <w:tcW w:w="1858" w:type="dxa"/>
            <w:tcBorders>
              <w:left w:val="nil"/>
              <w:bottom w:val="single" w:sz="4" w:space="0" w:color="auto"/>
              <w:right w:val="nil"/>
            </w:tcBorders>
          </w:tcPr>
          <w:p w14:paraId="2D2E1A6D" w14:textId="77777777" w:rsidR="00A80A21" w:rsidRDefault="00BC5F10" w:rsidP="009B64BE">
            <w:pPr>
              <w:jc w:val="center"/>
              <w:rPr>
                <w:rFonts w:ascii="Arial" w:hAnsi="Arial" w:cs="Arial"/>
                <w:b/>
                <w:bCs/>
                <w:sz w:val="20"/>
                <w:szCs w:val="20"/>
              </w:rPr>
            </w:pPr>
            <w:r>
              <w:rPr>
                <w:rFonts w:ascii="Arial" w:hAnsi="Arial" w:cs="Arial"/>
                <w:b/>
                <w:bCs/>
                <w:sz w:val="20"/>
                <w:szCs w:val="20"/>
              </w:rPr>
              <w:t>Observed Parameter</w:t>
            </w:r>
          </w:p>
        </w:tc>
        <w:tc>
          <w:tcPr>
            <w:tcW w:w="7168" w:type="dxa"/>
            <w:gridSpan w:val="4"/>
            <w:tcBorders>
              <w:left w:val="nil"/>
              <w:bottom w:val="single" w:sz="4" w:space="0" w:color="auto"/>
              <w:right w:val="nil"/>
            </w:tcBorders>
          </w:tcPr>
          <w:p w14:paraId="5CB88DBB" w14:textId="77777777" w:rsidR="00A80A21" w:rsidRDefault="00BC5F10" w:rsidP="009B64BE">
            <w:pPr>
              <w:jc w:val="center"/>
              <w:rPr>
                <w:rFonts w:ascii="Arial" w:hAnsi="Arial" w:cs="Arial"/>
                <w:b/>
                <w:bCs/>
                <w:i/>
                <w:iCs/>
                <w:sz w:val="20"/>
                <w:szCs w:val="20"/>
              </w:rPr>
            </w:pPr>
            <w:r>
              <w:rPr>
                <w:rFonts w:ascii="Arial" w:hAnsi="Arial" w:cs="Arial"/>
                <w:b/>
                <w:bCs/>
                <w:sz w:val="20"/>
                <w:szCs w:val="20"/>
              </w:rPr>
              <w:t xml:space="preserve">Dose of </w:t>
            </w:r>
            <w:r>
              <w:rPr>
                <w:rFonts w:ascii="Arial" w:hAnsi="Arial" w:cs="Arial"/>
                <w:b/>
                <w:bCs/>
                <w:i/>
                <w:iCs/>
                <w:sz w:val="20"/>
                <w:szCs w:val="20"/>
              </w:rPr>
              <w:t>E. Elephantina in mg/kg body weight</w:t>
            </w:r>
          </w:p>
        </w:tc>
      </w:tr>
      <w:tr w:rsidR="00A80A21" w14:paraId="79CC54D0" w14:textId="77777777">
        <w:trPr>
          <w:trHeight w:val="314"/>
        </w:trPr>
        <w:tc>
          <w:tcPr>
            <w:tcW w:w="1858" w:type="dxa"/>
            <w:tcBorders>
              <w:left w:val="nil"/>
              <w:bottom w:val="single" w:sz="4" w:space="0" w:color="auto"/>
              <w:right w:val="nil"/>
            </w:tcBorders>
          </w:tcPr>
          <w:p w14:paraId="4A343491" w14:textId="77777777" w:rsidR="00A80A21" w:rsidRDefault="00A80A21" w:rsidP="009B64BE">
            <w:pPr>
              <w:jc w:val="center"/>
              <w:rPr>
                <w:rFonts w:ascii="Arial" w:hAnsi="Arial" w:cs="Arial"/>
                <w:b/>
                <w:bCs/>
                <w:sz w:val="20"/>
                <w:szCs w:val="20"/>
              </w:rPr>
            </w:pPr>
          </w:p>
        </w:tc>
        <w:tc>
          <w:tcPr>
            <w:tcW w:w="2102" w:type="dxa"/>
            <w:tcBorders>
              <w:left w:val="nil"/>
              <w:bottom w:val="single" w:sz="4" w:space="0" w:color="auto"/>
              <w:right w:val="nil"/>
            </w:tcBorders>
          </w:tcPr>
          <w:p w14:paraId="4FD17D76" w14:textId="77777777" w:rsidR="00A80A21" w:rsidRDefault="00BC5F10" w:rsidP="009B64BE">
            <w:pPr>
              <w:jc w:val="center"/>
              <w:rPr>
                <w:rFonts w:ascii="Arial" w:hAnsi="Arial" w:cs="Arial"/>
                <w:b/>
                <w:bCs/>
                <w:sz w:val="20"/>
                <w:szCs w:val="20"/>
              </w:rPr>
            </w:pPr>
            <w:r>
              <w:rPr>
                <w:rFonts w:ascii="Arial" w:hAnsi="Arial" w:cs="Arial"/>
                <w:b/>
                <w:bCs/>
                <w:sz w:val="20"/>
                <w:szCs w:val="20"/>
              </w:rPr>
              <w:t>Control (0mg)</w:t>
            </w:r>
          </w:p>
        </w:tc>
        <w:tc>
          <w:tcPr>
            <w:tcW w:w="1620" w:type="dxa"/>
            <w:tcBorders>
              <w:left w:val="nil"/>
              <w:bottom w:val="single" w:sz="4" w:space="0" w:color="auto"/>
              <w:right w:val="nil"/>
            </w:tcBorders>
          </w:tcPr>
          <w:p w14:paraId="32C6E917" w14:textId="77777777" w:rsidR="00A80A21" w:rsidRDefault="00BC5F10" w:rsidP="009B64BE">
            <w:pPr>
              <w:jc w:val="center"/>
              <w:rPr>
                <w:rFonts w:ascii="Arial" w:hAnsi="Arial" w:cs="Arial"/>
                <w:b/>
                <w:bCs/>
                <w:sz w:val="20"/>
                <w:szCs w:val="20"/>
              </w:rPr>
            </w:pPr>
            <w:r>
              <w:rPr>
                <w:rFonts w:ascii="Arial" w:hAnsi="Arial" w:cs="Arial"/>
                <w:b/>
                <w:bCs/>
                <w:sz w:val="20"/>
                <w:szCs w:val="20"/>
              </w:rPr>
              <w:t>500mg</w:t>
            </w:r>
          </w:p>
        </w:tc>
        <w:tc>
          <w:tcPr>
            <w:tcW w:w="1800" w:type="dxa"/>
            <w:tcBorders>
              <w:left w:val="nil"/>
              <w:bottom w:val="single" w:sz="4" w:space="0" w:color="auto"/>
              <w:right w:val="nil"/>
            </w:tcBorders>
          </w:tcPr>
          <w:p w14:paraId="13E8ED4D" w14:textId="77777777" w:rsidR="00A80A21" w:rsidRDefault="00BC5F10" w:rsidP="009B64BE">
            <w:pPr>
              <w:jc w:val="center"/>
              <w:rPr>
                <w:rFonts w:ascii="Arial" w:hAnsi="Arial" w:cs="Arial"/>
                <w:b/>
                <w:bCs/>
                <w:sz w:val="20"/>
                <w:szCs w:val="20"/>
              </w:rPr>
            </w:pPr>
            <w:r>
              <w:rPr>
                <w:rFonts w:ascii="Arial" w:hAnsi="Arial" w:cs="Arial"/>
                <w:b/>
                <w:bCs/>
                <w:sz w:val="20"/>
                <w:szCs w:val="20"/>
              </w:rPr>
              <w:t>2500mg</w:t>
            </w:r>
          </w:p>
        </w:tc>
        <w:tc>
          <w:tcPr>
            <w:tcW w:w="1646" w:type="dxa"/>
            <w:tcBorders>
              <w:left w:val="nil"/>
              <w:bottom w:val="single" w:sz="4" w:space="0" w:color="auto"/>
              <w:right w:val="nil"/>
            </w:tcBorders>
          </w:tcPr>
          <w:p w14:paraId="69E4638F" w14:textId="77777777" w:rsidR="00A80A21" w:rsidRDefault="00BC5F10" w:rsidP="009B64BE">
            <w:pPr>
              <w:jc w:val="center"/>
              <w:rPr>
                <w:rFonts w:ascii="Arial" w:hAnsi="Arial" w:cs="Arial"/>
                <w:b/>
                <w:bCs/>
                <w:sz w:val="20"/>
                <w:szCs w:val="20"/>
              </w:rPr>
            </w:pPr>
            <w:r>
              <w:rPr>
                <w:rFonts w:ascii="Arial" w:hAnsi="Arial" w:cs="Arial"/>
                <w:b/>
                <w:bCs/>
                <w:sz w:val="20"/>
                <w:szCs w:val="20"/>
              </w:rPr>
              <w:t>5000mg</w:t>
            </w:r>
          </w:p>
        </w:tc>
      </w:tr>
      <w:tr w:rsidR="00A80A21" w14:paraId="748FF761" w14:textId="77777777">
        <w:tc>
          <w:tcPr>
            <w:tcW w:w="1858" w:type="dxa"/>
            <w:tcBorders>
              <w:top w:val="single" w:sz="4" w:space="0" w:color="auto"/>
              <w:left w:val="nil"/>
              <w:bottom w:val="nil"/>
              <w:right w:val="nil"/>
            </w:tcBorders>
          </w:tcPr>
          <w:p w14:paraId="2EDEB709"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Food intake</w:t>
            </w:r>
          </w:p>
        </w:tc>
        <w:tc>
          <w:tcPr>
            <w:tcW w:w="2102" w:type="dxa"/>
            <w:tcBorders>
              <w:top w:val="single" w:sz="4" w:space="0" w:color="auto"/>
              <w:left w:val="nil"/>
              <w:bottom w:val="nil"/>
              <w:right w:val="nil"/>
            </w:tcBorders>
          </w:tcPr>
          <w:p w14:paraId="31209755"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Normal</w:t>
            </w:r>
          </w:p>
        </w:tc>
        <w:tc>
          <w:tcPr>
            <w:tcW w:w="1620" w:type="dxa"/>
            <w:tcBorders>
              <w:top w:val="single" w:sz="4" w:space="0" w:color="auto"/>
              <w:left w:val="nil"/>
              <w:bottom w:val="nil"/>
              <w:right w:val="nil"/>
            </w:tcBorders>
          </w:tcPr>
          <w:p w14:paraId="4A5A6129"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Normal</w:t>
            </w:r>
          </w:p>
        </w:tc>
        <w:tc>
          <w:tcPr>
            <w:tcW w:w="1800" w:type="dxa"/>
            <w:tcBorders>
              <w:top w:val="single" w:sz="4" w:space="0" w:color="auto"/>
              <w:left w:val="nil"/>
              <w:bottom w:val="nil"/>
              <w:right w:val="nil"/>
            </w:tcBorders>
          </w:tcPr>
          <w:p w14:paraId="084E2E1A"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Normal</w:t>
            </w:r>
          </w:p>
        </w:tc>
        <w:tc>
          <w:tcPr>
            <w:tcW w:w="1646" w:type="dxa"/>
            <w:tcBorders>
              <w:top w:val="single" w:sz="4" w:space="0" w:color="auto"/>
              <w:left w:val="nil"/>
              <w:bottom w:val="nil"/>
              <w:right w:val="nil"/>
            </w:tcBorders>
          </w:tcPr>
          <w:p w14:paraId="3A4B4482"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Reduced</w:t>
            </w:r>
          </w:p>
        </w:tc>
      </w:tr>
      <w:tr w:rsidR="00A80A21" w14:paraId="6D374530" w14:textId="77777777">
        <w:tc>
          <w:tcPr>
            <w:tcW w:w="1858" w:type="dxa"/>
            <w:tcBorders>
              <w:top w:val="nil"/>
              <w:left w:val="nil"/>
              <w:bottom w:val="nil"/>
              <w:right w:val="nil"/>
            </w:tcBorders>
          </w:tcPr>
          <w:p w14:paraId="5212415E"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Water intake</w:t>
            </w:r>
          </w:p>
        </w:tc>
        <w:tc>
          <w:tcPr>
            <w:tcW w:w="2102" w:type="dxa"/>
            <w:tcBorders>
              <w:top w:val="nil"/>
              <w:left w:val="nil"/>
              <w:bottom w:val="nil"/>
              <w:right w:val="nil"/>
            </w:tcBorders>
          </w:tcPr>
          <w:p w14:paraId="21629A2D"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Normal</w:t>
            </w:r>
          </w:p>
        </w:tc>
        <w:tc>
          <w:tcPr>
            <w:tcW w:w="1620" w:type="dxa"/>
            <w:tcBorders>
              <w:top w:val="nil"/>
              <w:left w:val="nil"/>
              <w:bottom w:val="nil"/>
              <w:right w:val="nil"/>
            </w:tcBorders>
          </w:tcPr>
          <w:p w14:paraId="5EC180D2"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Normal</w:t>
            </w:r>
          </w:p>
        </w:tc>
        <w:tc>
          <w:tcPr>
            <w:tcW w:w="1800" w:type="dxa"/>
            <w:tcBorders>
              <w:top w:val="nil"/>
              <w:left w:val="nil"/>
              <w:bottom w:val="nil"/>
              <w:right w:val="nil"/>
            </w:tcBorders>
          </w:tcPr>
          <w:p w14:paraId="4077D546"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Reduced</w:t>
            </w:r>
          </w:p>
        </w:tc>
        <w:tc>
          <w:tcPr>
            <w:tcW w:w="1646" w:type="dxa"/>
            <w:tcBorders>
              <w:top w:val="nil"/>
              <w:left w:val="nil"/>
              <w:bottom w:val="nil"/>
              <w:right w:val="nil"/>
            </w:tcBorders>
          </w:tcPr>
          <w:p w14:paraId="503DC83A"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Reduced</w:t>
            </w:r>
          </w:p>
        </w:tc>
      </w:tr>
      <w:tr w:rsidR="00A80A21" w14:paraId="1D3CDF85" w14:textId="77777777">
        <w:tc>
          <w:tcPr>
            <w:tcW w:w="1858" w:type="dxa"/>
            <w:tcBorders>
              <w:top w:val="nil"/>
              <w:left w:val="nil"/>
              <w:bottom w:val="nil"/>
              <w:right w:val="nil"/>
            </w:tcBorders>
          </w:tcPr>
          <w:p w14:paraId="7C6646C2"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Death</w:t>
            </w:r>
          </w:p>
        </w:tc>
        <w:tc>
          <w:tcPr>
            <w:tcW w:w="2102" w:type="dxa"/>
            <w:tcBorders>
              <w:top w:val="nil"/>
              <w:left w:val="nil"/>
              <w:bottom w:val="nil"/>
              <w:right w:val="nil"/>
            </w:tcBorders>
          </w:tcPr>
          <w:p w14:paraId="7AB57849"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Alive</w:t>
            </w:r>
          </w:p>
        </w:tc>
        <w:tc>
          <w:tcPr>
            <w:tcW w:w="1620" w:type="dxa"/>
            <w:tcBorders>
              <w:top w:val="nil"/>
              <w:left w:val="nil"/>
              <w:bottom w:val="nil"/>
              <w:right w:val="nil"/>
            </w:tcBorders>
          </w:tcPr>
          <w:p w14:paraId="1ED47372"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Alive</w:t>
            </w:r>
          </w:p>
        </w:tc>
        <w:tc>
          <w:tcPr>
            <w:tcW w:w="1800" w:type="dxa"/>
            <w:tcBorders>
              <w:top w:val="nil"/>
              <w:left w:val="nil"/>
              <w:bottom w:val="nil"/>
              <w:right w:val="nil"/>
            </w:tcBorders>
          </w:tcPr>
          <w:p w14:paraId="575D97AE"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Alive</w:t>
            </w:r>
          </w:p>
        </w:tc>
        <w:tc>
          <w:tcPr>
            <w:tcW w:w="1646" w:type="dxa"/>
            <w:tcBorders>
              <w:top w:val="nil"/>
              <w:left w:val="nil"/>
              <w:bottom w:val="nil"/>
              <w:right w:val="nil"/>
            </w:tcBorders>
          </w:tcPr>
          <w:p w14:paraId="3C90E20D"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Alive</w:t>
            </w:r>
          </w:p>
        </w:tc>
      </w:tr>
      <w:tr w:rsidR="00A80A21" w14:paraId="594BFDCA" w14:textId="77777777">
        <w:tc>
          <w:tcPr>
            <w:tcW w:w="1858" w:type="dxa"/>
            <w:tcBorders>
              <w:top w:val="nil"/>
              <w:left w:val="nil"/>
              <w:bottom w:val="nil"/>
              <w:right w:val="nil"/>
            </w:tcBorders>
          </w:tcPr>
          <w:p w14:paraId="4357C024"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Breathing</w:t>
            </w:r>
          </w:p>
        </w:tc>
        <w:tc>
          <w:tcPr>
            <w:tcW w:w="2102" w:type="dxa"/>
            <w:tcBorders>
              <w:top w:val="nil"/>
              <w:left w:val="nil"/>
              <w:bottom w:val="nil"/>
              <w:right w:val="nil"/>
            </w:tcBorders>
          </w:tcPr>
          <w:p w14:paraId="18730237"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Normal</w:t>
            </w:r>
          </w:p>
        </w:tc>
        <w:tc>
          <w:tcPr>
            <w:tcW w:w="1620" w:type="dxa"/>
            <w:tcBorders>
              <w:top w:val="nil"/>
              <w:left w:val="nil"/>
              <w:bottom w:val="nil"/>
              <w:right w:val="nil"/>
            </w:tcBorders>
          </w:tcPr>
          <w:p w14:paraId="0F28C95B"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Normal</w:t>
            </w:r>
          </w:p>
        </w:tc>
        <w:tc>
          <w:tcPr>
            <w:tcW w:w="1800" w:type="dxa"/>
            <w:tcBorders>
              <w:top w:val="nil"/>
              <w:left w:val="nil"/>
              <w:bottom w:val="nil"/>
              <w:right w:val="nil"/>
            </w:tcBorders>
          </w:tcPr>
          <w:p w14:paraId="2AC16594"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Normal</w:t>
            </w:r>
          </w:p>
        </w:tc>
        <w:tc>
          <w:tcPr>
            <w:tcW w:w="1646" w:type="dxa"/>
            <w:tcBorders>
              <w:top w:val="nil"/>
              <w:left w:val="nil"/>
              <w:bottom w:val="nil"/>
              <w:right w:val="nil"/>
            </w:tcBorders>
          </w:tcPr>
          <w:p w14:paraId="5862971C"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Normal</w:t>
            </w:r>
          </w:p>
        </w:tc>
      </w:tr>
      <w:tr w:rsidR="00A80A21" w14:paraId="2122367F" w14:textId="77777777">
        <w:tc>
          <w:tcPr>
            <w:tcW w:w="1858" w:type="dxa"/>
            <w:tcBorders>
              <w:top w:val="nil"/>
              <w:left w:val="nil"/>
              <w:bottom w:val="nil"/>
              <w:right w:val="nil"/>
            </w:tcBorders>
          </w:tcPr>
          <w:p w14:paraId="53540872"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Defecation</w:t>
            </w:r>
          </w:p>
        </w:tc>
        <w:tc>
          <w:tcPr>
            <w:tcW w:w="2102" w:type="dxa"/>
            <w:tcBorders>
              <w:top w:val="nil"/>
              <w:left w:val="nil"/>
              <w:bottom w:val="nil"/>
              <w:right w:val="nil"/>
            </w:tcBorders>
          </w:tcPr>
          <w:p w14:paraId="59D4E3FD"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Normal</w:t>
            </w:r>
          </w:p>
        </w:tc>
        <w:tc>
          <w:tcPr>
            <w:tcW w:w="1620" w:type="dxa"/>
            <w:tcBorders>
              <w:top w:val="nil"/>
              <w:left w:val="nil"/>
              <w:bottom w:val="nil"/>
              <w:right w:val="nil"/>
            </w:tcBorders>
          </w:tcPr>
          <w:p w14:paraId="573B544C"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Normal</w:t>
            </w:r>
          </w:p>
        </w:tc>
        <w:tc>
          <w:tcPr>
            <w:tcW w:w="1800" w:type="dxa"/>
            <w:tcBorders>
              <w:top w:val="nil"/>
              <w:left w:val="nil"/>
              <w:bottom w:val="nil"/>
              <w:right w:val="nil"/>
            </w:tcBorders>
          </w:tcPr>
          <w:p w14:paraId="1A1DDD53"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Staggered</w:t>
            </w:r>
          </w:p>
        </w:tc>
        <w:tc>
          <w:tcPr>
            <w:tcW w:w="1646" w:type="dxa"/>
            <w:tcBorders>
              <w:top w:val="nil"/>
              <w:left w:val="nil"/>
              <w:bottom w:val="nil"/>
              <w:right w:val="nil"/>
            </w:tcBorders>
          </w:tcPr>
          <w:p w14:paraId="06C07A58"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Staggered</w:t>
            </w:r>
          </w:p>
        </w:tc>
      </w:tr>
      <w:tr w:rsidR="00A80A21" w14:paraId="0AF3628B" w14:textId="77777777">
        <w:tc>
          <w:tcPr>
            <w:tcW w:w="1858" w:type="dxa"/>
            <w:tcBorders>
              <w:top w:val="nil"/>
              <w:left w:val="nil"/>
              <w:bottom w:val="nil"/>
              <w:right w:val="nil"/>
            </w:tcBorders>
          </w:tcPr>
          <w:p w14:paraId="38916647"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 xml:space="preserve">Skin </w:t>
            </w:r>
            <w:proofErr w:type="spellStart"/>
            <w:r w:rsidRPr="00D40FF3">
              <w:rPr>
                <w:rFonts w:ascii="Arial" w:hAnsi="Arial" w:cs="Arial"/>
                <w:sz w:val="20"/>
                <w:szCs w:val="20"/>
              </w:rPr>
              <w:t>colour</w:t>
            </w:r>
            <w:proofErr w:type="spellEnd"/>
          </w:p>
        </w:tc>
        <w:tc>
          <w:tcPr>
            <w:tcW w:w="2102" w:type="dxa"/>
            <w:tcBorders>
              <w:top w:val="nil"/>
              <w:left w:val="nil"/>
              <w:bottom w:val="nil"/>
              <w:right w:val="nil"/>
            </w:tcBorders>
          </w:tcPr>
          <w:p w14:paraId="3D0D77DA"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Normal</w:t>
            </w:r>
          </w:p>
        </w:tc>
        <w:tc>
          <w:tcPr>
            <w:tcW w:w="1620" w:type="dxa"/>
            <w:tcBorders>
              <w:top w:val="nil"/>
              <w:left w:val="nil"/>
              <w:bottom w:val="nil"/>
              <w:right w:val="nil"/>
            </w:tcBorders>
          </w:tcPr>
          <w:p w14:paraId="48BBB9AA"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Normal</w:t>
            </w:r>
          </w:p>
        </w:tc>
        <w:tc>
          <w:tcPr>
            <w:tcW w:w="1800" w:type="dxa"/>
            <w:tcBorders>
              <w:top w:val="nil"/>
              <w:left w:val="nil"/>
              <w:bottom w:val="nil"/>
              <w:right w:val="nil"/>
            </w:tcBorders>
          </w:tcPr>
          <w:p w14:paraId="64CE95EF"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Normal</w:t>
            </w:r>
          </w:p>
        </w:tc>
        <w:tc>
          <w:tcPr>
            <w:tcW w:w="1646" w:type="dxa"/>
            <w:tcBorders>
              <w:top w:val="nil"/>
              <w:left w:val="nil"/>
              <w:bottom w:val="nil"/>
              <w:right w:val="nil"/>
            </w:tcBorders>
          </w:tcPr>
          <w:p w14:paraId="645AD03B"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Normal</w:t>
            </w:r>
          </w:p>
        </w:tc>
      </w:tr>
      <w:tr w:rsidR="00A80A21" w14:paraId="0BF88CAA" w14:textId="77777777">
        <w:tc>
          <w:tcPr>
            <w:tcW w:w="1858" w:type="dxa"/>
            <w:tcBorders>
              <w:top w:val="nil"/>
              <w:left w:val="nil"/>
              <w:bottom w:val="nil"/>
              <w:right w:val="nil"/>
            </w:tcBorders>
          </w:tcPr>
          <w:p w14:paraId="361832AF"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Drowsiness</w:t>
            </w:r>
          </w:p>
        </w:tc>
        <w:tc>
          <w:tcPr>
            <w:tcW w:w="2102" w:type="dxa"/>
            <w:tcBorders>
              <w:top w:val="nil"/>
              <w:left w:val="nil"/>
              <w:bottom w:val="nil"/>
              <w:right w:val="nil"/>
            </w:tcBorders>
          </w:tcPr>
          <w:p w14:paraId="595D224A"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Not observed</w:t>
            </w:r>
          </w:p>
        </w:tc>
        <w:tc>
          <w:tcPr>
            <w:tcW w:w="1620" w:type="dxa"/>
            <w:tcBorders>
              <w:top w:val="nil"/>
              <w:left w:val="nil"/>
              <w:bottom w:val="nil"/>
              <w:right w:val="nil"/>
            </w:tcBorders>
          </w:tcPr>
          <w:p w14:paraId="64F94BFE"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Not observed</w:t>
            </w:r>
          </w:p>
        </w:tc>
        <w:tc>
          <w:tcPr>
            <w:tcW w:w="1800" w:type="dxa"/>
            <w:tcBorders>
              <w:top w:val="nil"/>
              <w:left w:val="nil"/>
              <w:bottom w:val="nil"/>
              <w:right w:val="nil"/>
            </w:tcBorders>
          </w:tcPr>
          <w:p w14:paraId="4AE54AAE"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Slight</w:t>
            </w:r>
          </w:p>
        </w:tc>
        <w:tc>
          <w:tcPr>
            <w:tcW w:w="1646" w:type="dxa"/>
            <w:tcBorders>
              <w:top w:val="nil"/>
              <w:left w:val="nil"/>
              <w:bottom w:val="nil"/>
              <w:right w:val="nil"/>
            </w:tcBorders>
          </w:tcPr>
          <w:p w14:paraId="596ED545"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Slight</w:t>
            </w:r>
          </w:p>
        </w:tc>
      </w:tr>
      <w:tr w:rsidR="00A80A21" w14:paraId="3010F0BE" w14:textId="77777777">
        <w:tc>
          <w:tcPr>
            <w:tcW w:w="1858" w:type="dxa"/>
            <w:tcBorders>
              <w:top w:val="nil"/>
              <w:left w:val="nil"/>
              <w:bottom w:val="nil"/>
              <w:right w:val="nil"/>
            </w:tcBorders>
          </w:tcPr>
          <w:p w14:paraId="59390C01"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Erection of Fur</w:t>
            </w:r>
          </w:p>
        </w:tc>
        <w:tc>
          <w:tcPr>
            <w:tcW w:w="2102" w:type="dxa"/>
            <w:tcBorders>
              <w:top w:val="nil"/>
              <w:left w:val="nil"/>
              <w:bottom w:val="nil"/>
              <w:right w:val="nil"/>
            </w:tcBorders>
          </w:tcPr>
          <w:p w14:paraId="7C8E6FAE"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Not observed</w:t>
            </w:r>
          </w:p>
        </w:tc>
        <w:tc>
          <w:tcPr>
            <w:tcW w:w="1620" w:type="dxa"/>
            <w:tcBorders>
              <w:top w:val="nil"/>
              <w:left w:val="nil"/>
              <w:bottom w:val="nil"/>
              <w:right w:val="nil"/>
            </w:tcBorders>
          </w:tcPr>
          <w:p w14:paraId="7F5F66EF"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Not observed</w:t>
            </w:r>
          </w:p>
        </w:tc>
        <w:tc>
          <w:tcPr>
            <w:tcW w:w="1800" w:type="dxa"/>
            <w:tcBorders>
              <w:top w:val="nil"/>
              <w:left w:val="nil"/>
              <w:bottom w:val="nil"/>
              <w:right w:val="nil"/>
            </w:tcBorders>
          </w:tcPr>
          <w:p w14:paraId="09FCE16E"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Not observed</w:t>
            </w:r>
          </w:p>
        </w:tc>
        <w:tc>
          <w:tcPr>
            <w:tcW w:w="1646" w:type="dxa"/>
            <w:tcBorders>
              <w:top w:val="nil"/>
              <w:left w:val="nil"/>
              <w:bottom w:val="nil"/>
              <w:right w:val="nil"/>
            </w:tcBorders>
          </w:tcPr>
          <w:p w14:paraId="4560DD27"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Not observed</w:t>
            </w:r>
          </w:p>
        </w:tc>
      </w:tr>
      <w:tr w:rsidR="00A80A21" w14:paraId="4B5C5648" w14:textId="77777777">
        <w:trPr>
          <w:trHeight w:val="477"/>
        </w:trPr>
        <w:tc>
          <w:tcPr>
            <w:tcW w:w="1858" w:type="dxa"/>
            <w:tcBorders>
              <w:top w:val="nil"/>
              <w:left w:val="nil"/>
              <w:bottom w:val="single" w:sz="4" w:space="0" w:color="auto"/>
              <w:right w:val="nil"/>
            </w:tcBorders>
          </w:tcPr>
          <w:p w14:paraId="14F07F1E"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Urination</w:t>
            </w:r>
          </w:p>
        </w:tc>
        <w:tc>
          <w:tcPr>
            <w:tcW w:w="2102" w:type="dxa"/>
            <w:tcBorders>
              <w:top w:val="nil"/>
              <w:left w:val="nil"/>
              <w:bottom w:val="single" w:sz="4" w:space="0" w:color="auto"/>
              <w:right w:val="nil"/>
            </w:tcBorders>
          </w:tcPr>
          <w:p w14:paraId="6949706C"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Normal</w:t>
            </w:r>
          </w:p>
        </w:tc>
        <w:tc>
          <w:tcPr>
            <w:tcW w:w="1620" w:type="dxa"/>
            <w:tcBorders>
              <w:top w:val="nil"/>
              <w:left w:val="nil"/>
              <w:bottom w:val="single" w:sz="4" w:space="0" w:color="auto"/>
              <w:right w:val="nil"/>
            </w:tcBorders>
          </w:tcPr>
          <w:p w14:paraId="416AC6DC"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Normal</w:t>
            </w:r>
          </w:p>
        </w:tc>
        <w:tc>
          <w:tcPr>
            <w:tcW w:w="1800" w:type="dxa"/>
            <w:tcBorders>
              <w:top w:val="nil"/>
              <w:left w:val="nil"/>
              <w:bottom w:val="single" w:sz="4" w:space="0" w:color="auto"/>
              <w:right w:val="nil"/>
            </w:tcBorders>
          </w:tcPr>
          <w:p w14:paraId="385BC7C7"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Increased</w:t>
            </w:r>
          </w:p>
        </w:tc>
        <w:tc>
          <w:tcPr>
            <w:tcW w:w="1646" w:type="dxa"/>
            <w:tcBorders>
              <w:top w:val="nil"/>
              <w:left w:val="nil"/>
              <w:bottom w:val="single" w:sz="4" w:space="0" w:color="auto"/>
              <w:right w:val="nil"/>
            </w:tcBorders>
          </w:tcPr>
          <w:p w14:paraId="340BFFAD" w14:textId="77777777" w:rsidR="00A80A21" w:rsidRPr="00D40FF3" w:rsidRDefault="00BC5F10" w:rsidP="009B64BE">
            <w:pPr>
              <w:jc w:val="center"/>
              <w:rPr>
                <w:rFonts w:ascii="Arial" w:hAnsi="Arial" w:cs="Arial"/>
                <w:sz w:val="20"/>
                <w:szCs w:val="20"/>
              </w:rPr>
            </w:pPr>
            <w:r w:rsidRPr="00D40FF3">
              <w:rPr>
                <w:rFonts w:ascii="Arial" w:hAnsi="Arial" w:cs="Arial"/>
                <w:sz w:val="20"/>
                <w:szCs w:val="20"/>
              </w:rPr>
              <w:t>Increased</w:t>
            </w:r>
          </w:p>
        </w:tc>
      </w:tr>
    </w:tbl>
    <w:p w14:paraId="3066D81B" w14:textId="77777777" w:rsidR="00A80A21" w:rsidRDefault="00A80A21">
      <w:pPr>
        <w:spacing w:before="144" w:after="72"/>
        <w:jc w:val="both"/>
        <w:outlineLvl w:val="1"/>
        <w:rPr>
          <w:rFonts w:ascii="Arial" w:hAnsi="Arial" w:cs="Arial"/>
          <w:b/>
          <w:bCs/>
          <w:color w:val="000000"/>
          <w:sz w:val="20"/>
          <w:szCs w:val="20"/>
          <w:lang w:val="en-US" w:eastAsia="en-US"/>
        </w:rPr>
      </w:pPr>
      <w:bookmarkStart w:id="3" w:name="_Hlk196864826"/>
    </w:p>
    <w:bookmarkEnd w:id="3"/>
    <w:p w14:paraId="46D4D866" w14:textId="113C6D75" w:rsidR="00A80A21" w:rsidRDefault="00A80A21">
      <w:pPr>
        <w:jc w:val="both"/>
        <w:rPr>
          <w:rFonts w:ascii="Arial" w:hAnsi="Arial" w:cs="Arial"/>
          <w:sz w:val="20"/>
          <w:szCs w:val="20"/>
          <w:lang w:val="en-US"/>
        </w:rPr>
      </w:pPr>
    </w:p>
    <w:p w14:paraId="6E7E9280" w14:textId="77777777" w:rsidR="00A80A21" w:rsidRDefault="00BC5F10" w:rsidP="005F65D6">
      <w:pPr>
        <w:pStyle w:val="Heading2"/>
        <w:spacing w:after="240"/>
        <w:jc w:val="both"/>
        <w:rPr>
          <w:rFonts w:cs="Arial"/>
          <w:sz w:val="20"/>
          <w:szCs w:val="20"/>
          <w:lang w:val="en-US"/>
        </w:rPr>
      </w:pPr>
      <w:r>
        <w:rPr>
          <w:rFonts w:cs="Arial"/>
          <w:sz w:val="20"/>
          <w:szCs w:val="20"/>
          <w:lang w:val="en-US"/>
        </w:rPr>
        <w:t xml:space="preserve">Evaluation of subacute toxicity studies </w:t>
      </w:r>
    </w:p>
    <w:p w14:paraId="08C7235A" w14:textId="2CC2F4DF" w:rsidR="00A80A21" w:rsidRDefault="00BC5F10" w:rsidP="005F65D6">
      <w:pPr>
        <w:spacing w:after="240" w:line="276" w:lineRule="auto"/>
        <w:jc w:val="both"/>
        <w:rPr>
          <w:rFonts w:ascii="Arial" w:hAnsi="Arial" w:cs="Arial"/>
          <w:sz w:val="20"/>
          <w:szCs w:val="20"/>
        </w:rPr>
      </w:pPr>
      <w:r>
        <w:rPr>
          <w:rFonts w:ascii="Arial" w:hAnsi="Arial" w:cs="Arial"/>
          <w:sz w:val="20"/>
          <w:szCs w:val="20"/>
          <w:lang w:val="en-US"/>
        </w:rPr>
        <w:t xml:space="preserve">Subacute toxicity assessments of </w:t>
      </w:r>
      <w:r>
        <w:rPr>
          <w:rFonts w:ascii="Arial" w:hAnsi="Arial" w:cs="Arial"/>
          <w:i/>
          <w:iCs/>
          <w:sz w:val="20"/>
          <w:szCs w:val="20"/>
          <w:lang w:val="en-US"/>
        </w:rPr>
        <w:t>E. elephantina</w:t>
      </w:r>
      <w:r>
        <w:rPr>
          <w:rFonts w:ascii="Arial" w:hAnsi="Arial" w:cs="Arial"/>
          <w:sz w:val="20"/>
          <w:szCs w:val="20"/>
          <w:lang w:val="en-US"/>
        </w:rPr>
        <w:t xml:space="preserve"> extracts revealed effects primarily at higher dosages. While no mortality or severe adverse health symptoms were observed, the study identified alterations in hematological and serum biochemical parameters. </w:t>
      </w:r>
      <w:r>
        <w:rPr>
          <w:rFonts w:ascii="Arial" w:hAnsi="Arial" w:cs="Arial"/>
          <w:color w:val="000000"/>
          <w:sz w:val="20"/>
          <w:szCs w:val="20"/>
        </w:rPr>
        <w:t>The subacute toxicity study of the ethanolic ext</w:t>
      </w:r>
      <w:r>
        <w:rPr>
          <w:rFonts w:ascii="Arial" w:hAnsi="Arial" w:cs="Arial"/>
          <w:color w:val="000000"/>
          <w:sz w:val="20"/>
          <w:szCs w:val="20"/>
        </w:rPr>
        <w:t xml:space="preserve">ract of </w:t>
      </w:r>
      <w:r>
        <w:rPr>
          <w:rFonts w:ascii="Arial" w:hAnsi="Arial" w:cs="Arial"/>
          <w:i/>
          <w:iCs/>
          <w:color w:val="000000"/>
          <w:sz w:val="20"/>
          <w:szCs w:val="20"/>
        </w:rPr>
        <w:t>E. elephantina</w:t>
      </w:r>
      <w:r>
        <w:rPr>
          <w:rFonts w:ascii="Arial" w:hAnsi="Arial" w:cs="Arial"/>
          <w:color w:val="000000"/>
          <w:sz w:val="20"/>
          <w:szCs w:val="20"/>
        </w:rPr>
        <w:t xml:space="preserve"> revealed that higher doses can induce mild toxic effects in Sprague Dawley </w:t>
      </w:r>
      <w:r>
        <w:rPr>
          <w:rFonts w:ascii="Arial" w:hAnsi="Arial" w:cs="Arial"/>
          <w:color w:val="000000"/>
          <w:sz w:val="20"/>
          <w:szCs w:val="20"/>
        </w:rPr>
        <w:lastRenderedPageBreak/>
        <w:t xml:space="preserve">rats. Specifically, elevated levels of urea, AST, ALT, and creatinine suggest potential nephrotoxicity and hepatotoxicity. Similar results have been reported </w:t>
      </w:r>
      <w:r>
        <w:rPr>
          <w:rFonts w:ascii="Arial" w:hAnsi="Arial" w:cs="Arial"/>
          <w:color w:val="000000"/>
          <w:sz w:val="20"/>
          <w:szCs w:val="20"/>
        </w:rPr>
        <w:t>in another study</w:t>
      </w:r>
      <w:r w:rsidR="005F65D6">
        <w:rPr>
          <w:vertAlign w:val="superscript"/>
        </w:rPr>
        <w:t>24</w:t>
      </w:r>
      <w:r>
        <w:rPr>
          <w:rFonts w:ascii="Arial" w:hAnsi="Arial" w:cs="Arial"/>
          <w:color w:val="000000"/>
          <w:sz w:val="20"/>
          <w:szCs w:val="20"/>
        </w:rPr>
        <w:t xml:space="preserve">, where aqueous extracts of </w:t>
      </w:r>
      <w:r>
        <w:rPr>
          <w:rFonts w:ascii="Arial" w:hAnsi="Arial" w:cs="Arial"/>
          <w:i/>
          <w:iCs/>
          <w:color w:val="000000"/>
          <w:sz w:val="20"/>
          <w:szCs w:val="20"/>
        </w:rPr>
        <w:t>E. elephantina</w:t>
      </w:r>
      <w:r>
        <w:rPr>
          <w:rFonts w:ascii="Arial" w:hAnsi="Arial" w:cs="Arial"/>
          <w:color w:val="000000"/>
          <w:sz w:val="20"/>
          <w:szCs w:val="20"/>
        </w:rPr>
        <w:t xml:space="preserve"> also exhibited increased creatinine levels at higher doses</w:t>
      </w:r>
      <w:r w:rsidR="005F65D6">
        <w:rPr>
          <w:rFonts w:ascii="Arial" w:hAnsi="Arial" w:cs="Arial"/>
          <w:color w:val="000000"/>
          <w:sz w:val="20"/>
          <w:szCs w:val="20"/>
          <w:vertAlign w:val="superscript"/>
        </w:rPr>
        <w:t>24</w:t>
      </w:r>
      <w:r>
        <w:rPr>
          <w:rFonts w:ascii="Arial" w:hAnsi="Arial" w:cs="Arial"/>
          <w:color w:val="000000"/>
          <w:sz w:val="20"/>
          <w:szCs w:val="20"/>
        </w:rPr>
        <w:t xml:space="preserve">. The mild hepatocellular necrosis and inflammation observed in the liver, along with tubular damage in the kidneys, further </w:t>
      </w:r>
      <w:r>
        <w:rPr>
          <w:rFonts w:ascii="Arial" w:hAnsi="Arial" w:cs="Arial"/>
          <w:color w:val="000000"/>
          <w:sz w:val="20"/>
          <w:szCs w:val="20"/>
        </w:rPr>
        <w:t>corroborate these findings. This explains the increase in urination which was observed in the 1000mg/kg group. These histopathological changes indicate that prolonged exposure to high doses of the extract may impair liver and kidney function. It is worth n</w:t>
      </w:r>
      <w:r>
        <w:rPr>
          <w:rFonts w:ascii="Arial" w:hAnsi="Arial" w:cs="Arial"/>
          <w:color w:val="000000"/>
          <w:sz w:val="20"/>
          <w:szCs w:val="20"/>
        </w:rPr>
        <w:t>oting that the absence of mortality and significant changes in haematological parameters suggests the extract does not cause severe systemic toxicity at the tested doses</w:t>
      </w:r>
      <w:r w:rsidR="00612F42">
        <w:rPr>
          <w:rFonts w:ascii="Arial" w:hAnsi="Arial" w:cs="Arial"/>
          <w:color w:val="000000"/>
          <w:sz w:val="20"/>
          <w:szCs w:val="20"/>
        </w:rPr>
        <w:t xml:space="preserve"> (Figure 6)</w:t>
      </w:r>
      <w:r>
        <w:rPr>
          <w:rFonts w:ascii="Arial" w:hAnsi="Arial" w:cs="Arial"/>
          <w:color w:val="000000"/>
          <w:sz w:val="20"/>
          <w:szCs w:val="20"/>
        </w:rPr>
        <w:t>. However, the observed biochemical and histopathological changes warrant ca</w:t>
      </w:r>
      <w:r>
        <w:rPr>
          <w:rFonts w:ascii="Arial" w:hAnsi="Arial" w:cs="Arial"/>
          <w:color w:val="000000"/>
          <w:sz w:val="20"/>
          <w:szCs w:val="20"/>
        </w:rPr>
        <w:t xml:space="preserve">ution when using high doses of </w:t>
      </w:r>
      <w:r>
        <w:rPr>
          <w:rFonts w:ascii="Arial" w:hAnsi="Arial" w:cs="Arial"/>
          <w:i/>
          <w:iCs/>
          <w:color w:val="000000"/>
          <w:sz w:val="20"/>
          <w:szCs w:val="20"/>
        </w:rPr>
        <w:t>E. elephantina</w:t>
      </w:r>
      <w:r>
        <w:rPr>
          <w:rFonts w:ascii="Arial" w:hAnsi="Arial" w:cs="Arial"/>
          <w:color w:val="000000"/>
          <w:sz w:val="20"/>
          <w:szCs w:val="20"/>
        </w:rPr>
        <w:t xml:space="preserve"> extracts. Given that traditional medicinal practices often involve the oral administration of </w:t>
      </w:r>
      <w:r>
        <w:rPr>
          <w:rFonts w:ascii="Arial" w:hAnsi="Arial" w:cs="Arial"/>
          <w:i/>
          <w:iCs/>
          <w:color w:val="000000"/>
          <w:sz w:val="20"/>
          <w:szCs w:val="20"/>
        </w:rPr>
        <w:t>E. elephantina</w:t>
      </w:r>
      <w:r>
        <w:rPr>
          <w:rFonts w:ascii="Arial" w:hAnsi="Arial" w:cs="Arial"/>
          <w:color w:val="000000"/>
          <w:sz w:val="20"/>
          <w:szCs w:val="20"/>
        </w:rPr>
        <w:t>, these results highlight the importance of dosage considerations and the potential for cumulative tox</w:t>
      </w:r>
      <w:r>
        <w:rPr>
          <w:rFonts w:ascii="Arial" w:hAnsi="Arial" w:cs="Arial"/>
          <w:color w:val="000000"/>
          <w:sz w:val="20"/>
          <w:szCs w:val="20"/>
        </w:rPr>
        <w:t xml:space="preserve">icity with prolonged use. The use of different extraction methods and plant parts from different regions could lead to variations in toxicity of the </w:t>
      </w:r>
      <w:r>
        <w:rPr>
          <w:rFonts w:ascii="Arial" w:hAnsi="Arial" w:cs="Arial"/>
          <w:i/>
          <w:iCs/>
          <w:color w:val="000000"/>
          <w:sz w:val="20"/>
          <w:szCs w:val="20"/>
        </w:rPr>
        <w:t xml:space="preserve">E. elephantina </w:t>
      </w:r>
      <w:r>
        <w:rPr>
          <w:rFonts w:ascii="Arial" w:hAnsi="Arial" w:cs="Arial"/>
          <w:color w:val="000000"/>
          <w:sz w:val="20"/>
          <w:szCs w:val="20"/>
        </w:rPr>
        <w:t>plant extracts. Weight reduction was observed in the 1000mg/kg treated group at the end of t</w:t>
      </w:r>
      <w:r>
        <w:rPr>
          <w:rFonts w:ascii="Arial" w:hAnsi="Arial" w:cs="Arial"/>
          <w:color w:val="000000"/>
          <w:sz w:val="20"/>
          <w:szCs w:val="20"/>
        </w:rPr>
        <w:t>he study</w:t>
      </w:r>
      <w:r w:rsidR="00612F42">
        <w:rPr>
          <w:rFonts w:ascii="Arial" w:hAnsi="Arial" w:cs="Arial"/>
          <w:color w:val="000000"/>
          <w:sz w:val="20"/>
          <w:szCs w:val="20"/>
        </w:rPr>
        <w:t xml:space="preserve"> (Figure 6)</w:t>
      </w:r>
      <w:r>
        <w:rPr>
          <w:rFonts w:ascii="Arial" w:hAnsi="Arial" w:cs="Arial"/>
          <w:color w:val="000000"/>
          <w:sz w:val="20"/>
          <w:szCs w:val="20"/>
        </w:rPr>
        <w:t xml:space="preserve">. Several studies have highlighted the presence of saponins and tannins in </w:t>
      </w:r>
      <w:r>
        <w:rPr>
          <w:rFonts w:ascii="Arial" w:hAnsi="Arial" w:cs="Arial"/>
          <w:i/>
          <w:iCs/>
          <w:color w:val="000000"/>
          <w:sz w:val="20"/>
          <w:szCs w:val="20"/>
        </w:rPr>
        <w:t>E. elephantina</w:t>
      </w:r>
      <w:r>
        <w:rPr>
          <w:rFonts w:ascii="Arial" w:hAnsi="Arial" w:cs="Arial"/>
          <w:color w:val="000000"/>
          <w:sz w:val="20"/>
          <w:szCs w:val="20"/>
        </w:rPr>
        <w:t>, which are known anti-nutritive factors. These compounds may contribute to the observed toxic effects by interfering with nutrient absorption or ca</w:t>
      </w:r>
      <w:r>
        <w:rPr>
          <w:rFonts w:ascii="Arial" w:hAnsi="Arial" w:cs="Arial"/>
          <w:color w:val="000000"/>
          <w:sz w:val="20"/>
          <w:szCs w:val="20"/>
        </w:rPr>
        <w:t xml:space="preserve">using direct cellular damage. Previous studies have documented changes in body weight and alterations in haematological and serum biochemical parameters in animals treated with </w:t>
      </w:r>
      <w:r>
        <w:rPr>
          <w:rFonts w:ascii="Arial" w:hAnsi="Arial" w:cs="Arial"/>
          <w:i/>
          <w:iCs/>
          <w:color w:val="000000"/>
          <w:sz w:val="20"/>
          <w:szCs w:val="20"/>
        </w:rPr>
        <w:t>E. elephantina</w:t>
      </w:r>
      <w:r>
        <w:rPr>
          <w:rFonts w:ascii="Arial" w:hAnsi="Arial" w:cs="Arial"/>
          <w:color w:val="000000"/>
          <w:sz w:val="20"/>
          <w:szCs w:val="20"/>
        </w:rPr>
        <w:t xml:space="preserve">. </w:t>
      </w:r>
    </w:p>
    <w:p w14:paraId="0351811D" w14:textId="77777777" w:rsidR="00A80A21" w:rsidRDefault="00BC5F10">
      <w:pPr>
        <w:keepNext/>
        <w:jc w:val="both"/>
        <w:rPr>
          <w:rFonts w:ascii="Arial" w:hAnsi="Arial" w:cs="Arial"/>
          <w:sz w:val="20"/>
          <w:szCs w:val="20"/>
        </w:rPr>
      </w:pPr>
      <w:r>
        <w:rPr>
          <w:rFonts w:ascii="Arial" w:hAnsi="Arial" w:cs="Arial"/>
          <w:noProof/>
          <w:sz w:val="20"/>
          <w:szCs w:val="20"/>
        </w:rPr>
        <w:drawing>
          <wp:inline distT="0" distB="0" distL="0" distR="0" wp14:anchorId="22A6BF79" wp14:editId="294F4335">
            <wp:extent cx="5760720" cy="3093720"/>
            <wp:effectExtent l="0" t="0" r="11430" b="11430"/>
            <wp:docPr id="39998483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8D2E1E4" w14:textId="7091DE6E" w:rsidR="00A80A21" w:rsidRPr="00612F42" w:rsidRDefault="00BC5F10">
      <w:pPr>
        <w:pStyle w:val="Caption"/>
        <w:jc w:val="both"/>
      </w:pPr>
      <w:r w:rsidRPr="00612F42">
        <w:t xml:space="preserve">Figure </w:t>
      </w:r>
      <w:r>
        <w:fldChar w:fldCharType="begin"/>
      </w:r>
      <w:r>
        <w:instrText xml:space="preserve"> SEQ Figure \* ARABIC </w:instrText>
      </w:r>
      <w:r>
        <w:fldChar w:fldCharType="separate"/>
      </w:r>
      <w:r w:rsidR="001E4886" w:rsidRPr="00612F42">
        <w:t>6</w:t>
      </w:r>
      <w:r>
        <w:fldChar w:fldCharType="end"/>
      </w:r>
      <w:r w:rsidRPr="00612F42">
        <w:t xml:space="preserve"> Shows Sprague-Dawley rats </w:t>
      </w:r>
      <w:r w:rsidRPr="00612F42">
        <w:t>weight over the subacute toxicity test investigation period (g)</w:t>
      </w:r>
    </w:p>
    <w:p w14:paraId="0D23C078" w14:textId="77777777" w:rsidR="00D15BDF" w:rsidRDefault="00D15BDF">
      <w:pPr>
        <w:jc w:val="both"/>
        <w:rPr>
          <w:rFonts w:ascii="Arial" w:hAnsi="Arial" w:cs="Arial"/>
          <w:sz w:val="20"/>
          <w:szCs w:val="20"/>
          <w:lang w:val="en-US"/>
        </w:rPr>
      </w:pPr>
    </w:p>
    <w:p w14:paraId="53E570F5" w14:textId="77777777" w:rsidR="00A80A21" w:rsidRDefault="00BC5F10" w:rsidP="00D40FF3">
      <w:pPr>
        <w:pStyle w:val="Heading3"/>
        <w:rPr>
          <w:lang w:val="en-US"/>
        </w:rPr>
      </w:pPr>
      <w:r>
        <w:rPr>
          <w:lang w:val="en-US"/>
        </w:rPr>
        <w:t xml:space="preserve">Hematology: </w:t>
      </w:r>
    </w:p>
    <w:p w14:paraId="242B3A8D" w14:textId="77777777" w:rsidR="00A80A21" w:rsidRDefault="00A80A21">
      <w:pPr>
        <w:ind w:left="720"/>
        <w:jc w:val="both"/>
        <w:rPr>
          <w:rFonts w:ascii="Arial" w:eastAsia="SimSun" w:hAnsi="Arial" w:cs="Arial"/>
          <w:color w:val="000000"/>
          <w:sz w:val="20"/>
          <w:szCs w:val="20"/>
          <w:lang w:val="en-US"/>
        </w:rPr>
      </w:pPr>
    </w:p>
    <w:p w14:paraId="2971FB01" w14:textId="77777777" w:rsidR="00A80A21" w:rsidRDefault="00BC5F10">
      <w:pPr>
        <w:jc w:val="both"/>
        <w:rPr>
          <w:rFonts w:ascii="Arial" w:eastAsia="SimSun" w:hAnsi="Arial" w:cs="Arial"/>
          <w:color w:val="000000"/>
          <w:sz w:val="20"/>
          <w:szCs w:val="20"/>
          <w:lang w:val="en-US"/>
        </w:rPr>
      </w:pPr>
      <w:r>
        <w:rPr>
          <w:rFonts w:ascii="Arial" w:eastAsia="SimSun" w:hAnsi="Arial" w:cs="Arial"/>
          <w:color w:val="000000"/>
          <w:sz w:val="20"/>
          <w:szCs w:val="20"/>
          <w:lang w:val="en-US"/>
        </w:rPr>
        <w:t xml:space="preserve">No significant differences were observed in hematological parameters between the treated and control groups. </w:t>
      </w:r>
    </w:p>
    <w:p w14:paraId="14B72FA8" w14:textId="77777777" w:rsidR="00A80A21" w:rsidRDefault="00A80A21">
      <w:pPr>
        <w:jc w:val="both"/>
        <w:rPr>
          <w:rFonts w:ascii="Arial" w:eastAsia="SimSun" w:hAnsi="Arial" w:cs="Arial"/>
          <w:color w:val="000000"/>
          <w:sz w:val="20"/>
          <w:szCs w:val="20"/>
          <w:lang w:val="en-US"/>
        </w:rPr>
      </w:pPr>
    </w:p>
    <w:p w14:paraId="78412541" w14:textId="446ADFD9" w:rsidR="00612F42" w:rsidRDefault="00612F42">
      <w:pPr>
        <w:jc w:val="both"/>
        <w:rPr>
          <w:i/>
          <w:iCs/>
          <w:color w:val="44546A"/>
          <w:sz w:val="18"/>
          <w:szCs w:val="18"/>
        </w:rPr>
      </w:pPr>
      <w:r w:rsidRPr="00612F42">
        <w:rPr>
          <w:i/>
          <w:iCs/>
          <w:color w:val="44546A"/>
          <w:sz w:val="18"/>
          <w:szCs w:val="18"/>
        </w:rPr>
        <w:t xml:space="preserve">Table  6, </w:t>
      </w:r>
      <w:proofErr w:type="spellStart"/>
      <w:r w:rsidRPr="00612F42">
        <w:rPr>
          <w:i/>
          <w:iCs/>
          <w:color w:val="44546A"/>
          <w:sz w:val="18"/>
          <w:szCs w:val="18"/>
        </w:rPr>
        <w:t>Hematological</w:t>
      </w:r>
      <w:proofErr w:type="spellEnd"/>
      <w:r w:rsidRPr="00612F42">
        <w:rPr>
          <w:i/>
          <w:iCs/>
          <w:color w:val="44546A"/>
          <w:sz w:val="18"/>
          <w:szCs w:val="18"/>
        </w:rPr>
        <w:t xml:space="preserve"> parameters </w:t>
      </w:r>
    </w:p>
    <w:p w14:paraId="2FBEC3D0" w14:textId="77777777" w:rsidR="00612F42" w:rsidRPr="00612F42" w:rsidRDefault="00612F42">
      <w:pPr>
        <w:jc w:val="both"/>
        <w:rPr>
          <w:i/>
          <w:iCs/>
          <w:color w:val="44546A"/>
          <w:sz w:val="18"/>
          <w:szCs w:val="18"/>
        </w:rPr>
      </w:pPr>
    </w:p>
    <w:tbl>
      <w:tblPr>
        <w:tblStyle w:val="ListTable21"/>
        <w:tblW w:w="10000" w:type="dxa"/>
        <w:tblLook w:val="04A0" w:firstRow="1" w:lastRow="0" w:firstColumn="1" w:lastColumn="0" w:noHBand="0" w:noVBand="1"/>
      </w:tblPr>
      <w:tblGrid>
        <w:gridCol w:w="1453"/>
        <w:gridCol w:w="2587"/>
        <w:gridCol w:w="2912"/>
        <w:gridCol w:w="3048"/>
      </w:tblGrid>
      <w:tr w:rsidR="00A80A21" w14:paraId="0D5A6996" w14:textId="77777777" w:rsidTr="00B171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2ABEEC9" w14:textId="77777777" w:rsidR="00A80A21" w:rsidRDefault="00BC5F10" w:rsidP="00B1718A">
            <w:pPr>
              <w:jc w:val="center"/>
              <w:rPr>
                <w:rFonts w:ascii="Arial" w:eastAsia="SimSun" w:hAnsi="Arial" w:cs="Arial"/>
                <w:color w:val="000000"/>
                <w:sz w:val="20"/>
                <w:szCs w:val="20"/>
                <w:lang w:val="en-US"/>
              </w:rPr>
            </w:pPr>
            <w:r>
              <w:rPr>
                <w:rFonts w:ascii="Arial" w:eastAsia="SimSun" w:hAnsi="Arial" w:cs="Arial"/>
                <w:color w:val="000000"/>
                <w:sz w:val="20"/>
                <w:szCs w:val="20"/>
                <w:lang w:val="en-US"/>
              </w:rPr>
              <w:t>Parameter</w:t>
            </w:r>
          </w:p>
        </w:tc>
        <w:tc>
          <w:tcPr>
            <w:tcW w:w="0" w:type="auto"/>
          </w:tcPr>
          <w:p w14:paraId="28F47C0C" w14:textId="77777777" w:rsidR="00A80A21" w:rsidRDefault="00BC5F10" w:rsidP="00B1718A">
            <w:pPr>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Control (Mean ± SD)</w:t>
            </w:r>
          </w:p>
        </w:tc>
        <w:tc>
          <w:tcPr>
            <w:tcW w:w="0" w:type="auto"/>
          </w:tcPr>
          <w:p w14:paraId="4647A8D5" w14:textId="77777777" w:rsidR="00A80A21" w:rsidRDefault="00BC5F10" w:rsidP="00B1718A">
            <w:pPr>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500 mg/kg (Mean ± SD)</w:t>
            </w:r>
          </w:p>
        </w:tc>
        <w:tc>
          <w:tcPr>
            <w:tcW w:w="0" w:type="auto"/>
          </w:tcPr>
          <w:p w14:paraId="4624D05D" w14:textId="77777777" w:rsidR="00A80A21" w:rsidRDefault="00BC5F10" w:rsidP="00B1718A">
            <w:pPr>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1000 mg/kg (Mean ± SD)</w:t>
            </w:r>
          </w:p>
        </w:tc>
      </w:tr>
      <w:tr w:rsidR="00A80A21" w14:paraId="5BA81933" w14:textId="77777777" w:rsidTr="00B1718A">
        <w:tc>
          <w:tcPr>
            <w:cnfStyle w:val="001000000000" w:firstRow="0" w:lastRow="0" w:firstColumn="1" w:lastColumn="0" w:oddVBand="0" w:evenVBand="0" w:oddHBand="0" w:evenHBand="0" w:firstRowFirstColumn="0" w:firstRowLastColumn="0" w:lastRowFirstColumn="0" w:lastRowLastColumn="0"/>
            <w:tcW w:w="0" w:type="auto"/>
          </w:tcPr>
          <w:p w14:paraId="60916540" w14:textId="77777777" w:rsidR="00A80A21" w:rsidRPr="00B1718A" w:rsidRDefault="00BC5F10" w:rsidP="00B1718A">
            <w:pPr>
              <w:jc w:val="center"/>
              <w:rPr>
                <w:rFonts w:ascii="Arial" w:eastAsia="SimSun" w:hAnsi="Arial" w:cs="Arial"/>
                <w:b w:val="0"/>
                <w:bCs w:val="0"/>
                <w:color w:val="000000"/>
                <w:sz w:val="20"/>
                <w:szCs w:val="20"/>
                <w:lang w:val="en-US"/>
              </w:rPr>
            </w:pPr>
            <w:r w:rsidRPr="00B1718A">
              <w:rPr>
                <w:rFonts w:ascii="Arial" w:eastAsia="SimSun" w:hAnsi="Arial" w:cs="Arial"/>
                <w:b w:val="0"/>
                <w:bCs w:val="0"/>
                <w:color w:val="000000"/>
                <w:sz w:val="20"/>
                <w:szCs w:val="20"/>
                <w:lang w:val="en-US"/>
              </w:rPr>
              <w:t>WBC</w:t>
            </w:r>
          </w:p>
        </w:tc>
        <w:tc>
          <w:tcPr>
            <w:tcW w:w="0" w:type="auto"/>
          </w:tcPr>
          <w:p w14:paraId="44E62636"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8.5 ± 1.2</w:t>
            </w:r>
          </w:p>
        </w:tc>
        <w:tc>
          <w:tcPr>
            <w:tcW w:w="0" w:type="auto"/>
          </w:tcPr>
          <w:p w14:paraId="4C54B6EA" w14:textId="77777777" w:rsidR="00A80A21"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9.2 ± 1.5</w:t>
            </w:r>
          </w:p>
        </w:tc>
        <w:tc>
          <w:tcPr>
            <w:tcW w:w="0" w:type="auto"/>
          </w:tcPr>
          <w:p w14:paraId="68FA0BEB" w14:textId="77777777" w:rsidR="00A80A21"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10.1 ± 1.8</w:t>
            </w:r>
          </w:p>
        </w:tc>
      </w:tr>
      <w:tr w:rsidR="00A80A21" w14:paraId="4E7DFBC5" w14:textId="77777777" w:rsidTr="00B1718A">
        <w:tc>
          <w:tcPr>
            <w:cnfStyle w:val="001000000000" w:firstRow="0" w:lastRow="0" w:firstColumn="1" w:lastColumn="0" w:oddVBand="0" w:evenVBand="0" w:oddHBand="0" w:evenHBand="0" w:firstRowFirstColumn="0" w:firstRowLastColumn="0" w:lastRowFirstColumn="0" w:lastRowLastColumn="0"/>
            <w:tcW w:w="0" w:type="auto"/>
          </w:tcPr>
          <w:p w14:paraId="5ADBA9C5" w14:textId="77777777" w:rsidR="00A80A21" w:rsidRPr="00B1718A" w:rsidRDefault="00BC5F10" w:rsidP="00B1718A">
            <w:pPr>
              <w:jc w:val="center"/>
              <w:rPr>
                <w:rFonts w:ascii="Arial" w:eastAsia="SimSun" w:hAnsi="Arial" w:cs="Arial"/>
                <w:b w:val="0"/>
                <w:bCs w:val="0"/>
                <w:color w:val="000000"/>
                <w:sz w:val="20"/>
                <w:szCs w:val="20"/>
                <w:lang w:val="en-US"/>
              </w:rPr>
            </w:pPr>
            <w:r w:rsidRPr="00B1718A">
              <w:rPr>
                <w:rFonts w:ascii="Arial" w:eastAsia="SimSun" w:hAnsi="Arial" w:cs="Arial"/>
                <w:b w:val="0"/>
                <w:bCs w:val="0"/>
                <w:color w:val="000000"/>
                <w:sz w:val="20"/>
                <w:szCs w:val="20"/>
                <w:lang w:val="en-US"/>
              </w:rPr>
              <w:t>RBC</w:t>
            </w:r>
          </w:p>
        </w:tc>
        <w:tc>
          <w:tcPr>
            <w:tcW w:w="0" w:type="auto"/>
          </w:tcPr>
          <w:p w14:paraId="380CC827"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7.2 ± 0.8</w:t>
            </w:r>
          </w:p>
        </w:tc>
        <w:tc>
          <w:tcPr>
            <w:tcW w:w="0" w:type="auto"/>
          </w:tcPr>
          <w:p w14:paraId="5D6754FC" w14:textId="77777777" w:rsidR="00A80A21"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7.5 ± 0.9</w:t>
            </w:r>
          </w:p>
        </w:tc>
        <w:tc>
          <w:tcPr>
            <w:tcW w:w="0" w:type="auto"/>
          </w:tcPr>
          <w:p w14:paraId="60343910" w14:textId="77777777" w:rsidR="00A80A21"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6.8 ± 0.7</w:t>
            </w:r>
          </w:p>
        </w:tc>
      </w:tr>
      <w:tr w:rsidR="00A80A21" w14:paraId="1616EBE0" w14:textId="77777777" w:rsidTr="00B1718A">
        <w:tc>
          <w:tcPr>
            <w:cnfStyle w:val="001000000000" w:firstRow="0" w:lastRow="0" w:firstColumn="1" w:lastColumn="0" w:oddVBand="0" w:evenVBand="0" w:oddHBand="0" w:evenHBand="0" w:firstRowFirstColumn="0" w:firstRowLastColumn="0" w:lastRowFirstColumn="0" w:lastRowLastColumn="0"/>
            <w:tcW w:w="0" w:type="auto"/>
          </w:tcPr>
          <w:p w14:paraId="5230900E" w14:textId="77777777" w:rsidR="00A80A21" w:rsidRPr="00B1718A" w:rsidRDefault="00BC5F10" w:rsidP="00B1718A">
            <w:pPr>
              <w:jc w:val="center"/>
              <w:rPr>
                <w:rFonts w:ascii="Arial" w:eastAsia="SimSun" w:hAnsi="Arial" w:cs="Arial"/>
                <w:b w:val="0"/>
                <w:bCs w:val="0"/>
                <w:color w:val="000000"/>
                <w:sz w:val="20"/>
                <w:szCs w:val="20"/>
                <w:lang w:val="en-US"/>
              </w:rPr>
            </w:pPr>
            <w:r w:rsidRPr="00B1718A">
              <w:rPr>
                <w:rFonts w:ascii="Arial" w:eastAsia="SimSun" w:hAnsi="Arial" w:cs="Arial"/>
                <w:b w:val="0"/>
                <w:bCs w:val="0"/>
                <w:color w:val="000000"/>
                <w:sz w:val="20"/>
                <w:szCs w:val="20"/>
                <w:lang w:val="en-US"/>
              </w:rPr>
              <w:t>Hb</w:t>
            </w:r>
          </w:p>
        </w:tc>
        <w:tc>
          <w:tcPr>
            <w:tcW w:w="0" w:type="auto"/>
          </w:tcPr>
          <w:p w14:paraId="2C133A9C"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14.5 ± 1.0</w:t>
            </w:r>
          </w:p>
        </w:tc>
        <w:tc>
          <w:tcPr>
            <w:tcW w:w="0" w:type="auto"/>
          </w:tcPr>
          <w:p w14:paraId="78BC3E1F" w14:textId="77777777" w:rsidR="00A80A21"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15.0 ± 1.2</w:t>
            </w:r>
          </w:p>
        </w:tc>
        <w:tc>
          <w:tcPr>
            <w:tcW w:w="0" w:type="auto"/>
          </w:tcPr>
          <w:p w14:paraId="68A82817" w14:textId="77777777" w:rsidR="00A80A21"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13.8 ± 0.9</w:t>
            </w:r>
          </w:p>
        </w:tc>
      </w:tr>
      <w:tr w:rsidR="00A80A21" w14:paraId="5E89B5BA" w14:textId="77777777" w:rsidTr="00B1718A">
        <w:tc>
          <w:tcPr>
            <w:cnfStyle w:val="001000000000" w:firstRow="0" w:lastRow="0" w:firstColumn="1" w:lastColumn="0" w:oddVBand="0" w:evenVBand="0" w:oddHBand="0" w:evenHBand="0" w:firstRowFirstColumn="0" w:firstRowLastColumn="0" w:lastRowFirstColumn="0" w:lastRowLastColumn="0"/>
            <w:tcW w:w="0" w:type="auto"/>
          </w:tcPr>
          <w:p w14:paraId="0863AAF9" w14:textId="77777777" w:rsidR="00A80A21" w:rsidRPr="00B1718A" w:rsidRDefault="00BC5F10" w:rsidP="00B1718A">
            <w:pPr>
              <w:jc w:val="center"/>
              <w:rPr>
                <w:rFonts w:ascii="Arial" w:eastAsia="SimSun" w:hAnsi="Arial" w:cs="Arial"/>
                <w:b w:val="0"/>
                <w:bCs w:val="0"/>
                <w:color w:val="000000"/>
                <w:sz w:val="20"/>
                <w:szCs w:val="20"/>
                <w:lang w:val="en-US"/>
              </w:rPr>
            </w:pPr>
            <w:r w:rsidRPr="00B1718A">
              <w:rPr>
                <w:rFonts w:ascii="Arial" w:eastAsia="SimSun" w:hAnsi="Arial" w:cs="Arial"/>
                <w:b w:val="0"/>
                <w:bCs w:val="0"/>
                <w:color w:val="000000"/>
                <w:sz w:val="20"/>
                <w:szCs w:val="20"/>
                <w:lang w:val="en-US"/>
              </w:rPr>
              <w:t>HCT</w:t>
            </w:r>
          </w:p>
        </w:tc>
        <w:tc>
          <w:tcPr>
            <w:tcW w:w="0" w:type="auto"/>
          </w:tcPr>
          <w:p w14:paraId="72A2C794"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42.0 ± 3.0</w:t>
            </w:r>
          </w:p>
        </w:tc>
        <w:tc>
          <w:tcPr>
            <w:tcW w:w="0" w:type="auto"/>
          </w:tcPr>
          <w:p w14:paraId="69CF70A6" w14:textId="77777777" w:rsidR="00A80A21"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43.5 ± 3.5</w:t>
            </w:r>
          </w:p>
        </w:tc>
        <w:tc>
          <w:tcPr>
            <w:tcW w:w="0" w:type="auto"/>
          </w:tcPr>
          <w:p w14:paraId="5621821F" w14:textId="77777777" w:rsidR="00A80A21"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40.0 ± 2.8</w:t>
            </w:r>
          </w:p>
        </w:tc>
      </w:tr>
      <w:tr w:rsidR="00A80A21" w14:paraId="3680873B" w14:textId="77777777" w:rsidTr="00B1718A">
        <w:tc>
          <w:tcPr>
            <w:cnfStyle w:val="001000000000" w:firstRow="0" w:lastRow="0" w:firstColumn="1" w:lastColumn="0" w:oddVBand="0" w:evenVBand="0" w:oddHBand="0" w:evenHBand="0" w:firstRowFirstColumn="0" w:firstRowLastColumn="0" w:lastRowFirstColumn="0" w:lastRowLastColumn="0"/>
            <w:tcW w:w="0" w:type="auto"/>
          </w:tcPr>
          <w:p w14:paraId="640D91EF" w14:textId="77777777" w:rsidR="00A80A21" w:rsidRPr="00B1718A" w:rsidRDefault="00BC5F10" w:rsidP="00B1718A">
            <w:pPr>
              <w:jc w:val="center"/>
              <w:rPr>
                <w:rFonts w:ascii="Arial" w:eastAsia="SimSun" w:hAnsi="Arial" w:cs="Arial"/>
                <w:b w:val="0"/>
                <w:bCs w:val="0"/>
                <w:color w:val="000000"/>
                <w:sz w:val="20"/>
                <w:szCs w:val="20"/>
                <w:lang w:val="en-US"/>
              </w:rPr>
            </w:pPr>
            <w:r w:rsidRPr="00B1718A">
              <w:rPr>
                <w:rFonts w:ascii="Arial" w:eastAsia="SimSun" w:hAnsi="Arial" w:cs="Arial"/>
                <w:b w:val="0"/>
                <w:bCs w:val="0"/>
                <w:color w:val="000000"/>
                <w:sz w:val="20"/>
                <w:szCs w:val="20"/>
                <w:lang w:val="en-US"/>
              </w:rPr>
              <w:t>MCV</w:t>
            </w:r>
          </w:p>
        </w:tc>
        <w:tc>
          <w:tcPr>
            <w:tcW w:w="0" w:type="auto"/>
          </w:tcPr>
          <w:p w14:paraId="77A47734"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60.0 ± 2.5</w:t>
            </w:r>
          </w:p>
        </w:tc>
        <w:tc>
          <w:tcPr>
            <w:tcW w:w="0" w:type="auto"/>
          </w:tcPr>
          <w:p w14:paraId="7B7E0FFB" w14:textId="77777777" w:rsidR="00A80A21"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61.5 ± 2.8</w:t>
            </w:r>
          </w:p>
        </w:tc>
        <w:tc>
          <w:tcPr>
            <w:tcW w:w="0" w:type="auto"/>
          </w:tcPr>
          <w:p w14:paraId="2E380765" w14:textId="77777777" w:rsidR="00A80A21"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59.0 ± 2.0</w:t>
            </w:r>
          </w:p>
        </w:tc>
      </w:tr>
      <w:tr w:rsidR="00A80A21" w14:paraId="28FEAC2D" w14:textId="77777777" w:rsidTr="00B1718A">
        <w:tc>
          <w:tcPr>
            <w:cnfStyle w:val="001000000000" w:firstRow="0" w:lastRow="0" w:firstColumn="1" w:lastColumn="0" w:oddVBand="0" w:evenVBand="0" w:oddHBand="0" w:evenHBand="0" w:firstRowFirstColumn="0" w:firstRowLastColumn="0" w:lastRowFirstColumn="0" w:lastRowLastColumn="0"/>
            <w:tcW w:w="0" w:type="auto"/>
          </w:tcPr>
          <w:p w14:paraId="7BD0BE98" w14:textId="77777777" w:rsidR="00A80A21" w:rsidRPr="00B1718A" w:rsidRDefault="00BC5F10" w:rsidP="00B1718A">
            <w:pPr>
              <w:jc w:val="center"/>
              <w:rPr>
                <w:rFonts w:ascii="Arial" w:eastAsia="SimSun" w:hAnsi="Arial" w:cs="Arial"/>
                <w:b w:val="0"/>
                <w:bCs w:val="0"/>
                <w:color w:val="000000"/>
                <w:sz w:val="20"/>
                <w:szCs w:val="20"/>
                <w:lang w:val="en-US"/>
              </w:rPr>
            </w:pPr>
            <w:r w:rsidRPr="00B1718A">
              <w:rPr>
                <w:rFonts w:ascii="Arial" w:eastAsia="SimSun" w:hAnsi="Arial" w:cs="Arial"/>
                <w:b w:val="0"/>
                <w:bCs w:val="0"/>
                <w:color w:val="000000"/>
                <w:sz w:val="20"/>
                <w:szCs w:val="20"/>
                <w:lang w:val="en-US"/>
              </w:rPr>
              <w:lastRenderedPageBreak/>
              <w:t>MCH</w:t>
            </w:r>
          </w:p>
        </w:tc>
        <w:tc>
          <w:tcPr>
            <w:tcW w:w="0" w:type="auto"/>
          </w:tcPr>
          <w:p w14:paraId="122CB718"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20.1 ± 1.5</w:t>
            </w:r>
          </w:p>
        </w:tc>
        <w:tc>
          <w:tcPr>
            <w:tcW w:w="0" w:type="auto"/>
          </w:tcPr>
          <w:p w14:paraId="5878E085" w14:textId="77777777" w:rsidR="00A80A21"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21.0 ± 1.8</w:t>
            </w:r>
          </w:p>
        </w:tc>
        <w:tc>
          <w:tcPr>
            <w:tcW w:w="0" w:type="auto"/>
          </w:tcPr>
          <w:p w14:paraId="304A2F20" w14:textId="77777777" w:rsidR="00A80A21"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19.5 ± 1.2</w:t>
            </w:r>
          </w:p>
        </w:tc>
      </w:tr>
      <w:tr w:rsidR="00A80A21" w14:paraId="17034285" w14:textId="77777777" w:rsidTr="00B1718A">
        <w:tc>
          <w:tcPr>
            <w:cnfStyle w:val="001000000000" w:firstRow="0" w:lastRow="0" w:firstColumn="1" w:lastColumn="0" w:oddVBand="0" w:evenVBand="0" w:oddHBand="0" w:evenHBand="0" w:firstRowFirstColumn="0" w:firstRowLastColumn="0" w:lastRowFirstColumn="0" w:lastRowLastColumn="0"/>
            <w:tcW w:w="0" w:type="auto"/>
          </w:tcPr>
          <w:p w14:paraId="4D20141C" w14:textId="77777777" w:rsidR="00A80A21" w:rsidRPr="00B1718A" w:rsidRDefault="00BC5F10" w:rsidP="00B1718A">
            <w:pPr>
              <w:jc w:val="center"/>
              <w:rPr>
                <w:rFonts w:ascii="Arial" w:eastAsia="SimSun" w:hAnsi="Arial" w:cs="Arial"/>
                <w:b w:val="0"/>
                <w:bCs w:val="0"/>
                <w:color w:val="000000"/>
                <w:sz w:val="20"/>
                <w:szCs w:val="20"/>
                <w:lang w:val="en-US"/>
              </w:rPr>
            </w:pPr>
            <w:r w:rsidRPr="00B1718A">
              <w:rPr>
                <w:rFonts w:ascii="Arial" w:eastAsia="SimSun" w:hAnsi="Arial" w:cs="Arial"/>
                <w:b w:val="0"/>
                <w:bCs w:val="0"/>
                <w:color w:val="000000"/>
                <w:sz w:val="20"/>
                <w:szCs w:val="20"/>
                <w:lang w:val="en-US"/>
              </w:rPr>
              <w:t>MCHC</w:t>
            </w:r>
          </w:p>
        </w:tc>
        <w:tc>
          <w:tcPr>
            <w:tcW w:w="0" w:type="auto"/>
          </w:tcPr>
          <w:p w14:paraId="62B0673D"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33.5 ± 1.0</w:t>
            </w:r>
          </w:p>
        </w:tc>
        <w:tc>
          <w:tcPr>
            <w:tcW w:w="0" w:type="auto"/>
          </w:tcPr>
          <w:p w14:paraId="24756CAC" w14:textId="77777777" w:rsidR="00A80A21"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34.2 ± 1.2</w:t>
            </w:r>
          </w:p>
        </w:tc>
        <w:tc>
          <w:tcPr>
            <w:tcW w:w="0" w:type="auto"/>
          </w:tcPr>
          <w:p w14:paraId="47D6D056" w14:textId="77777777" w:rsidR="00A80A21"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32.8 ± 0.9</w:t>
            </w:r>
          </w:p>
        </w:tc>
      </w:tr>
      <w:tr w:rsidR="00A80A21" w14:paraId="70F8E3A3" w14:textId="77777777" w:rsidTr="00B1718A">
        <w:tc>
          <w:tcPr>
            <w:cnfStyle w:val="001000000000" w:firstRow="0" w:lastRow="0" w:firstColumn="1" w:lastColumn="0" w:oddVBand="0" w:evenVBand="0" w:oddHBand="0" w:evenHBand="0" w:firstRowFirstColumn="0" w:firstRowLastColumn="0" w:lastRowFirstColumn="0" w:lastRowLastColumn="0"/>
            <w:tcW w:w="0" w:type="auto"/>
          </w:tcPr>
          <w:p w14:paraId="731BA288" w14:textId="77777777" w:rsidR="00A80A21" w:rsidRPr="00B1718A" w:rsidRDefault="00BC5F10" w:rsidP="00B1718A">
            <w:pPr>
              <w:jc w:val="center"/>
              <w:rPr>
                <w:rFonts w:ascii="Arial" w:eastAsia="SimSun" w:hAnsi="Arial" w:cs="Arial"/>
                <w:b w:val="0"/>
                <w:bCs w:val="0"/>
                <w:color w:val="000000"/>
                <w:sz w:val="20"/>
                <w:szCs w:val="20"/>
                <w:lang w:val="en-US"/>
              </w:rPr>
            </w:pPr>
            <w:r w:rsidRPr="00B1718A">
              <w:rPr>
                <w:rFonts w:ascii="Arial" w:eastAsia="SimSun" w:hAnsi="Arial" w:cs="Arial"/>
                <w:b w:val="0"/>
                <w:bCs w:val="0"/>
                <w:color w:val="000000"/>
                <w:sz w:val="20"/>
                <w:szCs w:val="20"/>
                <w:lang w:val="en-US"/>
              </w:rPr>
              <w:t>RDW</w:t>
            </w:r>
          </w:p>
        </w:tc>
        <w:tc>
          <w:tcPr>
            <w:tcW w:w="0" w:type="auto"/>
          </w:tcPr>
          <w:p w14:paraId="063740C8"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15.2 ± 0.8</w:t>
            </w:r>
          </w:p>
        </w:tc>
        <w:tc>
          <w:tcPr>
            <w:tcW w:w="0" w:type="auto"/>
          </w:tcPr>
          <w:p w14:paraId="10BCF86C" w14:textId="77777777" w:rsidR="00A80A21"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15.8 ± 0.9</w:t>
            </w:r>
          </w:p>
        </w:tc>
        <w:tc>
          <w:tcPr>
            <w:tcW w:w="0" w:type="auto"/>
          </w:tcPr>
          <w:p w14:paraId="3C9310D1" w14:textId="77777777" w:rsidR="00A80A21"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14.5 ± 0.7</w:t>
            </w:r>
          </w:p>
        </w:tc>
      </w:tr>
      <w:tr w:rsidR="00A80A21" w14:paraId="1F58D196" w14:textId="77777777" w:rsidTr="00B1718A">
        <w:tc>
          <w:tcPr>
            <w:cnfStyle w:val="001000000000" w:firstRow="0" w:lastRow="0" w:firstColumn="1" w:lastColumn="0" w:oddVBand="0" w:evenVBand="0" w:oddHBand="0" w:evenHBand="0" w:firstRowFirstColumn="0" w:firstRowLastColumn="0" w:lastRowFirstColumn="0" w:lastRowLastColumn="0"/>
            <w:tcW w:w="0" w:type="auto"/>
          </w:tcPr>
          <w:p w14:paraId="1741C985" w14:textId="77777777" w:rsidR="00A80A21" w:rsidRPr="00B1718A" w:rsidRDefault="00BC5F10" w:rsidP="00B1718A">
            <w:pPr>
              <w:jc w:val="center"/>
              <w:rPr>
                <w:rFonts w:ascii="Arial" w:eastAsia="SimSun" w:hAnsi="Arial" w:cs="Arial"/>
                <w:b w:val="0"/>
                <w:bCs w:val="0"/>
                <w:color w:val="000000"/>
                <w:sz w:val="20"/>
                <w:szCs w:val="20"/>
                <w:lang w:val="en-US"/>
              </w:rPr>
            </w:pPr>
            <w:r w:rsidRPr="00B1718A">
              <w:rPr>
                <w:rFonts w:ascii="Arial" w:eastAsia="SimSun" w:hAnsi="Arial" w:cs="Arial"/>
                <w:b w:val="0"/>
                <w:bCs w:val="0"/>
                <w:color w:val="000000"/>
                <w:sz w:val="20"/>
                <w:szCs w:val="20"/>
                <w:lang w:val="en-US"/>
              </w:rPr>
              <w:t>PLT</w:t>
            </w:r>
          </w:p>
        </w:tc>
        <w:tc>
          <w:tcPr>
            <w:tcW w:w="0" w:type="auto"/>
          </w:tcPr>
          <w:p w14:paraId="51DCBCF8"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300 ± 25</w:t>
            </w:r>
          </w:p>
        </w:tc>
        <w:tc>
          <w:tcPr>
            <w:tcW w:w="0" w:type="auto"/>
          </w:tcPr>
          <w:p w14:paraId="1C4A6524" w14:textId="77777777" w:rsidR="00A80A21"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310 ± 30</w:t>
            </w:r>
          </w:p>
        </w:tc>
        <w:tc>
          <w:tcPr>
            <w:tcW w:w="0" w:type="auto"/>
          </w:tcPr>
          <w:p w14:paraId="6D16D0E5" w14:textId="77777777" w:rsidR="00A80A21"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280 ± 20</w:t>
            </w:r>
          </w:p>
        </w:tc>
      </w:tr>
      <w:tr w:rsidR="00A80A21" w14:paraId="5387A640" w14:textId="77777777" w:rsidTr="00B1718A">
        <w:tc>
          <w:tcPr>
            <w:cnfStyle w:val="001000000000" w:firstRow="0" w:lastRow="0" w:firstColumn="1" w:lastColumn="0" w:oddVBand="0" w:evenVBand="0" w:oddHBand="0" w:evenHBand="0" w:firstRowFirstColumn="0" w:firstRowLastColumn="0" w:lastRowFirstColumn="0" w:lastRowLastColumn="0"/>
            <w:tcW w:w="0" w:type="auto"/>
          </w:tcPr>
          <w:p w14:paraId="2D6D2CA7" w14:textId="77777777" w:rsidR="00A80A21" w:rsidRPr="00B1718A" w:rsidRDefault="00BC5F10" w:rsidP="00B1718A">
            <w:pPr>
              <w:jc w:val="center"/>
              <w:rPr>
                <w:rFonts w:ascii="Arial" w:eastAsia="SimSun" w:hAnsi="Arial" w:cs="Arial"/>
                <w:b w:val="0"/>
                <w:bCs w:val="0"/>
                <w:color w:val="000000"/>
                <w:sz w:val="20"/>
                <w:szCs w:val="20"/>
                <w:lang w:val="en-US"/>
              </w:rPr>
            </w:pPr>
            <w:r w:rsidRPr="00B1718A">
              <w:rPr>
                <w:rFonts w:ascii="Arial" w:eastAsia="SimSun" w:hAnsi="Arial" w:cs="Arial"/>
                <w:b w:val="0"/>
                <w:bCs w:val="0"/>
                <w:color w:val="000000"/>
                <w:sz w:val="20"/>
                <w:szCs w:val="20"/>
                <w:lang w:val="en-US"/>
              </w:rPr>
              <w:t>MPV</w:t>
            </w:r>
          </w:p>
        </w:tc>
        <w:tc>
          <w:tcPr>
            <w:tcW w:w="0" w:type="auto"/>
          </w:tcPr>
          <w:p w14:paraId="5056CF3E"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7.5 ± 0.5</w:t>
            </w:r>
          </w:p>
        </w:tc>
        <w:tc>
          <w:tcPr>
            <w:tcW w:w="0" w:type="auto"/>
          </w:tcPr>
          <w:p w14:paraId="2D596FCA" w14:textId="77777777" w:rsidR="00A80A21"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7.8 ± 0.6</w:t>
            </w:r>
          </w:p>
        </w:tc>
        <w:tc>
          <w:tcPr>
            <w:tcW w:w="0" w:type="auto"/>
          </w:tcPr>
          <w:p w14:paraId="5B22724C" w14:textId="77777777" w:rsidR="00A80A21"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7.2 ± 0.4</w:t>
            </w:r>
          </w:p>
        </w:tc>
      </w:tr>
    </w:tbl>
    <w:p w14:paraId="1601BA85" w14:textId="77777777" w:rsidR="00A80A21" w:rsidRDefault="00A80A21">
      <w:pPr>
        <w:ind w:left="720"/>
        <w:jc w:val="both"/>
        <w:rPr>
          <w:rFonts w:ascii="Arial" w:eastAsia="SimSun" w:hAnsi="Arial" w:cs="Arial"/>
          <w:color w:val="000000"/>
          <w:sz w:val="20"/>
          <w:szCs w:val="20"/>
          <w:lang w:val="en-US"/>
        </w:rPr>
      </w:pPr>
    </w:p>
    <w:p w14:paraId="5B5D4EEA" w14:textId="77777777" w:rsidR="00A80A21" w:rsidRDefault="00A80A21">
      <w:pPr>
        <w:rPr>
          <w:rFonts w:ascii="Arial" w:eastAsia="SimSun" w:hAnsi="Arial" w:cs="Arial"/>
          <w:b/>
          <w:bCs/>
          <w:color w:val="000000"/>
          <w:sz w:val="20"/>
          <w:szCs w:val="20"/>
          <w:lang w:val="en-US"/>
        </w:rPr>
      </w:pPr>
    </w:p>
    <w:p w14:paraId="25A9559B" w14:textId="77777777" w:rsidR="00A80A21" w:rsidRDefault="00BC5F10" w:rsidP="00D40FF3">
      <w:pPr>
        <w:pStyle w:val="Heading3"/>
        <w:rPr>
          <w:lang w:val="en-US"/>
        </w:rPr>
      </w:pPr>
      <w:r>
        <w:rPr>
          <w:lang w:val="en-US"/>
        </w:rPr>
        <w:t xml:space="preserve">Biochemistry: </w:t>
      </w:r>
    </w:p>
    <w:p w14:paraId="4DB03FF7" w14:textId="5B0A5494" w:rsidR="00A80A21" w:rsidRDefault="006934D0" w:rsidP="006934D0">
      <w:pPr>
        <w:jc w:val="both"/>
        <w:rPr>
          <w:rFonts w:ascii="Arial" w:eastAsia="SimSun" w:hAnsi="Arial" w:cs="Arial"/>
          <w:color w:val="000000"/>
          <w:sz w:val="20"/>
          <w:szCs w:val="20"/>
          <w:lang w:val="en-US"/>
        </w:rPr>
      </w:pPr>
      <w:r>
        <w:rPr>
          <w:rFonts w:ascii="Arial" w:eastAsia="SimSun" w:hAnsi="Arial" w:cs="Arial"/>
          <w:color w:val="000000"/>
          <w:sz w:val="20"/>
          <w:szCs w:val="20"/>
          <w:lang w:val="en-US"/>
        </w:rPr>
        <w:t>In the assays t</w:t>
      </w:r>
      <w:r w:rsidRPr="006934D0">
        <w:rPr>
          <w:rFonts w:ascii="Arial" w:eastAsia="SimSun" w:hAnsi="Arial" w:cs="Arial"/>
          <w:color w:val="000000"/>
          <w:sz w:val="20"/>
          <w:szCs w:val="20"/>
          <w:lang w:val="en-US"/>
        </w:rPr>
        <w:t xml:space="preserve">he 1000 mg/kg group showed significant increases in creatinine levels. </w:t>
      </w:r>
      <w:r>
        <w:rPr>
          <w:rFonts w:ascii="Arial" w:eastAsia="SimSun" w:hAnsi="Arial" w:cs="Arial"/>
          <w:color w:val="000000"/>
          <w:sz w:val="20"/>
          <w:szCs w:val="20"/>
          <w:lang w:val="en-US"/>
        </w:rPr>
        <w:t xml:space="preserve">While Liver enzymes were not significantly affected. </w:t>
      </w:r>
    </w:p>
    <w:p w14:paraId="3D0F6AF1" w14:textId="77777777" w:rsidR="00612F42" w:rsidRDefault="00612F42" w:rsidP="006934D0">
      <w:pPr>
        <w:jc w:val="both"/>
        <w:rPr>
          <w:rFonts w:ascii="Arial" w:eastAsia="SimSun" w:hAnsi="Arial" w:cs="Arial"/>
          <w:color w:val="000000"/>
          <w:sz w:val="20"/>
          <w:szCs w:val="20"/>
          <w:lang w:val="en-US"/>
        </w:rPr>
      </w:pPr>
    </w:p>
    <w:p w14:paraId="6093C568" w14:textId="11FD8701" w:rsidR="00612F42" w:rsidRDefault="00612F42" w:rsidP="00612F42">
      <w:pPr>
        <w:jc w:val="both"/>
        <w:rPr>
          <w:i/>
          <w:iCs/>
          <w:color w:val="44546A"/>
          <w:sz w:val="18"/>
          <w:szCs w:val="18"/>
        </w:rPr>
      </w:pPr>
      <w:r w:rsidRPr="00612F42">
        <w:rPr>
          <w:i/>
          <w:iCs/>
          <w:color w:val="44546A"/>
          <w:sz w:val="18"/>
          <w:szCs w:val="18"/>
        </w:rPr>
        <w:t xml:space="preserve">Table  </w:t>
      </w:r>
      <w:r>
        <w:rPr>
          <w:i/>
          <w:iCs/>
          <w:color w:val="44546A"/>
          <w:sz w:val="18"/>
          <w:szCs w:val="18"/>
        </w:rPr>
        <w:t>7</w:t>
      </w:r>
      <w:r w:rsidRPr="00612F42">
        <w:rPr>
          <w:i/>
          <w:iCs/>
          <w:color w:val="44546A"/>
          <w:sz w:val="18"/>
          <w:szCs w:val="18"/>
        </w:rPr>
        <w:t xml:space="preserve">, </w:t>
      </w:r>
      <w:r>
        <w:rPr>
          <w:i/>
          <w:iCs/>
          <w:color w:val="44546A"/>
          <w:sz w:val="18"/>
          <w:szCs w:val="18"/>
        </w:rPr>
        <w:t xml:space="preserve">Biochemical evaluations </w:t>
      </w:r>
    </w:p>
    <w:p w14:paraId="2587AA0F" w14:textId="77777777" w:rsidR="00612F42" w:rsidRDefault="00612F42" w:rsidP="006934D0">
      <w:pPr>
        <w:jc w:val="both"/>
        <w:rPr>
          <w:rFonts w:ascii="Arial" w:eastAsia="SimSun" w:hAnsi="Arial" w:cs="Arial"/>
          <w:color w:val="000000"/>
          <w:sz w:val="20"/>
          <w:szCs w:val="20"/>
          <w:lang w:val="en-US"/>
        </w:rPr>
      </w:pPr>
    </w:p>
    <w:tbl>
      <w:tblPr>
        <w:tblStyle w:val="ListTable21"/>
        <w:tblW w:w="10000" w:type="dxa"/>
        <w:jc w:val="center"/>
        <w:tblLook w:val="04A0" w:firstRow="1" w:lastRow="0" w:firstColumn="1" w:lastColumn="0" w:noHBand="0" w:noVBand="1"/>
      </w:tblPr>
      <w:tblGrid>
        <w:gridCol w:w="1453"/>
        <w:gridCol w:w="2587"/>
        <w:gridCol w:w="2912"/>
        <w:gridCol w:w="3048"/>
      </w:tblGrid>
      <w:tr w:rsidR="00A80A21" w14:paraId="328E711D" w14:textId="77777777" w:rsidTr="00B1718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44857D1" w14:textId="77777777" w:rsidR="00A80A21" w:rsidRDefault="00BC5F10" w:rsidP="00B1718A">
            <w:pPr>
              <w:jc w:val="center"/>
              <w:rPr>
                <w:rFonts w:ascii="Arial" w:eastAsia="SimSun" w:hAnsi="Arial" w:cs="Arial"/>
                <w:color w:val="000000"/>
                <w:sz w:val="20"/>
                <w:szCs w:val="20"/>
                <w:lang w:val="en-US"/>
              </w:rPr>
            </w:pPr>
            <w:r>
              <w:rPr>
                <w:rFonts w:ascii="Arial" w:eastAsia="SimSun" w:hAnsi="Arial" w:cs="Arial"/>
                <w:color w:val="000000"/>
                <w:sz w:val="20"/>
                <w:szCs w:val="20"/>
                <w:lang w:val="en-US"/>
              </w:rPr>
              <w:t>Parameter</w:t>
            </w:r>
          </w:p>
        </w:tc>
        <w:tc>
          <w:tcPr>
            <w:tcW w:w="0" w:type="auto"/>
          </w:tcPr>
          <w:p w14:paraId="665D92EA" w14:textId="77777777" w:rsidR="00A80A21" w:rsidRDefault="00BC5F10" w:rsidP="00B1718A">
            <w:pPr>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Control (Mean ± SD)</w:t>
            </w:r>
          </w:p>
        </w:tc>
        <w:tc>
          <w:tcPr>
            <w:tcW w:w="0" w:type="auto"/>
          </w:tcPr>
          <w:p w14:paraId="2ED9F85F" w14:textId="77777777" w:rsidR="00A80A21" w:rsidRDefault="00BC5F10" w:rsidP="00B1718A">
            <w:pPr>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500 mg/kg (Mean ± SD)</w:t>
            </w:r>
          </w:p>
        </w:tc>
        <w:tc>
          <w:tcPr>
            <w:tcW w:w="0" w:type="auto"/>
          </w:tcPr>
          <w:p w14:paraId="7B1A146C" w14:textId="77777777" w:rsidR="00A80A21" w:rsidRDefault="00BC5F10" w:rsidP="00B1718A">
            <w:pPr>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1000 mg/kg (Mean ± SD)</w:t>
            </w:r>
          </w:p>
        </w:tc>
      </w:tr>
      <w:tr w:rsidR="00A80A21" w:rsidRPr="00B1718A" w14:paraId="69C0F997" w14:textId="77777777" w:rsidTr="00B1718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D96455F" w14:textId="77777777" w:rsidR="00A80A21" w:rsidRPr="00B1718A" w:rsidRDefault="00BC5F10" w:rsidP="00B1718A">
            <w:pPr>
              <w:jc w:val="center"/>
              <w:rPr>
                <w:rFonts w:ascii="Arial" w:eastAsia="SimSun" w:hAnsi="Arial" w:cs="Arial"/>
                <w:b w:val="0"/>
                <w:bCs w:val="0"/>
                <w:color w:val="000000"/>
                <w:sz w:val="20"/>
                <w:szCs w:val="20"/>
                <w:lang w:val="en-US"/>
              </w:rPr>
            </w:pPr>
            <w:r w:rsidRPr="00B1718A">
              <w:rPr>
                <w:rFonts w:ascii="Arial" w:eastAsia="SimSun" w:hAnsi="Arial" w:cs="Arial"/>
                <w:b w:val="0"/>
                <w:bCs w:val="0"/>
                <w:color w:val="000000"/>
                <w:sz w:val="20"/>
                <w:szCs w:val="20"/>
                <w:lang w:val="en-US"/>
              </w:rPr>
              <w:t>Urea</w:t>
            </w:r>
          </w:p>
        </w:tc>
        <w:tc>
          <w:tcPr>
            <w:tcW w:w="0" w:type="auto"/>
          </w:tcPr>
          <w:p w14:paraId="28F00D34"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25 ± 3</w:t>
            </w:r>
          </w:p>
        </w:tc>
        <w:tc>
          <w:tcPr>
            <w:tcW w:w="0" w:type="auto"/>
          </w:tcPr>
          <w:p w14:paraId="1C374681"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28 ± 4</w:t>
            </w:r>
          </w:p>
        </w:tc>
        <w:tc>
          <w:tcPr>
            <w:tcW w:w="0" w:type="auto"/>
          </w:tcPr>
          <w:p w14:paraId="0F9888B3"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35 ± 5*</w:t>
            </w:r>
          </w:p>
        </w:tc>
      </w:tr>
      <w:tr w:rsidR="00A80A21" w:rsidRPr="00B1718A" w14:paraId="2BEC2C96" w14:textId="77777777" w:rsidTr="00B1718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B340966" w14:textId="77777777" w:rsidR="00A80A21" w:rsidRPr="00B1718A" w:rsidRDefault="00BC5F10" w:rsidP="00B1718A">
            <w:pPr>
              <w:jc w:val="center"/>
              <w:rPr>
                <w:rFonts w:ascii="Arial" w:eastAsia="SimSun" w:hAnsi="Arial" w:cs="Arial"/>
                <w:b w:val="0"/>
                <w:bCs w:val="0"/>
                <w:color w:val="000000"/>
                <w:sz w:val="20"/>
                <w:szCs w:val="20"/>
                <w:lang w:val="en-US"/>
              </w:rPr>
            </w:pPr>
            <w:r w:rsidRPr="00B1718A">
              <w:rPr>
                <w:rFonts w:ascii="Arial" w:eastAsia="SimSun" w:hAnsi="Arial" w:cs="Arial"/>
                <w:b w:val="0"/>
                <w:bCs w:val="0"/>
                <w:color w:val="000000"/>
                <w:sz w:val="20"/>
                <w:szCs w:val="20"/>
                <w:lang w:val="en-US"/>
              </w:rPr>
              <w:t>AST</w:t>
            </w:r>
          </w:p>
        </w:tc>
        <w:tc>
          <w:tcPr>
            <w:tcW w:w="0" w:type="auto"/>
          </w:tcPr>
          <w:p w14:paraId="065944FB"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60 ± 8</w:t>
            </w:r>
          </w:p>
        </w:tc>
        <w:tc>
          <w:tcPr>
            <w:tcW w:w="0" w:type="auto"/>
          </w:tcPr>
          <w:p w14:paraId="29B80A21"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70 ± 10</w:t>
            </w:r>
          </w:p>
        </w:tc>
        <w:tc>
          <w:tcPr>
            <w:tcW w:w="0" w:type="auto"/>
          </w:tcPr>
          <w:p w14:paraId="14696FA1"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95 ± 12*</w:t>
            </w:r>
          </w:p>
        </w:tc>
      </w:tr>
      <w:tr w:rsidR="00A80A21" w:rsidRPr="00B1718A" w14:paraId="5C7105A7" w14:textId="77777777" w:rsidTr="00B1718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E7739B5" w14:textId="77777777" w:rsidR="00A80A21" w:rsidRPr="00B1718A" w:rsidRDefault="00BC5F10" w:rsidP="00B1718A">
            <w:pPr>
              <w:jc w:val="center"/>
              <w:rPr>
                <w:rFonts w:ascii="Arial" w:eastAsia="SimSun" w:hAnsi="Arial" w:cs="Arial"/>
                <w:b w:val="0"/>
                <w:bCs w:val="0"/>
                <w:color w:val="000000"/>
                <w:sz w:val="20"/>
                <w:szCs w:val="20"/>
                <w:lang w:val="en-US"/>
              </w:rPr>
            </w:pPr>
            <w:r w:rsidRPr="00B1718A">
              <w:rPr>
                <w:rFonts w:ascii="Arial" w:eastAsia="SimSun" w:hAnsi="Arial" w:cs="Arial"/>
                <w:b w:val="0"/>
                <w:bCs w:val="0"/>
                <w:color w:val="000000"/>
                <w:sz w:val="20"/>
                <w:szCs w:val="20"/>
                <w:lang w:val="en-US"/>
              </w:rPr>
              <w:t>ALT</w:t>
            </w:r>
          </w:p>
        </w:tc>
        <w:tc>
          <w:tcPr>
            <w:tcW w:w="0" w:type="auto"/>
          </w:tcPr>
          <w:p w14:paraId="5EED859B"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45 ± 5</w:t>
            </w:r>
          </w:p>
        </w:tc>
        <w:tc>
          <w:tcPr>
            <w:tcW w:w="0" w:type="auto"/>
          </w:tcPr>
          <w:p w14:paraId="592B75A1"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50 ± 7</w:t>
            </w:r>
          </w:p>
        </w:tc>
        <w:tc>
          <w:tcPr>
            <w:tcW w:w="0" w:type="auto"/>
          </w:tcPr>
          <w:p w14:paraId="734C9806"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75 ± 9*</w:t>
            </w:r>
          </w:p>
        </w:tc>
      </w:tr>
      <w:tr w:rsidR="00A80A21" w:rsidRPr="00B1718A" w14:paraId="3FCFA5FA" w14:textId="77777777" w:rsidTr="00B1718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6F2D206" w14:textId="77777777" w:rsidR="00A80A21" w:rsidRPr="00B1718A" w:rsidRDefault="00BC5F10" w:rsidP="00B1718A">
            <w:pPr>
              <w:jc w:val="center"/>
              <w:rPr>
                <w:rFonts w:ascii="Arial" w:eastAsia="SimSun" w:hAnsi="Arial" w:cs="Arial"/>
                <w:b w:val="0"/>
                <w:bCs w:val="0"/>
                <w:color w:val="000000"/>
                <w:sz w:val="20"/>
                <w:szCs w:val="20"/>
                <w:lang w:val="en-US"/>
              </w:rPr>
            </w:pPr>
            <w:r w:rsidRPr="00B1718A">
              <w:rPr>
                <w:rFonts w:ascii="Arial" w:eastAsia="SimSun" w:hAnsi="Arial" w:cs="Arial"/>
                <w:b w:val="0"/>
                <w:bCs w:val="0"/>
                <w:color w:val="000000"/>
                <w:sz w:val="20"/>
                <w:szCs w:val="20"/>
                <w:lang w:val="en-US"/>
              </w:rPr>
              <w:t>ALP</w:t>
            </w:r>
          </w:p>
        </w:tc>
        <w:tc>
          <w:tcPr>
            <w:tcW w:w="0" w:type="auto"/>
          </w:tcPr>
          <w:p w14:paraId="5C7021C5"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120 ± 15</w:t>
            </w:r>
          </w:p>
        </w:tc>
        <w:tc>
          <w:tcPr>
            <w:tcW w:w="0" w:type="auto"/>
          </w:tcPr>
          <w:p w14:paraId="54CC6A7E"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130 ± 18</w:t>
            </w:r>
          </w:p>
        </w:tc>
        <w:tc>
          <w:tcPr>
            <w:tcW w:w="0" w:type="auto"/>
          </w:tcPr>
          <w:p w14:paraId="411E3B24"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150 ± 20</w:t>
            </w:r>
          </w:p>
        </w:tc>
      </w:tr>
      <w:tr w:rsidR="00A80A21" w:rsidRPr="00B1718A" w14:paraId="5AC09738" w14:textId="77777777" w:rsidTr="00B1718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C1F2FC1" w14:textId="77777777" w:rsidR="00A80A21" w:rsidRPr="00B1718A" w:rsidRDefault="00BC5F10" w:rsidP="00B1718A">
            <w:pPr>
              <w:jc w:val="center"/>
              <w:rPr>
                <w:rFonts w:ascii="Arial" w:eastAsia="SimSun" w:hAnsi="Arial" w:cs="Arial"/>
                <w:b w:val="0"/>
                <w:bCs w:val="0"/>
                <w:color w:val="000000"/>
                <w:sz w:val="20"/>
                <w:szCs w:val="20"/>
                <w:lang w:val="en-US"/>
              </w:rPr>
            </w:pPr>
            <w:r w:rsidRPr="00B1718A">
              <w:rPr>
                <w:rFonts w:ascii="Arial" w:eastAsia="SimSun" w:hAnsi="Arial" w:cs="Arial"/>
                <w:b w:val="0"/>
                <w:bCs w:val="0"/>
                <w:color w:val="000000"/>
                <w:sz w:val="20"/>
                <w:szCs w:val="20"/>
                <w:lang w:val="en-US"/>
              </w:rPr>
              <w:t>Creatinine</w:t>
            </w:r>
          </w:p>
        </w:tc>
        <w:tc>
          <w:tcPr>
            <w:tcW w:w="0" w:type="auto"/>
          </w:tcPr>
          <w:p w14:paraId="7377C0F9"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0.8 ± 0.1</w:t>
            </w:r>
          </w:p>
        </w:tc>
        <w:tc>
          <w:tcPr>
            <w:tcW w:w="0" w:type="auto"/>
          </w:tcPr>
          <w:p w14:paraId="543303B2"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0.9 ± 0.1</w:t>
            </w:r>
          </w:p>
        </w:tc>
        <w:tc>
          <w:tcPr>
            <w:tcW w:w="0" w:type="auto"/>
          </w:tcPr>
          <w:p w14:paraId="4421AB97"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1.2 ± 0.2*</w:t>
            </w:r>
          </w:p>
        </w:tc>
      </w:tr>
      <w:tr w:rsidR="00A80A21" w:rsidRPr="00B1718A" w14:paraId="265656E2" w14:textId="77777777" w:rsidTr="00B1718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976379B" w14:textId="77777777" w:rsidR="00A80A21" w:rsidRPr="00B1718A" w:rsidRDefault="00BC5F10" w:rsidP="00B1718A">
            <w:pPr>
              <w:jc w:val="center"/>
              <w:rPr>
                <w:rFonts w:ascii="Arial" w:eastAsia="SimSun" w:hAnsi="Arial" w:cs="Arial"/>
                <w:b w:val="0"/>
                <w:bCs w:val="0"/>
                <w:color w:val="000000"/>
                <w:sz w:val="20"/>
                <w:szCs w:val="20"/>
                <w:lang w:val="en-US"/>
              </w:rPr>
            </w:pPr>
            <w:r w:rsidRPr="00B1718A">
              <w:rPr>
                <w:rFonts w:ascii="Arial" w:eastAsia="SimSun" w:hAnsi="Arial" w:cs="Arial"/>
                <w:b w:val="0"/>
                <w:bCs w:val="0"/>
                <w:color w:val="000000"/>
                <w:sz w:val="20"/>
                <w:szCs w:val="20"/>
                <w:lang w:val="en-US"/>
              </w:rPr>
              <w:t>TP</w:t>
            </w:r>
          </w:p>
        </w:tc>
        <w:tc>
          <w:tcPr>
            <w:tcW w:w="0" w:type="auto"/>
          </w:tcPr>
          <w:p w14:paraId="373FFD3E"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7.0 ± 0.5</w:t>
            </w:r>
          </w:p>
        </w:tc>
        <w:tc>
          <w:tcPr>
            <w:tcW w:w="0" w:type="auto"/>
          </w:tcPr>
          <w:p w14:paraId="2CE2F563"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7.2 ± 0.6</w:t>
            </w:r>
          </w:p>
        </w:tc>
        <w:tc>
          <w:tcPr>
            <w:tcW w:w="0" w:type="auto"/>
          </w:tcPr>
          <w:p w14:paraId="19ECA3D8"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6.8 ± 0.4</w:t>
            </w:r>
          </w:p>
        </w:tc>
      </w:tr>
      <w:tr w:rsidR="00A80A21" w:rsidRPr="00B1718A" w14:paraId="5997D1A4" w14:textId="77777777" w:rsidTr="00B1718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94FE588" w14:textId="77777777" w:rsidR="00A80A21" w:rsidRPr="00B1718A" w:rsidRDefault="00BC5F10" w:rsidP="00B1718A">
            <w:pPr>
              <w:jc w:val="center"/>
              <w:rPr>
                <w:rFonts w:ascii="Arial" w:eastAsia="SimSun" w:hAnsi="Arial" w:cs="Arial"/>
                <w:b w:val="0"/>
                <w:bCs w:val="0"/>
                <w:color w:val="000000"/>
                <w:sz w:val="20"/>
                <w:szCs w:val="20"/>
                <w:lang w:val="en-US"/>
              </w:rPr>
            </w:pPr>
            <w:r w:rsidRPr="00B1718A">
              <w:rPr>
                <w:rFonts w:ascii="Arial" w:eastAsia="SimSun" w:hAnsi="Arial" w:cs="Arial"/>
                <w:b w:val="0"/>
                <w:bCs w:val="0"/>
                <w:color w:val="000000"/>
                <w:sz w:val="20"/>
                <w:szCs w:val="20"/>
                <w:lang w:val="en-US"/>
              </w:rPr>
              <w:t>Albumin</w:t>
            </w:r>
          </w:p>
        </w:tc>
        <w:tc>
          <w:tcPr>
            <w:tcW w:w="0" w:type="auto"/>
          </w:tcPr>
          <w:p w14:paraId="69256C8B"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3.5 ± 0.3</w:t>
            </w:r>
          </w:p>
        </w:tc>
        <w:tc>
          <w:tcPr>
            <w:tcW w:w="0" w:type="auto"/>
          </w:tcPr>
          <w:p w14:paraId="5BC1FE0A"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3.6 ± 0.4</w:t>
            </w:r>
          </w:p>
        </w:tc>
        <w:tc>
          <w:tcPr>
            <w:tcW w:w="0" w:type="auto"/>
          </w:tcPr>
          <w:p w14:paraId="3C3BB4E7" w14:textId="77777777" w:rsidR="00A80A21" w:rsidRPr="00B1718A" w:rsidRDefault="00BC5F10" w:rsidP="00B1718A">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B1718A">
              <w:rPr>
                <w:rFonts w:ascii="Arial" w:eastAsia="SimSun" w:hAnsi="Arial" w:cs="Arial"/>
                <w:color w:val="000000"/>
                <w:sz w:val="20"/>
                <w:szCs w:val="20"/>
                <w:lang w:val="en-US"/>
              </w:rPr>
              <w:t>3.4 ± 0.2</w:t>
            </w:r>
          </w:p>
        </w:tc>
      </w:tr>
    </w:tbl>
    <w:p w14:paraId="3052649C" w14:textId="77777777" w:rsidR="00A80A21" w:rsidRPr="00F5140C" w:rsidRDefault="00BC5F10">
      <w:pPr>
        <w:jc w:val="both"/>
        <w:rPr>
          <w:rFonts w:ascii="Arial" w:eastAsia="SimSun" w:hAnsi="Arial" w:cs="Arial"/>
          <w:i/>
          <w:iCs/>
          <w:color w:val="000000"/>
          <w:sz w:val="20"/>
          <w:szCs w:val="20"/>
          <w:lang w:val="en-US"/>
        </w:rPr>
      </w:pPr>
      <w:r w:rsidRPr="00F5140C">
        <w:rPr>
          <w:rFonts w:ascii="Arial" w:eastAsia="SimSun" w:hAnsi="Arial" w:cs="Arial"/>
          <w:i/>
          <w:iCs/>
          <w:color w:val="000000"/>
          <w:sz w:val="20"/>
          <w:szCs w:val="20"/>
          <w:lang w:val="en-US"/>
        </w:rPr>
        <w:t>* Indicates p &lt; 0.05</w:t>
      </w:r>
    </w:p>
    <w:p w14:paraId="63EA7AF4" w14:textId="77777777" w:rsidR="00A80A21" w:rsidRDefault="00A80A21">
      <w:pPr>
        <w:ind w:left="720"/>
        <w:jc w:val="both"/>
        <w:rPr>
          <w:rFonts w:ascii="Arial" w:eastAsia="SimSun" w:hAnsi="Arial" w:cs="Arial"/>
          <w:color w:val="000000"/>
          <w:sz w:val="20"/>
          <w:szCs w:val="20"/>
          <w:lang w:val="en-US"/>
        </w:rPr>
      </w:pPr>
    </w:p>
    <w:p w14:paraId="357BCB04" w14:textId="25421C4C" w:rsidR="00A80A21" w:rsidRDefault="00BC5F10" w:rsidP="00D40FF3">
      <w:pPr>
        <w:pStyle w:val="Heading3"/>
        <w:rPr>
          <w:lang w:val="en-US"/>
        </w:rPr>
      </w:pPr>
      <w:r>
        <w:rPr>
          <w:lang w:val="en-US"/>
        </w:rPr>
        <w:t>Histopathology</w:t>
      </w:r>
      <w:r w:rsidR="00B1718A">
        <w:rPr>
          <w:lang w:val="en-US"/>
        </w:rPr>
        <w:t xml:space="preserve"> evaluations </w:t>
      </w:r>
      <w:r>
        <w:rPr>
          <w:lang w:val="en-US"/>
        </w:rPr>
        <w:t>:</w:t>
      </w:r>
    </w:p>
    <w:p w14:paraId="6DF1E1B3" w14:textId="77777777" w:rsidR="00A80A21" w:rsidRDefault="00A80A21">
      <w:pPr>
        <w:jc w:val="both"/>
        <w:rPr>
          <w:rFonts w:ascii="Arial" w:eastAsia="SimSun" w:hAnsi="Arial" w:cs="Arial"/>
          <w:color w:val="000000"/>
          <w:sz w:val="20"/>
          <w:szCs w:val="20"/>
          <w:lang w:val="en-US"/>
        </w:rPr>
      </w:pPr>
    </w:p>
    <w:p w14:paraId="736C7AB9" w14:textId="55DDC355" w:rsidR="00A80A21" w:rsidRDefault="00D40FF3">
      <w:pPr>
        <w:keepNext/>
        <w:jc w:val="both"/>
      </w:pPr>
      <w:r>
        <w:t xml:space="preserve">                      </w:t>
      </w:r>
      <w:r>
        <w:rPr>
          <w:noProof/>
        </w:rPr>
        <w:drawing>
          <wp:inline distT="0" distB="0" distL="0" distR="0" wp14:anchorId="5E97F58C" wp14:editId="06B3F313">
            <wp:extent cx="2209800" cy="2221865"/>
            <wp:effectExtent l="0" t="0" r="0" b="6985"/>
            <wp:docPr id="165634673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346735" name="Picture 17"/>
                    <pic:cNvPicPr>
                      <a:picLocks noChangeAspect="1"/>
                    </pic:cNvPicPr>
                  </pic:nvPicPr>
                  <pic:blipFill>
                    <a:blip r:embed="rId15" cstate="print">
                      <a:extLst>
                        <a:ext uri="{28A0092B-C50C-407E-A947-70E740481C1C}">
                          <a14:useLocalDpi xmlns:a14="http://schemas.microsoft.com/office/drawing/2010/main" val="0"/>
                        </a:ext>
                      </a:extLst>
                    </a:blip>
                    <a:srcRect l="11135" t="9752" r="29038" b="10017"/>
                    <a:stretch>
                      <a:fillRect/>
                    </a:stretch>
                  </pic:blipFill>
                  <pic:spPr>
                    <a:xfrm>
                      <a:off x="0" y="0"/>
                      <a:ext cx="2209800" cy="2221865"/>
                    </a:xfrm>
                    <a:prstGeom prst="rect">
                      <a:avLst/>
                    </a:prstGeom>
                    <a:noFill/>
                    <a:ln>
                      <a:noFill/>
                    </a:ln>
                  </pic:spPr>
                </pic:pic>
              </a:graphicData>
            </a:graphic>
          </wp:inline>
        </w:drawing>
      </w:r>
    </w:p>
    <w:p w14:paraId="318C0790" w14:textId="72F1480A" w:rsidR="00D40FF3" w:rsidRPr="00B1718A" w:rsidRDefault="00BC5F10" w:rsidP="00B1718A">
      <w:pPr>
        <w:jc w:val="both"/>
        <w:rPr>
          <w:i/>
          <w:iCs/>
          <w:color w:val="44546A"/>
          <w:sz w:val="18"/>
          <w:szCs w:val="18"/>
        </w:rPr>
      </w:pPr>
      <w:r w:rsidRPr="00B1718A">
        <w:rPr>
          <w:i/>
          <w:iCs/>
          <w:color w:val="44546A"/>
          <w:sz w:val="18"/>
          <w:szCs w:val="18"/>
        </w:rPr>
        <w:t xml:space="preserve">Figure </w:t>
      </w:r>
      <w:r w:rsidR="001E4886" w:rsidRPr="00B1718A">
        <w:rPr>
          <w:i/>
          <w:iCs/>
          <w:color w:val="44546A"/>
          <w:sz w:val="18"/>
          <w:szCs w:val="18"/>
        </w:rPr>
        <w:fldChar w:fldCharType="begin"/>
      </w:r>
      <w:r w:rsidR="001E4886" w:rsidRPr="00B1718A">
        <w:rPr>
          <w:i/>
          <w:iCs/>
          <w:color w:val="44546A"/>
          <w:sz w:val="18"/>
          <w:szCs w:val="18"/>
        </w:rPr>
        <w:instrText xml:space="preserve"> SEQ Figure \* ARABIC </w:instrText>
      </w:r>
      <w:r w:rsidR="001E4886" w:rsidRPr="00B1718A">
        <w:rPr>
          <w:i/>
          <w:iCs/>
          <w:color w:val="44546A"/>
          <w:sz w:val="18"/>
          <w:szCs w:val="18"/>
        </w:rPr>
        <w:fldChar w:fldCharType="separate"/>
      </w:r>
      <w:r w:rsidR="001E4886" w:rsidRPr="00B1718A">
        <w:rPr>
          <w:i/>
          <w:iCs/>
          <w:color w:val="44546A"/>
          <w:sz w:val="18"/>
          <w:szCs w:val="18"/>
        </w:rPr>
        <w:t>7</w:t>
      </w:r>
      <w:r w:rsidR="001E4886" w:rsidRPr="00B1718A">
        <w:rPr>
          <w:i/>
          <w:iCs/>
          <w:color w:val="44546A"/>
          <w:sz w:val="18"/>
          <w:szCs w:val="18"/>
        </w:rPr>
        <w:fldChar w:fldCharType="end"/>
      </w:r>
      <w:r w:rsidRPr="00B1718A">
        <w:rPr>
          <w:i/>
          <w:iCs/>
          <w:color w:val="44546A"/>
          <w:sz w:val="18"/>
          <w:szCs w:val="18"/>
        </w:rPr>
        <w:t xml:space="preserve"> Histopathology examination of the liver</w:t>
      </w:r>
      <w:r w:rsidR="00D40FF3" w:rsidRPr="00B1718A">
        <w:rPr>
          <w:i/>
          <w:iCs/>
          <w:color w:val="44546A"/>
          <w:sz w:val="18"/>
          <w:szCs w:val="18"/>
        </w:rPr>
        <w:t xml:space="preserve"> </w:t>
      </w:r>
      <w:r w:rsidR="00B1718A" w:rsidRPr="00B1718A">
        <w:rPr>
          <w:i/>
          <w:iCs/>
          <w:color w:val="44546A"/>
          <w:sz w:val="18"/>
          <w:szCs w:val="18"/>
        </w:rPr>
        <w:t xml:space="preserve">tissue </w:t>
      </w:r>
      <w:r w:rsidR="00D40FF3" w:rsidRPr="00B1718A">
        <w:rPr>
          <w:i/>
          <w:iCs/>
          <w:color w:val="44546A"/>
          <w:sz w:val="18"/>
          <w:szCs w:val="18"/>
        </w:rPr>
        <w:t>showing mild hepatocellular necrosis and inflammation</w:t>
      </w:r>
      <w:r w:rsidR="00B1718A" w:rsidRPr="00B1718A">
        <w:rPr>
          <w:i/>
          <w:iCs/>
          <w:color w:val="44546A"/>
          <w:sz w:val="18"/>
          <w:szCs w:val="18"/>
        </w:rPr>
        <w:t xml:space="preserve"> at the highest dose</w:t>
      </w:r>
    </w:p>
    <w:p w14:paraId="23ACFE39" w14:textId="640AECA3" w:rsidR="00A80A21" w:rsidRDefault="00A80A21">
      <w:pPr>
        <w:pStyle w:val="Caption"/>
        <w:jc w:val="both"/>
      </w:pPr>
    </w:p>
    <w:p w14:paraId="3EA1A3A7" w14:textId="77777777" w:rsidR="00A80A21" w:rsidRDefault="00A80A21">
      <w:pPr>
        <w:jc w:val="both"/>
        <w:rPr>
          <w:rFonts w:ascii="Arial" w:eastAsia="SimSun" w:hAnsi="Arial" w:cs="Arial"/>
          <w:color w:val="000000"/>
          <w:sz w:val="20"/>
          <w:szCs w:val="20"/>
          <w:lang w:val="en-US"/>
        </w:rPr>
      </w:pPr>
    </w:p>
    <w:p w14:paraId="5A101A6E" w14:textId="77777777" w:rsidR="00A80A21" w:rsidRDefault="00A80A21">
      <w:pPr>
        <w:jc w:val="both"/>
        <w:rPr>
          <w:rFonts w:ascii="Arial" w:eastAsia="SimSun" w:hAnsi="Arial" w:cs="Arial"/>
          <w:color w:val="000000"/>
          <w:sz w:val="20"/>
          <w:szCs w:val="20"/>
          <w:lang w:val="en-US"/>
        </w:rPr>
      </w:pPr>
    </w:p>
    <w:p w14:paraId="36D2C2DB" w14:textId="77777777" w:rsidR="00A80A21" w:rsidRDefault="00A80A21">
      <w:pPr>
        <w:jc w:val="both"/>
        <w:rPr>
          <w:rFonts w:ascii="Arial" w:eastAsia="SimSun" w:hAnsi="Arial" w:cs="Arial"/>
          <w:color w:val="000000"/>
          <w:sz w:val="20"/>
          <w:szCs w:val="20"/>
          <w:lang w:val="en-US"/>
        </w:rPr>
      </w:pPr>
    </w:p>
    <w:p w14:paraId="4E8A1DAE" w14:textId="0E69A89D" w:rsidR="00A80A21" w:rsidRDefault="00D40FF3">
      <w:pPr>
        <w:keepNext/>
        <w:jc w:val="both"/>
      </w:pPr>
      <w:r>
        <w:lastRenderedPageBreak/>
        <w:t xml:space="preserve">               </w:t>
      </w:r>
      <w:r w:rsidR="006934D0">
        <w:t xml:space="preserve">    </w:t>
      </w:r>
      <w:r>
        <w:t xml:space="preserve">   </w:t>
      </w:r>
      <w:r>
        <w:rPr>
          <w:noProof/>
        </w:rPr>
        <w:drawing>
          <wp:inline distT="0" distB="0" distL="0" distR="0" wp14:anchorId="4080D301" wp14:editId="3EA7599F">
            <wp:extent cx="2423160" cy="2467782"/>
            <wp:effectExtent l="0" t="0" r="0" b="8890"/>
            <wp:docPr id="192150787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507876" name="Picture 16"/>
                    <pic:cNvPicPr>
                      <a:picLocks noChangeAspect="1"/>
                    </pic:cNvPicPr>
                  </pic:nvPicPr>
                  <pic:blipFill>
                    <a:blip r:embed="rId16" cstate="print">
                      <a:extLst>
                        <a:ext uri="{28A0092B-C50C-407E-A947-70E740481C1C}">
                          <a14:useLocalDpi xmlns:a14="http://schemas.microsoft.com/office/drawing/2010/main" val="0"/>
                        </a:ext>
                      </a:extLst>
                    </a:blip>
                    <a:srcRect l="8642" t="8644" r="28872" b="6471"/>
                    <a:stretch>
                      <a:fillRect/>
                    </a:stretch>
                  </pic:blipFill>
                  <pic:spPr>
                    <a:xfrm>
                      <a:off x="0" y="0"/>
                      <a:ext cx="2426338" cy="2471018"/>
                    </a:xfrm>
                    <a:prstGeom prst="rect">
                      <a:avLst/>
                    </a:prstGeom>
                    <a:noFill/>
                    <a:ln>
                      <a:noFill/>
                    </a:ln>
                  </pic:spPr>
                </pic:pic>
              </a:graphicData>
            </a:graphic>
          </wp:inline>
        </w:drawing>
      </w:r>
    </w:p>
    <w:p w14:paraId="23A1790D" w14:textId="5AF82D5B" w:rsidR="00A80A21" w:rsidRDefault="00BC5F10">
      <w:pPr>
        <w:pStyle w:val="Caption"/>
        <w:jc w:val="both"/>
      </w:pPr>
      <w:r>
        <w:t xml:space="preserve">Figure </w:t>
      </w:r>
      <w:r>
        <w:fldChar w:fldCharType="begin"/>
      </w:r>
      <w:r>
        <w:instrText xml:space="preserve"> SEQ Figure \* ARABIC </w:instrText>
      </w:r>
      <w:r>
        <w:fldChar w:fldCharType="separate"/>
      </w:r>
      <w:r w:rsidR="001E4886">
        <w:rPr>
          <w:noProof/>
        </w:rPr>
        <w:t>8</w:t>
      </w:r>
      <w:r>
        <w:rPr>
          <w:noProof/>
        </w:rPr>
        <w:fldChar w:fldCharType="end"/>
      </w:r>
      <w:r>
        <w:t xml:space="preserve"> Histopathology examination of the kidney</w:t>
      </w:r>
      <w:r w:rsidR="00B1718A">
        <w:t xml:space="preserve"> tissue ,</w:t>
      </w:r>
      <w:r w:rsidR="00B1718A" w:rsidRPr="00B1718A">
        <w:t xml:space="preserve"> showing insignificant  tubular damage at the highest experimental dose</w:t>
      </w:r>
      <w:r w:rsidR="00B1718A">
        <w:rPr>
          <w:rFonts w:ascii="Arial" w:eastAsia="SimSun" w:hAnsi="Arial" w:cs="Arial"/>
          <w:color w:val="000000"/>
          <w:sz w:val="20"/>
          <w:szCs w:val="20"/>
          <w:lang w:val="en-US"/>
        </w:rPr>
        <w:t xml:space="preserve"> </w:t>
      </w:r>
    </w:p>
    <w:p w14:paraId="04AD9D3A" w14:textId="77777777" w:rsidR="00A80A21" w:rsidRDefault="00A80A21">
      <w:pPr>
        <w:jc w:val="both"/>
        <w:rPr>
          <w:rFonts w:ascii="Arial" w:eastAsia="SimSun" w:hAnsi="Arial" w:cs="Arial"/>
          <w:color w:val="000000"/>
          <w:sz w:val="20"/>
          <w:szCs w:val="20"/>
          <w:lang w:val="en-US"/>
        </w:rPr>
      </w:pPr>
    </w:p>
    <w:p w14:paraId="137561B6" w14:textId="77777777" w:rsidR="00A80A21" w:rsidRDefault="00A80A21">
      <w:pPr>
        <w:jc w:val="both"/>
        <w:rPr>
          <w:rFonts w:ascii="Arial" w:eastAsia="SimSun" w:hAnsi="Arial" w:cs="Arial"/>
          <w:color w:val="000000"/>
          <w:sz w:val="20"/>
          <w:szCs w:val="20"/>
          <w:lang w:val="en-US"/>
        </w:rPr>
      </w:pPr>
    </w:p>
    <w:p w14:paraId="193239F8" w14:textId="22681953" w:rsidR="00A80A21" w:rsidRDefault="00D40FF3">
      <w:pPr>
        <w:keepNext/>
        <w:jc w:val="both"/>
      </w:pPr>
      <w:r>
        <w:t xml:space="preserve">                        </w:t>
      </w:r>
      <w:r>
        <w:rPr>
          <w:noProof/>
        </w:rPr>
        <w:drawing>
          <wp:inline distT="0" distB="0" distL="0" distR="0" wp14:anchorId="0A080F96" wp14:editId="6DA01C75">
            <wp:extent cx="2438400" cy="2458721"/>
            <wp:effectExtent l="0" t="0" r="0" b="0"/>
            <wp:docPr id="1981273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27315" name="Picture 15"/>
                    <pic:cNvPicPr>
                      <a:picLocks noChangeAspect="1"/>
                    </pic:cNvPicPr>
                  </pic:nvPicPr>
                  <pic:blipFill>
                    <a:blip r:embed="rId17" cstate="print">
                      <a:extLst>
                        <a:ext uri="{28A0092B-C50C-407E-A947-70E740481C1C}">
                          <a14:useLocalDpi xmlns:a14="http://schemas.microsoft.com/office/drawing/2010/main" val="0"/>
                        </a:ext>
                      </a:extLst>
                    </a:blip>
                    <a:srcRect l="9141" t="18395" r="32861" b="3589"/>
                    <a:stretch>
                      <a:fillRect/>
                    </a:stretch>
                  </pic:blipFill>
                  <pic:spPr>
                    <a:xfrm>
                      <a:off x="0" y="0"/>
                      <a:ext cx="2446654" cy="2467044"/>
                    </a:xfrm>
                    <a:prstGeom prst="rect">
                      <a:avLst/>
                    </a:prstGeom>
                    <a:noFill/>
                    <a:ln>
                      <a:noFill/>
                    </a:ln>
                  </pic:spPr>
                </pic:pic>
              </a:graphicData>
            </a:graphic>
          </wp:inline>
        </w:drawing>
      </w:r>
    </w:p>
    <w:p w14:paraId="36E69112" w14:textId="22313483" w:rsidR="00A80A21" w:rsidRDefault="00BC5F10">
      <w:pPr>
        <w:pStyle w:val="Caption"/>
        <w:jc w:val="both"/>
      </w:pPr>
      <w:r>
        <w:t xml:space="preserve">Figure </w:t>
      </w:r>
      <w:r>
        <w:fldChar w:fldCharType="begin"/>
      </w:r>
      <w:r>
        <w:instrText xml:space="preserve"> SEQ Figure \* ARABIC </w:instrText>
      </w:r>
      <w:r>
        <w:fldChar w:fldCharType="separate"/>
      </w:r>
      <w:r w:rsidR="001E4886">
        <w:rPr>
          <w:noProof/>
        </w:rPr>
        <w:t>9</w:t>
      </w:r>
      <w:r>
        <w:rPr>
          <w:noProof/>
        </w:rPr>
        <w:fldChar w:fldCharType="end"/>
      </w:r>
      <w:r>
        <w:t xml:space="preserve"> Histopathology examination of the heart</w:t>
      </w:r>
      <w:r w:rsidR="00B1718A">
        <w:t xml:space="preserve"> tissue </w:t>
      </w:r>
      <w:r w:rsidR="00B1718A" w:rsidRPr="00B1718A">
        <w:t>showing no significant histopathological changes observed</w:t>
      </w:r>
    </w:p>
    <w:p w14:paraId="6F8FE465" w14:textId="77777777" w:rsidR="00A80A21" w:rsidRDefault="00A80A21">
      <w:pPr>
        <w:ind w:left="720"/>
        <w:jc w:val="both"/>
        <w:rPr>
          <w:rFonts w:ascii="Arial" w:eastAsia="SimSun" w:hAnsi="Arial" w:cs="Arial"/>
          <w:color w:val="000000"/>
          <w:sz w:val="20"/>
          <w:szCs w:val="20"/>
          <w:lang w:val="en-US"/>
        </w:rPr>
      </w:pPr>
    </w:p>
    <w:p w14:paraId="7E39E282" w14:textId="77777777" w:rsidR="00A80A21" w:rsidRDefault="00BC5F10" w:rsidP="00D40FF3">
      <w:pPr>
        <w:pStyle w:val="Heading3"/>
        <w:rPr>
          <w:lang w:val="en-US"/>
        </w:rPr>
      </w:pPr>
      <w:r>
        <w:rPr>
          <w:lang w:val="en-US"/>
        </w:rPr>
        <w:t xml:space="preserve">Organ Weights: </w:t>
      </w:r>
    </w:p>
    <w:p w14:paraId="0DB3A41E" w14:textId="77777777" w:rsidR="00A80A21" w:rsidRDefault="00BC5F10">
      <w:pPr>
        <w:jc w:val="both"/>
        <w:rPr>
          <w:rFonts w:ascii="Arial" w:eastAsia="SimSun" w:hAnsi="Arial" w:cs="Arial"/>
          <w:color w:val="000000"/>
          <w:sz w:val="20"/>
          <w:szCs w:val="20"/>
          <w:lang w:val="en-US"/>
        </w:rPr>
      </w:pPr>
      <w:r>
        <w:rPr>
          <w:rFonts w:ascii="Arial" w:eastAsia="SimSun" w:hAnsi="Arial" w:cs="Arial"/>
          <w:color w:val="000000"/>
          <w:sz w:val="20"/>
          <w:szCs w:val="20"/>
          <w:lang w:val="en-US"/>
        </w:rPr>
        <w:t xml:space="preserve">No treatment-related changes in organ weights were observed. </w:t>
      </w:r>
    </w:p>
    <w:p w14:paraId="42AC7605" w14:textId="77777777" w:rsidR="00DA263C" w:rsidRDefault="00DA263C">
      <w:pPr>
        <w:jc w:val="both"/>
        <w:rPr>
          <w:rFonts w:ascii="Arial" w:eastAsia="SimSun" w:hAnsi="Arial" w:cs="Arial"/>
          <w:color w:val="000000"/>
          <w:sz w:val="20"/>
          <w:szCs w:val="20"/>
          <w:lang w:val="en-US"/>
        </w:rPr>
      </w:pPr>
    </w:p>
    <w:p w14:paraId="2AE8BE72" w14:textId="415CBC65" w:rsidR="00DA263C" w:rsidRPr="00DA263C" w:rsidRDefault="00DA263C">
      <w:pPr>
        <w:jc w:val="both"/>
        <w:rPr>
          <w:i/>
          <w:iCs/>
          <w:color w:val="44546A"/>
          <w:sz w:val="18"/>
          <w:szCs w:val="18"/>
        </w:rPr>
      </w:pPr>
      <w:r w:rsidRPr="00DA263C">
        <w:rPr>
          <w:i/>
          <w:iCs/>
          <w:color w:val="44546A"/>
          <w:sz w:val="18"/>
          <w:szCs w:val="18"/>
        </w:rPr>
        <w:t xml:space="preserve">Table 8 Organ weight changes in sub-acute evaluations </w:t>
      </w:r>
    </w:p>
    <w:p w14:paraId="3FABD55C" w14:textId="77777777" w:rsidR="00A80A21" w:rsidRDefault="00A80A21">
      <w:pPr>
        <w:jc w:val="both"/>
        <w:rPr>
          <w:rFonts w:ascii="Arial" w:eastAsia="SimSun" w:hAnsi="Arial" w:cs="Arial"/>
          <w:color w:val="000000"/>
          <w:sz w:val="20"/>
          <w:szCs w:val="20"/>
          <w:lang w:val="en-US"/>
        </w:rPr>
      </w:pPr>
    </w:p>
    <w:tbl>
      <w:tblPr>
        <w:tblStyle w:val="ListTable21"/>
        <w:tblW w:w="10000" w:type="dxa"/>
        <w:tblLook w:val="04A0" w:firstRow="1" w:lastRow="0" w:firstColumn="1" w:lastColumn="0" w:noHBand="0" w:noVBand="1"/>
      </w:tblPr>
      <w:tblGrid>
        <w:gridCol w:w="1167"/>
        <w:gridCol w:w="2674"/>
        <w:gridCol w:w="3009"/>
        <w:gridCol w:w="3150"/>
      </w:tblGrid>
      <w:tr w:rsidR="00A80A21" w14:paraId="3A35612B" w14:textId="77777777" w:rsidTr="00D40F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E2508AF" w14:textId="77777777" w:rsidR="00A80A21" w:rsidRDefault="00BC5F10" w:rsidP="00D40FF3">
            <w:pPr>
              <w:jc w:val="center"/>
              <w:rPr>
                <w:rFonts w:ascii="Arial" w:eastAsia="SimSun" w:hAnsi="Arial" w:cs="Arial"/>
                <w:color w:val="000000"/>
                <w:sz w:val="20"/>
                <w:szCs w:val="20"/>
                <w:lang w:val="en-US"/>
              </w:rPr>
            </w:pPr>
            <w:r>
              <w:rPr>
                <w:rFonts w:ascii="Arial" w:eastAsia="SimSun" w:hAnsi="Arial" w:cs="Arial"/>
                <w:color w:val="000000"/>
                <w:sz w:val="20"/>
                <w:szCs w:val="20"/>
                <w:lang w:val="en-US"/>
              </w:rPr>
              <w:t>Organ</w:t>
            </w:r>
          </w:p>
        </w:tc>
        <w:tc>
          <w:tcPr>
            <w:tcW w:w="0" w:type="auto"/>
          </w:tcPr>
          <w:p w14:paraId="2DCAE862" w14:textId="77777777" w:rsidR="00A80A21" w:rsidRDefault="00BC5F10" w:rsidP="00D40FF3">
            <w:pPr>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Control (Mean ± SD)</w:t>
            </w:r>
          </w:p>
        </w:tc>
        <w:tc>
          <w:tcPr>
            <w:tcW w:w="0" w:type="auto"/>
          </w:tcPr>
          <w:p w14:paraId="5C41C407" w14:textId="77777777" w:rsidR="00A80A21" w:rsidRDefault="00BC5F10" w:rsidP="00D40FF3">
            <w:pPr>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500 mg/kg (Mean ± SD)</w:t>
            </w:r>
          </w:p>
        </w:tc>
        <w:tc>
          <w:tcPr>
            <w:tcW w:w="0" w:type="auto"/>
          </w:tcPr>
          <w:p w14:paraId="620A24DF" w14:textId="77777777" w:rsidR="00A80A21" w:rsidRDefault="00BC5F10" w:rsidP="00D40FF3">
            <w:pPr>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1000 mg/kg (Mean ± SD)</w:t>
            </w:r>
          </w:p>
        </w:tc>
      </w:tr>
      <w:tr w:rsidR="00A80A21" w14:paraId="10825171" w14:textId="77777777" w:rsidTr="00D40FF3">
        <w:tc>
          <w:tcPr>
            <w:cnfStyle w:val="001000000000" w:firstRow="0" w:lastRow="0" w:firstColumn="1" w:lastColumn="0" w:oddVBand="0" w:evenVBand="0" w:oddHBand="0" w:evenHBand="0" w:firstRowFirstColumn="0" w:firstRowLastColumn="0" w:lastRowFirstColumn="0" w:lastRowLastColumn="0"/>
            <w:tcW w:w="0" w:type="auto"/>
          </w:tcPr>
          <w:p w14:paraId="2CDD8683" w14:textId="77777777" w:rsidR="00A80A21" w:rsidRPr="00D40FF3" w:rsidRDefault="00BC5F10" w:rsidP="00D40FF3">
            <w:pPr>
              <w:jc w:val="center"/>
              <w:rPr>
                <w:rFonts w:ascii="Arial" w:eastAsia="SimSun" w:hAnsi="Arial" w:cs="Arial"/>
                <w:b w:val="0"/>
                <w:bCs w:val="0"/>
                <w:color w:val="000000"/>
                <w:sz w:val="20"/>
                <w:szCs w:val="20"/>
                <w:lang w:val="en-US"/>
              </w:rPr>
            </w:pPr>
            <w:r w:rsidRPr="00D40FF3">
              <w:rPr>
                <w:rFonts w:ascii="Arial" w:eastAsia="SimSun" w:hAnsi="Arial" w:cs="Arial"/>
                <w:b w:val="0"/>
                <w:bCs w:val="0"/>
                <w:color w:val="000000"/>
                <w:sz w:val="20"/>
                <w:szCs w:val="20"/>
                <w:lang w:val="en-US"/>
              </w:rPr>
              <w:t>Liver</w:t>
            </w:r>
          </w:p>
        </w:tc>
        <w:tc>
          <w:tcPr>
            <w:tcW w:w="0" w:type="auto"/>
          </w:tcPr>
          <w:p w14:paraId="497E2BE7" w14:textId="77777777" w:rsidR="00A80A21" w:rsidRPr="00D40FF3" w:rsidRDefault="00BC5F10" w:rsidP="00D40FF3">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D40FF3">
              <w:rPr>
                <w:rFonts w:ascii="Arial" w:eastAsia="SimSun" w:hAnsi="Arial" w:cs="Arial"/>
                <w:color w:val="000000"/>
                <w:sz w:val="20"/>
                <w:szCs w:val="20"/>
                <w:lang w:val="en-US"/>
              </w:rPr>
              <w:t xml:space="preserve">7.0 ± </w:t>
            </w:r>
            <w:r w:rsidRPr="00D40FF3">
              <w:rPr>
                <w:rFonts w:ascii="Arial" w:eastAsia="SimSun" w:hAnsi="Arial" w:cs="Arial"/>
                <w:color w:val="000000"/>
                <w:sz w:val="20"/>
                <w:szCs w:val="20"/>
                <w:lang w:val="en-US"/>
              </w:rPr>
              <w:t>0.5</w:t>
            </w:r>
          </w:p>
        </w:tc>
        <w:tc>
          <w:tcPr>
            <w:tcW w:w="0" w:type="auto"/>
          </w:tcPr>
          <w:p w14:paraId="08670E5E" w14:textId="77777777" w:rsidR="00A80A21" w:rsidRDefault="00BC5F10" w:rsidP="00D40FF3">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7.2 ± 0.6</w:t>
            </w:r>
          </w:p>
        </w:tc>
        <w:tc>
          <w:tcPr>
            <w:tcW w:w="0" w:type="auto"/>
          </w:tcPr>
          <w:p w14:paraId="749EF0A1" w14:textId="77777777" w:rsidR="00A80A21" w:rsidRDefault="00BC5F10" w:rsidP="00D40FF3">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6.8 ± 0.4</w:t>
            </w:r>
          </w:p>
        </w:tc>
      </w:tr>
      <w:tr w:rsidR="00A80A21" w14:paraId="7D32F92B" w14:textId="77777777" w:rsidTr="00D40FF3">
        <w:tc>
          <w:tcPr>
            <w:cnfStyle w:val="001000000000" w:firstRow="0" w:lastRow="0" w:firstColumn="1" w:lastColumn="0" w:oddVBand="0" w:evenVBand="0" w:oddHBand="0" w:evenHBand="0" w:firstRowFirstColumn="0" w:firstRowLastColumn="0" w:lastRowFirstColumn="0" w:lastRowLastColumn="0"/>
            <w:tcW w:w="0" w:type="auto"/>
          </w:tcPr>
          <w:p w14:paraId="727B26C0" w14:textId="77777777" w:rsidR="00A80A21" w:rsidRPr="00D40FF3" w:rsidRDefault="00BC5F10" w:rsidP="00D40FF3">
            <w:pPr>
              <w:jc w:val="center"/>
              <w:rPr>
                <w:rFonts w:ascii="Arial" w:eastAsia="SimSun" w:hAnsi="Arial" w:cs="Arial"/>
                <w:b w:val="0"/>
                <w:bCs w:val="0"/>
                <w:color w:val="000000"/>
                <w:sz w:val="20"/>
                <w:szCs w:val="20"/>
                <w:lang w:val="en-US"/>
              </w:rPr>
            </w:pPr>
            <w:r w:rsidRPr="00D40FF3">
              <w:rPr>
                <w:rFonts w:ascii="Arial" w:eastAsia="SimSun" w:hAnsi="Arial" w:cs="Arial"/>
                <w:b w:val="0"/>
                <w:bCs w:val="0"/>
                <w:color w:val="000000"/>
                <w:sz w:val="20"/>
                <w:szCs w:val="20"/>
                <w:lang w:val="en-US"/>
              </w:rPr>
              <w:t>Heart</w:t>
            </w:r>
          </w:p>
        </w:tc>
        <w:tc>
          <w:tcPr>
            <w:tcW w:w="0" w:type="auto"/>
          </w:tcPr>
          <w:p w14:paraId="798A979F" w14:textId="77777777" w:rsidR="00A80A21" w:rsidRPr="00D40FF3" w:rsidRDefault="00BC5F10" w:rsidP="00D40FF3">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D40FF3">
              <w:rPr>
                <w:rFonts w:ascii="Arial" w:eastAsia="SimSun" w:hAnsi="Arial" w:cs="Arial"/>
                <w:color w:val="000000"/>
                <w:sz w:val="20"/>
                <w:szCs w:val="20"/>
                <w:lang w:val="en-US"/>
              </w:rPr>
              <w:t>0.85 ± 0.1</w:t>
            </w:r>
          </w:p>
        </w:tc>
        <w:tc>
          <w:tcPr>
            <w:tcW w:w="0" w:type="auto"/>
          </w:tcPr>
          <w:p w14:paraId="54E7A2F9" w14:textId="77777777" w:rsidR="00A80A21" w:rsidRDefault="00BC5F10" w:rsidP="00D40FF3">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0.83 ± 0.1</w:t>
            </w:r>
          </w:p>
        </w:tc>
        <w:tc>
          <w:tcPr>
            <w:tcW w:w="0" w:type="auto"/>
          </w:tcPr>
          <w:p w14:paraId="5564202B" w14:textId="77777777" w:rsidR="00A80A21" w:rsidRDefault="00BC5F10" w:rsidP="00D40FF3">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0.81 ± 0.1</w:t>
            </w:r>
          </w:p>
        </w:tc>
      </w:tr>
      <w:tr w:rsidR="00A80A21" w14:paraId="6F04BD53" w14:textId="77777777" w:rsidTr="00D40FF3">
        <w:tc>
          <w:tcPr>
            <w:cnfStyle w:val="001000000000" w:firstRow="0" w:lastRow="0" w:firstColumn="1" w:lastColumn="0" w:oddVBand="0" w:evenVBand="0" w:oddHBand="0" w:evenHBand="0" w:firstRowFirstColumn="0" w:firstRowLastColumn="0" w:lastRowFirstColumn="0" w:lastRowLastColumn="0"/>
            <w:tcW w:w="0" w:type="auto"/>
          </w:tcPr>
          <w:p w14:paraId="278DE7E0" w14:textId="77777777" w:rsidR="00A80A21" w:rsidRPr="00D40FF3" w:rsidRDefault="00BC5F10" w:rsidP="00D40FF3">
            <w:pPr>
              <w:jc w:val="center"/>
              <w:rPr>
                <w:rFonts w:ascii="Arial" w:eastAsia="SimSun" w:hAnsi="Arial" w:cs="Arial"/>
                <w:b w:val="0"/>
                <w:bCs w:val="0"/>
                <w:color w:val="000000"/>
                <w:sz w:val="20"/>
                <w:szCs w:val="20"/>
                <w:lang w:val="en-US"/>
              </w:rPr>
            </w:pPr>
            <w:r w:rsidRPr="00D40FF3">
              <w:rPr>
                <w:rFonts w:ascii="Arial" w:eastAsia="SimSun" w:hAnsi="Arial" w:cs="Arial"/>
                <w:b w:val="0"/>
                <w:bCs w:val="0"/>
                <w:color w:val="000000"/>
                <w:sz w:val="20"/>
                <w:szCs w:val="20"/>
                <w:lang w:val="en-US"/>
              </w:rPr>
              <w:t>Kidneys</w:t>
            </w:r>
          </w:p>
        </w:tc>
        <w:tc>
          <w:tcPr>
            <w:tcW w:w="0" w:type="auto"/>
          </w:tcPr>
          <w:p w14:paraId="0A053C98" w14:textId="77777777" w:rsidR="00A80A21" w:rsidRPr="00D40FF3" w:rsidRDefault="00BC5F10" w:rsidP="00D40FF3">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sidRPr="00D40FF3">
              <w:rPr>
                <w:rFonts w:ascii="Arial" w:eastAsia="SimSun" w:hAnsi="Arial" w:cs="Arial"/>
                <w:color w:val="000000"/>
                <w:sz w:val="20"/>
                <w:szCs w:val="20"/>
                <w:lang w:val="en-US"/>
              </w:rPr>
              <w:t>1.45 ± 0.15</w:t>
            </w:r>
          </w:p>
        </w:tc>
        <w:tc>
          <w:tcPr>
            <w:tcW w:w="0" w:type="auto"/>
          </w:tcPr>
          <w:p w14:paraId="05F239E3" w14:textId="77777777" w:rsidR="00A80A21" w:rsidRDefault="00BC5F10" w:rsidP="00D40FF3">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1.40 ± 0.15</w:t>
            </w:r>
          </w:p>
        </w:tc>
        <w:tc>
          <w:tcPr>
            <w:tcW w:w="0" w:type="auto"/>
          </w:tcPr>
          <w:p w14:paraId="38A36274" w14:textId="77777777" w:rsidR="00A80A21" w:rsidRDefault="00BC5F10" w:rsidP="00D40FF3">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sz w:val="20"/>
                <w:szCs w:val="20"/>
                <w:lang w:val="en-US"/>
              </w:rPr>
            </w:pPr>
            <w:r>
              <w:rPr>
                <w:rFonts w:ascii="Arial" w:eastAsia="SimSun" w:hAnsi="Arial" w:cs="Arial"/>
                <w:color w:val="000000"/>
                <w:sz w:val="20"/>
                <w:szCs w:val="20"/>
                <w:lang w:val="en-US"/>
              </w:rPr>
              <w:t>1.35 ± 0.15</w:t>
            </w:r>
          </w:p>
        </w:tc>
      </w:tr>
    </w:tbl>
    <w:p w14:paraId="23E01A68" w14:textId="77777777" w:rsidR="00A80A21" w:rsidRDefault="00A80A21">
      <w:pPr>
        <w:jc w:val="both"/>
        <w:rPr>
          <w:rFonts w:ascii="Arial" w:hAnsi="Arial" w:cs="Arial"/>
          <w:sz w:val="20"/>
          <w:szCs w:val="20"/>
        </w:rPr>
      </w:pPr>
    </w:p>
    <w:p w14:paraId="6761C7FE" w14:textId="77777777" w:rsidR="00A80A21" w:rsidRDefault="00BC5F10">
      <w:pPr>
        <w:pStyle w:val="Heading1"/>
        <w:contextualSpacing/>
        <w:jc w:val="both"/>
        <w:rPr>
          <w:rFonts w:cs="Arial"/>
          <w:sz w:val="20"/>
          <w:szCs w:val="20"/>
        </w:rPr>
      </w:pPr>
      <w:r>
        <w:rPr>
          <w:rFonts w:cs="Arial"/>
          <w:sz w:val="20"/>
          <w:szCs w:val="20"/>
        </w:rPr>
        <w:t>Conclusions</w:t>
      </w:r>
    </w:p>
    <w:p w14:paraId="2D424EAA" w14:textId="77777777" w:rsidR="00A80A21" w:rsidRDefault="00A80A21">
      <w:pPr>
        <w:jc w:val="both"/>
        <w:rPr>
          <w:rFonts w:ascii="Arial" w:hAnsi="Arial" w:cs="Arial"/>
          <w:sz w:val="20"/>
          <w:szCs w:val="20"/>
        </w:rPr>
      </w:pPr>
    </w:p>
    <w:p w14:paraId="63D09F1B" w14:textId="5580CE25" w:rsidR="00A80A21" w:rsidRDefault="00BC5F10" w:rsidP="00D15BDF">
      <w:pPr>
        <w:spacing w:line="276" w:lineRule="auto"/>
        <w:jc w:val="both"/>
        <w:rPr>
          <w:rFonts w:ascii="Arial" w:hAnsi="Arial" w:cs="Arial"/>
          <w:sz w:val="20"/>
          <w:szCs w:val="20"/>
          <w:lang w:val="en-US"/>
        </w:rPr>
      </w:pPr>
      <w:r>
        <w:rPr>
          <w:rFonts w:ascii="Arial" w:hAnsi="Arial" w:cs="Arial"/>
          <w:sz w:val="20"/>
          <w:szCs w:val="20"/>
          <w:lang w:val="en-US"/>
        </w:rPr>
        <w:t xml:space="preserve">This study provides a comprehensive evaluation of the bioactivity and safety of </w:t>
      </w:r>
      <w:r>
        <w:rPr>
          <w:rFonts w:ascii="Arial" w:hAnsi="Arial" w:cs="Arial"/>
          <w:i/>
          <w:iCs/>
          <w:sz w:val="20"/>
          <w:szCs w:val="20"/>
          <w:lang w:val="en-US"/>
        </w:rPr>
        <w:t>E</w:t>
      </w:r>
      <w:r w:rsidR="00F418A6">
        <w:rPr>
          <w:rFonts w:ascii="Arial" w:hAnsi="Arial" w:cs="Arial"/>
          <w:i/>
          <w:iCs/>
          <w:sz w:val="20"/>
          <w:szCs w:val="20"/>
          <w:lang w:val="en-US"/>
        </w:rPr>
        <w:t xml:space="preserve">. </w:t>
      </w:r>
      <w:r>
        <w:rPr>
          <w:rFonts w:ascii="Arial" w:hAnsi="Arial" w:cs="Arial"/>
          <w:i/>
          <w:iCs/>
          <w:sz w:val="20"/>
          <w:szCs w:val="20"/>
          <w:lang w:val="en-US"/>
        </w:rPr>
        <w:t>elephantina</w:t>
      </w:r>
      <w:r>
        <w:rPr>
          <w:rFonts w:ascii="Arial" w:hAnsi="Arial" w:cs="Arial"/>
          <w:sz w:val="20"/>
          <w:szCs w:val="20"/>
          <w:lang w:val="en-US"/>
        </w:rPr>
        <w:t xml:space="preserve">. The bioactivity results </w:t>
      </w:r>
      <w:r>
        <w:rPr>
          <w:rFonts w:ascii="Arial" w:hAnsi="Arial" w:cs="Arial"/>
          <w:sz w:val="20"/>
          <w:szCs w:val="20"/>
        </w:rPr>
        <w:t xml:space="preserve">establish </w:t>
      </w:r>
      <w:r>
        <w:rPr>
          <w:rFonts w:ascii="Arial" w:hAnsi="Arial" w:cs="Arial"/>
          <w:i/>
          <w:iCs/>
          <w:sz w:val="20"/>
          <w:szCs w:val="20"/>
        </w:rPr>
        <w:t>E.</w:t>
      </w:r>
      <w:r>
        <w:rPr>
          <w:rFonts w:ascii="Arial" w:hAnsi="Arial" w:cs="Arial"/>
          <w:i/>
          <w:iCs/>
          <w:sz w:val="20"/>
          <w:szCs w:val="20"/>
        </w:rPr>
        <w:t xml:space="preserve"> elephantina</w:t>
      </w:r>
      <w:r>
        <w:rPr>
          <w:rFonts w:ascii="Arial" w:hAnsi="Arial" w:cs="Arial"/>
          <w:sz w:val="20"/>
          <w:szCs w:val="20"/>
        </w:rPr>
        <w:t xml:space="preserve"> as a promising candidate for exotic pancreatic insufficiency treatment</w:t>
      </w:r>
      <w:r>
        <w:rPr>
          <w:rFonts w:ascii="Arial" w:hAnsi="Arial" w:cs="Arial"/>
          <w:sz w:val="20"/>
          <w:szCs w:val="20"/>
          <w:lang w:val="en-US"/>
        </w:rPr>
        <w:t xml:space="preserve">. </w:t>
      </w:r>
      <w:r>
        <w:rPr>
          <w:rFonts w:ascii="Arial" w:hAnsi="Arial" w:cs="Arial"/>
          <w:i/>
          <w:iCs/>
          <w:sz w:val="20"/>
          <w:szCs w:val="20"/>
          <w:lang w:val="en-US"/>
        </w:rPr>
        <w:t>Elephantorrhiza elephantina</w:t>
      </w:r>
      <w:r>
        <w:rPr>
          <w:rFonts w:ascii="Arial" w:hAnsi="Arial" w:cs="Arial"/>
          <w:sz w:val="20"/>
          <w:szCs w:val="20"/>
          <w:lang w:val="en-US"/>
        </w:rPr>
        <w:t xml:space="preserve"> holds a greater therapeutic application potential as demonstrated by antibacterial, anti-inflammatory, and antioxidant activities of its phytoc</w:t>
      </w:r>
      <w:r>
        <w:rPr>
          <w:rFonts w:ascii="Arial" w:hAnsi="Arial" w:cs="Arial"/>
          <w:sz w:val="20"/>
          <w:szCs w:val="20"/>
          <w:lang w:val="en-US"/>
        </w:rPr>
        <w:t xml:space="preserve">hemicals. These properties support its traditional use in treating various ailments, including gastrointestinal disorders </w:t>
      </w:r>
      <w:r>
        <w:rPr>
          <w:rFonts w:ascii="Arial" w:hAnsi="Arial" w:cs="Arial"/>
          <w:sz w:val="20"/>
          <w:szCs w:val="20"/>
          <w:lang w:val="en-US"/>
        </w:rPr>
        <w:lastRenderedPageBreak/>
        <w:t xml:space="preserve">and skin diseases. The diverse array of phytochemicals presents in </w:t>
      </w:r>
      <w:r>
        <w:rPr>
          <w:rFonts w:ascii="Arial" w:hAnsi="Arial" w:cs="Arial"/>
          <w:i/>
          <w:iCs/>
          <w:sz w:val="20"/>
          <w:szCs w:val="20"/>
          <w:lang w:val="en-US"/>
        </w:rPr>
        <w:t>E. elephantina,</w:t>
      </w:r>
      <w:r>
        <w:rPr>
          <w:rFonts w:ascii="Arial" w:hAnsi="Arial" w:cs="Arial"/>
          <w:sz w:val="20"/>
          <w:szCs w:val="20"/>
          <w:lang w:val="en-US"/>
        </w:rPr>
        <w:t xml:space="preserve"> including tannins, flavonoids, glycosides, and terp</w:t>
      </w:r>
      <w:r>
        <w:rPr>
          <w:rFonts w:ascii="Arial" w:hAnsi="Arial" w:cs="Arial"/>
          <w:sz w:val="20"/>
          <w:szCs w:val="20"/>
          <w:lang w:val="en-US"/>
        </w:rPr>
        <w:t xml:space="preserve">enoids, may contribute to both the observed therapeutic benefits. While the extract was deemed practically non-toxic based on acute toxicity tests, subacute exposure revealed notable alterations in hematological and serum biochemical parameters, primarily </w:t>
      </w:r>
      <w:r>
        <w:rPr>
          <w:rFonts w:ascii="Arial" w:hAnsi="Arial" w:cs="Arial"/>
          <w:sz w:val="20"/>
          <w:szCs w:val="20"/>
          <w:lang w:val="en-US"/>
        </w:rPr>
        <w:t xml:space="preserve">at higher dosages. These changes suggest potential mild nephrotoxicity, liver injury, and electrolyte imbalances at elevated doses, warranting caution in the use of high concentrations of </w:t>
      </w:r>
      <w:r>
        <w:rPr>
          <w:rFonts w:ascii="Arial" w:hAnsi="Arial" w:cs="Arial"/>
          <w:i/>
          <w:iCs/>
          <w:sz w:val="20"/>
          <w:szCs w:val="20"/>
          <w:lang w:val="en-US"/>
        </w:rPr>
        <w:t>E. elephantina</w:t>
      </w:r>
      <w:r>
        <w:rPr>
          <w:rFonts w:ascii="Arial" w:hAnsi="Arial" w:cs="Arial"/>
          <w:sz w:val="20"/>
          <w:szCs w:val="20"/>
          <w:lang w:val="en-US"/>
        </w:rPr>
        <w:t xml:space="preserve"> extracts. Further research is needed to identify the </w:t>
      </w:r>
      <w:r>
        <w:rPr>
          <w:rFonts w:ascii="Arial" w:hAnsi="Arial" w:cs="Arial"/>
          <w:sz w:val="20"/>
          <w:szCs w:val="20"/>
          <w:lang w:val="en-US"/>
        </w:rPr>
        <w:t xml:space="preserve">specific compounds responsible for the observed effects. </w:t>
      </w:r>
      <w:r>
        <w:rPr>
          <w:rFonts w:ascii="Arial" w:hAnsi="Arial" w:cs="Arial"/>
          <w:sz w:val="20"/>
          <w:szCs w:val="20"/>
        </w:rPr>
        <w:t xml:space="preserve">The research findings discourage the use of </w:t>
      </w:r>
      <w:r>
        <w:rPr>
          <w:rFonts w:ascii="Arial" w:hAnsi="Arial" w:cs="Arial"/>
          <w:i/>
          <w:iCs/>
          <w:sz w:val="20"/>
          <w:szCs w:val="20"/>
        </w:rPr>
        <w:t>E. elephantina</w:t>
      </w:r>
      <w:r>
        <w:rPr>
          <w:rFonts w:ascii="Arial" w:hAnsi="Arial" w:cs="Arial"/>
          <w:sz w:val="20"/>
          <w:szCs w:val="20"/>
        </w:rPr>
        <w:t xml:space="preserve"> in </w:t>
      </w:r>
      <w:r>
        <w:rPr>
          <w:rFonts w:ascii="Arial" w:hAnsi="Arial" w:cs="Arial"/>
          <w:sz w:val="20"/>
          <w:szCs w:val="20"/>
          <w:lang w:val="en-US"/>
        </w:rPr>
        <w:t>individuals with pre-existing liver or kidney malfunctions. Further studies are recommended to explore the long-term effects associated w</w:t>
      </w:r>
      <w:r>
        <w:rPr>
          <w:rFonts w:ascii="Arial" w:hAnsi="Arial" w:cs="Arial"/>
          <w:sz w:val="20"/>
          <w:szCs w:val="20"/>
          <w:lang w:val="en-US"/>
        </w:rPr>
        <w:t xml:space="preserve">ith </w:t>
      </w:r>
      <w:r>
        <w:rPr>
          <w:rFonts w:ascii="Arial" w:hAnsi="Arial" w:cs="Arial"/>
          <w:i/>
          <w:iCs/>
          <w:sz w:val="20"/>
          <w:szCs w:val="20"/>
          <w:lang w:val="en-US"/>
        </w:rPr>
        <w:t xml:space="preserve">E. elephantina </w:t>
      </w:r>
      <w:r>
        <w:rPr>
          <w:rFonts w:ascii="Arial" w:hAnsi="Arial" w:cs="Arial"/>
          <w:sz w:val="20"/>
          <w:szCs w:val="20"/>
          <w:lang w:val="en-US"/>
        </w:rPr>
        <w:t xml:space="preserve">consumption, while investigating its therapeutic efficacy in treatment of pancreatic insufficiency in controlled clinical trials. </w:t>
      </w:r>
    </w:p>
    <w:p w14:paraId="49958BF3" w14:textId="77777777" w:rsidR="00A80A21" w:rsidRDefault="00BC5F10" w:rsidP="00D15BDF">
      <w:pPr>
        <w:pStyle w:val="Heading1"/>
        <w:spacing w:after="240" w:line="276" w:lineRule="auto"/>
        <w:contextualSpacing/>
        <w:jc w:val="both"/>
        <w:rPr>
          <w:rFonts w:cs="Arial"/>
          <w:sz w:val="20"/>
          <w:szCs w:val="20"/>
        </w:rPr>
      </w:pPr>
      <w:r>
        <w:rPr>
          <w:rFonts w:cs="Arial"/>
          <w:sz w:val="20"/>
          <w:szCs w:val="20"/>
        </w:rPr>
        <w:t>Competing interests</w:t>
      </w:r>
    </w:p>
    <w:p w14:paraId="0926BCD3" w14:textId="48D874E7" w:rsidR="00A80A21" w:rsidRDefault="00BC5F10" w:rsidP="00D15BDF">
      <w:pPr>
        <w:autoSpaceDE w:val="0"/>
        <w:autoSpaceDN w:val="0"/>
        <w:adjustRightInd w:val="0"/>
        <w:spacing w:after="240" w:line="276" w:lineRule="auto"/>
        <w:contextualSpacing/>
        <w:jc w:val="both"/>
        <w:rPr>
          <w:rFonts w:ascii="Arial" w:hAnsi="Arial" w:cs="Arial"/>
          <w:sz w:val="20"/>
          <w:szCs w:val="20"/>
        </w:rPr>
      </w:pPr>
      <w:r>
        <w:rPr>
          <w:rFonts w:ascii="Arial" w:hAnsi="Arial" w:cs="Arial"/>
          <w:sz w:val="20"/>
          <w:szCs w:val="20"/>
        </w:rPr>
        <w:t xml:space="preserve">We </w:t>
      </w:r>
      <w:r w:rsidR="00B34197">
        <w:rPr>
          <w:rFonts w:ascii="Arial" w:hAnsi="Arial" w:cs="Arial"/>
          <w:sz w:val="20"/>
          <w:szCs w:val="20"/>
        </w:rPr>
        <w:t xml:space="preserve">declare </w:t>
      </w:r>
      <w:r>
        <w:rPr>
          <w:rFonts w:ascii="Arial" w:hAnsi="Arial" w:cs="Arial"/>
          <w:sz w:val="20"/>
          <w:szCs w:val="20"/>
        </w:rPr>
        <w:t xml:space="preserve">no conflict of interest. The authors are entirely responsible for the research content and </w:t>
      </w:r>
      <w:r>
        <w:rPr>
          <w:rFonts w:ascii="Arial" w:hAnsi="Arial" w:cs="Arial"/>
          <w:sz w:val="20"/>
          <w:szCs w:val="20"/>
        </w:rPr>
        <w:t>the compilation of this report.</w:t>
      </w:r>
    </w:p>
    <w:p w14:paraId="43A1740D" w14:textId="77777777" w:rsidR="00451232" w:rsidRPr="00451232" w:rsidRDefault="00451232" w:rsidP="00451232">
      <w:pPr>
        <w:pStyle w:val="Heading1"/>
        <w:spacing w:after="240" w:line="276" w:lineRule="auto"/>
        <w:contextualSpacing/>
        <w:jc w:val="both"/>
        <w:rPr>
          <w:rFonts w:cs="Arial"/>
          <w:sz w:val="20"/>
          <w:szCs w:val="20"/>
        </w:rPr>
      </w:pPr>
      <w:bookmarkStart w:id="4" w:name="_Hlk180402183"/>
      <w:r w:rsidRPr="00451232">
        <w:rPr>
          <w:rFonts w:cs="Arial"/>
          <w:sz w:val="20"/>
          <w:szCs w:val="20"/>
        </w:rPr>
        <w:t>Disclaimer (Artificial intelligence)</w:t>
      </w:r>
    </w:p>
    <w:p w14:paraId="23EDFD3A" w14:textId="77777777" w:rsidR="00451232" w:rsidRDefault="00451232" w:rsidP="00451232">
      <w:pPr>
        <w:spacing w:after="200" w:line="276" w:lineRule="auto"/>
        <w:rPr>
          <w:rFonts w:ascii="Arial" w:hAnsi="Arial" w:cs="Arial"/>
          <w:sz w:val="20"/>
          <w:szCs w:val="20"/>
          <w:lang w:val="en-US"/>
        </w:rPr>
      </w:pPr>
      <w:r w:rsidRPr="00451232">
        <w:rPr>
          <w:rFonts w:ascii="Arial" w:hAnsi="Arial" w:cs="Arial"/>
          <w:sz w:val="20"/>
          <w:szCs w:val="20"/>
          <w:lang w:val="en-US"/>
        </w:rPr>
        <w:t xml:space="preserve">The Authors hereby declare that NO generative AI technologies such as Large Language Models (ChatGPT, COPILOT, etc.) and text-to-image generators have been used during the writing or editing of this manuscript. </w:t>
      </w:r>
    </w:p>
    <w:p w14:paraId="12C4CE8F" w14:textId="77777777" w:rsidR="00F538FA" w:rsidRPr="00451232" w:rsidRDefault="00F538FA" w:rsidP="00451232">
      <w:pPr>
        <w:spacing w:after="200" w:line="276" w:lineRule="auto"/>
        <w:rPr>
          <w:rFonts w:ascii="Arial" w:hAnsi="Arial" w:cs="Arial"/>
          <w:sz w:val="20"/>
          <w:szCs w:val="20"/>
          <w:lang w:val="en-US"/>
        </w:rPr>
      </w:pPr>
    </w:p>
    <w:bookmarkEnd w:id="4"/>
    <w:p w14:paraId="47740132" w14:textId="77777777" w:rsidR="00A80A21" w:rsidRDefault="00BC5F10" w:rsidP="004027B5">
      <w:pPr>
        <w:pStyle w:val="Heading1"/>
        <w:spacing w:after="240" w:line="276" w:lineRule="auto"/>
        <w:contextualSpacing/>
        <w:jc w:val="both"/>
        <w:rPr>
          <w:rFonts w:cs="Arial"/>
          <w:sz w:val="20"/>
          <w:szCs w:val="20"/>
        </w:rPr>
      </w:pPr>
      <w:r>
        <w:rPr>
          <w:rFonts w:cs="Arial"/>
          <w:sz w:val="20"/>
          <w:szCs w:val="20"/>
        </w:rPr>
        <w:t>References</w:t>
      </w:r>
    </w:p>
    <w:sdt>
      <w:sdtPr>
        <w:rPr>
          <w:rFonts w:ascii="Arial" w:hAnsi="Arial" w:cs="Arial"/>
          <w:sz w:val="20"/>
          <w:szCs w:val="20"/>
        </w:rPr>
        <w:id w:val="-98103462"/>
        <w:docPartObj>
          <w:docPartGallery w:val="AutoText"/>
        </w:docPartObj>
      </w:sdtPr>
      <w:sdtEndPr/>
      <w:sdtContent>
        <w:p w14:paraId="59A4C48C" w14:textId="77777777" w:rsidR="00FB4CD6" w:rsidRDefault="00FB4CD6" w:rsidP="00FB4CD6">
          <w:pPr>
            <w:jc w:val="both"/>
            <w:rPr>
              <w:rFonts w:ascii="Arial" w:hAnsi="Arial" w:cs="Arial"/>
              <w:sz w:val="20"/>
              <w:szCs w:val="20"/>
            </w:rPr>
          </w:pPr>
        </w:p>
        <w:p w14:paraId="135FD65D" w14:textId="77777777" w:rsidR="00FB4CD6" w:rsidRDefault="00FB4CD6" w:rsidP="00FB4CD6">
          <w:pPr>
            <w:pStyle w:val="ListParagraph"/>
            <w:numPr>
              <w:ilvl w:val="0"/>
              <w:numId w:val="6"/>
            </w:numPr>
            <w:jc w:val="both"/>
            <w:rPr>
              <w:rFonts w:ascii="Arial" w:hAnsi="Arial" w:cs="Arial"/>
              <w:sz w:val="20"/>
              <w:szCs w:val="20"/>
            </w:rPr>
          </w:pPr>
          <w:bookmarkStart w:id="5" w:name="c6ea80be2e7050c9333edfc2e74adfed"/>
          <w:r>
            <w:rPr>
              <w:rFonts w:ascii="Arial" w:hAnsi="Arial" w:cs="Arial"/>
              <w:sz w:val="20"/>
              <w:szCs w:val="20"/>
            </w:rPr>
            <w:t xml:space="preserve">Jeon, T.J. (2020) Management of Pain, Exocrine and Endocrine Insufficiency in Chronic Pancreatitis, </w:t>
          </w:r>
          <w:r>
            <w:rPr>
              <w:rFonts w:ascii="Arial" w:hAnsi="Arial" w:cs="Arial"/>
              <w:i/>
              <w:iCs/>
              <w:sz w:val="20"/>
              <w:szCs w:val="20"/>
            </w:rPr>
            <w:t>The Korean Journal of Pancreas and Biliary Tract</w:t>
          </w:r>
          <w:r>
            <w:rPr>
              <w:rFonts w:ascii="Arial" w:hAnsi="Arial" w:cs="Arial"/>
              <w:sz w:val="20"/>
              <w:szCs w:val="20"/>
            </w:rPr>
            <w:t>, 25(1), p. 5. doi:10.15279/kpba.2020.25.1.5</w:t>
          </w:r>
        </w:p>
        <w:p w14:paraId="21150AF3" w14:textId="48DE4DEA" w:rsidR="00FB4CD6" w:rsidRDefault="00FB4CD6" w:rsidP="00FB4CD6">
          <w:pPr>
            <w:pStyle w:val="ListParagraph"/>
            <w:jc w:val="both"/>
            <w:rPr>
              <w:rFonts w:ascii="Arial" w:hAnsi="Arial" w:cs="Arial"/>
              <w:sz w:val="20"/>
              <w:szCs w:val="20"/>
            </w:rPr>
          </w:pPr>
          <w:r>
            <w:rPr>
              <w:rFonts w:ascii="Arial" w:hAnsi="Arial" w:cs="Arial"/>
              <w:sz w:val="20"/>
              <w:szCs w:val="20"/>
            </w:rPr>
            <w:t xml:space="preserve">. </w:t>
          </w:r>
          <w:bookmarkEnd w:id="5"/>
        </w:p>
        <w:p w14:paraId="25F9E45D" w14:textId="77777777" w:rsidR="00FB4CD6" w:rsidRPr="00FB4CD6" w:rsidRDefault="00FB4CD6" w:rsidP="00FB4CD6">
          <w:pPr>
            <w:pStyle w:val="ListParagraph"/>
            <w:numPr>
              <w:ilvl w:val="0"/>
              <w:numId w:val="6"/>
            </w:numPr>
            <w:jc w:val="both"/>
            <w:rPr>
              <w:rFonts w:ascii="Arial" w:hAnsi="Arial" w:cs="Arial"/>
              <w:sz w:val="20"/>
              <w:szCs w:val="20"/>
            </w:rPr>
          </w:pPr>
          <w:r w:rsidRPr="00FB4CD6">
            <w:rPr>
              <w:rFonts w:ascii="Arial" w:hAnsi="Arial" w:cs="Arial"/>
              <w:sz w:val="20"/>
              <w:szCs w:val="20"/>
            </w:rPr>
            <w:t>Chipato, W.E. and Chifamba, J. (2024) Eco-friendly biosynthesis of silver nanoparticles using Elephantorrhiza elephantina: Characterization and antimicrobial activity against Mycobacterium tuberculosis surrogate models</w:t>
          </w:r>
          <w:r w:rsidRPr="00FB4CD6">
            <w:rPr>
              <w:rFonts w:ascii="Arial" w:hAnsi="Arial" w:cs="Arial"/>
              <w:i/>
              <w:iCs/>
              <w:sz w:val="20"/>
              <w:szCs w:val="20"/>
            </w:rPr>
            <w:t>. International Journal of Biochemistry Research &amp; Review</w:t>
          </w:r>
          <w:r w:rsidRPr="00FB4CD6">
            <w:rPr>
              <w:rFonts w:ascii="Arial" w:hAnsi="Arial" w:cs="Arial"/>
              <w:sz w:val="20"/>
              <w:szCs w:val="20"/>
            </w:rPr>
            <w:t>, 33(6), p.290. doi:10.9734/</w:t>
          </w:r>
          <w:proofErr w:type="spellStart"/>
          <w:r w:rsidRPr="00FB4CD6">
            <w:rPr>
              <w:rFonts w:ascii="Arial" w:hAnsi="Arial" w:cs="Arial"/>
              <w:sz w:val="20"/>
              <w:szCs w:val="20"/>
            </w:rPr>
            <w:t>ijbcrr</w:t>
          </w:r>
          <w:proofErr w:type="spellEnd"/>
          <w:r w:rsidRPr="00FB4CD6">
            <w:rPr>
              <w:rFonts w:ascii="Arial" w:hAnsi="Arial" w:cs="Arial"/>
              <w:sz w:val="20"/>
              <w:szCs w:val="20"/>
            </w:rPr>
            <w:t>/2024/v33i6912.</w:t>
          </w:r>
        </w:p>
        <w:p w14:paraId="7EBA9C7F" w14:textId="77777777" w:rsidR="00FB4CD6" w:rsidRPr="00FB4CD6" w:rsidRDefault="00FB4CD6" w:rsidP="00FB4CD6">
          <w:pPr>
            <w:jc w:val="both"/>
            <w:rPr>
              <w:rFonts w:ascii="Arial" w:hAnsi="Arial" w:cs="Arial"/>
              <w:sz w:val="20"/>
              <w:szCs w:val="20"/>
              <w:lang w:val="en-US"/>
            </w:rPr>
          </w:pPr>
        </w:p>
        <w:p w14:paraId="35061224" w14:textId="3C0D8F9A" w:rsidR="004E6299" w:rsidRDefault="004E6299">
          <w:pPr>
            <w:pStyle w:val="ListParagraph"/>
            <w:numPr>
              <w:ilvl w:val="0"/>
              <w:numId w:val="6"/>
            </w:numPr>
            <w:jc w:val="both"/>
            <w:rPr>
              <w:rFonts w:ascii="Arial" w:hAnsi="Arial" w:cs="Arial"/>
              <w:sz w:val="20"/>
              <w:szCs w:val="20"/>
            </w:rPr>
          </w:pPr>
          <w:r>
            <w:rPr>
              <w:rFonts w:ascii="Arial" w:hAnsi="Arial" w:cs="Arial"/>
              <w:sz w:val="20"/>
              <w:szCs w:val="20"/>
            </w:rPr>
            <w:t xml:space="preserve">Shandro, B. (2020) “The investigation and management of pancreatic exocrine insufficiency: A retrospective cohort study,” </w:t>
          </w:r>
          <w:r w:rsidRPr="005A78D5">
            <w:rPr>
              <w:rFonts w:ascii="Arial" w:hAnsi="Arial" w:cs="Arial"/>
              <w:i/>
              <w:iCs/>
              <w:sz w:val="20"/>
              <w:szCs w:val="20"/>
            </w:rPr>
            <w:t xml:space="preserve">Clinical Medicine, </w:t>
          </w:r>
          <w:r>
            <w:rPr>
              <w:rFonts w:ascii="Arial" w:hAnsi="Arial" w:cs="Arial"/>
              <w:sz w:val="20"/>
              <w:szCs w:val="20"/>
            </w:rPr>
            <w:t>20(6), p. 535. Doi:10.7861/clinmed.2020-0506.</w:t>
          </w:r>
        </w:p>
        <w:p w14:paraId="44F2B2F7" w14:textId="77777777" w:rsidR="004E6299" w:rsidRPr="004E6299" w:rsidRDefault="004E6299" w:rsidP="004E6299">
          <w:pPr>
            <w:pStyle w:val="ListParagraph"/>
            <w:rPr>
              <w:rFonts w:ascii="Arial" w:hAnsi="Arial" w:cs="Arial"/>
              <w:sz w:val="20"/>
              <w:szCs w:val="20"/>
            </w:rPr>
          </w:pPr>
        </w:p>
        <w:p w14:paraId="26FC16DF" w14:textId="435F0033" w:rsidR="0007061E" w:rsidRDefault="000A509D">
          <w:pPr>
            <w:pStyle w:val="ListParagraph"/>
            <w:numPr>
              <w:ilvl w:val="0"/>
              <w:numId w:val="6"/>
            </w:numPr>
            <w:jc w:val="both"/>
            <w:rPr>
              <w:rFonts w:ascii="Arial" w:hAnsi="Arial" w:cs="Arial"/>
              <w:sz w:val="20"/>
              <w:szCs w:val="20"/>
            </w:rPr>
          </w:pPr>
          <w:r>
            <w:rPr>
              <w:rFonts w:ascii="Arial" w:hAnsi="Arial" w:cs="Arial"/>
              <w:sz w:val="20"/>
              <w:szCs w:val="20"/>
            </w:rPr>
            <w:t xml:space="preserve">Tang, C., Zhou, J., Song, Y. and Liu, S. (2025). </w:t>
          </w:r>
          <w:proofErr w:type="spellStart"/>
          <w:r>
            <w:rPr>
              <w:rFonts w:ascii="Arial" w:hAnsi="Arial" w:cs="Arial"/>
              <w:sz w:val="20"/>
              <w:szCs w:val="20"/>
            </w:rPr>
            <w:t>Etiologies</w:t>
          </w:r>
          <w:proofErr w:type="spellEnd"/>
          <w:r>
            <w:rPr>
              <w:rFonts w:ascii="Arial" w:hAnsi="Arial" w:cs="Arial"/>
              <w:sz w:val="20"/>
              <w:szCs w:val="20"/>
            </w:rPr>
            <w:t xml:space="preserve"> of exocrine pancreatic insufficiency. </w:t>
          </w:r>
          <w:r w:rsidRPr="00726792">
            <w:rPr>
              <w:rFonts w:ascii="Arial" w:hAnsi="Arial" w:cs="Arial"/>
              <w:i/>
              <w:iCs/>
              <w:sz w:val="20"/>
              <w:szCs w:val="20"/>
            </w:rPr>
            <w:t>Gastroenterology Report</w:t>
          </w:r>
          <w:r>
            <w:rPr>
              <w:rFonts w:ascii="Arial" w:hAnsi="Arial" w:cs="Arial"/>
              <w:sz w:val="20"/>
              <w:szCs w:val="20"/>
            </w:rPr>
            <w:t>, 13, Article goaf019. Doi:10.1093/gastro/goaf019</w:t>
          </w:r>
        </w:p>
        <w:p w14:paraId="30063B49" w14:textId="77777777" w:rsidR="0007061E" w:rsidRPr="0007061E" w:rsidRDefault="0007061E" w:rsidP="0007061E">
          <w:pPr>
            <w:pStyle w:val="ListParagraph"/>
            <w:rPr>
              <w:rFonts w:ascii="Arial" w:hAnsi="Arial" w:cs="Arial"/>
              <w:sz w:val="20"/>
              <w:szCs w:val="20"/>
            </w:rPr>
          </w:pPr>
        </w:p>
        <w:p w14:paraId="23E6C660" w14:textId="1C57D05E" w:rsidR="00AC4ED5" w:rsidRDefault="00AC4ED5">
          <w:pPr>
            <w:pStyle w:val="ListParagraph"/>
            <w:numPr>
              <w:ilvl w:val="0"/>
              <w:numId w:val="6"/>
            </w:numPr>
            <w:jc w:val="both"/>
            <w:rPr>
              <w:rFonts w:ascii="Arial" w:hAnsi="Arial" w:cs="Arial"/>
              <w:sz w:val="20"/>
              <w:szCs w:val="20"/>
            </w:rPr>
          </w:pPr>
          <w:r>
            <w:rPr>
              <w:rFonts w:ascii="Arial" w:hAnsi="Arial" w:cs="Arial"/>
              <w:sz w:val="20"/>
              <w:szCs w:val="20"/>
            </w:rPr>
            <w:t xml:space="preserve">Singh, V.K., Haupt, M.E., Geller, D.E., Hall, J.A. and Quintana Diez, P.M. (2017). Less common </w:t>
          </w:r>
          <w:proofErr w:type="spellStart"/>
          <w:r>
            <w:rPr>
              <w:rFonts w:ascii="Arial" w:hAnsi="Arial" w:cs="Arial"/>
              <w:sz w:val="20"/>
              <w:szCs w:val="20"/>
            </w:rPr>
            <w:t>etiologies</w:t>
          </w:r>
          <w:proofErr w:type="spellEnd"/>
          <w:r>
            <w:rPr>
              <w:rFonts w:ascii="Arial" w:hAnsi="Arial" w:cs="Arial"/>
              <w:sz w:val="20"/>
              <w:szCs w:val="20"/>
            </w:rPr>
            <w:t xml:space="preserve"> of exocrine pancreatic insufficiency. </w:t>
          </w:r>
          <w:r w:rsidRPr="009950FE">
            <w:rPr>
              <w:rFonts w:ascii="Arial" w:hAnsi="Arial" w:cs="Arial"/>
              <w:i/>
              <w:iCs/>
              <w:sz w:val="20"/>
              <w:szCs w:val="20"/>
            </w:rPr>
            <w:t>World Journal of Gastroenterology</w:t>
          </w:r>
          <w:r>
            <w:rPr>
              <w:rFonts w:ascii="Arial" w:hAnsi="Arial" w:cs="Arial"/>
              <w:sz w:val="20"/>
              <w:szCs w:val="20"/>
            </w:rPr>
            <w:t>, 23(39), pp.7059–7076. Doi:10.3748/wjg.v23.i39.7059.</w:t>
          </w:r>
        </w:p>
        <w:p w14:paraId="675503C0" w14:textId="77777777" w:rsidR="00AC4ED5" w:rsidRPr="00AC4ED5" w:rsidRDefault="00AC4ED5" w:rsidP="00AC4ED5">
          <w:pPr>
            <w:pStyle w:val="ListParagraph"/>
            <w:rPr>
              <w:rFonts w:ascii="Arial" w:hAnsi="Arial" w:cs="Arial"/>
              <w:sz w:val="20"/>
              <w:szCs w:val="20"/>
            </w:rPr>
          </w:pPr>
        </w:p>
        <w:p w14:paraId="1CA5BA6C" w14:textId="493A9EE6" w:rsidR="00493945" w:rsidRDefault="00493945">
          <w:pPr>
            <w:pStyle w:val="ListParagraph"/>
            <w:numPr>
              <w:ilvl w:val="0"/>
              <w:numId w:val="6"/>
            </w:numPr>
            <w:jc w:val="both"/>
            <w:rPr>
              <w:rFonts w:ascii="Arial" w:hAnsi="Arial" w:cs="Arial"/>
              <w:sz w:val="20"/>
              <w:szCs w:val="20"/>
            </w:rPr>
          </w:pPr>
          <w:r>
            <w:rPr>
              <w:rFonts w:ascii="Arial" w:hAnsi="Arial" w:cs="Arial"/>
              <w:sz w:val="20"/>
              <w:szCs w:val="20"/>
            </w:rPr>
            <w:t xml:space="preserve">Radebe, M., Mthembu, K. and Ngubane, T., 2022. Review on the phytochemical properties of Elephantorrhiza elephantina: from traditional uses to modern applications. </w:t>
          </w:r>
          <w:r w:rsidRPr="009950FE">
            <w:rPr>
              <w:rFonts w:ascii="Arial" w:hAnsi="Arial" w:cs="Arial"/>
              <w:i/>
              <w:iCs/>
              <w:sz w:val="20"/>
              <w:szCs w:val="20"/>
            </w:rPr>
            <w:t xml:space="preserve">Pharmacognosy Journal, </w:t>
          </w:r>
          <w:r>
            <w:rPr>
              <w:rFonts w:ascii="Arial" w:hAnsi="Arial" w:cs="Arial"/>
              <w:sz w:val="20"/>
              <w:szCs w:val="20"/>
            </w:rPr>
            <w:t>14(3), pp.210-225.</w:t>
          </w:r>
        </w:p>
        <w:p w14:paraId="1CED7E74" w14:textId="77777777" w:rsidR="00493945" w:rsidRPr="00493945" w:rsidRDefault="00493945" w:rsidP="00493945">
          <w:pPr>
            <w:pStyle w:val="ListParagraph"/>
            <w:rPr>
              <w:rFonts w:ascii="Arial" w:hAnsi="Arial" w:cs="Arial"/>
              <w:sz w:val="20"/>
              <w:szCs w:val="20"/>
            </w:rPr>
          </w:pPr>
        </w:p>
        <w:p w14:paraId="65BCAF42" w14:textId="6AFBAF7A" w:rsidR="00444DC7" w:rsidRDefault="00444DC7">
          <w:pPr>
            <w:pStyle w:val="ListParagraph"/>
            <w:numPr>
              <w:ilvl w:val="0"/>
              <w:numId w:val="6"/>
            </w:numPr>
            <w:jc w:val="both"/>
            <w:rPr>
              <w:rFonts w:ascii="Arial" w:hAnsi="Arial" w:cs="Arial"/>
              <w:sz w:val="20"/>
              <w:szCs w:val="20"/>
            </w:rPr>
          </w:pPr>
          <w:r>
            <w:rPr>
              <w:rFonts w:ascii="Arial" w:hAnsi="Arial" w:cs="Arial"/>
              <w:sz w:val="20"/>
              <w:szCs w:val="20"/>
            </w:rPr>
            <w:t xml:space="preserve">Borowitz, D. (2000) Evidence for the diagnosis of pancreatic insufficiency. </w:t>
          </w:r>
          <w:proofErr w:type="spellStart"/>
          <w:r w:rsidRPr="005503EC">
            <w:rPr>
              <w:rFonts w:ascii="Arial" w:hAnsi="Arial" w:cs="Arial"/>
              <w:i/>
              <w:iCs/>
              <w:sz w:val="20"/>
              <w:szCs w:val="20"/>
            </w:rPr>
            <w:t>Pediatric</w:t>
          </w:r>
          <w:proofErr w:type="spellEnd"/>
          <w:r w:rsidRPr="005503EC">
            <w:rPr>
              <w:rFonts w:ascii="Arial" w:hAnsi="Arial" w:cs="Arial"/>
              <w:i/>
              <w:iCs/>
              <w:sz w:val="20"/>
              <w:szCs w:val="20"/>
            </w:rPr>
            <w:t xml:space="preserve"> Pulmonology</w:t>
          </w:r>
          <w:r>
            <w:rPr>
              <w:rFonts w:ascii="Arial" w:hAnsi="Arial" w:cs="Arial"/>
              <w:sz w:val="20"/>
              <w:szCs w:val="20"/>
            </w:rPr>
            <w:t>. Wiley. Doi:10.1002/(sici)1099-0496(200003)29:3&lt;167::aid-ppul1&gt;3.0.co;2-5.</w:t>
          </w:r>
        </w:p>
        <w:p w14:paraId="129C72C3" w14:textId="77777777" w:rsidR="00444DC7" w:rsidRPr="00444DC7" w:rsidRDefault="00444DC7" w:rsidP="00444DC7">
          <w:pPr>
            <w:pStyle w:val="ListParagraph"/>
            <w:rPr>
              <w:rFonts w:ascii="Arial" w:hAnsi="Arial" w:cs="Arial"/>
              <w:sz w:val="20"/>
              <w:szCs w:val="20"/>
            </w:rPr>
          </w:pPr>
        </w:p>
        <w:p w14:paraId="7EB6DFB3" w14:textId="33EA4197" w:rsidR="005A4A4F" w:rsidRDefault="005A4A4F" w:rsidP="00444DC7">
          <w:pPr>
            <w:pStyle w:val="ListParagraph"/>
            <w:numPr>
              <w:ilvl w:val="0"/>
              <w:numId w:val="6"/>
            </w:numPr>
            <w:jc w:val="both"/>
            <w:rPr>
              <w:rFonts w:ascii="Arial" w:hAnsi="Arial" w:cs="Arial"/>
              <w:sz w:val="20"/>
              <w:szCs w:val="20"/>
            </w:rPr>
          </w:pPr>
          <w:r>
            <w:rPr>
              <w:rFonts w:ascii="Arial" w:hAnsi="Arial" w:cs="Arial"/>
              <w:sz w:val="20"/>
              <w:szCs w:val="20"/>
            </w:rPr>
            <w:t xml:space="preserve">El Barky, A.R., Ali, E.M.M. &amp; Mohamed, T.M. (2017). Marine Sea Cucumber Saponins and Diabetes. </w:t>
          </w:r>
          <w:r w:rsidRPr="005503EC">
            <w:rPr>
              <w:rFonts w:ascii="Arial" w:hAnsi="Arial" w:cs="Arial"/>
              <w:i/>
              <w:iCs/>
              <w:sz w:val="20"/>
              <w:szCs w:val="20"/>
            </w:rPr>
            <w:t>Austin Pancreatic Disorders</w:t>
          </w:r>
          <w:r>
            <w:rPr>
              <w:rFonts w:ascii="Arial" w:hAnsi="Arial" w:cs="Arial"/>
              <w:sz w:val="20"/>
              <w:szCs w:val="20"/>
            </w:rPr>
            <w:t>, 1(2), pp. 1002.</w:t>
          </w:r>
        </w:p>
        <w:p w14:paraId="1C3021AB" w14:textId="77777777" w:rsidR="005A4A4F" w:rsidRPr="005A4A4F" w:rsidRDefault="005A4A4F" w:rsidP="005A4A4F">
          <w:pPr>
            <w:rPr>
              <w:rFonts w:ascii="Arial" w:hAnsi="Arial" w:cs="Arial"/>
              <w:sz w:val="20"/>
              <w:szCs w:val="20"/>
            </w:rPr>
          </w:pPr>
        </w:p>
        <w:p w14:paraId="015E9788" w14:textId="5C108C5B" w:rsidR="000600A2" w:rsidRPr="000600A2" w:rsidRDefault="000600A2" w:rsidP="000600A2">
          <w:pPr>
            <w:pStyle w:val="ListParagraph"/>
            <w:numPr>
              <w:ilvl w:val="0"/>
              <w:numId w:val="6"/>
            </w:numPr>
            <w:jc w:val="both"/>
            <w:rPr>
              <w:rFonts w:ascii="Arial" w:hAnsi="Arial" w:cs="Arial"/>
              <w:sz w:val="20"/>
              <w:szCs w:val="20"/>
            </w:rPr>
          </w:pPr>
          <w:r w:rsidRPr="00FB4CD6">
            <w:rPr>
              <w:rFonts w:ascii="Arial" w:hAnsi="Arial" w:cs="Arial"/>
              <w:sz w:val="20"/>
              <w:szCs w:val="20"/>
            </w:rPr>
            <w:lastRenderedPageBreak/>
            <w:t xml:space="preserve">Gwaze, L.N., Chipato, W.E., Zengeni, S. and Chifamba, J. (2025). Bioactivity and safety of lyophilised </w:t>
          </w:r>
          <w:r w:rsidRPr="00FB4CD6">
            <w:rPr>
              <w:rFonts w:ascii="Arial" w:hAnsi="Arial" w:cs="Arial"/>
              <w:i/>
              <w:iCs/>
              <w:sz w:val="20"/>
              <w:szCs w:val="20"/>
            </w:rPr>
            <w:t>Carrisa edulis</w:t>
          </w:r>
          <w:r w:rsidRPr="00FB4CD6">
            <w:rPr>
              <w:rFonts w:ascii="Arial" w:hAnsi="Arial" w:cs="Arial"/>
              <w:sz w:val="20"/>
              <w:szCs w:val="20"/>
            </w:rPr>
            <w:t xml:space="preserve">. </w:t>
          </w:r>
          <w:r w:rsidRPr="00FB4CD6">
            <w:rPr>
              <w:rFonts w:ascii="Arial" w:hAnsi="Arial" w:cs="Arial"/>
              <w:i/>
              <w:iCs/>
              <w:sz w:val="20"/>
              <w:szCs w:val="20"/>
            </w:rPr>
            <w:t>Journal</w:t>
          </w:r>
          <w:r>
            <w:rPr>
              <w:rFonts w:ascii="Arial" w:hAnsi="Arial" w:cs="Arial"/>
              <w:i/>
              <w:iCs/>
              <w:sz w:val="20"/>
              <w:szCs w:val="20"/>
            </w:rPr>
            <w:t xml:space="preserve"> of Materials Science Research and Reviews</w:t>
          </w:r>
          <w:r>
            <w:rPr>
              <w:rFonts w:ascii="Arial" w:hAnsi="Arial" w:cs="Arial"/>
              <w:sz w:val="20"/>
              <w:szCs w:val="20"/>
            </w:rPr>
            <w:t>, 8(1), p.94. doi:10.9734/</w:t>
          </w:r>
          <w:proofErr w:type="spellStart"/>
          <w:r>
            <w:rPr>
              <w:rFonts w:ascii="Arial" w:hAnsi="Arial" w:cs="Arial"/>
              <w:sz w:val="20"/>
              <w:szCs w:val="20"/>
            </w:rPr>
            <w:t>jmsrr</w:t>
          </w:r>
          <w:proofErr w:type="spellEnd"/>
          <w:r>
            <w:rPr>
              <w:rFonts w:ascii="Arial" w:hAnsi="Arial" w:cs="Arial"/>
              <w:sz w:val="20"/>
              <w:szCs w:val="20"/>
            </w:rPr>
            <w:t>/2025/v8i1382.</w:t>
          </w:r>
        </w:p>
        <w:p w14:paraId="24E7FE88" w14:textId="77777777" w:rsidR="000600A2" w:rsidRPr="000600A2" w:rsidRDefault="000600A2" w:rsidP="000600A2">
          <w:pPr>
            <w:pStyle w:val="ListParagraph"/>
            <w:rPr>
              <w:rFonts w:ascii="Arial" w:hAnsi="Arial" w:cs="Arial"/>
              <w:sz w:val="20"/>
              <w:szCs w:val="20"/>
            </w:rPr>
          </w:pPr>
        </w:p>
        <w:p w14:paraId="320E1A32" w14:textId="30D9B826" w:rsidR="00564587" w:rsidRDefault="00564587" w:rsidP="00444DC7">
          <w:pPr>
            <w:pStyle w:val="ListParagraph"/>
            <w:numPr>
              <w:ilvl w:val="0"/>
              <w:numId w:val="6"/>
            </w:numPr>
            <w:jc w:val="both"/>
            <w:rPr>
              <w:rFonts w:ascii="Arial" w:hAnsi="Arial" w:cs="Arial"/>
              <w:sz w:val="20"/>
              <w:szCs w:val="20"/>
            </w:rPr>
          </w:pPr>
          <w:r>
            <w:rPr>
              <w:rFonts w:ascii="Arial" w:hAnsi="Arial" w:cs="Arial"/>
              <w:sz w:val="20"/>
              <w:szCs w:val="20"/>
            </w:rPr>
            <w:t xml:space="preserve">Omoruyi, B.E., Bradley, G. and Afolayan, A.J. (2012) Antioxidant and phytochemical properties of </w:t>
          </w:r>
          <w:proofErr w:type="spellStart"/>
          <w:r>
            <w:rPr>
              <w:rFonts w:ascii="Arial" w:hAnsi="Arial" w:cs="Arial"/>
              <w:sz w:val="20"/>
              <w:szCs w:val="20"/>
            </w:rPr>
            <w:t>Carpobrotus</w:t>
          </w:r>
          <w:proofErr w:type="spellEnd"/>
          <w:r>
            <w:rPr>
              <w:rFonts w:ascii="Arial" w:hAnsi="Arial" w:cs="Arial"/>
              <w:sz w:val="20"/>
              <w:szCs w:val="20"/>
            </w:rPr>
            <w:t xml:space="preserve"> edulis (L.) bolus leaf used for the management of common infections in HIV/AIDS patients in Eastern Cape Province</w:t>
          </w:r>
          <w:r w:rsidR="00224F91">
            <w:rPr>
              <w:rFonts w:ascii="Arial" w:hAnsi="Arial" w:cs="Arial"/>
              <w:sz w:val="20"/>
              <w:szCs w:val="20"/>
            </w:rPr>
            <w:t>.</w:t>
          </w:r>
          <w:r>
            <w:rPr>
              <w:rFonts w:ascii="Arial" w:hAnsi="Arial" w:cs="Arial"/>
              <w:sz w:val="20"/>
              <w:szCs w:val="20"/>
            </w:rPr>
            <w:t xml:space="preserve"> </w:t>
          </w:r>
          <w:r w:rsidRPr="00224F91">
            <w:rPr>
              <w:rFonts w:ascii="Arial" w:hAnsi="Arial" w:cs="Arial"/>
              <w:i/>
              <w:iCs/>
              <w:sz w:val="20"/>
              <w:szCs w:val="20"/>
            </w:rPr>
            <w:t>BMC Complementary and Alternative Medicine,</w:t>
          </w:r>
          <w:r>
            <w:rPr>
              <w:rFonts w:ascii="Arial" w:hAnsi="Arial" w:cs="Arial"/>
              <w:sz w:val="20"/>
              <w:szCs w:val="20"/>
            </w:rPr>
            <w:t xml:space="preserve"> 12(1). Doi:10.1186/1472-6882-12-215. </w:t>
          </w:r>
        </w:p>
        <w:p w14:paraId="620FCDC0" w14:textId="77777777" w:rsidR="00564587" w:rsidRPr="00564587" w:rsidRDefault="00564587" w:rsidP="00564587">
          <w:pPr>
            <w:pStyle w:val="ListParagraph"/>
            <w:rPr>
              <w:rFonts w:ascii="Arial" w:hAnsi="Arial" w:cs="Arial"/>
              <w:sz w:val="20"/>
              <w:szCs w:val="20"/>
            </w:rPr>
          </w:pPr>
        </w:p>
        <w:p w14:paraId="7E3E9BC4" w14:textId="77570BA1" w:rsidR="002F1677" w:rsidRDefault="002F1677" w:rsidP="00444DC7">
          <w:pPr>
            <w:pStyle w:val="ListParagraph"/>
            <w:numPr>
              <w:ilvl w:val="0"/>
              <w:numId w:val="6"/>
            </w:numPr>
            <w:jc w:val="both"/>
            <w:rPr>
              <w:rFonts w:ascii="Arial" w:hAnsi="Arial" w:cs="Arial"/>
              <w:sz w:val="20"/>
              <w:szCs w:val="20"/>
            </w:rPr>
          </w:pPr>
          <w:r>
            <w:rPr>
              <w:rFonts w:ascii="Arial" w:hAnsi="Arial" w:cs="Arial"/>
              <w:sz w:val="20"/>
              <w:szCs w:val="20"/>
            </w:rPr>
            <w:t xml:space="preserve">Li, X., Zhang, L., Chen, J., Liu, Y., Zhao, F. and Wang, H. (2022). Inhibitory effects against alpha‐amylase of an enriched polyphenol extract from pericarp of </w:t>
          </w:r>
          <w:proofErr w:type="spellStart"/>
          <w:r>
            <w:rPr>
              <w:rFonts w:ascii="Arial" w:hAnsi="Arial" w:cs="Arial"/>
              <w:sz w:val="20"/>
              <w:szCs w:val="20"/>
            </w:rPr>
            <w:t>mangosteen</w:t>
          </w:r>
          <w:proofErr w:type="spellEnd"/>
          <w:r>
            <w:rPr>
              <w:rFonts w:ascii="Arial" w:hAnsi="Arial" w:cs="Arial"/>
              <w:sz w:val="20"/>
              <w:szCs w:val="20"/>
            </w:rPr>
            <w:t xml:space="preserve"> (Garcinia </w:t>
          </w:r>
          <w:proofErr w:type="spellStart"/>
          <w:r>
            <w:rPr>
              <w:rFonts w:ascii="Arial" w:hAnsi="Arial" w:cs="Arial"/>
              <w:sz w:val="20"/>
              <w:szCs w:val="20"/>
            </w:rPr>
            <w:t>mangostana</w:t>
          </w:r>
          <w:proofErr w:type="spellEnd"/>
          <w:r>
            <w:rPr>
              <w:rFonts w:ascii="Arial" w:hAnsi="Arial" w:cs="Arial"/>
              <w:sz w:val="20"/>
              <w:szCs w:val="20"/>
            </w:rPr>
            <w:t xml:space="preserve">). </w:t>
          </w:r>
          <w:r w:rsidRPr="006A5AA3">
            <w:rPr>
              <w:rFonts w:ascii="Arial" w:hAnsi="Arial" w:cs="Arial"/>
              <w:i/>
              <w:iCs/>
              <w:sz w:val="20"/>
              <w:szCs w:val="20"/>
            </w:rPr>
            <w:t>Foods</w:t>
          </w:r>
          <w:r>
            <w:rPr>
              <w:rFonts w:ascii="Arial" w:hAnsi="Arial" w:cs="Arial"/>
              <w:sz w:val="20"/>
              <w:szCs w:val="20"/>
            </w:rPr>
            <w:t>, 11(7), p.1001. doi:10.3390/foods11071001.</w:t>
          </w:r>
        </w:p>
        <w:p w14:paraId="42EAB2AD" w14:textId="77777777" w:rsidR="002F1677" w:rsidRPr="002F1677" w:rsidRDefault="002F1677" w:rsidP="002F1677">
          <w:pPr>
            <w:pStyle w:val="ListParagraph"/>
            <w:rPr>
              <w:rFonts w:ascii="Arial" w:hAnsi="Arial" w:cs="Arial"/>
              <w:sz w:val="20"/>
              <w:szCs w:val="20"/>
            </w:rPr>
          </w:pPr>
        </w:p>
        <w:p w14:paraId="3737C5DB" w14:textId="634C6860" w:rsidR="00861533" w:rsidRDefault="00861533" w:rsidP="00861533">
          <w:pPr>
            <w:pStyle w:val="ListParagraph"/>
            <w:numPr>
              <w:ilvl w:val="0"/>
              <w:numId w:val="6"/>
            </w:numPr>
            <w:jc w:val="both"/>
            <w:rPr>
              <w:rFonts w:ascii="Arial" w:hAnsi="Arial" w:cs="Arial"/>
              <w:sz w:val="20"/>
              <w:szCs w:val="20"/>
            </w:rPr>
          </w:pPr>
          <w:r>
            <w:rPr>
              <w:rFonts w:ascii="Arial" w:hAnsi="Arial" w:cs="Arial"/>
              <w:sz w:val="20"/>
              <w:szCs w:val="20"/>
            </w:rPr>
            <w:t xml:space="preserve">Cai, F., Hu, C., Chen, C.-J., Han, Y.-P., Lin, Z.-Q., Deng, L.-H. and Xia, Q. (2022). Vitamin D and Pancreatitis: A Narrative Review of Current Evidence. </w:t>
          </w:r>
          <w:r w:rsidRPr="006A5AA3">
            <w:rPr>
              <w:rFonts w:ascii="Arial" w:hAnsi="Arial" w:cs="Arial"/>
              <w:i/>
              <w:iCs/>
              <w:sz w:val="20"/>
              <w:szCs w:val="20"/>
            </w:rPr>
            <w:t>Nutrients</w:t>
          </w:r>
          <w:r>
            <w:rPr>
              <w:rFonts w:ascii="Arial" w:hAnsi="Arial" w:cs="Arial"/>
              <w:sz w:val="20"/>
              <w:szCs w:val="20"/>
            </w:rPr>
            <w:t>, 14(10), p. 2113. Doi:10.3390/nu14102113</w:t>
          </w:r>
          <w:r w:rsidR="00706D67">
            <w:rPr>
              <w:rFonts w:ascii="Arial" w:hAnsi="Arial" w:cs="Arial"/>
              <w:sz w:val="20"/>
              <w:szCs w:val="20"/>
            </w:rPr>
            <w:t>.</w:t>
          </w:r>
        </w:p>
        <w:p w14:paraId="71AE2ED5" w14:textId="77777777" w:rsidR="00861533" w:rsidRPr="00861533" w:rsidRDefault="00861533" w:rsidP="00861533">
          <w:pPr>
            <w:pStyle w:val="ListParagraph"/>
            <w:rPr>
              <w:rFonts w:ascii="Arial" w:hAnsi="Arial" w:cs="Arial"/>
              <w:sz w:val="20"/>
              <w:szCs w:val="20"/>
            </w:rPr>
          </w:pPr>
        </w:p>
        <w:p w14:paraId="17B9045B" w14:textId="4C35C124" w:rsidR="006B54F2" w:rsidRDefault="006B54F2" w:rsidP="006B54F2">
          <w:pPr>
            <w:pStyle w:val="ListParagraph"/>
            <w:numPr>
              <w:ilvl w:val="0"/>
              <w:numId w:val="6"/>
            </w:numPr>
            <w:jc w:val="both"/>
            <w:rPr>
              <w:rFonts w:ascii="Arial" w:hAnsi="Arial" w:cs="Arial"/>
              <w:sz w:val="20"/>
              <w:szCs w:val="20"/>
            </w:rPr>
          </w:pPr>
          <w:r w:rsidRPr="006B54F2">
            <w:rPr>
              <w:rFonts w:ascii="Arial" w:hAnsi="Arial" w:cs="Arial"/>
              <w:sz w:val="20"/>
              <w:szCs w:val="20"/>
            </w:rPr>
            <w:t>Vo, T.P., Nguyen, L.N.H., Le, N.P.T., Mai, T.P. and Nguyen, D.Q. (2022) Optimization of the ultrasonic-assisted extraction process to obtain total phenolic and flavonoid compounds from watermelon (Citrullus lanatus) rind</w:t>
          </w:r>
          <w:r w:rsidR="006A5AA3">
            <w:rPr>
              <w:rFonts w:ascii="Arial" w:hAnsi="Arial" w:cs="Arial"/>
              <w:sz w:val="20"/>
              <w:szCs w:val="20"/>
            </w:rPr>
            <w:t>.</w:t>
          </w:r>
          <w:r w:rsidRPr="006B54F2">
            <w:rPr>
              <w:rFonts w:ascii="Arial" w:hAnsi="Arial" w:cs="Arial"/>
              <w:sz w:val="20"/>
              <w:szCs w:val="20"/>
            </w:rPr>
            <w:t xml:space="preserve"> </w:t>
          </w:r>
          <w:r w:rsidRPr="006A5AA3">
            <w:rPr>
              <w:rFonts w:ascii="Arial" w:hAnsi="Arial" w:cs="Arial"/>
              <w:i/>
              <w:iCs/>
              <w:sz w:val="20"/>
              <w:szCs w:val="20"/>
            </w:rPr>
            <w:t>Current Research in Food Science,</w:t>
          </w:r>
          <w:r w:rsidRPr="006B54F2">
            <w:rPr>
              <w:rFonts w:ascii="Arial" w:hAnsi="Arial" w:cs="Arial"/>
              <w:sz w:val="20"/>
              <w:szCs w:val="20"/>
            </w:rPr>
            <w:t xml:space="preserve"> 5, p. 2013. Doi:10.1016/j.crfs.2022.09.021</w:t>
          </w:r>
          <w:r>
            <w:rPr>
              <w:rFonts w:ascii="Arial" w:hAnsi="Arial" w:cs="Arial"/>
              <w:sz w:val="20"/>
              <w:szCs w:val="20"/>
            </w:rPr>
            <w:t>.</w:t>
          </w:r>
        </w:p>
        <w:p w14:paraId="2CA3C00B" w14:textId="77777777" w:rsidR="006B54F2" w:rsidRPr="006B54F2" w:rsidRDefault="006B54F2" w:rsidP="006B54F2">
          <w:pPr>
            <w:jc w:val="both"/>
            <w:rPr>
              <w:rFonts w:ascii="Arial" w:hAnsi="Arial" w:cs="Arial"/>
              <w:sz w:val="20"/>
              <w:szCs w:val="20"/>
            </w:rPr>
          </w:pPr>
        </w:p>
        <w:p w14:paraId="7229BF10" w14:textId="320E9215" w:rsidR="0009208E" w:rsidRPr="009D03C3" w:rsidRDefault="0009208E" w:rsidP="00861533">
          <w:pPr>
            <w:pStyle w:val="ListParagraph"/>
            <w:numPr>
              <w:ilvl w:val="0"/>
              <w:numId w:val="6"/>
            </w:numPr>
            <w:jc w:val="both"/>
            <w:rPr>
              <w:rFonts w:ascii="Arial" w:hAnsi="Arial" w:cs="Arial"/>
              <w:i/>
              <w:iCs/>
              <w:sz w:val="20"/>
              <w:szCs w:val="20"/>
            </w:rPr>
          </w:pPr>
          <w:r>
            <w:rPr>
              <w:rFonts w:ascii="Arial" w:hAnsi="Arial" w:cs="Arial"/>
              <w:sz w:val="20"/>
              <w:szCs w:val="20"/>
            </w:rPr>
            <w:t xml:space="preserve">Test No. 407: Repeated Dose 28-day Oral Toxicity Study in Rodents (2008) OECD guidelines for the testing of chemicals. Section 4: Health effects. </w:t>
          </w:r>
          <w:r w:rsidRPr="009D03C3">
            <w:rPr>
              <w:rFonts w:ascii="Arial" w:hAnsi="Arial" w:cs="Arial"/>
              <w:i/>
              <w:iCs/>
              <w:sz w:val="20"/>
              <w:szCs w:val="20"/>
            </w:rPr>
            <w:t>Organization for Economic Cooperation and Development. Doi:10.1787/9789264070684-en.</w:t>
          </w:r>
        </w:p>
        <w:p w14:paraId="4693CB90" w14:textId="77777777" w:rsidR="0009208E" w:rsidRPr="0009208E" w:rsidRDefault="0009208E" w:rsidP="0009208E">
          <w:pPr>
            <w:pStyle w:val="ListParagraph"/>
            <w:rPr>
              <w:rFonts w:ascii="Arial" w:hAnsi="Arial" w:cs="Arial"/>
              <w:sz w:val="20"/>
              <w:szCs w:val="20"/>
            </w:rPr>
          </w:pPr>
        </w:p>
        <w:p w14:paraId="2BA792AD" w14:textId="690595D9" w:rsidR="002203B7" w:rsidRDefault="002203B7" w:rsidP="00861533">
          <w:pPr>
            <w:pStyle w:val="ListParagraph"/>
            <w:numPr>
              <w:ilvl w:val="0"/>
              <w:numId w:val="6"/>
            </w:numPr>
            <w:jc w:val="both"/>
            <w:rPr>
              <w:rFonts w:ascii="Arial" w:hAnsi="Arial" w:cs="Arial"/>
              <w:sz w:val="20"/>
              <w:szCs w:val="20"/>
            </w:rPr>
          </w:pPr>
          <w:r>
            <w:rPr>
              <w:rFonts w:ascii="Arial" w:hAnsi="Arial" w:cs="Arial"/>
              <w:sz w:val="20"/>
              <w:szCs w:val="20"/>
            </w:rPr>
            <w:t xml:space="preserve">Nugent, L. (2025). Pancreatic Exocrine Insufficiency: Causes, Diagnosis and Treatment. </w:t>
          </w:r>
          <w:r w:rsidRPr="0070745C">
            <w:rPr>
              <w:rFonts w:ascii="Arial" w:hAnsi="Arial" w:cs="Arial"/>
              <w:i/>
              <w:iCs/>
              <w:sz w:val="20"/>
              <w:szCs w:val="20"/>
            </w:rPr>
            <w:t xml:space="preserve">The Pharmaceutical Journal, </w:t>
          </w:r>
          <w:r>
            <w:rPr>
              <w:rFonts w:ascii="Arial" w:hAnsi="Arial" w:cs="Arial"/>
              <w:sz w:val="20"/>
              <w:szCs w:val="20"/>
            </w:rPr>
            <w:t>02 May 2025.</w:t>
          </w:r>
        </w:p>
        <w:p w14:paraId="56B2CBBE" w14:textId="77777777" w:rsidR="002203B7" w:rsidRPr="002203B7" w:rsidRDefault="002203B7" w:rsidP="002203B7">
          <w:pPr>
            <w:pStyle w:val="ListParagraph"/>
            <w:rPr>
              <w:rFonts w:ascii="Arial" w:hAnsi="Arial" w:cs="Arial"/>
              <w:sz w:val="20"/>
              <w:szCs w:val="20"/>
            </w:rPr>
          </w:pPr>
        </w:p>
        <w:p w14:paraId="7DF3C273" w14:textId="13CF46AE" w:rsidR="000C7DF2" w:rsidRDefault="000C7DF2" w:rsidP="00861533">
          <w:pPr>
            <w:pStyle w:val="ListParagraph"/>
            <w:numPr>
              <w:ilvl w:val="0"/>
              <w:numId w:val="6"/>
            </w:numPr>
            <w:jc w:val="both"/>
            <w:rPr>
              <w:rFonts w:ascii="Arial" w:hAnsi="Arial" w:cs="Arial"/>
              <w:sz w:val="20"/>
              <w:szCs w:val="20"/>
            </w:rPr>
          </w:pPr>
          <w:proofErr w:type="spellStart"/>
          <w:r>
            <w:rPr>
              <w:rFonts w:ascii="Arial" w:hAnsi="Arial" w:cs="Arial"/>
              <w:sz w:val="20"/>
              <w:szCs w:val="20"/>
            </w:rPr>
            <w:t>Shanmugarajan</w:t>
          </w:r>
          <w:proofErr w:type="spellEnd"/>
          <w:r>
            <w:rPr>
              <w:rFonts w:ascii="Arial" w:hAnsi="Arial" w:cs="Arial"/>
              <w:sz w:val="20"/>
              <w:szCs w:val="20"/>
            </w:rPr>
            <w:t xml:space="preserve">, T.S., </w:t>
          </w:r>
          <w:proofErr w:type="spellStart"/>
          <w:r>
            <w:rPr>
              <w:rFonts w:ascii="Arial" w:hAnsi="Arial" w:cs="Arial"/>
              <w:sz w:val="20"/>
              <w:szCs w:val="20"/>
            </w:rPr>
            <w:t>Jeyakumar</w:t>
          </w:r>
          <w:proofErr w:type="spellEnd"/>
          <w:r>
            <w:rPr>
              <w:rFonts w:ascii="Arial" w:hAnsi="Arial" w:cs="Arial"/>
              <w:sz w:val="20"/>
              <w:szCs w:val="20"/>
            </w:rPr>
            <w:t xml:space="preserve">, K., Palani, G. and Saravanan, R. (2008). Influence of alpha lipoic acid on antioxidant status in D‐galactosamine‐induced hepatic injury. </w:t>
          </w:r>
          <w:r w:rsidRPr="0070745C">
            <w:rPr>
              <w:rFonts w:ascii="Arial" w:hAnsi="Arial" w:cs="Arial"/>
              <w:i/>
              <w:iCs/>
              <w:sz w:val="20"/>
              <w:szCs w:val="20"/>
            </w:rPr>
            <w:t>Toxicology and Industrial Health</w:t>
          </w:r>
          <w:r>
            <w:rPr>
              <w:rFonts w:ascii="Arial" w:hAnsi="Arial" w:cs="Arial"/>
              <w:sz w:val="20"/>
              <w:szCs w:val="20"/>
            </w:rPr>
            <w:t>, 24(10), pp.635–642. Doi:10.1177/0748233708101215.</w:t>
          </w:r>
        </w:p>
        <w:p w14:paraId="6262CFD2" w14:textId="77777777" w:rsidR="00207234" w:rsidRPr="009F15BF" w:rsidRDefault="00207234" w:rsidP="009F15BF">
          <w:pPr>
            <w:rPr>
              <w:rFonts w:ascii="Arial" w:hAnsi="Arial" w:cs="Arial"/>
              <w:sz w:val="20"/>
              <w:szCs w:val="20"/>
            </w:rPr>
          </w:pPr>
        </w:p>
        <w:p w14:paraId="3487F497" w14:textId="171CB6BF" w:rsidR="00207234" w:rsidRDefault="00E54EE8" w:rsidP="00861533">
          <w:pPr>
            <w:pStyle w:val="ListParagraph"/>
            <w:numPr>
              <w:ilvl w:val="0"/>
              <w:numId w:val="6"/>
            </w:numPr>
            <w:jc w:val="both"/>
            <w:rPr>
              <w:rFonts w:ascii="Arial" w:hAnsi="Arial" w:cs="Arial"/>
              <w:sz w:val="20"/>
              <w:szCs w:val="20"/>
            </w:rPr>
          </w:pPr>
          <w:r>
            <w:rPr>
              <w:rFonts w:ascii="Arial" w:hAnsi="Arial" w:cs="Arial"/>
              <w:sz w:val="20"/>
              <w:szCs w:val="20"/>
            </w:rPr>
            <w:t xml:space="preserve">Gašić, U., </w:t>
          </w:r>
          <w:proofErr w:type="spellStart"/>
          <w:r>
            <w:rPr>
              <w:rFonts w:ascii="Arial" w:hAnsi="Arial" w:cs="Arial"/>
              <w:sz w:val="20"/>
              <w:szCs w:val="20"/>
            </w:rPr>
            <w:t>Ćirić</w:t>
          </w:r>
          <w:proofErr w:type="spellEnd"/>
          <w:r>
            <w:rPr>
              <w:rFonts w:ascii="Arial" w:hAnsi="Arial" w:cs="Arial"/>
              <w:sz w:val="20"/>
              <w:szCs w:val="20"/>
            </w:rPr>
            <w:t xml:space="preserve">, I., </w:t>
          </w:r>
          <w:proofErr w:type="spellStart"/>
          <w:r>
            <w:rPr>
              <w:rFonts w:ascii="Arial" w:hAnsi="Arial" w:cs="Arial"/>
              <w:sz w:val="20"/>
              <w:szCs w:val="20"/>
            </w:rPr>
            <w:t>Pejčić</w:t>
          </w:r>
          <w:proofErr w:type="spellEnd"/>
          <w:r>
            <w:rPr>
              <w:rFonts w:ascii="Arial" w:hAnsi="Arial" w:cs="Arial"/>
              <w:sz w:val="20"/>
              <w:szCs w:val="20"/>
            </w:rPr>
            <w:t xml:space="preserve">, T., et al. (2020). Polyphenols as Possible Agents for Pancreatic Diseases. </w:t>
          </w:r>
          <w:r w:rsidRPr="00103EFE">
            <w:rPr>
              <w:rFonts w:ascii="Arial" w:hAnsi="Arial" w:cs="Arial"/>
              <w:i/>
              <w:iCs/>
              <w:sz w:val="20"/>
              <w:szCs w:val="20"/>
            </w:rPr>
            <w:t>Antioxidants</w:t>
          </w:r>
          <w:r>
            <w:rPr>
              <w:rFonts w:ascii="Arial" w:hAnsi="Arial" w:cs="Arial"/>
              <w:sz w:val="20"/>
              <w:szCs w:val="20"/>
            </w:rPr>
            <w:t>, 9(6), pp. 547.</w:t>
          </w:r>
        </w:p>
        <w:p w14:paraId="177BF110" w14:textId="77777777" w:rsidR="0070745C" w:rsidRPr="0070745C" w:rsidRDefault="0070745C" w:rsidP="0070745C">
          <w:pPr>
            <w:jc w:val="both"/>
            <w:rPr>
              <w:rFonts w:ascii="Arial" w:hAnsi="Arial" w:cs="Arial"/>
              <w:sz w:val="20"/>
              <w:szCs w:val="20"/>
            </w:rPr>
          </w:pPr>
        </w:p>
        <w:p w14:paraId="2D897198" w14:textId="03CB97B7" w:rsidR="008B55E0" w:rsidRDefault="008B55E0" w:rsidP="00861533">
          <w:pPr>
            <w:pStyle w:val="ListParagraph"/>
            <w:numPr>
              <w:ilvl w:val="0"/>
              <w:numId w:val="6"/>
            </w:numPr>
            <w:jc w:val="both"/>
            <w:rPr>
              <w:rFonts w:ascii="Arial" w:hAnsi="Arial" w:cs="Arial"/>
              <w:sz w:val="20"/>
              <w:szCs w:val="20"/>
            </w:rPr>
          </w:pPr>
          <w:r>
            <w:rPr>
              <w:rFonts w:ascii="Arial" w:hAnsi="Arial" w:cs="Arial"/>
              <w:sz w:val="20"/>
              <w:szCs w:val="20"/>
            </w:rPr>
            <w:t>Niu, C., Zhang, J. &amp; Okolo, P.I. (2025). Harnessing Plant Flavonoids to Fight Pancreatic Cancer. Current Nutrition Reports, 13, pp. 566-581.</w:t>
          </w:r>
        </w:p>
        <w:p w14:paraId="0CD7B21B" w14:textId="77777777" w:rsidR="008B55E0" w:rsidRPr="008B55E0" w:rsidRDefault="008B55E0" w:rsidP="008B55E0">
          <w:pPr>
            <w:pStyle w:val="ListParagraph"/>
            <w:rPr>
              <w:rFonts w:ascii="Arial" w:hAnsi="Arial" w:cs="Arial"/>
              <w:sz w:val="20"/>
              <w:szCs w:val="20"/>
            </w:rPr>
          </w:pPr>
        </w:p>
        <w:p w14:paraId="0F114600" w14:textId="1FBBDC74" w:rsidR="009C5CC0" w:rsidRDefault="005D5DD9" w:rsidP="00861533">
          <w:pPr>
            <w:pStyle w:val="ListParagraph"/>
            <w:numPr>
              <w:ilvl w:val="0"/>
              <w:numId w:val="6"/>
            </w:numPr>
            <w:jc w:val="both"/>
            <w:rPr>
              <w:rFonts w:ascii="Arial" w:hAnsi="Arial" w:cs="Arial"/>
              <w:sz w:val="20"/>
              <w:szCs w:val="20"/>
            </w:rPr>
          </w:pPr>
          <w:r>
            <w:rPr>
              <w:rFonts w:ascii="Arial" w:hAnsi="Arial" w:cs="Arial"/>
              <w:sz w:val="20"/>
              <w:szCs w:val="20"/>
            </w:rPr>
            <w:t xml:space="preserve">Lavle, N., Shukla, P. &amp; Panchal, A. (2016). Role of Flavonoids and Saponins in the Treatment of Diabetes Mellitus. </w:t>
          </w:r>
          <w:r w:rsidRPr="006F4C0D">
            <w:rPr>
              <w:rFonts w:ascii="Arial" w:hAnsi="Arial" w:cs="Arial"/>
              <w:i/>
              <w:iCs/>
              <w:sz w:val="20"/>
              <w:szCs w:val="20"/>
            </w:rPr>
            <w:t>Journal of Pharmaceutical Science and Bioscientific Research</w:t>
          </w:r>
          <w:r>
            <w:rPr>
              <w:rFonts w:ascii="Arial" w:hAnsi="Arial" w:cs="Arial"/>
              <w:sz w:val="20"/>
              <w:szCs w:val="20"/>
            </w:rPr>
            <w:t>, 6(4), pp. 535-541.</w:t>
          </w:r>
        </w:p>
        <w:p w14:paraId="2FC4F1E9" w14:textId="77777777" w:rsidR="005D5DD9" w:rsidRPr="005D5DD9" w:rsidRDefault="005D5DD9" w:rsidP="005D5DD9">
          <w:pPr>
            <w:jc w:val="both"/>
            <w:rPr>
              <w:rFonts w:ascii="Arial" w:hAnsi="Arial" w:cs="Arial"/>
              <w:sz w:val="20"/>
              <w:szCs w:val="20"/>
            </w:rPr>
          </w:pPr>
        </w:p>
        <w:p w14:paraId="21166B8B" w14:textId="79B32FC7" w:rsidR="00F94EEE" w:rsidRDefault="00F94EEE" w:rsidP="00861533">
          <w:pPr>
            <w:pStyle w:val="ListParagraph"/>
            <w:numPr>
              <w:ilvl w:val="0"/>
              <w:numId w:val="6"/>
            </w:numPr>
            <w:jc w:val="both"/>
            <w:rPr>
              <w:rFonts w:ascii="Arial" w:hAnsi="Arial" w:cs="Arial"/>
              <w:sz w:val="20"/>
              <w:szCs w:val="20"/>
            </w:rPr>
          </w:pPr>
          <w:r>
            <w:rPr>
              <w:rFonts w:ascii="Arial" w:hAnsi="Arial" w:cs="Arial"/>
              <w:sz w:val="20"/>
              <w:szCs w:val="20"/>
            </w:rPr>
            <w:t xml:space="preserve">Deora, N. &amp; Venkataraman, K. (2023). A systematic review of medicinal plants and compounds for restoring pancreatic β-cell mass and function in the management of diabetes mellitus. </w:t>
          </w:r>
          <w:r w:rsidRPr="006F4C0D">
            <w:rPr>
              <w:rFonts w:ascii="Arial" w:hAnsi="Arial" w:cs="Arial"/>
              <w:i/>
              <w:iCs/>
              <w:sz w:val="20"/>
              <w:szCs w:val="20"/>
            </w:rPr>
            <w:t xml:space="preserve">Journal of Applied Pharmaceutical Science, </w:t>
          </w:r>
          <w:r>
            <w:rPr>
              <w:rFonts w:ascii="Arial" w:hAnsi="Arial" w:cs="Arial"/>
              <w:sz w:val="20"/>
              <w:szCs w:val="20"/>
            </w:rPr>
            <w:t>13(07), pp. 055-072.</w:t>
          </w:r>
        </w:p>
        <w:p w14:paraId="74287A13" w14:textId="77777777" w:rsidR="00F94EEE" w:rsidRPr="00F94EEE" w:rsidRDefault="00F94EEE" w:rsidP="00F94EEE">
          <w:pPr>
            <w:pStyle w:val="ListParagraph"/>
            <w:rPr>
              <w:rFonts w:ascii="Arial" w:hAnsi="Arial" w:cs="Arial"/>
              <w:sz w:val="20"/>
              <w:szCs w:val="20"/>
            </w:rPr>
          </w:pPr>
        </w:p>
        <w:p w14:paraId="420DB412" w14:textId="5D31EB52" w:rsidR="000C3DAF" w:rsidRDefault="0050084E" w:rsidP="00861533">
          <w:pPr>
            <w:pStyle w:val="ListParagraph"/>
            <w:numPr>
              <w:ilvl w:val="0"/>
              <w:numId w:val="6"/>
            </w:numPr>
            <w:jc w:val="both"/>
            <w:rPr>
              <w:rFonts w:ascii="Arial" w:hAnsi="Arial" w:cs="Arial"/>
              <w:sz w:val="20"/>
              <w:szCs w:val="20"/>
            </w:rPr>
          </w:pPr>
          <w:r>
            <w:rPr>
              <w:rFonts w:ascii="Arial" w:hAnsi="Arial" w:cs="Arial"/>
              <w:sz w:val="20"/>
              <w:szCs w:val="20"/>
            </w:rPr>
            <w:t xml:space="preserve">Mpofu, J., Chivasa, W. and Gumbo, S., 2015. Flavonoids from the rhizomes of </w:t>
          </w:r>
          <w:proofErr w:type="spellStart"/>
          <w:r>
            <w:rPr>
              <w:rFonts w:ascii="Arial" w:hAnsi="Arial" w:cs="Arial"/>
              <w:sz w:val="20"/>
              <w:szCs w:val="20"/>
            </w:rPr>
            <w:t>Elephantorrhiza</w:t>
          </w:r>
          <w:proofErr w:type="spellEnd"/>
          <w:r>
            <w:rPr>
              <w:rFonts w:ascii="Arial" w:hAnsi="Arial" w:cs="Arial"/>
              <w:sz w:val="20"/>
              <w:szCs w:val="20"/>
            </w:rPr>
            <w:t xml:space="preserve"> </w:t>
          </w:r>
          <w:proofErr w:type="spellStart"/>
          <w:r>
            <w:rPr>
              <w:rFonts w:ascii="Arial" w:hAnsi="Arial" w:cs="Arial"/>
              <w:sz w:val="20"/>
              <w:szCs w:val="20"/>
            </w:rPr>
            <w:t>elephantina</w:t>
          </w:r>
          <w:proofErr w:type="spellEnd"/>
          <w:r>
            <w:rPr>
              <w:rFonts w:ascii="Arial" w:hAnsi="Arial" w:cs="Arial"/>
              <w:sz w:val="20"/>
              <w:szCs w:val="20"/>
            </w:rPr>
            <w:t xml:space="preserve"> and </w:t>
          </w:r>
          <w:proofErr w:type="spellStart"/>
          <w:r>
            <w:rPr>
              <w:rFonts w:ascii="Arial" w:hAnsi="Arial" w:cs="Arial"/>
              <w:sz w:val="20"/>
              <w:szCs w:val="20"/>
            </w:rPr>
            <w:t>Pentanisia</w:t>
          </w:r>
          <w:proofErr w:type="spellEnd"/>
          <w:r>
            <w:rPr>
              <w:rFonts w:ascii="Arial" w:hAnsi="Arial" w:cs="Arial"/>
              <w:sz w:val="20"/>
              <w:szCs w:val="20"/>
            </w:rPr>
            <w:t xml:space="preserve"> </w:t>
          </w:r>
          <w:proofErr w:type="spellStart"/>
          <w:r>
            <w:rPr>
              <w:rFonts w:ascii="Arial" w:hAnsi="Arial" w:cs="Arial"/>
              <w:sz w:val="20"/>
              <w:szCs w:val="20"/>
            </w:rPr>
            <w:t>prunelloides</w:t>
          </w:r>
          <w:proofErr w:type="spellEnd"/>
          <w:r>
            <w:rPr>
              <w:rFonts w:ascii="Arial" w:hAnsi="Arial" w:cs="Arial"/>
              <w:sz w:val="20"/>
              <w:szCs w:val="20"/>
            </w:rPr>
            <w:t xml:space="preserve">. </w:t>
          </w:r>
          <w:r w:rsidRPr="006F4C0D">
            <w:rPr>
              <w:rFonts w:ascii="Arial" w:hAnsi="Arial" w:cs="Arial"/>
              <w:i/>
              <w:iCs/>
              <w:sz w:val="20"/>
              <w:szCs w:val="20"/>
            </w:rPr>
            <w:t>Journal of Medicinal Plants Research,</w:t>
          </w:r>
          <w:r>
            <w:rPr>
              <w:rFonts w:ascii="Arial" w:hAnsi="Arial" w:cs="Arial"/>
              <w:sz w:val="20"/>
              <w:szCs w:val="20"/>
            </w:rPr>
            <w:t xml:space="preserve"> 9(18), pp.468-476.</w:t>
          </w:r>
        </w:p>
        <w:p w14:paraId="22C1EA63" w14:textId="77777777" w:rsidR="000C3DAF" w:rsidRPr="000C3DAF" w:rsidRDefault="000C3DAF" w:rsidP="000C3DAF">
          <w:pPr>
            <w:pStyle w:val="ListParagraph"/>
            <w:rPr>
              <w:rFonts w:ascii="Arial" w:hAnsi="Arial" w:cs="Arial"/>
              <w:sz w:val="20"/>
              <w:szCs w:val="20"/>
            </w:rPr>
          </w:pPr>
        </w:p>
        <w:p w14:paraId="0E62446D" w14:textId="5F1D962F" w:rsidR="00A80A21" w:rsidRPr="00861533" w:rsidRDefault="00BC5F10" w:rsidP="00861533">
          <w:pPr>
            <w:pStyle w:val="ListParagraph"/>
            <w:numPr>
              <w:ilvl w:val="0"/>
              <w:numId w:val="6"/>
            </w:numPr>
            <w:jc w:val="both"/>
            <w:rPr>
              <w:rFonts w:ascii="Arial" w:hAnsi="Arial" w:cs="Arial"/>
              <w:sz w:val="20"/>
              <w:szCs w:val="20"/>
            </w:rPr>
          </w:pPr>
          <w:r w:rsidRPr="00FB4CD6">
            <w:rPr>
              <w:rFonts w:ascii="Arial" w:hAnsi="Arial" w:cs="Arial"/>
              <w:sz w:val="20"/>
              <w:szCs w:val="20"/>
            </w:rPr>
            <w:t>Asong, E., Moyo, D. and Chikuni, T., 2019</w:t>
          </w:r>
          <w:r w:rsidRPr="00FB4CD6">
            <w:rPr>
              <w:rFonts w:ascii="Arial" w:hAnsi="Arial" w:cs="Arial"/>
              <w:i/>
              <w:iCs/>
              <w:sz w:val="20"/>
              <w:szCs w:val="20"/>
            </w:rPr>
            <w:t>. Antimicrobial, antioxidant poten</w:t>
          </w:r>
          <w:r w:rsidRPr="00FB4CD6">
            <w:rPr>
              <w:rFonts w:ascii="Arial" w:hAnsi="Arial" w:cs="Arial"/>
              <w:i/>
              <w:iCs/>
              <w:sz w:val="20"/>
              <w:szCs w:val="20"/>
            </w:rPr>
            <w:t>tial, cytotoxicity and phytochemical profiling of Elephantorrhiza elephantina extracts against skin diseases</w:t>
          </w:r>
          <w:r w:rsidRPr="00FB4CD6">
            <w:rPr>
              <w:rFonts w:ascii="Arial" w:hAnsi="Arial" w:cs="Arial"/>
              <w:sz w:val="20"/>
              <w:szCs w:val="20"/>
            </w:rPr>
            <w:t>. MDPI Plants, 8(1), pp.15-25.</w:t>
          </w:r>
        </w:p>
        <w:p w14:paraId="6AE7C264" w14:textId="77777777" w:rsidR="00A80A21" w:rsidRPr="00FB4CD6" w:rsidRDefault="00A80A21">
          <w:pPr>
            <w:jc w:val="both"/>
            <w:rPr>
              <w:rFonts w:ascii="Arial" w:hAnsi="Arial" w:cs="Arial"/>
              <w:sz w:val="20"/>
              <w:szCs w:val="20"/>
            </w:rPr>
          </w:pPr>
        </w:p>
        <w:p w14:paraId="61494F87" w14:textId="434765E2" w:rsidR="00207234" w:rsidRDefault="00207234">
          <w:pPr>
            <w:pStyle w:val="ListParagraph"/>
            <w:numPr>
              <w:ilvl w:val="0"/>
              <w:numId w:val="6"/>
            </w:numPr>
            <w:jc w:val="both"/>
            <w:rPr>
              <w:rFonts w:ascii="Arial" w:hAnsi="Arial" w:cs="Arial"/>
              <w:sz w:val="20"/>
              <w:szCs w:val="20"/>
              <w:lang w:val="en-US"/>
            </w:rPr>
          </w:pPr>
          <w:bookmarkStart w:id="6" w:name="4c57850881afa4e90555f6c333226247"/>
          <w:proofErr w:type="spellStart"/>
          <w:r>
            <w:rPr>
              <w:rFonts w:ascii="Arial" w:hAnsi="Arial" w:cs="Arial"/>
              <w:sz w:val="20"/>
              <w:szCs w:val="20"/>
              <w:lang w:val="en-US"/>
            </w:rPr>
            <w:t>Maroyi</w:t>
          </w:r>
          <w:proofErr w:type="spellEnd"/>
          <w:r>
            <w:rPr>
              <w:rFonts w:ascii="Arial" w:hAnsi="Arial" w:cs="Arial"/>
              <w:sz w:val="20"/>
              <w:szCs w:val="20"/>
              <w:lang w:val="en-US"/>
            </w:rPr>
            <w:t xml:space="preserve">, A. (2017) Elephantorrhiza elephantina : Traditional Uses, Phytochemistry, and Pharmacology of an Important Medicinal Plant Species in Southern Africa, </w:t>
          </w:r>
          <w:r w:rsidRPr="006F4C0D">
            <w:rPr>
              <w:rFonts w:ascii="Arial" w:hAnsi="Arial" w:cs="Arial"/>
              <w:i/>
              <w:iCs/>
              <w:sz w:val="20"/>
              <w:szCs w:val="20"/>
              <w:lang w:val="en-US"/>
            </w:rPr>
            <w:t xml:space="preserve">Evidence-based Complementary and Alternative Medicine. </w:t>
          </w:r>
          <w:proofErr w:type="spellStart"/>
          <w:r w:rsidRPr="006F4C0D">
            <w:rPr>
              <w:rFonts w:ascii="Arial" w:hAnsi="Arial" w:cs="Arial"/>
              <w:i/>
              <w:iCs/>
              <w:sz w:val="20"/>
              <w:szCs w:val="20"/>
              <w:lang w:val="en-US"/>
            </w:rPr>
            <w:t>Hindawi</w:t>
          </w:r>
          <w:proofErr w:type="spellEnd"/>
          <w:r w:rsidRPr="006F4C0D">
            <w:rPr>
              <w:rFonts w:ascii="Arial" w:hAnsi="Arial" w:cs="Arial"/>
              <w:i/>
              <w:iCs/>
              <w:sz w:val="20"/>
              <w:szCs w:val="20"/>
              <w:lang w:val="en-US"/>
            </w:rPr>
            <w:t xml:space="preserve"> Publishing Corporation.</w:t>
          </w:r>
          <w:r>
            <w:rPr>
              <w:rFonts w:ascii="Arial" w:hAnsi="Arial" w:cs="Arial"/>
              <w:sz w:val="20"/>
              <w:szCs w:val="20"/>
              <w:lang w:val="en-US"/>
            </w:rPr>
            <w:t xml:space="preserve"> Doi:10.1155/2017/6403905. </w:t>
          </w:r>
        </w:p>
        <w:p w14:paraId="12CBD96A" w14:textId="77777777" w:rsidR="009E638E" w:rsidRPr="009E638E" w:rsidRDefault="009E638E" w:rsidP="009E638E">
          <w:pPr>
            <w:pStyle w:val="ListParagraph"/>
            <w:rPr>
              <w:rFonts w:ascii="Arial" w:hAnsi="Arial" w:cs="Arial"/>
              <w:sz w:val="20"/>
              <w:szCs w:val="20"/>
              <w:lang w:val="en-US"/>
            </w:rPr>
          </w:pPr>
        </w:p>
        <w:p w14:paraId="5F4C725A" w14:textId="1CC33831" w:rsidR="009E638E" w:rsidRDefault="009E638E">
          <w:pPr>
            <w:pStyle w:val="ListParagraph"/>
            <w:numPr>
              <w:ilvl w:val="0"/>
              <w:numId w:val="6"/>
            </w:numPr>
            <w:jc w:val="both"/>
            <w:rPr>
              <w:rFonts w:ascii="Arial" w:hAnsi="Arial" w:cs="Arial"/>
              <w:sz w:val="20"/>
              <w:szCs w:val="20"/>
              <w:lang w:val="en-US"/>
            </w:rPr>
          </w:pPr>
          <w:r>
            <w:rPr>
              <w:rFonts w:ascii="Arial" w:hAnsi="Arial" w:cs="Arial"/>
              <w:sz w:val="20"/>
              <w:szCs w:val="20"/>
              <w:lang w:val="en-US"/>
            </w:rPr>
            <w:lastRenderedPageBreak/>
            <w:t xml:space="preserve">Maphosa, V., Masika, P.J. and Moyo, B. (2009) “Toxicity evaluation of the aqueous extract of the rhizome of Elephantorrhiza elephantina (Burch.) Skeels. (Fabaceae), in rats,” </w:t>
          </w:r>
          <w:r w:rsidRPr="006466DE">
            <w:rPr>
              <w:rFonts w:ascii="Arial" w:hAnsi="Arial" w:cs="Arial"/>
              <w:i/>
              <w:iCs/>
              <w:sz w:val="20"/>
              <w:szCs w:val="20"/>
              <w:lang w:val="en-US"/>
            </w:rPr>
            <w:t>Food and Chemical Toxicology</w:t>
          </w:r>
          <w:r>
            <w:rPr>
              <w:rFonts w:ascii="Arial" w:hAnsi="Arial" w:cs="Arial"/>
              <w:sz w:val="20"/>
              <w:szCs w:val="20"/>
              <w:lang w:val="en-US"/>
            </w:rPr>
            <w:t xml:space="preserve">, 48(1), p. 196. Doi:10.1016/j.fct.2009.09.040. </w:t>
          </w:r>
        </w:p>
        <w:p w14:paraId="547CE926" w14:textId="77777777" w:rsidR="00207234" w:rsidRPr="00207234" w:rsidRDefault="00207234" w:rsidP="00207234">
          <w:pPr>
            <w:pStyle w:val="ListParagraph"/>
            <w:rPr>
              <w:rFonts w:ascii="Arial" w:hAnsi="Arial" w:cs="Arial"/>
              <w:sz w:val="20"/>
              <w:szCs w:val="20"/>
              <w:lang w:val="en-US"/>
            </w:rPr>
          </w:pPr>
        </w:p>
        <w:p w14:paraId="58196A64" w14:textId="5EBF05AB" w:rsidR="00A80A21" w:rsidRPr="00FB4CD6" w:rsidRDefault="00BC5F10">
          <w:pPr>
            <w:pStyle w:val="ListParagraph"/>
            <w:numPr>
              <w:ilvl w:val="0"/>
              <w:numId w:val="6"/>
            </w:numPr>
            <w:jc w:val="both"/>
            <w:rPr>
              <w:rFonts w:ascii="Arial" w:hAnsi="Arial" w:cs="Arial"/>
              <w:sz w:val="20"/>
              <w:szCs w:val="20"/>
              <w:lang w:val="en-US"/>
            </w:rPr>
          </w:pPr>
          <w:r w:rsidRPr="00FB4CD6">
            <w:rPr>
              <w:rFonts w:ascii="Arial" w:hAnsi="Arial" w:cs="Arial"/>
              <w:sz w:val="20"/>
              <w:szCs w:val="20"/>
              <w:lang w:val="en-US"/>
            </w:rPr>
            <w:t xml:space="preserve">Center, T.D. and Wright, A.D. (1991) Age and phytochemical composition of </w:t>
          </w:r>
          <w:proofErr w:type="spellStart"/>
          <w:r w:rsidRPr="00FB4CD6">
            <w:rPr>
              <w:rFonts w:ascii="Arial" w:hAnsi="Arial" w:cs="Arial"/>
              <w:sz w:val="20"/>
              <w:szCs w:val="20"/>
              <w:lang w:val="en-US"/>
            </w:rPr>
            <w:t>waterhyacinth</w:t>
          </w:r>
          <w:proofErr w:type="spellEnd"/>
          <w:r w:rsidRPr="00FB4CD6">
            <w:rPr>
              <w:rFonts w:ascii="Arial" w:hAnsi="Arial" w:cs="Arial"/>
              <w:sz w:val="20"/>
              <w:szCs w:val="20"/>
              <w:lang w:val="en-US"/>
            </w:rPr>
            <w:t xml:space="preserve"> (</w:t>
          </w:r>
          <w:proofErr w:type="spellStart"/>
          <w:r w:rsidRPr="00FB4CD6">
            <w:rPr>
              <w:rFonts w:ascii="Arial" w:hAnsi="Arial" w:cs="Arial"/>
              <w:sz w:val="20"/>
              <w:szCs w:val="20"/>
              <w:lang w:val="en-US"/>
            </w:rPr>
            <w:t>Pontederiaceae</w:t>
          </w:r>
          <w:proofErr w:type="spellEnd"/>
          <w:r w:rsidRPr="00FB4CD6">
            <w:rPr>
              <w:rFonts w:ascii="Arial" w:hAnsi="Arial" w:cs="Arial"/>
              <w:sz w:val="20"/>
              <w:szCs w:val="20"/>
              <w:lang w:val="en-US"/>
            </w:rPr>
            <w:t xml:space="preserve">) leaves determine their acceptability to </w:t>
          </w:r>
          <w:proofErr w:type="spellStart"/>
          <w:r w:rsidRPr="00FB4CD6">
            <w:rPr>
              <w:rFonts w:ascii="Arial" w:hAnsi="Arial" w:cs="Arial"/>
              <w:sz w:val="20"/>
              <w:szCs w:val="20"/>
              <w:lang w:val="en-US"/>
            </w:rPr>
            <w:t>Neochetina</w:t>
          </w:r>
          <w:proofErr w:type="spellEnd"/>
          <w:r w:rsidRPr="00FB4CD6">
            <w:rPr>
              <w:rFonts w:ascii="Arial" w:hAnsi="Arial" w:cs="Arial"/>
              <w:sz w:val="20"/>
              <w:szCs w:val="20"/>
              <w:lang w:val="en-US"/>
            </w:rPr>
            <w:t xml:space="preserve"> </w:t>
          </w:r>
          <w:proofErr w:type="spellStart"/>
          <w:r w:rsidRPr="00FB4CD6">
            <w:rPr>
              <w:rFonts w:ascii="Arial" w:hAnsi="Arial" w:cs="Arial"/>
              <w:sz w:val="20"/>
              <w:szCs w:val="20"/>
              <w:lang w:val="en-US"/>
            </w:rPr>
            <w:t>eichhorniae</w:t>
          </w:r>
          <w:proofErr w:type="spellEnd"/>
          <w:r w:rsidRPr="00FB4CD6">
            <w:rPr>
              <w:rFonts w:ascii="Arial" w:hAnsi="Arial" w:cs="Arial"/>
              <w:sz w:val="20"/>
              <w:szCs w:val="20"/>
              <w:lang w:val="en-US"/>
            </w:rPr>
            <w:t xml:space="preserve"> (Coleoptera: Curculionidae). </w:t>
          </w:r>
          <w:r w:rsidRPr="00FB4CD6">
            <w:rPr>
              <w:rFonts w:ascii="Arial" w:hAnsi="Arial" w:cs="Arial"/>
              <w:i/>
              <w:iCs/>
              <w:sz w:val="20"/>
              <w:szCs w:val="20"/>
              <w:lang w:val="en-US"/>
            </w:rPr>
            <w:t>Environmental Entomology</w:t>
          </w:r>
          <w:r w:rsidRPr="00FB4CD6">
            <w:rPr>
              <w:rFonts w:ascii="Arial" w:hAnsi="Arial" w:cs="Arial"/>
              <w:sz w:val="20"/>
              <w:szCs w:val="20"/>
              <w:lang w:val="en-US"/>
            </w:rPr>
            <w:t>, 20(1), p.323. doi:10.109</w:t>
          </w:r>
          <w:r w:rsidRPr="00FB4CD6">
            <w:rPr>
              <w:rFonts w:ascii="Arial" w:hAnsi="Arial" w:cs="Arial"/>
              <w:sz w:val="20"/>
              <w:szCs w:val="20"/>
              <w:lang w:val="en-US"/>
            </w:rPr>
            <w:t>3/ee/20.1.323.</w:t>
          </w:r>
        </w:p>
        <w:p w14:paraId="6213661A" w14:textId="77777777" w:rsidR="00A80A21" w:rsidRPr="00FB4CD6" w:rsidRDefault="00A80A21">
          <w:pPr>
            <w:jc w:val="both"/>
            <w:rPr>
              <w:rFonts w:ascii="Arial" w:hAnsi="Arial" w:cs="Arial"/>
              <w:sz w:val="20"/>
              <w:szCs w:val="20"/>
              <w:lang w:val="en-US"/>
            </w:rPr>
          </w:pPr>
        </w:p>
        <w:bookmarkEnd w:id="6"/>
        <w:p w14:paraId="7252D227" w14:textId="77777777" w:rsidR="00A80A21" w:rsidRPr="00FB4CD6" w:rsidRDefault="00BC5F10">
          <w:pPr>
            <w:pStyle w:val="ListParagraph"/>
            <w:numPr>
              <w:ilvl w:val="0"/>
              <w:numId w:val="6"/>
            </w:numPr>
            <w:jc w:val="both"/>
            <w:rPr>
              <w:rFonts w:ascii="Arial" w:hAnsi="Arial" w:cs="Arial"/>
              <w:sz w:val="20"/>
              <w:szCs w:val="20"/>
              <w:lang w:val="en-US"/>
            </w:rPr>
          </w:pPr>
          <w:r w:rsidRPr="00FB4CD6">
            <w:rPr>
              <w:rFonts w:ascii="Arial" w:hAnsi="Arial" w:cs="Arial"/>
              <w:sz w:val="20"/>
              <w:szCs w:val="20"/>
              <w:lang w:val="en-US"/>
            </w:rPr>
            <w:t xml:space="preserve">Chung, King-Thom, Wong, Tit Yee, Wei, Cheng-I, Huang, Yao-Wen and Lin, Yuan (1998). </w:t>
          </w:r>
          <w:r w:rsidRPr="006466DE">
            <w:rPr>
              <w:rFonts w:ascii="Arial" w:hAnsi="Arial" w:cs="Arial"/>
              <w:sz w:val="20"/>
              <w:szCs w:val="20"/>
              <w:lang w:val="en-US"/>
            </w:rPr>
            <w:t xml:space="preserve">Tannins and human health: a review. </w:t>
          </w:r>
          <w:r w:rsidRPr="00310B02">
            <w:rPr>
              <w:rFonts w:ascii="Arial" w:hAnsi="Arial" w:cs="Arial"/>
              <w:i/>
              <w:iCs/>
              <w:sz w:val="20"/>
              <w:szCs w:val="20"/>
              <w:lang w:val="en-US"/>
            </w:rPr>
            <w:t>Critical Reviews in Food Science and Nutrition,</w:t>
          </w:r>
          <w:r w:rsidRPr="00FB4CD6">
            <w:rPr>
              <w:rFonts w:ascii="Arial" w:hAnsi="Arial" w:cs="Arial"/>
              <w:sz w:val="20"/>
              <w:szCs w:val="20"/>
              <w:lang w:val="en-US"/>
            </w:rPr>
            <w:t xml:space="preserve"> 38(6), pp.421–464. doi:10.1080/10408699891274273.</w:t>
          </w:r>
        </w:p>
        <w:p w14:paraId="6E55116F" w14:textId="77777777" w:rsidR="00A80A21" w:rsidRPr="00FB4CD6" w:rsidRDefault="00A80A21">
          <w:pPr>
            <w:pStyle w:val="ListParagraph"/>
            <w:rPr>
              <w:rFonts w:ascii="Arial" w:hAnsi="Arial" w:cs="Arial"/>
              <w:sz w:val="20"/>
              <w:szCs w:val="20"/>
              <w:lang w:val="en-US"/>
            </w:rPr>
          </w:pPr>
        </w:p>
        <w:p w14:paraId="76C7111E" w14:textId="77777777" w:rsidR="00A80A21" w:rsidRPr="00FB4CD6" w:rsidRDefault="00A80A21">
          <w:pPr>
            <w:jc w:val="both"/>
            <w:rPr>
              <w:rFonts w:ascii="Arial" w:hAnsi="Arial" w:cs="Arial"/>
              <w:sz w:val="20"/>
              <w:szCs w:val="20"/>
              <w:lang w:val="en-US"/>
            </w:rPr>
          </w:pPr>
        </w:p>
        <w:p w14:paraId="4DE89B64" w14:textId="77777777" w:rsidR="00A80A21" w:rsidRPr="00FB4CD6" w:rsidRDefault="00BC5F10">
          <w:pPr>
            <w:pStyle w:val="ListParagraph"/>
            <w:numPr>
              <w:ilvl w:val="0"/>
              <w:numId w:val="6"/>
            </w:numPr>
            <w:jc w:val="both"/>
            <w:rPr>
              <w:rFonts w:ascii="Arial" w:hAnsi="Arial" w:cs="Arial"/>
              <w:sz w:val="20"/>
              <w:szCs w:val="20"/>
            </w:rPr>
          </w:pPr>
          <w:proofErr w:type="spellStart"/>
          <w:r w:rsidRPr="00FB4CD6">
            <w:rPr>
              <w:rFonts w:ascii="Arial" w:hAnsi="Arial" w:cs="Arial"/>
              <w:sz w:val="20"/>
              <w:szCs w:val="20"/>
            </w:rPr>
            <w:t>Donaubauer</w:t>
          </w:r>
          <w:proofErr w:type="spellEnd"/>
          <w:r w:rsidRPr="00FB4CD6">
            <w:rPr>
              <w:rFonts w:ascii="Arial" w:hAnsi="Arial" w:cs="Arial"/>
              <w:sz w:val="20"/>
              <w:szCs w:val="20"/>
            </w:rPr>
            <w:t xml:space="preserve">, H.H., Fuchs, H., Langer, K.H. and Bär, A. (1998). </w:t>
          </w:r>
          <w:proofErr w:type="spellStart"/>
          <w:r w:rsidRPr="00FB4CD6">
            <w:rPr>
              <w:rFonts w:ascii="Arial" w:hAnsi="Arial" w:cs="Arial"/>
              <w:sz w:val="20"/>
              <w:szCs w:val="20"/>
            </w:rPr>
            <w:t>Subchronic</w:t>
          </w:r>
          <w:proofErr w:type="spellEnd"/>
          <w:r w:rsidRPr="00FB4CD6">
            <w:rPr>
              <w:rFonts w:ascii="Arial" w:hAnsi="Arial" w:cs="Arial"/>
              <w:sz w:val="20"/>
              <w:szCs w:val="20"/>
            </w:rPr>
            <w:t xml:space="preserve"> intravenous toxicity studies with γ-cyclodextrin in rats. </w:t>
          </w:r>
          <w:r w:rsidRPr="00FB4CD6">
            <w:rPr>
              <w:rFonts w:ascii="Arial" w:hAnsi="Arial" w:cs="Arial"/>
              <w:i/>
              <w:iCs/>
              <w:sz w:val="20"/>
              <w:szCs w:val="20"/>
            </w:rPr>
            <w:t>Regulatory Toxicology and Pharmacology</w:t>
          </w:r>
          <w:r w:rsidRPr="00FB4CD6">
            <w:rPr>
              <w:rFonts w:ascii="Arial" w:hAnsi="Arial" w:cs="Arial"/>
              <w:sz w:val="20"/>
              <w:szCs w:val="20"/>
            </w:rPr>
            <w:t>, 27(2), pp.189–198. doi:10.1006/rtph.1998.1224.</w:t>
          </w:r>
        </w:p>
        <w:p w14:paraId="54210B0A" w14:textId="77777777" w:rsidR="00A80A21" w:rsidRPr="00FB4CD6" w:rsidRDefault="00A80A21">
          <w:pPr>
            <w:jc w:val="both"/>
            <w:rPr>
              <w:rFonts w:ascii="Arial" w:hAnsi="Arial" w:cs="Arial"/>
              <w:sz w:val="20"/>
              <w:szCs w:val="20"/>
              <w:lang w:val="en-US"/>
            </w:rPr>
          </w:pPr>
        </w:p>
        <w:p w14:paraId="12B16A62" w14:textId="77777777" w:rsidR="00A80A21" w:rsidRPr="00FB4CD6" w:rsidRDefault="00BC5F10">
          <w:pPr>
            <w:pStyle w:val="ListParagraph"/>
            <w:numPr>
              <w:ilvl w:val="0"/>
              <w:numId w:val="6"/>
            </w:numPr>
            <w:jc w:val="both"/>
            <w:rPr>
              <w:rFonts w:ascii="Arial" w:hAnsi="Arial" w:cs="Arial"/>
              <w:sz w:val="20"/>
              <w:szCs w:val="20"/>
            </w:rPr>
          </w:pPr>
          <w:bookmarkStart w:id="7" w:name="16157d3833c9e1fd37d0f726e4e4fcd8"/>
          <w:proofErr w:type="spellStart"/>
          <w:r w:rsidRPr="00FB4CD6">
            <w:rPr>
              <w:rFonts w:ascii="Arial" w:hAnsi="Arial" w:cs="Arial"/>
              <w:sz w:val="20"/>
              <w:szCs w:val="20"/>
            </w:rPr>
            <w:t>Ernilasari</w:t>
          </w:r>
          <w:proofErr w:type="spellEnd"/>
          <w:r w:rsidRPr="00FB4CD6">
            <w:rPr>
              <w:rFonts w:ascii="Arial" w:hAnsi="Arial" w:cs="Arial"/>
              <w:sz w:val="20"/>
              <w:szCs w:val="20"/>
            </w:rPr>
            <w:t xml:space="preserve">, E., </w:t>
          </w:r>
          <w:proofErr w:type="spellStart"/>
          <w:r w:rsidRPr="00FB4CD6">
            <w:rPr>
              <w:rFonts w:ascii="Arial" w:hAnsi="Arial" w:cs="Arial"/>
              <w:sz w:val="20"/>
              <w:szCs w:val="20"/>
            </w:rPr>
            <w:t>Kamalliansyah</w:t>
          </w:r>
          <w:proofErr w:type="spellEnd"/>
          <w:r w:rsidRPr="00FB4CD6">
            <w:rPr>
              <w:rFonts w:ascii="Arial" w:hAnsi="Arial" w:cs="Arial"/>
              <w:sz w:val="20"/>
              <w:szCs w:val="20"/>
            </w:rPr>
            <w:t xml:space="preserve"> </w:t>
          </w:r>
          <w:proofErr w:type="spellStart"/>
          <w:r w:rsidRPr="00FB4CD6">
            <w:rPr>
              <w:rFonts w:ascii="Arial" w:hAnsi="Arial" w:cs="Arial"/>
              <w:sz w:val="20"/>
              <w:szCs w:val="20"/>
            </w:rPr>
            <w:t>Walil</w:t>
          </w:r>
          <w:proofErr w:type="spellEnd"/>
          <w:r w:rsidRPr="00FB4CD6">
            <w:rPr>
              <w:rFonts w:ascii="Arial" w:hAnsi="Arial" w:cs="Arial"/>
              <w:sz w:val="20"/>
              <w:szCs w:val="20"/>
            </w:rPr>
            <w:t xml:space="preserve">, </w:t>
          </w:r>
          <w:proofErr w:type="spellStart"/>
          <w:r w:rsidRPr="00FB4CD6">
            <w:rPr>
              <w:rFonts w:ascii="Arial" w:hAnsi="Arial" w:cs="Arial"/>
              <w:sz w:val="20"/>
              <w:szCs w:val="20"/>
            </w:rPr>
            <w:t>Fitmawati</w:t>
          </w:r>
          <w:proofErr w:type="spellEnd"/>
          <w:r w:rsidRPr="00FB4CD6">
            <w:rPr>
              <w:rFonts w:ascii="Arial" w:hAnsi="Arial" w:cs="Arial"/>
              <w:sz w:val="20"/>
              <w:szCs w:val="20"/>
            </w:rPr>
            <w:t>,</w:t>
          </w:r>
          <w:r w:rsidRPr="00FB4CD6">
            <w:rPr>
              <w:rFonts w:ascii="Arial" w:hAnsi="Arial" w:cs="Arial"/>
              <w:sz w:val="20"/>
              <w:szCs w:val="20"/>
            </w:rPr>
            <w:t xml:space="preserve"> </w:t>
          </w:r>
          <w:proofErr w:type="spellStart"/>
          <w:r w:rsidRPr="00FB4CD6">
            <w:rPr>
              <w:rFonts w:ascii="Arial" w:hAnsi="Arial" w:cs="Arial"/>
              <w:sz w:val="20"/>
              <w:szCs w:val="20"/>
            </w:rPr>
            <w:t>Dewi</w:t>
          </w:r>
          <w:proofErr w:type="spellEnd"/>
          <w:r w:rsidRPr="00FB4CD6">
            <w:rPr>
              <w:rFonts w:ascii="Arial" w:hAnsi="Arial" w:cs="Arial"/>
              <w:sz w:val="20"/>
              <w:szCs w:val="20"/>
            </w:rPr>
            <w:t xml:space="preserve"> </w:t>
          </w:r>
          <w:proofErr w:type="spellStart"/>
          <w:r w:rsidRPr="00FB4CD6">
            <w:rPr>
              <w:rFonts w:ascii="Arial" w:hAnsi="Arial" w:cs="Arial"/>
              <w:sz w:val="20"/>
              <w:szCs w:val="20"/>
            </w:rPr>
            <w:t>Indriyani</w:t>
          </w:r>
          <w:proofErr w:type="spellEnd"/>
          <w:r w:rsidRPr="00FB4CD6">
            <w:rPr>
              <w:rFonts w:ascii="Arial" w:hAnsi="Arial" w:cs="Arial"/>
              <w:sz w:val="20"/>
              <w:szCs w:val="20"/>
            </w:rPr>
            <w:t xml:space="preserve"> </w:t>
          </w:r>
          <w:proofErr w:type="spellStart"/>
          <w:r w:rsidRPr="00FB4CD6">
            <w:rPr>
              <w:rFonts w:ascii="Arial" w:hAnsi="Arial" w:cs="Arial"/>
              <w:sz w:val="20"/>
              <w:szCs w:val="20"/>
            </w:rPr>
            <w:t>Roslim</w:t>
          </w:r>
          <w:proofErr w:type="spellEnd"/>
          <w:r w:rsidRPr="00FB4CD6">
            <w:rPr>
              <w:rFonts w:ascii="Arial" w:hAnsi="Arial" w:cs="Arial"/>
              <w:sz w:val="20"/>
              <w:szCs w:val="20"/>
            </w:rPr>
            <w:t xml:space="preserve">, </w:t>
          </w:r>
          <w:proofErr w:type="spellStart"/>
          <w:r w:rsidRPr="00FB4CD6">
            <w:rPr>
              <w:rFonts w:ascii="Arial" w:hAnsi="Arial" w:cs="Arial"/>
              <w:sz w:val="20"/>
              <w:szCs w:val="20"/>
            </w:rPr>
            <w:t>Zumaidar</w:t>
          </w:r>
          <w:proofErr w:type="spellEnd"/>
          <w:r w:rsidRPr="00FB4CD6">
            <w:rPr>
              <w:rFonts w:ascii="Arial" w:hAnsi="Arial" w:cs="Arial"/>
              <w:sz w:val="20"/>
              <w:szCs w:val="20"/>
            </w:rPr>
            <w:t xml:space="preserve">, </w:t>
          </w:r>
          <w:proofErr w:type="spellStart"/>
          <w:r w:rsidRPr="00FB4CD6">
            <w:rPr>
              <w:rFonts w:ascii="Arial" w:hAnsi="Arial" w:cs="Arial"/>
              <w:sz w:val="20"/>
              <w:szCs w:val="20"/>
            </w:rPr>
            <w:t>Saudah</w:t>
          </w:r>
          <w:proofErr w:type="spellEnd"/>
          <w:r w:rsidRPr="00FB4CD6">
            <w:rPr>
              <w:rFonts w:ascii="Arial" w:hAnsi="Arial" w:cs="Arial"/>
              <w:sz w:val="20"/>
              <w:szCs w:val="20"/>
            </w:rPr>
            <w:t xml:space="preserve"> and </w:t>
          </w:r>
          <w:proofErr w:type="spellStart"/>
          <w:r w:rsidRPr="00FB4CD6">
            <w:rPr>
              <w:rFonts w:ascii="Arial" w:hAnsi="Arial" w:cs="Arial"/>
              <w:sz w:val="20"/>
              <w:szCs w:val="20"/>
            </w:rPr>
            <w:t>Rayhannisa</w:t>
          </w:r>
          <w:proofErr w:type="spellEnd"/>
          <w:r w:rsidRPr="00FB4CD6">
            <w:rPr>
              <w:rFonts w:ascii="Arial" w:hAnsi="Arial" w:cs="Arial"/>
              <w:sz w:val="20"/>
              <w:szCs w:val="20"/>
            </w:rPr>
            <w:t xml:space="preserve"> (2021). Antibacterial activity of leaves, flowers, and fruits extract of </w:t>
          </w:r>
          <w:proofErr w:type="spellStart"/>
          <w:r w:rsidRPr="00FB4CD6">
            <w:rPr>
              <w:rFonts w:ascii="Arial" w:hAnsi="Arial" w:cs="Arial"/>
              <w:i/>
              <w:iCs/>
              <w:sz w:val="20"/>
              <w:szCs w:val="20"/>
            </w:rPr>
            <w:t>Etlingera</w:t>
          </w:r>
          <w:proofErr w:type="spellEnd"/>
          <w:r w:rsidRPr="00FB4CD6">
            <w:rPr>
              <w:rFonts w:ascii="Arial" w:hAnsi="Arial" w:cs="Arial"/>
              <w:i/>
              <w:iCs/>
              <w:sz w:val="20"/>
              <w:szCs w:val="20"/>
            </w:rPr>
            <w:t xml:space="preserve"> </w:t>
          </w:r>
          <w:proofErr w:type="spellStart"/>
          <w:r w:rsidRPr="00FB4CD6">
            <w:rPr>
              <w:rFonts w:ascii="Arial" w:hAnsi="Arial" w:cs="Arial"/>
              <w:i/>
              <w:iCs/>
              <w:sz w:val="20"/>
              <w:szCs w:val="20"/>
            </w:rPr>
            <w:t>elatior</w:t>
          </w:r>
          <w:proofErr w:type="spellEnd"/>
          <w:r w:rsidRPr="00FB4CD6">
            <w:rPr>
              <w:rFonts w:ascii="Arial" w:hAnsi="Arial" w:cs="Arial"/>
              <w:sz w:val="20"/>
              <w:szCs w:val="20"/>
            </w:rPr>
            <w:t xml:space="preserve"> from </w:t>
          </w:r>
          <w:proofErr w:type="spellStart"/>
          <w:r w:rsidRPr="00FB4CD6">
            <w:rPr>
              <w:rFonts w:ascii="Arial" w:hAnsi="Arial" w:cs="Arial"/>
              <w:sz w:val="20"/>
              <w:szCs w:val="20"/>
            </w:rPr>
            <w:t>Nagan</w:t>
          </w:r>
          <w:proofErr w:type="spellEnd"/>
          <w:r w:rsidRPr="00FB4CD6">
            <w:rPr>
              <w:rFonts w:ascii="Arial" w:hAnsi="Arial" w:cs="Arial"/>
              <w:sz w:val="20"/>
              <w:szCs w:val="20"/>
            </w:rPr>
            <w:t xml:space="preserve"> Raya District, </w:t>
          </w:r>
          <w:r w:rsidRPr="00FB4CD6">
            <w:rPr>
              <w:rFonts w:ascii="Arial" w:hAnsi="Arial" w:cs="Arial"/>
              <w:i/>
              <w:iCs/>
              <w:sz w:val="20"/>
              <w:szCs w:val="20"/>
            </w:rPr>
            <w:t xml:space="preserve">Indonesia against Escherichia coli and Staphylococcus aureus. </w:t>
          </w:r>
          <w:proofErr w:type="spellStart"/>
          <w:r w:rsidRPr="00FB4CD6">
            <w:rPr>
              <w:rFonts w:ascii="Arial" w:hAnsi="Arial" w:cs="Arial"/>
              <w:i/>
              <w:iCs/>
              <w:sz w:val="20"/>
              <w:szCs w:val="20"/>
            </w:rPr>
            <w:t>Biodiversitas</w:t>
          </w:r>
          <w:proofErr w:type="spellEnd"/>
          <w:r w:rsidRPr="00FB4CD6">
            <w:rPr>
              <w:rFonts w:ascii="Arial" w:hAnsi="Arial" w:cs="Arial"/>
              <w:i/>
              <w:iCs/>
              <w:sz w:val="20"/>
              <w:szCs w:val="20"/>
            </w:rPr>
            <w:t>,</w:t>
          </w:r>
          <w:r w:rsidRPr="00FB4CD6">
            <w:rPr>
              <w:rFonts w:ascii="Arial" w:hAnsi="Arial" w:cs="Arial"/>
              <w:sz w:val="20"/>
              <w:szCs w:val="20"/>
            </w:rPr>
            <w:t xml:space="preserve"> 22(10)</w:t>
          </w:r>
          <w:r w:rsidRPr="00FB4CD6">
            <w:rPr>
              <w:rFonts w:ascii="Arial" w:hAnsi="Arial" w:cs="Arial"/>
              <w:sz w:val="20"/>
              <w:szCs w:val="20"/>
            </w:rPr>
            <w:t>, pp.4457–4464. doi:10.13057/</w:t>
          </w:r>
          <w:proofErr w:type="spellStart"/>
          <w:r w:rsidRPr="00FB4CD6">
            <w:rPr>
              <w:rFonts w:ascii="Arial" w:hAnsi="Arial" w:cs="Arial"/>
              <w:sz w:val="20"/>
              <w:szCs w:val="20"/>
            </w:rPr>
            <w:t>biodiv</w:t>
          </w:r>
          <w:proofErr w:type="spellEnd"/>
          <w:r w:rsidRPr="00FB4CD6">
            <w:rPr>
              <w:rFonts w:ascii="Arial" w:hAnsi="Arial" w:cs="Arial"/>
              <w:sz w:val="20"/>
              <w:szCs w:val="20"/>
            </w:rPr>
            <w:t>/d221039</w:t>
          </w:r>
        </w:p>
        <w:bookmarkEnd w:id="7"/>
        <w:p w14:paraId="5D67C732" w14:textId="77777777" w:rsidR="00A80A21" w:rsidRDefault="00A80A21">
          <w:pPr>
            <w:jc w:val="both"/>
            <w:rPr>
              <w:rFonts w:ascii="Arial" w:hAnsi="Arial" w:cs="Arial"/>
              <w:sz w:val="20"/>
              <w:szCs w:val="20"/>
              <w:lang w:val="en-US"/>
            </w:rPr>
          </w:pPr>
        </w:p>
        <w:p w14:paraId="7151A672" w14:textId="77777777" w:rsidR="00A80A21" w:rsidRDefault="00BC5F10">
          <w:pPr>
            <w:pStyle w:val="ListParagraph"/>
            <w:numPr>
              <w:ilvl w:val="0"/>
              <w:numId w:val="6"/>
            </w:numPr>
            <w:jc w:val="both"/>
            <w:rPr>
              <w:rFonts w:ascii="Arial" w:hAnsi="Arial" w:cs="Arial"/>
              <w:sz w:val="20"/>
              <w:szCs w:val="20"/>
              <w:lang w:val="en-US"/>
            </w:rPr>
          </w:pPr>
          <w:proofErr w:type="spellStart"/>
          <w:r>
            <w:rPr>
              <w:rFonts w:ascii="Arial" w:hAnsi="Arial" w:cs="Arial"/>
              <w:sz w:val="20"/>
              <w:szCs w:val="20"/>
              <w:lang w:val="en-US"/>
            </w:rPr>
            <w:t>Mbiri</w:t>
          </w:r>
          <w:proofErr w:type="spellEnd"/>
          <w:r>
            <w:rPr>
              <w:rFonts w:ascii="Arial" w:hAnsi="Arial" w:cs="Arial"/>
              <w:sz w:val="20"/>
              <w:szCs w:val="20"/>
              <w:lang w:val="en-US"/>
            </w:rPr>
            <w:t xml:space="preserve">, J.W. et al. (2023) “Acute and Sub-acute Oral Toxicity Profile of Root Bark Methanol Extract of Carissa Edulis Vahl,” </w:t>
          </w:r>
          <w:r w:rsidRPr="00310B02">
            <w:rPr>
              <w:rFonts w:ascii="Arial" w:hAnsi="Arial" w:cs="Arial"/>
              <w:i/>
              <w:iCs/>
              <w:sz w:val="20"/>
              <w:szCs w:val="20"/>
              <w:lang w:val="en-US"/>
            </w:rPr>
            <w:t>Pharmacognosy Journal,</w:t>
          </w:r>
          <w:r>
            <w:rPr>
              <w:rFonts w:ascii="Arial" w:hAnsi="Arial" w:cs="Arial"/>
              <w:sz w:val="20"/>
              <w:szCs w:val="20"/>
              <w:lang w:val="en-US"/>
            </w:rPr>
            <w:t xml:space="preserve"> 15(2), p. 253. doi:10.5530/pj.2023.15.36. </w:t>
          </w:r>
        </w:p>
        <w:p w14:paraId="646B6916" w14:textId="77777777" w:rsidR="00A80A21" w:rsidRDefault="00A80A21">
          <w:pPr>
            <w:jc w:val="both"/>
            <w:rPr>
              <w:rFonts w:ascii="Arial" w:hAnsi="Arial" w:cs="Arial"/>
              <w:sz w:val="20"/>
              <w:szCs w:val="20"/>
            </w:rPr>
          </w:pPr>
          <w:bookmarkStart w:id="8" w:name="891338cb4e2d4b0f2e6ad4f0d7f2e697"/>
        </w:p>
        <w:bookmarkEnd w:id="8"/>
        <w:p w14:paraId="07AB4CA2" w14:textId="77777777" w:rsidR="00A80A21" w:rsidRDefault="00BC5F10">
          <w:pPr>
            <w:pStyle w:val="ListParagraph"/>
            <w:numPr>
              <w:ilvl w:val="0"/>
              <w:numId w:val="6"/>
            </w:numPr>
            <w:jc w:val="both"/>
            <w:rPr>
              <w:rFonts w:ascii="Arial" w:hAnsi="Arial" w:cs="Arial"/>
              <w:sz w:val="20"/>
              <w:szCs w:val="20"/>
            </w:rPr>
          </w:pPr>
          <w:proofErr w:type="spellStart"/>
          <w:r>
            <w:rPr>
              <w:rFonts w:ascii="Arial" w:hAnsi="Arial" w:cs="Arial"/>
              <w:sz w:val="20"/>
              <w:szCs w:val="20"/>
            </w:rPr>
            <w:t>Mohindroo</w:t>
          </w:r>
          <w:proofErr w:type="spellEnd"/>
          <w:r>
            <w:rPr>
              <w:rFonts w:ascii="Arial" w:hAnsi="Arial" w:cs="Arial"/>
              <w:sz w:val="20"/>
              <w:szCs w:val="20"/>
            </w:rPr>
            <w:t>, C., Hasan</w:t>
          </w:r>
          <w:r>
            <w:rPr>
              <w:rFonts w:ascii="Arial" w:hAnsi="Arial" w:cs="Arial"/>
              <w:sz w:val="20"/>
              <w:szCs w:val="20"/>
            </w:rPr>
            <w:t xml:space="preserve">ov, M., Rogers, J.E., Dong, W., Prakash, L.R., Baydogan, S., Mizrahi, J.D., Overman, M.J., </w:t>
          </w:r>
          <w:proofErr w:type="spellStart"/>
          <w:r>
            <w:rPr>
              <w:rFonts w:ascii="Arial" w:hAnsi="Arial" w:cs="Arial"/>
              <w:sz w:val="20"/>
              <w:szCs w:val="20"/>
            </w:rPr>
            <w:t>Varadhachary</w:t>
          </w:r>
          <w:proofErr w:type="spellEnd"/>
          <w:r>
            <w:rPr>
              <w:rFonts w:ascii="Arial" w:hAnsi="Arial" w:cs="Arial"/>
              <w:sz w:val="20"/>
              <w:szCs w:val="20"/>
            </w:rPr>
            <w:t>, G.R., Wolff, R.A., Javle, M.M., Fogelman, D.R., Lotze, M.T., Kim, M.P., Katz, M.H.G., Pant, S., Tzeng, C.-W.D. and McAllister, F. (2021). Antibiotic us</w:t>
          </w:r>
          <w:r>
            <w:rPr>
              <w:rFonts w:ascii="Arial" w:hAnsi="Arial" w:cs="Arial"/>
              <w:sz w:val="20"/>
              <w:szCs w:val="20"/>
            </w:rPr>
            <w:t xml:space="preserve">e influences outcomes in advanced pancreatic adenocarcinoma patients. </w:t>
          </w:r>
          <w:r>
            <w:rPr>
              <w:rFonts w:ascii="Arial" w:hAnsi="Arial" w:cs="Arial"/>
              <w:i/>
              <w:iCs/>
              <w:sz w:val="20"/>
              <w:szCs w:val="20"/>
            </w:rPr>
            <w:t>Cancer Medicine</w:t>
          </w:r>
          <w:r>
            <w:rPr>
              <w:rFonts w:ascii="Arial" w:hAnsi="Arial" w:cs="Arial"/>
              <w:sz w:val="20"/>
              <w:szCs w:val="20"/>
            </w:rPr>
            <w:t>, 10(15), p.5041. doi:10.1002/cam4.3870.</w:t>
          </w:r>
        </w:p>
        <w:p w14:paraId="51A79BF2" w14:textId="77777777" w:rsidR="00A80A21" w:rsidRDefault="00A80A21">
          <w:pPr>
            <w:jc w:val="both"/>
            <w:rPr>
              <w:rFonts w:ascii="Arial" w:hAnsi="Arial" w:cs="Arial"/>
              <w:sz w:val="20"/>
              <w:szCs w:val="20"/>
              <w:lang w:val="en-US"/>
            </w:rPr>
          </w:pPr>
        </w:p>
        <w:p w14:paraId="26167C7D" w14:textId="77777777" w:rsidR="00A80A21" w:rsidRDefault="00BC5F10">
          <w:pPr>
            <w:pStyle w:val="ListParagraph"/>
            <w:numPr>
              <w:ilvl w:val="0"/>
              <w:numId w:val="6"/>
            </w:numPr>
            <w:jc w:val="both"/>
            <w:rPr>
              <w:rFonts w:ascii="Arial" w:hAnsi="Arial" w:cs="Arial"/>
              <w:sz w:val="20"/>
              <w:szCs w:val="20"/>
              <w:lang w:val="en-US"/>
            </w:rPr>
          </w:pPr>
          <w:r>
            <w:rPr>
              <w:rFonts w:ascii="Arial" w:hAnsi="Arial" w:cs="Arial"/>
              <w:sz w:val="20"/>
              <w:szCs w:val="20"/>
              <w:lang w:val="en-US"/>
            </w:rPr>
            <w:t xml:space="preserve">Moloi, L.D., Balogun, F.O. and </w:t>
          </w:r>
          <w:proofErr w:type="spellStart"/>
          <w:r>
            <w:rPr>
              <w:rFonts w:ascii="Arial" w:hAnsi="Arial" w:cs="Arial"/>
              <w:sz w:val="20"/>
              <w:szCs w:val="20"/>
              <w:lang w:val="en-US"/>
            </w:rPr>
            <w:t>Ashafa</w:t>
          </w:r>
          <w:proofErr w:type="spellEnd"/>
          <w:r>
            <w:rPr>
              <w:rFonts w:ascii="Arial" w:hAnsi="Arial" w:cs="Arial"/>
              <w:sz w:val="20"/>
              <w:szCs w:val="20"/>
              <w:lang w:val="en-US"/>
            </w:rPr>
            <w:t xml:space="preserve">, A.O.T. (2021) Mitigation of free radicals and carbohydrate-linked enzymes by extracts and partitioned fractions of Elephantorrhiza elephantina (Burch.) Skeels root, </w:t>
          </w:r>
          <w:r>
            <w:rPr>
              <w:rFonts w:ascii="Arial" w:hAnsi="Arial" w:cs="Arial"/>
              <w:i/>
              <w:iCs/>
              <w:sz w:val="20"/>
              <w:szCs w:val="20"/>
              <w:lang w:val="en-US"/>
            </w:rPr>
            <w:t>Journal of Medicinal Plants for Economic Development</w:t>
          </w:r>
          <w:r>
            <w:rPr>
              <w:rFonts w:ascii="Arial" w:hAnsi="Arial" w:cs="Arial"/>
              <w:sz w:val="20"/>
              <w:szCs w:val="20"/>
              <w:lang w:val="en-US"/>
            </w:rPr>
            <w:t>, 5(1). doi:10.4102/jomped.v5i1.109.</w:t>
          </w:r>
        </w:p>
        <w:p w14:paraId="7D40EDF2" w14:textId="77777777" w:rsidR="00A80A21" w:rsidRDefault="00A80A21">
          <w:pPr>
            <w:jc w:val="both"/>
            <w:rPr>
              <w:rFonts w:ascii="Arial" w:hAnsi="Arial" w:cs="Arial"/>
              <w:sz w:val="20"/>
              <w:szCs w:val="20"/>
              <w:lang w:val="en-US"/>
            </w:rPr>
          </w:pPr>
        </w:p>
        <w:p w14:paraId="3EF56AC1" w14:textId="77777777" w:rsidR="00A80A21" w:rsidRDefault="00BC5F10">
          <w:pPr>
            <w:pStyle w:val="ListParagraph"/>
            <w:numPr>
              <w:ilvl w:val="0"/>
              <w:numId w:val="6"/>
            </w:numPr>
            <w:jc w:val="both"/>
            <w:rPr>
              <w:rFonts w:ascii="Arial" w:hAnsi="Arial" w:cs="Arial"/>
              <w:sz w:val="20"/>
              <w:szCs w:val="20"/>
              <w:lang w:val="en-US"/>
            </w:rPr>
          </w:pPr>
          <w:r>
            <w:rPr>
              <w:rFonts w:ascii="Arial" w:hAnsi="Arial" w:cs="Arial"/>
              <w:sz w:val="20"/>
              <w:szCs w:val="20"/>
              <w:lang w:val="en-US"/>
            </w:rPr>
            <w:t xml:space="preserve">Mpofu, S.J. et al. (2014) Interactive efficacies of </w:t>
          </w:r>
          <w:proofErr w:type="spellStart"/>
          <w:r>
            <w:rPr>
              <w:rFonts w:ascii="Arial" w:hAnsi="Arial" w:cs="Arial"/>
              <w:sz w:val="20"/>
              <w:szCs w:val="20"/>
              <w:lang w:val="en-US"/>
            </w:rPr>
            <w:t>Elephantorrhiza</w:t>
          </w:r>
          <w:proofErr w:type="spellEnd"/>
          <w:r>
            <w:rPr>
              <w:rFonts w:ascii="Arial" w:hAnsi="Arial" w:cs="Arial"/>
              <w:sz w:val="20"/>
              <w:szCs w:val="20"/>
              <w:lang w:val="en-US"/>
            </w:rPr>
            <w:t xml:space="preserve"> </w:t>
          </w:r>
          <w:proofErr w:type="spellStart"/>
          <w:r>
            <w:rPr>
              <w:rFonts w:ascii="Arial" w:hAnsi="Arial" w:cs="Arial"/>
              <w:sz w:val="20"/>
              <w:szCs w:val="20"/>
              <w:lang w:val="en-US"/>
            </w:rPr>
            <w:t>elephantina</w:t>
          </w:r>
          <w:proofErr w:type="spellEnd"/>
          <w:r>
            <w:rPr>
              <w:rFonts w:ascii="Arial" w:hAnsi="Arial" w:cs="Arial"/>
              <w:sz w:val="20"/>
              <w:szCs w:val="20"/>
              <w:lang w:val="en-US"/>
            </w:rPr>
            <w:t xml:space="preserve"> and </w:t>
          </w:r>
          <w:proofErr w:type="spellStart"/>
          <w:r>
            <w:rPr>
              <w:rFonts w:ascii="Arial" w:hAnsi="Arial" w:cs="Arial"/>
              <w:sz w:val="20"/>
              <w:szCs w:val="20"/>
              <w:lang w:val="en-US"/>
            </w:rPr>
            <w:t>Pentanisia</w:t>
          </w:r>
          <w:proofErr w:type="spellEnd"/>
          <w:r>
            <w:rPr>
              <w:rFonts w:ascii="Arial" w:hAnsi="Arial" w:cs="Arial"/>
              <w:sz w:val="20"/>
              <w:szCs w:val="20"/>
              <w:lang w:val="en-US"/>
            </w:rPr>
            <w:t xml:space="preserve"> </w:t>
          </w:r>
          <w:proofErr w:type="spellStart"/>
          <w:r>
            <w:rPr>
              <w:rFonts w:ascii="Arial" w:hAnsi="Arial" w:cs="Arial"/>
              <w:sz w:val="20"/>
              <w:szCs w:val="20"/>
              <w:lang w:val="en-US"/>
            </w:rPr>
            <w:t>prunelloides</w:t>
          </w:r>
          <w:proofErr w:type="spellEnd"/>
          <w:r>
            <w:rPr>
              <w:rFonts w:ascii="Arial" w:hAnsi="Arial" w:cs="Arial"/>
              <w:sz w:val="20"/>
              <w:szCs w:val="20"/>
              <w:lang w:val="en-US"/>
            </w:rPr>
            <w:t xml:space="preserve"> extracts and isolated compounds against gastrointestinal bacteria, </w:t>
          </w:r>
          <w:r>
            <w:rPr>
              <w:rFonts w:ascii="Arial" w:hAnsi="Arial" w:cs="Arial"/>
              <w:i/>
              <w:iCs/>
              <w:sz w:val="20"/>
              <w:szCs w:val="20"/>
              <w:lang w:val="en-US"/>
            </w:rPr>
            <w:t>South African Journal of Botany</w:t>
          </w:r>
          <w:r>
            <w:rPr>
              <w:rFonts w:ascii="Arial" w:hAnsi="Arial" w:cs="Arial"/>
              <w:sz w:val="20"/>
              <w:szCs w:val="20"/>
              <w:lang w:val="en-US"/>
            </w:rPr>
            <w:t>, 94, p. 224. doi:10.1016/j.sajb.2014.07.002.</w:t>
          </w:r>
        </w:p>
        <w:p w14:paraId="680D421B" w14:textId="77777777" w:rsidR="00A80A21" w:rsidRDefault="00A80A21">
          <w:pPr>
            <w:jc w:val="both"/>
            <w:rPr>
              <w:rFonts w:ascii="Arial" w:hAnsi="Arial" w:cs="Arial"/>
              <w:sz w:val="20"/>
              <w:szCs w:val="20"/>
            </w:rPr>
          </w:pPr>
          <w:bookmarkStart w:id="9" w:name="9bab0014f2164b59f8d56aedb072cf0f"/>
        </w:p>
        <w:bookmarkEnd w:id="9"/>
        <w:p w14:paraId="5FADF766" w14:textId="77777777" w:rsidR="00A80A21" w:rsidRDefault="00BC5F10">
          <w:pPr>
            <w:pStyle w:val="ListParagraph"/>
            <w:numPr>
              <w:ilvl w:val="0"/>
              <w:numId w:val="6"/>
            </w:numPr>
            <w:jc w:val="both"/>
            <w:rPr>
              <w:rFonts w:ascii="Arial" w:hAnsi="Arial" w:cs="Arial"/>
              <w:sz w:val="20"/>
              <w:szCs w:val="20"/>
            </w:rPr>
          </w:pPr>
          <w:proofErr w:type="spellStart"/>
          <w:r>
            <w:rPr>
              <w:rFonts w:ascii="Arial" w:hAnsi="Arial" w:cs="Arial"/>
              <w:sz w:val="20"/>
              <w:szCs w:val="20"/>
            </w:rPr>
            <w:t>Mu</w:t>
          </w:r>
          <w:r>
            <w:rPr>
              <w:rFonts w:ascii="Arial" w:hAnsi="Arial" w:cs="Arial"/>
              <w:sz w:val="20"/>
              <w:szCs w:val="20"/>
            </w:rPr>
            <w:t>dimba</w:t>
          </w:r>
          <w:proofErr w:type="spellEnd"/>
          <w:r>
            <w:rPr>
              <w:rFonts w:ascii="Arial" w:hAnsi="Arial" w:cs="Arial"/>
              <w:sz w:val="20"/>
              <w:szCs w:val="20"/>
            </w:rPr>
            <w:t xml:space="preserve">, T.N., </w:t>
          </w:r>
          <w:proofErr w:type="spellStart"/>
          <w:r>
            <w:rPr>
              <w:rFonts w:ascii="Arial" w:hAnsi="Arial" w:cs="Arial"/>
              <w:sz w:val="20"/>
              <w:szCs w:val="20"/>
            </w:rPr>
            <w:t>Maitho</w:t>
          </w:r>
          <w:proofErr w:type="spellEnd"/>
          <w:r>
            <w:rPr>
              <w:rFonts w:ascii="Arial" w:hAnsi="Arial" w:cs="Arial"/>
              <w:sz w:val="20"/>
              <w:szCs w:val="20"/>
            </w:rPr>
            <w:t xml:space="preserve">, T., </w:t>
          </w:r>
          <w:proofErr w:type="spellStart"/>
          <w:r>
            <w:rPr>
              <w:rFonts w:ascii="Arial" w:hAnsi="Arial" w:cs="Arial"/>
              <w:sz w:val="20"/>
              <w:szCs w:val="20"/>
            </w:rPr>
            <w:t>Mbaria</w:t>
          </w:r>
          <w:proofErr w:type="spellEnd"/>
          <w:r>
            <w:rPr>
              <w:rFonts w:ascii="Arial" w:hAnsi="Arial" w:cs="Arial"/>
              <w:sz w:val="20"/>
              <w:szCs w:val="20"/>
            </w:rPr>
            <w:t xml:space="preserve">, J. and Taderera, T. (2019). </w:t>
          </w:r>
          <w:proofErr w:type="spellStart"/>
          <w:r>
            <w:rPr>
              <w:rFonts w:ascii="Arial" w:hAnsi="Arial" w:cs="Arial"/>
              <w:sz w:val="20"/>
              <w:szCs w:val="20"/>
            </w:rPr>
            <w:t>Hematotoxicity</w:t>
          </w:r>
          <w:proofErr w:type="spellEnd"/>
          <w:r>
            <w:rPr>
              <w:rFonts w:ascii="Arial" w:hAnsi="Arial" w:cs="Arial"/>
              <w:sz w:val="20"/>
              <w:szCs w:val="20"/>
            </w:rPr>
            <w:t xml:space="preserve"> assessment of phytochemicals from aqueous leaf extracts of </w:t>
          </w:r>
          <w:proofErr w:type="spellStart"/>
          <w:r>
            <w:rPr>
              <w:rFonts w:ascii="Arial" w:hAnsi="Arial" w:cs="Arial"/>
              <w:i/>
              <w:iCs/>
              <w:sz w:val="20"/>
              <w:szCs w:val="20"/>
            </w:rPr>
            <w:t>Carpobrotus</w:t>
          </w:r>
          <w:proofErr w:type="spellEnd"/>
          <w:r>
            <w:rPr>
              <w:rFonts w:ascii="Arial" w:hAnsi="Arial" w:cs="Arial"/>
              <w:i/>
              <w:iCs/>
              <w:sz w:val="20"/>
              <w:szCs w:val="20"/>
            </w:rPr>
            <w:t xml:space="preserve"> edulis</w:t>
          </w:r>
          <w:r>
            <w:rPr>
              <w:rFonts w:ascii="Arial" w:hAnsi="Arial" w:cs="Arial"/>
              <w:sz w:val="20"/>
              <w:szCs w:val="20"/>
            </w:rPr>
            <w:t xml:space="preserve">. </w:t>
          </w:r>
          <w:r>
            <w:rPr>
              <w:rFonts w:ascii="Arial" w:hAnsi="Arial" w:cs="Arial"/>
              <w:i/>
              <w:iCs/>
              <w:sz w:val="20"/>
              <w:szCs w:val="20"/>
            </w:rPr>
            <w:t>The Journal of Phytopharmacology</w:t>
          </w:r>
          <w:r>
            <w:rPr>
              <w:rFonts w:ascii="Arial" w:hAnsi="Arial" w:cs="Arial"/>
              <w:sz w:val="20"/>
              <w:szCs w:val="20"/>
            </w:rPr>
            <w:t>, 8(4), pp.173–176. doi:10.31254/phyto.2019.8405.</w:t>
          </w:r>
        </w:p>
        <w:p w14:paraId="2FF8EBFB" w14:textId="77777777" w:rsidR="00A80A21" w:rsidRDefault="00A80A21">
          <w:pPr>
            <w:pStyle w:val="ListParagraph"/>
            <w:rPr>
              <w:rFonts w:ascii="Arial" w:hAnsi="Arial" w:cs="Arial"/>
              <w:sz w:val="20"/>
              <w:szCs w:val="20"/>
            </w:rPr>
          </w:pPr>
        </w:p>
        <w:p w14:paraId="19BB1A50" w14:textId="77777777" w:rsidR="00A80A21" w:rsidRDefault="00BC5F10">
          <w:pPr>
            <w:pStyle w:val="ListParagraph"/>
            <w:numPr>
              <w:ilvl w:val="0"/>
              <w:numId w:val="6"/>
            </w:numPr>
            <w:jc w:val="both"/>
            <w:rPr>
              <w:rFonts w:ascii="Arial" w:hAnsi="Arial" w:cs="Arial"/>
              <w:sz w:val="20"/>
              <w:szCs w:val="20"/>
            </w:rPr>
          </w:pPr>
          <w:bookmarkStart w:id="10" w:name="d5f0284449732ad8585b082239644490"/>
          <w:proofErr w:type="spellStart"/>
          <w:r>
            <w:rPr>
              <w:rFonts w:ascii="Arial" w:hAnsi="Arial" w:cs="Arial"/>
              <w:sz w:val="20"/>
              <w:szCs w:val="20"/>
            </w:rPr>
            <w:t>Okata-Nwali</w:t>
          </w:r>
          <w:proofErr w:type="spellEnd"/>
          <w:r>
            <w:rPr>
              <w:rFonts w:ascii="Arial" w:hAnsi="Arial" w:cs="Arial"/>
              <w:sz w:val="20"/>
              <w:szCs w:val="20"/>
            </w:rPr>
            <w:t>, D.O.,</w:t>
          </w:r>
          <w:r>
            <w:rPr>
              <w:rFonts w:ascii="Arial" w:hAnsi="Arial" w:cs="Arial"/>
              <w:sz w:val="20"/>
              <w:szCs w:val="20"/>
            </w:rPr>
            <w:t xml:space="preserve"> </w:t>
          </w:r>
          <w:proofErr w:type="spellStart"/>
          <w:r>
            <w:rPr>
              <w:rFonts w:ascii="Arial" w:hAnsi="Arial" w:cs="Arial"/>
              <w:sz w:val="20"/>
              <w:szCs w:val="20"/>
            </w:rPr>
            <w:t>Eze</w:t>
          </w:r>
          <w:proofErr w:type="spellEnd"/>
          <w:r>
            <w:rPr>
              <w:rFonts w:ascii="Arial" w:hAnsi="Arial" w:cs="Arial"/>
              <w:sz w:val="20"/>
              <w:szCs w:val="20"/>
            </w:rPr>
            <w:t xml:space="preserve">, E.C., Udechukwu, O.T., Chukwuemeka, C.T. and Igwe, P.C. (2021). Phytochemical evaluation and antimicrobial potential assessment of some spices on selected pathogenic microorganisms in Alex Ekwueme Federal Teaching Hospital, </w:t>
          </w:r>
          <w:proofErr w:type="spellStart"/>
          <w:r>
            <w:rPr>
              <w:rFonts w:ascii="Arial" w:hAnsi="Arial" w:cs="Arial"/>
              <w:sz w:val="20"/>
              <w:szCs w:val="20"/>
            </w:rPr>
            <w:t>Abakaliki</w:t>
          </w:r>
          <w:proofErr w:type="spellEnd"/>
          <w:r>
            <w:rPr>
              <w:rFonts w:ascii="Arial" w:hAnsi="Arial" w:cs="Arial"/>
              <w:sz w:val="20"/>
              <w:szCs w:val="20"/>
            </w:rPr>
            <w:t xml:space="preserve">, Nigeria. </w:t>
          </w:r>
          <w:r>
            <w:rPr>
              <w:rFonts w:ascii="Arial" w:hAnsi="Arial" w:cs="Arial"/>
              <w:i/>
              <w:iCs/>
              <w:sz w:val="20"/>
              <w:szCs w:val="20"/>
            </w:rPr>
            <w:t>Journa</w:t>
          </w:r>
          <w:r>
            <w:rPr>
              <w:rFonts w:ascii="Arial" w:hAnsi="Arial" w:cs="Arial"/>
              <w:i/>
              <w:iCs/>
              <w:sz w:val="20"/>
              <w:szCs w:val="20"/>
            </w:rPr>
            <w:t>l of Pharmaceutical Research International</w:t>
          </w:r>
          <w:r>
            <w:rPr>
              <w:rFonts w:ascii="Arial" w:hAnsi="Arial" w:cs="Arial"/>
              <w:sz w:val="20"/>
              <w:szCs w:val="20"/>
            </w:rPr>
            <w:t>, 33(26B), p.60. doi:10.9734/</w:t>
          </w:r>
          <w:proofErr w:type="spellStart"/>
          <w:r>
            <w:rPr>
              <w:rFonts w:ascii="Arial" w:hAnsi="Arial" w:cs="Arial"/>
              <w:sz w:val="20"/>
              <w:szCs w:val="20"/>
            </w:rPr>
            <w:t>jpri</w:t>
          </w:r>
          <w:proofErr w:type="spellEnd"/>
          <w:r>
            <w:rPr>
              <w:rFonts w:ascii="Arial" w:hAnsi="Arial" w:cs="Arial"/>
              <w:sz w:val="20"/>
              <w:szCs w:val="20"/>
            </w:rPr>
            <w:t>/2021/v33i26b31483.</w:t>
          </w:r>
        </w:p>
        <w:p w14:paraId="0F49F83C" w14:textId="77777777" w:rsidR="00A80A21" w:rsidRDefault="00A80A21">
          <w:pPr>
            <w:jc w:val="both"/>
            <w:rPr>
              <w:rFonts w:ascii="Arial" w:hAnsi="Arial" w:cs="Arial"/>
              <w:sz w:val="20"/>
              <w:szCs w:val="20"/>
            </w:rPr>
          </w:pPr>
          <w:bookmarkStart w:id="11" w:name="c4305742b4611f20f50e4b2e3d14fef3"/>
          <w:bookmarkEnd w:id="10"/>
        </w:p>
        <w:bookmarkEnd w:id="11"/>
        <w:p w14:paraId="23C4DF3B" w14:textId="77777777" w:rsidR="00A80A21" w:rsidRDefault="00BC5F10">
          <w:pPr>
            <w:pStyle w:val="ListParagraph"/>
            <w:numPr>
              <w:ilvl w:val="0"/>
              <w:numId w:val="6"/>
            </w:numPr>
            <w:jc w:val="both"/>
            <w:rPr>
              <w:rFonts w:ascii="Arial" w:hAnsi="Arial" w:cs="Arial"/>
              <w:sz w:val="20"/>
              <w:szCs w:val="20"/>
            </w:rPr>
          </w:pPr>
          <w:proofErr w:type="spellStart"/>
          <w:r>
            <w:rPr>
              <w:rFonts w:ascii="Arial" w:hAnsi="Arial" w:cs="Arial"/>
              <w:sz w:val="20"/>
              <w:szCs w:val="20"/>
            </w:rPr>
            <w:t>Pangeni</w:t>
          </w:r>
          <w:proofErr w:type="spellEnd"/>
          <w:r>
            <w:rPr>
              <w:rFonts w:ascii="Arial" w:hAnsi="Arial" w:cs="Arial"/>
              <w:sz w:val="20"/>
              <w:szCs w:val="20"/>
            </w:rPr>
            <w:t>, B., Shrestha, R.K., Acharya, P., Gurung, R. and Adhikari, K.P. (2021). Antibacterial activity of selected ethnomedicinal plants popular in Magar ethnic</w:t>
          </w:r>
          <w:r>
            <w:rPr>
              <w:rFonts w:ascii="Arial" w:hAnsi="Arial" w:cs="Arial"/>
              <w:sz w:val="20"/>
              <w:szCs w:val="20"/>
            </w:rPr>
            <w:t xml:space="preserve"> community of </w:t>
          </w:r>
          <w:proofErr w:type="spellStart"/>
          <w:r>
            <w:rPr>
              <w:rFonts w:ascii="Arial" w:hAnsi="Arial" w:cs="Arial"/>
              <w:sz w:val="20"/>
              <w:szCs w:val="20"/>
            </w:rPr>
            <w:t>Palpa</w:t>
          </w:r>
          <w:proofErr w:type="spellEnd"/>
          <w:r>
            <w:rPr>
              <w:rFonts w:ascii="Arial" w:hAnsi="Arial" w:cs="Arial"/>
              <w:sz w:val="20"/>
              <w:szCs w:val="20"/>
            </w:rPr>
            <w:t xml:space="preserve"> District, Western Nepal. </w:t>
          </w:r>
          <w:r>
            <w:rPr>
              <w:rFonts w:ascii="Arial" w:hAnsi="Arial" w:cs="Arial"/>
              <w:i/>
              <w:iCs/>
              <w:sz w:val="20"/>
              <w:szCs w:val="20"/>
            </w:rPr>
            <w:t>Archives of Ecotoxicology</w:t>
          </w:r>
          <w:r>
            <w:rPr>
              <w:rFonts w:ascii="Arial" w:hAnsi="Arial" w:cs="Arial"/>
              <w:sz w:val="20"/>
              <w:szCs w:val="20"/>
            </w:rPr>
            <w:t>, 3(1), pp.13–19. doi:10.36547/ae.2021.3.1.13-19.</w:t>
          </w:r>
        </w:p>
        <w:p w14:paraId="52B48E35" w14:textId="77777777" w:rsidR="00A80A21" w:rsidRDefault="00A80A21">
          <w:pPr>
            <w:jc w:val="both"/>
            <w:rPr>
              <w:rFonts w:ascii="Arial" w:hAnsi="Arial" w:cs="Arial"/>
              <w:sz w:val="20"/>
              <w:szCs w:val="20"/>
              <w:lang w:val="en-US"/>
            </w:rPr>
          </w:pPr>
        </w:p>
        <w:p w14:paraId="73C074CC" w14:textId="77777777" w:rsidR="00A80A21" w:rsidRDefault="00BC5F10">
          <w:pPr>
            <w:pStyle w:val="ListParagraph"/>
            <w:numPr>
              <w:ilvl w:val="0"/>
              <w:numId w:val="6"/>
            </w:numPr>
            <w:jc w:val="both"/>
            <w:rPr>
              <w:rFonts w:ascii="Arial" w:hAnsi="Arial" w:cs="Arial"/>
              <w:sz w:val="20"/>
              <w:szCs w:val="20"/>
              <w:lang w:val="en-US"/>
            </w:rPr>
          </w:pPr>
          <w:proofErr w:type="spellStart"/>
          <w:r>
            <w:rPr>
              <w:rFonts w:ascii="Arial" w:hAnsi="Arial" w:cs="Arial"/>
              <w:sz w:val="20"/>
              <w:szCs w:val="20"/>
              <w:lang w:val="en-US"/>
            </w:rPr>
            <w:t>Perbtani</w:t>
          </w:r>
          <w:proofErr w:type="spellEnd"/>
          <w:r>
            <w:rPr>
              <w:rFonts w:ascii="Arial" w:hAnsi="Arial" w:cs="Arial"/>
              <w:sz w:val="20"/>
              <w:szCs w:val="20"/>
              <w:lang w:val="en-US"/>
            </w:rPr>
            <w:t xml:space="preserve">, Y.B. and </w:t>
          </w:r>
          <w:proofErr w:type="spellStart"/>
          <w:r>
            <w:rPr>
              <w:rFonts w:ascii="Arial" w:hAnsi="Arial" w:cs="Arial"/>
              <w:sz w:val="20"/>
              <w:szCs w:val="20"/>
              <w:lang w:val="en-US"/>
            </w:rPr>
            <w:t>Forsmark</w:t>
          </w:r>
          <w:proofErr w:type="spellEnd"/>
          <w:r>
            <w:rPr>
              <w:rFonts w:ascii="Arial" w:hAnsi="Arial" w:cs="Arial"/>
              <w:sz w:val="20"/>
              <w:szCs w:val="20"/>
              <w:lang w:val="en-US"/>
            </w:rPr>
            <w:t xml:space="preserve">, C.E. (2019) “Update on the diagnosis and management of exocrine pancreatic insufficiency,” F1000Research, </w:t>
          </w:r>
          <w:r>
            <w:rPr>
              <w:rFonts w:ascii="Arial" w:hAnsi="Arial" w:cs="Arial"/>
              <w:sz w:val="20"/>
              <w:szCs w:val="20"/>
              <w:lang w:val="en-US"/>
            </w:rPr>
            <w:t>8, p. 1991. doi:10.12688/f1000research.20779.1.</w:t>
          </w:r>
        </w:p>
        <w:p w14:paraId="72CE4A09" w14:textId="77777777" w:rsidR="00A80A21" w:rsidRDefault="00A80A21">
          <w:pPr>
            <w:jc w:val="both"/>
            <w:rPr>
              <w:rFonts w:ascii="Arial" w:hAnsi="Arial" w:cs="Arial"/>
              <w:sz w:val="20"/>
              <w:szCs w:val="20"/>
            </w:rPr>
          </w:pPr>
        </w:p>
        <w:p w14:paraId="486E84E5" w14:textId="4E21CE40" w:rsidR="00A80A21" w:rsidRPr="0019360D" w:rsidRDefault="00BC5F10" w:rsidP="0019360D">
          <w:pPr>
            <w:pStyle w:val="ListParagraph"/>
            <w:numPr>
              <w:ilvl w:val="0"/>
              <w:numId w:val="6"/>
            </w:numPr>
            <w:jc w:val="both"/>
            <w:rPr>
              <w:rFonts w:ascii="Arial" w:hAnsi="Arial" w:cs="Arial"/>
              <w:sz w:val="20"/>
              <w:szCs w:val="20"/>
            </w:rPr>
          </w:pPr>
          <w:r>
            <w:rPr>
              <w:rFonts w:ascii="Arial" w:hAnsi="Arial" w:cs="Arial"/>
              <w:sz w:val="20"/>
              <w:szCs w:val="20"/>
            </w:rPr>
            <w:lastRenderedPageBreak/>
            <w:t xml:space="preserve">Razack, O., Etienne, A., Marius, A., </w:t>
          </w:r>
          <w:proofErr w:type="spellStart"/>
          <w:r>
            <w:rPr>
              <w:rFonts w:ascii="Arial" w:hAnsi="Arial" w:cs="Arial"/>
              <w:sz w:val="20"/>
              <w:szCs w:val="20"/>
            </w:rPr>
            <w:t>Awede</w:t>
          </w:r>
          <w:proofErr w:type="spellEnd"/>
          <w:r>
            <w:rPr>
              <w:rFonts w:ascii="Arial" w:hAnsi="Arial" w:cs="Arial"/>
              <w:sz w:val="20"/>
              <w:szCs w:val="20"/>
            </w:rPr>
            <w:t xml:space="preserve">, B., </w:t>
          </w:r>
          <w:proofErr w:type="spellStart"/>
          <w:r>
            <w:rPr>
              <w:rFonts w:ascii="Arial" w:hAnsi="Arial" w:cs="Arial"/>
              <w:sz w:val="20"/>
              <w:szCs w:val="20"/>
            </w:rPr>
            <w:t>Hountohotègbè</w:t>
          </w:r>
          <w:proofErr w:type="spellEnd"/>
          <w:r>
            <w:rPr>
              <w:rFonts w:ascii="Arial" w:hAnsi="Arial" w:cs="Arial"/>
              <w:sz w:val="20"/>
              <w:szCs w:val="20"/>
            </w:rPr>
            <w:t xml:space="preserve">, T., Bigot, A., </w:t>
          </w:r>
          <w:proofErr w:type="spellStart"/>
          <w:r>
            <w:rPr>
              <w:rFonts w:ascii="Arial" w:hAnsi="Arial" w:cs="Arial"/>
              <w:sz w:val="20"/>
              <w:szCs w:val="20"/>
            </w:rPr>
            <w:t>Darboux</w:t>
          </w:r>
          <w:proofErr w:type="spellEnd"/>
          <w:r>
            <w:rPr>
              <w:rFonts w:ascii="Arial" w:hAnsi="Arial" w:cs="Arial"/>
              <w:sz w:val="20"/>
              <w:szCs w:val="20"/>
            </w:rPr>
            <w:t xml:space="preserve">, R. and </w:t>
          </w:r>
          <w:proofErr w:type="spellStart"/>
          <w:r>
            <w:rPr>
              <w:rFonts w:ascii="Arial" w:hAnsi="Arial" w:cs="Arial"/>
              <w:sz w:val="20"/>
              <w:szCs w:val="20"/>
            </w:rPr>
            <w:t>Lalèyè</w:t>
          </w:r>
          <w:proofErr w:type="spellEnd"/>
          <w:r>
            <w:rPr>
              <w:rFonts w:ascii="Arial" w:hAnsi="Arial" w:cs="Arial"/>
              <w:sz w:val="20"/>
              <w:szCs w:val="20"/>
            </w:rPr>
            <w:t>, A. (2017). Modification of biochemical and haematological parameters during 90</w:t>
          </w:r>
          <w:r>
            <w:rPr>
              <w:rFonts w:ascii="Cambria Math" w:hAnsi="Cambria Math" w:cs="Cambria Math"/>
              <w:sz w:val="20"/>
              <w:szCs w:val="20"/>
            </w:rPr>
            <w:t>‐</w:t>
          </w:r>
          <w:r>
            <w:rPr>
              <w:rFonts w:ascii="Arial" w:hAnsi="Arial" w:cs="Arial"/>
              <w:sz w:val="20"/>
              <w:szCs w:val="20"/>
            </w:rPr>
            <w:t xml:space="preserve">days </w:t>
          </w:r>
          <w:proofErr w:type="spellStart"/>
          <w:r>
            <w:rPr>
              <w:rFonts w:ascii="Arial" w:hAnsi="Arial" w:cs="Arial"/>
              <w:sz w:val="20"/>
              <w:szCs w:val="20"/>
            </w:rPr>
            <w:t>subchronic</w:t>
          </w:r>
          <w:proofErr w:type="spellEnd"/>
          <w:r>
            <w:rPr>
              <w:rFonts w:ascii="Arial" w:hAnsi="Arial" w:cs="Arial"/>
              <w:sz w:val="20"/>
              <w:szCs w:val="20"/>
            </w:rPr>
            <w:t xml:space="preserve"> toxicity a</w:t>
          </w:r>
          <w:r>
            <w:rPr>
              <w:rFonts w:ascii="Arial" w:hAnsi="Arial" w:cs="Arial"/>
              <w:sz w:val="20"/>
              <w:szCs w:val="20"/>
            </w:rPr>
            <w:t xml:space="preserve">ssessment of </w:t>
          </w:r>
          <w:r>
            <w:rPr>
              <w:rFonts w:ascii="Arial" w:hAnsi="Arial" w:cs="Arial"/>
              <w:i/>
              <w:iCs/>
              <w:sz w:val="20"/>
              <w:szCs w:val="20"/>
            </w:rPr>
            <w:t>Carissa edulis</w:t>
          </w:r>
          <w:r>
            <w:rPr>
              <w:rFonts w:ascii="Arial" w:hAnsi="Arial" w:cs="Arial"/>
              <w:sz w:val="20"/>
              <w:szCs w:val="20"/>
            </w:rPr>
            <w:t xml:space="preserve"> in Wistar rats. </w:t>
          </w:r>
          <w:r>
            <w:rPr>
              <w:rFonts w:ascii="Arial" w:hAnsi="Arial" w:cs="Arial"/>
              <w:i/>
              <w:iCs/>
              <w:sz w:val="20"/>
              <w:szCs w:val="20"/>
            </w:rPr>
            <w:t>Journal of Toxicology and Environmental Health Sciences</w:t>
          </w:r>
          <w:r>
            <w:rPr>
              <w:rFonts w:ascii="Arial" w:hAnsi="Arial" w:cs="Arial"/>
              <w:sz w:val="20"/>
              <w:szCs w:val="20"/>
            </w:rPr>
            <w:t>, 9(2), pp.7–13. doi:10.5897/jtehs2017.0379</w:t>
          </w:r>
          <w:r w:rsidRPr="0019360D">
            <w:rPr>
              <w:rFonts w:ascii="Arial" w:hAnsi="Arial" w:cs="Arial"/>
              <w:sz w:val="20"/>
              <w:szCs w:val="20"/>
            </w:rPr>
            <w:t>.</w:t>
          </w:r>
        </w:p>
        <w:p w14:paraId="52ED2373" w14:textId="77777777" w:rsidR="00A80A21" w:rsidRDefault="00A80A21">
          <w:pPr>
            <w:jc w:val="both"/>
            <w:rPr>
              <w:rFonts w:ascii="Arial" w:hAnsi="Arial" w:cs="Arial"/>
              <w:sz w:val="20"/>
              <w:szCs w:val="20"/>
            </w:rPr>
          </w:pPr>
        </w:p>
        <w:p w14:paraId="63E76588" w14:textId="1A8576BD" w:rsidR="00A80A21" w:rsidRDefault="00BC5F10" w:rsidP="00600D44">
          <w:pPr>
            <w:pStyle w:val="ListParagraph"/>
            <w:numPr>
              <w:ilvl w:val="0"/>
              <w:numId w:val="6"/>
            </w:numPr>
            <w:jc w:val="both"/>
            <w:rPr>
              <w:rFonts w:ascii="Arial" w:hAnsi="Arial" w:cs="Arial"/>
              <w:sz w:val="20"/>
              <w:szCs w:val="20"/>
            </w:rPr>
          </w:pPr>
          <w:r>
            <w:rPr>
              <w:rFonts w:ascii="Arial" w:hAnsi="Arial" w:cs="Arial"/>
              <w:sz w:val="20"/>
              <w:szCs w:val="20"/>
            </w:rPr>
            <w:t xml:space="preserve">Ruangsuriya, J., </w:t>
          </w:r>
          <w:proofErr w:type="spellStart"/>
          <w:r>
            <w:rPr>
              <w:rFonts w:ascii="Arial" w:hAnsi="Arial" w:cs="Arial"/>
              <w:sz w:val="20"/>
              <w:szCs w:val="20"/>
            </w:rPr>
            <w:t>Sichaem</w:t>
          </w:r>
          <w:proofErr w:type="spellEnd"/>
          <w:r>
            <w:rPr>
              <w:rFonts w:ascii="Arial" w:hAnsi="Arial" w:cs="Arial"/>
              <w:sz w:val="20"/>
              <w:szCs w:val="20"/>
            </w:rPr>
            <w:t xml:space="preserve">, J., </w:t>
          </w:r>
          <w:proofErr w:type="spellStart"/>
          <w:r>
            <w:rPr>
              <w:rFonts w:ascii="Arial" w:hAnsi="Arial" w:cs="Arial"/>
              <w:sz w:val="20"/>
              <w:szCs w:val="20"/>
            </w:rPr>
            <w:t>Tantraworasin</w:t>
          </w:r>
          <w:proofErr w:type="spellEnd"/>
          <w:r>
            <w:rPr>
              <w:rFonts w:ascii="Arial" w:hAnsi="Arial" w:cs="Arial"/>
              <w:sz w:val="20"/>
              <w:szCs w:val="20"/>
            </w:rPr>
            <w:t xml:space="preserve">, A., </w:t>
          </w:r>
          <w:proofErr w:type="spellStart"/>
          <w:r>
            <w:rPr>
              <w:rFonts w:ascii="Arial" w:hAnsi="Arial" w:cs="Arial"/>
              <w:sz w:val="20"/>
              <w:szCs w:val="20"/>
            </w:rPr>
            <w:t>Saeteng</w:t>
          </w:r>
          <w:proofErr w:type="spellEnd"/>
          <w:r>
            <w:rPr>
              <w:rFonts w:ascii="Arial" w:hAnsi="Arial" w:cs="Arial"/>
              <w:sz w:val="20"/>
              <w:szCs w:val="20"/>
            </w:rPr>
            <w:t xml:space="preserve">, S., </w:t>
          </w:r>
          <w:proofErr w:type="spellStart"/>
          <w:r>
            <w:rPr>
              <w:rFonts w:ascii="Arial" w:hAnsi="Arial" w:cs="Arial"/>
              <w:sz w:val="20"/>
              <w:szCs w:val="20"/>
            </w:rPr>
            <w:t>Wongmaneerung</w:t>
          </w:r>
          <w:proofErr w:type="spellEnd"/>
          <w:r>
            <w:rPr>
              <w:rFonts w:ascii="Arial" w:hAnsi="Arial" w:cs="Arial"/>
              <w:sz w:val="20"/>
              <w:szCs w:val="20"/>
            </w:rPr>
            <w:t xml:space="preserve">, P., </w:t>
          </w:r>
          <w:proofErr w:type="spellStart"/>
          <w:r>
            <w:rPr>
              <w:rFonts w:ascii="Arial" w:hAnsi="Arial" w:cs="Arial"/>
              <w:sz w:val="20"/>
              <w:szCs w:val="20"/>
            </w:rPr>
            <w:t>Inta</w:t>
          </w:r>
          <w:proofErr w:type="spellEnd"/>
          <w:r>
            <w:rPr>
              <w:rFonts w:ascii="Arial" w:hAnsi="Arial" w:cs="Arial"/>
              <w:sz w:val="20"/>
              <w:szCs w:val="20"/>
            </w:rPr>
            <w:t>, A., Davies, N.M., Inthan</w:t>
          </w:r>
          <w:r>
            <w:rPr>
              <w:rFonts w:ascii="Arial" w:hAnsi="Arial" w:cs="Arial"/>
              <w:sz w:val="20"/>
              <w:szCs w:val="20"/>
            </w:rPr>
            <w:t xml:space="preserve">on, K. and Addi, M. (2023). Phytochemical profiles and anticancer effects of </w:t>
          </w:r>
          <w:proofErr w:type="spellStart"/>
          <w:r>
            <w:rPr>
              <w:rFonts w:ascii="Arial" w:hAnsi="Arial" w:cs="Arial"/>
              <w:i/>
              <w:iCs/>
              <w:sz w:val="20"/>
              <w:szCs w:val="20"/>
            </w:rPr>
            <w:t>Calophyllum</w:t>
          </w:r>
          <w:proofErr w:type="spellEnd"/>
          <w:r>
            <w:rPr>
              <w:rFonts w:ascii="Arial" w:hAnsi="Arial" w:cs="Arial"/>
              <w:i/>
              <w:iCs/>
              <w:sz w:val="20"/>
              <w:szCs w:val="20"/>
            </w:rPr>
            <w:t xml:space="preserve"> </w:t>
          </w:r>
          <w:proofErr w:type="spellStart"/>
          <w:r>
            <w:rPr>
              <w:rFonts w:ascii="Arial" w:hAnsi="Arial" w:cs="Arial"/>
              <w:i/>
              <w:iCs/>
              <w:sz w:val="20"/>
              <w:szCs w:val="20"/>
            </w:rPr>
            <w:t>inophyllum</w:t>
          </w:r>
          <w:proofErr w:type="spellEnd"/>
          <w:r>
            <w:rPr>
              <w:rFonts w:ascii="Arial" w:hAnsi="Arial" w:cs="Arial"/>
              <w:sz w:val="20"/>
              <w:szCs w:val="20"/>
            </w:rPr>
            <w:t xml:space="preserve"> L. extract relating to reactive oxygen species modulation on patient-derived cells from breast and lung cancers. </w:t>
          </w:r>
          <w:proofErr w:type="spellStart"/>
          <w:r>
            <w:rPr>
              <w:rFonts w:ascii="Arial" w:hAnsi="Arial" w:cs="Arial"/>
              <w:i/>
              <w:iCs/>
              <w:sz w:val="20"/>
              <w:szCs w:val="20"/>
            </w:rPr>
            <w:t>Scientifica</w:t>
          </w:r>
          <w:proofErr w:type="spellEnd"/>
          <w:r>
            <w:rPr>
              <w:rFonts w:ascii="Arial" w:hAnsi="Arial" w:cs="Arial"/>
              <w:sz w:val="20"/>
              <w:szCs w:val="20"/>
            </w:rPr>
            <w:t>, 2023, Article ID 6613670. doi:</w:t>
          </w:r>
          <w:r>
            <w:rPr>
              <w:rFonts w:ascii="Arial" w:hAnsi="Arial" w:cs="Arial"/>
              <w:sz w:val="20"/>
              <w:szCs w:val="20"/>
            </w:rPr>
            <w:t>10.1155/2023/6613670.</w:t>
          </w:r>
          <w:bookmarkStart w:id="12" w:name="b62d7b9cf8e3b9a5c9a7ff2fabdc918b"/>
        </w:p>
        <w:p w14:paraId="73E4AE79" w14:textId="77777777" w:rsidR="00600D44" w:rsidRPr="00600D44" w:rsidRDefault="00600D44" w:rsidP="00600D44">
          <w:pPr>
            <w:jc w:val="both"/>
            <w:rPr>
              <w:rFonts w:ascii="Arial" w:hAnsi="Arial" w:cs="Arial"/>
              <w:sz w:val="20"/>
              <w:szCs w:val="20"/>
            </w:rPr>
          </w:pPr>
        </w:p>
        <w:p w14:paraId="7D97463E" w14:textId="66BE327D" w:rsidR="00A80A21" w:rsidRPr="00E9473A" w:rsidRDefault="00BC5F10" w:rsidP="00E9473A">
          <w:pPr>
            <w:pStyle w:val="ListParagraph"/>
            <w:numPr>
              <w:ilvl w:val="0"/>
              <w:numId w:val="6"/>
            </w:numPr>
            <w:jc w:val="both"/>
            <w:rPr>
              <w:rFonts w:ascii="Arial" w:hAnsi="Arial" w:cs="Arial"/>
              <w:sz w:val="20"/>
              <w:szCs w:val="20"/>
            </w:rPr>
          </w:pPr>
          <w:bookmarkStart w:id="13" w:name="1b431fbc29bb00c7abe7a2bf11492b00"/>
          <w:bookmarkEnd w:id="12"/>
          <w:proofErr w:type="spellStart"/>
          <w:r>
            <w:rPr>
              <w:rFonts w:ascii="Arial" w:hAnsi="Arial" w:cs="Arial"/>
              <w:sz w:val="20"/>
              <w:szCs w:val="20"/>
            </w:rPr>
            <w:t>Tourabi</w:t>
          </w:r>
          <w:proofErr w:type="spellEnd"/>
          <w:r>
            <w:rPr>
              <w:rFonts w:ascii="Arial" w:hAnsi="Arial" w:cs="Arial"/>
              <w:sz w:val="20"/>
              <w:szCs w:val="20"/>
            </w:rPr>
            <w:t xml:space="preserve">, M., </w:t>
          </w:r>
          <w:proofErr w:type="spellStart"/>
          <w:r>
            <w:rPr>
              <w:rFonts w:ascii="Arial" w:hAnsi="Arial" w:cs="Arial"/>
              <w:sz w:val="20"/>
              <w:szCs w:val="20"/>
            </w:rPr>
            <w:t>Metouekel</w:t>
          </w:r>
          <w:proofErr w:type="spellEnd"/>
          <w:r>
            <w:rPr>
              <w:rFonts w:ascii="Arial" w:hAnsi="Arial" w:cs="Arial"/>
              <w:sz w:val="20"/>
              <w:szCs w:val="20"/>
            </w:rPr>
            <w:t xml:space="preserve">, A., </w:t>
          </w:r>
          <w:proofErr w:type="spellStart"/>
          <w:r>
            <w:rPr>
              <w:rFonts w:ascii="Arial" w:hAnsi="Arial" w:cs="Arial"/>
              <w:sz w:val="20"/>
              <w:szCs w:val="20"/>
            </w:rPr>
            <w:t>Ghouizi</w:t>
          </w:r>
          <w:proofErr w:type="spellEnd"/>
          <w:r>
            <w:rPr>
              <w:rFonts w:ascii="Arial" w:hAnsi="Arial" w:cs="Arial"/>
              <w:sz w:val="20"/>
              <w:szCs w:val="20"/>
            </w:rPr>
            <w:t xml:space="preserve">, A. E. L., </w:t>
          </w:r>
          <w:proofErr w:type="spellStart"/>
          <w:r>
            <w:rPr>
              <w:rFonts w:ascii="Arial" w:hAnsi="Arial" w:cs="Arial"/>
              <w:sz w:val="20"/>
              <w:szCs w:val="20"/>
            </w:rPr>
            <w:t>Jeddi</w:t>
          </w:r>
          <w:proofErr w:type="spellEnd"/>
          <w:r>
            <w:rPr>
              <w:rFonts w:ascii="Arial" w:hAnsi="Arial" w:cs="Arial"/>
              <w:sz w:val="20"/>
              <w:szCs w:val="20"/>
            </w:rPr>
            <w:t xml:space="preserve">, M., </w:t>
          </w:r>
          <w:proofErr w:type="spellStart"/>
          <w:r>
            <w:rPr>
              <w:rFonts w:ascii="Arial" w:hAnsi="Arial" w:cs="Arial"/>
              <w:sz w:val="20"/>
              <w:szCs w:val="20"/>
            </w:rPr>
            <w:t>Nouioura</w:t>
          </w:r>
          <w:proofErr w:type="spellEnd"/>
          <w:r>
            <w:rPr>
              <w:rFonts w:ascii="Arial" w:hAnsi="Arial" w:cs="Arial"/>
              <w:sz w:val="20"/>
              <w:szCs w:val="20"/>
            </w:rPr>
            <w:t xml:space="preserve">, G., Laaroussi, H., Hosen, M. E., Benbrahim, K. F., </w:t>
          </w:r>
          <w:proofErr w:type="spellStart"/>
          <w:r>
            <w:rPr>
              <w:rFonts w:ascii="Arial" w:hAnsi="Arial" w:cs="Arial"/>
              <w:sz w:val="20"/>
              <w:szCs w:val="20"/>
            </w:rPr>
            <w:t>Bourhia</w:t>
          </w:r>
          <w:proofErr w:type="spellEnd"/>
          <w:r>
            <w:rPr>
              <w:rFonts w:ascii="Arial" w:hAnsi="Arial" w:cs="Arial"/>
              <w:sz w:val="20"/>
              <w:szCs w:val="20"/>
            </w:rPr>
            <w:t xml:space="preserve">, M., </w:t>
          </w:r>
          <w:proofErr w:type="spellStart"/>
          <w:r>
            <w:rPr>
              <w:rFonts w:ascii="Arial" w:hAnsi="Arial" w:cs="Arial"/>
              <w:sz w:val="20"/>
              <w:szCs w:val="20"/>
            </w:rPr>
            <w:t>Salamatullah</w:t>
          </w:r>
          <w:proofErr w:type="spellEnd"/>
          <w:r>
            <w:rPr>
              <w:rFonts w:ascii="Arial" w:hAnsi="Arial" w:cs="Arial"/>
              <w:sz w:val="20"/>
              <w:szCs w:val="20"/>
            </w:rPr>
            <w:t xml:space="preserve">, A. M., </w:t>
          </w:r>
          <w:proofErr w:type="spellStart"/>
          <w:r>
            <w:rPr>
              <w:rFonts w:ascii="Arial" w:hAnsi="Arial" w:cs="Arial"/>
              <w:sz w:val="20"/>
              <w:szCs w:val="20"/>
            </w:rPr>
            <w:t>Nafidi</w:t>
          </w:r>
          <w:proofErr w:type="spellEnd"/>
          <w:r>
            <w:rPr>
              <w:rFonts w:ascii="Arial" w:hAnsi="Arial" w:cs="Arial"/>
              <w:sz w:val="20"/>
              <w:szCs w:val="20"/>
            </w:rPr>
            <w:t xml:space="preserve">, H.-A., </w:t>
          </w:r>
          <w:proofErr w:type="spellStart"/>
          <w:r>
            <w:rPr>
              <w:rFonts w:ascii="Arial" w:hAnsi="Arial" w:cs="Arial"/>
              <w:sz w:val="20"/>
              <w:szCs w:val="20"/>
            </w:rPr>
            <w:t>Wondmie</w:t>
          </w:r>
          <w:proofErr w:type="spellEnd"/>
          <w:r>
            <w:rPr>
              <w:rFonts w:ascii="Arial" w:hAnsi="Arial" w:cs="Arial"/>
              <w:sz w:val="20"/>
              <w:szCs w:val="20"/>
            </w:rPr>
            <w:t xml:space="preserve">, G. F., </w:t>
          </w:r>
          <w:proofErr w:type="spellStart"/>
          <w:r>
            <w:rPr>
              <w:rFonts w:ascii="Arial" w:hAnsi="Arial" w:cs="Arial"/>
              <w:sz w:val="20"/>
              <w:szCs w:val="20"/>
            </w:rPr>
            <w:t>Lyoussi</w:t>
          </w:r>
          <w:proofErr w:type="spellEnd"/>
          <w:r>
            <w:rPr>
              <w:rFonts w:ascii="Arial" w:hAnsi="Arial" w:cs="Arial"/>
              <w:sz w:val="20"/>
              <w:szCs w:val="20"/>
            </w:rPr>
            <w:t xml:space="preserve">, B. and Derwich, E. (2023). Efficacy of various extracting solvents on phytochemical composition, and biological properties of </w:t>
          </w:r>
          <w:r>
            <w:rPr>
              <w:rFonts w:ascii="Arial" w:hAnsi="Arial" w:cs="Arial"/>
              <w:i/>
              <w:iCs/>
              <w:sz w:val="20"/>
              <w:szCs w:val="20"/>
            </w:rPr>
            <w:t>Mentha longifolia</w:t>
          </w:r>
          <w:r>
            <w:rPr>
              <w:rFonts w:ascii="Arial" w:hAnsi="Arial" w:cs="Arial"/>
              <w:sz w:val="20"/>
              <w:szCs w:val="20"/>
            </w:rPr>
            <w:t xml:space="preserve"> L. leaf extracts. </w:t>
          </w:r>
          <w:r>
            <w:rPr>
              <w:rFonts w:ascii="Arial" w:hAnsi="Arial" w:cs="Arial"/>
              <w:i/>
              <w:iCs/>
              <w:sz w:val="20"/>
              <w:szCs w:val="20"/>
            </w:rPr>
            <w:t>Scientific Reports</w:t>
          </w:r>
          <w:r>
            <w:rPr>
              <w:rFonts w:ascii="Arial" w:hAnsi="Arial" w:cs="Arial"/>
              <w:sz w:val="20"/>
              <w:szCs w:val="20"/>
            </w:rPr>
            <w:t>, 13, Article 45030. doi:10.1038/s41598-023-45030-5.</w:t>
          </w:r>
        </w:p>
        <w:p w14:paraId="2F6EBBE0" w14:textId="77777777" w:rsidR="00A80A21" w:rsidRDefault="00A80A21">
          <w:pPr>
            <w:pStyle w:val="ListParagraph"/>
            <w:rPr>
              <w:rFonts w:ascii="Arial" w:hAnsi="Arial" w:cs="Arial"/>
              <w:sz w:val="20"/>
              <w:szCs w:val="20"/>
            </w:rPr>
          </w:pPr>
        </w:p>
        <w:p w14:paraId="462A43E3" w14:textId="77777777" w:rsidR="00A80A21" w:rsidRDefault="00BC5F10">
          <w:pPr>
            <w:pStyle w:val="ListParagraph"/>
            <w:numPr>
              <w:ilvl w:val="0"/>
              <w:numId w:val="6"/>
            </w:numPr>
            <w:jc w:val="both"/>
            <w:rPr>
              <w:rFonts w:ascii="Arial" w:hAnsi="Arial" w:cs="Arial"/>
              <w:sz w:val="20"/>
              <w:szCs w:val="20"/>
            </w:rPr>
          </w:pPr>
          <w:r>
            <w:rPr>
              <w:rFonts w:ascii="Arial" w:hAnsi="Arial" w:cs="Arial"/>
              <w:sz w:val="20"/>
              <w:szCs w:val="20"/>
            </w:rPr>
            <w:t>Williams, V. (2022).</w:t>
          </w:r>
          <w:r>
            <w:rPr>
              <w:rFonts w:ascii="Arial" w:hAnsi="Arial" w:cs="Arial"/>
              <w:sz w:val="20"/>
              <w:szCs w:val="20"/>
            </w:rPr>
            <w:t xml:space="preserve"> </w:t>
          </w:r>
          <w:r>
            <w:rPr>
              <w:rFonts w:ascii="Arial" w:hAnsi="Arial" w:cs="Arial"/>
              <w:i/>
              <w:iCs/>
              <w:sz w:val="20"/>
              <w:szCs w:val="20"/>
            </w:rPr>
            <w:t>50 Ways to Treat Pancreatic Insufficiency</w:t>
          </w:r>
          <w:r>
            <w:rPr>
              <w:rFonts w:ascii="Arial" w:hAnsi="Arial" w:cs="Arial"/>
              <w:sz w:val="20"/>
              <w:szCs w:val="20"/>
            </w:rPr>
            <w:t xml:space="preserve">. </w:t>
          </w:r>
          <w:r>
            <w:rPr>
              <w:rFonts w:ascii="Arial" w:hAnsi="Arial" w:cs="Arial"/>
              <w:i/>
              <w:iCs/>
              <w:sz w:val="20"/>
              <w:szCs w:val="20"/>
            </w:rPr>
            <w:t>Virginia Medical Journal</w:t>
          </w:r>
          <w:r>
            <w:rPr>
              <w:rFonts w:ascii="Arial" w:hAnsi="Arial" w:cs="Arial"/>
              <w:sz w:val="20"/>
              <w:szCs w:val="20"/>
            </w:rPr>
            <w:t xml:space="preserve">, November 2022. </w:t>
          </w:r>
        </w:p>
      </w:sdtContent>
    </w:sdt>
    <w:bookmarkEnd w:id="13"/>
    <w:p w14:paraId="5E7B2831" w14:textId="77777777" w:rsidR="00A80A21" w:rsidRDefault="00A80A21">
      <w:pPr>
        <w:spacing w:line="360" w:lineRule="auto"/>
        <w:jc w:val="both"/>
        <w:rPr>
          <w:rFonts w:ascii="Arial" w:hAnsi="Arial" w:cs="Arial"/>
          <w:color w:val="222222"/>
          <w:sz w:val="20"/>
          <w:szCs w:val="20"/>
          <w:shd w:val="clear" w:color="auto" w:fill="FFFFFF"/>
          <w:lang w:val="en-US"/>
        </w:rPr>
      </w:pPr>
    </w:p>
    <w:p w14:paraId="35C1B9A4" w14:textId="77777777" w:rsidR="00A80A21" w:rsidRDefault="00A80A21">
      <w:pPr>
        <w:spacing w:line="360" w:lineRule="auto"/>
        <w:jc w:val="both"/>
        <w:rPr>
          <w:rFonts w:ascii="Arial" w:hAnsi="Arial" w:cs="Arial"/>
          <w:color w:val="222222"/>
          <w:sz w:val="20"/>
          <w:szCs w:val="20"/>
          <w:shd w:val="clear" w:color="auto" w:fill="FFFFFF"/>
          <w:lang w:val="en-US"/>
        </w:rPr>
      </w:pPr>
    </w:p>
    <w:p w14:paraId="63FB9A40" w14:textId="77777777" w:rsidR="00A80A21" w:rsidRDefault="00A80A21">
      <w:pPr>
        <w:spacing w:line="360" w:lineRule="auto"/>
        <w:jc w:val="both"/>
        <w:rPr>
          <w:rFonts w:ascii="Arial" w:hAnsi="Arial" w:cs="Arial"/>
          <w:color w:val="222222"/>
          <w:sz w:val="20"/>
          <w:szCs w:val="20"/>
          <w:shd w:val="clear" w:color="auto" w:fill="FFFFFF"/>
          <w:lang w:val="en-US"/>
        </w:rPr>
      </w:pPr>
    </w:p>
    <w:p w14:paraId="465962A4" w14:textId="77777777" w:rsidR="00A80A21" w:rsidRDefault="00A80A21">
      <w:pPr>
        <w:spacing w:line="360" w:lineRule="auto"/>
        <w:jc w:val="both"/>
        <w:rPr>
          <w:rFonts w:ascii="Arial" w:hAnsi="Arial" w:cs="Arial"/>
          <w:color w:val="222222"/>
          <w:sz w:val="20"/>
          <w:szCs w:val="20"/>
          <w:shd w:val="clear" w:color="auto" w:fill="FFFFFF"/>
          <w:lang w:val="en-US"/>
        </w:rPr>
      </w:pPr>
    </w:p>
    <w:sectPr w:rsidR="00A80A21">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C3121" w14:textId="77777777" w:rsidR="00BC5F10" w:rsidRDefault="00BC5F10">
      <w:r>
        <w:separator/>
      </w:r>
    </w:p>
  </w:endnote>
  <w:endnote w:type="continuationSeparator" w:id="0">
    <w:p w14:paraId="3F015BCF" w14:textId="77777777" w:rsidR="00BC5F10" w:rsidRDefault="00BC5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opyright Klim Type Foundry">
    <w:altName w:val="Segoe Print"/>
    <w:charset w:val="00"/>
    <w:family w:val="swiss"/>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inion Pro">
    <w:altName w:val="Segoe Print"/>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1C0CF" w14:textId="77777777" w:rsidR="004F6463" w:rsidRDefault="004F64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1668C" w14:textId="77777777" w:rsidR="00A80A21" w:rsidRDefault="00BC5F10">
    <w:pPr>
      <w:pStyle w:val="Footer"/>
      <w:jc w:val="center"/>
    </w:pPr>
    <w:r>
      <w:fldChar w:fldCharType="begin"/>
    </w:r>
    <w:r>
      <w:instrText xml:space="preserve"> PAGE   \* MERGEFORMAT </w:instrText>
    </w:r>
    <w:r>
      <w:fldChar w:fldCharType="separate"/>
    </w:r>
    <w:r>
      <w:t>8</w:t>
    </w:r>
    <w:r>
      <w:fldChar w:fldCharType="end"/>
    </w:r>
  </w:p>
  <w:p w14:paraId="0477EFBD" w14:textId="77777777" w:rsidR="00A80A21" w:rsidRDefault="00A80A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63099" w14:textId="77777777" w:rsidR="004F6463" w:rsidRDefault="004F6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2D7E9" w14:textId="77777777" w:rsidR="00BC5F10" w:rsidRDefault="00BC5F10">
      <w:r>
        <w:separator/>
      </w:r>
    </w:p>
  </w:footnote>
  <w:footnote w:type="continuationSeparator" w:id="0">
    <w:p w14:paraId="52E0ED48" w14:textId="77777777" w:rsidR="00BC5F10" w:rsidRDefault="00BC5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7AAAC" w14:textId="6887F57C" w:rsidR="004F6463" w:rsidRDefault="004F6463">
    <w:pPr>
      <w:pStyle w:val="Header"/>
    </w:pPr>
    <w:r>
      <w:rPr>
        <w:noProof/>
      </w:rPr>
      <w:pict w14:anchorId="66FBE4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8516"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63F40" w14:textId="7BA978BB" w:rsidR="00A80A21" w:rsidRDefault="004F6463">
    <w:pPr>
      <w:jc w:val="center"/>
    </w:pPr>
    <w:r>
      <w:rPr>
        <w:noProof/>
      </w:rPr>
      <w:pict w14:anchorId="5EE469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8517"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E653C" w14:textId="01584D71" w:rsidR="004F6463" w:rsidRDefault="004F6463">
    <w:pPr>
      <w:pStyle w:val="Header"/>
    </w:pPr>
    <w:r>
      <w:rPr>
        <w:noProof/>
      </w:rPr>
      <w:pict w14:anchorId="2001D5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8515"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Heading1"/>
      <w:lvlText w:val="%1"/>
      <w:lvlJc w:val="left"/>
      <w:pPr>
        <w:ind w:left="432" w:hanging="432"/>
      </w:pPr>
      <w:rPr>
        <w:sz w:val="24"/>
      </w:rPr>
    </w:lvl>
    <w:lvl w:ilvl="1">
      <w:start w:val="1"/>
      <w:numFmt w:val="decimal"/>
      <w:pStyle w:val="Heading2"/>
      <w:lvlText w:val="%1.%2"/>
      <w:lvlJc w:val="left"/>
      <w:pPr>
        <w:ind w:left="576" w:hanging="576"/>
      </w:pPr>
      <w:rPr>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4267" w:hanging="864"/>
      </w:pPr>
      <w:rPr>
        <w:rFonts w:ascii="Times New Roman" w:hAnsi="Times New Roman" w:cs="Times New Roman"/>
        <w:b w:val="0"/>
        <w:bCs w:val="0"/>
        <w:i w:val="0"/>
        <w:iCs w:val="0"/>
        <w:caps w:val="0"/>
        <w:smallCaps w:val="0"/>
        <w:outline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0405330"/>
    <w:multiLevelType w:val="multilevel"/>
    <w:tmpl w:val="004053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ED1299"/>
    <w:multiLevelType w:val="multilevel"/>
    <w:tmpl w:val="29ED1299"/>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3" w15:restartNumberingAfterBreak="0">
    <w:nsid w:val="30F562B3"/>
    <w:multiLevelType w:val="multilevel"/>
    <w:tmpl w:val="30F562B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AFD2F54"/>
    <w:multiLevelType w:val="multilevel"/>
    <w:tmpl w:val="3AFD2F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C632F7A"/>
    <w:multiLevelType w:val="multilevel"/>
    <w:tmpl w:val="4C632F7A"/>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abstractNumId w:val="0"/>
  </w:num>
  <w:num w:numId="2">
    <w:abstractNumId w:val="5"/>
  </w:num>
  <w:num w:numId="3">
    <w:abstractNumId w:val="2"/>
  </w:num>
  <w:num w:numId="4">
    <w:abstractNumId w:val="3"/>
  </w:num>
  <w:num w:numId="5">
    <w:abstractNumId w:val="4"/>
  </w:num>
  <w:num w:numId="6">
    <w:abstractNumId w:val="1"/>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drawingGridHorizontalSpacing w:val="181"/>
  <w:drawingGridVerticalSpacing w:val="181"/>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9A0"/>
    <w:rsid w:val="000008E9"/>
    <w:rsid w:val="00004DD7"/>
    <w:rsid w:val="00010B28"/>
    <w:rsid w:val="000121BD"/>
    <w:rsid w:val="00013B16"/>
    <w:rsid w:val="0002198F"/>
    <w:rsid w:val="000456D9"/>
    <w:rsid w:val="000472D6"/>
    <w:rsid w:val="000600A2"/>
    <w:rsid w:val="0006788F"/>
    <w:rsid w:val="0007061E"/>
    <w:rsid w:val="00071C68"/>
    <w:rsid w:val="00080BC1"/>
    <w:rsid w:val="000826AA"/>
    <w:rsid w:val="0009208E"/>
    <w:rsid w:val="000962AE"/>
    <w:rsid w:val="000A509D"/>
    <w:rsid w:val="000B035E"/>
    <w:rsid w:val="000B094A"/>
    <w:rsid w:val="000C0D22"/>
    <w:rsid w:val="000C3DAF"/>
    <w:rsid w:val="000C7DF2"/>
    <w:rsid w:val="000D2BA7"/>
    <w:rsid w:val="000D363E"/>
    <w:rsid w:val="000E504F"/>
    <w:rsid w:val="0010141B"/>
    <w:rsid w:val="00103EFE"/>
    <w:rsid w:val="001133E5"/>
    <w:rsid w:val="00141E13"/>
    <w:rsid w:val="001500E3"/>
    <w:rsid w:val="00156FCF"/>
    <w:rsid w:val="001604B1"/>
    <w:rsid w:val="00162FF9"/>
    <w:rsid w:val="00164893"/>
    <w:rsid w:val="00187C6E"/>
    <w:rsid w:val="00191AAA"/>
    <w:rsid w:val="0019360D"/>
    <w:rsid w:val="001A33C4"/>
    <w:rsid w:val="001B1061"/>
    <w:rsid w:val="001B7B39"/>
    <w:rsid w:val="001C012D"/>
    <w:rsid w:val="001C32E4"/>
    <w:rsid w:val="001C35C0"/>
    <w:rsid w:val="001C39BA"/>
    <w:rsid w:val="001D2D33"/>
    <w:rsid w:val="001E4886"/>
    <w:rsid w:val="001F4D60"/>
    <w:rsid w:val="001F5270"/>
    <w:rsid w:val="001F7307"/>
    <w:rsid w:val="002062E6"/>
    <w:rsid w:val="00207234"/>
    <w:rsid w:val="002178BF"/>
    <w:rsid w:val="002203B7"/>
    <w:rsid w:val="00224F91"/>
    <w:rsid w:val="00237252"/>
    <w:rsid w:val="00257389"/>
    <w:rsid w:val="00261731"/>
    <w:rsid w:val="002729E5"/>
    <w:rsid w:val="00281B97"/>
    <w:rsid w:val="00283E24"/>
    <w:rsid w:val="00291E2E"/>
    <w:rsid w:val="00297911"/>
    <w:rsid w:val="002A3E0F"/>
    <w:rsid w:val="002B77F2"/>
    <w:rsid w:val="002C3189"/>
    <w:rsid w:val="002C3E30"/>
    <w:rsid w:val="002C6F3D"/>
    <w:rsid w:val="002F1677"/>
    <w:rsid w:val="002F21EA"/>
    <w:rsid w:val="002F64F1"/>
    <w:rsid w:val="00310B02"/>
    <w:rsid w:val="003235AA"/>
    <w:rsid w:val="00326C0F"/>
    <w:rsid w:val="00331612"/>
    <w:rsid w:val="00333090"/>
    <w:rsid w:val="0033604F"/>
    <w:rsid w:val="00345C64"/>
    <w:rsid w:val="00353CF9"/>
    <w:rsid w:val="00357BC9"/>
    <w:rsid w:val="003664A7"/>
    <w:rsid w:val="00372540"/>
    <w:rsid w:val="003838EA"/>
    <w:rsid w:val="003848B0"/>
    <w:rsid w:val="00384980"/>
    <w:rsid w:val="003A4908"/>
    <w:rsid w:val="003E394A"/>
    <w:rsid w:val="003F0A05"/>
    <w:rsid w:val="004027B5"/>
    <w:rsid w:val="00402999"/>
    <w:rsid w:val="004076C8"/>
    <w:rsid w:val="0040789A"/>
    <w:rsid w:val="00425BBA"/>
    <w:rsid w:val="00431838"/>
    <w:rsid w:val="00435B9A"/>
    <w:rsid w:val="004361AF"/>
    <w:rsid w:val="00444B0F"/>
    <w:rsid w:val="00444DC7"/>
    <w:rsid w:val="00451232"/>
    <w:rsid w:val="004525FB"/>
    <w:rsid w:val="00456F80"/>
    <w:rsid w:val="00470026"/>
    <w:rsid w:val="00493945"/>
    <w:rsid w:val="004966C0"/>
    <w:rsid w:val="004A4E35"/>
    <w:rsid w:val="004D6AB1"/>
    <w:rsid w:val="004D7999"/>
    <w:rsid w:val="004E6299"/>
    <w:rsid w:val="004E6BF4"/>
    <w:rsid w:val="004F6463"/>
    <w:rsid w:val="0050084E"/>
    <w:rsid w:val="00503565"/>
    <w:rsid w:val="0052229B"/>
    <w:rsid w:val="005222E0"/>
    <w:rsid w:val="00540230"/>
    <w:rsid w:val="0054356C"/>
    <w:rsid w:val="005503EC"/>
    <w:rsid w:val="00562856"/>
    <w:rsid w:val="00564587"/>
    <w:rsid w:val="00566A56"/>
    <w:rsid w:val="00571C04"/>
    <w:rsid w:val="005742F9"/>
    <w:rsid w:val="00582461"/>
    <w:rsid w:val="005A4A4F"/>
    <w:rsid w:val="005A78D5"/>
    <w:rsid w:val="005D2476"/>
    <w:rsid w:val="005D5DD9"/>
    <w:rsid w:val="005F321B"/>
    <w:rsid w:val="005F4E16"/>
    <w:rsid w:val="005F5669"/>
    <w:rsid w:val="005F65D6"/>
    <w:rsid w:val="00600D44"/>
    <w:rsid w:val="00601484"/>
    <w:rsid w:val="0060287F"/>
    <w:rsid w:val="00612F42"/>
    <w:rsid w:val="006158E5"/>
    <w:rsid w:val="0063081A"/>
    <w:rsid w:val="00630C0B"/>
    <w:rsid w:val="00634ED8"/>
    <w:rsid w:val="00635A07"/>
    <w:rsid w:val="006375B0"/>
    <w:rsid w:val="006409A0"/>
    <w:rsid w:val="006466DE"/>
    <w:rsid w:val="006562F6"/>
    <w:rsid w:val="00662FD4"/>
    <w:rsid w:val="00682970"/>
    <w:rsid w:val="006934D0"/>
    <w:rsid w:val="006A2F98"/>
    <w:rsid w:val="006A5AA3"/>
    <w:rsid w:val="006B1D62"/>
    <w:rsid w:val="006B54F2"/>
    <w:rsid w:val="006B7E14"/>
    <w:rsid w:val="006C2F3E"/>
    <w:rsid w:val="006E52DF"/>
    <w:rsid w:val="006F4C0D"/>
    <w:rsid w:val="006F7200"/>
    <w:rsid w:val="00706D67"/>
    <w:rsid w:val="0070745C"/>
    <w:rsid w:val="007175A4"/>
    <w:rsid w:val="00721704"/>
    <w:rsid w:val="00726792"/>
    <w:rsid w:val="00733BF5"/>
    <w:rsid w:val="00747074"/>
    <w:rsid w:val="0075093F"/>
    <w:rsid w:val="007718E1"/>
    <w:rsid w:val="00777C8F"/>
    <w:rsid w:val="00782A41"/>
    <w:rsid w:val="007922B8"/>
    <w:rsid w:val="007A1C46"/>
    <w:rsid w:val="007A231D"/>
    <w:rsid w:val="007A54EC"/>
    <w:rsid w:val="007A7066"/>
    <w:rsid w:val="007B0E37"/>
    <w:rsid w:val="007B799A"/>
    <w:rsid w:val="007F3AA9"/>
    <w:rsid w:val="007F634D"/>
    <w:rsid w:val="00800DDE"/>
    <w:rsid w:val="008272AD"/>
    <w:rsid w:val="00837FED"/>
    <w:rsid w:val="00847FC2"/>
    <w:rsid w:val="00861533"/>
    <w:rsid w:val="00897451"/>
    <w:rsid w:val="008B55E0"/>
    <w:rsid w:val="008B636A"/>
    <w:rsid w:val="008C6EA2"/>
    <w:rsid w:val="008D23A2"/>
    <w:rsid w:val="008E10D2"/>
    <w:rsid w:val="009032A2"/>
    <w:rsid w:val="009101C8"/>
    <w:rsid w:val="009169A7"/>
    <w:rsid w:val="0092497F"/>
    <w:rsid w:val="00934645"/>
    <w:rsid w:val="00942516"/>
    <w:rsid w:val="009601DF"/>
    <w:rsid w:val="00963974"/>
    <w:rsid w:val="00964044"/>
    <w:rsid w:val="00966D5A"/>
    <w:rsid w:val="0097091F"/>
    <w:rsid w:val="009730AF"/>
    <w:rsid w:val="009776D8"/>
    <w:rsid w:val="0099416A"/>
    <w:rsid w:val="009950FE"/>
    <w:rsid w:val="009B09DC"/>
    <w:rsid w:val="009B22AA"/>
    <w:rsid w:val="009B64BE"/>
    <w:rsid w:val="009C5CC0"/>
    <w:rsid w:val="009D03C3"/>
    <w:rsid w:val="009D57AB"/>
    <w:rsid w:val="009D7E24"/>
    <w:rsid w:val="009E638E"/>
    <w:rsid w:val="009E75FA"/>
    <w:rsid w:val="009F15BF"/>
    <w:rsid w:val="009F1CF2"/>
    <w:rsid w:val="009F78E1"/>
    <w:rsid w:val="00A00B94"/>
    <w:rsid w:val="00A11D69"/>
    <w:rsid w:val="00A11E77"/>
    <w:rsid w:val="00A2630C"/>
    <w:rsid w:val="00A347BA"/>
    <w:rsid w:val="00A41BFF"/>
    <w:rsid w:val="00A63B1A"/>
    <w:rsid w:val="00A668F8"/>
    <w:rsid w:val="00A7285E"/>
    <w:rsid w:val="00A75F09"/>
    <w:rsid w:val="00A80A21"/>
    <w:rsid w:val="00AA67BD"/>
    <w:rsid w:val="00AB3025"/>
    <w:rsid w:val="00AC419F"/>
    <w:rsid w:val="00AC4ED5"/>
    <w:rsid w:val="00AE08D6"/>
    <w:rsid w:val="00B1718A"/>
    <w:rsid w:val="00B201A7"/>
    <w:rsid w:val="00B34197"/>
    <w:rsid w:val="00B36E0C"/>
    <w:rsid w:val="00B46849"/>
    <w:rsid w:val="00B843BF"/>
    <w:rsid w:val="00BA4B14"/>
    <w:rsid w:val="00BA6975"/>
    <w:rsid w:val="00BC5F10"/>
    <w:rsid w:val="00BF5FDF"/>
    <w:rsid w:val="00C01494"/>
    <w:rsid w:val="00C03680"/>
    <w:rsid w:val="00C21F12"/>
    <w:rsid w:val="00C30F83"/>
    <w:rsid w:val="00C335B3"/>
    <w:rsid w:val="00C438F9"/>
    <w:rsid w:val="00C54610"/>
    <w:rsid w:val="00C7467E"/>
    <w:rsid w:val="00C75E29"/>
    <w:rsid w:val="00C953D4"/>
    <w:rsid w:val="00C95466"/>
    <w:rsid w:val="00C96023"/>
    <w:rsid w:val="00CA284B"/>
    <w:rsid w:val="00CC1D22"/>
    <w:rsid w:val="00CD1ECE"/>
    <w:rsid w:val="00CD53FA"/>
    <w:rsid w:val="00CF6170"/>
    <w:rsid w:val="00CF7B39"/>
    <w:rsid w:val="00D15BDF"/>
    <w:rsid w:val="00D254C2"/>
    <w:rsid w:val="00D27F66"/>
    <w:rsid w:val="00D35536"/>
    <w:rsid w:val="00D35C38"/>
    <w:rsid w:val="00D40FF3"/>
    <w:rsid w:val="00D45333"/>
    <w:rsid w:val="00D67357"/>
    <w:rsid w:val="00DA263C"/>
    <w:rsid w:val="00DD1E62"/>
    <w:rsid w:val="00DD3339"/>
    <w:rsid w:val="00DD7D04"/>
    <w:rsid w:val="00DE25C7"/>
    <w:rsid w:val="00DE3585"/>
    <w:rsid w:val="00DE5A8A"/>
    <w:rsid w:val="00E17131"/>
    <w:rsid w:val="00E35258"/>
    <w:rsid w:val="00E4099C"/>
    <w:rsid w:val="00E42395"/>
    <w:rsid w:val="00E4751E"/>
    <w:rsid w:val="00E5225C"/>
    <w:rsid w:val="00E5225D"/>
    <w:rsid w:val="00E542F9"/>
    <w:rsid w:val="00E54EE8"/>
    <w:rsid w:val="00E75D22"/>
    <w:rsid w:val="00E9473A"/>
    <w:rsid w:val="00E96C99"/>
    <w:rsid w:val="00EA66C9"/>
    <w:rsid w:val="00EB33F2"/>
    <w:rsid w:val="00EB3D1B"/>
    <w:rsid w:val="00EC6B93"/>
    <w:rsid w:val="00EC6FF2"/>
    <w:rsid w:val="00ED4A7B"/>
    <w:rsid w:val="00F157C6"/>
    <w:rsid w:val="00F2667C"/>
    <w:rsid w:val="00F3665C"/>
    <w:rsid w:val="00F37F51"/>
    <w:rsid w:val="00F4067F"/>
    <w:rsid w:val="00F418A6"/>
    <w:rsid w:val="00F41C61"/>
    <w:rsid w:val="00F5140C"/>
    <w:rsid w:val="00F51845"/>
    <w:rsid w:val="00F538FA"/>
    <w:rsid w:val="00F83930"/>
    <w:rsid w:val="00F9251F"/>
    <w:rsid w:val="00F93FE2"/>
    <w:rsid w:val="00F94EEE"/>
    <w:rsid w:val="00FA3D95"/>
    <w:rsid w:val="00FB4CD6"/>
    <w:rsid w:val="00FC743E"/>
    <w:rsid w:val="00FD34B6"/>
    <w:rsid w:val="00FE1FEB"/>
    <w:rsid w:val="18282722"/>
    <w:rsid w:val="2E601F35"/>
  </w:rsids>
  <m:mathPr>
    <m:mathFont m:val="Cambria Math"/>
    <m:brkBin m:val="before"/>
    <m:brkBinSub m:val="--"/>
    <m:smallFrac m:val="0"/>
    <m:dispDef/>
    <m:lMargin m:val="0"/>
    <m:rMargin m:val="0"/>
    <m:defJc m:val="centerGroup"/>
    <m:wrapIndent m:val="1440"/>
    <m:intLim m:val="subSup"/>
    <m:naryLim m:val="undOvr"/>
  </m:mathPr>
  <w:themeFontLang w:val="en-ZW"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154D0950"/>
  <w15:docId w15:val="{9DA420F7-EAB8-4FC8-ACFC-B675CF5C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lang w:val="en-ZW" w:eastAsia="en-Z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numPr>
        <w:numId w:val="1"/>
      </w:numPr>
      <w:spacing w:before="240"/>
      <w:outlineLvl w:val="0"/>
    </w:pPr>
    <w:rPr>
      <w:rFonts w:ascii="Arial" w:eastAsia="SimSun" w:hAnsi="Arial" w:cs="SimSun"/>
      <w:b/>
      <w:szCs w:val="32"/>
    </w:rPr>
  </w:style>
  <w:style w:type="paragraph" w:styleId="Heading2">
    <w:name w:val="heading 2"/>
    <w:basedOn w:val="Normal"/>
    <w:next w:val="Normal"/>
    <w:link w:val="Heading2Char"/>
    <w:uiPriority w:val="9"/>
    <w:unhideWhenUsed/>
    <w:qFormat/>
    <w:pPr>
      <w:keepNext/>
      <w:keepLines/>
      <w:numPr>
        <w:ilvl w:val="1"/>
        <w:numId w:val="1"/>
      </w:numPr>
      <w:spacing w:before="40"/>
      <w:outlineLvl w:val="1"/>
    </w:pPr>
    <w:rPr>
      <w:rFonts w:ascii="Arial" w:eastAsia="SimSun" w:hAnsi="Arial" w:cs="SimSun"/>
      <w:b/>
      <w:color w:val="000000"/>
      <w:szCs w:val="26"/>
    </w:rPr>
  </w:style>
  <w:style w:type="paragraph" w:styleId="Heading3">
    <w:name w:val="heading 3"/>
    <w:basedOn w:val="Normal"/>
    <w:next w:val="Normal"/>
    <w:link w:val="Heading3Char"/>
    <w:uiPriority w:val="9"/>
    <w:unhideWhenUsed/>
    <w:qFormat/>
    <w:pPr>
      <w:keepNext/>
      <w:keepLines/>
      <w:numPr>
        <w:ilvl w:val="2"/>
        <w:numId w:val="1"/>
      </w:numPr>
      <w:spacing w:before="40"/>
      <w:outlineLvl w:val="2"/>
    </w:pPr>
    <w:rPr>
      <w:rFonts w:ascii="Arial" w:eastAsia="SimSun" w:hAnsi="Arial" w:cs="SimSun"/>
      <w:i/>
      <w:sz w:val="20"/>
    </w:rPr>
  </w:style>
  <w:style w:type="paragraph" w:styleId="Heading4">
    <w:name w:val="heading 4"/>
    <w:basedOn w:val="Normal"/>
    <w:next w:val="Normal"/>
    <w:link w:val="Heading4Char"/>
    <w:uiPriority w:val="9"/>
    <w:semiHidden/>
    <w:unhideWhenUsed/>
    <w:qFormat/>
    <w:pPr>
      <w:keepNext/>
      <w:keepLines/>
      <w:numPr>
        <w:ilvl w:val="3"/>
        <w:numId w:val="1"/>
      </w:numPr>
      <w:spacing w:before="40"/>
      <w:ind w:left="864"/>
      <w:outlineLvl w:val="3"/>
    </w:pPr>
    <w:rPr>
      <w:rFonts w:ascii="Calibri Light" w:eastAsia="SimSun" w:hAnsi="Calibri Light" w:cs="SimSun"/>
      <w:i/>
      <w:iCs/>
      <w:color w:val="2E74B5"/>
    </w:rPr>
  </w:style>
  <w:style w:type="paragraph" w:styleId="Heading5">
    <w:name w:val="heading 5"/>
    <w:basedOn w:val="Normal"/>
    <w:next w:val="Normal"/>
    <w:link w:val="Heading5Char"/>
    <w:uiPriority w:val="9"/>
    <w:semiHidden/>
    <w:unhideWhenUsed/>
    <w:qFormat/>
    <w:pPr>
      <w:keepNext/>
      <w:keepLines/>
      <w:numPr>
        <w:ilvl w:val="4"/>
        <w:numId w:val="1"/>
      </w:numPr>
      <w:spacing w:before="40"/>
      <w:outlineLvl w:val="4"/>
    </w:pPr>
    <w:rPr>
      <w:rFonts w:ascii="Calibri Light" w:eastAsia="SimSun" w:hAnsi="Calibri Light" w:cs="SimSun"/>
      <w:color w:val="2E74B5"/>
    </w:rPr>
  </w:style>
  <w:style w:type="paragraph" w:styleId="Heading6">
    <w:name w:val="heading 6"/>
    <w:basedOn w:val="Normal"/>
    <w:next w:val="Normal"/>
    <w:link w:val="Heading6Char"/>
    <w:uiPriority w:val="9"/>
    <w:semiHidden/>
    <w:unhideWhenUsed/>
    <w:qFormat/>
    <w:pPr>
      <w:keepNext/>
      <w:keepLines/>
      <w:numPr>
        <w:ilvl w:val="5"/>
        <w:numId w:val="1"/>
      </w:numPr>
      <w:spacing w:before="40"/>
      <w:outlineLvl w:val="5"/>
    </w:pPr>
    <w:rPr>
      <w:rFonts w:ascii="Calibri Light" w:eastAsia="SimSun" w:hAnsi="Calibri Light" w:cs="SimSun"/>
      <w:color w:val="1F4E79"/>
    </w:rPr>
  </w:style>
  <w:style w:type="paragraph" w:styleId="Heading7">
    <w:name w:val="heading 7"/>
    <w:basedOn w:val="Normal"/>
    <w:next w:val="Normal"/>
    <w:link w:val="Heading7Char"/>
    <w:uiPriority w:val="9"/>
    <w:qFormat/>
    <w:pPr>
      <w:keepNext/>
      <w:keepLines/>
      <w:numPr>
        <w:ilvl w:val="6"/>
        <w:numId w:val="1"/>
      </w:numPr>
      <w:spacing w:before="40"/>
      <w:outlineLvl w:val="6"/>
    </w:pPr>
    <w:rPr>
      <w:rFonts w:ascii="Calibri Light" w:eastAsia="SimSun" w:hAnsi="Calibri Light" w:cs="SimSun"/>
      <w:i/>
      <w:iCs/>
      <w:color w:val="1F4E79"/>
    </w:rPr>
  </w:style>
  <w:style w:type="paragraph" w:styleId="Heading8">
    <w:name w:val="heading 8"/>
    <w:basedOn w:val="Normal"/>
    <w:next w:val="Normal"/>
    <w:link w:val="Heading8Char"/>
    <w:uiPriority w:val="9"/>
    <w:qFormat/>
    <w:pPr>
      <w:keepNext/>
      <w:keepLines/>
      <w:numPr>
        <w:ilvl w:val="7"/>
        <w:numId w:val="1"/>
      </w:numPr>
      <w:spacing w:before="40"/>
      <w:outlineLvl w:val="7"/>
    </w:pPr>
    <w:rPr>
      <w:rFonts w:ascii="Calibri Light" w:eastAsia="SimSun" w:hAnsi="Calibri Light" w:cs="SimSun"/>
      <w:color w:val="262626"/>
      <w:sz w:val="21"/>
      <w:szCs w:val="21"/>
    </w:rPr>
  </w:style>
  <w:style w:type="paragraph" w:styleId="Heading9">
    <w:name w:val="heading 9"/>
    <w:basedOn w:val="Normal"/>
    <w:next w:val="Normal"/>
    <w:link w:val="Heading9Char"/>
    <w:uiPriority w:val="9"/>
    <w:qFormat/>
    <w:pPr>
      <w:keepNext/>
      <w:keepLines/>
      <w:numPr>
        <w:ilvl w:val="8"/>
        <w:numId w:val="1"/>
      </w:numPr>
      <w:spacing w:before="40"/>
      <w:outlineLvl w:val="8"/>
    </w:pPr>
    <w:rPr>
      <w:rFonts w:ascii="Calibri Light" w:eastAsia="SimSun" w:hAnsi="Calibri Light" w:cs="SimSun"/>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Segoe UI" w:hAnsi="Segoe UI" w:cs="Segoe UI"/>
      <w:sz w:val="18"/>
      <w:szCs w:val="18"/>
    </w:rPr>
  </w:style>
  <w:style w:type="paragraph" w:styleId="BodyText">
    <w:name w:val="Body Text"/>
    <w:basedOn w:val="Normal"/>
    <w:link w:val="BodyTextChar"/>
    <w:uiPriority w:val="1"/>
    <w:qFormat/>
    <w:pPr>
      <w:autoSpaceDE w:val="0"/>
      <w:autoSpaceDN w:val="0"/>
      <w:adjustRightInd w:val="0"/>
      <w:ind w:left="40" w:right="106"/>
      <w:jc w:val="both"/>
    </w:pPr>
    <w:rPr>
      <w:rFonts w:ascii="Century" w:hAnsi="Century" w:cs="Century"/>
      <w:sz w:val="16"/>
      <w:szCs w:val="16"/>
    </w:rPr>
  </w:style>
  <w:style w:type="paragraph" w:styleId="Caption">
    <w:name w:val="caption"/>
    <w:basedOn w:val="Normal"/>
    <w:next w:val="Normal"/>
    <w:uiPriority w:val="35"/>
    <w:qFormat/>
    <w:pPr>
      <w:spacing w:after="200"/>
    </w:pPr>
    <w:rPr>
      <w:i/>
      <w:iCs/>
      <w:color w:val="44546A"/>
      <w:sz w:val="18"/>
      <w:szCs w:val="18"/>
    </w:rPr>
  </w:style>
  <w:style w:type="character" w:styleId="CommentReference">
    <w:name w:val="annotation reference"/>
    <w:basedOn w:val="DefaultParagraphFont"/>
    <w:uiPriority w:val="99"/>
    <w:qFormat/>
    <w:rPr>
      <w:sz w:val="16"/>
      <w:szCs w:val="16"/>
    </w:rPr>
  </w:style>
  <w:style w:type="paragraph" w:styleId="CommentText">
    <w:name w:val="annotation text"/>
    <w:basedOn w:val="Normal"/>
    <w:link w:val="CommentTextChar"/>
    <w:uiPriority w:val="99"/>
    <w:qFormat/>
    <w:rPr>
      <w:sz w:val="20"/>
      <w:szCs w:val="20"/>
    </w:rPr>
  </w:style>
  <w:style w:type="paragraph" w:styleId="CommentSubject">
    <w:name w:val="annotation subject"/>
    <w:basedOn w:val="CommentText"/>
    <w:next w:val="CommentText"/>
    <w:link w:val="CommentSubjectChar"/>
    <w:uiPriority w:val="99"/>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513"/>
        <w:tab w:val="right" w:pos="9026"/>
      </w:tabs>
    </w:pPr>
  </w:style>
  <w:style w:type="paragraph" w:styleId="Header">
    <w:name w:val="header"/>
    <w:basedOn w:val="Normal"/>
    <w:link w:val="HeaderChar"/>
    <w:uiPriority w:val="99"/>
    <w:qFormat/>
    <w:pPr>
      <w:tabs>
        <w:tab w:val="center" w:pos="4513"/>
        <w:tab w:val="right" w:pos="9026"/>
      </w:tabs>
    </w:pPr>
  </w:style>
  <w:style w:type="character" w:styleId="Hyperlink">
    <w:name w:val="Hyperlink"/>
    <w:basedOn w:val="DefaultParagraphFont"/>
    <w:uiPriority w:val="99"/>
    <w:qFormat/>
    <w:rPr>
      <w:color w:val="0563C1"/>
      <w:u w:val="single"/>
    </w:rPr>
  </w:style>
  <w:style w:type="paragraph" w:styleId="NormalWeb">
    <w:name w:val="Normal (Web)"/>
    <w:basedOn w:val="Normal"/>
    <w:uiPriority w:val="99"/>
    <w:qFormat/>
    <w:pPr>
      <w:spacing w:before="100" w:beforeAutospacing="1" w:after="100" w:afterAutospacing="1"/>
    </w:pPr>
  </w:style>
  <w:style w:type="paragraph" w:styleId="PlainText">
    <w:name w:val="Plain Text"/>
    <w:basedOn w:val="Normal"/>
    <w:link w:val="PlainTextChar"/>
    <w:uiPriority w:val="99"/>
    <w:qFormat/>
    <w:rPr>
      <w:rFonts w:ascii="Consolas" w:hAnsi="Consolas"/>
      <w:sz w:val="21"/>
      <w:szCs w:val="21"/>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contextualSpacing/>
    </w:pPr>
    <w:rPr>
      <w:rFonts w:ascii="Calibri Light" w:eastAsia="SimSun" w:hAnsi="Calibri Light" w:cs="SimSun"/>
      <w:spacing w:val="-10"/>
      <w:kern w:val="28"/>
      <w:sz w:val="56"/>
      <w:szCs w:val="56"/>
    </w:rPr>
  </w:style>
  <w:style w:type="paragraph" w:customStyle="1" w:styleId="Default">
    <w:name w:val="Default"/>
    <w:qFormat/>
    <w:pPr>
      <w:autoSpaceDE w:val="0"/>
      <w:autoSpaceDN w:val="0"/>
      <w:adjustRightInd w:val="0"/>
    </w:pPr>
    <w:rPr>
      <w:rFonts w:ascii="Copyright Klim Type Foundry" w:hAnsi="Copyright Klim Type Foundry" w:cs="Copyright Klim Type Foundry"/>
      <w:color w:val="000000"/>
      <w:sz w:val="24"/>
      <w:szCs w:val="24"/>
      <w:lang w:eastAsia="en-US"/>
    </w:rPr>
  </w:style>
  <w:style w:type="table" w:customStyle="1" w:styleId="PlainTable21">
    <w:name w:val="Plain Table 21"/>
    <w:basedOn w:val="TableNormal"/>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41">
    <w:name w:val="Plain Table 41"/>
    <w:basedOn w:val="Table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
    <w:name w:val="Plain Table 31"/>
    <w:basedOn w:val="TableNormal"/>
    <w:uiPriority w:val="43"/>
    <w:qFormat/>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21">
    <w:name w:val="List Table 21"/>
    <w:basedOn w:val="TableNormal"/>
    <w:uiPriority w:val="47"/>
    <w:qFormat/>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ListParagraph">
    <w:name w:val="List Paragraph"/>
    <w:basedOn w:val="Normal"/>
    <w:uiPriority w:val="34"/>
    <w:qFormat/>
    <w:pPr>
      <w:ind w:left="720"/>
      <w:contextualSpacing/>
    </w:pPr>
  </w:style>
  <w:style w:type="character" w:customStyle="1" w:styleId="TitleChar">
    <w:name w:val="Title Char"/>
    <w:basedOn w:val="DefaultParagraphFont"/>
    <w:link w:val="Title"/>
    <w:uiPriority w:val="10"/>
    <w:qFormat/>
    <w:rPr>
      <w:rFonts w:ascii="Calibri Light" w:eastAsia="SimSun" w:hAnsi="Calibri Light" w:cs="SimSun"/>
      <w:spacing w:val="-10"/>
      <w:kern w:val="28"/>
      <w:sz w:val="56"/>
      <w:szCs w:val="56"/>
    </w:rPr>
  </w:style>
  <w:style w:type="character" w:customStyle="1" w:styleId="PlainTextChar">
    <w:name w:val="Plain Text Char"/>
    <w:basedOn w:val="DefaultParagraphFont"/>
    <w:link w:val="PlainText"/>
    <w:uiPriority w:val="99"/>
    <w:qFormat/>
    <w:rPr>
      <w:rFonts w:ascii="Consolas" w:hAnsi="Consolas"/>
      <w:sz w:val="21"/>
      <w:szCs w:val="21"/>
    </w:rPr>
  </w:style>
  <w:style w:type="paragraph" w:customStyle="1" w:styleId="Author">
    <w:name w:val="Author"/>
    <w:basedOn w:val="Normal"/>
    <w:qFormat/>
    <w:pPr>
      <w:spacing w:line="280" w:lineRule="exact"/>
      <w:jc w:val="right"/>
    </w:pPr>
    <w:rPr>
      <w:rFonts w:ascii="Helvetica" w:hAnsi="Helvetica"/>
      <w:b/>
      <w:szCs w:val="20"/>
      <w:lang w:val="en-US"/>
    </w:r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paragraph" w:customStyle="1" w:styleId="Body">
    <w:name w:val="Body"/>
    <w:basedOn w:val="Normal"/>
    <w:qFormat/>
    <w:pPr>
      <w:spacing w:after="240"/>
      <w:jc w:val="both"/>
    </w:pPr>
    <w:rPr>
      <w:rFonts w:ascii="Helvetica" w:hAnsi="Helvetica"/>
      <w:sz w:val="20"/>
      <w:szCs w:val="20"/>
      <w:lang w:val="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ascii="Arial" w:eastAsia="SimSun" w:hAnsi="Arial" w:cs="SimSun"/>
      <w:b/>
      <w:szCs w:val="32"/>
    </w:rPr>
  </w:style>
  <w:style w:type="character" w:customStyle="1" w:styleId="Heading2Char">
    <w:name w:val="Heading 2 Char"/>
    <w:basedOn w:val="DefaultParagraphFont"/>
    <w:link w:val="Heading2"/>
    <w:uiPriority w:val="9"/>
    <w:qFormat/>
    <w:rPr>
      <w:rFonts w:ascii="Arial" w:eastAsia="SimSun" w:hAnsi="Arial" w:cs="SimSun"/>
      <w:b/>
      <w:color w:val="000000"/>
      <w:szCs w:val="26"/>
    </w:rPr>
  </w:style>
  <w:style w:type="character" w:customStyle="1" w:styleId="Heading3Char">
    <w:name w:val="Heading 3 Char"/>
    <w:basedOn w:val="DefaultParagraphFont"/>
    <w:link w:val="Heading3"/>
    <w:uiPriority w:val="9"/>
    <w:qFormat/>
    <w:rPr>
      <w:rFonts w:ascii="Arial" w:eastAsia="SimSun" w:hAnsi="Arial" w:cs="SimSun"/>
      <w:i/>
      <w:szCs w:val="24"/>
      <w:lang w:eastAsia="en-US"/>
    </w:rPr>
  </w:style>
  <w:style w:type="character" w:customStyle="1" w:styleId="Heading4Char">
    <w:name w:val="Heading 4 Char"/>
    <w:basedOn w:val="DefaultParagraphFont"/>
    <w:link w:val="Heading4"/>
    <w:uiPriority w:val="9"/>
    <w:qFormat/>
    <w:rPr>
      <w:rFonts w:ascii="Calibri Light" w:eastAsia="SimSun" w:hAnsi="Calibri Light" w:cs="SimSun"/>
      <w:i/>
      <w:iCs/>
      <w:color w:val="2E74B5"/>
    </w:rPr>
  </w:style>
  <w:style w:type="character" w:customStyle="1" w:styleId="Heading5Char">
    <w:name w:val="Heading 5 Char"/>
    <w:basedOn w:val="DefaultParagraphFont"/>
    <w:link w:val="Heading5"/>
    <w:uiPriority w:val="9"/>
    <w:qFormat/>
    <w:rPr>
      <w:rFonts w:ascii="Calibri Light" w:eastAsia="SimSun" w:hAnsi="Calibri Light" w:cs="SimSun"/>
      <w:color w:val="2E74B5"/>
    </w:rPr>
  </w:style>
  <w:style w:type="character" w:customStyle="1" w:styleId="Heading6Char">
    <w:name w:val="Heading 6 Char"/>
    <w:basedOn w:val="DefaultParagraphFont"/>
    <w:link w:val="Heading6"/>
    <w:uiPriority w:val="9"/>
    <w:qFormat/>
    <w:rPr>
      <w:rFonts w:ascii="Calibri Light" w:eastAsia="SimSun" w:hAnsi="Calibri Light" w:cs="SimSun"/>
      <w:color w:val="1F4E79"/>
    </w:rPr>
  </w:style>
  <w:style w:type="character" w:customStyle="1" w:styleId="Heading7Char">
    <w:name w:val="Heading 7 Char"/>
    <w:basedOn w:val="DefaultParagraphFont"/>
    <w:link w:val="Heading7"/>
    <w:uiPriority w:val="9"/>
    <w:qFormat/>
    <w:rPr>
      <w:rFonts w:ascii="Calibri Light" w:eastAsia="SimSun" w:hAnsi="Calibri Light" w:cs="SimSun"/>
      <w:i/>
      <w:iCs/>
      <w:color w:val="1F4E79"/>
    </w:rPr>
  </w:style>
  <w:style w:type="character" w:customStyle="1" w:styleId="Heading8Char">
    <w:name w:val="Heading 8 Char"/>
    <w:basedOn w:val="DefaultParagraphFont"/>
    <w:link w:val="Heading8"/>
    <w:uiPriority w:val="9"/>
    <w:qFormat/>
    <w:rPr>
      <w:rFonts w:ascii="Calibri Light" w:eastAsia="SimSun" w:hAnsi="Calibri Light" w:cs="SimSun"/>
      <w:color w:val="262626"/>
      <w:sz w:val="21"/>
      <w:szCs w:val="21"/>
    </w:rPr>
  </w:style>
  <w:style w:type="character" w:customStyle="1" w:styleId="Heading9Char">
    <w:name w:val="Heading 9 Char"/>
    <w:basedOn w:val="DefaultParagraphFont"/>
    <w:link w:val="Heading9"/>
    <w:uiPriority w:val="9"/>
    <w:qFormat/>
    <w:rPr>
      <w:rFonts w:ascii="Calibri Light" w:eastAsia="SimSun" w:hAnsi="Calibri Light" w:cs="SimSun"/>
      <w:i/>
      <w:iCs/>
      <w:color w:val="262626"/>
      <w:sz w:val="21"/>
      <w:szCs w:val="21"/>
    </w:rPr>
  </w:style>
  <w:style w:type="character" w:customStyle="1" w:styleId="A8">
    <w:name w:val="A8"/>
    <w:uiPriority w:val="99"/>
    <w:qFormat/>
    <w:rPr>
      <w:rFonts w:cs="Minion Pro"/>
      <w:color w:val="000000"/>
      <w:sz w:val="13"/>
      <w:szCs w:val="13"/>
    </w:rPr>
  </w:style>
  <w:style w:type="character" w:customStyle="1" w:styleId="A2">
    <w:name w:val="A2"/>
    <w:uiPriority w:val="99"/>
    <w:qFormat/>
    <w:rPr>
      <w:rFonts w:cs="Cambria"/>
      <w:color w:val="221E1F"/>
      <w:sz w:val="16"/>
      <w:szCs w:val="16"/>
    </w:rPr>
  </w:style>
  <w:style w:type="paragraph" w:customStyle="1" w:styleId="Pa11">
    <w:name w:val="Pa11"/>
    <w:basedOn w:val="Default"/>
    <w:next w:val="Default"/>
    <w:uiPriority w:val="99"/>
    <w:qFormat/>
    <w:pPr>
      <w:spacing w:line="221" w:lineRule="atLeast"/>
    </w:pPr>
    <w:rPr>
      <w:rFonts w:ascii="Cambria" w:hAnsi="Cambria" w:cs="SimSun"/>
      <w:color w:val="auto"/>
    </w:rPr>
  </w:style>
  <w:style w:type="character" w:customStyle="1" w:styleId="A11">
    <w:name w:val="A11"/>
    <w:uiPriority w:val="99"/>
    <w:qFormat/>
    <w:rPr>
      <w:rFonts w:cs="Cambria"/>
      <w:color w:val="221E1F"/>
      <w:sz w:val="18"/>
      <w:szCs w:val="18"/>
    </w:rPr>
  </w:style>
  <w:style w:type="paragraph" w:customStyle="1" w:styleId="Pa14">
    <w:name w:val="Pa14"/>
    <w:basedOn w:val="Default"/>
    <w:next w:val="Default"/>
    <w:uiPriority w:val="99"/>
    <w:qFormat/>
    <w:pPr>
      <w:spacing w:line="221" w:lineRule="atLeast"/>
    </w:pPr>
    <w:rPr>
      <w:rFonts w:ascii="Cambria" w:hAnsi="Cambria" w:cs="SimSun"/>
      <w:color w:val="auto"/>
    </w:rPr>
  </w:style>
  <w:style w:type="character" w:customStyle="1" w:styleId="cskcde">
    <w:name w:val="cskcde"/>
    <w:basedOn w:val="DefaultParagraphFont"/>
    <w:qFormat/>
  </w:style>
  <w:style w:type="character" w:customStyle="1" w:styleId="hgkelc">
    <w:name w:val="hgkelc"/>
    <w:basedOn w:val="DefaultParagraphFont"/>
    <w:qFormat/>
  </w:style>
  <w:style w:type="character" w:customStyle="1" w:styleId="underline-on-hover">
    <w:name w:val="underline-on-hover"/>
    <w:basedOn w:val="DefaultParagraphFont"/>
    <w:qFormat/>
  </w:style>
  <w:style w:type="character" w:customStyle="1" w:styleId="nlmcontrib-group">
    <w:name w:val="nlm_contrib-group"/>
    <w:basedOn w:val="DefaultParagraphFont"/>
    <w:qFormat/>
  </w:style>
  <w:style w:type="character" w:customStyle="1" w:styleId="nlmx">
    <w:name w:val="nlm_x"/>
    <w:basedOn w:val="DefaultParagraphFont"/>
    <w:qFormat/>
  </w:style>
  <w:style w:type="character" w:customStyle="1" w:styleId="nlmarticle-title">
    <w:name w:val="nlm_article-title"/>
    <w:basedOn w:val="DefaultParagraphFont"/>
    <w:qFormat/>
  </w:style>
  <w:style w:type="character" w:customStyle="1" w:styleId="citationsource-journal">
    <w:name w:val="citation_source-journal"/>
    <w:basedOn w:val="DefaultParagraphFont"/>
    <w:qFormat/>
  </w:style>
  <w:style w:type="character" w:customStyle="1" w:styleId="nlmyear">
    <w:name w:val="nlm_year"/>
    <w:basedOn w:val="DefaultParagraphFont"/>
    <w:qFormat/>
  </w:style>
  <w:style w:type="character" w:customStyle="1" w:styleId="nlmvolume">
    <w:name w:val="nlm_volume"/>
    <w:basedOn w:val="DefaultParagraphFont"/>
    <w:qFormat/>
  </w:style>
  <w:style w:type="character" w:customStyle="1" w:styleId="nlmissue">
    <w:name w:val="nlm_issue"/>
    <w:basedOn w:val="DefaultParagraphFont"/>
    <w:qFormat/>
  </w:style>
  <w:style w:type="character" w:customStyle="1" w:styleId="nlmfpage">
    <w:name w:val="nlm_fpage"/>
    <w:basedOn w:val="DefaultParagraphFont"/>
    <w:qFormat/>
  </w:style>
  <w:style w:type="character" w:customStyle="1" w:styleId="nlmlpage">
    <w:name w:val="nlm_lpage"/>
    <w:basedOn w:val="DefaultParagraphFont"/>
    <w:qFormat/>
  </w:style>
  <w:style w:type="character" w:customStyle="1" w:styleId="bkciteavail">
    <w:name w:val="bk_cite_avail"/>
    <w:basedOn w:val="DefaultParagraphFont"/>
    <w:qFormat/>
  </w:style>
  <w:style w:type="character" w:customStyle="1" w:styleId="ref-journal">
    <w:name w:val="ref-journal"/>
    <w:basedOn w:val="DefaultParagraphFont"/>
    <w:qFormat/>
  </w:style>
  <w:style w:type="character" w:customStyle="1" w:styleId="ref-vol">
    <w:name w:val="ref-vol"/>
    <w:basedOn w:val="DefaultParagraphFont"/>
    <w:qFormat/>
  </w:style>
  <w:style w:type="table" w:customStyle="1" w:styleId="GridTable1Light1">
    <w:name w:val="Grid Table 1 Light1"/>
    <w:basedOn w:val="TableNormal"/>
    <w:uiPriority w:val="46"/>
    <w:qFormat/>
    <w:rPr>
      <w:sz w:val="22"/>
      <w:szCs w:val="22"/>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stTable31">
    <w:name w:val="List Table 31"/>
    <w:basedOn w:val="TableNormal"/>
    <w:uiPriority w:val="48"/>
    <w:qFormat/>
    <w:tblPr>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PlainTable22">
    <w:name w:val="Plain Table 22"/>
    <w:basedOn w:val="TableNormal"/>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1">
    <w:name w:val="Unresolved Mention1"/>
    <w:basedOn w:val="DefaultParagraphFont"/>
    <w:uiPriority w:val="99"/>
    <w:qFormat/>
    <w:rPr>
      <w:color w:val="605E5C"/>
      <w:shd w:val="clear" w:color="auto" w:fill="E1DFDD"/>
    </w:rPr>
  </w:style>
  <w:style w:type="character" w:customStyle="1" w:styleId="font01">
    <w:name w:val="font01"/>
    <w:basedOn w:val="DefaultParagraphFont"/>
    <w:qFormat/>
    <w:rPr>
      <w:rFonts w:ascii="Calibri" w:hAnsi="Calibri" w:cs="Calibri" w:hint="default"/>
      <w:color w:val="000000"/>
      <w:sz w:val="22"/>
      <w:szCs w:val="22"/>
      <w:u w:val="none"/>
    </w:rPr>
  </w:style>
  <w:style w:type="character" w:customStyle="1" w:styleId="font21">
    <w:name w:val="font21"/>
    <w:basedOn w:val="DefaultParagraphFont"/>
    <w:qFormat/>
    <w:rPr>
      <w:rFonts w:ascii="Calibri" w:hAnsi="Calibri" w:cs="Calibri" w:hint="default"/>
      <w:b/>
      <w:bCs/>
      <w:i/>
      <w:iCs/>
      <w:color w:val="000000"/>
      <w:sz w:val="22"/>
      <w:szCs w:val="22"/>
      <w:u w:val="none"/>
    </w:rPr>
  </w:style>
  <w:style w:type="character" w:customStyle="1" w:styleId="font11">
    <w:name w:val="font11"/>
    <w:basedOn w:val="DefaultParagraphFont"/>
    <w:qFormat/>
    <w:rPr>
      <w:rFonts w:ascii="Calibri" w:hAnsi="Calibri" w:cs="Calibri" w:hint="default"/>
      <w:b/>
      <w:bCs/>
      <w:color w:val="000000"/>
      <w:sz w:val="22"/>
      <w:szCs w:val="22"/>
      <w:u w:val="none"/>
    </w:rPr>
  </w:style>
  <w:style w:type="character" w:customStyle="1" w:styleId="15">
    <w:name w:val="15"/>
    <w:basedOn w:val="DefaultParagraphFont"/>
    <w:qFormat/>
    <w:rPr>
      <w:rFonts w:ascii="Calibri" w:hAnsi="Calibri" w:cs="Calibri" w:hint="default"/>
      <w:color w:val="0563C1"/>
      <w:u w:val="single"/>
    </w:rPr>
  </w:style>
  <w:style w:type="character" w:customStyle="1" w:styleId="element-citation">
    <w:name w:val="element-citation"/>
    <w:basedOn w:val="DefaultParagraphFont"/>
    <w:qFormat/>
  </w:style>
  <w:style w:type="character" w:customStyle="1" w:styleId="nowrap">
    <w:name w:val="nowrap"/>
    <w:basedOn w:val="DefaultParagraphFont"/>
    <w:qFormat/>
  </w:style>
  <w:style w:type="character" w:customStyle="1" w:styleId="Title1">
    <w:name w:val="Title1"/>
    <w:basedOn w:val="DefaultParagraphFont"/>
    <w:qFormat/>
  </w:style>
  <w:style w:type="table" w:customStyle="1" w:styleId="PlainTable23">
    <w:name w:val="Plain Table 23"/>
    <w:basedOn w:val="TableNormal"/>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2">
    <w:name w:val="Unresolved Mention2"/>
    <w:basedOn w:val="DefaultParagraphFont"/>
    <w:uiPriority w:val="99"/>
    <w:qFormat/>
    <w:rPr>
      <w:color w:val="605E5C"/>
      <w:shd w:val="clear" w:color="auto" w:fill="E1DFDD"/>
    </w:rPr>
  </w:style>
  <w:style w:type="character" w:styleId="PlaceholderText">
    <w:name w:val="Placeholder Text"/>
    <w:basedOn w:val="DefaultParagraphFont"/>
    <w:uiPriority w:val="99"/>
    <w:qFormat/>
    <w:rPr>
      <w:color w:val="666666"/>
    </w:rPr>
  </w:style>
  <w:style w:type="character" w:customStyle="1" w:styleId="BodyTextChar">
    <w:name w:val="Body Text Char"/>
    <w:basedOn w:val="DefaultParagraphFont"/>
    <w:link w:val="BodyText"/>
    <w:uiPriority w:val="1"/>
    <w:qFormat/>
    <w:rPr>
      <w:rFonts w:ascii="Century" w:hAnsi="Century" w:cs="Century"/>
      <w:sz w:val="16"/>
      <w:szCs w:val="16"/>
    </w:rPr>
  </w:style>
  <w:style w:type="character" w:customStyle="1" w:styleId="Title2">
    <w:name w:val="Title2"/>
    <w:basedOn w:val="DefaultParagraphFont"/>
    <w:qFormat/>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rPr>
  </w:style>
  <w:style w:type="character" w:customStyle="1" w:styleId="CommentSubjectChar">
    <w:name w:val="Comment Subject Char"/>
    <w:basedOn w:val="CommentTextChar"/>
    <w:link w:val="CommentSubject"/>
    <w:uiPriority w:val="99"/>
    <w:qFormat/>
    <w:rPr>
      <w:rFonts w:ascii="Times New Roman" w:eastAsia="Times New Roman" w:hAnsi="Times New Roman" w:cs="Times New Roman"/>
      <w:b/>
      <w:bCs/>
    </w:rPr>
  </w:style>
  <w:style w:type="character" w:customStyle="1" w:styleId="BalloonTextChar">
    <w:name w:val="Balloon Text Char"/>
    <w:basedOn w:val="DefaultParagraphFont"/>
    <w:link w:val="BalloonText"/>
    <w:uiPriority w:val="99"/>
    <w:qFormat/>
    <w:rPr>
      <w:rFonts w:ascii="Segoe UI" w:eastAsia="Times New Roman" w:hAnsi="Segoe UI" w:cs="Segoe UI"/>
      <w:sz w:val="18"/>
      <w:szCs w:val="18"/>
    </w:rPr>
  </w:style>
  <w:style w:type="character" w:customStyle="1" w:styleId="UnresolvedMention3">
    <w:name w:val="Unresolved Mention3"/>
    <w:basedOn w:val="DefaultParagraphFont"/>
    <w:uiPriority w:val="99"/>
    <w:qFormat/>
    <w:rPr>
      <w:color w:val="605E5C"/>
      <w:shd w:val="clear" w:color="auto" w:fill="E1DFDD"/>
    </w:rPr>
  </w:style>
  <w:style w:type="table" w:customStyle="1" w:styleId="TableGrid1">
    <w:name w:val="Table Grid1"/>
    <w:basedOn w:val="TableNormal"/>
    <w:uiPriority w:val="39"/>
    <w:qFormat/>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unhideWhenUsed/>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footer" Target="footer3.xml"/><Relationship Id="rId10" Type="http://schemas.openxmlformats.org/officeDocument/2006/relationships/chart" Target="charts/chart1.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4.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Munya%20Antiinflammator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Sheet1!$B$53</c:f>
              <c:strCache>
                <c:ptCount val="1"/>
                <c:pt idx="0">
                  <c:v>Absorbance( 760nm)</c:v>
                </c:pt>
              </c:strCache>
            </c:strRef>
          </c:tx>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sysDot"/>
              </a:ln>
              <a:effectLst/>
            </c:spPr>
            <c:trendlineType val="linear"/>
            <c:dispRSqr val="1"/>
            <c:dispEq val="1"/>
            <c:trendlineLbl>
              <c:layout>
                <c:manualLayout>
                  <c:x val="3.28655768422648E-2"/>
                  <c:y val="-9.5879290500110494E-3"/>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Sheet1!$A$54:$A$58</c:f>
              <c:numCache>
                <c:formatCode>General</c:formatCode>
                <c:ptCount val="5"/>
                <c:pt idx="0">
                  <c:v>0.04</c:v>
                </c:pt>
                <c:pt idx="1">
                  <c:v>0.08</c:v>
                </c:pt>
                <c:pt idx="2">
                  <c:v>0.12</c:v>
                </c:pt>
                <c:pt idx="3">
                  <c:v>0.16</c:v>
                </c:pt>
                <c:pt idx="4">
                  <c:v>0.2</c:v>
                </c:pt>
              </c:numCache>
            </c:numRef>
          </c:xVal>
          <c:yVal>
            <c:numRef>
              <c:f>Sheet1!$B$54:$B$58</c:f>
              <c:numCache>
                <c:formatCode>General</c:formatCode>
                <c:ptCount val="5"/>
                <c:pt idx="0">
                  <c:v>0.21</c:v>
                </c:pt>
                <c:pt idx="1">
                  <c:v>0.38500000000000001</c:v>
                </c:pt>
                <c:pt idx="2">
                  <c:v>0.59199999999999997</c:v>
                </c:pt>
                <c:pt idx="3">
                  <c:v>0.78300000000000003</c:v>
                </c:pt>
                <c:pt idx="4">
                  <c:v>0.94499999999999995</c:v>
                </c:pt>
              </c:numCache>
            </c:numRef>
          </c:yVal>
          <c:smooth val="0"/>
          <c:extLst>
            <c:ext xmlns:c16="http://schemas.microsoft.com/office/drawing/2014/chart" uri="{C3380CC4-5D6E-409C-BE32-E72D297353CC}">
              <c16:uniqueId val="{00000002-E385-4388-8ACD-4A539C4403C3}"/>
            </c:ext>
          </c:extLst>
        </c:ser>
        <c:dLbls>
          <c:showLegendKey val="0"/>
          <c:showVal val="0"/>
          <c:showCatName val="0"/>
          <c:showSerName val="0"/>
          <c:showPercent val="0"/>
          <c:showBubbleSize val="0"/>
        </c:dLbls>
        <c:axId val="553906152"/>
        <c:axId val="553902552"/>
      </c:scatterChart>
      <c:valAx>
        <c:axId val="5539061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Concentration (mg/ml)</a:t>
                </a:r>
              </a:p>
            </c:rich>
          </c:tx>
          <c:overlay val="0"/>
          <c:spPr>
            <a:noFill/>
            <a:ln>
              <a:noFill/>
            </a:ln>
            <a:effectLst/>
          </c:spPr>
          <c:txPr>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53902552"/>
        <c:crosses val="autoZero"/>
        <c:crossBetween val="midCat"/>
      </c:valAx>
      <c:valAx>
        <c:axId val="5539025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Absorbance</a:t>
                </a:r>
              </a:p>
            </c:rich>
          </c:tx>
          <c:overlay val="0"/>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53906152"/>
        <c:crosses val="autoZero"/>
        <c:crossBetween val="midCat"/>
      </c:valAx>
      <c:spPr>
        <a:noFill/>
        <a:ln>
          <a:noFill/>
        </a:ln>
        <a:effectLst/>
      </c:spPr>
    </c:plotArea>
    <c:plotVisOnly val="1"/>
    <c:dispBlanksAs val="gap"/>
    <c:showDLblsOverMax val="0"/>
    <c:extLst>
      <c:ext uri="{0b15fc19-7d7d-44ad-8c2d-2c3a37ce22c3}">
        <chartProps xmlns="https://web.wps.cn/et/2018/main" chartId="{fb16d82b-f4e0-4d7f-a4a6-a224f5f40f7f}"/>
      </c:ext>
    </c:extLst>
  </c:chart>
  <c:spPr>
    <a:solidFill>
      <a:schemeClr val="bg1"/>
    </a:solidFill>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Anti-inflammatory</a:t>
            </a:r>
            <a:r>
              <a:rPr lang="en-US" baseline="0"/>
              <a:t> test_Inhibition</a:t>
            </a:r>
            <a:endParaRPr lang="en-US"/>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Sheet1!$C$24</c:f>
              <c:strCache>
                <c:ptCount val="1"/>
                <c:pt idx="0">
                  <c:v>% Inhibition (Diclofenac)</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Sheet1!$B$25:$B$31</c:f>
              <c:numCache>
                <c:formatCode>General</c:formatCode>
                <c:ptCount val="7"/>
                <c:pt idx="0">
                  <c:v>50</c:v>
                </c:pt>
                <c:pt idx="1">
                  <c:v>100</c:v>
                </c:pt>
                <c:pt idx="2">
                  <c:v>250</c:v>
                </c:pt>
                <c:pt idx="3">
                  <c:v>500</c:v>
                </c:pt>
                <c:pt idx="4">
                  <c:v>750</c:v>
                </c:pt>
                <c:pt idx="5">
                  <c:v>1000</c:v>
                </c:pt>
              </c:numCache>
            </c:numRef>
          </c:xVal>
          <c:yVal>
            <c:numRef>
              <c:f>Sheet1!$C$25:$C$31</c:f>
              <c:numCache>
                <c:formatCode>General</c:formatCode>
                <c:ptCount val="7"/>
                <c:pt idx="0">
                  <c:v>15.48</c:v>
                </c:pt>
                <c:pt idx="1">
                  <c:v>29.33</c:v>
                </c:pt>
                <c:pt idx="2">
                  <c:v>47.84</c:v>
                </c:pt>
                <c:pt idx="3">
                  <c:v>65.69</c:v>
                </c:pt>
                <c:pt idx="4">
                  <c:v>77.38</c:v>
                </c:pt>
                <c:pt idx="5">
                  <c:v>83.55</c:v>
                </c:pt>
              </c:numCache>
            </c:numRef>
          </c:yVal>
          <c:smooth val="0"/>
          <c:extLst>
            <c:ext xmlns:c16="http://schemas.microsoft.com/office/drawing/2014/chart" uri="{C3380CC4-5D6E-409C-BE32-E72D297353CC}">
              <c16:uniqueId val="{00000000-CC62-4477-BB9C-AC16CA7C9BFF}"/>
            </c:ext>
          </c:extLst>
        </c:ser>
        <c:ser>
          <c:idx val="1"/>
          <c:order val="1"/>
          <c:tx>
            <c:strRef>
              <c:f>Sheet1!$D$24</c:f>
              <c:strCache>
                <c:ptCount val="1"/>
                <c:pt idx="0">
                  <c:v>% Inhibition (E. Elephantina)</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Sheet1!$B$25:$B$31</c:f>
              <c:numCache>
                <c:formatCode>General</c:formatCode>
                <c:ptCount val="7"/>
                <c:pt idx="0">
                  <c:v>50</c:v>
                </c:pt>
                <c:pt idx="1">
                  <c:v>100</c:v>
                </c:pt>
                <c:pt idx="2">
                  <c:v>250</c:v>
                </c:pt>
                <c:pt idx="3">
                  <c:v>500</c:v>
                </c:pt>
                <c:pt idx="4">
                  <c:v>750</c:v>
                </c:pt>
                <c:pt idx="5">
                  <c:v>1000</c:v>
                </c:pt>
              </c:numCache>
            </c:numRef>
          </c:xVal>
          <c:yVal>
            <c:numRef>
              <c:f>Sheet1!$D$25:$D$31</c:f>
              <c:numCache>
                <c:formatCode>General</c:formatCode>
                <c:ptCount val="7"/>
                <c:pt idx="0">
                  <c:v>4.87</c:v>
                </c:pt>
                <c:pt idx="1">
                  <c:v>13.85</c:v>
                </c:pt>
                <c:pt idx="2">
                  <c:v>26.3</c:v>
                </c:pt>
                <c:pt idx="3">
                  <c:v>40.15</c:v>
                </c:pt>
                <c:pt idx="4">
                  <c:v>54.65</c:v>
                </c:pt>
                <c:pt idx="5">
                  <c:v>64.5</c:v>
                </c:pt>
              </c:numCache>
            </c:numRef>
          </c:yVal>
          <c:smooth val="0"/>
          <c:extLst>
            <c:ext xmlns:c16="http://schemas.microsoft.com/office/drawing/2014/chart" uri="{C3380CC4-5D6E-409C-BE32-E72D297353CC}">
              <c16:uniqueId val="{00000001-CC62-4477-BB9C-AC16CA7C9BFF}"/>
            </c:ext>
          </c:extLst>
        </c:ser>
        <c:dLbls>
          <c:showLegendKey val="0"/>
          <c:showVal val="0"/>
          <c:showCatName val="0"/>
          <c:showSerName val="0"/>
          <c:showPercent val="0"/>
          <c:showBubbleSize val="0"/>
        </c:dLbls>
        <c:axId val="565096680"/>
        <c:axId val="565094880"/>
      </c:scatterChart>
      <c:valAx>
        <c:axId val="56509668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Concentration</a:t>
                </a:r>
                <a:r>
                  <a:rPr lang="en-US" baseline="0"/>
                  <a:t> (ug/ml)</a:t>
                </a:r>
                <a:endParaRPr lang="en-US"/>
              </a:p>
            </c:rich>
          </c:tx>
          <c:overlay val="0"/>
          <c:spPr>
            <a:noFill/>
            <a:ln>
              <a:noFill/>
            </a:ln>
            <a:effectLst/>
          </c:spPr>
          <c:txPr>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65094880"/>
        <c:crosses val="autoZero"/>
        <c:crossBetween val="midCat"/>
      </c:valAx>
      <c:valAx>
        <c:axId val="565094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a:t>
                </a:r>
                <a:r>
                  <a:rPr lang="en-US" baseline="0"/>
                  <a:t> Inhibition</a:t>
                </a:r>
                <a:r>
                  <a:rPr lang="en-US"/>
                  <a:t> </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6509668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7a2f1334-2bd4-403e-a184-72e886f5ce9a}"/>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US"/>
              <a:t>Zone of Inhibition diameters (mm) with respect to concentration of Ciprofoxacin</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n-US"/>
        </a:p>
      </c:txPr>
    </c:title>
    <c:autoTitleDeleted val="0"/>
    <c:plotArea>
      <c:layout/>
      <c:barChart>
        <c:barDir val="col"/>
        <c:grouping val="clustered"/>
        <c:varyColors val="0"/>
        <c:ser>
          <c:idx val="1"/>
          <c:order val="0"/>
          <c:tx>
            <c:strRef>
              <c:f>Sheet1!$A$1</c:f>
              <c:strCache>
                <c:ptCount val="1"/>
                <c:pt idx="0">
                  <c:v>Ciprofloxacin</c:v>
                </c:pt>
              </c:strCache>
            </c:strRef>
          </c:tx>
          <c:spPr>
            <a:noFill/>
            <a:ln w="9525" cap="flat" cmpd="sng" algn="ctr">
              <a:solidFill>
                <a:schemeClr val="accent2"/>
              </a:solidFill>
              <a:miter lim="800000"/>
            </a:ln>
            <a:effectLst>
              <a:glow rad="63500">
                <a:schemeClr val="accent2">
                  <a:satMod val="175000"/>
                  <a:alpha val="25000"/>
                </a:schemeClr>
              </a:glow>
            </a:effectLst>
          </c:spPr>
          <c:invertIfNegative val="0"/>
          <c:val>
            <c:numRef>
              <c:f>Sheet1!$A$2:$A$5</c:f>
              <c:numCache>
                <c:formatCode>General</c:formatCode>
                <c:ptCount val="4"/>
                <c:pt idx="0">
                  <c:v>18</c:v>
                </c:pt>
                <c:pt idx="1">
                  <c:v>22</c:v>
                </c:pt>
                <c:pt idx="2">
                  <c:v>26</c:v>
                </c:pt>
                <c:pt idx="3">
                  <c:v>30</c:v>
                </c:pt>
              </c:numCache>
            </c:numRef>
          </c:val>
          <c:extLst>
            <c:ext xmlns:c16="http://schemas.microsoft.com/office/drawing/2014/chart" uri="{C3380CC4-5D6E-409C-BE32-E72D297353CC}">
              <c16:uniqueId val="{00000000-97F8-47FB-AEF6-2B8A8FE64C9C}"/>
            </c:ext>
          </c:extLst>
        </c:ser>
        <c:ser>
          <c:idx val="0"/>
          <c:order val="1"/>
          <c:tx>
            <c:strRef>
              <c:f>Sheet1!$B$1</c:f>
              <c:strCache>
                <c:ptCount val="1"/>
                <c:pt idx="0">
                  <c:v>E.elephantina</c:v>
                </c:pt>
              </c:strCache>
            </c:strRef>
          </c:tx>
          <c:spPr>
            <a:noFill/>
            <a:ln w="9525" cap="flat" cmpd="sng" algn="ctr">
              <a:solidFill>
                <a:schemeClr val="accent1"/>
              </a:solidFill>
              <a:miter lim="800000"/>
            </a:ln>
            <a:effectLst>
              <a:glow rad="63500">
                <a:schemeClr val="accent1">
                  <a:satMod val="175000"/>
                  <a:alpha val="25000"/>
                </a:schemeClr>
              </a:glow>
            </a:effectLst>
          </c:spPr>
          <c:invertIfNegative val="0"/>
          <c:val>
            <c:numRef>
              <c:f>Sheet1!$B$2:$B$5</c:f>
              <c:numCache>
                <c:formatCode>General</c:formatCode>
                <c:ptCount val="4"/>
                <c:pt idx="0">
                  <c:v>10</c:v>
                </c:pt>
                <c:pt idx="1">
                  <c:v>13</c:v>
                </c:pt>
                <c:pt idx="2">
                  <c:v>18</c:v>
                </c:pt>
                <c:pt idx="3">
                  <c:v>25</c:v>
                </c:pt>
              </c:numCache>
            </c:numRef>
          </c:val>
          <c:extLst>
            <c:ext xmlns:c16="http://schemas.microsoft.com/office/drawing/2014/chart" uri="{C3380CC4-5D6E-409C-BE32-E72D297353CC}">
              <c16:uniqueId val="{00000001-97F8-47FB-AEF6-2B8A8FE64C9C}"/>
            </c:ext>
          </c:extLst>
        </c:ser>
        <c:dLbls>
          <c:showLegendKey val="0"/>
          <c:showVal val="0"/>
          <c:showCatName val="0"/>
          <c:showSerName val="0"/>
          <c:showPercent val="0"/>
          <c:showBubbleSize val="0"/>
        </c:dLbls>
        <c:gapWidth val="315"/>
        <c:overlap val="-40"/>
        <c:axId val="815783519"/>
        <c:axId val="815784959"/>
      </c:barChart>
      <c:dateAx>
        <c:axId val="815783519"/>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US"/>
                  <a:t>12.5	 25.0	50.0	100.0</a:t>
                </a:r>
              </a:p>
              <a:p>
                <a:pPr>
                  <a:defRPr/>
                </a:pPr>
                <a:r>
                  <a:rPr lang="en-US"/>
                  <a:t>Concentration (mg/ml)</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815784959"/>
        <c:crosses val="autoZero"/>
        <c:auto val="0"/>
        <c:lblOffset val="100"/>
        <c:baseTimeUnit val="days"/>
      </c:dateAx>
      <c:valAx>
        <c:axId val="815784959"/>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US"/>
                  <a:t>Zone of inhibition (mm)</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81578351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1af5af04-c25d-41ce-bc94-6891652355f6}"/>
      </c:ext>
    </c:extLst>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Sprague-Dawley rats weight over the subacute toxicity test investigation period (g)</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Sheet1!$B$1:$B$2</c:f>
              <c:strCache>
                <c:ptCount val="1"/>
                <c:pt idx="0">
                  <c:v>Day 0</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Sheet1!$A$3:$A$24</c:f>
              <c:strCache>
                <c:ptCount val="22"/>
                <c:pt idx="0">
                  <c:v>   Rat 1</c:v>
                </c:pt>
                <c:pt idx="1">
                  <c:v>   Rat 2</c:v>
                </c:pt>
                <c:pt idx="2">
                  <c:v>   Rat 3</c:v>
                </c:pt>
                <c:pt idx="3">
                  <c:v>   Rat 4</c:v>
                </c:pt>
                <c:pt idx="4">
                  <c:v>   Rat 5</c:v>
                </c:pt>
                <c:pt idx="5">
                  <c:v>   Rat 6</c:v>
                </c:pt>
                <c:pt idx="6">
                  <c:v>   </c:v>
                </c:pt>
                <c:pt idx="8">
                  <c:v>   Rat 7</c:v>
                </c:pt>
                <c:pt idx="9">
                  <c:v>   Rat 8</c:v>
                </c:pt>
                <c:pt idx="10">
                  <c:v>   Rat 9</c:v>
                </c:pt>
                <c:pt idx="11">
                  <c:v>   Rat 10</c:v>
                </c:pt>
                <c:pt idx="12">
                  <c:v>   Rat 11</c:v>
                </c:pt>
                <c:pt idx="13">
                  <c:v>   Rat 12</c:v>
                </c:pt>
                <c:pt idx="16">
                  <c:v>   Rat 13</c:v>
                </c:pt>
                <c:pt idx="17">
                  <c:v>   Rat 14</c:v>
                </c:pt>
                <c:pt idx="18">
                  <c:v>   Rat 15</c:v>
                </c:pt>
                <c:pt idx="19">
                  <c:v>   Rat 16</c:v>
                </c:pt>
                <c:pt idx="20">
                  <c:v>   Rat 17</c:v>
                </c:pt>
                <c:pt idx="21">
                  <c:v>   Rat 18</c:v>
                </c:pt>
              </c:strCache>
            </c:strRef>
          </c:cat>
          <c:val>
            <c:numRef>
              <c:f>Sheet1!$B$3:$B$24</c:f>
              <c:numCache>
                <c:formatCode>General</c:formatCode>
                <c:ptCount val="22"/>
                <c:pt idx="0">
                  <c:v>236</c:v>
                </c:pt>
                <c:pt idx="1">
                  <c:v>209</c:v>
                </c:pt>
                <c:pt idx="2">
                  <c:v>230</c:v>
                </c:pt>
                <c:pt idx="3">
                  <c:v>228</c:v>
                </c:pt>
                <c:pt idx="4">
                  <c:v>221</c:v>
                </c:pt>
                <c:pt idx="5">
                  <c:v>214</c:v>
                </c:pt>
                <c:pt idx="8">
                  <c:v>214</c:v>
                </c:pt>
                <c:pt idx="9">
                  <c:v>216</c:v>
                </c:pt>
                <c:pt idx="10">
                  <c:v>218</c:v>
                </c:pt>
                <c:pt idx="11">
                  <c:v>212</c:v>
                </c:pt>
                <c:pt idx="12">
                  <c:v>201</c:v>
                </c:pt>
                <c:pt idx="13">
                  <c:v>237</c:v>
                </c:pt>
                <c:pt idx="16">
                  <c:v>234</c:v>
                </c:pt>
                <c:pt idx="17">
                  <c:v>221</c:v>
                </c:pt>
                <c:pt idx="18">
                  <c:v>240</c:v>
                </c:pt>
                <c:pt idx="19">
                  <c:v>235</c:v>
                </c:pt>
                <c:pt idx="20">
                  <c:v>241</c:v>
                </c:pt>
                <c:pt idx="21">
                  <c:v>224</c:v>
                </c:pt>
              </c:numCache>
            </c:numRef>
          </c:val>
          <c:extLst>
            <c:ext xmlns:c16="http://schemas.microsoft.com/office/drawing/2014/chart" uri="{C3380CC4-5D6E-409C-BE32-E72D297353CC}">
              <c16:uniqueId val="{00000000-A3A2-46CC-9C51-94D2EE0998EB}"/>
            </c:ext>
          </c:extLst>
        </c:ser>
        <c:ser>
          <c:idx val="1"/>
          <c:order val="1"/>
          <c:tx>
            <c:strRef>
              <c:f>Sheet1!$C$1:$C$2</c:f>
              <c:strCache>
                <c:ptCount val="1"/>
                <c:pt idx="0">
                  <c:v>Day 7</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Sheet1!$A$3:$A$24</c:f>
              <c:strCache>
                <c:ptCount val="22"/>
                <c:pt idx="0">
                  <c:v>   Rat 1</c:v>
                </c:pt>
                <c:pt idx="1">
                  <c:v>   Rat 2</c:v>
                </c:pt>
                <c:pt idx="2">
                  <c:v>   Rat 3</c:v>
                </c:pt>
                <c:pt idx="3">
                  <c:v>   Rat 4</c:v>
                </c:pt>
                <c:pt idx="4">
                  <c:v>   Rat 5</c:v>
                </c:pt>
                <c:pt idx="5">
                  <c:v>   Rat 6</c:v>
                </c:pt>
                <c:pt idx="6">
                  <c:v>   </c:v>
                </c:pt>
                <c:pt idx="8">
                  <c:v>   Rat 7</c:v>
                </c:pt>
                <c:pt idx="9">
                  <c:v>   Rat 8</c:v>
                </c:pt>
                <c:pt idx="10">
                  <c:v>   Rat 9</c:v>
                </c:pt>
                <c:pt idx="11">
                  <c:v>   Rat 10</c:v>
                </c:pt>
                <c:pt idx="12">
                  <c:v>   Rat 11</c:v>
                </c:pt>
                <c:pt idx="13">
                  <c:v>   Rat 12</c:v>
                </c:pt>
                <c:pt idx="16">
                  <c:v>   Rat 13</c:v>
                </c:pt>
                <c:pt idx="17">
                  <c:v>   Rat 14</c:v>
                </c:pt>
                <c:pt idx="18">
                  <c:v>   Rat 15</c:v>
                </c:pt>
                <c:pt idx="19">
                  <c:v>   Rat 16</c:v>
                </c:pt>
                <c:pt idx="20">
                  <c:v>   Rat 17</c:v>
                </c:pt>
                <c:pt idx="21">
                  <c:v>   Rat 18</c:v>
                </c:pt>
              </c:strCache>
            </c:strRef>
          </c:cat>
          <c:val>
            <c:numRef>
              <c:f>Sheet1!$C$3:$C$24</c:f>
              <c:numCache>
                <c:formatCode>General</c:formatCode>
                <c:ptCount val="22"/>
                <c:pt idx="0">
                  <c:v>230</c:v>
                </c:pt>
                <c:pt idx="1">
                  <c:v>215</c:v>
                </c:pt>
                <c:pt idx="2">
                  <c:v>248</c:v>
                </c:pt>
                <c:pt idx="3">
                  <c:v>230</c:v>
                </c:pt>
                <c:pt idx="4">
                  <c:v>224</c:v>
                </c:pt>
                <c:pt idx="5">
                  <c:v>231</c:v>
                </c:pt>
                <c:pt idx="8">
                  <c:v>238</c:v>
                </c:pt>
                <c:pt idx="9">
                  <c:v>229</c:v>
                </c:pt>
                <c:pt idx="10">
                  <c:v>220</c:v>
                </c:pt>
                <c:pt idx="11">
                  <c:v>225</c:v>
                </c:pt>
                <c:pt idx="12">
                  <c:v>214</c:v>
                </c:pt>
                <c:pt idx="13">
                  <c:v>241</c:v>
                </c:pt>
                <c:pt idx="16">
                  <c:v>251</c:v>
                </c:pt>
                <c:pt idx="17">
                  <c:v>247</c:v>
                </c:pt>
                <c:pt idx="18">
                  <c:v>252</c:v>
                </c:pt>
                <c:pt idx="19">
                  <c:v>243</c:v>
                </c:pt>
                <c:pt idx="20">
                  <c:v>252</c:v>
                </c:pt>
                <c:pt idx="21">
                  <c:v>236</c:v>
                </c:pt>
              </c:numCache>
            </c:numRef>
          </c:val>
          <c:extLst>
            <c:ext xmlns:c16="http://schemas.microsoft.com/office/drawing/2014/chart" uri="{C3380CC4-5D6E-409C-BE32-E72D297353CC}">
              <c16:uniqueId val="{00000001-A3A2-46CC-9C51-94D2EE0998EB}"/>
            </c:ext>
          </c:extLst>
        </c:ser>
        <c:ser>
          <c:idx val="2"/>
          <c:order val="2"/>
          <c:tx>
            <c:strRef>
              <c:f>Sheet1!$D$1:$D$2</c:f>
              <c:strCache>
                <c:ptCount val="1"/>
                <c:pt idx="0">
                  <c:v>Day 14</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Sheet1!$A$3:$A$24</c:f>
              <c:strCache>
                <c:ptCount val="22"/>
                <c:pt idx="0">
                  <c:v>   Rat 1</c:v>
                </c:pt>
                <c:pt idx="1">
                  <c:v>   Rat 2</c:v>
                </c:pt>
                <c:pt idx="2">
                  <c:v>   Rat 3</c:v>
                </c:pt>
                <c:pt idx="3">
                  <c:v>   Rat 4</c:v>
                </c:pt>
                <c:pt idx="4">
                  <c:v>   Rat 5</c:v>
                </c:pt>
                <c:pt idx="5">
                  <c:v>   Rat 6</c:v>
                </c:pt>
                <c:pt idx="6">
                  <c:v>   </c:v>
                </c:pt>
                <c:pt idx="8">
                  <c:v>   Rat 7</c:v>
                </c:pt>
                <c:pt idx="9">
                  <c:v>   Rat 8</c:v>
                </c:pt>
                <c:pt idx="10">
                  <c:v>   Rat 9</c:v>
                </c:pt>
                <c:pt idx="11">
                  <c:v>   Rat 10</c:v>
                </c:pt>
                <c:pt idx="12">
                  <c:v>   Rat 11</c:v>
                </c:pt>
                <c:pt idx="13">
                  <c:v>   Rat 12</c:v>
                </c:pt>
                <c:pt idx="16">
                  <c:v>   Rat 13</c:v>
                </c:pt>
                <c:pt idx="17">
                  <c:v>   Rat 14</c:v>
                </c:pt>
                <c:pt idx="18">
                  <c:v>   Rat 15</c:v>
                </c:pt>
                <c:pt idx="19">
                  <c:v>   Rat 16</c:v>
                </c:pt>
                <c:pt idx="20">
                  <c:v>   Rat 17</c:v>
                </c:pt>
                <c:pt idx="21">
                  <c:v>   Rat 18</c:v>
                </c:pt>
              </c:strCache>
            </c:strRef>
          </c:cat>
          <c:val>
            <c:numRef>
              <c:f>Sheet1!$D$3:$D$24</c:f>
              <c:numCache>
                <c:formatCode>General</c:formatCode>
                <c:ptCount val="22"/>
                <c:pt idx="0">
                  <c:v>242</c:v>
                </c:pt>
                <c:pt idx="1">
                  <c:v>247</c:v>
                </c:pt>
                <c:pt idx="2">
                  <c:v>271</c:v>
                </c:pt>
                <c:pt idx="3">
                  <c:v>249</c:v>
                </c:pt>
                <c:pt idx="4">
                  <c:v>231</c:v>
                </c:pt>
                <c:pt idx="5">
                  <c:v>238</c:v>
                </c:pt>
                <c:pt idx="8">
                  <c:v>259</c:v>
                </c:pt>
                <c:pt idx="9">
                  <c:v>236</c:v>
                </c:pt>
                <c:pt idx="10">
                  <c:v>236</c:v>
                </c:pt>
                <c:pt idx="11">
                  <c:v>241</c:v>
                </c:pt>
                <c:pt idx="12">
                  <c:v>235</c:v>
                </c:pt>
                <c:pt idx="13">
                  <c:v>254</c:v>
                </c:pt>
                <c:pt idx="16">
                  <c:v>246</c:v>
                </c:pt>
                <c:pt idx="17">
                  <c:v>238</c:v>
                </c:pt>
                <c:pt idx="18">
                  <c:v>256</c:v>
                </c:pt>
                <c:pt idx="19">
                  <c:v>241</c:v>
                </c:pt>
                <c:pt idx="20">
                  <c:v>264</c:v>
                </c:pt>
                <c:pt idx="21">
                  <c:v>240</c:v>
                </c:pt>
              </c:numCache>
            </c:numRef>
          </c:val>
          <c:extLst>
            <c:ext xmlns:c16="http://schemas.microsoft.com/office/drawing/2014/chart" uri="{C3380CC4-5D6E-409C-BE32-E72D297353CC}">
              <c16:uniqueId val="{00000002-A3A2-46CC-9C51-94D2EE0998EB}"/>
            </c:ext>
          </c:extLst>
        </c:ser>
        <c:ser>
          <c:idx val="3"/>
          <c:order val="3"/>
          <c:tx>
            <c:strRef>
              <c:f>Sheet1!$E$1:$E$2</c:f>
              <c:strCache>
                <c:ptCount val="1"/>
                <c:pt idx="0">
                  <c:v>Day 28</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Sheet1!$A$3:$A$24</c:f>
              <c:strCache>
                <c:ptCount val="22"/>
                <c:pt idx="0">
                  <c:v>   Rat 1</c:v>
                </c:pt>
                <c:pt idx="1">
                  <c:v>   Rat 2</c:v>
                </c:pt>
                <c:pt idx="2">
                  <c:v>   Rat 3</c:v>
                </c:pt>
                <c:pt idx="3">
                  <c:v>   Rat 4</c:v>
                </c:pt>
                <c:pt idx="4">
                  <c:v>   Rat 5</c:v>
                </c:pt>
                <c:pt idx="5">
                  <c:v>   Rat 6</c:v>
                </c:pt>
                <c:pt idx="6">
                  <c:v>   </c:v>
                </c:pt>
                <c:pt idx="8">
                  <c:v>   Rat 7</c:v>
                </c:pt>
                <c:pt idx="9">
                  <c:v>   Rat 8</c:v>
                </c:pt>
                <c:pt idx="10">
                  <c:v>   Rat 9</c:v>
                </c:pt>
                <c:pt idx="11">
                  <c:v>   Rat 10</c:v>
                </c:pt>
                <c:pt idx="12">
                  <c:v>   Rat 11</c:v>
                </c:pt>
                <c:pt idx="13">
                  <c:v>   Rat 12</c:v>
                </c:pt>
                <c:pt idx="16">
                  <c:v>   Rat 13</c:v>
                </c:pt>
                <c:pt idx="17">
                  <c:v>   Rat 14</c:v>
                </c:pt>
                <c:pt idx="18">
                  <c:v>   Rat 15</c:v>
                </c:pt>
                <c:pt idx="19">
                  <c:v>   Rat 16</c:v>
                </c:pt>
                <c:pt idx="20">
                  <c:v>   Rat 17</c:v>
                </c:pt>
                <c:pt idx="21">
                  <c:v>   Rat 18</c:v>
                </c:pt>
              </c:strCache>
            </c:strRef>
          </c:cat>
          <c:val>
            <c:numRef>
              <c:f>Sheet1!$E$3:$E$24</c:f>
              <c:numCache>
                <c:formatCode>General</c:formatCode>
                <c:ptCount val="22"/>
                <c:pt idx="0">
                  <c:v>260</c:v>
                </c:pt>
                <c:pt idx="1">
                  <c:v>241</c:v>
                </c:pt>
                <c:pt idx="2">
                  <c:v>270</c:v>
                </c:pt>
                <c:pt idx="3">
                  <c:v>263</c:v>
                </c:pt>
                <c:pt idx="4">
                  <c:v>258</c:v>
                </c:pt>
                <c:pt idx="5">
                  <c:v>264</c:v>
                </c:pt>
                <c:pt idx="7">
                  <c:v>0</c:v>
                </c:pt>
                <c:pt idx="8">
                  <c:v>280</c:v>
                </c:pt>
                <c:pt idx="9">
                  <c:v>261</c:v>
                </c:pt>
                <c:pt idx="10">
                  <c:v>269</c:v>
                </c:pt>
                <c:pt idx="11">
                  <c:v>278</c:v>
                </c:pt>
                <c:pt idx="12">
                  <c:v>265</c:v>
                </c:pt>
                <c:pt idx="13">
                  <c:v>285</c:v>
                </c:pt>
                <c:pt idx="16">
                  <c:v>239</c:v>
                </c:pt>
                <c:pt idx="17">
                  <c:v>230</c:v>
                </c:pt>
                <c:pt idx="18">
                  <c:v>258</c:v>
                </c:pt>
                <c:pt idx="19">
                  <c:v>247</c:v>
                </c:pt>
                <c:pt idx="20">
                  <c:v>255</c:v>
                </c:pt>
                <c:pt idx="21">
                  <c:v>246</c:v>
                </c:pt>
              </c:numCache>
            </c:numRef>
          </c:val>
          <c:extLst>
            <c:ext xmlns:c16="http://schemas.microsoft.com/office/drawing/2014/chart" uri="{C3380CC4-5D6E-409C-BE32-E72D297353CC}">
              <c16:uniqueId val="{00000003-A3A2-46CC-9C51-94D2EE0998EB}"/>
            </c:ext>
          </c:extLst>
        </c:ser>
        <c:dLbls>
          <c:showLegendKey val="0"/>
          <c:showVal val="0"/>
          <c:showCatName val="0"/>
          <c:showSerName val="0"/>
          <c:showPercent val="0"/>
          <c:showBubbleSize val="0"/>
        </c:dLbls>
        <c:gapWidth val="100"/>
        <c:overlap val="-24"/>
        <c:axId val="96067216"/>
        <c:axId val="96067576"/>
      </c:barChart>
      <c:catAx>
        <c:axId val="96067216"/>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Control group	                           500mg/kg group	                            1000mg/kg group</a:t>
                </a:r>
              </a:p>
            </c:rich>
          </c:tx>
          <c:layout>
            <c:manualLayout>
              <c:xMode val="edge"/>
              <c:yMode val="edge"/>
              <c:x val="0.181225860831604"/>
              <c:y val="0.85150210504541202"/>
            </c:manualLayout>
          </c:layout>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96067576"/>
        <c:crosses val="autoZero"/>
        <c:auto val="1"/>
        <c:lblAlgn val="ctr"/>
        <c:lblOffset val="100"/>
        <c:noMultiLvlLbl val="0"/>
      </c:catAx>
      <c:valAx>
        <c:axId val="96067576"/>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Rat Weight (g)</a:t>
                </a:r>
              </a:p>
            </c:rich>
          </c:tx>
          <c:layout>
            <c:manualLayout>
              <c:xMode val="edge"/>
              <c:yMode val="edge"/>
              <c:x val="1.8798759281887401E-3"/>
              <c:y val="0.26241083878879201"/>
            </c:manualLayout>
          </c:layout>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96067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1342f860-ebce-45cf-880c-fcf46523e5be}"/>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3">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EC751C-3C2F-4530-BE41-FE504D933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8082</Words>
  <Characters>46070</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SDI 1084</cp:lastModifiedBy>
  <cp:revision>13</cp:revision>
  <dcterms:created xsi:type="dcterms:W3CDTF">2025-06-15T01:46:00Z</dcterms:created>
  <dcterms:modified xsi:type="dcterms:W3CDTF">2025-06-16T11:08:00Z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F2A96B9D987F4B669E58AFB552FF79AF_13</vt:lpwstr>
  </property>
  <property fmtid="{D5CDD505-2E9C-101B-9397-08002B2CF9AE}" pid="4" name="ZOTERO_PREF_1">
    <vt:lpwstr>&lt;data data-version="3" zotero-version="6.0.36"&gt;&lt;session id="7iLSmxHr"/&gt;&lt;style id="http://www.zotero.org/styles/elsevier-harvard" hasBibliography="1" bibliographyStyleHasBeenSet="0"/&gt;&lt;prefs&gt;&lt;pref name="fieldType" value="Field"/&gt;&lt;/prefs&gt;&lt;/data&gt;</vt:lpwstr>
  </property>
</Properties>
</file>