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6675" w14:textId="77777777" w:rsidR="00754C9A" w:rsidRDefault="00754C9A" w:rsidP="00441B6F">
      <w:pPr>
        <w:pStyle w:val="Title"/>
        <w:spacing w:after="0"/>
        <w:jc w:val="both"/>
        <w:rPr>
          <w:rFonts w:ascii="Arial" w:hAnsi="Arial" w:cs="Arial"/>
        </w:rPr>
      </w:pPr>
    </w:p>
    <w:p w14:paraId="724268D9" w14:textId="77777777" w:rsidR="00163BC4" w:rsidRPr="00163BC4" w:rsidRDefault="004B6FCC" w:rsidP="00441B6F">
      <w:pPr>
        <w:pStyle w:val="Author"/>
        <w:spacing w:line="240" w:lineRule="auto"/>
        <w:rPr>
          <w:rFonts w:ascii="Arial" w:hAnsi="Arial" w:cs="Arial"/>
          <w:bCs/>
          <w:iCs/>
          <w:kern w:val="28"/>
          <w:sz w:val="36"/>
        </w:rPr>
      </w:pPr>
      <w:r>
        <w:rPr>
          <w:rFonts w:ascii="Arial" w:hAnsi="Arial" w:cs="Arial"/>
          <w:bCs/>
          <w:iCs/>
          <w:kern w:val="28"/>
          <w:sz w:val="36"/>
        </w:rPr>
        <w:t>Young Health Professional Perception of Training and Capacity Building for Improved Utilization of Phytomedicinal Antimalarial</w:t>
      </w:r>
      <w:r w:rsidR="00401927">
        <w:rPr>
          <w:rFonts w:ascii="Arial" w:hAnsi="Arial" w:cs="Arial"/>
          <w:bCs/>
          <w:iCs/>
          <w:kern w:val="28"/>
          <w:sz w:val="36"/>
        </w:rPr>
        <w:t xml:space="preserve"> </w:t>
      </w:r>
    </w:p>
    <w:p w14:paraId="78BD3E92" w14:textId="77777777" w:rsidR="00A258C3" w:rsidRPr="00790ADA" w:rsidRDefault="00A258C3" w:rsidP="00441B6F">
      <w:pPr>
        <w:pStyle w:val="Author"/>
        <w:spacing w:line="240" w:lineRule="auto"/>
        <w:jc w:val="both"/>
        <w:rPr>
          <w:rFonts w:ascii="Arial" w:hAnsi="Arial" w:cs="Arial"/>
          <w:sz w:val="36"/>
        </w:rPr>
      </w:pPr>
    </w:p>
    <w:p w14:paraId="497BAB33" w14:textId="77777777" w:rsidR="002C57D2" w:rsidRPr="00FB3A86" w:rsidRDefault="002C57D2" w:rsidP="00441B6F">
      <w:pPr>
        <w:pStyle w:val="Affiliation"/>
        <w:spacing w:after="0" w:line="240" w:lineRule="auto"/>
        <w:jc w:val="both"/>
        <w:rPr>
          <w:rFonts w:ascii="Arial" w:hAnsi="Arial" w:cs="Arial"/>
        </w:rPr>
      </w:pPr>
    </w:p>
    <w:p w14:paraId="2863AA1B" w14:textId="77777777" w:rsidR="00B01FCD" w:rsidRPr="00FB3A86" w:rsidRDefault="00000000" w:rsidP="00441B6F">
      <w:pPr>
        <w:pStyle w:val="Copyright"/>
        <w:spacing w:after="0" w:line="240" w:lineRule="auto"/>
        <w:jc w:val="both"/>
        <w:rPr>
          <w:rFonts w:ascii="Arial" w:hAnsi="Arial" w:cs="Arial"/>
        </w:rPr>
        <w:sectPr w:rsidR="00B01FCD" w:rsidRPr="00FB3A86" w:rsidSect="000A5E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065B91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2819AD7" w14:textId="77777777" w:rsidR="004F4530" w:rsidRDefault="00B01FCD" w:rsidP="00DA7319">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11DD31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3B78437" w14:textId="77777777" w:rsidTr="001E44FE">
        <w:tc>
          <w:tcPr>
            <w:tcW w:w="9576" w:type="dxa"/>
            <w:shd w:val="clear" w:color="auto" w:fill="F2F2F2"/>
          </w:tcPr>
          <w:p w14:paraId="403800E8" w14:textId="77777777" w:rsidR="004F4530" w:rsidRDefault="00BA1B01" w:rsidP="004F4530">
            <w:pPr>
              <w:pStyle w:val="Body"/>
              <w:spacing w:after="0"/>
              <w:rPr>
                <w:rFonts w:ascii="Arial" w:eastAsia="Calibri" w:hAnsi="Arial" w:cs="Arial"/>
                <w:szCs w:val="22"/>
                <w:lang w:val="en-AU"/>
              </w:rPr>
            </w:pPr>
            <w:r w:rsidRPr="00BA1B01">
              <w:rPr>
                <w:rFonts w:ascii="Arial" w:eastAsia="Calibri" w:hAnsi="Arial" w:cs="Arial"/>
                <w:b/>
                <w:szCs w:val="22"/>
              </w:rPr>
              <w:t xml:space="preserve">Aims: </w:t>
            </w:r>
            <w:r w:rsidR="004F4530" w:rsidRPr="004F4530">
              <w:rPr>
                <w:rFonts w:ascii="Arial" w:eastAsia="Calibri" w:hAnsi="Arial" w:cs="Arial"/>
                <w:szCs w:val="22"/>
                <w:lang w:val="en-AU"/>
              </w:rPr>
              <w:t>To assess the perceptions of young health professionals regarding training and capacity building for the improved use of phytomedicinal antimalarials, with the aim of identifying key motivators, support needs, and opportunities for enhancing practical research engagement in Nigeria.</w:t>
            </w:r>
          </w:p>
          <w:p w14:paraId="3F879F2B" w14:textId="77777777" w:rsidR="004F4530" w:rsidRPr="004F4530" w:rsidRDefault="00BA1B01" w:rsidP="00FC53AA">
            <w:pPr>
              <w:pStyle w:val="Body"/>
              <w:spacing w:after="0"/>
              <w:rPr>
                <w:rFonts w:ascii="Arial" w:eastAsia="Calibri" w:hAnsi="Arial" w:cs="Arial"/>
                <w:szCs w:val="22"/>
                <w:lang w:val="en-AU"/>
              </w:rPr>
            </w:pPr>
            <w:r w:rsidRPr="00BA1B01">
              <w:rPr>
                <w:rFonts w:ascii="Arial" w:eastAsia="Calibri" w:hAnsi="Arial" w:cs="Arial"/>
                <w:b/>
                <w:szCs w:val="22"/>
              </w:rPr>
              <w:t>Study design:</w:t>
            </w:r>
            <w:r w:rsidRPr="00BA1B01">
              <w:rPr>
                <w:rFonts w:ascii="Arial" w:eastAsia="Calibri" w:hAnsi="Arial" w:cs="Arial"/>
                <w:szCs w:val="22"/>
              </w:rPr>
              <w:t xml:space="preserve">  </w:t>
            </w:r>
            <w:r w:rsidR="004F4530" w:rsidRPr="004F4530">
              <w:rPr>
                <w:rFonts w:ascii="Arial" w:eastAsia="Calibri" w:hAnsi="Arial" w:cs="Arial"/>
                <w:szCs w:val="22"/>
                <w:lang w:val="en-AU"/>
              </w:rPr>
              <w:t>A descriptive cross-sectional survey.</w:t>
            </w:r>
          </w:p>
          <w:p w14:paraId="50F21B1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C53AA" w:rsidRPr="00FC53AA">
              <w:rPr>
                <w:rFonts w:ascii="Arial" w:eastAsia="Calibri" w:hAnsi="Arial" w:cs="Arial"/>
                <w:szCs w:val="22"/>
                <w:lang w:val="en-AU"/>
              </w:rPr>
              <w:t>The study was conducted among young professionals in science and health-related fields across selected institutions in Nigeria, between July and October 2024</w:t>
            </w:r>
            <w:r w:rsidRPr="00BA1B01">
              <w:rPr>
                <w:rFonts w:ascii="Arial" w:eastAsia="Calibri" w:hAnsi="Arial" w:cs="Arial"/>
                <w:szCs w:val="22"/>
              </w:rPr>
              <w:t>.</w:t>
            </w:r>
          </w:p>
          <w:p w14:paraId="730760A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C53AA" w:rsidRPr="00FC53AA">
              <w:rPr>
                <w:rFonts w:ascii="Arial" w:eastAsia="Calibri" w:hAnsi="Arial" w:cs="Arial"/>
                <w:szCs w:val="22"/>
                <w:lang w:val="en-AU"/>
              </w:rPr>
              <w:t>A simple random sampling technique was used to recruit participants from health-related academic programmes. Data were collected through structured self-administered questionnaires. Responses from 203 participants were analysed using SPSS version 26. Descriptive statistics summarised demographic characteristics and response trends. Multivariate binary logistic regression was performed to assess the association between socio-demographic factors and participants’ perceptions of training and capacity building</w:t>
            </w:r>
            <w:r w:rsidRPr="00BA1B01">
              <w:rPr>
                <w:rFonts w:ascii="Arial" w:eastAsia="Calibri" w:hAnsi="Arial" w:cs="Arial"/>
                <w:szCs w:val="22"/>
              </w:rPr>
              <w:t>.</w:t>
            </w:r>
          </w:p>
          <w:p w14:paraId="7D14ED0A" w14:textId="77777777" w:rsidR="00BA1B01" w:rsidRPr="00CA758C" w:rsidRDefault="00BA1B01" w:rsidP="00CA758C">
            <w:pPr>
              <w:pStyle w:val="Body"/>
              <w:spacing w:after="0"/>
              <w:rPr>
                <w:rFonts w:ascii="Arial" w:eastAsia="Calibri" w:hAnsi="Arial" w:cs="Arial"/>
                <w:szCs w:val="22"/>
                <w:lang w:val="en-AU"/>
              </w:rPr>
            </w:pPr>
            <w:r w:rsidRPr="00BA1B01">
              <w:rPr>
                <w:rFonts w:ascii="Arial" w:eastAsia="Calibri" w:hAnsi="Arial" w:cs="Arial"/>
                <w:b/>
                <w:bCs/>
                <w:szCs w:val="22"/>
              </w:rPr>
              <w:t>Results:</w:t>
            </w:r>
            <w:r w:rsidRPr="00BA1B01">
              <w:rPr>
                <w:rFonts w:ascii="Arial" w:eastAsia="Calibri" w:hAnsi="Arial" w:cs="Arial"/>
                <w:szCs w:val="22"/>
              </w:rPr>
              <w:t xml:space="preserve"> </w:t>
            </w:r>
            <w:r w:rsidR="00CA758C" w:rsidRPr="00CA758C">
              <w:rPr>
                <w:rFonts w:ascii="Arial" w:eastAsia="Calibri" w:hAnsi="Arial" w:cs="Arial"/>
                <w:szCs w:val="22"/>
                <w:lang w:val="en-AU"/>
              </w:rPr>
              <w:t>Of the 203 respondents, the majority were female, and nearly half were aged between 22 and 25 years. Over two-thirds came from non-medical but health-related disciplines. More than two-thirds had received formal training in antimalarial drug development or natural medicine research. Almost all participants (98.5%) agreed that training enhances understanding of phytomedicinal antimalarials. Internships at research institutions were rated the most valuable opportunity for gaining practical experience (52.7%). A majority showed strong interest in phytomedicinal research, primarily driven by a desire to make a difference (64.0%) and by career aspirations (58.1%). Workshops were identified as the most convenient training format (73.4%). Research grants (68.5%) and mentorship programmes (61.3%) were the most frequently cited support needs. Logistic regression revealed that individuals with research backgrounds were significantly more likely to value participation in fieldwork (p &lt; 0.05).</w:t>
            </w:r>
          </w:p>
          <w:p w14:paraId="26D6A653" w14:textId="77777777" w:rsidR="00505F06" w:rsidRPr="00DE0DD7" w:rsidRDefault="00BA1B01" w:rsidP="00DE0DD7">
            <w:r w:rsidRPr="00BA1B01">
              <w:rPr>
                <w:rFonts w:ascii="Arial" w:eastAsia="Calibri" w:hAnsi="Arial" w:cs="Arial"/>
                <w:b/>
                <w:bCs/>
                <w:szCs w:val="22"/>
              </w:rPr>
              <w:t>Conclusion:</w:t>
            </w:r>
            <w:r w:rsidRPr="00BA1B01">
              <w:rPr>
                <w:rFonts w:ascii="Arial" w:eastAsia="Calibri" w:hAnsi="Arial" w:cs="Arial"/>
                <w:szCs w:val="22"/>
              </w:rPr>
              <w:t xml:space="preserve"> </w:t>
            </w:r>
            <w:r w:rsidR="00CA758C">
              <w:t xml:space="preserve">There is a strong interest among young health professionals in phytomedicinal antimalarial research, accompanied by a </w:t>
            </w:r>
            <w:proofErr w:type="spellStart"/>
            <w:r w:rsidR="00CA758C">
              <w:t>recognised</w:t>
            </w:r>
            <w:proofErr w:type="spellEnd"/>
            <w:r w:rsidR="00CA758C">
              <w:t xml:space="preserve"> need for structured training and hands-on experience. These findings highlight motivational factors and support mechanisms that can guide targeted interventions aimed at integrating plant-based antimalarials into sustainable malaria control strategies.</w:t>
            </w:r>
          </w:p>
        </w:tc>
      </w:tr>
    </w:tbl>
    <w:p w14:paraId="0257DF17" w14:textId="77777777" w:rsidR="00636EB2" w:rsidRDefault="00636EB2" w:rsidP="00441B6F">
      <w:pPr>
        <w:pStyle w:val="Body"/>
        <w:spacing w:after="0"/>
        <w:rPr>
          <w:rFonts w:ascii="Arial" w:hAnsi="Arial" w:cs="Arial"/>
          <w:i/>
        </w:rPr>
      </w:pPr>
    </w:p>
    <w:p w14:paraId="0016362C" w14:textId="77777777" w:rsidR="0024282C" w:rsidRPr="00D668FD" w:rsidRDefault="00A24E7E" w:rsidP="00441B6F">
      <w:pPr>
        <w:pStyle w:val="Body"/>
        <w:spacing w:after="0"/>
        <w:rPr>
          <w:rFonts w:ascii="Arial" w:hAnsi="Arial" w:cs="Arial"/>
        </w:rPr>
      </w:pPr>
      <w:r>
        <w:rPr>
          <w:rFonts w:ascii="Arial" w:hAnsi="Arial" w:cs="Arial"/>
          <w:i/>
        </w:rPr>
        <w:t xml:space="preserve">Keywords: </w:t>
      </w:r>
      <w:r w:rsidR="00DE0DD7" w:rsidRPr="00DE0DD7">
        <w:rPr>
          <w:rFonts w:ascii="Arial" w:hAnsi="Arial" w:cs="Arial"/>
          <w:i/>
        </w:rPr>
        <w:t xml:space="preserve">Phytomedicine, Antimalarial drugs, Capacity building, </w:t>
      </w:r>
      <w:proofErr w:type="gramStart"/>
      <w:r w:rsidR="00DE0DD7" w:rsidRPr="00DE0DD7">
        <w:rPr>
          <w:rFonts w:ascii="Arial" w:hAnsi="Arial" w:cs="Arial"/>
          <w:i/>
        </w:rPr>
        <w:t>Young</w:t>
      </w:r>
      <w:proofErr w:type="gramEnd"/>
      <w:r w:rsidR="00DE0DD7" w:rsidRPr="00DE0DD7">
        <w:rPr>
          <w:rFonts w:ascii="Arial" w:hAnsi="Arial" w:cs="Arial"/>
          <w:i/>
        </w:rPr>
        <w:t xml:space="preserve"> health professionals, Training </w:t>
      </w:r>
      <w:proofErr w:type="spellStart"/>
      <w:r w:rsidR="00DE0DD7" w:rsidRPr="00DE0DD7">
        <w:rPr>
          <w:rFonts w:ascii="Arial" w:hAnsi="Arial" w:cs="Arial"/>
          <w:i/>
        </w:rPr>
        <w:t>programmes</w:t>
      </w:r>
      <w:proofErr w:type="spellEnd"/>
      <w:r w:rsidR="00DE0DD7" w:rsidRPr="00DE0DD7">
        <w:rPr>
          <w:rFonts w:ascii="Arial" w:hAnsi="Arial" w:cs="Arial"/>
          <w:i/>
        </w:rPr>
        <w:t>, Natural product research, Malaria control</w:t>
      </w:r>
      <w:r w:rsidR="0066510A">
        <w:rPr>
          <w:rFonts w:ascii="Arial" w:hAnsi="Arial" w:cs="Arial"/>
          <w:i/>
        </w:rPr>
        <w:t xml:space="preserve"> </w:t>
      </w:r>
    </w:p>
    <w:p w14:paraId="6F28EE08" w14:textId="77777777" w:rsidR="00505F06" w:rsidRPr="00A24E7E" w:rsidRDefault="00505F06" w:rsidP="00441B6F">
      <w:pPr>
        <w:pStyle w:val="Body"/>
        <w:spacing w:after="0"/>
        <w:rPr>
          <w:rFonts w:ascii="Arial" w:hAnsi="Arial" w:cs="Arial"/>
          <w:i/>
        </w:rPr>
      </w:pPr>
    </w:p>
    <w:p w14:paraId="104094A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89374DB" w14:textId="77777777" w:rsidR="00790ADA" w:rsidRPr="00FB3A86" w:rsidRDefault="00790ADA" w:rsidP="00441B6F">
      <w:pPr>
        <w:pStyle w:val="AbstHead"/>
        <w:spacing w:after="0"/>
        <w:jc w:val="both"/>
        <w:rPr>
          <w:rFonts w:ascii="Arial" w:hAnsi="Arial" w:cs="Arial"/>
        </w:rPr>
      </w:pPr>
    </w:p>
    <w:p w14:paraId="6BF6B326" w14:textId="77777777" w:rsidR="00DE0DD7" w:rsidRDefault="00DE0DD7" w:rsidP="00D668FD">
      <w:pPr>
        <w:pStyle w:val="Body"/>
        <w:spacing w:after="0"/>
        <w:rPr>
          <w:rFonts w:ascii="Arial" w:hAnsi="Arial" w:cs="Arial"/>
          <w:lang w:val="en-AU"/>
        </w:rPr>
      </w:pPr>
      <w:r w:rsidRPr="00DE0DD7">
        <w:rPr>
          <w:rFonts w:ascii="Arial" w:hAnsi="Arial" w:cs="Arial"/>
        </w:rPr>
        <w:t xml:space="preserve">Malaria accounts for morbidity and death in numerous tropical regions, including Nigeria, where transmission persists throughout the year </w:t>
      </w:r>
      <w:r w:rsidRPr="00DE0DD7">
        <w:rPr>
          <w:rFonts w:ascii="Arial" w:hAnsi="Arial" w:cs="Arial"/>
        </w:rPr>
        <w:fldChar w:fldCharType="begin" w:fldLock="1"/>
      </w:r>
      <w:r w:rsidR="00C03B29">
        <w:rPr>
          <w:rFonts w:ascii="Arial" w:hAnsi="Arial" w:cs="Arial"/>
        </w:rPr>
        <w:instrText>ADDIN CSL_CITATION {"citationItems":[{"id":"ITEM-1","itemData":{"DOI":"10.1016/j.glmedi.2023.100024","ISSN":"2949916X","author":[{"dropping-particle":"","family":"Omojuyigbe","given":"Jeremiah Oluwamayowa","non-dropping-particle":"","parse-names":false,"suffix":""},{"dropping-particle":"","family":"Owolade","given":"Adedoyin John-Joy","non-dropping-particle":"","parse-names":false,"suffix":""},{"dropping-particle":"","family":"Sokunbi","given":"Taiwo Oluwaseun","non-dropping-particle":"","parse-names":false,"suffix":""},{"dropping-particle":"","family":"Bakenne","given":"Habib Ademola","non-dropping-particle":"","parse-names":false,"suffix":""},{"dropping-particle":"","family":"Ogungbe","given":"Blessing Abraham","non-dropping-particle":"","parse-names":false,"suffix":""},{"dropping-particle":"","family":"Oladipo","given":"Habeebullah Jayeola","non-dropping-particle":"","parse-names":false,"suffix":""},{"dropping-particle":"","family":"Agughalam","given":"Prosper Ifunanya","non-dropping-particle":"","parse-names":false,"suffix":""}],"container-title":"Journal of Medicine, Surgery, and Public Health","id":"ITEM-1","issued":{"date-parts":[["2023"]]},"page":"100024","title":"Malaria eradication in Nigeria: State of the nation and priorities for action","type":"article-journal","volume":"1"},"uris":["http://www.mendeley.com/documents/?uuid=bd478dc5-10c4-3e25-bc5c-f18e3ad2d78b"]}],"mendeley":{"formattedCitation":"(Omojuyigbe et al., 2023)","plainTextFormattedCitation":"(Omojuyigbe et al., 2023)","previouslyFormattedCitation":"[1]"},"properties":{"noteIndex":0},"schema":"https://github.com/citation-style-language/schema/raw/master/csl-citation.json"}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(Omojuyigbe et al., 2023)</w:t>
      </w:r>
      <w:r w:rsidRPr="00DE0DD7">
        <w:rPr>
          <w:rFonts w:ascii="Arial" w:hAnsi="Arial" w:cs="Arial"/>
        </w:rPr>
        <w:fldChar w:fldCharType="end"/>
      </w:r>
      <w:r w:rsidRPr="00DE0DD7">
        <w:rPr>
          <w:rFonts w:ascii="Arial" w:hAnsi="Arial" w:cs="Arial"/>
        </w:rPr>
        <w:t xml:space="preserve">. This burden is particularly concerning giving that is a preventable and curable infection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{"citationItems":[{"id":"ITEM-1","itemData":{"DOI":"10.1109/MPULS.2022.3145625","ISSN":"2154-2287","author":[{"dropping-particle":"","family":"Banks","given":"Jim","non-dropping-particle":"","parse-names":false,"suffix":""}],"container-title":"IEEE Pulse","id":"ITEM-1","issue":"1","issued":{"date-parts":[["2022","1"]]},"page":"22-24","title":"Is the End of Malaria in Sight?","type":"article-journal","volume":"13"},"uris":["http://www.mendeley.com/documents/?uuid=ae00efec-e42c-3307-a21d-916103e99a05"]}],"mendeley":{"formattedCitation":"(Banks, 2022)","plainTextFormattedCitation":"(Banks, 2022)","previouslyFormattedCitation":"[2]"},"properties":{"noteIndex":0},"schema":"https://github.com/citation-style-language/schema/raw/master/csl-citation.json"}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(Banks, 2022)</w:t>
      </w:r>
      <w:r w:rsidRPr="00DE0DD7">
        <w:rPr>
          <w:rFonts w:ascii="Arial" w:hAnsi="Arial" w:cs="Arial"/>
        </w:rPr>
        <w:fldChar w:fldCharType="end"/>
      </w:r>
      <w:r w:rsidRPr="00DE0DD7">
        <w:rPr>
          <w:rFonts w:ascii="Arial" w:hAnsi="Arial" w:cs="Arial"/>
          <w:lang w:val="en-AU"/>
        </w:rPr>
        <w:t xml:space="preserve">. </w:t>
      </w:r>
      <w:r w:rsidRPr="00DE0DD7">
        <w:rPr>
          <w:rFonts w:ascii="Arial" w:hAnsi="Arial" w:cs="Arial"/>
        </w:rPr>
        <w:t xml:space="preserve">However, the global community continues to face the challenge of drug-resistant </w:t>
      </w:r>
      <w:r w:rsidRPr="00DE0DD7">
        <w:rPr>
          <w:rFonts w:ascii="Arial" w:hAnsi="Arial" w:cs="Arial"/>
          <w:i/>
          <w:iCs/>
        </w:rPr>
        <w:t>Plasmodium</w:t>
      </w:r>
      <w:r w:rsidRPr="00DE0DD7">
        <w:rPr>
          <w:rFonts w:ascii="Arial" w:hAnsi="Arial" w:cs="Arial"/>
        </w:rPr>
        <w:t xml:space="preserve"> strains, aggravated by a complex interplay of factors such as improper drug use, practice, pharmacokinetics, transmission intensity, multiplicity of infection, parasite density, host immunity, intra-host dynamics, and genetic adaptations </w:t>
      </w:r>
      <w:r w:rsidRPr="00DE0DD7">
        <w:rPr>
          <w:rFonts w:ascii="Arial" w:hAnsi="Arial" w:cs="Arial"/>
        </w:rPr>
        <w:fldChar w:fldCharType="begin" w:fldLock="1"/>
      </w:r>
      <w:r w:rsidR="00C03B29">
        <w:rPr>
          <w:rFonts w:ascii="Arial" w:hAnsi="Arial" w:cs="Arial"/>
        </w:rPr>
        <w:instrText>ADDIN CSL_CITATION {"citationItems":[{"id":"ITEM-1","itemData":{"DOI":"10.1038/nrdp.2017.50","ISSN":"2056-676X","author":[{"dropping-particle":"","family":"Phillips","given":"Margaret A.","non-dropping-particle":"","parse-names":false,"suffix":""},{"dropping-particle":"","family":"Burrows","given":"Jeremy N.","non-dropping-particle":"","parse-names":false,"suffix":""},{"dropping-particle":"","family":"Manyando","given":"Christine","non-dropping-particle":"","parse-names":false,"suffix":""},{"dropping-particle":"","family":"Huijsduijnen","given":"Rob Hooft","non-dropping-particle":"van","parse-names":false,"suffix":""},{"dropping-particle":"","family":"Voorhis","given":"Wesley C.","non-dropping-particle":"Van","parse-names":false,"suffix":""},{"dropping-particle":"","family":"Wells","given":"Timothy N. C.","non-dropping-particle":"","parse-names":false,"suffix":""}],"container-title":"Nature Reviews Disease Primers","id":"ITEM-1","issue":"1","issued":{"date-parts":[["2017","8","3"]]},"page":"17050","title":"Malaria","type":"article-journal","volume":"3"},"uris":["http://www.mendeley.com/documents/?uuid=a1ee0f41-1bb8-372e-9df5-1cedb87a3053"]}],"mendeley":{"formattedCitation":"(Phillips et al., 2017)","plainTextFormattedCitation":"(Phillips et al., 2017)","previouslyFormattedCitation":"[3]"},"properties":{"noteIndex":0},"schema":"https://github.com/citation-style-language/schema/raw/master/csl-citation.json"}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(Phillips et al., 2017)</w:t>
      </w:r>
      <w:r w:rsidRPr="00DE0DD7">
        <w:rPr>
          <w:rFonts w:ascii="Arial" w:hAnsi="Arial" w:cs="Arial"/>
        </w:rPr>
        <w:fldChar w:fldCharType="end"/>
      </w:r>
      <w:r w:rsidRPr="00DE0DD7">
        <w:rPr>
          <w:rFonts w:ascii="Arial" w:hAnsi="Arial" w:cs="Arial"/>
        </w:rPr>
        <w:t xml:space="preserve">. These are further compounded by insecticide-resistant mosquito vectors, the absence of licensed malaria vaccines with long-term efficacy </w:t>
      </w:r>
      <w:r w:rsidRPr="00DE0DD7">
        <w:rPr>
          <w:rFonts w:ascii="Arial" w:hAnsi="Arial" w:cs="Arial"/>
        </w:rPr>
        <w:fldChar w:fldCharType="begin" w:fldLock="1"/>
      </w:r>
      <w:r w:rsidR="00C03B29">
        <w:rPr>
          <w:rFonts w:ascii="Arial" w:hAnsi="Arial" w:cs="Arial"/>
        </w:rPr>
        <w:instrText>ADDIN CSL_CITATION {"citationItems":[{"id":"ITEM-1","itemData":{"DOI":"10.1111/j.1742-4658.2007.05997.x","ISSN":"1742-464X","abstract":"&lt;p&gt; Malaria is caused by protozoan parasites of the genus &lt;italic&gt;Plasmodium&lt;/italic&gt; and is a major cause of mortality and morbidity worldwide. These parasites have a complex life cycle in their mosquito vector and vertebrate hosts. The primary factors contributing to the resurgence of malaria are the appearance of drug</w:instrText>
      </w:r>
      <w:r w:rsidR="00C03B29">
        <w:rPr>
          <w:rFonts w:ascii="Cambria Math" w:hAnsi="Cambria Math" w:cs="Cambria Math"/>
        </w:rPr>
        <w:instrText>‐</w:instrText>
      </w:r>
      <w:r w:rsidR="00C03B29">
        <w:rPr>
          <w:rFonts w:ascii="Arial" w:hAnsi="Arial" w:cs="Arial"/>
        </w:rPr>
        <w:instrText>resistant strains of the parasite, the spread of insecticide</w:instrText>
      </w:r>
      <w:r w:rsidR="00C03B29">
        <w:rPr>
          <w:rFonts w:ascii="Cambria Math" w:hAnsi="Cambria Math" w:cs="Cambria Math"/>
        </w:rPr>
        <w:instrText>‐</w:instrText>
      </w:r>
      <w:r w:rsidR="00C03B29">
        <w:rPr>
          <w:rFonts w:ascii="Arial" w:hAnsi="Arial" w:cs="Arial"/>
        </w:rPr>
        <w:instrText>resistant strains of the mosquito and the lack of licensed malaria vaccines of proven efficacy. This minireview includes a summary of the disease, the life cycle of the parasite, information relating to the genome and proteome of the species lethal to humans, &lt;italic&gt;Plasmodium falciparum&lt;/italic&gt; , together with other recent developments in the field. &lt;/p&gt;","author":[{"dropping-particle":"","family":"Tuteja","given":"Renu","non-dropping-particle":"","parse-names":false,"suffix":""}],"container-title":"The FEBS Journal","id":"ITEM-1","issue":"18","issued":{"date-parts":[["2007","9","30"]]},"page":"4670-4679","title":"Malaria − an overview","type":"article-journal","volume":"274"},"uris":["http://www.mendeley.com/documents/?uuid=9a601fc4-abb9-3055-be64-940b208958e5"]}],"mendeley":{"formattedCitation":"(Tuteja, 2007)","plainTextFormattedCitation":"(Tuteja, 2007)","previouslyFormattedCitation":"[4]"},"properties":{"noteIndex":0},"schema":"https://github.com/citation-style-language/schema/raw/master/csl-citation.json"}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(Tuteja, 2007)</w:t>
      </w:r>
      <w:r w:rsidRPr="00DE0DD7">
        <w:rPr>
          <w:rFonts w:ascii="Arial" w:hAnsi="Arial" w:cs="Arial"/>
        </w:rPr>
        <w:fldChar w:fldCharType="end"/>
      </w:r>
      <w:r w:rsidRPr="00DE0DD7">
        <w:rPr>
          <w:rFonts w:ascii="Arial" w:hAnsi="Arial" w:cs="Arial"/>
        </w:rPr>
        <w:t xml:space="preserve">, and the circulation of counterfeit antimalarial drugs </w:t>
      </w:r>
      <w:r w:rsidRPr="00DE0DD7">
        <w:rPr>
          <w:rFonts w:ascii="Arial" w:hAnsi="Arial" w:cs="Arial"/>
        </w:rPr>
        <w:lastRenderedPageBreak/>
        <w:fldChar w:fldCharType="begin" w:fldLock="1"/>
      </w:r>
      <w:r w:rsidR="00C03B29">
        <w:rPr>
          <w:rFonts w:ascii="Arial" w:hAnsi="Arial" w:cs="Arial"/>
        </w:rPr>
        <w:instrText>ADDIN CSL_CITATION {"citationItems":[{"id":"ITEM-1","itemData":{"DOI":"10.1371/journal.pone.0217910","ISSN":"1932-6203","author":[{"dropping-particle":"","family":"Beargie","given":"Sarah M.","non-dropping-particle":"","parse-names":false,"suffix":""},{"dropping-particle":"","family":"Higgins","given":"Colleen R.","non-dropping-particle":"","parse-names":false,"suffix":""},{"dropping-particle":"","family":"Evans","given":"Daniel R.","non-dropping-particle":"","parse-names":false,"suffix":""},{"dropping-particle":"","family":"Laing","given":"Sarah K.","non-dropping-particle":"","parse-names":false,"suffix":""},{"dropping-particle":"","family":"Erim","given":"Daniel","non-dropping-particle":"","parse-names":false,"suffix":""},{"dropping-particle":"","family":"Ozawa","given":"Sachiko","non-dropping-particle":"","parse-names":false,"suffix":""}],"container-title":"PLOS ONE","id":"ITEM-1","issue":"8","issued":{"date-parts":[["2019","8","15"]]},"page":"e0217910","title":"The economic impact of substandard and falsified antimalarial medications in Nigeria","type":"article-journal","volume":"14"},"uris":["http://www.mendeley.com/documents/?uuid=ef4d5536-d640-36bb-add3-1e81cc8d15b5"]}],"mendeley":{"formattedCitation":"(Beargie et al., 2019)","plainTextFormattedCitation":"(Beargie et al., 2019)","previouslyFormattedCitation":"[5]"},"properties":{"noteIndex":0},"schema":"https://github.com/citation-style-language/schema/raw/master/csl-citation.json"}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(Beargie et al., 2019)</w:t>
      </w:r>
      <w:r w:rsidRPr="00DE0DD7">
        <w:rPr>
          <w:rFonts w:ascii="Arial" w:hAnsi="Arial" w:cs="Arial"/>
        </w:rPr>
        <w:fldChar w:fldCharType="end"/>
      </w:r>
      <w:r w:rsidRPr="00DE0DD7">
        <w:rPr>
          <w:rFonts w:ascii="Arial" w:hAnsi="Arial" w:cs="Arial"/>
        </w:rPr>
        <w:t xml:space="preserve">. </w:t>
      </w:r>
      <w:r w:rsidRPr="00DE0DD7">
        <w:rPr>
          <w:rFonts w:ascii="Arial" w:hAnsi="Arial" w:cs="Arial"/>
          <w:lang w:val="en-AU"/>
        </w:rPr>
        <w:t xml:space="preserve">Whilst there have been targeted efforts to curtail the prevalence of malaria,  the disease continues to rage on thereby posing significant public health concerns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{"citationItems":[{"id":"ITEM-1","itemData":{"DOI":"10.3390/pathogens12030373","ISSN":"2076-0817","abstract":"&lt;p&gt;This study analyzed fifty years of severe malaria research worldwide. Malaria is a parasitic disease that continues to have a significant impact on global health, particularly in sub-Saharan Africa. Severe malaria, a severe and often fatal form of the disease, is a major public health concern. The study used different bibliometric indicators such as the number of publications, citations, authorship, and keywords to analyze the research trends, patterns, and progress made in the field of severe malaria. The study covers the period from 1974 to 2021 and includes articles from Scopus. The results of the study indicated that there has been a steady increase in the number of publications on severe malaria over the past fifty years, with a particular increase in the last decade. The study also showed that most of the publications are from USA and Europe, while the disease occurs in Africa, South-East Asia, and the Americas. The study also identified the most frequent keywords used in the publications, and the most influential journals and authors in the field. In conclusion, this bibliometric study provides a comprehensive overview of the research trends and patterns in the field of severe malaria over the past fifty years and highlights the areas that need more attention and research efforts.&lt;/p&gt;","author":[{"dropping-particle":"","family":"Garrido-Cardenas","given":"Jose A.","non-dropping-particle":"","parse-names":false,"suffix":""},{"dropping-particle":"","family":"González-Cerón","given":"Lilia","non-dropping-particle":"","parse-names":false,"suffix":""},{"dropping-particle":"","family":"García-Maroto","given":"Federico","non-dropping-particle":"","parse-names":false,"suffix":""},{"dropping-particle":"","family":"Cebrián-Carmona","given":"José","non-dropping-particle":"","parse-names":false,"suffix":""},{"dropping-particle":"","family":"Manzano-Agugliaro","given":"Francisco","non-dropping-particle":"","parse-names":false,"suffix":""},{"dropping-particle":"","family":"Mesa-Valle","given":"Concepción M.","non-dropping-particle":"","parse-names":false,"suffix":""}],"container-title":"Pathogens","id":"ITEM-1","issue":"3","issued":{"date-parts":[["2023","2","24"]]},"page":"373","title":"Analysis of Fifty Years of Severe Malaria Worldwide Research","type":"article-journal","volume":"12"},"uris":["http://www.mendeley.com/documents/?uuid=d49adaca-dba2-3061-b9d4-eabaa34d518f"]},{"id":"ITEM-2","itemData":{"DOI":"10.3390/tropicalmed8010067","ISSN":"2414-6366","abstract":"&lt;p&gt;Malaria remains a significant public health concern in Africa, and the emerging coronavirus disease 2019 (COVID-19) pandemic may have negatively impacted malaria control. Here, we conducted a descriptive epidemiological analysis of malaria globally, and preliminarily explored the impact of COVID-19 on the malaria elimination program in regions of Africa (AFR). The present analysis found that there was a vast heterogeneity of incidence of deaths caused by malaria globally in different continents, and the highest malaria burden was observed in AFR. In 2020, there was an obviously increasing trend in the malaria epidemic in AFR, while the other four continents exhibited stable and declining patterns. Historically, malaria has been largely concentrated in high-malaria-burden regions, such as West Africa, and there has been an obvious increasing trend in Nigeria. These data suggest that dynamic changes in the malaria epidemic situation worldwide have primarily originated from AFR, and West Africa has played an important role in the global malaria increase in recent years. Under the coercion of COVID-19, multiple factors have co-driven the increase in malaria in AFR, including insufficient financial investments, a high native malaria burden, weak surveillance systems, limited medical resources, and low socioeconomic development levels. In addition, the shift of medical resources (e.g., health workers and personal protective equipment (PPE), the manufacturing of diagnostic reagents, and drugs) from malaria control to emergency COVID-19 response in the pandemic’s early stage caused disruptions, reductions, and delays in pillar malaria control measures, leading to a significant negative impact on malaria control. In particular, a funding shortfall at both the international and domestic levels led to a “significant threat,” resulting in vast gaps in access to proven malaria control tools. Although there has been a declining trend in malaria control over time due to COVID-19, the effect still cannot be ignored. Hence, we recommend the implementation of medical and technical resource assistance as a priority strategy to support Africa (West Africa) in order to curb further transmission.&lt;/p&gt;","author":[{"dropping-particle":"","family":"Gao","given":"Liping","non-dropping-particle":"","parse-names":false,"suffix":""},{"dropping-particle":"","family":"Shi","given":"Qi","non-dropping-particle":"","parse-names":false,"suffix":""},{"dropping-particle":"","family":"Liu","given":"Zhiguo","non-dropping-particle":"","parse-names":false,"suffix":""},{"dropping-particle":"","family":"Li","given":"Zhenjun","non-dropping-particle":"","parse-names":false,"suffix":""},{"dropping-particle":"","family":"Dong","given":"Xiaoping","non-dropping-particle":"","parse-names":false,"suffix":""}],"container-title":"Tropical Medicine and Infectious Disease","id":"ITEM-2","issue":"1","issued":{"date-parts":[["2023","1","16"]]},"page":"67","title":"Impact of the COVID-19 Pandemic on Malaria Control in Africa: A Preliminary Analysis","type":"article-journal","volume":"8"},"uris":["http://www.mendeley.com/documents/?uuid=3b3af06b-17e3-3e47-adf6-3ebd28375a8a"]}],"mendeley":{"formattedCitation":"(Gao et al., 2023; Garrido-Cardenas et al., 2023)","plainTextFormattedCitation":"(Gao et al., 2023; Garrido-Cardenas et al., 2023)","previouslyFormattedCitation":"[6], [7]"},"properties":{"noteIndex":0},"schema":"https://github.com/citation-style-language/schema/raw/master/csl-citation.json"}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(Gao et al., 2023; Garrido-Cardenas et al., 2023)</w:t>
      </w:r>
      <w:r w:rsidRPr="00DE0DD7">
        <w:rPr>
          <w:rFonts w:ascii="Arial" w:hAnsi="Arial" w:cs="Arial"/>
        </w:rPr>
        <w:fldChar w:fldCharType="end"/>
      </w:r>
      <w:r w:rsidRPr="00DE0DD7">
        <w:rPr>
          <w:rFonts w:ascii="Arial" w:hAnsi="Arial" w:cs="Arial"/>
          <w:lang w:val="en-AU"/>
        </w:rPr>
        <w:t xml:space="preserve">. </w:t>
      </w:r>
    </w:p>
    <w:p w14:paraId="72439E7B" w14:textId="77777777" w:rsidR="006E7AC4" w:rsidRPr="00DE0DD7" w:rsidRDefault="006E7AC4" w:rsidP="00D668FD">
      <w:pPr>
        <w:pStyle w:val="Body"/>
        <w:spacing w:after="0"/>
        <w:rPr>
          <w:rFonts w:ascii="Arial" w:hAnsi="Arial" w:cs="Arial"/>
          <w:lang w:val="en-AU"/>
        </w:rPr>
      </w:pPr>
    </w:p>
    <w:p w14:paraId="2723C142" w14:textId="77777777" w:rsidR="00DE0DD7" w:rsidRDefault="00DE0DD7" w:rsidP="006E7AC4">
      <w:pPr>
        <w:pStyle w:val="Body"/>
        <w:spacing w:after="0"/>
        <w:rPr>
          <w:rFonts w:ascii="Arial" w:hAnsi="Arial" w:cs="Arial"/>
          <w:lang w:val="en-AU"/>
        </w:rPr>
      </w:pPr>
      <w:r w:rsidRPr="00DE0DD7">
        <w:rPr>
          <w:rFonts w:ascii="Arial" w:hAnsi="Arial" w:cs="Arial"/>
          <w:lang w:val="en-AU"/>
        </w:rPr>
        <w:t xml:space="preserve">Available data from extant literature has shown that natural products, particularly those sourced from plants, have played a critical role in the development of effective antimalarial treatments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{"citationItems":[{"id":"ITEM-1","itemData":{"DOI":"10.3390/ijms19051382","ISSN":"1422-0067","abstract":"&lt;p&gt;Malaria, as a major global health problem, continues to affect a large number of people each year, especially those in developing countries. Effective drug discovery is still one of the main efforts to control malaria. As natural products are still considered as a key source for discovery and development of therapeutic agents, we have evaluated more than 2000 plant extracts against Plasmodium falciparum. As a result, we discovered dozens of plant leads that displayed antimalarial activity. Our phytochemical study of some of these plant extracts led to the identification of several potent antimalarial compounds. The prior comprehensive review article entitled “Antimalarial activity of plant metabolites” by Schwikkard and Van Heerden (2002) reported structures of plant-derived compounds with antiplasmodial activity and covered literature up to the year 2000. As a continuation of this effort, the present review covers the antimalarial compounds isolated from plants, including marine plants, reported in the literature from 2001 to the end of 2017. During the span of the last 17 years, 175 antiplasmodial compounds were discovered from plants. These active compounds are organized in our review article according to their plant families. In addition, we also include ethnobotanical information of the antimalarial plants discussed.&lt;/p&gt;","author":[{"dropping-particle":"","family":"Pan","given":"Wen-Hui","non-dropping-particle":"","parse-names":false,"suffix":""},{"dropping-particle":"","family":"Xu","given":"Xin-Ya","non-dropping-particle":"","parse-names":false,"suffix":""},{"dropping-particle":"","family":"Shi","given":"Ni","non-dropping-particle":"","parse-names":false,"suffix":""},{"dropping-particle":"","family":"Tsang","given":"Siu Wai","non-dropping-particle":"","parse-names":false,"suffix":""},{"dropping-particle":"","family":"Zhang","given":"Hong-Jie","non-dropping-particle":"","parse-names":false,"suffix":""}],"container-title":"International Journal of Molecular Sciences","id":"ITEM-1","issue":"5","issued":{"date-parts":[["2018","5","6"]]},"page":"1382","title":"Antimalarial Activity of Plant Metabolites","type":"article-journal","volume":"19"},"uris":["http://www.mendeley.com/documents/?uuid=db1503cc-68f3-3a39-aa86-922eb5ff300e"]},{"id":"ITEM-2","itemData":{"DOI":"10.1186/s12936-019-3026-1","ISSN":"1475-2875","author":[{"dropping-particle":"","family":"Tajuddeen","given":"Nasir","non-dropping-particle":"","parse-names":false,"suffix":""},{"dropping-particle":"","family":"Heerden","given":"Fanie R.","non-dropping-particle":"Van","parse-names":false,"suffix":""}],"container-title":"Malaria Journal","id":"ITEM-2","issue":"1","issued":{"date-parts":[["2019","12","5"]]},"page":"404","title":"Antiplasmodial natural products: an update","type":"article-journal","volume":"18"},"uris":["http://www.mendeley.com/documents/?uuid=ef14bc95-e0a0-3af7-8a3a-29c4b54b4a18"]}],"mendeley":{"formattedCitation":"(Pan et al., 2018; Tajuddeen &amp; Van Heerden, 2019)","plainTextFormattedCitation":"(Pan et al., 2018; Tajuddeen &amp; Van Heerden, 2019)","previouslyFormattedCitation":"[8], [9]"},"properties":{"noteIndex":0},"schema":"https://github.com/citation-style-language/schema/raw/master/csl-citation.json"}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(Pan et al., 2018; Tajuddeen &amp; Van Heerden, 2019)</w:t>
      </w:r>
      <w:r w:rsidRPr="00DE0DD7">
        <w:rPr>
          <w:rFonts w:ascii="Arial" w:hAnsi="Arial" w:cs="Arial"/>
        </w:rPr>
        <w:fldChar w:fldCharType="end"/>
      </w:r>
      <w:r w:rsidRPr="00DE0DD7">
        <w:rPr>
          <w:rFonts w:ascii="Arial" w:hAnsi="Arial" w:cs="Arial"/>
          <w:lang w:val="en-AU"/>
        </w:rPr>
        <w:t xml:space="preserve">. Notable instances include drug development of quinolines following the discovery of quinine from the bark of the </w:t>
      </w:r>
      <w:r w:rsidRPr="00DE0DD7">
        <w:rPr>
          <w:rFonts w:ascii="Arial" w:hAnsi="Arial" w:cs="Arial"/>
          <w:i/>
          <w:iCs/>
          <w:lang w:val="en-AU"/>
        </w:rPr>
        <w:t>Cinchona</w:t>
      </w:r>
      <w:r w:rsidRPr="00DE0DD7">
        <w:rPr>
          <w:rFonts w:ascii="Arial" w:hAnsi="Arial" w:cs="Arial"/>
          <w:lang w:val="en-AU"/>
        </w:rPr>
        <w:t xml:space="preserve"> tree, and artemisinin from </w:t>
      </w:r>
      <w:r w:rsidRPr="00DE0DD7">
        <w:rPr>
          <w:rFonts w:ascii="Arial" w:hAnsi="Arial" w:cs="Arial"/>
          <w:i/>
          <w:iCs/>
          <w:lang w:val="en-AU"/>
        </w:rPr>
        <w:t>Artemisia annua</w:t>
      </w:r>
      <w:r w:rsidRPr="00DE0DD7">
        <w:rPr>
          <w:rFonts w:ascii="Arial" w:hAnsi="Arial" w:cs="Arial"/>
          <w:lang w:val="en-AU"/>
        </w:rPr>
        <w:t>, a plant</w:t>
      </w:r>
      <w:r w:rsidRPr="00DE0DD7">
        <w:rPr>
          <w:rFonts w:ascii="Arial" w:hAnsi="Arial" w:cs="Arial"/>
          <w:iCs/>
          <w:lang w:val="en-AU"/>
        </w:rPr>
        <w:t xml:space="preserve"> indigenous to China</w:t>
      </w:r>
      <w:r w:rsidRPr="00DE0DD7">
        <w:rPr>
          <w:rFonts w:ascii="Arial" w:hAnsi="Arial" w:cs="Arial"/>
          <w:lang w:val="en-AU"/>
        </w:rPr>
        <w:t xml:space="preserv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10.1021/acs.jmedchem.5b01485","ISSN":"0022-2623","author":[{"dropping-particle":"","family":"Fernández-Álvaro","given":"Elena","non-dropping-particle":"","parse-names":false,"suffix":""},{"dropping-particle":"","family":"Hong","given":"W. David","non-dropping-particle":"","parse-names":false,"suffix":""},{"dropping-particle":"","family":"Nixon","given":"Gemma L.","non-dropping-particle":"","parse-names":false,"suffix":""},{"dropping-particle":"","family":"O’Neill","given":"Paul M.","non-dropping-particle":"","parse-names":false,"suffix":""},{"dropping-particle":"","family":"Calderón","given":"Félix","non-dropping-particle":"","parse-names":false,"suffix":""}],"container-title":"Journal of Medicinal Chemistry","id":"ITEM-1","issue":"12","issued":{"date-parts":[["2016","6","23"]]},"page":"5587-5603","title":"Antimalarial Chemotherapy: Natural Product Inspired Development of Preclinical and Clinical Candidates with Diverse Mechanisms of Action","type":"article-journal","volume":"59"},"uris":["http://www.mendeley.com/documents/?uuid=a1559447-7a63-3993-8a67-125b7e46b26b"]},{"id":"ITEM-2","itemData":{"DOI":"10.1146/annurev-med-043015-123453","ISSN":"0066-4219","abstract":"&lt;p&gt;The best known of the naturally occurring antimalarial compounds are quinine, extracted from cinchona bark, and artemisinin (qinghao), extracted from Artemisia annua in China. These and other derivatives are now chemically synthesized and remain the mainstay of therapy to treat malaria. The beneficial effects of several of the antimalarial drugs (AMDs) on clinical features of autoimmune disorders were discovered by chance during World War II. In this review, we discuss the chemistry of AMDs and their mechanisms of action, emphasizing how they may impact multiple pathways of innate immunity. These pathways include Toll-like receptors and the recently described cGAS-STING pathway. Finally, we discuss the current and future impact of AMDs on systemic lupus erythematosus, rheumatoid arthritis, and devastating monogenic disorders (interferonopathies) characterized by expression of type I interferon in the brain.&lt;/p&gt;","author":[{"dropping-particle":"","family":"An","given":"Jie","non-dropping-particle":"","parse-names":false,"suffix":""},{"dropping-particle":"","family":"Minie","given":"Mark","non-dropping-particle":"","parse-names":false,"suffix":""},{"dropping-particle":"","family":"Sasaki","given":"Tomikazu","non-dropping-particle":"","parse-names":false,"suffix":""},{"dropping-particle":"","family":"Woodward","given":"Joshua J.","non-dropping-particle":"","parse-names":false,"suffix":""},{"dropping-particle":"","family":"Elkon","given":"Keith B.","non-dropping-particle":"","parse-names":false,"suffix":""}],"container-title":"Annual Review of Medicine","id":"ITEM-2","issue":"1","issued":{"date-parts":[["2017","1","14"]]},"page":"317-330","title":"Antimalarial Drugs as Immune Modulators: New Mechanisms for Old Drugs","type":"article-journal","volume":"68"},"uris":["http://www.mendeley.com/documents/?uuid=4c4cd3ae-a4e7-3026-8e9a-fbaf41cb1ceb"]},{"id":"ITEM-3","itemData":{"DOI":"10.1007/s11427-015-4948-7","ISSN":"1674-7305","author":[{"dropping-particle":"","family":"Su","given":"Xin-Zhuan","non-dropping-particle":"","parse-names":false,"suffix":""},{"dropping-particle":"","family":"Miller","given":"Louis H.","non-dropping-particle":"","parse-names":false,"suffix":""}],"container-title":"Science China Life Sciences","id":"ITEM-3","issue":"11","issued":{"date-parts":[["2015","11","19"]]},"page":"1175-1179","title":"The discovery of artemisinin and the Nobel Prize in Physiology or Medicine","type":"article-journal","volume":"58"},"uris":["http://www.mendeley.com/documents/?uuid=1f9e98ce-0873-3a65-81c5-33d77d63bd20"]},{"id":"ITEM-4","itemData":{"DOI":"10.30574/gscbps.2025.30.1.0499","ISSN":"25813250","abstract":"&lt;p&gt;Medicinal plants have played a crucial role in the treatment of malaria, providing a foundation for some of the most effective antimalarial drugs, such as quinine from Cinchona and artemisinin from Artemisia annua. These plants are rich in bioactive compounds with potent antimalarial properties, making them valuable in combating malaria, particularly in regions with limited access to synthetic drugs. However, their use is not without challenges, including variability in efficacy, safety concerns, and the emergence of drug-resistant Plasmodium strains. Despite these limitations, the integration of medicinal plants into modern therapies offers significant potential for innovation, such as developing combination treatments, biotechnological advancements for consistent production, and personalized medicine approaches. Additionally, promoting the cultivation of medicinal plants can support sustainable healthcare solutions in malaria-endemic regions. As research advances, medicinal plants will continue to play a vital role in addressing drug resistance and providing accessible, culturally relevant malaria treatments.&lt;/p&gt;","author":[{"dropping-particle":"","family":"Suraj S. Raut","given":"","non-dropping-particle":"","parse-names":false,"suffix":""},{"dropping-particle":"","family":"Yashkumar R. Dhole","given":"","non-dropping-particle":"","parse-names":false,"suffix":""},{"dropping-particle":"","family":"Swati P. Deshmukh","given":"","non-dropping-particle":"","parse-names":false,"suffix":""}],"container-title":"GSC Biological and Pharmaceutical Sciences","id":"ITEM-4","issue":"1","issued":{"date-parts":[["2025","1","30"]]},"page":"178-185","title":"Role of medicinal plant in treatment of malaria","type":"article-journal","volume":"30"},"uris":["http://www.mendeley.com/documents/?uuid=d2794941-15e7-3dff-873e-e2a845c36207"]}],"mendeley":{"formattedCitation":"(An et al., 2017; Fernández-Álvaro et al., 2016; Su &amp; Miller, 2015; Suraj S. Raut et al., 2025)","plainTextFormattedCitation":"(An et al., 2017; Fernández-Álvaro et al., 2016; Su &amp; Miller, 2015; Suraj S. Raut et al., 2025)","previouslyFormattedCitation":"[10], [11], [12], [13]"},"properties":{"noteIndex":0},"schema":"https://github.com/citation-style-language/schema/raw/master/csl-citation.json"}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(An et al., 2017; Fernández-Álvaro et al., 2016; Su &amp; Miller, 2015; Suraj S. Raut et al., 2025)</w:t>
      </w:r>
      <w:r w:rsidRPr="00DE0DD7">
        <w:rPr>
          <w:rFonts w:ascii="Arial" w:hAnsi="Arial" w:cs="Arial"/>
        </w:rPr>
        <w:fldChar w:fldCharType="end"/>
      </w:r>
      <w:r w:rsidRPr="00DE0DD7">
        <w:rPr>
          <w:rFonts w:ascii="Arial" w:hAnsi="Arial" w:cs="Arial"/>
          <w:lang w:val="en-AU"/>
        </w:rPr>
        <w:t xml:space="preserve">. These </w:t>
      </w:r>
      <w:proofErr w:type="spellStart"/>
      <w:r w:rsidRPr="00DE0DD7">
        <w:rPr>
          <w:rFonts w:ascii="Arial" w:hAnsi="Arial" w:cs="Arial"/>
          <w:lang w:val="en-AU"/>
        </w:rPr>
        <w:t>phyto</w:t>
      </w:r>
      <w:proofErr w:type="spellEnd"/>
      <w:r w:rsidRPr="00DE0DD7">
        <w:rPr>
          <w:rFonts w:ascii="Arial" w:hAnsi="Arial" w:cs="Arial"/>
          <w:lang w:val="en-AU"/>
        </w:rPr>
        <w:t xml:space="preserve">-active compounds serve as a base for recent therapies and demonstrate the potential of phytomedicines in combating malaria </w:t>
      </w:r>
      <w:r w:rsidRPr="00DE0DD7">
        <w:rPr>
          <w:rFonts w:ascii="Arial" w:hAnsi="Arial" w:cs="Arial"/>
          <w:lang w:val="en-AU"/>
        </w:rPr>
        <w:fldChar w:fldCharType="begin" w:fldLock="1"/>
      </w:r>
      <w:r w:rsidR="00C03B29">
        <w:rPr>
          <w:rFonts w:ascii="Arial" w:hAnsi="Arial" w:cs="Arial"/>
          <w:lang w:val="en-AU"/>
        </w:rPr>
        <w:instrText>ADDIN CSL_CITATION {"citationItems":[{"id":"ITEM-1","itemData":{"DOI":"10.3390/molecules26226995","ISSN":"1420-3049","abstract":"&lt;p&gt;Diverse medicinal plants such as those from the genus Artemisia have been employed globally for centuries by individuals belonging to different cultures. Universally, Artemisia species have been used to remedy various maladies that range from simple fevers to malaria. A survey conducted by the World Health Organization (WHO) demonstrated that 80% of the global population is highly reliant on herbal medicine for their primary healthcare. WHO recommends artemisinin-based combination therapies (ACT) for the treatment of global diseases such as malaria. Artemisinin is a bioactive compound derived from Artemisia annua leaves. It is a sesquiterpene endoperoxide with potent antimalarial properties. This review strives to instill natural products to chemists and others in diverse fields with a heterogeneous set of knowledge compiled from multifaceted researchers and organizations in literature. In particular, the various Artemisia species and effective extraction, isolation, and characterization methodologies are discussed in detail. An in-depth investigation into the literature reveals that divergent species of Artemisia exhibit a vast array of biological activities such as antimalarial, antitumor, and anti-inflammatory activities. There is substantial potential for bioactive compounds from Artemisia to provide significant relief from differing human ailments, but more meticulous research in this field is needed.&lt;/p&gt;","author":[{"dropping-particle":"","family":"Anibogwu","given":"Rosemary","non-dropping-particle":"","parse-names":false,"suffix":""},{"dropping-particle":"De","family":"Jesus","given":"Karl","non-dropping-particle":"","parse-names":false,"suffix":""},{"dropping-particle":"","family":"Pradhan","given":"Samjhana","non-dropping-particle":"","parse-names":false,"suffix":""},{"dropping-particle":"","family":"Pashikanti","given":"Srinath","non-dropping-particle":"","parse-names":false,"suffix":""},{"dropping-particle":"","family":"Mateen","given":"Sameena","non-dropping-particle":"","parse-names":false,"suffix":""},{"dropping-particle":"","family":"Sharma","given":"Kavita","non-dropping-particle":"","parse-names":false,"suffix":""}],"container-title":"Molecules","id":"ITEM-1","issue":"22","issued":{"date-parts":[["2021","11","19"]]},"page":"6995","title":"Extraction, Isolation and Characterization of Bioactive Compounds from Artemisia and Their Biological Significance: A Review","type":"article-journal","volume":"26"},"uris":["http://www.mendeley.com/documents/?uuid=4a7af128-de4f-3d14-a1b6-42b386831cbc"]}],"mendeley":{"formattedCitation":"(Anibogwu et al., 2021)","plainTextFormattedCitation":"(Anibogwu et al., 2021)","previouslyFormattedCitation":"[14]"},"properties":{"noteIndex":0},"schema":"https://github.com/citation-style-language/schema/raw/master/csl-citation.json"}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(Anibogwu et al., 2021)</w:t>
      </w:r>
      <w:r w:rsidRPr="00DE0DD7">
        <w:rPr>
          <w:rFonts w:ascii="Arial" w:hAnsi="Arial" w:cs="Arial"/>
        </w:rPr>
        <w:fldChar w:fldCharType="end"/>
      </w:r>
      <w:r w:rsidRPr="00DE0DD7">
        <w:rPr>
          <w:rFonts w:ascii="Arial" w:hAnsi="Arial" w:cs="Arial"/>
          <w:lang w:val="en-AU"/>
        </w:rPr>
        <w:t xml:space="preserve">. Their proven efficacy also inspires the development of analogues and affordable herbal antimalaria formulations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{"citationItems":[{"id":"ITEM-1","itemData":{"DOI":"10.1039/c002196m","ISSN":"0265-0568","author":[{"dropping-particle":"","family":"Wright","given":"Colin W.","non-dropping-particle":"","parse-names":false,"suffix":""}],"container-title":"Natural Product Reports","id":"ITEM-1","issue":"7","issued":{"date-parts":[["2010"]]},"page":"961","title":"Recent developments in research on terrestrial plants used for the treatment of malaria","type":"article-journal","volume":"27"},"uris":["http://www.mendeley.com/documents/?uuid=974cb038-2826-3199-ae57-c1dd1cea069c"]}],"mendeley":{"formattedCitation":"(Wright, 2010)","plainTextFormattedCitation":"(Wright, 2010)","previouslyFormattedCitation":"[15]"},"properties":{"noteIndex":0},"schema":"https://github.com/citation-style-language/schema/raw/master/csl-citation.json"}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(Wright, 2010)</w:t>
      </w:r>
      <w:r w:rsidRPr="00DE0DD7">
        <w:rPr>
          <w:rFonts w:ascii="Arial" w:hAnsi="Arial" w:cs="Arial"/>
        </w:rPr>
        <w:fldChar w:fldCharType="end"/>
      </w:r>
      <w:r w:rsidRPr="00DE0DD7">
        <w:rPr>
          <w:rFonts w:ascii="Arial" w:hAnsi="Arial" w:cs="Arial"/>
          <w:lang w:val="en-AU"/>
        </w:rPr>
        <w:t xml:space="preserve">. </w:t>
      </w:r>
    </w:p>
    <w:p w14:paraId="21B9BC19" w14:textId="77777777" w:rsidR="006E7AC4" w:rsidRPr="00DE0DD7" w:rsidRDefault="006E7AC4" w:rsidP="006E7AC4">
      <w:pPr>
        <w:pStyle w:val="Body"/>
        <w:spacing w:after="0"/>
        <w:rPr>
          <w:rFonts w:ascii="Arial" w:hAnsi="Arial" w:cs="Arial"/>
          <w:lang w:val="en-AU"/>
        </w:rPr>
      </w:pPr>
    </w:p>
    <w:p w14:paraId="6D71CA9E" w14:textId="77777777" w:rsidR="00DE0DD7" w:rsidRDefault="00DE0DD7" w:rsidP="006E7AC4">
      <w:pPr>
        <w:pStyle w:val="Body"/>
        <w:spacing w:after="0"/>
        <w:rPr>
          <w:rFonts w:ascii="Arial" w:hAnsi="Arial" w:cs="Arial"/>
          <w:lang w:val="en-AU"/>
        </w:rPr>
      </w:pPr>
      <w:r w:rsidRPr="00DE0DD7">
        <w:rPr>
          <w:rFonts w:ascii="Arial" w:hAnsi="Arial" w:cs="Arial"/>
        </w:rPr>
        <w:t>Despite their potential, researchers and healthcare systems face challenges in utilizing and integrating plant-based resources for the development of antimalarials of plant origin in modern healthcare</w:t>
      </w:r>
      <w:r w:rsidRPr="00DE0DD7">
        <w:rPr>
          <w:rFonts w:ascii="Arial" w:hAnsi="Arial" w:cs="Arial"/>
          <w:lang w:val="en-AU"/>
        </w:rPr>
        <w:t xml:space="preserv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10.1007/s12033-022-00499-9","ISSN":"1073-6085","author":[{"dropping-particle":"","family":"Habibi","given":"Peyman","non-dropping-particle":"","parse-names":false,"suffix":""},{"dropping-particle":"","family":"Shi","given":"Yao","non-dropping-particle":"","parse-names":false,"suffix":""},{"dropping-particle":"","family":"Fatima Grossi-de-Sa","given":"Maria","non-dropping-particle":"","parse-names":false,"suffix":""},{"dropping-particle":"","family":"Khan","given":"Imran","non-dropping-particle":"","parse-names":false,"suffix":""}],"container-title":"Molecular Biotechnology","id":"ITEM-1","issue":"11","issued":{"date-parts":[["2022","11","29"]]},"page":"1177-1197","title":"Plants as Sources of Natural and Recombinant Antimalaria Agents","type":"article-journal","volume":"64"},"uris":["http://www.mendeley.com/documents/?uuid=0e573275-05db-3ab0-bef7-b8ee96671917"]}],"mendeley":{"formattedCitation":"(Habibi et al., 2022)","plainTextFormattedCitation":"(Habibi et al., 2022)","previouslyFormattedCitation":"[16]"},"properties":{"noteIndex":0},"schema":"https://github.com/citation-style-language/schema/raw/master/csl-citation.json"}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(Habibi et al., 2022)</w:t>
      </w:r>
      <w:r w:rsidRPr="00DE0DD7">
        <w:rPr>
          <w:rFonts w:ascii="Arial" w:hAnsi="Arial" w:cs="Arial"/>
        </w:rPr>
        <w:fldChar w:fldCharType="end"/>
      </w:r>
      <w:r w:rsidRPr="00DE0DD7">
        <w:rPr>
          <w:rFonts w:ascii="Arial" w:hAnsi="Arial" w:cs="Arial"/>
          <w:lang w:val="en-AU"/>
        </w:rPr>
        <w:t xml:space="preserve">. </w:t>
      </w:r>
      <w:r w:rsidRPr="00DE0DD7">
        <w:rPr>
          <w:rFonts w:ascii="Arial" w:hAnsi="Arial" w:cs="Arial"/>
        </w:rPr>
        <w:t xml:space="preserve">A recent study by </w:t>
      </w:r>
      <w:r w:rsidRPr="00DE0DD7">
        <w:rPr>
          <w:rFonts w:ascii="Arial" w:hAnsi="Arial" w:cs="Arial"/>
        </w:rPr>
        <w:fldChar w:fldCharType="begin" w:fldLock="1"/>
      </w:r>
      <w:r w:rsidR="00C03B29">
        <w:rPr>
          <w:rFonts w:ascii="Arial" w:hAnsi="Arial" w:cs="Arial"/>
        </w:rPr>
        <w:instrText>ADDIN CSL_CITATION {"citationItems":[{"id":"ITEM-1","itemData":{"DOI":"10.2147/AMEP.S497642","ISSN":"1179-7258","author":[{"dropping-particle":"","family":"Almech","given":"Majd","non-dropping-particle":"","parse-names":false,"suffix":""},{"dropping-particle":"","family":"Alissa","given":"Abdulrahim","non-dropping-particle":"","parse-names":false,"suffix":""},{"dropping-particle":"","family":"Baghdadi","given":"Ragad","non-dropping-particle":"","parse-names":false,"suffix":""},{"dropping-particle":"","family":"Abujamai","given":"Jakleen","non-dropping-particle":"","parse-names":false,"suffix":""},{"dropping-particle":"","family":"Hafiz","given":"Waleed","non-dropping-particle":"","parse-names":false,"suffix":""},{"dropping-particle":"","family":"Alwafi","given":"Hassan","non-dropping-particle":"","parse-names":false,"suffix":""},{"dropping-particle":"","family":"Shaikhomer","given":"Mohammed","non-dropping-particle":"","parse-names":false,"suffix":""},{"dropping-particle":"","family":"Alshanberi","given":"Asim","non-dropping-particle":"","parse-names":false,"suffix":""},{"dropping-particle":"","family":"Alshareef","given":"Maram","non-dropping-particle":"","parse-names":false,"suffix":""},{"dropping-particle":"","family":"Alsanosi","given":"Safaa","non-dropping-particle":"","parse-names":false,"suffix":""}],"container-title":"Advances in Medical Education and Practice","id":"ITEM-1","issued":{"date-parts":[["2024","12"]]},"page":"1243-1253","title":"Medical Students’ Knowledge and Perceptions of Herbal Medicine in Saudi Arabia: Should Medical Schools Take Immediate Action?","type":"article-journal","volume":"Volume 15"},"uris":["http://www.mendeley.com/documents/?uuid=bcce69ef-dbef-363e-b363-ddabd8ecf5ea"]}],"mendeley":{"formattedCitation":"(Almech et al., 2024)","plainTextFormattedCitation":"(Almech et al., 2024)","previouslyFormattedCitation":"[17]"},"properties":{"noteIndex":0},"schema":"https://github.com/citation-style-language/schema/raw/master/csl-citation.json"}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(Almech et al., 2024)</w:t>
      </w:r>
      <w:r w:rsidRPr="00DE0DD7">
        <w:rPr>
          <w:rFonts w:ascii="Arial" w:hAnsi="Arial" w:cs="Arial"/>
        </w:rPr>
        <w:fldChar w:fldCharType="end"/>
      </w:r>
      <w:r w:rsidRPr="00DE0DD7">
        <w:rPr>
          <w:rFonts w:ascii="Arial" w:hAnsi="Arial" w:cs="Arial"/>
          <w:lang w:val="en-AU"/>
        </w:rPr>
        <w:t xml:space="preserve"> </w:t>
      </w:r>
      <w:r w:rsidRPr="00DE0DD7">
        <w:rPr>
          <w:rFonts w:ascii="Arial" w:hAnsi="Arial" w:cs="Arial"/>
        </w:rPr>
        <w:t xml:space="preserve">reinforces this concern, unveiling a level of misinformation among future health professionals: </w:t>
      </w:r>
      <w:r w:rsidRPr="00DE0DD7">
        <w:rPr>
          <w:rFonts w:ascii="Arial" w:hAnsi="Arial" w:cs="Arial"/>
          <w:bCs/>
        </w:rPr>
        <w:t>approximately one in five medical students</w:t>
      </w:r>
      <w:r w:rsidRPr="00DE0DD7">
        <w:rPr>
          <w:rFonts w:ascii="Arial" w:hAnsi="Arial" w:cs="Arial"/>
        </w:rPr>
        <w:t xml:space="preserve"> believed that herbal remedies have no side effects, and a similar </w:t>
      </w:r>
      <w:r w:rsidRPr="00DE0DD7">
        <w:rPr>
          <w:rFonts w:ascii="Arial" w:hAnsi="Arial" w:cs="Arial"/>
          <w:bCs/>
        </w:rPr>
        <w:t>one in five</w:t>
      </w:r>
      <w:r w:rsidRPr="00DE0DD7">
        <w:rPr>
          <w:rFonts w:ascii="Arial" w:hAnsi="Arial" w:cs="Arial"/>
        </w:rPr>
        <w:t xml:space="preserve"> assumed they could be safely used alongside pharmaceutical drugs without clinical guidance</w:t>
      </w:r>
      <w:r w:rsidRPr="00DE0DD7">
        <w:rPr>
          <w:rFonts w:ascii="Arial" w:hAnsi="Arial" w:cs="Arial"/>
          <w:lang w:val="en-AU"/>
        </w:rPr>
        <w:t xml:space="preserve">. </w:t>
      </w:r>
      <w:r w:rsidRPr="00DE0DD7">
        <w:rPr>
          <w:rFonts w:ascii="Arial" w:hAnsi="Arial" w:cs="Arial"/>
        </w:rPr>
        <w:t xml:space="preserve">It revealed </w:t>
      </w:r>
      <w:r w:rsidRPr="00DE0DD7">
        <w:rPr>
          <w:rFonts w:ascii="Arial" w:hAnsi="Arial" w:cs="Arial"/>
          <w:lang w:val="en-AU"/>
        </w:rPr>
        <w:t xml:space="preserve">the gap in the perception of young health professionals and suggests that the integration of these therapies is often hindered by scepticism. </w:t>
      </w:r>
    </w:p>
    <w:p w14:paraId="417710CD" w14:textId="77777777" w:rsidR="006E7AC4" w:rsidRPr="00DE0DD7" w:rsidRDefault="006E7AC4" w:rsidP="006E7AC4">
      <w:pPr>
        <w:pStyle w:val="Body"/>
        <w:spacing w:after="0"/>
        <w:rPr>
          <w:rFonts w:ascii="Arial" w:hAnsi="Arial" w:cs="Arial"/>
          <w:lang w:val="en-AU"/>
        </w:rPr>
      </w:pPr>
    </w:p>
    <w:p w14:paraId="0FCC56A0" w14:textId="77777777" w:rsidR="00DE0DD7" w:rsidRPr="00DE0DD7" w:rsidRDefault="00DE0DD7" w:rsidP="00DE0DD7">
      <w:pPr>
        <w:pStyle w:val="Body"/>
        <w:spacing w:after="0"/>
        <w:rPr>
          <w:rFonts w:ascii="Arial" w:hAnsi="Arial" w:cs="Arial"/>
          <w:lang w:val="en-AU"/>
        </w:rPr>
      </w:pPr>
      <w:r w:rsidRPr="00DE0DD7">
        <w:rPr>
          <w:rFonts w:ascii="Arial" w:hAnsi="Arial" w:cs="Arial"/>
          <w:lang w:val="en-AU"/>
        </w:rPr>
        <w:t xml:space="preserve">Whilst several studies examine general awareness, knowledge and attitudes towards Complementary And Alternative Medicine (CAM) which includes herbal medicine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{"citationItems":[{"id":"ITEM-1","itemData":{"DOI":"10.1016/j.jtcme.2015.03.004","ISSN":"22254110","author":[{"dropping-particle":"","family":"Ameade","given":"Evans Paul Kwame","non-dropping-particle":"","parse-names":false,"suffix":""},{"dropping-particle":"","family":"Amalba","given":"Anthony","non-dropping-particle":"","parse-names":false,"suffix":""},{"dropping-particle":"","family":"Helegbe","given":"Gideon Kofi","non-dropping-particle":"","parse-names":false,"suffix":""},{"dropping-particle":"","family":"Mohammed","given":"Baba Sulemana","non-dropping-particle":"","parse-names":false,"suffix":""}],"container-title":"Journal of Traditional and Complementary Medicine","id":"ITEM-1","issue":"3","issued":{"date-parts":[["2016","7"]]},"page":"230-236","title":"Medical students' knowledge and attitude towards complementary and alternative medicine – A survey in Ghana","type":"article-journal","volume":"6"},"uris":["http://www.mendeley.com/documents/?uuid=2a76bb26-1d5a-3d17-9ca4-ac53759d327f"]},{"id":"ITEM-2","itemData":{"DOI":"10.1016/j.pec.2007.11.019","ISSN":"07383991","author":[{"dropping-particle":"","family":"Ben-Arye","given":"Eran","non-dropping-particle":"","parse-names":false,"suffix":""},{"dropping-particle":"","family":"Frenkel","given":"Moshe","non-dropping-particle":"","parse-names":false,"suffix":""},{"dropping-particle":"","family":"Klein","given":"Anat","non-dropping-particle":"","parse-names":false,"suffix":""},{"dropping-particle":"","family":"Scharf","given":"Moshe","non-dropping-particle":"","parse-names":false,"suffix":""}],"container-title":"Patient Education and Counseling","id":"ITEM-2","issue":"3","issued":{"date-parts":[["2008","3"]]},"page":"395-402","title":"Attitudes toward integration of complementary and alternative medicine in primary care: Perspectives of patients, physicians and complementary practitioners","type":"article-journal","volume":"70"},"uris":["http://www.mendeley.com/documents/?uuid=7128f0c5-cbfc-391c-996e-4ee51aacc310"]}],"mendeley":{"formattedCitation":"(Ameade et al., 2016; Ben-Arye et al., 2008)","plainTextFormattedCitation":"(Ameade et al., 2016; Ben-Arye et al., 2008)","previouslyFormattedCitation":"[18], [19]"},"properties":{"noteIndex":0},"schema":"https://github.com/citation-style-language/schema/raw/master/csl-citation.json"}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(Ameade et al., 2016; Ben-Arye et al., 2008)</w:t>
      </w:r>
      <w:r w:rsidRPr="00DE0DD7">
        <w:rPr>
          <w:rFonts w:ascii="Arial" w:hAnsi="Arial" w:cs="Arial"/>
        </w:rPr>
        <w:fldChar w:fldCharType="end"/>
      </w:r>
      <w:r w:rsidRPr="00DE0DD7">
        <w:rPr>
          <w:rFonts w:ascii="Arial" w:hAnsi="Arial" w:cs="Arial"/>
          <w:lang w:val="en-AU"/>
        </w:rPr>
        <w:t xml:space="preserve">, there remains a clear gap in the literature as few have focused on how young health professionals </w:t>
      </w:r>
      <w:r w:rsidRPr="00DE0DD7">
        <w:rPr>
          <w:rFonts w:ascii="Arial" w:hAnsi="Arial" w:cs="Arial"/>
          <w:bCs/>
          <w:lang w:val="en-AU"/>
        </w:rPr>
        <w:t>perceive the adequacy of training and capacity development</w:t>
      </w:r>
      <w:r w:rsidRPr="00DE0DD7">
        <w:rPr>
          <w:rFonts w:ascii="Arial" w:hAnsi="Arial" w:cs="Arial"/>
          <w:lang w:val="en-AU"/>
        </w:rPr>
        <w:t xml:space="preserve"> related to phytomedicinal antimalarials . Young professionals form the backbone of the conventional healthcare workforce and represent a key demographic for implementing new health initiatives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{"citationItems":[{"id":"ITEM-1","itemData":{"DOI":"10.1016/j.jtcme.2015.03.004","ISSN":"22254110","author":[{"dropping-particle":"","family":"Ameade","given":"Evans Paul Kwame","non-dropping-particle":"","parse-names":false,"suffix":""},{"dropping-particle":"","family":"Amalba","given":"Anthony","non-dropping-particle":"","parse-names":false,"suffix":""},{"dropping-particle":"","family":"Helegbe","given":"Gideon Kofi","non-dropping-particle":"","parse-names":false,"suffix":""},{"dropping-particle":"","family":"Mohammed","given":"Baba Sulemana","non-dropping-particle":"","parse-names":false,"suffix":""}],"container-title":"Journal of Traditional and Complementary Medicine","id":"ITEM-1","issue":"3","issued":{"date-parts":[["2016","7"]]},"page":"230-236","title":"Medical students' knowledge and attitude towards complementary and alternative medicine – A survey in Ghana","type":"article-journal","volume":"6"},"uris":["http://www.mendeley.com/documents/?uuid=2a76bb26-1d5a-3d17-9ca4-ac53759d327f"]}],"mendeley":{"formattedCitation":"(Ameade et al., 2016)","manualFormatting":" [18], [20]. ","plainTextFormattedCitation":"(Ameade et al., 2016)","previouslyFormattedCitation":"[18]"},"properties":{"noteIndex":0},"schema":"https://github.com/citation-style-language/schema/raw/master/csl-citation.json"}</w:instrText>
      </w:r>
      <w:r w:rsidRPr="00DE0DD7">
        <w:rPr>
          <w:rFonts w:ascii="Arial" w:hAnsi="Arial" w:cs="Arial"/>
          <w:lang w:val="en-AU"/>
        </w:rPr>
        <w:fldChar w:fldCharType="separate"/>
      </w:r>
      <w:r w:rsidRPr="00DE0DD7">
        <w:rPr>
          <w:rFonts w:ascii="Arial" w:hAnsi="Arial" w:cs="Arial"/>
          <w:i/>
          <w:noProof/>
          <w:lang w:val="en-AU"/>
        </w:rPr>
        <w:t xml:space="preserve"> </w:t>
      </w:r>
      <w:r w:rsidRPr="00DE0DD7">
        <w:rPr>
          <w:rFonts w:ascii="Arial" w:hAnsi="Arial" w:cs="Arial"/>
          <w:i/>
          <w:noProof/>
          <w:lang w:val="en-AU"/>
        </w:rPr>
        <w:fldChar w:fldCharType="begin" w:fldLock="1"/>
      </w:r>
      <w:r w:rsidR="00C03B29">
        <w:rPr>
          <w:rFonts w:ascii="Arial" w:hAnsi="Arial" w:cs="Arial"/>
          <w:i/>
          <w:noProof/>
          <w:lang w:val="en-AU"/>
        </w:rPr>
        <w:instrText>ADDIN CSL_CITATION {"citationItems":[{"id":"ITEM-1","itemData":{"DOI":"10.1016/j.jtcme.2015.03.004","ISSN":"22254110","author":[{"dropping-particle":"","family":"Ameade","given":"Evans Paul Kwame","non-dropping-particle":"","parse-names":false,"suffix":""},{"dropping-particle":"","family":"Amalba","given":"Anthony","non-dropping-particle":"","parse-names":false,"suffix":""},{"dropping-particle":"","family":"Helegbe","given":"Gideon Kofi","non-dropping-particle":"","parse-names":false,"suffix":""},{"dropping-particle":"","family":"Mohammed","given":"Baba Sulemana","non-dropping-particle":"","parse-names":false,"suffix":""}],"container-title":"Journal of Traditional and Complementary Medicine","id":"ITEM-1","issue":"3","issued":{"date-parts":[["2016","7"]]},"page":"230-236","title":"Medical students' knowledge and attitude towards complementary and alternative medicine – A survey in Ghana","type":"article-journal","volume":"6"},"uris":["http://www.mendeley.com/documents/?uuid=2a76bb26-1d5a-3d17-9ca4-ac53759d327f"]},{"id":"ITEM-2","itemData":{"DOI":"10.1097/00001888-199907000-00017","ISSN":"1040-2446","author":[{"dropping-particle":"","family":"Jonassen","given":"J A","non-dropping-particle":"","parse-names":false,"suffix":""},{"dropping-particle":"","family":"Pugnaire","given":"M P","non-dropping-particle":"","parse-names":false,"suffix":""},{"dropping-particle":"","family":"Mazor","given":"K","non-dropping-particle":"","parse-names":false,"suffix":""},{"dropping-particle":"","family":"Regan","given":"M B","non-dropping-particle":"","parse-names":false,"suffix":""},{"dropping-particle":"","family":"Jacobson","given":"E W","non-dropping-particle":"","parse-names":false,"suffix":""},{"dropping-particle":"","family":"Gammon","given":"W","non-dropping-particle":"","parse-names":false,"suffix":""},{"dropping-particle":"","family":"Doepel","given":"D G","non-dropping-particle":"","parse-names":false,"suffix":""},{"dropping-particle":"","family":"Cohen","given":"A J","non-dropping-particle":"","parse-names":false,"suffix":""}],"container-title":"Academic Medicine","id":"ITEM-2","issue":"7","issued":{"date-parts":[["1999","7"]]},"page":"821-8","title":"The effect of a domestic violence interclerkship on the knowledge, attitudes, and skills of third-year medical students","type":"article-journal","volume":"74"},"uris":["http://www.mendeley.com/documents/?uuid=807a6395-b09e-3e59-8167-82d34c04638a"]}],"mendeley":{"formattedCitation":"(Ameade et al., 2016; Jonassen et al., 1999)","plainTextFormattedCitation":"(Ameade et al., 2016; Jonassen et al., 1999)","previouslyFormattedCitation":"[18], [20]"},"properties":{"noteIndex":0},"schema":"https://github.com/citation-style-language/schema/raw/master/csl-citation.json"}</w:instrText>
      </w:r>
      <w:r w:rsidRPr="00DE0DD7">
        <w:rPr>
          <w:rFonts w:ascii="Arial" w:hAnsi="Arial" w:cs="Arial"/>
          <w:i/>
          <w:noProof/>
          <w:lang w:val="en-AU"/>
        </w:rPr>
        <w:fldChar w:fldCharType="separate"/>
      </w:r>
      <w:r w:rsidR="00C03B29" w:rsidRPr="00C03B29">
        <w:rPr>
          <w:rFonts w:ascii="Arial" w:hAnsi="Arial" w:cs="Arial"/>
          <w:noProof/>
          <w:lang w:val="en-AU"/>
        </w:rPr>
        <w:t>(Ameade et al., 2016; Jonassen et al., 1999)</w:t>
      </w:r>
      <w:r w:rsidRPr="00DE0DD7">
        <w:rPr>
          <w:rFonts w:ascii="Arial" w:hAnsi="Arial" w:cs="Arial"/>
          <w:noProof/>
        </w:rPr>
        <w:fldChar w:fldCharType="end"/>
      </w:r>
      <w:r w:rsidRPr="00DE0DD7">
        <w:rPr>
          <w:rFonts w:ascii="Arial" w:hAnsi="Arial" w:cs="Arial"/>
          <w:noProof/>
          <w:lang w:val="en-AU"/>
        </w:rPr>
        <w:t xml:space="preserve">. </w:t>
      </w:r>
      <w:r w:rsidRPr="00DE0DD7">
        <w:rPr>
          <w:rFonts w:ascii="Arial" w:hAnsi="Arial" w:cs="Arial"/>
        </w:rPr>
        <w:fldChar w:fldCharType="end"/>
      </w:r>
      <w:r w:rsidRPr="00DE0DD7">
        <w:rPr>
          <w:rFonts w:ascii="Arial" w:hAnsi="Arial" w:cs="Arial"/>
          <w:lang w:val="en-AU"/>
        </w:rPr>
        <w:t xml:space="preserve">Equipping them with essential competencies is critical, as their perceptions significantly influence the adoption of alternative therapies like phytomedicines in clinical practice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10.1038/nrclinonc.2013.125","ISSN":"1759-4774","author":[{"dropping-particle":"","family":"Deng","given":"Gary","non-dropping-particle":"","parse-names":false,"suffix":""},{"dropping-particle":"","family":"Cassileth","given":"Barrie","non-dropping-particle":"","parse-names":false,"suffix":""}],"container-title":"Nature Reviews Clinical Oncology","id":"ITEM-1","issue":"11","issued":{"date-parts":[["2013","11","30"]]},"page":"656-664","title":"Complementary or alternative medicine in cancer care—myths and realities","type":"article-journal","volume":"10"},"uris":["http://www.mendeley.com/documents/?uuid=493ccdaf-1285-3944-aa40-fc489413cd60"]}],"mendeley":{"formattedCitation":"(Deng &amp; Cassileth, 2013)","plainTextFormattedCitation":"(Deng &amp; Cassileth, 2013)","previouslyFormattedCitation":"[21]"},"properties":{"noteIndex":0},"schema":"https://github.com/citation-style-language/schema/raw/master/csl-citation.json"}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(Deng &amp; Cassileth, 2013)</w:t>
      </w:r>
      <w:r w:rsidRPr="00DE0DD7">
        <w:rPr>
          <w:rFonts w:ascii="Arial" w:hAnsi="Arial" w:cs="Arial"/>
        </w:rPr>
        <w:fldChar w:fldCharType="end"/>
      </w:r>
      <w:r w:rsidRPr="00DE0DD7">
        <w:rPr>
          <w:rFonts w:ascii="Arial" w:hAnsi="Arial" w:cs="Arial"/>
          <w:lang w:val="en-AU"/>
        </w:rPr>
        <w:t xml:space="preserve">. Therefore, this study aims to address this gap by evaluating how future healthcare providers perceive training and capacity building for the improved </w:t>
      </w:r>
      <w:r w:rsidRPr="00DE0DD7">
        <w:rPr>
          <w:rFonts w:ascii="Arial" w:hAnsi="Arial" w:cs="Arial"/>
          <w:bCs/>
          <w:lang w:val="en-AU"/>
        </w:rPr>
        <w:t xml:space="preserve">utilisation of </w:t>
      </w:r>
      <w:r w:rsidRPr="00DE0DD7">
        <w:rPr>
          <w:rFonts w:ascii="Arial" w:hAnsi="Arial" w:cs="Arial"/>
          <w:lang w:val="en-AU"/>
        </w:rPr>
        <w:t>phytomedicinal antimalarials. It is anticipated that the findings of this study will guide the development of culturally appropriate, evidence-based training strategies that enable young professionals to play a meaningful role in enhancing medicine security and supporting sustainable malaria intervention efforts.</w:t>
      </w:r>
    </w:p>
    <w:p w14:paraId="2D23FCE9" w14:textId="77777777" w:rsidR="00790ADA" w:rsidRPr="00FB3A86" w:rsidRDefault="00790ADA" w:rsidP="00441B6F">
      <w:pPr>
        <w:pStyle w:val="Body"/>
        <w:spacing w:after="0"/>
        <w:rPr>
          <w:rFonts w:ascii="Arial" w:hAnsi="Arial" w:cs="Arial"/>
        </w:rPr>
      </w:pPr>
    </w:p>
    <w:p w14:paraId="58AA46BE" w14:textId="77777777" w:rsidR="007F7B32" w:rsidRDefault="00902823" w:rsidP="00DA7319">
      <w:pPr>
        <w:pStyle w:val="AbstHead"/>
        <w:spacing w:after="0"/>
        <w:rPr>
          <w:rFonts w:ascii="Arial" w:hAnsi="Arial" w:cs="Arial"/>
        </w:rPr>
      </w:pPr>
      <w:r>
        <w:rPr>
          <w:rFonts w:ascii="Arial" w:hAnsi="Arial" w:cs="Arial"/>
        </w:rPr>
        <w:t>2. material and method</w:t>
      </w:r>
      <w:r w:rsidR="004C6FA4">
        <w:rPr>
          <w:rFonts w:ascii="Arial" w:hAnsi="Arial" w:cs="Arial"/>
        </w:rPr>
        <w:t>s</w:t>
      </w:r>
    </w:p>
    <w:p w14:paraId="1768C789" w14:textId="77777777" w:rsidR="00790ADA" w:rsidRPr="00FB3A86" w:rsidRDefault="00790ADA" w:rsidP="00441B6F">
      <w:pPr>
        <w:pStyle w:val="AbstHead"/>
        <w:spacing w:after="0"/>
        <w:jc w:val="both"/>
        <w:rPr>
          <w:rFonts w:ascii="Arial" w:hAnsi="Arial" w:cs="Arial"/>
        </w:rPr>
      </w:pPr>
    </w:p>
    <w:p w14:paraId="29BB8473" w14:textId="77777777" w:rsidR="00790ADA" w:rsidRDefault="00703143" w:rsidP="00931737">
      <w:pPr>
        <w:pStyle w:val="Body"/>
        <w:spacing w:after="0"/>
        <w:rPr>
          <w:rFonts w:ascii="Arial" w:hAnsi="Arial" w:cs="Arial"/>
        </w:rPr>
      </w:pPr>
      <w:r w:rsidRPr="00703143">
        <w:rPr>
          <w:rFonts w:ascii="Arial" w:hAnsi="Arial" w:cs="Arial"/>
        </w:rPr>
        <w:t xml:space="preserve">This study employed a cross-sectional survey design to assess the young health professionals’ perception of training and capacity building for improved </w:t>
      </w:r>
      <w:proofErr w:type="spellStart"/>
      <w:r w:rsidRPr="00703143">
        <w:rPr>
          <w:rFonts w:ascii="Arial" w:hAnsi="Arial" w:cs="Arial"/>
        </w:rPr>
        <w:t>utilisation</w:t>
      </w:r>
      <w:proofErr w:type="spellEnd"/>
      <w:r w:rsidRPr="00703143">
        <w:rPr>
          <w:rFonts w:ascii="Arial" w:hAnsi="Arial" w:cs="Arial"/>
        </w:rPr>
        <w:t xml:space="preserve"> of phytomedicinal antimalarials. A quantitative approach was adopted to ensure objectivity, reliability, and statistical </w:t>
      </w:r>
      <w:proofErr w:type="spellStart"/>
      <w:r w:rsidRPr="00703143">
        <w:rPr>
          <w:rFonts w:ascii="Arial" w:hAnsi="Arial" w:cs="Arial"/>
        </w:rPr>
        <w:t>generalisation</w:t>
      </w:r>
      <w:proofErr w:type="spellEnd"/>
      <w:r w:rsidRPr="00703143">
        <w:rPr>
          <w:rFonts w:ascii="Arial" w:hAnsi="Arial" w:cs="Arial"/>
        </w:rPr>
        <w:t xml:space="preserve"> of the findings. The questionnaire was designed in English. The items in the instrument were basically sectioned into demographic characteristics and questions aimed to evaluate the perception of training and capacity building for the </w:t>
      </w:r>
      <w:proofErr w:type="spellStart"/>
      <w:r w:rsidRPr="00703143">
        <w:rPr>
          <w:rFonts w:ascii="Arial" w:hAnsi="Arial" w:cs="Arial"/>
        </w:rPr>
        <w:t>utilisation</w:t>
      </w:r>
      <w:proofErr w:type="spellEnd"/>
      <w:r w:rsidRPr="00703143">
        <w:rPr>
          <w:rFonts w:ascii="Arial" w:hAnsi="Arial" w:cs="Arial"/>
        </w:rPr>
        <w:t xml:space="preserve"> of phytomedicinal antimalarials. The study population consisted of young health professionals, graduates and undergraduates from science-related fields that have had the opportunity to train at the National Institute for Pharmaceutical Research and Development (NIPRD).  A simple random sampling technique was employed for participant selection. From an estimated population of 420 individuals, the minimum required sample size was calculated using Epi Info Software version 7, based on a 95% confidence level and a 5% margin of error, yielding a sample size of 201. To account for potential non-response, a total of 250 questionnaires were distributed. The inclusion criteria for participants in this study include young professional in healthcare, research, and related scientific fields, as well as a willingness to participate. Participants who did not meet these criteria were excluded from the study. Participation in this study was completely voluntary as the Google form questionnaire, disseminated via WhatsApp featured a consent section that determined access to the rest of the survey questions. Participants who provided consent were able to proceed and complete the questionnaire, whilst those who did not were restricted from continuing beyond that section.  The responses provided by participants were </w:t>
      </w:r>
      <w:proofErr w:type="spellStart"/>
      <w:r w:rsidRPr="00703143">
        <w:rPr>
          <w:rFonts w:ascii="Arial" w:hAnsi="Arial" w:cs="Arial"/>
        </w:rPr>
        <w:t>anonymised</w:t>
      </w:r>
      <w:proofErr w:type="spellEnd"/>
      <w:r w:rsidRPr="00703143">
        <w:rPr>
          <w:rFonts w:ascii="Arial" w:hAnsi="Arial" w:cs="Arial"/>
        </w:rPr>
        <w:t xml:space="preserve"> and handled with absolute strict confidentiality to protect their privacy. Responses were exported to Microsoft excel and later coded and </w:t>
      </w:r>
      <w:proofErr w:type="spellStart"/>
      <w:r w:rsidRPr="00703143">
        <w:rPr>
          <w:rFonts w:ascii="Arial" w:hAnsi="Arial" w:cs="Arial"/>
        </w:rPr>
        <w:t>analysed</w:t>
      </w:r>
      <w:proofErr w:type="spellEnd"/>
      <w:r w:rsidRPr="00703143">
        <w:rPr>
          <w:rFonts w:ascii="Arial" w:hAnsi="Arial" w:cs="Arial"/>
        </w:rPr>
        <w:t xml:space="preserve"> using the Statistical Package for Social Sciences (SPSS) version 25. Multivariate Binary Logistic Regression Analysis was done to assess the views of young health professionals on ‘participation in field work’ as an opportunity crucial for gaining practical experience.</w:t>
      </w:r>
    </w:p>
    <w:p w14:paraId="19D4F3AA" w14:textId="77777777" w:rsidR="00790ADA" w:rsidRPr="00FB3A86" w:rsidRDefault="00790ADA" w:rsidP="00441B6F">
      <w:pPr>
        <w:pStyle w:val="Body"/>
        <w:spacing w:after="0"/>
        <w:rPr>
          <w:rFonts w:ascii="Arial" w:hAnsi="Arial" w:cs="Arial"/>
        </w:rPr>
      </w:pPr>
    </w:p>
    <w:p w14:paraId="199489F7" w14:textId="77777777" w:rsidR="00902823" w:rsidRDefault="00000F8F" w:rsidP="00DA7319">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27D8DF6" w14:textId="77777777" w:rsidR="002F2977" w:rsidRPr="002F2977" w:rsidRDefault="002F2977" w:rsidP="002F2977">
      <w:pPr>
        <w:pStyle w:val="Body"/>
        <w:spacing w:after="0"/>
        <w:rPr>
          <w:rFonts w:ascii="Arial" w:hAnsi="Arial" w:cs="Arial"/>
          <w:b/>
        </w:rPr>
      </w:pPr>
    </w:p>
    <w:p w14:paraId="55BC1046" w14:textId="77777777" w:rsidR="002F2977" w:rsidRPr="00DA7319" w:rsidRDefault="002F2977" w:rsidP="002F2977">
      <w:pPr>
        <w:pStyle w:val="Body"/>
        <w:spacing w:after="0"/>
        <w:jc w:val="left"/>
        <w:rPr>
          <w:rFonts w:ascii="Arial" w:hAnsi="Arial" w:cs="Arial"/>
          <w:b/>
          <w:bCs/>
          <w:sz w:val="22"/>
          <w:szCs w:val="22"/>
        </w:rPr>
      </w:pPr>
      <w:r w:rsidRPr="00DA7319">
        <w:rPr>
          <w:rFonts w:ascii="Arial" w:hAnsi="Arial" w:cs="Arial"/>
          <w:b/>
          <w:bCs/>
          <w:sz w:val="22"/>
          <w:szCs w:val="22"/>
        </w:rPr>
        <w:t>3.1</w:t>
      </w:r>
      <w:r w:rsidR="00C65265" w:rsidRPr="00DA7319">
        <w:rPr>
          <w:rFonts w:ascii="Arial" w:hAnsi="Arial" w:cs="Arial"/>
          <w:b/>
          <w:bCs/>
          <w:sz w:val="22"/>
          <w:szCs w:val="22"/>
        </w:rPr>
        <w:t xml:space="preserve">. </w:t>
      </w:r>
      <w:r w:rsidRPr="00DA7319">
        <w:rPr>
          <w:rFonts w:ascii="Arial" w:hAnsi="Arial" w:cs="Arial"/>
          <w:b/>
          <w:bCs/>
          <w:sz w:val="22"/>
          <w:szCs w:val="22"/>
        </w:rPr>
        <w:t>Demography</w:t>
      </w:r>
    </w:p>
    <w:p w14:paraId="2AC93BA7" w14:textId="77777777" w:rsidR="002F2977" w:rsidRPr="002F2977" w:rsidRDefault="002F2977" w:rsidP="002F2977">
      <w:pPr>
        <w:pStyle w:val="Body"/>
        <w:spacing w:after="0"/>
        <w:jc w:val="left"/>
        <w:rPr>
          <w:rFonts w:ascii="Arial" w:hAnsi="Arial" w:cs="Arial"/>
          <w:bCs/>
          <w:sz w:val="22"/>
          <w:szCs w:val="22"/>
          <w:u w:val="single"/>
        </w:rPr>
      </w:pPr>
    </w:p>
    <w:p w14:paraId="05023091" w14:textId="77777777" w:rsidR="002F2977" w:rsidRPr="002F2977" w:rsidRDefault="002F2977" w:rsidP="002F2977">
      <w:pPr>
        <w:pStyle w:val="Body"/>
        <w:spacing w:after="0"/>
        <w:rPr>
          <w:rFonts w:ascii="Arial" w:hAnsi="Arial" w:cs="Arial"/>
        </w:rPr>
      </w:pPr>
      <w:r w:rsidRPr="002F2977">
        <w:rPr>
          <w:rFonts w:ascii="Arial" w:hAnsi="Arial" w:cs="Arial"/>
        </w:rPr>
        <w:t xml:space="preserve">A total of 203 questionnaires were retrieved and </w:t>
      </w:r>
      <w:proofErr w:type="spellStart"/>
      <w:r w:rsidRPr="002F2977">
        <w:rPr>
          <w:rFonts w:ascii="Arial" w:hAnsi="Arial" w:cs="Arial"/>
        </w:rPr>
        <w:t>analysed</w:t>
      </w:r>
      <w:proofErr w:type="spellEnd"/>
      <w:r w:rsidRPr="002F2977">
        <w:rPr>
          <w:rFonts w:ascii="Arial" w:hAnsi="Arial" w:cs="Arial"/>
        </w:rPr>
        <w:t xml:space="preserve">, yielding a response rate of 81.2%. Males were 34.5% of the sample and females comprised 65.5%. More than two-thirds of the respondents (68.5%) had professional backgrounds in </w:t>
      </w:r>
      <w:r w:rsidRPr="002F2977">
        <w:rPr>
          <w:rFonts w:ascii="Arial" w:hAnsi="Arial" w:cs="Arial"/>
        </w:rPr>
        <w:lastRenderedPageBreak/>
        <w:t xml:space="preserve">other health-related fields whilst 22.7% were healthcare practitioners and only 8.9% were researchers. Similarly, about two-thirds of the participants (67.5%) indicated that they had formal training on antimalarial drug development or natural medicine research whilst one-third (32.5%) had no training in this regard. Further details on the participants' demography are presented in Table 1.   </w:t>
      </w:r>
    </w:p>
    <w:p w14:paraId="400DD54F" w14:textId="77777777" w:rsidR="002F2977" w:rsidRPr="002F2977" w:rsidRDefault="002F2977" w:rsidP="002F2977">
      <w:pPr>
        <w:pStyle w:val="Body"/>
        <w:spacing w:after="0"/>
        <w:rPr>
          <w:rFonts w:ascii="Arial" w:hAnsi="Arial" w:cs="Arial"/>
        </w:rPr>
      </w:pPr>
    </w:p>
    <w:p w14:paraId="6DBD1F19" w14:textId="77777777" w:rsidR="00CF0D27" w:rsidRPr="00FF24A6" w:rsidRDefault="00CF0D27" w:rsidP="00CF0D27">
      <w:pPr>
        <w:pStyle w:val="Body"/>
        <w:spacing w:after="0"/>
        <w:rPr>
          <w:rFonts w:ascii="Arial" w:hAnsi="Arial" w:cs="Arial"/>
          <w:b/>
        </w:rPr>
      </w:pPr>
      <w:r w:rsidRPr="00FF24A6">
        <w:rPr>
          <w:rFonts w:ascii="Arial" w:hAnsi="Arial" w:cs="Arial"/>
          <w:b/>
          <w:bCs/>
        </w:rPr>
        <w:t>Table 1</w:t>
      </w:r>
      <w:r w:rsidRPr="00FF24A6">
        <w:rPr>
          <w:rFonts w:ascii="Arial" w:hAnsi="Arial" w:cs="Arial"/>
          <w:b/>
        </w:rPr>
        <w:t>: Sociodemographic Characteristics of the Participants</w:t>
      </w:r>
    </w:p>
    <w:p w14:paraId="0B5EF566" w14:textId="77777777" w:rsidR="00CF0D27" w:rsidRPr="002F2977" w:rsidRDefault="00CF0D27" w:rsidP="00CF0D27">
      <w:pPr>
        <w:pStyle w:val="Body"/>
        <w:spacing w:after="0"/>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2668"/>
        <w:gridCol w:w="2498"/>
      </w:tblGrid>
      <w:tr w:rsidR="002F2977" w:rsidRPr="002F2977" w14:paraId="4DFCD60A" w14:textId="77777777" w:rsidTr="00B9628F">
        <w:tc>
          <w:tcPr>
            <w:tcW w:w="2668" w:type="dxa"/>
            <w:tcBorders>
              <w:top w:val="single" w:sz="4" w:space="0" w:color="auto"/>
              <w:bottom w:val="single" w:sz="4" w:space="0" w:color="auto"/>
            </w:tcBorders>
          </w:tcPr>
          <w:p w14:paraId="54F91282"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Demography</w:t>
            </w:r>
          </w:p>
        </w:tc>
        <w:tc>
          <w:tcPr>
            <w:tcW w:w="2498" w:type="dxa"/>
            <w:tcBorders>
              <w:top w:val="single" w:sz="4" w:space="0" w:color="auto"/>
              <w:bottom w:val="single" w:sz="4" w:space="0" w:color="auto"/>
            </w:tcBorders>
          </w:tcPr>
          <w:p w14:paraId="7247F7DD"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Frequency (%)</w:t>
            </w:r>
          </w:p>
        </w:tc>
      </w:tr>
      <w:tr w:rsidR="002F2977" w:rsidRPr="002F2977" w14:paraId="5A9E239B" w14:textId="77777777" w:rsidTr="00B9628F">
        <w:tc>
          <w:tcPr>
            <w:tcW w:w="2668" w:type="dxa"/>
            <w:tcBorders>
              <w:top w:val="single" w:sz="4" w:space="0" w:color="auto"/>
            </w:tcBorders>
          </w:tcPr>
          <w:p w14:paraId="77AC281A"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Gender</w:t>
            </w:r>
          </w:p>
        </w:tc>
        <w:tc>
          <w:tcPr>
            <w:tcW w:w="2498" w:type="dxa"/>
            <w:tcBorders>
              <w:top w:val="single" w:sz="4" w:space="0" w:color="auto"/>
            </w:tcBorders>
          </w:tcPr>
          <w:p w14:paraId="228B71EC" w14:textId="77777777" w:rsidR="002F2977" w:rsidRPr="002F2977" w:rsidRDefault="002F2977" w:rsidP="006407EB">
            <w:pPr>
              <w:pStyle w:val="Body"/>
              <w:spacing w:after="0"/>
              <w:rPr>
                <w:rFonts w:ascii="Arial" w:hAnsi="Arial" w:cs="Arial"/>
                <w:lang w:val="en-GB"/>
              </w:rPr>
            </w:pPr>
          </w:p>
        </w:tc>
      </w:tr>
      <w:tr w:rsidR="002F2977" w:rsidRPr="002F2977" w14:paraId="7ED69153" w14:textId="77777777" w:rsidTr="00B9628F">
        <w:tc>
          <w:tcPr>
            <w:tcW w:w="2668" w:type="dxa"/>
          </w:tcPr>
          <w:p w14:paraId="7FC8C5F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Male</w:t>
            </w:r>
          </w:p>
        </w:tc>
        <w:tc>
          <w:tcPr>
            <w:tcW w:w="2498" w:type="dxa"/>
          </w:tcPr>
          <w:p w14:paraId="545FEB66"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70 (34.5)</w:t>
            </w:r>
          </w:p>
        </w:tc>
      </w:tr>
      <w:tr w:rsidR="002F2977" w:rsidRPr="002F2977" w14:paraId="590036D7" w14:textId="77777777" w:rsidTr="00B9628F">
        <w:tc>
          <w:tcPr>
            <w:tcW w:w="2668" w:type="dxa"/>
          </w:tcPr>
          <w:p w14:paraId="0892253A"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Female</w:t>
            </w:r>
          </w:p>
        </w:tc>
        <w:tc>
          <w:tcPr>
            <w:tcW w:w="2498" w:type="dxa"/>
          </w:tcPr>
          <w:p w14:paraId="69AAD026"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133 (65.5)</w:t>
            </w:r>
          </w:p>
        </w:tc>
      </w:tr>
      <w:tr w:rsidR="002F2977" w:rsidRPr="002F2977" w14:paraId="5AFB676D" w14:textId="77777777" w:rsidTr="00B9628F">
        <w:tc>
          <w:tcPr>
            <w:tcW w:w="2668" w:type="dxa"/>
          </w:tcPr>
          <w:p w14:paraId="7844CBAA"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Age</w:t>
            </w:r>
          </w:p>
        </w:tc>
        <w:tc>
          <w:tcPr>
            <w:tcW w:w="2498" w:type="dxa"/>
          </w:tcPr>
          <w:p w14:paraId="024638BD" w14:textId="77777777" w:rsidR="002F2977" w:rsidRPr="002F2977" w:rsidRDefault="002F2977" w:rsidP="006407EB">
            <w:pPr>
              <w:pStyle w:val="Body"/>
              <w:spacing w:after="0"/>
              <w:rPr>
                <w:rFonts w:ascii="Arial" w:hAnsi="Arial" w:cs="Arial"/>
                <w:lang w:val="en-GB"/>
              </w:rPr>
            </w:pPr>
          </w:p>
        </w:tc>
      </w:tr>
      <w:tr w:rsidR="002F2977" w:rsidRPr="002F2977" w14:paraId="55E3BBB9" w14:textId="77777777" w:rsidTr="00B9628F">
        <w:tc>
          <w:tcPr>
            <w:tcW w:w="2668" w:type="dxa"/>
          </w:tcPr>
          <w:p w14:paraId="79BBA65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18 – 21</w:t>
            </w:r>
          </w:p>
        </w:tc>
        <w:tc>
          <w:tcPr>
            <w:tcW w:w="2498" w:type="dxa"/>
          </w:tcPr>
          <w:p w14:paraId="2EE9AECD"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46 (22.7)</w:t>
            </w:r>
          </w:p>
        </w:tc>
      </w:tr>
      <w:tr w:rsidR="002F2977" w:rsidRPr="002F2977" w14:paraId="27FA031A" w14:textId="77777777" w:rsidTr="00B9628F">
        <w:tc>
          <w:tcPr>
            <w:tcW w:w="2668" w:type="dxa"/>
          </w:tcPr>
          <w:p w14:paraId="1CA58C7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22 – 25</w:t>
            </w:r>
          </w:p>
        </w:tc>
        <w:tc>
          <w:tcPr>
            <w:tcW w:w="2498" w:type="dxa"/>
          </w:tcPr>
          <w:p w14:paraId="160A660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101 (49.8)</w:t>
            </w:r>
          </w:p>
        </w:tc>
      </w:tr>
      <w:tr w:rsidR="002F2977" w:rsidRPr="002F2977" w14:paraId="2DC47E1C" w14:textId="77777777" w:rsidTr="00B9628F">
        <w:tc>
          <w:tcPr>
            <w:tcW w:w="2668" w:type="dxa"/>
          </w:tcPr>
          <w:p w14:paraId="3D55B205"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26 – 35</w:t>
            </w:r>
          </w:p>
        </w:tc>
        <w:tc>
          <w:tcPr>
            <w:tcW w:w="2498" w:type="dxa"/>
          </w:tcPr>
          <w:p w14:paraId="1B9B3ECA"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56 (27.6)</w:t>
            </w:r>
          </w:p>
        </w:tc>
      </w:tr>
      <w:tr w:rsidR="002F2977" w:rsidRPr="002F2977" w14:paraId="7C7873DE" w14:textId="77777777" w:rsidTr="00B9628F">
        <w:tc>
          <w:tcPr>
            <w:tcW w:w="2668" w:type="dxa"/>
          </w:tcPr>
          <w:p w14:paraId="6626D0E3"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Profession</w:t>
            </w:r>
          </w:p>
        </w:tc>
        <w:tc>
          <w:tcPr>
            <w:tcW w:w="2498" w:type="dxa"/>
          </w:tcPr>
          <w:p w14:paraId="7A2870B3" w14:textId="77777777" w:rsidR="002F2977" w:rsidRPr="002F2977" w:rsidRDefault="002F2977" w:rsidP="006407EB">
            <w:pPr>
              <w:pStyle w:val="Body"/>
              <w:spacing w:after="0"/>
              <w:rPr>
                <w:rFonts w:ascii="Arial" w:hAnsi="Arial" w:cs="Arial"/>
                <w:lang w:val="en-GB"/>
              </w:rPr>
            </w:pPr>
          </w:p>
        </w:tc>
      </w:tr>
      <w:tr w:rsidR="002F2977" w:rsidRPr="002F2977" w14:paraId="11225DD7" w14:textId="77777777" w:rsidTr="00B9628F">
        <w:tc>
          <w:tcPr>
            <w:tcW w:w="2668" w:type="dxa"/>
          </w:tcPr>
          <w:p w14:paraId="3401FAC5"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Healthcare practitioner</w:t>
            </w:r>
          </w:p>
        </w:tc>
        <w:tc>
          <w:tcPr>
            <w:tcW w:w="2498" w:type="dxa"/>
          </w:tcPr>
          <w:p w14:paraId="4AFE196E"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46 (22.7)</w:t>
            </w:r>
          </w:p>
        </w:tc>
      </w:tr>
      <w:tr w:rsidR="002F2977" w:rsidRPr="002F2977" w14:paraId="77AE4686" w14:textId="77777777" w:rsidTr="00B9628F">
        <w:tc>
          <w:tcPr>
            <w:tcW w:w="2668" w:type="dxa"/>
          </w:tcPr>
          <w:p w14:paraId="6E76C284"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Researcher</w:t>
            </w:r>
          </w:p>
        </w:tc>
        <w:tc>
          <w:tcPr>
            <w:tcW w:w="2498" w:type="dxa"/>
          </w:tcPr>
          <w:p w14:paraId="5D1131B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18 (8.9)</w:t>
            </w:r>
          </w:p>
        </w:tc>
      </w:tr>
      <w:tr w:rsidR="002F2977" w:rsidRPr="002F2977" w14:paraId="7A76EB5B" w14:textId="77777777" w:rsidTr="00B9628F">
        <w:tc>
          <w:tcPr>
            <w:tcW w:w="2668" w:type="dxa"/>
          </w:tcPr>
          <w:p w14:paraId="73D4703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Other health related fields</w:t>
            </w:r>
          </w:p>
        </w:tc>
        <w:tc>
          <w:tcPr>
            <w:tcW w:w="2498" w:type="dxa"/>
          </w:tcPr>
          <w:p w14:paraId="37E22A20"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139 (68.5)</w:t>
            </w:r>
          </w:p>
        </w:tc>
      </w:tr>
      <w:tr w:rsidR="002F2977" w:rsidRPr="002F2977" w14:paraId="25EFC336" w14:textId="77777777" w:rsidTr="00B9628F">
        <w:tc>
          <w:tcPr>
            <w:tcW w:w="2668" w:type="dxa"/>
          </w:tcPr>
          <w:p w14:paraId="3F300B2E"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Level of Education Completed</w:t>
            </w:r>
          </w:p>
        </w:tc>
        <w:tc>
          <w:tcPr>
            <w:tcW w:w="2498" w:type="dxa"/>
          </w:tcPr>
          <w:p w14:paraId="3129A6C6" w14:textId="77777777" w:rsidR="002F2977" w:rsidRPr="002F2977" w:rsidRDefault="002F2977" w:rsidP="006407EB">
            <w:pPr>
              <w:pStyle w:val="Body"/>
              <w:spacing w:after="0"/>
              <w:rPr>
                <w:rFonts w:ascii="Arial" w:hAnsi="Arial" w:cs="Arial"/>
                <w:lang w:val="en-GB"/>
              </w:rPr>
            </w:pPr>
          </w:p>
        </w:tc>
      </w:tr>
      <w:tr w:rsidR="002F2977" w:rsidRPr="002F2977" w14:paraId="5FCC09A3" w14:textId="77777777" w:rsidTr="00B9628F">
        <w:tc>
          <w:tcPr>
            <w:tcW w:w="2668" w:type="dxa"/>
          </w:tcPr>
          <w:p w14:paraId="7A20BAD1"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Undergraduate</w:t>
            </w:r>
          </w:p>
        </w:tc>
        <w:tc>
          <w:tcPr>
            <w:tcW w:w="2498" w:type="dxa"/>
          </w:tcPr>
          <w:p w14:paraId="54ABD9B6"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77 (37.9)</w:t>
            </w:r>
          </w:p>
        </w:tc>
      </w:tr>
      <w:tr w:rsidR="002F2977" w:rsidRPr="002F2977" w14:paraId="7CBDE458" w14:textId="77777777" w:rsidTr="00B9628F">
        <w:tc>
          <w:tcPr>
            <w:tcW w:w="2668" w:type="dxa"/>
          </w:tcPr>
          <w:p w14:paraId="319A88FC"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Graduate</w:t>
            </w:r>
          </w:p>
        </w:tc>
        <w:tc>
          <w:tcPr>
            <w:tcW w:w="2498" w:type="dxa"/>
          </w:tcPr>
          <w:p w14:paraId="1085EC10"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126 (62.1)</w:t>
            </w:r>
          </w:p>
        </w:tc>
      </w:tr>
      <w:tr w:rsidR="002F2977" w:rsidRPr="002F2977" w14:paraId="6F700EAB" w14:textId="77777777" w:rsidTr="00B9628F">
        <w:tc>
          <w:tcPr>
            <w:tcW w:w="2668" w:type="dxa"/>
          </w:tcPr>
          <w:p w14:paraId="1BEE0F90"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Years of Work Experience</w:t>
            </w:r>
          </w:p>
        </w:tc>
        <w:tc>
          <w:tcPr>
            <w:tcW w:w="2498" w:type="dxa"/>
          </w:tcPr>
          <w:p w14:paraId="16D7CA14" w14:textId="77777777" w:rsidR="002F2977" w:rsidRPr="002F2977" w:rsidRDefault="002F2977" w:rsidP="006407EB">
            <w:pPr>
              <w:pStyle w:val="Body"/>
              <w:spacing w:after="0"/>
              <w:rPr>
                <w:rFonts w:ascii="Arial" w:hAnsi="Arial" w:cs="Arial"/>
                <w:lang w:val="en-GB"/>
              </w:rPr>
            </w:pPr>
          </w:p>
        </w:tc>
      </w:tr>
      <w:tr w:rsidR="002F2977" w:rsidRPr="002F2977" w14:paraId="090992C3" w14:textId="77777777" w:rsidTr="00B9628F">
        <w:tc>
          <w:tcPr>
            <w:tcW w:w="2668" w:type="dxa"/>
          </w:tcPr>
          <w:p w14:paraId="38EFB92C"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&lt; 1</w:t>
            </w:r>
          </w:p>
        </w:tc>
        <w:tc>
          <w:tcPr>
            <w:tcW w:w="2498" w:type="dxa"/>
          </w:tcPr>
          <w:p w14:paraId="5F9F9AFC"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108 (53.2)</w:t>
            </w:r>
          </w:p>
        </w:tc>
      </w:tr>
      <w:tr w:rsidR="002F2977" w:rsidRPr="002F2977" w14:paraId="626579A8" w14:textId="77777777" w:rsidTr="00B9628F">
        <w:tc>
          <w:tcPr>
            <w:tcW w:w="2668" w:type="dxa"/>
          </w:tcPr>
          <w:p w14:paraId="4F4FF4D1"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1 - 3</w:t>
            </w:r>
          </w:p>
        </w:tc>
        <w:tc>
          <w:tcPr>
            <w:tcW w:w="2498" w:type="dxa"/>
          </w:tcPr>
          <w:p w14:paraId="496FD5A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69 (34.0)</w:t>
            </w:r>
          </w:p>
        </w:tc>
      </w:tr>
      <w:tr w:rsidR="002F2977" w:rsidRPr="002F2977" w14:paraId="57573FDD" w14:textId="77777777" w:rsidTr="00B9628F">
        <w:tc>
          <w:tcPr>
            <w:tcW w:w="2668" w:type="dxa"/>
          </w:tcPr>
          <w:p w14:paraId="69F90F20"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4 and above</w:t>
            </w:r>
          </w:p>
        </w:tc>
        <w:tc>
          <w:tcPr>
            <w:tcW w:w="2498" w:type="dxa"/>
          </w:tcPr>
          <w:p w14:paraId="12C62A73"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26 (12.8)</w:t>
            </w:r>
          </w:p>
        </w:tc>
      </w:tr>
      <w:tr w:rsidR="002F2977" w:rsidRPr="002F2977" w14:paraId="51101169" w14:textId="77777777" w:rsidTr="00B9628F">
        <w:tc>
          <w:tcPr>
            <w:tcW w:w="2668" w:type="dxa"/>
          </w:tcPr>
          <w:p w14:paraId="4939E311"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Formal Training in Antimalarial Drug Development or Natural Medicine Research</w:t>
            </w:r>
          </w:p>
        </w:tc>
        <w:tc>
          <w:tcPr>
            <w:tcW w:w="2498" w:type="dxa"/>
          </w:tcPr>
          <w:p w14:paraId="4CC8DE96" w14:textId="77777777" w:rsidR="002F2977" w:rsidRPr="002F2977" w:rsidRDefault="002F2977" w:rsidP="006407EB">
            <w:pPr>
              <w:pStyle w:val="Body"/>
              <w:spacing w:after="0"/>
              <w:rPr>
                <w:rFonts w:ascii="Arial" w:hAnsi="Arial" w:cs="Arial"/>
                <w:lang w:val="en-GB"/>
              </w:rPr>
            </w:pPr>
          </w:p>
        </w:tc>
      </w:tr>
      <w:tr w:rsidR="002F2977" w:rsidRPr="002F2977" w14:paraId="2EEF05CA" w14:textId="77777777" w:rsidTr="00B9628F">
        <w:tc>
          <w:tcPr>
            <w:tcW w:w="2668" w:type="dxa"/>
          </w:tcPr>
          <w:p w14:paraId="7078B8B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Yes</w:t>
            </w:r>
          </w:p>
        </w:tc>
        <w:tc>
          <w:tcPr>
            <w:tcW w:w="2498" w:type="dxa"/>
          </w:tcPr>
          <w:p w14:paraId="625340E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137 (67.5)</w:t>
            </w:r>
          </w:p>
        </w:tc>
      </w:tr>
      <w:tr w:rsidR="002F2977" w:rsidRPr="002F2977" w14:paraId="74340A52" w14:textId="77777777" w:rsidTr="00B9628F">
        <w:tc>
          <w:tcPr>
            <w:tcW w:w="2668" w:type="dxa"/>
          </w:tcPr>
          <w:p w14:paraId="22BDDE9E"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w:t>
            </w:r>
          </w:p>
        </w:tc>
        <w:tc>
          <w:tcPr>
            <w:tcW w:w="2498" w:type="dxa"/>
          </w:tcPr>
          <w:p w14:paraId="69120AC5"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66 (32.5)</w:t>
            </w:r>
          </w:p>
        </w:tc>
      </w:tr>
      <w:tr w:rsidR="002F2977" w:rsidRPr="002F2977" w14:paraId="4D7EAAA1" w14:textId="77777777" w:rsidTr="00B9628F">
        <w:tc>
          <w:tcPr>
            <w:tcW w:w="2668" w:type="dxa"/>
          </w:tcPr>
          <w:p w14:paraId="0B7CD511"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Geopolitical Zone of Educational Institution</w:t>
            </w:r>
          </w:p>
        </w:tc>
        <w:tc>
          <w:tcPr>
            <w:tcW w:w="2498" w:type="dxa"/>
          </w:tcPr>
          <w:p w14:paraId="4F06A898" w14:textId="77777777" w:rsidR="002F2977" w:rsidRPr="002F2977" w:rsidRDefault="002F2977" w:rsidP="006407EB">
            <w:pPr>
              <w:pStyle w:val="Body"/>
              <w:spacing w:after="0"/>
              <w:rPr>
                <w:rFonts w:ascii="Arial" w:hAnsi="Arial" w:cs="Arial"/>
                <w:lang w:val="en-GB"/>
              </w:rPr>
            </w:pPr>
          </w:p>
        </w:tc>
      </w:tr>
      <w:tr w:rsidR="002F2977" w:rsidRPr="002F2977" w14:paraId="1E59D527" w14:textId="77777777" w:rsidTr="00B9628F">
        <w:tc>
          <w:tcPr>
            <w:tcW w:w="2668" w:type="dxa"/>
          </w:tcPr>
          <w:p w14:paraId="0F64D36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North-West</w:t>
            </w:r>
          </w:p>
        </w:tc>
        <w:tc>
          <w:tcPr>
            <w:tcW w:w="2498" w:type="dxa"/>
          </w:tcPr>
          <w:p w14:paraId="2A0F0C5B"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21 (10.3)</w:t>
            </w:r>
          </w:p>
        </w:tc>
      </w:tr>
      <w:tr w:rsidR="002F2977" w:rsidRPr="002F2977" w14:paraId="080C7E08" w14:textId="77777777" w:rsidTr="00B9628F">
        <w:tc>
          <w:tcPr>
            <w:tcW w:w="2668" w:type="dxa"/>
          </w:tcPr>
          <w:p w14:paraId="775307B1"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North-East</w:t>
            </w:r>
          </w:p>
        </w:tc>
        <w:tc>
          <w:tcPr>
            <w:tcW w:w="2498" w:type="dxa"/>
          </w:tcPr>
          <w:p w14:paraId="475AF8ED"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17 (8.4)</w:t>
            </w:r>
          </w:p>
        </w:tc>
      </w:tr>
      <w:tr w:rsidR="002F2977" w:rsidRPr="002F2977" w14:paraId="1390DF30" w14:textId="77777777" w:rsidTr="00B9628F">
        <w:tc>
          <w:tcPr>
            <w:tcW w:w="2668" w:type="dxa"/>
          </w:tcPr>
          <w:p w14:paraId="624BBBE4"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North-Central</w:t>
            </w:r>
          </w:p>
        </w:tc>
        <w:tc>
          <w:tcPr>
            <w:tcW w:w="2498" w:type="dxa"/>
          </w:tcPr>
          <w:p w14:paraId="0E740282"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86 (42.4)</w:t>
            </w:r>
          </w:p>
        </w:tc>
      </w:tr>
      <w:tr w:rsidR="002F2977" w:rsidRPr="002F2977" w14:paraId="074E9D5E" w14:textId="77777777" w:rsidTr="00B9628F">
        <w:tc>
          <w:tcPr>
            <w:tcW w:w="2668" w:type="dxa"/>
          </w:tcPr>
          <w:p w14:paraId="37CF037D"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South-West</w:t>
            </w:r>
          </w:p>
        </w:tc>
        <w:tc>
          <w:tcPr>
            <w:tcW w:w="2498" w:type="dxa"/>
          </w:tcPr>
          <w:p w14:paraId="1BC59E1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24 (11.8)</w:t>
            </w:r>
          </w:p>
        </w:tc>
      </w:tr>
      <w:tr w:rsidR="002F2977" w:rsidRPr="002F2977" w14:paraId="1844AE49" w14:textId="77777777" w:rsidTr="00B9628F">
        <w:tc>
          <w:tcPr>
            <w:tcW w:w="2668" w:type="dxa"/>
          </w:tcPr>
          <w:p w14:paraId="6DF7DDC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South-East</w:t>
            </w:r>
          </w:p>
        </w:tc>
        <w:tc>
          <w:tcPr>
            <w:tcW w:w="2498" w:type="dxa"/>
          </w:tcPr>
          <w:p w14:paraId="5904628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22 (10.8)</w:t>
            </w:r>
          </w:p>
        </w:tc>
      </w:tr>
      <w:tr w:rsidR="002F2977" w:rsidRPr="002F2977" w14:paraId="1A08B465" w14:textId="77777777" w:rsidTr="00B9628F">
        <w:tc>
          <w:tcPr>
            <w:tcW w:w="2668" w:type="dxa"/>
          </w:tcPr>
          <w:p w14:paraId="1DDEE6C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South-South</w:t>
            </w:r>
          </w:p>
        </w:tc>
        <w:tc>
          <w:tcPr>
            <w:tcW w:w="2498" w:type="dxa"/>
          </w:tcPr>
          <w:p w14:paraId="0B496733"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33 (16.3)</w:t>
            </w:r>
          </w:p>
        </w:tc>
      </w:tr>
    </w:tbl>
    <w:p w14:paraId="5AFD4841" w14:textId="77777777" w:rsidR="00790ADA" w:rsidRDefault="00790ADA" w:rsidP="00441B6F">
      <w:pPr>
        <w:pStyle w:val="Body"/>
        <w:spacing w:after="0"/>
        <w:rPr>
          <w:rFonts w:ascii="Arial" w:hAnsi="Arial" w:cs="Arial"/>
        </w:rPr>
      </w:pPr>
    </w:p>
    <w:p w14:paraId="41C9BCFB" w14:textId="77777777" w:rsidR="00DD5F91" w:rsidRPr="00DA7319" w:rsidRDefault="00DD5F91" w:rsidP="00FF24A6">
      <w:pPr>
        <w:pStyle w:val="Body"/>
        <w:spacing w:after="0"/>
        <w:jc w:val="left"/>
        <w:rPr>
          <w:rFonts w:ascii="Arial" w:hAnsi="Arial" w:cs="Arial"/>
          <w:b/>
          <w:bCs/>
          <w:sz w:val="22"/>
          <w:szCs w:val="22"/>
          <w:lang w:eastAsia="en-GB"/>
        </w:rPr>
      </w:pPr>
      <w:r w:rsidRPr="00DA7319">
        <w:rPr>
          <w:rFonts w:ascii="Arial" w:hAnsi="Arial" w:cs="Arial"/>
          <w:b/>
          <w:bCs/>
          <w:sz w:val="22"/>
          <w:szCs w:val="22"/>
          <w:lang w:eastAsia="en-GB"/>
        </w:rPr>
        <w:t>3.2</w:t>
      </w:r>
      <w:r w:rsidR="00C65265" w:rsidRPr="00DA7319">
        <w:rPr>
          <w:rFonts w:ascii="Arial" w:hAnsi="Arial" w:cs="Arial"/>
          <w:b/>
          <w:bCs/>
          <w:sz w:val="22"/>
          <w:szCs w:val="22"/>
          <w:lang w:eastAsia="en-GB"/>
        </w:rPr>
        <w:t xml:space="preserve"> </w:t>
      </w:r>
      <w:r w:rsidRPr="00DA7319">
        <w:rPr>
          <w:rFonts w:ascii="Arial" w:hAnsi="Arial" w:cs="Arial"/>
          <w:b/>
          <w:bCs/>
          <w:sz w:val="22"/>
          <w:szCs w:val="22"/>
          <w:lang w:eastAsia="en-GB"/>
        </w:rPr>
        <w:t>Participants’ Perception of Training on Phytomedicinal Antimalarial Research</w:t>
      </w:r>
    </w:p>
    <w:p w14:paraId="7363BB14" w14:textId="77777777" w:rsidR="00DD5F91" w:rsidRDefault="00DD5F91" w:rsidP="00B732EF">
      <w:pPr>
        <w:pStyle w:val="Body"/>
        <w:spacing w:after="0"/>
        <w:rPr>
          <w:rFonts w:ascii="Arial" w:hAnsi="Arial" w:cs="Arial"/>
          <w:lang w:eastAsia="en-GB"/>
        </w:rPr>
      </w:pPr>
      <w:r w:rsidRPr="00DD5F91">
        <w:rPr>
          <w:rFonts w:ascii="Arial" w:hAnsi="Arial" w:cs="Arial"/>
          <w:lang w:eastAsia="en-GB"/>
        </w:rPr>
        <w:t xml:space="preserve">As presented in Figure 1, an assessment of the participants’ perception of training on the </w:t>
      </w:r>
      <w:proofErr w:type="spellStart"/>
      <w:r w:rsidRPr="00DD5F91">
        <w:rPr>
          <w:rFonts w:ascii="Arial" w:hAnsi="Arial" w:cs="Arial"/>
          <w:lang w:eastAsia="en-GB"/>
        </w:rPr>
        <w:t>utilisation</w:t>
      </w:r>
      <w:proofErr w:type="spellEnd"/>
      <w:r w:rsidRPr="00DD5F91">
        <w:rPr>
          <w:rFonts w:ascii="Arial" w:hAnsi="Arial" w:cs="Arial"/>
          <w:lang w:eastAsia="en-GB"/>
        </w:rPr>
        <w:t xml:space="preserve"> of phytomedicinal antimalarials showed that majority (94.6%) of the participants agreed that such a program on its implementation for research would help exposure and understanding. </w:t>
      </w:r>
    </w:p>
    <w:p w14:paraId="540CDC8F" w14:textId="77777777" w:rsidR="004405A4" w:rsidRDefault="004405A4" w:rsidP="00B732EF">
      <w:pPr>
        <w:pStyle w:val="Body"/>
        <w:spacing w:after="0"/>
        <w:rPr>
          <w:rFonts w:ascii="Arial" w:hAnsi="Arial" w:cs="Arial"/>
          <w:lang w:eastAsia="en-GB"/>
        </w:rPr>
      </w:pPr>
    </w:p>
    <w:p w14:paraId="0C76422E" w14:textId="77777777" w:rsidR="004405A4" w:rsidRDefault="004405A4" w:rsidP="00B732EF">
      <w:pPr>
        <w:pStyle w:val="Body"/>
        <w:spacing w:after="0"/>
        <w:rPr>
          <w:rFonts w:ascii="Arial" w:hAnsi="Arial" w:cs="Arial"/>
          <w:lang w:eastAsia="en-GB"/>
        </w:rPr>
      </w:pPr>
      <w:r w:rsidRPr="00DD5F91">
        <w:rPr>
          <w:rFonts w:ascii="Arial" w:hAnsi="Arial" w:cs="Arial"/>
          <w:noProof/>
          <w:lang w:val="en-AU" w:eastAsia="en-GB"/>
        </w:rPr>
        <w:drawing>
          <wp:anchor distT="0" distB="0" distL="114300" distR="114300" simplePos="0" relativeHeight="251659264" behindDoc="1" locked="0" layoutInCell="1" allowOverlap="1" wp14:anchorId="497962E5" wp14:editId="50D3BAFD">
            <wp:simplePos x="0" y="0"/>
            <wp:positionH relativeFrom="column">
              <wp:posOffset>521970</wp:posOffset>
            </wp:positionH>
            <wp:positionV relativeFrom="paragraph">
              <wp:posOffset>66675</wp:posOffset>
            </wp:positionV>
            <wp:extent cx="3331845" cy="2111375"/>
            <wp:effectExtent l="0" t="0" r="0" b="0"/>
            <wp:wrapTight wrapText="bothSides">
              <wp:wrapPolygon edited="0">
                <wp:start x="0" y="0"/>
                <wp:lineTo x="0" y="21438"/>
                <wp:lineTo x="21489" y="21438"/>
                <wp:lineTo x="2148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1845" cy="2111375"/>
                    </a:xfrm>
                    <a:prstGeom prst="rect">
                      <a:avLst/>
                    </a:prstGeom>
                    <a:noFill/>
                  </pic:spPr>
                </pic:pic>
              </a:graphicData>
            </a:graphic>
            <wp14:sizeRelH relativeFrom="page">
              <wp14:pctWidth>0</wp14:pctWidth>
            </wp14:sizeRelH>
            <wp14:sizeRelV relativeFrom="page">
              <wp14:pctHeight>0</wp14:pctHeight>
            </wp14:sizeRelV>
          </wp:anchor>
        </w:drawing>
      </w:r>
    </w:p>
    <w:p w14:paraId="2FD5853A" w14:textId="77777777" w:rsidR="004405A4" w:rsidRDefault="004405A4" w:rsidP="00B732EF">
      <w:pPr>
        <w:pStyle w:val="Body"/>
        <w:spacing w:after="0"/>
        <w:rPr>
          <w:rFonts w:ascii="Arial" w:hAnsi="Arial" w:cs="Arial"/>
          <w:lang w:eastAsia="en-GB"/>
        </w:rPr>
      </w:pPr>
    </w:p>
    <w:p w14:paraId="2D64C37C" w14:textId="77777777" w:rsidR="004405A4" w:rsidRDefault="004405A4" w:rsidP="00B732EF">
      <w:pPr>
        <w:pStyle w:val="Body"/>
        <w:spacing w:after="0"/>
        <w:rPr>
          <w:rFonts w:ascii="Arial" w:hAnsi="Arial" w:cs="Arial"/>
          <w:lang w:eastAsia="en-GB"/>
        </w:rPr>
      </w:pPr>
    </w:p>
    <w:p w14:paraId="0DAC357B" w14:textId="77777777" w:rsidR="004405A4" w:rsidRDefault="004405A4" w:rsidP="00B732EF">
      <w:pPr>
        <w:pStyle w:val="Body"/>
        <w:spacing w:after="0"/>
        <w:rPr>
          <w:rFonts w:ascii="Arial" w:hAnsi="Arial" w:cs="Arial"/>
          <w:lang w:eastAsia="en-GB"/>
        </w:rPr>
      </w:pPr>
    </w:p>
    <w:p w14:paraId="228C6376" w14:textId="77777777" w:rsidR="004405A4" w:rsidRDefault="004405A4" w:rsidP="00B732EF">
      <w:pPr>
        <w:pStyle w:val="Body"/>
        <w:spacing w:after="0"/>
        <w:rPr>
          <w:rFonts w:ascii="Arial" w:hAnsi="Arial" w:cs="Arial"/>
          <w:lang w:eastAsia="en-GB"/>
        </w:rPr>
      </w:pPr>
    </w:p>
    <w:p w14:paraId="7ED06D0C" w14:textId="77777777" w:rsidR="004405A4" w:rsidRDefault="004405A4" w:rsidP="00B732EF">
      <w:pPr>
        <w:pStyle w:val="Body"/>
        <w:spacing w:after="0"/>
        <w:rPr>
          <w:rFonts w:ascii="Arial" w:hAnsi="Arial" w:cs="Arial"/>
          <w:lang w:eastAsia="en-GB"/>
        </w:rPr>
      </w:pPr>
    </w:p>
    <w:p w14:paraId="1CF454A1" w14:textId="77777777" w:rsidR="004405A4" w:rsidRDefault="004405A4" w:rsidP="00B732EF">
      <w:pPr>
        <w:pStyle w:val="Body"/>
        <w:spacing w:after="0"/>
        <w:rPr>
          <w:rFonts w:ascii="Arial" w:hAnsi="Arial" w:cs="Arial"/>
          <w:lang w:eastAsia="en-GB"/>
        </w:rPr>
      </w:pPr>
    </w:p>
    <w:p w14:paraId="645F7449" w14:textId="77777777" w:rsidR="004405A4" w:rsidRDefault="004405A4" w:rsidP="00B732EF">
      <w:pPr>
        <w:pStyle w:val="Body"/>
        <w:spacing w:after="0"/>
        <w:rPr>
          <w:rFonts w:ascii="Arial" w:hAnsi="Arial" w:cs="Arial"/>
          <w:lang w:eastAsia="en-GB"/>
        </w:rPr>
      </w:pPr>
    </w:p>
    <w:p w14:paraId="3CFCFF85" w14:textId="77777777" w:rsidR="004405A4" w:rsidRDefault="004405A4" w:rsidP="00B732EF">
      <w:pPr>
        <w:pStyle w:val="Body"/>
        <w:spacing w:after="0"/>
        <w:rPr>
          <w:rFonts w:ascii="Arial" w:hAnsi="Arial" w:cs="Arial"/>
          <w:lang w:eastAsia="en-GB"/>
        </w:rPr>
      </w:pPr>
    </w:p>
    <w:p w14:paraId="50E3537A" w14:textId="77777777" w:rsidR="004405A4" w:rsidRDefault="004405A4" w:rsidP="00B732EF">
      <w:pPr>
        <w:pStyle w:val="Body"/>
        <w:spacing w:after="0"/>
        <w:rPr>
          <w:rFonts w:ascii="Arial" w:hAnsi="Arial" w:cs="Arial"/>
          <w:lang w:eastAsia="en-GB"/>
        </w:rPr>
      </w:pPr>
    </w:p>
    <w:p w14:paraId="3C065812" w14:textId="77777777" w:rsidR="004405A4" w:rsidRDefault="004405A4" w:rsidP="00B732EF">
      <w:pPr>
        <w:pStyle w:val="Body"/>
        <w:spacing w:after="0"/>
        <w:rPr>
          <w:rFonts w:ascii="Arial" w:hAnsi="Arial" w:cs="Arial"/>
          <w:lang w:eastAsia="en-GB"/>
        </w:rPr>
      </w:pPr>
    </w:p>
    <w:p w14:paraId="5A6D81D4" w14:textId="77777777" w:rsidR="004405A4" w:rsidRDefault="004405A4" w:rsidP="00B732EF">
      <w:pPr>
        <w:pStyle w:val="Body"/>
        <w:spacing w:after="0"/>
        <w:rPr>
          <w:rFonts w:ascii="Arial" w:hAnsi="Arial" w:cs="Arial"/>
          <w:lang w:eastAsia="en-GB"/>
        </w:rPr>
      </w:pPr>
    </w:p>
    <w:p w14:paraId="361A934F" w14:textId="77777777" w:rsidR="004405A4" w:rsidRDefault="004405A4" w:rsidP="00B732EF">
      <w:pPr>
        <w:pStyle w:val="Body"/>
        <w:spacing w:after="0"/>
        <w:rPr>
          <w:rFonts w:ascii="Arial" w:hAnsi="Arial" w:cs="Arial"/>
          <w:lang w:eastAsia="en-GB"/>
        </w:rPr>
      </w:pPr>
    </w:p>
    <w:p w14:paraId="349209C1" w14:textId="77777777" w:rsidR="004405A4" w:rsidRDefault="004405A4" w:rsidP="00B732EF">
      <w:pPr>
        <w:pStyle w:val="Body"/>
        <w:spacing w:after="0"/>
        <w:rPr>
          <w:rFonts w:ascii="Arial" w:hAnsi="Arial" w:cs="Arial"/>
          <w:lang w:eastAsia="en-GB"/>
        </w:rPr>
      </w:pPr>
    </w:p>
    <w:p w14:paraId="618CF299" w14:textId="77777777" w:rsidR="004405A4" w:rsidRDefault="004405A4" w:rsidP="00B732EF">
      <w:pPr>
        <w:pStyle w:val="Body"/>
        <w:spacing w:after="0"/>
        <w:rPr>
          <w:rFonts w:ascii="Arial" w:hAnsi="Arial" w:cs="Arial"/>
          <w:lang w:eastAsia="en-GB"/>
        </w:rPr>
      </w:pPr>
    </w:p>
    <w:p w14:paraId="7743CE57" w14:textId="77777777" w:rsidR="00B732EF" w:rsidRPr="00B732EF" w:rsidRDefault="00B732EF" w:rsidP="00B732EF">
      <w:pPr>
        <w:pStyle w:val="Body"/>
        <w:spacing w:after="0"/>
        <w:rPr>
          <w:rFonts w:ascii="Arial" w:hAnsi="Arial" w:cs="Arial"/>
          <w:lang w:eastAsia="en-GB"/>
        </w:rPr>
      </w:pPr>
    </w:p>
    <w:p w14:paraId="7F4FDBFC" w14:textId="77777777" w:rsidR="00790ADA" w:rsidRPr="00B732EF" w:rsidRDefault="00DD5F91" w:rsidP="00DD5F91">
      <w:pPr>
        <w:pStyle w:val="Body"/>
        <w:spacing w:after="0"/>
        <w:rPr>
          <w:rFonts w:ascii="Arial" w:hAnsi="Arial" w:cs="Arial"/>
          <w:b/>
          <w:lang w:eastAsia="en-GB"/>
        </w:rPr>
      </w:pPr>
      <w:r w:rsidRPr="00B732EF">
        <w:rPr>
          <w:rFonts w:ascii="Arial" w:hAnsi="Arial" w:cs="Arial"/>
          <w:b/>
          <w:lang w:eastAsia="en-GB"/>
        </w:rPr>
        <w:t>Fig</w:t>
      </w:r>
      <w:r w:rsidR="0044298F">
        <w:rPr>
          <w:rFonts w:ascii="Arial" w:hAnsi="Arial" w:cs="Arial"/>
          <w:b/>
          <w:lang w:eastAsia="en-GB"/>
        </w:rPr>
        <w:t>.</w:t>
      </w:r>
      <w:r w:rsidRPr="00B732EF">
        <w:rPr>
          <w:rFonts w:ascii="Arial" w:hAnsi="Arial" w:cs="Arial"/>
          <w:b/>
          <w:lang w:eastAsia="en-GB"/>
        </w:rPr>
        <w:t xml:space="preserve"> 1</w:t>
      </w:r>
      <w:r w:rsidR="0044298F">
        <w:rPr>
          <w:rFonts w:ascii="Arial" w:hAnsi="Arial" w:cs="Arial"/>
          <w:b/>
          <w:lang w:eastAsia="en-GB"/>
        </w:rPr>
        <w:t>.</w:t>
      </w:r>
      <w:r w:rsidRPr="00B732EF">
        <w:rPr>
          <w:rFonts w:ascii="Arial" w:hAnsi="Arial" w:cs="Arial"/>
          <w:b/>
          <w:lang w:eastAsia="en-GB"/>
        </w:rPr>
        <w:t xml:space="preserve"> </w:t>
      </w:r>
      <w:r w:rsidRPr="007F7BB1">
        <w:rPr>
          <w:rFonts w:ascii="Arial" w:hAnsi="Arial" w:cs="Arial"/>
          <w:b/>
          <w:lang w:eastAsia="en-GB"/>
        </w:rPr>
        <w:t xml:space="preserve">Perception </w:t>
      </w:r>
      <w:r w:rsidR="00880E74" w:rsidRPr="007F7BB1">
        <w:rPr>
          <w:rFonts w:ascii="Arial" w:hAnsi="Arial" w:cs="Arial"/>
          <w:b/>
          <w:lang w:eastAsia="en-GB"/>
        </w:rPr>
        <w:t>of training on phytomedicinal antimalarial research</w:t>
      </w:r>
    </w:p>
    <w:p w14:paraId="35B74078" w14:textId="77777777" w:rsidR="00EA6255" w:rsidRPr="00EA6255" w:rsidRDefault="00EA6255" w:rsidP="00DD5F91">
      <w:pPr>
        <w:pStyle w:val="Body"/>
        <w:spacing w:after="0"/>
        <w:rPr>
          <w:rFonts w:ascii="Arial" w:hAnsi="Arial" w:cs="Arial"/>
          <w:lang w:eastAsia="en-GB"/>
        </w:rPr>
      </w:pPr>
    </w:p>
    <w:p w14:paraId="5231010D" w14:textId="77777777" w:rsidR="00EA6255" w:rsidRPr="00DA7319" w:rsidRDefault="007F7BB1" w:rsidP="00EA6255">
      <w:pPr>
        <w:pStyle w:val="Body"/>
        <w:spacing w:after="0"/>
        <w:rPr>
          <w:rFonts w:ascii="Arial" w:hAnsi="Arial" w:cs="Arial"/>
          <w:b/>
          <w:bCs/>
          <w:sz w:val="22"/>
          <w:szCs w:val="22"/>
        </w:rPr>
      </w:pPr>
      <w:r w:rsidRPr="00DA7319">
        <w:rPr>
          <w:rFonts w:ascii="Arial" w:hAnsi="Arial" w:cs="Arial"/>
          <w:b/>
          <w:bCs/>
          <w:sz w:val="22"/>
          <w:szCs w:val="22"/>
        </w:rPr>
        <w:t>3</w:t>
      </w:r>
      <w:r w:rsidR="00EA6255" w:rsidRPr="00DA7319">
        <w:rPr>
          <w:rFonts w:ascii="Arial" w:hAnsi="Arial" w:cs="Arial"/>
          <w:b/>
          <w:bCs/>
          <w:sz w:val="22"/>
          <w:szCs w:val="22"/>
        </w:rPr>
        <w:t>.</w:t>
      </w:r>
      <w:r w:rsidR="00C07C03" w:rsidRPr="00DA7319">
        <w:rPr>
          <w:rFonts w:ascii="Arial" w:hAnsi="Arial" w:cs="Arial"/>
          <w:b/>
          <w:bCs/>
          <w:sz w:val="22"/>
          <w:szCs w:val="22"/>
        </w:rPr>
        <w:t>3</w:t>
      </w:r>
      <w:r w:rsidR="00C65265" w:rsidRPr="00DA7319">
        <w:rPr>
          <w:rFonts w:ascii="Arial" w:hAnsi="Arial" w:cs="Arial"/>
          <w:b/>
          <w:bCs/>
          <w:sz w:val="22"/>
          <w:szCs w:val="22"/>
        </w:rPr>
        <w:t xml:space="preserve"> </w:t>
      </w:r>
      <w:r w:rsidR="00EA6255" w:rsidRPr="00DA7319">
        <w:rPr>
          <w:rFonts w:ascii="Arial" w:hAnsi="Arial" w:cs="Arial"/>
          <w:b/>
          <w:bCs/>
          <w:sz w:val="22"/>
          <w:szCs w:val="22"/>
        </w:rPr>
        <w:t>Opportunities for Practical Exposure</w:t>
      </w:r>
    </w:p>
    <w:p w14:paraId="3D02382C" w14:textId="77777777" w:rsidR="00EA6255" w:rsidRDefault="00EA6255" w:rsidP="00EA6255">
      <w:pPr>
        <w:pStyle w:val="Body"/>
        <w:spacing w:after="0"/>
        <w:rPr>
          <w:rFonts w:ascii="Arial" w:hAnsi="Arial" w:cs="Arial"/>
        </w:rPr>
      </w:pPr>
      <w:r w:rsidRPr="00EA6255">
        <w:rPr>
          <w:rFonts w:ascii="Arial" w:hAnsi="Arial" w:cs="Arial"/>
        </w:rPr>
        <w:t xml:space="preserve">Participants’ responses to the question on what opportunities they considered crucial for gaining practical experience in the field of natural antimalarials are </w:t>
      </w:r>
      <w:proofErr w:type="spellStart"/>
      <w:r w:rsidRPr="00EA6255">
        <w:rPr>
          <w:rFonts w:ascii="Arial" w:hAnsi="Arial" w:cs="Arial"/>
        </w:rPr>
        <w:t>summarised</w:t>
      </w:r>
      <w:proofErr w:type="spellEnd"/>
      <w:r w:rsidRPr="00EA6255">
        <w:rPr>
          <w:rFonts w:ascii="Arial" w:hAnsi="Arial" w:cs="Arial"/>
        </w:rPr>
        <w:t xml:space="preserve"> in Figure 2. More than half (53.1%) of the respondents indicated that internships at research institutions were critical for operational experience. Also, one-quarter of the study cohort opined that collaboration with local communities is essential whilst only 21.2% were of the opinion that participation in fieldwork was a determinant for gaining real-world experience on phytomedicinal antimalarials</w:t>
      </w:r>
      <w:r>
        <w:rPr>
          <w:rFonts w:ascii="Arial" w:hAnsi="Arial" w:cs="Arial"/>
        </w:rPr>
        <w:t>.</w:t>
      </w:r>
    </w:p>
    <w:p w14:paraId="1931D1C5" w14:textId="77777777" w:rsidR="00EA6255" w:rsidRDefault="00EA6255" w:rsidP="00EA6255">
      <w:pPr>
        <w:pStyle w:val="Body"/>
        <w:spacing w:after="0"/>
        <w:rPr>
          <w:rFonts w:ascii="Arial" w:hAnsi="Arial" w:cs="Arial"/>
        </w:rPr>
      </w:pPr>
    </w:p>
    <w:p w14:paraId="2749279E" w14:textId="77777777" w:rsidR="00EA6255" w:rsidRDefault="004405A4" w:rsidP="007F7BB1">
      <w:pPr>
        <w:pStyle w:val="Body"/>
        <w:spacing w:after="0"/>
        <w:rPr>
          <w:rFonts w:ascii="Arial" w:hAnsi="Arial" w:cs="Arial"/>
        </w:rPr>
      </w:pPr>
      <w:r w:rsidRPr="00EA6255">
        <w:rPr>
          <w:rFonts w:ascii="Arial" w:hAnsi="Arial" w:cs="Arial"/>
          <w:noProof/>
          <w:lang w:val="en-AU"/>
        </w:rPr>
        <w:drawing>
          <wp:anchor distT="0" distB="0" distL="114300" distR="114300" simplePos="0" relativeHeight="251661312" behindDoc="1" locked="0" layoutInCell="1" allowOverlap="1" wp14:anchorId="65B966E8" wp14:editId="14ADBACF">
            <wp:simplePos x="0" y="0"/>
            <wp:positionH relativeFrom="column">
              <wp:posOffset>371475</wp:posOffset>
            </wp:positionH>
            <wp:positionV relativeFrom="paragraph">
              <wp:posOffset>62865</wp:posOffset>
            </wp:positionV>
            <wp:extent cx="3149600" cy="1835150"/>
            <wp:effectExtent l="0" t="0" r="0" b="0"/>
            <wp:wrapTight wrapText="bothSides">
              <wp:wrapPolygon edited="0">
                <wp:start x="0" y="0"/>
                <wp:lineTo x="0" y="21301"/>
                <wp:lineTo x="21426" y="21301"/>
                <wp:lineTo x="2142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9600" cy="1835150"/>
                    </a:xfrm>
                    <a:prstGeom prst="rect">
                      <a:avLst/>
                    </a:prstGeom>
                    <a:noFill/>
                  </pic:spPr>
                </pic:pic>
              </a:graphicData>
            </a:graphic>
            <wp14:sizeRelH relativeFrom="page">
              <wp14:pctWidth>0</wp14:pctWidth>
            </wp14:sizeRelH>
            <wp14:sizeRelV relativeFrom="page">
              <wp14:pctHeight>0</wp14:pctHeight>
            </wp14:sizeRelV>
          </wp:anchor>
        </w:drawing>
      </w:r>
    </w:p>
    <w:p w14:paraId="3C81A2F4" w14:textId="77777777" w:rsidR="004405A4" w:rsidRDefault="004405A4" w:rsidP="007F7BB1">
      <w:pPr>
        <w:pStyle w:val="Body"/>
        <w:spacing w:after="0"/>
        <w:rPr>
          <w:rFonts w:ascii="Arial" w:hAnsi="Arial" w:cs="Arial"/>
        </w:rPr>
      </w:pPr>
    </w:p>
    <w:p w14:paraId="54553A37" w14:textId="77777777" w:rsidR="004405A4" w:rsidRDefault="004405A4" w:rsidP="007F7BB1">
      <w:pPr>
        <w:pStyle w:val="Body"/>
        <w:spacing w:after="0"/>
        <w:rPr>
          <w:rFonts w:ascii="Arial" w:hAnsi="Arial" w:cs="Arial"/>
        </w:rPr>
      </w:pPr>
    </w:p>
    <w:p w14:paraId="64A72612" w14:textId="77777777" w:rsidR="004405A4" w:rsidRDefault="004405A4" w:rsidP="007F7BB1">
      <w:pPr>
        <w:pStyle w:val="Body"/>
        <w:spacing w:after="0"/>
        <w:rPr>
          <w:rFonts w:ascii="Arial" w:hAnsi="Arial" w:cs="Arial"/>
        </w:rPr>
      </w:pPr>
    </w:p>
    <w:p w14:paraId="7B6C756D" w14:textId="77777777" w:rsidR="004405A4" w:rsidRDefault="004405A4" w:rsidP="007F7BB1">
      <w:pPr>
        <w:pStyle w:val="Body"/>
        <w:spacing w:after="0"/>
        <w:rPr>
          <w:rFonts w:ascii="Arial" w:hAnsi="Arial" w:cs="Arial"/>
        </w:rPr>
      </w:pPr>
    </w:p>
    <w:p w14:paraId="0AE1BE3A" w14:textId="77777777" w:rsidR="004405A4" w:rsidRDefault="004405A4" w:rsidP="007F7BB1">
      <w:pPr>
        <w:pStyle w:val="Body"/>
        <w:spacing w:after="0"/>
        <w:rPr>
          <w:rFonts w:ascii="Arial" w:hAnsi="Arial" w:cs="Arial"/>
        </w:rPr>
      </w:pPr>
    </w:p>
    <w:p w14:paraId="114B72A4" w14:textId="77777777" w:rsidR="004405A4" w:rsidRDefault="004405A4" w:rsidP="007F7BB1">
      <w:pPr>
        <w:pStyle w:val="Body"/>
        <w:spacing w:after="0"/>
        <w:rPr>
          <w:rFonts w:ascii="Arial" w:hAnsi="Arial" w:cs="Arial"/>
        </w:rPr>
      </w:pPr>
    </w:p>
    <w:p w14:paraId="1679C091" w14:textId="77777777" w:rsidR="004405A4" w:rsidRDefault="004405A4" w:rsidP="007F7BB1">
      <w:pPr>
        <w:pStyle w:val="Body"/>
        <w:spacing w:after="0"/>
        <w:rPr>
          <w:rFonts w:ascii="Arial" w:hAnsi="Arial" w:cs="Arial"/>
        </w:rPr>
      </w:pPr>
    </w:p>
    <w:p w14:paraId="57DD3CFC" w14:textId="77777777" w:rsidR="004405A4" w:rsidRDefault="004405A4" w:rsidP="007F7BB1">
      <w:pPr>
        <w:pStyle w:val="Body"/>
        <w:spacing w:after="0"/>
        <w:rPr>
          <w:rFonts w:ascii="Arial" w:hAnsi="Arial" w:cs="Arial"/>
        </w:rPr>
      </w:pPr>
    </w:p>
    <w:p w14:paraId="5D79863B" w14:textId="77777777" w:rsidR="004405A4" w:rsidRDefault="004405A4" w:rsidP="007F7BB1">
      <w:pPr>
        <w:pStyle w:val="Body"/>
        <w:spacing w:after="0"/>
        <w:rPr>
          <w:rFonts w:ascii="Arial" w:hAnsi="Arial" w:cs="Arial"/>
        </w:rPr>
      </w:pPr>
    </w:p>
    <w:p w14:paraId="1A1F7AD9" w14:textId="77777777" w:rsidR="004405A4" w:rsidRDefault="004405A4" w:rsidP="007F7BB1">
      <w:pPr>
        <w:pStyle w:val="Body"/>
        <w:spacing w:after="0"/>
        <w:rPr>
          <w:rFonts w:ascii="Arial" w:hAnsi="Arial" w:cs="Arial"/>
        </w:rPr>
      </w:pPr>
    </w:p>
    <w:p w14:paraId="44B8A282" w14:textId="77777777" w:rsidR="004405A4" w:rsidRDefault="004405A4" w:rsidP="007F7BB1">
      <w:pPr>
        <w:pStyle w:val="Body"/>
        <w:spacing w:after="0"/>
        <w:rPr>
          <w:rFonts w:ascii="Arial" w:hAnsi="Arial" w:cs="Arial"/>
        </w:rPr>
      </w:pPr>
    </w:p>
    <w:p w14:paraId="7A3F4098" w14:textId="77777777" w:rsidR="004405A4" w:rsidRDefault="004405A4" w:rsidP="007F7BB1">
      <w:pPr>
        <w:pStyle w:val="Body"/>
        <w:spacing w:after="0"/>
        <w:rPr>
          <w:rFonts w:ascii="Arial" w:hAnsi="Arial" w:cs="Arial"/>
        </w:rPr>
      </w:pPr>
    </w:p>
    <w:p w14:paraId="679E1295" w14:textId="77777777" w:rsidR="004405A4" w:rsidRPr="00EA6255" w:rsidRDefault="004405A4" w:rsidP="007F7BB1">
      <w:pPr>
        <w:pStyle w:val="Body"/>
        <w:spacing w:after="0"/>
        <w:rPr>
          <w:rFonts w:ascii="Arial" w:hAnsi="Arial" w:cs="Arial"/>
        </w:rPr>
      </w:pPr>
    </w:p>
    <w:p w14:paraId="363BD8A3" w14:textId="77777777" w:rsidR="00EA6255" w:rsidRPr="00EB3F7E" w:rsidRDefault="00EA6255" w:rsidP="00EA6255">
      <w:pPr>
        <w:pStyle w:val="Body"/>
        <w:spacing w:after="0"/>
        <w:rPr>
          <w:rFonts w:ascii="Arial" w:hAnsi="Arial" w:cs="Arial"/>
          <w:b/>
        </w:rPr>
      </w:pPr>
      <w:r w:rsidRPr="00EB3F7E">
        <w:rPr>
          <w:rFonts w:ascii="Arial" w:hAnsi="Arial" w:cs="Arial"/>
          <w:b/>
        </w:rPr>
        <w:t>Fig</w:t>
      </w:r>
      <w:r w:rsidR="0044298F" w:rsidRPr="00EB3F7E">
        <w:rPr>
          <w:rFonts w:ascii="Arial" w:hAnsi="Arial" w:cs="Arial"/>
          <w:b/>
        </w:rPr>
        <w:t>.</w:t>
      </w:r>
      <w:r w:rsidRPr="00EB3F7E">
        <w:rPr>
          <w:rFonts w:ascii="Arial" w:hAnsi="Arial" w:cs="Arial"/>
          <w:b/>
        </w:rPr>
        <w:t xml:space="preserve"> 2</w:t>
      </w:r>
      <w:r w:rsidR="0044298F" w:rsidRPr="00EB3F7E">
        <w:rPr>
          <w:rFonts w:ascii="Arial" w:hAnsi="Arial" w:cs="Arial"/>
          <w:b/>
        </w:rPr>
        <w:t>.</w:t>
      </w:r>
      <w:r w:rsidRPr="00EB3F7E">
        <w:rPr>
          <w:rFonts w:ascii="Arial" w:hAnsi="Arial" w:cs="Arial"/>
          <w:b/>
        </w:rPr>
        <w:t xml:space="preserve"> </w:t>
      </w:r>
      <w:r w:rsidR="008544CC" w:rsidRPr="00EB3F7E">
        <w:rPr>
          <w:rFonts w:ascii="Arial" w:hAnsi="Arial" w:cs="Arial"/>
          <w:b/>
          <w:i/>
          <w:lang w:val="en-GB"/>
        </w:rPr>
        <w:t xml:space="preserve">Crucial opportunity </w:t>
      </w:r>
      <w:r w:rsidR="008544CC">
        <w:rPr>
          <w:rFonts w:ascii="Arial" w:hAnsi="Arial" w:cs="Arial"/>
          <w:b/>
          <w:i/>
          <w:lang w:val="en-GB"/>
        </w:rPr>
        <w:t>for</w:t>
      </w:r>
      <w:r w:rsidR="008544CC" w:rsidRPr="00EB3F7E">
        <w:rPr>
          <w:rFonts w:ascii="Arial" w:hAnsi="Arial" w:cs="Arial"/>
          <w:b/>
          <w:i/>
          <w:lang w:val="en-GB"/>
        </w:rPr>
        <w:t xml:space="preserve"> practical experience </w:t>
      </w:r>
      <w:r w:rsidR="008544CC">
        <w:rPr>
          <w:rFonts w:ascii="Arial" w:hAnsi="Arial" w:cs="Arial"/>
          <w:b/>
          <w:i/>
          <w:lang w:val="en-GB"/>
        </w:rPr>
        <w:t>in</w:t>
      </w:r>
      <w:r w:rsidR="008544CC" w:rsidRPr="00EB3F7E">
        <w:rPr>
          <w:rFonts w:ascii="Arial" w:hAnsi="Arial" w:cs="Arial"/>
          <w:b/>
          <w:i/>
          <w:lang w:val="en-GB"/>
        </w:rPr>
        <w:t xml:space="preserve"> phytomedicinal antimalarial research</w:t>
      </w:r>
    </w:p>
    <w:p w14:paraId="30F2BE61" w14:textId="77777777" w:rsidR="00EA6255" w:rsidRPr="00DA7319" w:rsidRDefault="00EA6255" w:rsidP="00EA6255">
      <w:pPr>
        <w:pStyle w:val="Body"/>
        <w:spacing w:after="0"/>
        <w:rPr>
          <w:rFonts w:ascii="Arial" w:hAnsi="Arial" w:cs="Arial"/>
          <w:sz w:val="22"/>
          <w:szCs w:val="22"/>
        </w:rPr>
      </w:pPr>
    </w:p>
    <w:p w14:paraId="6B7E6EEB" w14:textId="77777777" w:rsidR="00EA6255" w:rsidRPr="001E3955" w:rsidRDefault="00C07C03" w:rsidP="00EA6255">
      <w:pPr>
        <w:pStyle w:val="Body"/>
        <w:spacing w:after="0"/>
        <w:rPr>
          <w:rFonts w:ascii="Arial" w:hAnsi="Arial" w:cs="Arial"/>
          <w:b/>
          <w:bCs/>
          <w:sz w:val="22"/>
          <w:szCs w:val="22"/>
        </w:rPr>
      </w:pPr>
      <w:r w:rsidRPr="001E3955">
        <w:rPr>
          <w:rFonts w:ascii="Arial" w:hAnsi="Arial" w:cs="Arial"/>
          <w:b/>
          <w:bCs/>
          <w:sz w:val="22"/>
          <w:szCs w:val="22"/>
        </w:rPr>
        <w:t>3.4</w:t>
      </w:r>
      <w:r w:rsidR="004D1232" w:rsidRPr="001E3955">
        <w:rPr>
          <w:rFonts w:ascii="Arial" w:hAnsi="Arial" w:cs="Arial"/>
          <w:b/>
          <w:bCs/>
          <w:sz w:val="22"/>
          <w:szCs w:val="22"/>
        </w:rPr>
        <w:t xml:space="preserve">. </w:t>
      </w:r>
      <w:r w:rsidR="00EA6255" w:rsidRPr="001E3955">
        <w:rPr>
          <w:rFonts w:ascii="Arial" w:hAnsi="Arial" w:cs="Arial"/>
          <w:b/>
          <w:sz w:val="22"/>
          <w:szCs w:val="22"/>
        </w:rPr>
        <w:t>Interest in Phytomedicinal Antimalarial Research</w:t>
      </w:r>
    </w:p>
    <w:p w14:paraId="6C722BD9" w14:textId="77777777" w:rsidR="00EA6255" w:rsidRDefault="00EA6255" w:rsidP="00EA6255">
      <w:pPr>
        <w:pStyle w:val="Body"/>
        <w:spacing w:after="0"/>
        <w:rPr>
          <w:rFonts w:ascii="Arial" w:hAnsi="Arial" w:cs="Arial"/>
        </w:rPr>
      </w:pPr>
      <w:r w:rsidRPr="00EA6255">
        <w:rPr>
          <w:rFonts w:ascii="Arial" w:hAnsi="Arial" w:cs="Arial"/>
        </w:rPr>
        <w:t>Findings from this study demonstrate that a strong majority of the young health professionals (95.1%) were interested in phytomedicinal antimalarial research however, 4.9% of the respondents stated that they were not interested. Furthermore, the motivation to engage in the research amongst participants who indicated interest as presented in Figure 3, shows that more of the participants were motivated because of the desire to make a difference. Participants whose motivation was due to academic curiosity were 23.8% of the sample. About two-thirds of the survey respondents (35.8%) revealed that they were passionate in engaging in phytomedicinal antimalarial research because of their career aspirations in healthcare.</w:t>
      </w:r>
    </w:p>
    <w:p w14:paraId="2C7DEF3B" w14:textId="77777777" w:rsidR="00BB718D" w:rsidRDefault="00BB718D" w:rsidP="00EA6255">
      <w:pPr>
        <w:pStyle w:val="Body"/>
        <w:spacing w:after="0"/>
        <w:rPr>
          <w:rFonts w:ascii="Arial" w:hAnsi="Arial" w:cs="Arial"/>
        </w:rPr>
      </w:pPr>
    </w:p>
    <w:p w14:paraId="55DE643F" w14:textId="77777777" w:rsidR="00BB718D" w:rsidRDefault="00BB718D" w:rsidP="00EA6255">
      <w:pPr>
        <w:pStyle w:val="Body"/>
        <w:spacing w:after="0"/>
        <w:rPr>
          <w:rFonts w:ascii="Arial" w:hAnsi="Arial" w:cs="Arial"/>
        </w:rPr>
      </w:pPr>
    </w:p>
    <w:p w14:paraId="4FEFF675" w14:textId="77777777" w:rsidR="00BB718D" w:rsidRDefault="00BB718D" w:rsidP="00EA6255">
      <w:pPr>
        <w:pStyle w:val="Body"/>
        <w:spacing w:after="0"/>
        <w:rPr>
          <w:rFonts w:ascii="Arial" w:hAnsi="Arial" w:cs="Arial"/>
        </w:rPr>
      </w:pPr>
    </w:p>
    <w:p w14:paraId="42407B9E" w14:textId="77777777" w:rsidR="00BB718D" w:rsidRDefault="00BB718D" w:rsidP="00EA6255">
      <w:pPr>
        <w:pStyle w:val="Body"/>
        <w:spacing w:after="0"/>
        <w:rPr>
          <w:rFonts w:ascii="Arial" w:hAnsi="Arial" w:cs="Arial"/>
        </w:rPr>
      </w:pPr>
    </w:p>
    <w:p w14:paraId="7309150C" w14:textId="77777777" w:rsidR="00EA6255" w:rsidRDefault="00EA6255" w:rsidP="00EA6255">
      <w:pPr>
        <w:pStyle w:val="Body"/>
        <w:spacing w:after="0"/>
        <w:rPr>
          <w:rFonts w:ascii="Arial" w:hAnsi="Arial" w:cs="Arial"/>
        </w:rPr>
      </w:pPr>
    </w:p>
    <w:p w14:paraId="3E7958E2" w14:textId="1D2995E8" w:rsidR="00EA6255" w:rsidRDefault="00EA6255" w:rsidP="00EA6255">
      <w:pPr>
        <w:pStyle w:val="Body"/>
        <w:spacing w:after="0"/>
        <w:rPr>
          <w:rFonts w:ascii="Arial" w:hAnsi="Arial" w:cs="Arial"/>
        </w:rPr>
      </w:pPr>
    </w:p>
    <w:p w14:paraId="5053A2C1" w14:textId="77777777" w:rsidR="00EA6255" w:rsidRDefault="00EA6255" w:rsidP="00EA6255">
      <w:pPr>
        <w:pStyle w:val="Body"/>
        <w:spacing w:after="0"/>
        <w:rPr>
          <w:rFonts w:ascii="Arial" w:hAnsi="Arial" w:cs="Arial"/>
        </w:rPr>
      </w:pPr>
    </w:p>
    <w:p w14:paraId="339798FC" w14:textId="77777777" w:rsidR="00EA6255" w:rsidRDefault="00EA6255" w:rsidP="00EA6255">
      <w:pPr>
        <w:pStyle w:val="Body"/>
        <w:spacing w:after="0"/>
        <w:rPr>
          <w:rFonts w:ascii="Arial" w:hAnsi="Arial" w:cs="Arial"/>
        </w:rPr>
      </w:pPr>
    </w:p>
    <w:p w14:paraId="59D4D157" w14:textId="1B3FD3E2" w:rsidR="00EA6255" w:rsidRDefault="00BB718D" w:rsidP="00EA6255">
      <w:pPr>
        <w:pStyle w:val="Body"/>
        <w:spacing w:after="0"/>
        <w:rPr>
          <w:rFonts w:ascii="Arial" w:hAnsi="Arial" w:cs="Arial"/>
        </w:rPr>
      </w:pPr>
      <w:r w:rsidRPr="00EA6255">
        <w:rPr>
          <w:rFonts w:ascii="Arial" w:hAnsi="Arial" w:cs="Arial"/>
          <w:noProof/>
          <w:lang w:val="en-AU"/>
        </w:rPr>
        <w:drawing>
          <wp:anchor distT="0" distB="0" distL="114300" distR="114300" simplePos="0" relativeHeight="251668480" behindDoc="1" locked="0" layoutInCell="1" allowOverlap="1" wp14:anchorId="7AB04A68" wp14:editId="02CDA63D">
            <wp:simplePos x="0" y="0"/>
            <wp:positionH relativeFrom="column">
              <wp:posOffset>477604</wp:posOffset>
            </wp:positionH>
            <wp:positionV relativeFrom="paragraph">
              <wp:posOffset>0</wp:posOffset>
            </wp:positionV>
            <wp:extent cx="3152140" cy="1792605"/>
            <wp:effectExtent l="0" t="0" r="0" b="0"/>
            <wp:wrapTight wrapText="bothSides">
              <wp:wrapPolygon edited="0">
                <wp:start x="0" y="0"/>
                <wp:lineTo x="0" y="21348"/>
                <wp:lineTo x="21409" y="21348"/>
                <wp:lineTo x="2140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140" cy="1792605"/>
                    </a:xfrm>
                    <a:prstGeom prst="rect">
                      <a:avLst/>
                    </a:prstGeom>
                    <a:noFill/>
                  </pic:spPr>
                </pic:pic>
              </a:graphicData>
            </a:graphic>
            <wp14:sizeRelH relativeFrom="page">
              <wp14:pctWidth>0</wp14:pctWidth>
            </wp14:sizeRelH>
            <wp14:sizeRelV relativeFrom="page">
              <wp14:pctHeight>0</wp14:pctHeight>
            </wp14:sizeRelV>
          </wp:anchor>
        </w:drawing>
      </w:r>
    </w:p>
    <w:p w14:paraId="546FCF9F" w14:textId="77777777" w:rsidR="00EA6255" w:rsidRDefault="00EA6255" w:rsidP="00EA6255">
      <w:pPr>
        <w:pStyle w:val="Body"/>
        <w:spacing w:after="0"/>
        <w:rPr>
          <w:rFonts w:ascii="Arial" w:hAnsi="Arial" w:cs="Arial"/>
        </w:rPr>
      </w:pPr>
    </w:p>
    <w:p w14:paraId="607CD882" w14:textId="77777777" w:rsidR="00EA6255" w:rsidRDefault="00EA6255" w:rsidP="00EA6255">
      <w:pPr>
        <w:pStyle w:val="Body"/>
        <w:spacing w:after="0"/>
        <w:rPr>
          <w:rFonts w:ascii="Arial" w:hAnsi="Arial" w:cs="Arial"/>
        </w:rPr>
      </w:pPr>
    </w:p>
    <w:p w14:paraId="308AD396" w14:textId="77777777" w:rsidR="00EA6255" w:rsidRDefault="00EA6255" w:rsidP="00EA6255">
      <w:pPr>
        <w:pStyle w:val="Body"/>
        <w:spacing w:after="0"/>
        <w:rPr>
          <w:rFonts w:ascii="Arial" w:hAnsi="Arial" w:cs="Arial"/>
        </w:rPr>
      </w:pPr>
    </w:p>
    <w:p w14:paraId="58E3EB98" w14:textId="77777777" w:rsidR="00EA6255" w:rsidRDefault="00EA6255" w:rsidP="00EA6255">
      <w:pPr>
        <w:pStyle w:val="Body"/>
        <w:spacing w:after="0"/>
        <w:rPr>
          <w:rFonts w:ascii="Arial" w:hAnsi="Arial" w:cs="Arial"/>
        </w:rPr>
      </w:pPr>
    </w:p>
    <w:p w14:paraId="3AD218B6" w14:textId="77777777" w:rsidR="00EA6255" w:rsidRDefault="00EA6255" w:rsidP="00EA6255">
      <w:pPr>
        <w:pStyle w:val="Body"/>
        <w:spacing w:after="0"/>
        <w:rPr>
          <w:rFonts w:ascii="Arial" w:hAnsi="Arial" w:cs="Arial"/>
        </w:rPr>
      </w:pPr>
    </w:p>
    <w:p w14:paraId="290AC693" w14:textId="77777777" w:rsidR="00EA6255" w:rsidRDefault="00EA6255" w:rsidP="00EA6255">
      <w:pPr>
        <w:pStyle w:val="Body"/>
        <w:spacing w:after="0"/>
        <w:rPr>
          <w:rFonts w:ascii="Arial" w:hAnsi="Arial" w:cs="Arial"/>
        </w:rPr>
      </w:pPr>
    </w:p>
    <w:p w14:paraId="1D70C1AF" w14:textId="77777777" w:rsidR="00EA6255" w:rsidRDefault="00EA6255" w:rsidP="00EA6255">
      <w:pPr>
        <w:pStyle w:val="Body"/>
        <w:spacing w:after="0"/>
        <w:rPr>
          <w:rFonts w:ascii="Arial" w:hAnsi="Arial" w:cs="Arial"/>
        </w:rPr>
      </w:pPr>
    </w:p>
    <w:p w14:paraId="09C3069B" w14:textId="77777777" w:rsidR="00EA6255" w:rsidRDefault="00EA6255" w:rsidP="00EA6255">
      <w:pPr>
        <w:pStyle w:val="Body"/>
        <w:spacing w:after="0"/>
        <w:rPr>
          <w:rFonts w:ascii="Arial" w:hAnsi="Arial" w:cs="Arial"/>
        </w:rPr>
      </w:pPr>
    </w:p>
    <w:p w14:paraId="19E12C59" w14:textId="77777777" w:rsidR="00EA6255" w:rsidRPr="00EA6255" w:rsidRDefault="00EA6255" w:rsidP="00EA6255">
      <w:pPr>
        <w:pStyle w:val="Body"/>
        <w:spacing w:after="0"/>
        <w:rPr>
          <w:rFonts w:ascii="Arial" w:hAnsi="Arial" w:cs="Arial"/>
        </w:rPr>
      </w:pPr>
    </w:p>
    <w:p w14:paraId="6E6F031C" w14:textId="77777777" w:rsidR="00EA6255" w:rsidRPr="00EA6255" w:rsidRDefault="00EA6255" w:rsidP="00EA6255">
      <w:pPr>
        <w:pStyle w:val="Body"/>
        <w:spacing w:after="0"/>
        <w:rPr>
          <w:rFonts w:ascii="Arial" w:hAnsi="Arial" w:cs="Arial"/>
        </w:rPr>
      </w:pPr>
      <w:r w:rsidRPr="00EA6255">
        <w:rPr>
          <w:rFonts w:ascii="Arial" w:hAnsi="Arial" w:cs="Arial"/>
        </w:rPr>
        <w:t xml:space="preserve"> </w:t>
      </w:r>
    </w:p>
    <w:p w14:paraId="0FE62D95" w14:textId="77777777" w:rsidR="00BB718D" w:rsidRDefault="00BB718D" w:rsidP="00EA6255">
      <w:pPr>
        <w:pStyle w:val="Body"/>
        <w:spacing w:after="0"/>
        <w:rPr>
          <w:rFonts w:ascii="Arial" w:hAnsi="Arial" w:cs="Arial"/>
          <w:b/>
        </w:rPr>
      </w:pPr>
    </w:p>
    <w:p w14:paraId="1477653A" w14:textId="77777777" w:rsidR="00BB718D" w:rsidRDefault="00BB718D" w:rsidP="00EA6255">
      <w:pPr>
        <w:pStyle w:val="Body"/>
        <w:spacing w:after="0"/>
        <w:rPr>
          <w:rFonts w:ascii="Arial" w:hAnsi="Arial" w:cs="Arial"/>
          <w:b/>
        </w:rPr>
      </w:pPr>
    </w:p>
    <w:p w14:paraId="1BB5D99D" w14:textId="77777777" w:rsidR="00BB718D" w:rsidRDefault="00BB718D" w:rsidP="00EA6255">
      <w:pPr>
        <w:pStyle w:val="Body"/>
        <w:spacing w:after="0"/>
        <w:rPr>
          <w:rFonts w:ascii="Arial" w:hAnsi="Arial" w:cs="Arial"/>
          <w:b/>
        </w:rPr>
      </w:pPr>
    </w:p>
    <w:p w14:paraId="5E37326F" w14:textId="77777777" w:rsidR="00BB718D" w:rsidRDefault="00BB718D" w:rsidP="00EA6255">
      <w:pPr>
        <w:pStyle w:val="Body"/>
        <w:spacing w:after="0"/>
        <w:rPr>
          <w:rFonts w:ascii="Arial" w:hAnsi="Arial" w:cs="Arial"/>
          <w:b/>
        </w:rPr>
      </w:pPr>
    </w:p>
    <w:p w14:paraId="42848D1A" w14:textId="77777777" w:rsidR="00BB718D" w:rsidRDefault="00BB718D" w:rsidP="00EA6255">
      <w:pPr>
        <w:pStyle w:val="Body"/>
        <w:spacing w:after="0"/>
        <w:rPr>
          <w:rFonts w:ascii="Arial" w:hAnsi="Arial" w:cs="Arial"/>
          <w:b/>
        </w:rPr>
      </w:pPr>
    </w:p>
    <w:p w14:paraId="0734DFD5" w14:textId="77777777" w:rsidR="00BB718D" w:rsidRDefault="00BB718D" w:rsidP="00EA6255">
      <w:pPr>
        <w:pStyle w:val="Body"/>
        <w:spacing w:after="0"/>
        <w:rPr>
          <w:rFonts w:ascii="Arial" w:hAnsi="Arial" w:cs="Arial"/>
          <w:b/>
        </w:rPr>
      </w:pPr>
    </w:p>
    <w:p w14:paraId="33D72C87" w14:textId="71E20709" w:rsidR="00EA6255" w:rsidRPr="00C07C03" w:rsidRDefault="00EA6255" w:rsidP="00EA6255">
      <w:pPr>
        <w:pStyle w:val="Body"/>
        <w:spacing w:after="0"/>
        <w:rPr>
          <w:rFonts w:ascii="Arial" w:hAnsi="Arial" w:cs="Arial"/>
          <w:b/>
          <w:lang w:val="en-GB"/>
        </w:rPr>
      </w:pPr>
      <w:r w:rsidRPr="00C07C03">
        <w:rPr>
          <w:rFonts w:ascii="Arial" w:hAnsi="Arial" w:cs="Arial"/>
          <w:b/>
        </w:rPr>
        <w:t>Fig</w:t>
      </w:r>
      <w:r w:rsidR="00C07C03">
        <w:rPr>
          <w:rFonts w:ascii="Arial" w:hAnsi="Arial" w:cs="Arial"/>
          <w:b/>
        </w:rPr>
        <w:t>.</w:t>
      </w:r>
      <w:r w:rsidRPr="00C07C03">
        <w:rPr>
          <w:rFonts w:ascii="Arial" w:hAnsi="Arial" w:cs="Arial"/>
          <w:b/>
        </w:rPr>
        <w:t xml:space="preserve"> 3</w:t>
      </w:r>
      <w:r w:rsidR="00C07C03">
        <w:rPr>
          <w:rFonts w:ascii="Arial" w:hAnsi="Arial" w:cs="Arial"/>
          <w:b/>
        </w:rPr>
        <w:t>.</w:t>
      </w:r>
      <w:r w:rsidRPr="00C07C03">
        <w:rPr>
          <w:rFonts w:ascii="Arial" w:hAnsi="Arial" w:cs="Arial"/>
          <w:b/>
        </w:rPr>
        <w:t xml:space="preserve"> </w:t>
      </w:r>
      <w:r w:rsidR="008E4D3C" w:rsidRPr="00C07C03">
        <w:rPr>
          <w:rFonts w:ascii="Arial" w:hAnsi="Arial" w:cs="Arial"/>
          <w:b/>
          <w:lang w:val="en-GB"/>
        </w:rPr>
        <w:t xml:space="preserve">Motivation </w:t>
      </w:r>
      <w:r w:rsidR="008E4D3C">
        <w:rPr>
          <w:rFonts w:ascii="Arial" w:hAnsi="Arial" w:cs="Arial"/>
          <w:b/>
          <w:lang w:val="en-GB"/>
        </w:rPr>
        <w:t>to</w:t>
      </w:r>
      <w:r w:rsidR="008E4D3C" w:rsidRPr="00C07C03">
        <w:rPr>
          <w:rFonts w:ascii="Arial" w:hAnsi="Arial" w:cs="Arial"/>
          <w:b/>
          <w:lang w:val="en-GB"/>
        </w:rPr>
        <w:t xml:space="preserve"> engage </w:t>
      </w:r>
      <w:r w:rsidR="008E4D3C">
        <w:rPr>
          <w:rFonts w:ascii="Arial" w:hAnsi="Arial" w:cs="Arial"/>
          <w:b/>
          <w:lang w:val="en-GB"/>
        </w:rPr>
        <w:t>in</w:t>
      </w:r>
      <w:r w:rsidR="008E4D3C" w:rsidRPr="00C07C03">
        <w:rPr>
          <w:rFonts w:ascii="Arial" w:hAnsi="Arial" w:cs="Arial"/>
          <w:b/>
          <w:lang w:val="en-GB"/>
        </w:rPr>
        <w:t xml:space="preserve"> phytomedicinal antimalarial research</w:t>
      </w:r>
    </w:p>
    <w:p w14:paraId="60D40B7C" w14:textId="77777777" w:rsidR="00EA6255" w:rsidRDefault="00EA6255" w:rsidP="00EA6255">
      <w:pPr>
        <w:pStyle w:val="Body"/>
        <w:spacing w:after="0"/>
        <w:rPr>
          <w:rFonts w:ascii="Arial" w:hAnsi="Arial" w:cs="Arial"/>
          <w:lang w:val="en-GB"/>
        </w:rPr>
      </w:pPr>
    </w:p>
    <w:p w14:paraId="41C98916" w14:textId="77777777" w:rsidR="00EA6255" w:rsidRPr="00DA7319" w:rsidRDefault="00B00034" w:rsidP="00EA6255">
      <w:pPr>
        <w:pStyle w:val="Body"/>
        <w:spacing w:after="0"/>
        <w:rPr>
          <w:rFonts w:ascii="Arial" w:hAnsi="Arial" w:cs="Arial"/>
          <w:b/>
          <w:bCs/>
          <w:sz w:val="22"/>
          <w:szCs w:val="22"/>
        </w:rPr>
      </w:pPr>
      <w:r w:rsidRPr="00DA7319">
        <w:rPr>
          <w:rFonts w:ascii="Arial" w:hAnsi="Arial" w:cs="Arial"/>
          <w:b/>
          <w:bCs/>
          <w:sz w:val="22"/>
          <w:szCs w:val="22"/>
        </w:rPr>
        <w:t>3.5</w:t>
      </w:r>
      <w:r w:rsidR="00C65265" w:rsidRPr="00DA7319">
        <w:rPr>
          <w:rFonts w:ascii="Arial" w:hAnsi="Arial" w:cs="Arial"/>
          <w:b/>
          <w:bCs/>
          <w:sz w:val="22"/>
          <w:szCs w:val="22"/>
        </w:rPr>
        <w:t xml:space="preserve">. </w:t>
      </w:r>
      <w:r w:rsidR="00EA6255" w:rsidRPr="00DA7319">
        <w:rPr>
          <w:rFonts w:ascii="Arial" w:hAnsi="Arial" w:cs="Arial"/>
          <w:b/>
          <w:sz w:val="22"/>
          <w:szCs w:val="22"/>
        </w:rPr>
        <w:t>Methods for Enrolling in Phytomedicinal Training</w:t>
      </w:r>
    </w:p>
    <w:p w14:paraId="6B9CE030" w14:textId="77777777" w:rsidR="00EA6255" w:rsidRPr="00EA6255" w:rsidRDefault="00EA6255" w:rsidP="00EA6255">
      <w:pPr>
        <w:pStyle w:val="Body"/>
        <w:spacing w:after="0"/>
        <w:rPr>
          <w:rFonts w:ascii="Arial" w:hAnsi="Arial" w:cs="Arial"/>
        </w:rPr>
      </w:pPr>
      <w:r w:rsidRPr="00EA6255">
        <w:rPr>
          <w:rFonts w:ascii="Arial" w:hAnsi="Arial" w:cs="Arial"/>
        </w:rPr>
        <w:t xml:space="preserve">Participants’ views regarding methods for enrolling in training on phytomedicinal antimalarials are depicted in Figure 4. More than one-third of the young health professionals (38.4%) were inclined to workshops as the most convenient way for enrolling in the phytomedicinal training. One-quarter of the study participants (26.2%) were of the view that online courses were effective methods for enrolling in phytomedicinal training for antimalarials. Additionally, about one-third of the respondents perceived those mentorship </w:t>
      </w:r>
      <w:proofErr w:type="spellStart"/>
      <w:r w:rsidRPr="00EA6255">
        <w:rPr>
          <w:rFonts w:ascii="Arial" w:hAnsi="Arial" w:cs="Arial"/>
        </w:rPr>
        <w:t>programmes</w:t>
      </w:r>
      <w:proofErr w:type="spellEnd"/>
      <w:r w:rsidRPr="00EA6255">
        <w:rPr>
          <w:rFonts w:ascii="Arial" w:hAnsi="Arial" w:cs="Arial"/>
        </w:rPr>
        <w:t xml:space="preserve"> are convenient strategies for enrolling in the training.</w:t>
      </w:r>
    </w:p>
    <w:p w14:paraId="7C519169" w14:textId="77777777" w:rsidR="00EA6255" w:rsidRPr="00EA6255" w:rsidRDefault="00EA6255" w:rsidP="00EA6255">
      <w:pPr>
        <w:pStyle w:val="Body"/>
        <w:spacing w:after="0"/>
        <w:rPr>
          <w:rFonts w:ascii="Arial" w:hAnsi="Arial" w:cs="Arial"/>
        </w:rPr>
      </w:pPr>
    </w:p>
    <w:p w14:paraId="604472A3" w14:textId="77777777" w:rsidR="00EA6255" w:rsidRPr="00EA6255" w:rsidRDefault="001207EC" w:rsidP="00EA6255">
      <w:pPr>
        <w:pStyle w:val="Body"/>
        <w:spacing w:after="0"/>
        <w:rPr>
          <w:rFonts w:ascii="Arial" w:hAnsi="Arial" w:cs="Arial"/>
          <w:i/>
          <w:lang w:val="en-GB"/>
        </w:rPr>
      </w:pPr>
      <w:r w:rsidRPr="00EA6255">
        <w:rPr>
          <w:rFonts w:ascii="Arial" w:hAnsi="Arial" w:cs="Arial"/>
          <w:noProof/>
          <w:lang w:val="en-AU"/>
        </w:rPr>
        <w:drawing>
          <wp:anchor distT="0" distB="0" distL="114300" distR="114300" simplePos="0" relativeHeight="251665408" behindDoc="1" locked="0" layoutInCell="1" allowOverlap="1" wp14:anchorId="440437F3" wp14:editId="70E33154">
            <wp:simplePos x="0" y="0"/>
            <wp:positionH relativeFrom="column">
              <wp:posOffset>398780</wp:posOffset>
            </wp:positionH>
            <wp:positionV relativeFrom="paragraph">
              <wp:posOffset>33655</wp:posOffset>
            </wp:positionV>
            <wp:extent cx="3024505" cy="1739900"/>
            <wp:effectExtent l="0" t="0" r="0" b="0"/>
            <wp:wrapTight wrapText="bothSides">
              <wp:wrapPolygon edited="0">
                <wp:start x="0" y="0"/>
                <wp:lineTo x="0" y="21285"/>
                <wp:lineTo x="21496" y="21285"/>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4505" cy="1739900"/>
                    </a:xfrm>
                    <a:prstGeom prst="rect">
                      <a:avLst/>
                    </a:prstGeom>
                    <a:noFill/>
                  </pic:spPr>
                </pic:pic>
              </a:graphicData>
            </a:graphic>
            <wp14:sizeRelH relativeFrom="page">
              <wp14:pctWidth>0</wp14:pctWidth>
            </wp14:sizeRelH>
            <wp14:sizeRelV relativeFrom="page">
              <wp14:pctHeight>0</wp14:pctHeight>
            </wp14:sizeRelV>
          </wp:anchor>
        </w:drawing>
      </w:r>
    </w:p>
    <w:p w14:paraId="3CEEBD0B" w14:textId="77777777" w:rsidR="00EA6255" w:rsidRPr="00EA6255" w:rsidRDefault="00EA6255" w:rsidP="00EA6255">
      <w:pPr>
        <w:pStyle w:val="Body"/>
        <w:spacing w:after="0"/>
        <w:rPr>
          <w:rFonts w:ascii="Arial" w:hAnsi="Arial" w:cs="Arial"/>
        </w:rPr>
      </w:pPr>
    </w:p>
    <w:p w14:paraId="2DD72311" w14:textId="77777777" w:rsidR="00EA6255" w:rsidRDefault="00EA6255" w:rsidP="00EA6255">
      <w:pPr>
        <w:pStyle w:val="Body"/>
        <w:spacing w:after="0"/>
        <w:rPr>
          <w:rFonts w:ascii="Arial" w:hAnsi="Arial" w:cs="Arial"/>
        </w:rPr>
      </w:pPr>
    </w:p>
    <w:p w14:paraId="31691560" w14:textId="77777777" w:rsidR="00EA6255" w:rsidRDefault="00EA6255" w:rsidP="00EA6255">
      <w:pPr>
        <w:pStyle w:val="Body"/>
        <w:spacing w:after="0"/>
        <w:rPr>
          <w:rFonts w:ascii="Arial" w:hAnsi="Arial" w:cs="Arial"/>
        </w:rPr>
      </w:pPr>
    </w:p>
    <w:p w14:paraId="2765C151" w14:textId="77777777" w:rsidR="00EA6255" w:rsidRDefault="00EA6255" w:rsidP="00EA6255">
      <w:pPr>
        <w:pStyle w:val="Body"/>
        <w:spacing w:after="0"/>
        <w:rPr>
          <w:rFonts w:ascii="Arial" w:hAnsi="Arial" w:cs="Arial"/>
        </w:rPr>
      </w:pPr>
    </w:p>
    <w:p w14:paraId="05B6182C" w14:textId="77777777" w:rsidR="00EA6255" w:rsidRDefault="00EA6255" w:rsidP="00EA6255">
      <w:pPr>
        <w:pStyle w:val="Body"/>
        <w:spacing w:after="0"/>
        <w:rPr>
          <w:rFonts w:ascii="Arial" w:hAnsi="Arial" w:cs="Arial"/>
        </w:rPr>
      </w:pPr>
    </w:p>
    <w:p w14:paraId="35C9F7FF" w14:textId="77777777" w:rsidR="00EA6255" w:rsidRDefault="00EA6255" w:rsidP="00EA6255">
      <w:pPr>
        <w:pStyle w:val="Body"/>
        <w:spacing w:after="0"/>
        <w:rPr>
          <w:rFonts w:ascii="Arial" w:hAnsi="Arial" w:cs="Arial"/>
        </w:rPr>
      </w:pPr>
    </w:p>
    <w:p w14:paraId="203BCB54" w14:textId="77777777" w:rsidR="00EA6255" w:rsidRDefault="00EA6255" w:rsidP="00EA6255">
      <w:pPr>
        <w:pStyle w:val="Body"/>
        <w:spacing w:after="0"/>
        <w:rPr>
          <w:rFonts w:ascii="Arial" w:hAnsi="Arial" w:cs="Arial"/>
        </w:rPr>
      </w:pPr>
    </w:p>
    <w:p w14:paraId="30F41941" w14:textId="77777777" w:rsidR="00EA6255" w:rsidRDefault="00EA6255" w:rsidP="00EA6255">
      <w:pPr>
        <w:pStyle w:val="Body"/>
        <w:spacing w:after="0"/>
        <w:rPr>
          <w:rFonts w:ascii="Arial" w:hAnsi="Arial" w:cs="Arial"/>
        </w:rPr>
      </w:pPr>
    </w:p>
    <w:p w14:paraId="1F798DE2" w14:textId="77777777" w:rsidR="00EA6255" w:rsidRDefault="00EA6255" w:rsidP="00EA6255">
      <w:pPr>
        <w:pStyle w:val="Body"/>
        <w:spacing w:after="0"/>
        <w:rPr>
          <w:rFonts w:ascii="Arial" w:hAnsi="Arial" w:cs="Arial"/>
        </w:rPr>
      </w:pPr>
    </w:p>
    <w:p w14:paraId="1544E495" w14:textId="77777777" w:rsidR="00EA6255" w:rsidRDefault="00EA6255" w:rsidP="00EA6255">
      <w:pPr>
        <w:pStyle w:val="Body"/>
        <w:spacing w:after="0"/>
        <w:rPr>
          <w:rFonts w:ascii="Arial" w:hAnsi="Arial" w:cs="Arial"/>
        </w:rPr>
      </w:pPr>
    </w:p>
    <w:p w14:paraId="0F01D491" w14:textId="77777777" w:rsidR="00EA6255" w:rsidRDefault="00EA6255" w:rsidP="00EA6255">
      <w:pPr>
        <w:pStyle w:val="Body"/>
        <w:spacing w:after="0"/>
        <w:rPr>
          <w:rFonts w:ascii="Arial" w:hAnsi="Arial" w:cs="Arial"/>
        </w:rPr>
      </w:pPr>
    </w:p>
    <w:p w14:paraId="54446723" w14:textId="77777777" w:rsidR="00EA6255" w:rsidRDefault="00EA6255" w:rsidP="00EA6255">
      <w:pPr>
        <w:pStyle w:val="Body"/>
        <w:spacing w:after="0"/>
        <w:rPr>
          <w:rFonts w:ascii="Arial" w:hAnsi="Arial" w:cs="Arial"/>
        </w:rPr>
      </w:pPr>
    </w:p>
    <w:p w14:paraId="5F3586D9" w14:textId="77777777" w:rsidR="00EA6255" w:rsidRPr="006966DD" w:rsidRDefault="001207EC" w:rsidP="00EA6255">
      <w:pPr>
        <w:pStyle w:val="Body"/>
        <w:spacing w:after="0"/>
        <w:rPr>
          <w:rFonts w:ascii="Arial" w:hAnsi="Arial" w:cs="Arial"/>
          <w:b/>
        </w:rPr>
      </w:pPr>
      <w:r w:rsidRPr="006966DD">
        <w:rPr>
          <w:rFonts w:ascii="Arial" w:hAnsi="Arial" w:cs="Arial"/>
          <w:b/>
        </w:rPr>
        <w:t>Fig</w:t>
      </w:r>
      <w:r w:rsidR="006966DD" w:rsidRPr="006966DD">
        <w:rPr>
          <w:rFonts w:ascii="Arial" w:hAnsi="Arial" w:cs="Arial"/>
          <w:b/>
        </w:rPr>
        <w:t>.</w:t>
      </w:r>
      <w:r w:rsidRPr="006966DD">
        <w:rPr>
          <w:rFonts w:ascii="Arial" w:hAnsi="Arial" w:cs="Arial"/>
          <w:b/>
        </w:rPr>
        <w:t xml:space="preserve"> 4</w:t>
      </w:r>
      <w:r w:rsidR="006966DD" w:rsidRPr="006966DD">
        <w:rPr>
          <w:rFonts w:ascii="Arial" w:hAnsi="Arial" w:cs="Arial"/>
          <w:b/>
        </w:rPr>
        <w:t>.</w:t>
      </w:r>
      <w:r w:rsidRPr="006966DD">
        <w:rPr>
          <w:rFonts w:ascii="Arial" w:hAnsi="Arial" w:cs="Arial"/>
          <w:b/>
        </w:rPr>
        <w:t xml:space="preserve"> </w:t>
      </w:r>
      <w:r w:rsidRPr="006966DD">
        <w:rPr>
          <w:rFonts w:ascii="Arial" w:hAnsi="Arial" w:cs="Arial"/>
          <w:b/>
          <w:lang w:val="en-GB"/>
        </w:rPr>
        <w:t>Convenient Approach to Enrol for Training</w:t>
      </w:r>
    </w:p>
    <w:p w14:paraId="23832A92" w14:textId="77777777" w:rsidR="00EA6255" w:rsidRPr="00EA6255" w:rsidRDefault="00EA6255" w:rsidP="00EA6255">
      <w:pPr>
        <w:pStyle w:val="Body"/>
        <w:spacing w:after="0"/>
        <w:rPr>
          <w:rFonts w:ascii="Arial" w:hAnsi="Arial" w:cs="Arial"/>
        </w:rPr>
      </w:pPr>
    </w:p>
    <w:p w14:paraId="7A04E08D" w14:textId="77777777" w:rsidR="00EA6255" w:rsidRPr="001E3955" w:rsidRDefault="00467F29" w:rsidP="00EA6255">
      <w:pPr>
        <w:pStyle w:val="Body"/>
        <w:spacing w:after="0"/>
        <w:rPr>
          <w:rFonts w:ascii="Arial" w:hAnsi="Arial" w:cs="Arial"/>
          <w:b/>
          <w:bCs/>
          <w:sz w:val="22"/>
          <w:szCs w:val="22"/>
        </w:rPr>
      </w:pPr>
      <w:r w:rsidRPr="001E3955">
        <w:rPr>
          <w:rFonts w:ascii="Arial" w:hAnsi="Arial" w:cs="Arial"/>
          <w:b/>
          <w:bCs/>
          <w:sz w:val="22"/>
          <w:szCs w:val="22"/>
        </w:rPr>
        <w:t>3.6</w:t>
      </w:r>
      <w:r w:rsidR="00C65265" w:rsidRPr="001E3955">
        <w:rPr>
          <w:rFonts w:ascii="Arial" w:hAnsi="Arial" w:cs="Arial"/>
          <w:b/>
          <w:bCs/>
          <w:sz w:val="22"/>
          <w:szCs w:val="22"/>
        </w:rPr>
        <w:t xml:space="preserve">. </w:t>
      </w:r>
      <w:r w:rsidR="00EA6255" w:rsidRPr="001E3955">
        <w:rPr>
          <w:rFonts w:ascii="Arial" w:hAnsi="Arial" w:cs="Arial"/>
          <w:b/>
          <w:sz w:val="22"/>
          <w:szCs w:val="22"/>
        </w:rPr>
        <w:t>Relevant Support for Health Professionals</w:t>
      </w:r>
    </w:p>
    <w:p w14:paraId="2827864C" w14:textId="77777777" w:rsidR="00EA6255" w:rsidRDefault="00EA6255" w:rsidP="00EA6255">
      <w:pPr>
        <w:pStyle w:val="Body"/>
        <w:spacing w:after="0"/>
        <w:rPr>
          <w:rFonts w:ascii="Arial" w:hAnsi="Arial" w:cs="Arial"/>
        </w:rPr>
      </w:pPr>
      <w:r w:rsidRPr="00EA6255">
        <w:rPr>
          <w:rFonts w:ascii="Arial" w:hAnsi="Arial" w:cs="Arial"/>
        </w:rPr>
        <w:t xml:space="preserve">Respondents' perspective regarding the support that should be provided for health professionals interested in pursuing research on phytomedicinal antimalarials is presented in Figure 5. About half of the participants (51.1%) opined that research grants should be provided to interested persons. About one-quarter of the young professionals (23.6%) indicated that access to </w:t>
      </w:r>
      <w:proofErr w:type="spellStart"/>
      <w:r w:rsidRPr="00EA6255">
        <w:rPr>
          <w:rFonts w:ascii="Arial" w:hAnsi="Arial" w:cs="Arial"/>
        </w:rPr>
        <w:t>specialised</w:t>
      </w:r>
      <w:proofErr w:type="spellEnd"/>
      <w:r w:rsidRPr="00EA6255">
        <w:rPr>
          <w:rFonts w:ascii="Arial" w:hAnsi="Arial" w:cs="Arial"/>
        </w:rPr>
        <w:t xml:space="preserve"> equipment should be made available. A similar proportion of the sample population (25.3%) had the view that mentorship </w:t>
      </w:r>
      <w:proofErr w:type="spellStart"/>
      <w:r w:rsidRPr="00EA6255">
        <w:rPr>
          <w:rFonts w:ascii="Arial" w:hAnsi="Arial" w:cs="Arial"/>
        </w:rPr>
        <w:t>programme</w:t>
      </w:r>
      <w:proofErr w:type="spellEnd"/>
      <w:r w:rsidRPr="00EA6255">
        <w:rPr>
          <w:rFonts w:ascii="Arial" w:hAnsi="Arial" w:cs="Arial"/>
        </w:rPr>
        <w:t xml:space="preserve"> should be the support provided. 1.7 Association between Demographic Characteristics and Outcome Variables.</w:t>
      </w:r>
    </w:p>
    <w:p w14:paraId="0F57DBDE" w14:textId="77777777" w:rsidR="001207EC" w:rsidRDefault="001207EC" w:rsidP="001207EC">
      <w:pPr>
        <w:pStyle w:val="Body"/>
        <w:spacing w:after="0"/>
        <w:rPr>
          <w:rFonts w:ascii="Arial" w:hAnsi="Arial" w:cs="Arial"/>
        </w:rPr>
      </w:pPr>
    </w:p>
    <w:p w14:paraId="389A875A" w14:textId="77777777" w:rsidR="004221A2" w:rsidRDefault="004405A4" w:rsidP="001207EC">
      <w:pPr>
        <w:pStyle w:val="Body"/>
        <w:spacing w:after="0"/>
        <w:rPr>
          <w:rFonts w:ascii="Arial" w:hAnsi="Arial" w:cs="Arial"/>
        </w:rPr>
      </w:pPr>
      <w:r w:rsidRPr="001207EC">
        <w:rPr>
          <w:rFonts w:ascii="Arial" w:hAnsi="Arial" w:cs="Arial"/>
          <w:noProof/>
          <w:lang w:val="en-AU"/>
        </w:rPr>
        <w:drawing>
          <wp:anchor distT="0" distB="0" distL="114300" distR="114300" simplePos="0" relativeHeight="251666432" behindDoc="1" locked="0" layoutInCell="1" allowOverlap="1" wp14:anchorId="56E84B5D" wp14:editId="28A025B3">
            <wp:simplePos x="0" y="0"/>
            <wp:positionH relativeFrom="column">
              <wp:posOffset>300990</wp:posOffset>
            </wp:positionH>
            <wp:positionV relativeFrom="paragraph">
              <wp:posOffset>12065</wp:posOffset>
            </wp:positionV>
            <wp:extent cx="3498850" cy="1898650"/>
            <wp:effectExtent l="0" t="0" r="0" b="0"/>
            <wp:wrapTight wrapText="bothSides">
              <wp:wrapPolygon edited="0">
                <wp:start x="0" y="0"/>
                <wp:lineTo x="0" y="21456"/>
                <wp:lineTo x="21522" y="21456"/>
                <wp:lineTo x="2152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8850" cy="1898650"/>
                    </a:xfrm>
                    <a:prstGeom prst="rect">
                      <a:avLst/>
                    </a:prstGeom>
                    <a:noFill/>
                  </pic:spPr>
                </pic:pic>
              </a:graphicData>
            </a:graphic>
            <wp14:sizeRelH relativeFrom="page">
              <wp14:pctWidth>0</wp14:pctWidth>
            </wp14:sizeRelH>
            <wp14:sizeRelV relativeFrom="page">
              <wp14:pctHeight>0</wp14:pctHeight>
            </wp14:sizeRelV>
          </wp:anchor>
        </w:drawing>
      </w:r>
    </w:p>
    <w:p w14:paraId="1B4747E9" w14:textId="77777777" w:rsidR="004221A2" w:rsidRDefault="004221A2" w:rsidP="001207EC">
      <w:pPr>
        <w:pStyle w:val="Body"/>
        <w:spacing w:after="0"/>
        <w:rPr>
          <w:rFonts w:ascii="Arial" w:hAnsi="Arial" w:cs="Arial"/>
        </w:rPr>
      </w:pPr>
    </w:p>
    <w:p w14:paraId="189E82AC" w14:textId="77777777" w:rsidR="004221A2" w:rsidRDefault="004221A2" w:rsidP="001207EC">
      <w:pPr>
        <w:pStyle w:val="Body"/>
        <w:spacing w:after="0"/>
        <w:rPr>
          <w:rFonts w:ascii="Arial" w:hAnsi="Arial" w:cs="Arial"/>
        </w:rPr>
      </w:pPr>
    </w:p>
    <w:p w14:paraId="1407CFD6" w14:textId="77777777" w:rsidR="004221A2" w:rsidRDefault="004221A2" w:rsidP="001207EC">
      <w:pPr>
        <w:pStyle w:val="Body"/>
        <w:spacing w:after="0"/>
        <w:rPr>
          <w:rFonts w:ascii="Arial" w:hAnsi="Arial" w:cs="Arial"/>
        </w:rPr>
      </w:pPr>
    </w:p>
    <w:p w14:paraId="0ABD05EF" w14:textId="77777777" w:rsidR="004221A2" w:rsidRDefault="004221A2" w:rsidP="001207EC">
      <w:pPr>
        <w:pStyle w:val="Body"/>
        <w:spacing w:after="0"/>
        <w:rPr>
          <w:rFonts w:ascii="Arial" w:hAnsi="Arial" w:cs="Arial"/>
        </w:rPr>
      </w:pPr>
    </w:p>
    <w:p w14:paraId="1099565A" w14:textId="77777777" w:rsidR="004221A2" w:rsidRDefault="004221A2" w:rsidP="001207EC">
      <w:pPr>
        <w:pStyle w:val="Body"/>
        <w:spacing w:after="0"/>
        <w:rPr>
          <w:rFonts w:ascii="Arial" w:hAnsi="Arial" w:cs="Arial"/>
        </w:rPr>
      </w:pPr>
    </w:p>
    <w:p w14:paraId="65927AD5" w14:textId="77777777" w:rsidR="004405A4" w:rsidRDefault="004405A4" w:rsidP="001207EC">
      <w:pPr>
        <w:pStyle w:val="Body"/>
        <w:spacing w:after="0"/>
        <w:rPr>
          <w:rFonts w:ascii="Arial" w:hAnsi="Arial" w:cs="Arial"/>
        </w:rPr>
      </w:pPr>
    </w:p>
    <w:p w14:paraId="3F7F29CD" w14:textId="77777777" w:rsidR="004405A4" w:rsidRDefault="004405A4" w:rsidP="001207EC">
      <w:pPr>
        <w:pStyle w:val="Body"/>
        <w:spacing w:after="0"/>
        <w:rPr>
          <w:rFonts w:ascii="Arial" w:hAnsi="Arial" w:cs="Arial"/>
        </w:rPr>
      </w:pPr>
    </w:p>
    <w:p w14:paraId="0C7370F2" w14:textId="77777777" w:rsidR="004405A4" w:rsidRDefault="004405A4" w:rsidP="001207EC">
      <w:pPr>
        <w:pStyle w:val="Body"/>
        <w:spacing w:after="0"/>
        <w:rPr>
          <w:rFonts w:ascii="Arial" w:hAnsi="Arial" w:cs="Arial"/>
        </w:rPr>
      </w:pPr>
    </w:p>
    <w:p w14:paraId="43C0B4BA" w14:textId="77777777" w:rsidR="004405A4" w:rsidRDefault="004405A4" w:rsidP="001207EC">
      <w:pPr>
        <w:pStyle w:val="Body"/>
        <w:spacing w:after="0"/>
        <w:rPr>
          <w:rFonts w:ascii="Arial" w:hAnsi="Arial" w:cs="Arial"/>
        </w:rPr>
      </w:pPr>
    </w:p>
    <w:p w14:paraId="52E221FB" w14:textId="77777777" w:rsidR="004405A4" w:rsidRDefault="004405A4" w:rsidP="001207EC">
      <w:pPr>
        <w:pStyle w:val="Body"/>
        <w:spacing w:after="0"/>
        <w:rPr>
          <w:rFonts w:ascii="Arial" w:hAnsi="Arial" w:cs="Arial"/>
        </w:rPr>
      </w:pPr>
    </w:p>
    <w:p w14:paraId="483E6EED" w14:textId="77777777" w:rsidR="004405A4" w:rsidRDefault="004405A4" w:rsidP="001207EC">
      <w:pPr>
        <w:pStyle w:val="Body"/>
        <w:spacing w:after="0"/>
        <w:rPr>
          <w:rFonts w:ascii="Arial" w:hAnsi="Arial" w:cs="Arial"/>
        </w:rPr>
      </w:pPr>
    </w:p>
    <w:p w14:paraId="1E3264A6" w14:textId="77777777" w:rsidR="004405A4" w:rsidRDefault="004405A4" w:rsidP="001207EC">
      <w:pPr>
        <w:pStyle w:val="Body"/>
        <w:spacing w:after="0"/>
        <w:rPr>
          <w:rFonts w:ascii="Arial" w:hAnsi="Arial" w:cs="Arial"/>
        </w:rPr>
      </w:pPr>
    </w:p>
    <w:p w14:paraId="0E4BF306" w14:textId="77777777" w:rsidR="004221A2" w:rsidRPr="001207EC" w:rsidRDefault="004221A2" w:rsidP="001207EC">
      <w:pPr>
        <w:pStyle w:val="Body"/>
        <w:spacing w:after="0"/>
        <w:rPr>
          <w:rFonts w:ascii="Arial" w:hAnsi="Arial" w:cs="Arial"/>
        </w:rPr>
      </w:pPr>
    </w:p>
    <w:p w14:paraId="12B6E1EF" w14:textId="77777777" w:rsidR="001207EC" w:rsidRPr="00527DF8" w:rsidRDefault="00527DF8" w:rsidP="001207EC">
      <w:pPr>
        <w:pStyle w:val="Body"/>
        <w:spacing w:after="0"/>
        <w:rPr>
          <w:rFonts w:ascii="Arial" w:hAnsi="Arial" w:cs="Arial"/>
          <w:b/>
          <w:lang w:val="en-GB"/>
        </w:rPr>
      </w:pPr>
      <w:r w:rsidRPr="00527DF8">
        <w:rPr>
          <w:rFonts w:ascii="Arial" w:hAnsi="Arial" w:cs="Arial"/>
          <w:b/>
        </w:rPr>
        <w:t xml:space="preserve">Fig. </w:t>
      </w:r>
      <w:r w:rsidR="001207EC" w:rsidRPr="00527DF8">
        <w:rPr>
          <w:rFonts w:ascii="Arial" w:hAnsi="Arial" w:cs="Arial"/>
          <w:b/>
        </w:rPr>
        <w:t>5</w:t>
      </w:r>
      <w:r w:rsidRPr="00527DF8">
        <w:rPr>
          <w:rFonts w:ascii="Arial" w:hAnsi="Arial" w:cs="Arial"/>
          <w:b/>
        </w:rPr>
        <w:t>.</w:t>
      </w:r>
      <w:r w:rsidR="001207EC" w:rsidRPr="00527DF8">
        <w:rPr>
          <w:rFonts w:ascii="Arial" w:hAnsi="Arial" w:cs="Arial"/>
          <w:b/>
        </w:rPr>
        <w:t xml:space="preserve"> </w:t>
      </w:r>
      <w:r w:rsidR="001207EC" w:rsidRPr="00527DF8">
        <w:rPr>
          <w:rFonts w:ascii="Arial" w:hAnsi="Arial" w:cs="Arial"/>
          <w:b/>
          <w:lang w:val="en-GB"/>
        </w:rPr>
        <w:t>Phytomedicinal Antimalarial Support for Health Professionals</w:t>
      </w:r>
    </w:p>
    <w:p w14:paraId="0D063C82" w14:textId="77777777" w:rsidR="00327D13" w:rsidRDefault="00327D13" w:rsidP="00EA6255">
      <w:pPr>
        <w:pStyle w:val="Body"/>
        <w:spacing w:after="0"/>
        <w:rPr>
          <w:rFonts w:ascii="Arial" w:hAnsi="Arial" w:cs="Arial"/>
        </w:rPr>
      </w:pPr>
    </w:p>
    <w:p w14:paraId="434C00EC" w14:textId="77777777" w:rsidR="00327D13" w:rsidRPr="001E3955" w:rsidRDefault="0023343C" w:rsidP="00327D13">
      <w:pPr>
        <w:pStyle w:val="Body"/>
        <w:spacing w:after="0"/>
        <w:rPr>
          <w:rFonts w:ascii="Arial" w:hAnsi="Arial" w:cs="Arial"/>
          <w:b/>
          <w:bCs/>
          <w:sz w:val="22"/>
          <w:szCs w:val="22"/>
        </w:rPr>
      </w:pPr>
      <w:r w:rsidRPr="001E3955">
        <w:rPr>
          <w:rFonts w:ascii="Arial" w:hAnsi="Arial" w:cs="Arial"/>
          <w:b/>
          <w:bCs/>
          <w:sz w:val="22"/>
          <w:szCs w:val="22"/>
        </w:rPr>
        <w:t>3.</w:t>
      </w:r>
      <w:r w:rsidR="00467F29" w:rsidRPr="001E3955">
        <w:rPr>
          <w:rFonts w:ascii="Arial" w:hAnsi="Arial" w:cs="Arial"/>
          <w:b/>
          <w:bCs/>
          <w:sz w:val="22"/>
          <w:szCs w:val="22"/>
        </w:rPr>
        <w:t>7</w:t>
      </w:r>
      <w:r w:rsidR="00C65265" w:rsidRPr="001E3955">
        <w:rPr>
          <w:rFonts w:ascii="Arial" w:hAnsi="Arial" w:cs="Arial"/>
          <w:b/>
          <w:bCs/>
          <w:sz w:val="22"/>
          <w:szCs w:val="22"/>
        </w:rPr>
        <w:t xml:space="preserve">. </w:t>
      </w:r>
      <w:r w:rsidR="00327D13" w:rsidRPr="001E3955">
        <w:rPr>
          <w:rFonts w:ascii="Arial" w:hAnsi="Arial" w:cs="Arial"/>
          <w:b/>
          <w:sz w:val="22"/>
          <w:szCs w:val="22"/>
        </w:rPr>
        <w:t>Association between Demographic Characteristics and Outcome Variables</w:t>
      </w:r>
    </w:p>
    <w:p w14:paraId="55CC3254" w14:textId="77777777" w:rsidR="00327D13" w:rsidRDefault="00327D13" w:rsidP="00327D13">
      <w:pPr>
        <w:pStyle w:val="Body"/>
        <w:spacing w:after="0"/>
        <w:rPr>
          <w:rFonts w:ascii="Arial" w:hAnsi="Arial" w:cs="Arial"/>
        </w:rPr>
      </w:pPr>
      <w:r w:rsidRPr="00327D13">
        <w:rPr>
          <w:rFonts w:ascii="Arial" w:hAnsi="Arial" w:cs="Arial"/>
        </w:rPr>
        <w:t xml:space="preserve">The relationship between the socio-demographic characteristics and views that participating in fieldwork presents a crucial opportunity for gaining practical experience on phytomedicinal antimalarials was determined using multivariate binary logistic regression analysis. The crude- and adjusted odds ratios (COR and AOR) are presented in Table 2. Only the participants' professional background was a significant factor influencing this view. Compared to those in other health-related fields, researchers were 5.21 times more likely to affirm that participating in fieldwork is critical for hands-on experience regarding plant-based antimalarial (AOR = 5.21; 95% CI = 1.65 – 16.43; p = 0.005). Other sociodemographic characteristics of the young health professionals did not significantly influence the outcome variable in Table 2. However, in comparison with those in the South-South geopolitical zone, the odds of acknowledging that fieldwork participation is essential for practical experience were higher in the North-West (AOR = 1.82) and North-East (AOR = 2.08) but </w:t>
      </w:r>
      <w:r w:rsidRPr="00327D13">
        <w:rPr>
          <w:rFonts w:ascii="Arial" w:hAnsi="Arial" w:cs="Arial"/>
        </w:rPr>
        <w:lastRenderedPageBreak/>
        <w:t>increasingly lower in the North-Central (AOR = 0.69), South-West (AOR = 0.55) and South-East (AOR = 0.48).  Also, participants’ highest levels of education show that undergraduates were less likely to agree with participating in fieldwork (AOR = 0.72) than graduates.</w:t>
      </w:r>
    </w:p>
    <w:p w14:paraId="15B39D21" w14:textId="77777777" w:rsidR="005A42ED" w:rsidRDefault="005A42ED" w:rsidP="00327D13">
      <w:pPr>
        <w:pStyle w:val="Body"/>
        <w:spacing w:after="0"/>
        <w:rPr>
          <w:rFonts w:ascii="Arial" w:hAnsi="Arial" w:cs="Arial"/>
        </w:rPr>
      </w:pPr>
    </w:p>
    <w:p w14:paraId="269FC1F2" w14:textId="77777777" w:rsidR="00D93230" w:rsidRDefault="005A42ED" w:rsidP="00327D13">
      <w:pPr>
        <w:pStyle w:val="Body"/>
        <w:spacing w:after="0"/>
        <w:rPr>
          <w:rFonts w:ascii="Arial" w:hAnsi="Arial" w:cs="Arial"/>
          <w:b/>
        </w:rPr>
      </w:pPr>
      <w:r w:rsidRPr="005A42ED">
        <w:rPr>
          <w:rFonts w:ascii="Arial" w:hAnsi="Arial" w:cs="Arial"/>
          <w:b/>
        </w:rPr>
        <w:t>Table</w:t>
      </w:r>
      <w:r w:rsidR="00467F29">
        <w:rPr>
          <w:rFonts w:ascii="Arial" w:hAnsi="Arial" w:cs="Arial"/>
          <w:b/>
        </w:rPr>
        <w:t xml:space="preserve"> </w:t>
      </w:r>
      <w:r w:rsidRPr="005A42ED">
        <w:rPr>
          <w:rFonts w:ascii="Arial" w:hAnsi="Arial" w:cs="Arial"/>
          <w:b/>
        </w:rPr>
        <w:t>2.</w:t>
      </w:r>
      <w:r>
        <w:rPr>
          <w:rFonts w:ascii="Arial" w:hAnsi="Arial" w:cs="Arial"/>
          <w:b/>
        </w:rPr>
        <w:t xml:space="preserve"> </w:t>
      </w:r>
      <w:r w:rsidR="00467F29">
        <w:rPr>
          <w:rFonts w:ascii="Arial" w:hAnsi="Arial" w:cs="Arial"/>
          <w:b/>
        </w:rPr>
        <w:t xml:space="preserve">Relationship between </w:t>
      </w:r>
      <w:proofErr w:type="spellStart"/>
      <w:r w:rsidR="00467F29">
        <w:rPr>
          <w:rFonts w:ascii="Arial" w:hAnsi="Arial" w:cs="Arial"/>
          <w:b/>
        </w:rPr>
        <w:t>sociodemographics</w:t>
      </w:r>
      <w:proofErr w:type="spellEnd"/>
      <w:r w:rsidR="00467F29">
        <w:rPr>
          <w:rFonts w:ascii="Arial" w:hAnsi="Arial" w:cs="Arial"/>
          <w:b/>
        </w:rPr>
        <w:t xml:space="preserve"> and views on fieldwork participation </w:t>
      </w:r>
    </w:p>
    <w:p w14:paraId="59E03B47" w14:textId="77777777" w:rsidR="000F0C04" w:rsidRPr="005A42ED" w:rsidRDefault="000F0C04" w:rsidP="00327D13">
      <w:pPr>
        <w:pStyle w:val="Body"/>
        <w:spacing w:after="0"/>
        <w:rPr>
          <w:rFonts w:ascii="Arial" w:hAnsi="Arial" w:cs="Arial"/>
          <w:b/>
        </w:rPr>
      </w:pPr>
    </w:p>
    <w:tbl>
      <w:tblPr>
        <w:tblStyle w:val="TableGrid1"/>
        <w:tblW w:w="5000" w:type="pct"/>
        <w:tblInd w:w="162" w:type="dxa"/>
        <w:tblLook w:val="04A0" w:firstRow="1" w:lastRow="0" w:firstColumn="1" w:lastColumn="0" w:noHBand="0" w:noVBand="1"/>
      </w:tblPr>
      <w:tblGrid>
        <w:gridCol w:w="3640"/>
        <w:gridCol w:w="969"/>
        <w:gridCol w:w="1179"/>
        <w:gridCol w:w="1602"/>
        <w:gridCol w:w="1013"/>
        <w:gridCol w:w="1602"/>
        <w:gridCol w:w="1011"/>
      </w:tblGrid>
      <w:tr w:rsidR="007076E4" w:rsidRPr="005A42ED" w14:paraId="426448B3" w14:textId="77777777" w:rsidTr="007076E4">
        <w:trPr>
          <w:trHeight w:val="210"/>
        </w:trPr>
        <w:tc>
          <w:tcPr>
            <w:tcW w:w="1652" w:type="pct"/>
          </w:tcPr>
          <w:p w14:paraId="0A4EEEE2"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Demography</w:t>
            </w:r>
          </w:p>
        </w:tc>
        <w:tc>
          <w:tcPr>
            <w:tcW w:w="975" w:type="pct"/>
            <w:gridSpan w:val="2"/>
          </w:tcPr>
          <w:p w14:paraId="112F10A6"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Participation in Field Work</w:t>
            </w:r>
          </w:p>
        </w:tc>
        <w:tc>
          <w:tcPr>
            <w:tcW w:w="727" w:type="pct"/>
          </w:tcPr>
          <w:p w14:paraId="559E5ACA"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COR (95% CI)</w:t>
            </w:r>
          </w:p>
        </w:tc>
        <w:tc>
          <w:tcPr>
            <w:tcW w:w="460" w:type="pct"/>
          </w:tcPr>
          <w:p w14:paraId="370DD0D9" w14:textId="77777777" w:rsidR="005A42ED" w:rsidRPr="005A42ED" w:rsidRDefault="005A42ED" w:rsidP="005A42ED">
            <w:pPr>
              <w:rPr>
                <w:rFonts w:ascii="Arial" w:hAnsi="Arial" w:cs="Arial"/>
                <w:b/>
                <w:bCs/>
                <w:sz w:val="18"/>
                <w:szCs w:val="18"/>
              </w:rPr>
            </w:pPr>
            <w:r w:rsidRPr="005A42ED">
              <w:rPr>
                <w:rFonts w:ascii="Arial" w:hAnsi="Arial" w:cs="Arial"/>
                <w:b/>
                <w:bCs/>
                <w:i/>
                <w:iCs/>
                <w:sz w:val="18"/>
                <w:szCs w:val="18"/>
              </w:rPr>
              <w:t>p</w:t>
            </w:r>
            <w:r w:rsidRPr="005A42ED">
              <w:rPr>
                <w:rFonts w:ascii="Arial" w:hAnsi="Arial" w:cs="Arial"/>
                <w:b/>
                <w:bCs/>
                <w:sz w:val="18"/>
                <w:szCs w:val="18"/>
              </w:rPr>
              <w:t>-value</w:t>
            </w:r>
          </w:p>
        </w:tc>
        <w:tc>
          <w:tcPr>
            <w:tcW w:w="727" w:type="pct"/>
          </w:tcPr>
          <w:p w14:paraId="2811EA07"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AOR (95% CI)</w:t>
            </w:r>
          </w:p>
        </w:tc>
        <w:tc>
          <w:tcPr>
            <w:tcW w:w="460" w:type="pct"/>
          </w:tcPr>
          <w:p w14:paraId="524BD62C" w14:textId="77777777" w:rsidR="005A42ED" w:rsidRPr="005A42ED" w:rsidRDefault="005A42ED" w:rsidP="005A42ED">
            <w:pPr>
              <w:rPr>
                <w:rFonts w:ascii="Arial" w:hAnsi="Arial" w:cs="Arial"/>
                <w:b/>
                <w:bCs/>
                <w:sz w:val="18"/>
                <w:szCs w:val="18"/>
              </w:rPr>
            </w:pPr>
            <w:r w:rsidRPr="005A42ED">
              <w:rPr>
                <w:rFonts w:ascii="Arial" w:hAnsi="Arial" w:cs="Arial"/>
                <w:b/>
                <w:bCs/>
                <w:i/>
                <w:iCs/>
                <w:sz w:val="18"/>
                <w:szCs w:val="18"/>
              </w:rPr>
              <w:t>p</w:t>
            </w:r>
            <w:r w:rsidRPr="005A42ED">
              <w:rPr>
                <w:rFonts w:ascii="Arial" w:hAnsi="Arial" w:cs="Arial"/>
                <w:b/>
                <w:bCs/>
                <w:sz w:val="18"/>
                <w:szCs w:val="18"/>
              </w:rPr>
              <w:t>-value</w:t>
            </w:r>
          </w:p>
        </w:tc>
      </w:tr>
      <w:tr w:rsidR="007076E4" w:rsidRPr="005A42ED" w14:paraId="00883536" w14:textId="77777777" w:rsidTr="007076E4">
        <w:trPr>
          <w:trHeight w:val="107"/>
        </w:trPr>
        <w:tc>
          <w:tcPr>
            <w:tcW w:w="1652" w:type="pct"/>
          </w:tcPr>
          <w:p w14:paraId="1C45D864" w14:textId="77777777" w:rsidR="005A42ED" w:rsidRPr="005A42ED" w:rsidRDefault="005A42ED" w:rsidP="005A42ED">
            <w:pPr>
              <w:rPr>
                <w:rFonts w:ascii="Arial" w:hAnsi="Arial" w:cs="Arial"/>
                <w:b/>
                <w:bCs/>
                <w:sz w:val="18"/>
                <w:szCs w:val="18"/>
              </w:rPr>
            </w:pPr>
          </w:p>
        </w:tc>
        <w:tc>
          <w:tcPr>
            <w:tcW w:w="440" w:type="pct"/>
          </w:tcPr>
          <w:p w14:paraId="3E8B343E"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Yes</w:t>
            </w:r>
          </w:p>
        </w:tc>
        <w:tc>
          <w:tcPr>
            <w:tcW w:w="534" w:type="pct"/>
          </w:tcPr>
          <w:p w14:paraId="7D600609"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No</w:t>
            </w:r>
          </w:p>
        </w:tc>
        <w:tc>
          <w:tcPr>
            <w:tcW w:w="727" w:type="pct"/>
          </w:tcPr>
          <w:p w14:paraId="67D48D77" w14:textId="77777777" w:rsidR="005A42ED" w:rsidRPr="005A42ED" w:rsidRDefault="005A42ED" w:rsidP="005A42ED">
            <w:pPr>
              <w:rPr>
                <w:rFonts w:ascii="Arial" w:hAnsi="Arial" w:cs="Arial"/>
                <w:b/>
                <w:bCs/>
                <w:sz w:val="18"/>
                <w:szCs w:val="18"/>
              </w:rPr>
            </w:pPr>
          </w:p>
        </w:tc>
        <w:tc>
          <w:tcPr>
            <w:tcW w:w="460" w:type="pct"/>
          </w:tcPr>
          <w:p w14:paraId="6043F45B" w14:textId="77777777" w:rsidR="005A42ED" w:rsidRPr="005A42ED" w:rsidRDefault="005A42ED" w:rsidP="005A42ED">
            <w:pPr>
              <w:rPr>
                <w:rFonts w:ascii="Arial" w:hAnsi="Arial" w:cs="Arial"/>
                <w:b/>
                <w:bCs/>
                <w:sz w:val="18"/>
                <w:szCs w:val="18"/>
              </w:rPr>
            </w:pPr>
          </w:p>
        </w:tc>
        <w:tc>
          <w:tcPr>
            <w:tcW w:w="727" w:type="pct"/>
          </w:tcPr>
          <w:p w14:paraId="2A023701" w14:textId="77777777" w:rsidR="005A42ED" w:rsidRPr="005A42ED" w:rsidRDefault="005A42ED" w:rsidP="005A42ED">
            <w:pPr>
              <w:rPr>
                <w:rFonts w:ascii="Arial" w:hAnsi="Arial" w:cs="Arial"/>
                <w:b/>
                <w:bCs/>
                <w:sz w:val="18"/>
                <w:szCs w:val="18"/>
              </w:rPr>
            </w:pPr>
          </w:p>
        </w:tc>
        <w:tc>
          <w:tcPr>
            <w:tcW w:w="460" w:type="pct"/>
          </w:tcPr>
          <w:p w14:paraId="3204E314" w14:textId="77777777" w:rsidR="005A42ED" w:rsidRPr="005A42ED" w:rsidRDefault="005A42ED" w:rsidP="005A42ED">
            <w:pPr>
              <w:rPr>
                <w:rFonts w:ascii="Arial" w:hAnsi="Arial" w:cs="Arial"/>
                <w:b/>
                <w:bCs/>
                <w:sz w:val="18"/>
                <w:szCs w:val="18"/>
              </w:rPr>
            </w:pPr>
          </w:p>
        </w:tc>
      </w:tr>
      <w:tr w:rsidR="007076E4" w:rsidRPr="005A42ED" w14:paraId="04545726" w14:textId="77777777" w:rsidTr="007076E4">
        <w:trPr>
          <w:trHeight w:val="102"/>
        </w:trPr>
        <w:tc>
          <w:tcPr>
            <w:tcW w:w="1652" w:type="pct"/>
          </w:tcPr>
          <w:p w14:paraId="046DFBEA" w14:textId="77777777" w:rsidR="005A42ED" w:rsidRPr="005A42ED" w:rsidRDefault="005A42ED" w:rsidP="005A42ED">
            <w:pPr>
              <w:rPr>
                <w:rFonts w:ascii="Arial" w:hAnsi="Arial" w:cs="Arial"/>
                <w:b/>
                <w:bCs/>
                <w:sz w:val="18"/>
                <w:szCs w:val="18"/>
              </w:rPr>
            </w:pPr>
          </w:p>
        </w:tc>
        <w:tc>
          <w:tcPr>
            <w:tcW w:w="440" w:type="pct"/>
          </w:tcPr>
          <w:p w14:paraId="0A65E254" w14:textId="77777777" w:rsidR="005A42ED" w:rsidRPr="005A42ED" w:rsidRDefault="005A42ED" w:rsidP="005A42ED">
            <w:pPr>
              <w:rPr>
                <w:rFonts w:ascii="Arial" w:hAnsi="Arial" w:cs="Arial"/>
                <w:b/>
                <w:bCs/>
                <w:sz w:val="18"/>
                <w:szCs w:val="18"/>
              </w:rPr>
            </w:pPr>
          </w:p>
        </w:tc>
        <w:tc>
          <w:tcPr>
            <w:tcW w:w="534" w:type="pct"/>
          </w:tcPr>
          <w:p w14:paraId="01A876D6" w14:textId="77777777" w:rsidR="005A42ED" w:rsidRPr="005A42ED" w:rsidRDefault="005A42ED" w:rsidP="005A42ED">
            <w:pPr>
              <w:rPr>
                <w:rFonts w:ascii="Arial" w:hAnsi="Arial" w:cs="Arial"/>
                <w:b/>
                <w:bCs/>
                <w:sz w:val="18"/>
                <w:szCs w:val="18"/>
              </w:rPr>
            </w:pPr>
          </w:p>
        </w:tc>
        <w:tc>
          <w:tcPr>
            <w:tcW w:w="727" w:type="pct"/>
          </w:tcPr>
          <w:p w14:paraId="36E39A6F" w14:textId="77777777" w:rsidR="005A42ED" w:rsidRPr="005A42ED" w:rsidRDefault="005A42ED" w:rsidP="005A42ED">
            <w:pPr>
              <w:rPr>
                <w:rFonts w:ascii="Arial" w:hAnsi="Arial" w:cs="Arial"/>
                <w:b/>
                <w:bCs/>
                <w:sz w:val="18"/>
                <w:szCs w:val="18"/>
              </w:rPr>
            </w:pPr>
          </w:p>
        </w:tc>
        <w:tc>
          <w:tcPr>
            <w:tcW w:w="460" w:type="pct"/>
          </w:tcPr>
          <w:p w14:paraId="54A8642E" w14:textId="77777777" w:rsidR="005A42ED" w:rsidRPr="005A42ED" w:rsidRDefault="005A42ED" w:rsidP="005A42ED">
            <w:pPr>
              <w:rPr>
                <w:rFonts w:ascii="Arial" w:hAnsi="Arial" w:cs="Arial"/>
                <w:b/>
                <w:bCs/>
                <w:sz w:val="18"/>
                <w:szCs w:val="18"/>
              </w:rPr>
            </w:pPr>
          </w:p>
        </w:tc>
        <w:tc>
          <w:tcPr>
            <w:tcW w:w="727" w:type="pct"/>
          </w:tcPr>
          <w:p w14:paraId="5B1817A5" w14:textId="77777777" w:rsidR="005A42ED" w:rsidRPr="005A42ED" w:rsidRDefault="005A42ED" w:rsidP="005A42ED">
            <w:pPr>
              <w:rPr>
                <w:rFonts w:ascii="Arial" w:hAnsi="Arial" w:cs="Arial"/>
                <w:b/>
                <w:bCs/>
                <w:sz w:val="18"/>
                <w:szCs w:val="18"/>
              </w:rPr>
            </w:pPr>
          </w:p>
        </w:tc>
        <w:tc>
          <w:tcPr>
            <w:tcW w:w="460" w:type="pct"/>
          </w:tcPr>
          <w:p w14:paraId="464FF41A" w14:textId="77777777" w:rsidR="005A42ED" w:rsidRPr="005A42ED" w:rsidRDefault="005A42ED" w:rsidP="005A42ED">
            <w:pPr>
              <w:rPr>
                <w:rFonts w:ascii="Arial" w:hAnsi="Arial" w:cs="Arial"/>
                <w:b/>
                <w:bCs/>
                <w:sz w:val="18"/>
                <w:szCs w:val="18"/>
              </w:rPr>
            </w:pPr>
          </w:p>
        </w:tc>
      </w:tr>
      <w:tr w:rsidR="007076E4" w:rsidRPr="005A42ED" w14:paraId="4B7A6216" w14:textId="77777777" w:rsidTr="007076E4">
        <w:trPr>
          <w:trHeight w:val="107"/>
        </w:trPr>
        <w:tc>
          <w:tcPr>
            <w:tcW w:w="1652" w:type="pct"/>
          </w:tcPr>
          <w:p w14:paraId="32A00E25"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Gender</w:t>
            </w:r>
          </w:p>
        </w:tc>
        <w:tc>
          <w:tcPr>
            <w:tcW w:w="440" w:type="pct"/>
          </w:tcPr>
          <w:p w14:paraId="414B63E7" w14:textId="77777777" w:rsidR="005A42ED" w:rsidRPr="005A42ED" w:rsidRDefault="005A42ED" w:rsidP="005A42ED">
            <w:pPr>
              <w:rPr>
                <w:rFonts w:ascii="Arial" w:hAnsi="Arial" w:cs="Arial"/>
                <w:sz w:val="18"/>
                <w:szCs w:val="18"/>
              </w:rPr>
            </w:pPr>
          </w:p>
        </w:tc>
        <w:tc>
          <w:tcPr>
            <w:tcW w:w="534" w:type="pct"/>
          </w:tcPr>
          <w:p w14:paraId="0444732F" w14:textId="77777777" w:rsidR="005A42ED" w:rsidRPr="005A42ED" w:rsidRDefault="005A42ED" w:rsidP="005A42ED">
            <w:pPr>
              <w:rPr>
                <w:rFonts w:ascii="Arial" w:hAnsi="Arial" w:cs="Arial"/>
                <w:sz w:val="18"/>
                <w:szCs w:val="18"/>
              </w:rPr>
            </w:pPr>
          </w:p>
        </w:tc>
        <w:tc>
          <w:tcPr>
            <w:tcW w:w="727" w:type="pct"/>
          </w:tcPr>
          <w:p w14:paraId="51037284" w14:textId="77777777" w:rsidR="005A42ED" w:rsidRPr="005A42ED" w:rsidRDefault="005A42ED" w:rsidP="005A42ED">
            <w:pPr>
              <w:rPr>
                <w:rFonts w:ascii="Arial" w:hAnsi="Arial" w:cs="Arial"/>
                <w:sz w:val="18"/>
                <w:szCs w:val="18"/>
              </w:rPr>
            </w:pPr>
          </w:p>
        </w:tc>
        <w:tc>
          <w:tcPr>
            <w:tcW w:w="460" w:type="pct"/>
          </w:tcPr>
          <w:p w14:paraId="0C4D24BF" w14:textId="77777777" w:rsidR="005A42ED" w:rsidRPr="005A42ED" w:rsidRDefault="005A42ED" w:rsidP="005A42ED">
            <w:pPr>
              <w:rPr>
                <w:rFonts w:ascii="Arial" w:hAnsi="Arial" w:cs="Arial"/>
                <w:sz w:val="18"/>
                <w:szCs w:val="18"/>
              </w:rPr>
            </w:pPr>
          </w:p>
        </w:tc>
        <w:tc>
          <w:tcPr>
            <w:tcW w:w="727" w:type="pct"/>
          </w:tcPr>
          <w:p w14:paraId="0687715B" w14:textId="77777777" w:rsidR="005A42ED" w:rsidRPr="005A42ED" w:rsidRDefault="005A42ED" w:rsidP="005A42ED">
            <w:pPr>
              <w:rPr>
                <w:rFonts w:ascii="Arial" w:hAnsi="Arial" w:cs="Arial"/>
                <w:sz w:val="18"/>
                <w:szCs w:val="18"/>
              </w:rPr>
            </w:pPr>
          </w:p>
        </w:tc>
        <w:tc>
          <w:tcPr>
            <w:tcW w:w="460" w:type="pct"/>
          </w:tcPr>
          <w:p w14:paraId="15146BDB" w14:textId="77777777" w:rsidR="005A42ED" w:rsidRPr="005A42ED" w:rsidRDefault="005A42ED" w:rsidP="005A42ED">
            <w:pPr>
              <w:rPr>
                <w:rFonts w:ascii="Arial" w:hAnsi="Arial" w:cs="Arial"/>
                <w:sz w:val="18"/>
                <w:szCs w:val="18"/>
              </w:rPr>
            </w:pPr>
          </w:p>
        </w:tc>
      </w:tr>
      <w:tr w:rsidR="007076E4" w:rsidRPr="005A42ED" w14:paraId="12693F8C" w14:textId="77777777" w:rsidTr="007076E4">
        <w:trPr>
          <w:trHeight w:val="102"/>
        </w:trPr>
        <w:tc>
          <w:tcPr>
            <w:tcW w:w="1652" w:type="pct"/>
          </w:tcPr>
          <w:p w14:paraId="3111C24E" w14:textId="77777777" w:rsidR="005A42ED" w:rsidRPr="005A42ED" w:rsidRDefault="005A42ED" w:rsidP="005A42ED">
            <w:pPr>
              <w:rPr>
                <w:rFonts w:ascii="Arial" w:hAnsi="Arial" w:cs="Arial"/>
                <w:sz w:val="18"/>
                <w:szCs w:val="18"/>
              </w:rPr>
            </w:pPr>
            <w:r w:rsidRPr="005A42ED">
              <w:rPr>
                <w:rFonts w:ascii="Arial" w:hAnsi="Arial" w:cs="Arial"/>
                <w:sz w:val="18"/>
                <w:szCs w:val="18"/>
              </w:rPr>
              <w:t>Male</w:t>
            </w:r>
          </w:p>
        </w:tc>
        <w:tc>
          <w:tcPr>
            <w:tcW w:w="440" w:type="pct"/>
          </w:tcPr>
          <w:p w14:paraId="1157FBC9" w14:textId="77777777" w:rsidR="005A42ED" w:rsidRPr="005A42ED" w:rsidRDefault="005A42ED" w:rsidP="005A42ED">
            <w:pPr>
              <w:rPr>
                <w:rFonts w:ascii="Arial" w:hAnsi="Arial" w:cs="Arial"/>
                <w:sz w:val="18"/>
                <w:szCs w:val="18"/>
              </w:rPr>
            </w:pPr>
            <w:r w:rsidRPr="005A42ED">
              <w:rPr>
                <w:rFonts w:ascii="Arial" w:hAnsi="Arial" w:cs="Arial"/>
                <w:sz w:val="18"/>
                <w:szCs w:val="18"/>
              </w:rPr>
              <w:t>16 (22.9)</w:t>
            </w:r>
          </w:p>
        </w:tc>
        <w:tc>
          <w:tcPr>
            <w:tcW w:w="534" w:type="pct"/>
          </w:tcPr>
          <w:p w14:paraId="77631280" w14:textId="77777777" w:rsidR="005A42ED" w:rsidRPr="005A42ED" w:rsidRDefault="005A42ED" w:rsidP="005A42ED">
            <w:pPr>
              <w:rPr>
                <w:rFonts w:ascii="Arial" w:hAnsi="Arial" w:cs="Arial"/>
                <w:sz w:val="18"/>
                <w:szCs w:val="18"/>
              </w:rPr>
            </w:pPr>
            <w:r w:rsidRPr="005A42ED">
              <w:rPr>
                <w:rFonts w:ascii="Arial" w:hAnsi="Arial" w:cs="Arial"/>
                <w:sz w:val="18"/>
                <w:szCs w:val="18"/>
              </w:rPr>
              <w:t>54 (77.1)</w:t>
            </w:r>
          </w:p>
        </w:tc>
        <w:tc>
          <w:tcPr>
            <w:tcW w:w="727" w:type="pct"/>
          </w:tcPr>
          <w:p w14:paraId="2EC9B974" w14:textId="77777777" w:rsidR="005A42ED" w:rsidRPr="005A42ED" w:rsidRDefault="005A42ED" w:rsidP="005A42ED">
            <w:pPr>
              <w:rPr>
                <w:rFonts w:ascii="Arial" w:hAnsi="Arial" w:cs="Arial"/>
                <w:sz w:val="18"/>
                <w:szCs w:val="18"/>
              </w:rPr>
            </w:pPr>
            <w:r w:rsidRPr="005A42ED">
              <w:rPr>
                <w:rFonts w:ascii="Arial" w:hAnsi="Arial" w:cs="Arial"/>
                <w:sz w:val="18"/>
                <w:szCs w:val="18"/>
              </w:rPr>
              <w:t>- 0.78 (0.41 – 1.57)</w:t>
            </w:r>
          </w:p>
        </w:tc>
        <w:tc>
          <w:tcPr>
            <w:tcW w:w="460" w:type="pct"/>
          </w:tcPr>
          <w:p w14:paraId="0BDC61D9" w14:textId="77777777" w:rsidR="005A42ED" w:rsidRPr="005A42ED" w:rsidRDefault="005A42ED" w:rsidP="005A42ED">
            <w:pPr>
              <w:rPr>
                <w:rFonts w:ascii="Arial" w:hAnsi="Arial" w:cs="Arial"/>
                <w:sz w:val="18"/>
                <w:szCs w:val="18"/>
              </w:rPr>
            </w:pPr>
            <w:r w:rsidRPr="005A42ED">
              <w:rPr>
                <w:rFonts w:ascii="Arial" w:hAnsi="Arial" w:cs="Arial"/>
                <w:sz w:val="18"/>
                <w:szCs w:val="18"/>
              </w:rPr>
              <w:t>0.514</w:t>
            </w:r>
          </w:p>
        </w:tc>
        <w:tc>
          <w:tcPr>
            <w:tcW w:w="727" w:type="pct"/>
          </w:tcPr>
          <w:p w14:paraId="20A278FB" w14:textId="77777777" w:rsidR="005A42ED" w:rsidRPr="005A42ED" w:rsidRDefault="005A42ED" w:rsidP="005A42ED">
            <w:pPr>
              <w:rPr>
                <w:rFonts w:ascii="Arial" w:hAnsi="Arial" w:cs="Arial"/>
                <w:sz w:val="18"/>
                <w:szCs w:val="18"/>
              </w:rPr>
            </w:pPr>
            <w:r w:rsidRPr="005A42ED">
              <w:rPr>
                <w:rFonts w:ascii="Arial" w:hAnsi="Arial" w:cs="Arial"/>
                <w:sz w:val="18"/>
                <w:szCs w:val="18"/>
              </w:rPr>
              <w:t>- 0.68 (0.32 – 1.46)</w:t>
            </w:r>
          </w:p>
        </w:tc>
        <w:tc>
          <w:tcPr>
            <w:tcW w:w="460" w:type="pct"/>
          </w:tcPr>
          <w:p w14:paraId="14080309" w14:textId="77777777" w:rsidR="005A42ED" w:rsidRPr="005A42ED" w:rsidRDefault="005A42ED" w:rsidP="005A42ED">
            <w:pPr>
              <w:rPr>
                <w:rFonts w:ascii="Arial" w:hAnsi="Arial" w:cs="Arial"/>
                <w:sz w:val="18"/>
                <w:szCs w:val="18"/>
              </w:rPr>
            </w:pPr>
            <w:r w:rsidRPr="005A42ED">
              <w:rPr>
                <w:rFonts w:ascii="Arial" w:hAnsi="Arial" w:cs="Arial"/>
                <w:sz w:val="18"/>
                <w:szCs w:val="18"/>
              </w:rPr>
              <w:t>0.321</w:t>
            </w:r>
          </w:p>
        </w:tc>
      </w:tr>
      <w:tr w:rsidR="007076E4" w:rsidRPr="005A42ED" w14:paraId="155B6E8B" w14:textId="77777777" w:rsidTr="007076E4">
        <w:trPr>
          <w:trHeight w:val="107"/>
        </w:trPr>
        <w:tc>
          <w:tcPr>
            <w:tcW w:w="1652" w:type="pct"/>
          </w:tcPr>
          <w:p w14:paraId="6AB79814" w14:textId="77777777" w:rsidR="005A42ED" w:rsidRPr="005A42ED" w:rsidRDefault="005A42ED" w:rsidP="005A42ED">
            <w:pPr>
              <w:rPr>
                <w:rFonts w:ascii="Arial" w:hAnsi="Arial" w:cs="Arial"/>
                <w:sz w:val="18"/>
                <w:szCs w:val="18"/>
              </w:rPr>
            </w:pPr>
            <w:r w:rsidRPr="005A42ED">
              <w:rPr>
                <w:rFonts w:ascii="Arial" w:hAnsi="Arial" w:cs="Arial"/>
                <w:sz w:val="18"/>
                <w:szCs w:val="18"/>
              </w:rPr>
              <w:t>Female</w:t>
            </w:r>
          </w:p>
        </w:tc>
        <w:tc>
          <w:tcPr>
            <w:tcW w:w="440" w:type="pct"/>
          </w:tcPr>
          <w:p w14:paraId="20521647" w14:textId="77777777" w:rsidR="005A42ED" w:rsidRPr="005A42ED" w:rsidRDefault="005A42ED" w:rsidP="005A42ED">
            <w:pPr>
              <w:rPr>
                <w:rFonts w:ascii="Arial" w:hAnsi="Arial" w:cs="Arial"/>
                <w:sz w:val="18"/>
                <w:szCs w:val="18"/>
              </w:rPr>
            </w:pPr>
            <w:r w:rsidRPr="005A42ED">
              <w:rPr>
                <w:rFonts w:ascii="Arial" w:hAnsi="Arial" w:cs="Arial"/>
                <w:sz w:val="18"/>
                <w:szCs w:val="18"/>
              </w:rPr>
              <w:t>36 (27.1)</w:t>
            </w:r>
          </w:p>
        </w:tc>
        <w:tc>
          <w:tcPr>
            <w:tcW w:w="534" w:type="pct"/>
          </w:tcPr>
          <w:p w14:paraId="082D6190" w14:textId="77777777" w:rsidR="005A42ED" w:rsidRPr="005A42ED" w:rsidRDefault="005A42ED" w:rsidP="005A42ED">
            <w:pPr>
              <w:rPr>
                <w:rFonts w:ascii="Arial" w:hAnsi="Arial" w:cs="Arial"/>
                <w:sz w:val="18"/>
                <w:szCs w:val="18"/>
              </w:rPr>
            </w:pPr>
            <w:r w:rsidRPr="005A42ED">
              <w:rPr>
                <w:rFonts w:ascii="Arial" w:hAnsi="Arial" w:cs="Arial"/>
                <w:sz w:val="18"/>
                <w:szCs w:val="18"/>
              </w:rPr>
              <w:t>97 (72.9)</w:t>
            </w:r>
          </w:p>
        </w:tc>
        <w:tc>
          <w:tcPr>
            <w:tcW w:w="727" w:type="pct"/>
          </w:tcPr>
          <w:p w14:paraId="50047487"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55F7471E"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0A702F35"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0CCFA78C"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5E0F2CC6" w14:textId="77777777" w:rsidTr="007076E4">
        <w:trPr>
          <w:trHeight w:val="102"/>
        </w:trPr>
        <w:tc>
          <w:tcPr>
            <w:tcW w:w="1652" w:type="pct"/>
          </w:tcPr>
          <w:p w14:paraId="6FAC8550"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Age</w:t>
            </w:r>
          </w:p>
        </w:tc>
        <w:tc>
          <w:tcPr>
            <w:tcW w:w="440" w:type="pct"/>
          </w:tcPr>
          <w:p w14:paraId="48833E74" w14:textId="77777777" w:rsidR="005A42ED" w:rsidRPr="005A42ED" w:rsidRDefault="005A42ED" w:rsidP="005A42ED">
            <w:pPr>
              <w:rPr>
                <w:rFonts w:ascii="Arial" w:hAnsi="Arial" w:cs="Arial"/>
                <w:sz w:val="18"/>
                <w:szCs w:val="18"/>
              </w:rPr>
            </w:pPr>
          </w:p>
        </w:tc>
        <w:tc>
          <w:tcPr>
            <w:tcW w:w="534" w:type="pct"/>
          </w:tcPr>
          <w:p w14:paraId="6DFFD3A9" w14:textId="77777777" w:rsidR="005A42ED" w:rsidRPr="005A42ED" w:rsidRDefault="005A42ED" w:rsidP="005A42ED">
            <w:pPr>
              <w:rPr>
                <w:rFonts w:ascii="Arial" w:hAnsi="Arial" w:cs="Arial"/>
                <w:sz w:val="18"/>
                <w:szCs w:val="18"/>
              </w:rPr>
            </w:pPr>
          </w:p>
        </w:tc>
        <w:tc>
          <w:tcPr>
            <w:tcW w:w="727" w:type="pct"/>
          </w:tcPr>
          <w:p w14:paraId="0A67ED57" w14:textId="77777777" w:rsidR="005A42ED" w:rsidRPr="005A42ED" w:rsidRDefault="005A42ED" w:rsidP="005A42ED">
            <w:pPr>
              <w:rPr>
                <w:rFonts w:ascii="Arial" w:hAnsi="Arial" w:cs="Arial"/>
                <w:sz w:val="18"/>
                <w:szCs w:val="18"/>
              </w:rPr>
            </w:pPr>
          </w:p>
        </w:tc>
        <w:tc>
          <w:tcPr>
            <w:tcW w:w="460" w:type="pct"/>
          </w:tcPr>
          <w:p w14:paraId="5008C84B" w14:textId="77777777" w:rsidR="005A42ED" w:rsidRPr="005A42ED" w:rsidRDefault="005A42ED" w:rsidP="005A42ED">
            <w:pPr>
              <w:rPr>
                <w:rFonts w:ascii="Arial" w:hAnsi="Arial" w:cs="Arial"/>
                <w:sz w:val="18"/>
                <w:szCs w:val="18"/>
              </w:rPr>
            </w:pPr>
          </w:p>
        </w:tc>
        <w:tc>
          <w:tcPr>
            <w:tcW w:w="727" w:type="pct"/>
          </w:tcPr>
          <w:p w14:paraId="7BF8CD18" w14:textId="77777777" w:rsidR="005A42ED" w:rsidRPr="005A42ED" w:rsidRDefault="005A42ED" w:rsidP="005A42ED">
            <w:pPr>
              <w:rPr>
                <w:rFonts w:ascii="Arial" w:hAnsi="Arial" w:cs="Arial"/>
                <w:sz w:val="18"/>
                <w:szCs w:val="18"/>
              </w:rPr>
            </w:pPr>
          </w:p>
        </w:tc>
        <w:tc>
          <w:tcPr>
            <w:tcW w:w="460" w:type="pct"/>
          </w:tcPr>
          <w:p w14:paraId="12E1087C" w14:textId="77777777" w:rsidR="005A42ED" w:rsidRPr="005A42ED" w:rsidRDefault="005A42ED" w:rsidP="005A42ED">
            <w:pPr>
              <w:rPr>
                <w:rFonts w:ascii="Arial" w:hAnsi="Arial" w:cs="Arial"/>
                <w:sz w:val="18"/>
                <w:szCs w:val="18"/>
              </w:rPr>
            </w:pPr>
          </w:p>
        </w:tc>
      </w:tr>
      <w:tr w:rsidR="007076E4" w:rsidRPr="005A42ED" w14:paraId="3CFD56AD" w14:textId="77777777" w:rsidTr="007076E4">
        <w:trPr>
          <w:trHeight w:val="107"/>
        </w:trPr>
        <w:tc>
          <w:tcPr>
            <w:tcW w:w="1652" w:type="pct"/>
          </w:tcPr>
          <w:p w14:paraId="07359CD2" w14:textId="77777777" w:rsidR="005A42ED" w:rsidRPr="005A42ED" w:rsidRDefault="005A42ED" w:rsidP="005A42ED">
            <w:pPr>
              <w:rPr>
                <w:rFonts w:ascii="Arial" w:hAnsi="Arial" w:cs="Arial"/>
                <w:sz w:val="18"/>
                <w:szCs w:val="18"/>
              </w:rPr>
            </w:pPr>
            <w:r w:rsidRPr="005A42ED">
              <w:rPr>
                <w:rFonts w:ascii="Arial" w:hAnsi="Arial" w:cs="Arial"/>
                <w:sz w:val="18"/>
                <w:szCs w:val="18"/>
              </w:rPr>
              <w:t>18 – 21</w:t>
            </w:r>
          </w:p>
        </w:tc>
        <w:tc>
          <w:tcPr>
            <w:tcW w:w="440" w:type="pct"/>
          </w:tcPr>
          <w:p w14:paraId="2ECDE58E" w14:textId="77777777" w:rsidR="005A42ED" w:rsidRPr="005A42ED" w:rsidRDefault="005A42ED" w:rsidP="005A42ED">
            <w:pPr>
              <w:rPr>
                <w:rFonts w:ascii="Arial" w:hAnsi="Arial" w:cs="Arial"/>
                <w:sz w:val="18"/>
                <w:szCs w:val="18"/>
              </w:rPr>
            </w:pPr>
            <w:r w:rsidRPr="005A42ED">
              <w:rPr>
                <w:rFonts w:ascii="Arial" w:hAnsi="Arial" w:cs="Arial"/>
                <w:sz w:val="18"/>
                <w:szCs w:val="18"/>
              </w:rPr>
              <w:t>7 (15.2)</w:t>
            </w:r>
          </w:p>
        </w:tc>
        <w:tc>
          <w:tcPr>
            <w:tcW w:w="534" w:type="pct"/>
          </w:tcPr>
          <w:p w14:paraId="2BEC3415" w14:textId="77777777" w:rsidR="005A42ED" w:rsidRPr="005A42ED" w:rsidRDefault="005A42ED" w:rsidP="005A42ED">
            <w:pPr>
              <w:rPr>
                <w:rFonts w:ascii="Arial" w:hAnsi="Arial" w:cs="Arial"/>
                <w:sz w:val="18"/>
                <w:szCs w:val="18"/>
              </w:rPr>
            </w:pPr>
            <w:r w:rsidRPr="005A42ED">
              <w:rPr>
                <w:rFonts w:ascii="Arial" w:hAnsi="Arial" w:cs="Arial"/>
                <w:sz w:val="18"/>
                <w:szCs w:val="18"/>
              </w:rPr>
              <w:t>39 (84.8)</w:t>
            </w:r>
          </w:p>
        </w:tc>
        <w:tc>
          <w:tcPr>
            <w:tcW w:w="727" w:type="pct"/>
          </w:tcPr>
          <w:p w14:paraId="1F96C5A6" w14:textId="77777777" w:rsidR="005A42ED" w:rsidRPr="005A42ED" w:rsidRDefault="005A42ED" w:rsidP="005A42ED">
            <w:pPr>
              <w:rPr>
                <w:rFonts w:ascii="Arial" w:hAnsi="Arial" w:cs="Arial"/>
                <w:sz w:val="18"/>
                <w:szCs w:val="18"/>
              </w:rPr>
            </w:pPr>
            <w:r w:rsidRPr="005A42ED">
              <w:rPr>
                <w:rFonts w:ascii="Arial" w:hAnsi="Arial" w:cs="Arial"/>
                <w:sz w:val="18"/>
                <w:szCs w:val="18"/>
              </w:rPr>
              <w:t>- 0.38 (0.14 – 1.01)</w:t>
            </w:r>
          </w:p>
        </w:tc>
        <w:tc>
          <w:tcPr>
            <w:tcW w:w="460" w:type="pct"/>
          </w:tcPr>
          <w:p w14:paraId="762937BC" w14:textId="77777777" w:rsidR="005A42ED" w:rsidRPr="005A42ED" w:rsidRDefault="005A42ED" w:rsidP="005A42ED">
            <w:pPr>
              <w:rPr>
                <w:rFonts w:ascii="Arial" w:hAnsi="Arial" w:cs="Arial"/>
                <w:sz w:val="18"/>
                <w:szCs w:val="18"/>
              </w:rPr>
            </w:pPr>
            <w:r w:rsidRPr="005A42ED">
              <w:rPr>
                <w:rFonts w:ascii="Arial" w:hAnsi="Arial" w:cs="Arial"/>
                <w:sz w:val="18"/>
                <w:szCs w:val="18"/>
              </w:rPr>
              <w:t>0.052</w:t>
            </w:r>
          </w:p>
        </w:tc>
        <w:tc>
          <w:tcPr>
            <w:tcW w:w="727" w:type="pct"/>
          </w:tcPr>
          <w:p w14:paraId="264C1D9C" w14:textId="77777777" w:rsidR="005A42ED" w:rsidRPr="005A42ED" w:rsidRDefault="005A42ED" w:rsidP="005A42ED">
            <w:pPr>
              <w:rPr>
                <w:rFonts w:ascii="Arial" w:hAnsi="Arial" w:cs="Arial"/>
                <w:sz w:val="18"/>
                <w:szCs w:val="18"/>
              </w:rPr>
            </w:pPr>
            <w:r w:rsidRPr="005A42ED">
              <w:rPr>
                <w:rFonts w:ascii="Arial" w:hAnsi="Arial" w:cs="Arial"/>
                <w:sz w:val="18"/>
                <w:szCs w:val="18"/>
              </w:rPr>
              <w:t>- 0.47 (0.14 – 1.56)</w:t>
            </w:r>
          </w:p>
        </w:tc>
        <w:tc>
          <w:tcPr>
            <w:tcW w:w="460" w:type="pct"/>
          </w:tcPr>
          <w:p w14:paraId="5118BC51" w14:textId="77777777" w:rsidR="005A42ED" w:rsidRPr="005A42ED" w:rsidRDefault="005A42ED" w:rsidP="005A42ED">
            <w:pPr>
              <w:rPr>
                <w:rFonts w:ascii="Arial" w:hAnsi="Arial" w:cs="Arial"/>
                <w:sz w:val="18"/>
                <w:szCs w:val="18"/>
              </w:rPr>
            </w:pPr>
            <w:r w:rsidRPr="005A42ED">
              <w:rPr>
                <w:rFonts w:ascii="Arial" w:hAnsi="Arial" w:cs="Arial"/>
                <w:sz w:val="18"/>
                <w:szCs w:val="18"/>
              </w:rPr>
              <w:t>0.219</w:t>
            </w:r>
          </w:p>
        </w:tc>
      </w:tr>
      <w:tr w:rsidR="007076E4" w:rsidRPr="005A42ED" w14:paraId="3CBFE600" w14:textId="77777777" w:rsidTr="007076E4">
        <w:trPr>
          <w:trHeight w:val="102"/>
        </w:trPr>
        <w:tc>
          <w:tcPr>
            <w:tcW w:w="1652" w:type="pct"/>
          </w:tcPr>
          <w:p w14:paraId="5DF31039" w14:textId="77777777" w:rsidR="005A42ED" w:rsidRPr="005A42ED" w:rsidRDefault="005A42ED" w:rsidP="005A42ED">
            <w:pPr>
              <w:rPr>
                <w:rFonts w:ascii="Arial" w:hAnsi="Arial" w:cs="Arial"/>
                <w:sz w:val="18"/>
                <w:szCs w:val="18"/>
              </w:rPr>
            </w:pPr>
            <w:r w:rsidRPr="005A42ED">
              <w:rPr>
                <w:rFonts w:ascii="Arial" w:hAnsi="Arial" w:cs="Arial"/>
                <w:sz w:val="18"/>
                <w:szCs w:val="18"/>
              </w:rPr>
              <w:t>22 – 25</w:t>
            </w:r>
          </w:p>
        </w:tc>
        <w:tc>
          <w:tcPr>
            <w:tcW w:w="440" w:type="pct"/>
          </w:tcPr>
          <w:p w14:paraId="50C251B1" w14:textId="77777777" w:rsidR="005A42ED" w:rsidRPr="005A42ED" w:rsidRDefault="005A42ED" w:rsidP="005A42ED">
            <w:pPr>
              <w:rPr>
                <w:rFonts w:ascii="Arial" w:hAnsi="Arial" w:cs="Arial"/>
                <w:sz w:val="18"/>
                <w:szCs w:val="18"/>
              </w:rPr>
            </w:pPr>
            <w:r w:rsidRPr="005A42ED">
              <w:rPr>
                <w:rFonts w:ascii="Arial" w:hAnsi="Arial" w:cs="Arial"/>
                <w:sz w:val="18"/>
                <w:szCs w:val="18"/>
              </w:rPr>
              <w:t>27 (26.7)</w:t>
            </w:r>
          </w:p>
        </w:tc>
        <w:tc>
          <w:tcPr>
            <w:tcW w:w="534" w:type="pct"/>
          </w:tcPr>
          <w:p w14:paraId="49C4DE39" w14:textId="77777777" w:rsidR="005A42ED" w:rsidRPr="005A42ED" w:rsidRDefault="005A42ED" w:rsidP="005A42ED">
            <w:pPr>
              <w:rPr>
                <w:rFonts w:ascii="Arial" w:hAnsi="Arial" w:cs="Arial"/>
                <w:sz w:val="18"/>
                <w:szCs w:val="18"/>
              </w:rPr>
            </w:pPr>
            <w:r w:rsidRPr="005A42ED">
              <w:rPr>
                <w:rFonts w:ascii="Arial" w:hAnsi="Arial" w:cs="Arial"/>
                <w:sz w:val="18"/>
                <w:szCs w:val="18"/>
              </w:rPr>
              <w:t>74 (73.3)</w:t>
            </w:r>
          </w:p>
        </w:tc>
        <w:tc>
          <w:tcPr>
            <w:tcW w:w="727" w:type="pct"/>
          </w:tcPr>
          <w:p w14:paraId="208E1244" w14:textId="77777777" w:rsidR="005A42ED" w:rsidRPr="005A42ED" w:rsidRDefault="005A42ED" w:rsidP="005A42ED">
            <w:pPr>
              <w:rPr>
                <w:rFonts w:ascii="Arial" w:hAnsi="Arial" w:cs="Arial"/>
                <w:sz w:val="18"/>
                <w:szCs w:val="18"/>
              </w:rPr>
            </w:pPr>
            <w:r w:rsidRPr="005A42ED">
              <w:rPr>
                <w:rFonts w:ascii="Arial" w:hAnsi="Arial" w:cs="Arial"/>
                <w:sz w:val="18"/>
                <w:szCs w:val="18"/>
              </w:rPr>
              <w:t>- 0.77 (0.38 – 1.57)</w:t>
            </w:r>
          </w:p>
        </w:tc>
        <w:tc>
          <w:tcPr>
            <w:tcW w:w="460" w:type="pct"/>
          </w:tcPr>
          <w:p w14:paraId="055F8137" w14:textId="77777777" w:rsidR="005A42ED" w:rsidRPr="005A42ED" w:rsidRDefault="005A42ED" w:rsidP="005A42ED">
            <w:pPr>
              <w:rPr>
                <w:rFonts w:ascii="Arial" w:hAnsi="Arial" w:cs="Arial"/>
                <w:sz w:val="18"/>
                <w:szCs w:val="18"/>
              </w:rPr>
            </w:pPr>
            <w:r w:rsidRPr="005A42ED">
              <w:rPr>
                <w:rFonts w:ascii="Arial" w:hAnsi="Arial" w:cs="Arial"/>
                <w:sz w:val="18"/>
                <w:szCs w:val="18"/>
              </w:rPr>
              <w:t>0.473</w:t>
            </w:r>
          </w:p>
        </w:tc>
        <w:tc>
          <w:tcPr>
            <w:tcW w:w="727" w:type="pct"/>
          </w:tcPr>
          <w:p w14:paraId="3BECCB89" w14:textId="77777777" w:rsidR="005A42ED" w:rsidRPr="005A42ED" w:rsidRDefault="005A42ED" w:rsidP="005A42ED">
            <w:pPr>
              <w:rPr>
                <w:rFonts w:ascii="Arial" w:hAnsi="Arial" w:cs="Arial"/>
                <w:sz w:val="18"/>
                <w:szCs w:val="18"/>
              </w:rPr>
            </w:pPr>
            <w:r w:rsidRPr="005A42ED">
              <w:rPr>
                <w:rFonts w:ascii="Arial" w:hAnsi="Arial" w:cs="Arial"/>
                <w:sz w:val="18"/>
                <w:szCs w:val="18"/>
              </w:rPr>
              <w:t>- 0.94 (0.41 – 2.16)</w:t>
            </w:r>
          </w:p>
        </w:tc>
        <w:tc>
          <w:tcPr>
            <w:tcW w:w="460" w:type="pct"/>
          </w:tcPr>
          <w:p w14:paraId="06491539" w14:textId="77777777" w:rsidR="005A42ED" w:rsidRPr="005A42ED" w:rsidRDefault="005A42ED" w:rsidP="005A42ED">
            <w:pPr>
              <w:rPr>
                <w:rFonts w:ascii="Arial" w:hAnsi="Arial" w:cs="Arial"/>
                <w:sz w:val="18"/>
                <w:szCs w:val="18"/>
              </w:rPr>
            </w:pPr>
            <w:r w:rsidRPr="005A42ED">
              <w:rPr>
                <w:rFonts w:ascii="Arial" w:hAnsi="Arial" w:cs="Arial"/>
                <w:sz w:val="18"/>
                <w:szCs w:val="18"/>
              </w:rPr>
              <w:t>0.885</w:t>
            </w:r>
          </w:p>
        </w:tc>
      </w:tr>
      <w:tr w:rsidR="007076E4" w:rsidRPr="005A42ED" w14:paraId="78627895" w14:textId="77777777" w:rsidTr="007076E4">
        <w:trPr>
          <w:trHeight w:val="102"/>
        </w:trPr>
        <w:tc>
          <w:tcPr>
            <w:tcW w:w="1652" w:type="pct"/>
          </w:tcPr>
          <w:p w14:paraId="28E773FB" w14:textId="77777777" w:rsidR="005A42ED" w:rsidRPr="005A42ED" w:rsidRDefault="005A42ED" w:rsidP="005A42ED">
            <w:pPr>
              <w:rPr>
                <w:rFonts w:ascii="Arial" w:hAnsi="Arial" w:cs="Arial"/>
                <w:sz w:val="18"/>
                <w:szCs w:val="18"/>
              </w:rPr>
            </w:pPr>
            <w:r w:rsidRPr="005A42ED">
              <w:rPr>
                <w:rFonts w:ascii="Arial" w:hAnsi="Arial" w:cs="Arial"/>
                <w:sz w:val="18"/>
                <w:szCs w:val="18"/>
              </w:rPr>
              <w:t>26 – 35</w:t>
            </w:r>
          </w:p>
        </w:tc>
        <w:tc>
          <w:tcPr>
            <w:tcW w:w="440" w:type="pct"/>
          </w:tcPr>
          <w:p w14:paraId="52591FD3" w14:textId="77777777" w:rsidR="005A42ED" w:rsidRPr="005A42ED" w:rsidRDefault="005A42ED" w:rsidP="005A42ED">
            <w:pPr>
              <w:rPr>
                <w:rFonts w:ascii="Arial" w:hAnsi="Arial" w:cs="Arial"/>
                <w:sz w:val="18"/>
                <w:szCs w:val="18"/>
              </w:rPr>
            </w:pPr>
            <w:r w:rsidRPr="005A42ED">
              <w:rPr>
                <w:rFonts w:ascii="Arial" w:hAnsi="Arial" w:cs="Arial"/>
                <w:sz w:val="18"/>
                <w:szCs w:val="18"/>
              </w:rPr>
              <w:t>18 (32.1)</w:t>
            </w:r>
          </w:p>
        </w:tc>
        <w:tc>
          <w:tcPr>
            <w:tcW w:w="534" w:type="pct"/>
          </w:tcPr>
          <w:p w14:paraId="4026D1F8" w14:textId="77777777" w:rsidR="005A42ED" w:rsidRPr="005A42ED" w:rsidRDefault="005A42ED" w:rsidP="005A42ED">
            <w:pPr>
              <w:rPr>
                <w:rFonts w:ascii="Arial" w:hAnsi="Arial" w:cs="Arial"/>
                <w:sz w:val="18"/>
                <w:szCs w:val="18"/>
              </w:rPr>
            </w:pPr>
            <w:r w:rsidRPr="005A42ED">
              <w:rPr>
                <w:rFonts w:ascii="Arial" w:hAnsi="Arial" w:cs="Arial"/>
                <w:sz w:val="18"/>
                <w:szCs w:val="18"/>
              </w:rPr>
              <w:t>38 (67.9)</w:t>
            </w:r>
          </w:p>
        </w:tc>
        <w:tc>
          <w:tcPr>
            <w:tcW w:w="727" w:type="pct"/>
          </w:tcPr>
          <w:p w14:paraId="2C51FBA6"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602FE000"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27B151E5"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589F754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5BADDE9F" w14:textId="77777777" w:rsidTr="007076E4">
        <w:trPr>
          <w:trHeight w:val="107"/>
        </w:trPr>
        <w:tc>
          <w:tcPr>
            <w:tcW w:w="1652" w:type="pct"/>
          </w:tcPr>
          <w:p w14:paraId="74B8E5E2"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Profession</w:t>
            </w:r>
          </w:p>
        </w:tc>
        <w:tc>
          <w:tcPr>
            <w:tcW w:w="440" w:type="pct"/>
          </w:tcPr>
          <w:p w14:paraId="745815BF" w14:textId="77777777" w:rsidR="005A42ED" w:rsidRPr="005A42ED" w:rsidRDefault="005A42ED" w:rsidP="005A42ED">
            <w:pPr>
              <w:rPr>
                <w:rFonts w:ascii="Arial" w:hAnsi="Arial" w:cs="Arial"/>
                <w:sz w:val="18"/>
                <w:szCs w:val="18"/>
              </w:rPr>
            </w:pPr>
          </w:p>
        </w:tc>
        <w:tc>
          <w:tcPr>
            <w:tcW w:w="534" w:type="pct"/>
          </w:tcPr>
          <w:p w14:paraId="724729F5" w14:textId="77777777" w:rsidR="005A42ED" w:rsidRPr="005A42ED" w:rsidRDefault="005A42ED" w:rsidP="005A42ED">
            <w:pPr>
              <w:rPr>
                <w:rFonts w:ascii="Arial" w:hAnsi="Arial" w:cs="Arial"/>
                <w:b/>
                <w:bCs/>
                <w:sz w:val="18"/>
                <w:szCs w:val="18"/>
              </w:rPr>
            </w:pPr>
          </w:p>
        </w:tc>
        <w:tc>
          <w:tcPr>
            <w:tcW w:w="727" w:type="pct"/>
          </w:tcPr>
          <w:p w14:paraId="2F2199A9" w14:textId="77777777" w:rsidR="005A42ED" w:rsidRPr="005A42ED" w:rsidRDefault="005A42ED" w:rsidP="005A42ED">
            <w:pPr>
              <w:rPr>
                <w:rFonts w:ascii="Arial" w:hAnsi="Arial" w:cs="Arial"/>
                <w:sz w:val="18"/>
                <w:szCs w:val="18"/>
              </w:rPr>
            </w:pPr>
          </w:p>
        </w:tc>
        <w:tc>
          <w:tcPr>
            <w:tcW w:w="460" w:type="pct"/>
          </w:tcPr>
          <w:p w14:paraId="3710B366" w14:textId="77777777" w:rsidR="005A42ED" w:rsidRPr="005A42ED" w:rsidRDefault="005A42ED" w:rsidP="005A42ED">
            <w:pPr>
              <w:rPr>
                <w:rFonts w:ascii="Arial" w:hAnsi="Arial" w:cs="Arial"/>
                <w:sz w:val="18"/>
                <w:szCs w:val="18"/>
              </w:rPr>
            </w:pPr>
          </w:p>
        </w:tc>
        <w:tc>
          <w:tcPr>
            <w:tcW w:w="727" w:type="pct"/>
          </w:tcPr>
          <w:p w14:paraId="16BF2314" w14:textId="77777777" w:rsidR="005A42ED" w:rsidRPr="005A42ED" w:rsidRDefault="005A42ED" w:rsidP="005A42ED">
            <w:pPr>
              <w:rPr>
                <w:rFonts w:ascii="Arial" w:hAnsi="Arial" w:cs="Arial"/>
                <w:sz w:val="18"/>
                <w:szCs w:val="18"/>
              </w:rPr>
            </w:pPr>
          </w:p>
        </w:tc>
        <w:tc>
          <w:tcPr>
            <w:tcW w:w="460" w:type="pct"/>
          </w:tcPr>
          <w:p w14:paraId="3DB173A2" w14:textId="77777777" w:rsidR="005A42ED" w:rsidRPr="005A42ED" w:rsidRDefault="005A42ED" w:rsidP="005A42ED">
            <w:pPr>
              <w:rPr>
                <w:rFonts w:ascii="Arial" w:hAnsi="Arial" w:cs="Arial"/>
                <w:sz w:val="18"/>
                <w:szCs w:val="18"/>
              </w:rPr>
            </w:pPr>
          </w:p>
        </w:tc>
      </w:tr>
      <w:tr w:rsidR="007076E4" w:rsidRPr="005A42ED" w14:paraId="49873534" w14:textId="77777777" w:rsidTr="007076E4">
        <w:trPr>
          <w:trHeight w:val="102"/>
        </w:trPr>
        <w:tc>
          <w:tcPr>
            <w:tcW w:w="1652" w:type="pct"/>
          </w:tcPr>
          <w:p w14:paraId="3842729F" w14:textId="77777777" w:rsidR="005A42ED" w:rsidRPr="005A42ED" w:rsidRDefault="005A42ED" w:rsidP="005A42ED">
            <w:pPr>
              <w:rPr>
                <w:rFonts w:ascii="Arial" w:hAnsi="Arial" w:cs="Arial"/>
                <w:sz w:val="18"/>
                <w:szCs w:val="18"/>
              </w:rPr>
            </w:pPr>
            <w:r w:rsidRPr="005A42ED">
              <w:rPr>
                <w:rFonts w:ascii="Arial" w:hAnsi="Arial" w:cs="Arial"/>
                <w:sz w:val="18"/>
                <w:szCs w:val="18"/>
              </w:rPr>
              <w:t>Healthcare practitioner</w:t>
            </w:r>
          </w:p>
        </w:tc>
        <w:tc>
          <w:tcPr>
            <w:tcW w:w="440" w:type="pct"/>
          </w:tcPr>
          <w:p w14:paraId="68341713" w14:textId="77777777" w:rsidR="005A42ED" w:rsidRPr="005A42ED" w:rsidRDefault="005A42ED" w:rsidP="005A42ED">
            <w:pPr>
              <w:rPr>
                <w:rFonts w:ascii="Arial" w:hAnsi="Arial" w:cs="Arial"/>
                <w:sz w:val="18"/>
                <w:szCs w:val="18"/>
              </w:rPr>
            </w:pPr>
            <w:r w:rsidRPr="005A42ED">
              <w:rPr>
                <w:rFonts w:ascii="Arial" w:hAnsi="Arial" w:cs="Arial"/>
                <w:sz w:val="18"/>
                <w:szCs w:val="18"/>
              </w:rPr>
              <w:t>8 (17.4)</w:t>
            </w:r>
          </w:p>
        </w:tc>
        <w:tc>
          <w:tcPr>
            <w:tcW w:w="534" w:type="pct"/>
          </w:tcPr>
          <w:p w14:paraId="31662186" w14:textId="77777777" w:rsidR="005A42ED" w:rsidRPr="005A42ED" w:rsidRDefault="005A42ED" w:rsidP="005A42ED">
            <w:pPr>
              <w:rPr>
                <w:rFonts w:ascii="Arial" w:hAnsi="Arial" w:cs="Arial"/>
                <w:sz w:val="18"/>
                <w:szCs w:val="18"/>
              </w:rPr>
            </w:pPr>
            <w:r w:rsidRPr="005A42ED">
              <w:rPr>
                <w:rFonts w:ascii="Arial" w:hAnsi="Arial" w:cs="Arial"/>
                <w:sz w:val="18"/>
                <w:szCs w:val="18"/>
              </w:rPr>
              <w:t>38 (82.6)</w:t>
            </w:r>
          </w:p>
        </w:tc>
        <w:tc>
          <w:tcPr>
            <w:tcW w:w="727" w:type="pct"/>
          </w:tcPr>
          <w:p w14:paraId="3620E18E" w14:textId="77777777" w:rsidR="005A42ED" w:rsidRPr="005A42ED" w:rsidRDefault="005A42ED" w:rsidP="005A42ED">
            <w:pPr>
              <w:rPr>
                <w:rFonts w:ascii="Arial" w:hAnsi="Arial" w:cs="Arial"/>
                <w:sz w:val="18"/>
                <w:szCs w:val="18"/>
              </w:rPr>
            </w:pPr>
            <w:r w:rsidRPr="005A42ED">
              <w:rPr>
                <w:rFonts w:ascii="Arial" w:hAnsi="Arial" w:cs="Arial"/>
                <w:sz w:val="18"/>
                <w:szCs w:val="18"/>
              </w:rPr>
              <w:t>- 0.65 (0.28 – 1.53)</w:t>
            </w:r>
          </w:p>
        </w:tc>
        <w:tc>
          <w:tcPr>
            <w:tcW w:w="460" w:type="pct"/>
          </w:tcPr>
          <w:p w14:paraId="2679D031" w14:textId="77777777" w:rsidR="005A42ED" w:rsidRPr="005A42ED" w:rsidRDefault="005A42ED" w:rsidP="005A42ED">
            <w:pPr>
              <w:rPr>
                <w:rFonts w:ascii="Arial" w:hAnsi="Arial" w:cs="Arial"/>
                <w:sz w:val="18"/>
                <w:szCs w:val="18"/>
              </w:rPr>
            </w:pPr>
            <w:r w:rsidRPr="005A42ED">
              <w:rPr>
                <w:rFonts w:ascii="Arial" w:hAnsi="Arial" w:cs="Arial"/>
                <w:sz w:val="18"/>
                <w:szCs w:val="18"/>
              </w:rPr>
              <w:t>0.324</w:t>
            </w:r>
          </w:p>
        </w:tc>
        <w:tc>
          <w:tcPr>
            <w:tcW w:w="727" w:type="pct"/>
          </w:tcPr>
          <w:p w14:paraId="2A34A5D8" w14:textId="77777777" w:rsidR="005A42ED" w:rsidRPr="005A42ED" w:rsidRDefault="005A42ED" w:rsidP="005A42ED">
            <w:pPr>
              <w:rPr>
                <w:rFonts w:ascii="Arial" w:hAnsi="Arial" w:cs="Arial"/>
                <w:sz w:val="18"/>
                <w:szCs w:val="18"/>
              </w:rPr>
            </w:pPr>
            <w:r w:rsidRPr="005A42ED">
              <w:rPr>
                <w:rFonts w:ascii="Arial" w:hAnsi="Arial" w:cs="Arial"/>
                <w:sz w:val="18"/>
                <w:szCs w:val="18"/>
              </w:rPr>
              <w:t>- 0.79 (0.31 – 1.97)</w:t>
            </w:r>
          </w:p>
        </w:tc>
        <w:tc>
          <w:tcPr>
            <w:tcW w:w="460" w:type="pct"/>
          </w:tcPr>
          <w:p w14:paraId="40CB123B" w14:textId="77777777" w:rsidR="005A42ED" w:rsidRPr="005A42ED" w:rsidRDefault="005A42ED" w:rsidP="005A42ED">
            <w:pPr>
              <w:rPr>
                <w:rFonts w:ascii="Arial" w:hAnsi="Arial" w:cs="Arial"/>
                <w:sz w:val="18"/>
                <w:szCs w:val="18"/>
              </w:rPr>
            </w:pPr>
            <w:r w:rsidRPr="005A42ED">
              <w:rPr>
                <w:rFonts w:ascii="Arial" w:hAnsi="Arial" w:cs="Arial"/>
                <w:sz w:val="18"/>
                <w:szCs w:val="18"/>
              </w:rPr>
              <w:t>0.605</w:t>
            </w:r>
          </w:p>
        </w:tc>
      </w:tr>
      <w:tr w:rsidR="007076E4" w:rsidRPr="005A42ED" w14:paraId="260B65D3" w14:textId="77777777" w:rsidTr="007076E4">
        <w:trPr>
          <w:trHeight w:val="210"/>
        </w:trPr>
        <w:tc>
          <w:tcPr>
            <w:tcW w:w="1652" w:type="pct"/>
          </w:tcPr>
          <w:p w14:paraId="6310E893" w14:textId="77777777" w:rsidR="005A42ED" w:rsidRPr="005A42ED" w:rsidRDefault="005A42ED" w:rsidP="005A42ED">
            <w:pPr>
              <w:rPr>
                <w:rFonts w:ascii="Arial" w:hAnsi="Arial" w:cs="Arial"/>
                <w:sz w:val="18"/>
                <w:szCs w:val="18"/>
              </w:rPr>
            </w:pPr>
            <w:r w:rsidRPr="005A42ED">
              <w:rPr>
                <w:rFonts w:ascii="Arial" w:hAnsi="Arial" w:cs="Arial"/>
                <w:sz w:val="18"/>
                <w:szCs w:val="18"/>
              </w:rPr>
              <w:t>Researcher</w:t>
            </w:r>
          </w:p>
        </w:tc>
        <w:tc>
          <w:tcPr>
            <w:tcW w:w="440" w:type="pct"/>
          </w:tcPr>
          <w:p w14:paraId="1AB743B2" w14:textId="77777777" w:rsidR="005A42ED" w:rsidRPr="005A42ED" w:rsidRDefault="005A42ED" w:rsidP="005A42ED">
            <w:pPr>
              <w:rPr>
                <w:rFonts w:ascii="Arial" w:hAnsi="Arial" w:cs="Arial"/>
                <w:sz w:val="18"/>
                <w:szCs w:val="18"/>
              </w:rPr>
            </w:pPr>
            <w:r w:rsidRPr="005A42ED">
              <w:rPr>
                <w:rFonts w:ascii="Arial" w:hAnsi="Arial" w:cs="Arial"/>
                <w:sz w:val="18"/>
                <w:szCs w:val="18"/>
              </w:rPr>
              <w:t>10 (55.6)</w:t>
            </w:r>
          </w:p>
        </w:tc>
        <w:tc>
          <w:tcPr>
            <w:tcW w:w="534" w:type="pct"/>
          </w:tcPr>
          <w:p w14:paraId="03ACB38C" w14:textId="77777777" w:rsidR="005A42ED" w:rsidRPr="005A42ED" w:rsidRDefault="005A42ED" w:rsidP="005A42ED">
            <w:pPr>
              <w:rPr>
                <w:rFonts w:ascii="Arial" w:hAnsi="Arial" w:cs="Arial"/>
                <w:sz w:val="18"/>
                <w:szCs w:val="18"/>
              </w:rPr>
            </w:pPr>
            <w:r w:rsidRPr="005A42ED">
              <w:rPr>
                <w:rFonts w:ascii="Arial" w:hAnsi="Arial" w:cs="Arial"/>
                <w:sz w:val="18"/>
                <w:szCs w:val="18"/>
              </w:rPr>
              <w:t>8 (44.4)</w:t>
            </w:r>
          </w:p>
        </w:tc>
        <w:tc>
          <w:tcPr>
            <w:tcW w:w="727" w:type="pct"/>
          </w:tcPr>
          <w:p w14:paraId="1370B7F6" w14:textId="77777777" w:rsidR="005A42ED" w:rsidRPr="005A42ED" w:rsidRDefault="005A42ED" w:rsidP="005A42ED">
            <w:pPr>
              <w:rPr>
                <w:rFonts w:ascii="Arial" w:hAnsi="Arial" w:cs="Arial"/>
                <w:sz w:val="18"/>
                <w:szCs w:val="18"/>
              </w:rPr>
            </w:pPr>
            <w:r w:rsidRPr="005A42ED">
              <w:rPr>
                <w:rFonts w:ascii="Arial" w:hAnsi="Arial" w:cs="Arial"/>
                <w:sz w:val="18"/>
                <w:szCs w:val="18"/>
              </w:rPr>
              <w:t>+ 3.86 (1.41 – 10.57)</w:t>
            </w:r>
          </w:p>
        </w:tc>
        <w:tc>
          <w:tcPr>
            <w:tcW w:w="460" w:type="pct"/>
          </w:tcPr>
          <w:p w14:paraId="664E1163" w14:textId="77777777" w:rsidR="005A42ED" w:rsidRPr="005A42ED" w:rsidRDefault="005A42ED" w:rsidP="005A42ED">
            <w:pPr>
              <w:rPr>
                <w:rFonts w:ascii="Arial" w:hAnsi="Arial" w:cs="Arial"/>
                <w:sz w:val="18"/>
                <w:szCs w:val="18"/>
              </w:rPr>
            </w:pPr>
            <w:r w:rsidRPr="005A42ED">
              <w:rPr>
                <w:rFonts w:ascii="Arial" w:hAnsi="Arial" w:cs="Arial"/>
                <w:sz w:val="18"/>
                <w:szCs w:val="18"/>
              </w:rPr>
              <w:t>0.009*</w:t>
            </w:r>
          </w:p>
        </w:tc>
        <w:tc>
          <w:tcPr>
            <w:tcW w:w="727" w:type="pct"/>
          </w:tcPr>
          <w:p w14:paraId="5BFDE592" w14:textId="77777777" w:rsidR="005A42ED" w:rsidRPr="005A42ED" w:rsidRDefault="005A42ED" w:rsidP="005A42ED">
            <w:pPr>
              <w:rPr>
                <w:rFonts w:ascii="Arial" w:hAnsi="Arial" w:cs="Arial"/>
                <w:sz w:val="18"/>
                <w:szCs w:val="18"/>
              </w:rPr>
            </w:pPr>
            <w:r w:rsidRPr="005A42ED">
              <w:rPr>
                <w:rFonts w:ascii="Arial" w:hAnsi="Arial" w:cs="Arial"/>
                <w:sz w:val="18"/>
                <w:szCs w:val="18"/>
              </w:rPr>
              <w:t>+ 5.21 (1.65 – 16.43)</w:t>
            </w:r>
          </w:p>
        </w:tc>
        <w:tc>
          <w:tcPr>
            <w:tcW w:w="460" w:type="pct"/>
          </w:tcPr>
          <w:p w14:paraId="365CED61" w14:textId="77777777" w:rsidR="005A42ED" w:rsidRPr="005A42ED" w:rsidRDefault="005A42ED" w:rsidP="005A42ED">
            <w:pPr>
              <w:rPr>
                <w:rFonts w:ascii="Arial" w:hAnsi="Arial" w:cs="Arial"/>
                <w:sz w:val="18"/>
                <w:szCs w:val="18"/>
              </w:rPr>
            </w:pPr>
            <w:r w:rsidRPr="005A42ED">
              <w:rPr>
                <w:rFonts w:ascii="Arial" w:hAnsi="Arial" w:cs="Arial"/>
                <w:sz w:val="18"/>
                <w:szCs w:val="18"/>
              </w:rPr>
              <w:t>0.005*</w:t>
            </w:r>
          </w:p>
        </w:tc>
      </w:tr>
      <w:tr w:rsidR="007076E4" w:rsidRPr="005A42ED" w14:paraId="5DC07331" w14:textId="77777777" w:rsidTr="007076E4">
        <w:trPr>
          <w:trHeight w:val="107"/>
        </w:trPr>
        <w:tc>
          <w:tcPr>
            <w:tcW w:w="1652" w:type="pct"/>
          </w:tcPr>
          <w:p w14:paraId="1E4E235A" w14:textId="77777777" w:rsidR="005A42ED" w:rsidRPr="005A42ED" w:rsidRDefault="005A42ED" w:rsidP="005A42ED">
            <w:pPr>
              <w:rPr>
                <w:rFonts w:ascii="Arial" w:hAnsi="Arial" w:cs="Arial"/>
                <w:sz w:val="18"/>
                <w:szCs w:val="18"/>
              </w:rPr>
            </w:pPr>
            <w:r w:rsidRPr="005A42ED">
              <w:rPr>
                <w:rFonts w:ascii="Arial" w:hAnsi="Arial" w:cs="Arial"/>
                <w:sz w:val="18"/>
                <w:szCs w:val="18"/>
              </w:rPr>
              <w:t>Other health related field</w:t>
            </w:r>
          </w:p>
        </w:tc>
        <w:tc>
          <w:tcPr>
            <w:tcW w:w="440" w:type="pct"/>
          </w:tcPr>
          <w:p w14:paraId="36AEE30D" w14:textId="77777777" w:rsidR="005A42ED" w:rsidRPr="005A42ED" w:rsidRDefault="005A42ED" w:rsidP="005A42ED">
            <w:pPr>
              <w:rPr>
                <w:rFonts w:ascii="Arial" w:hAnsi="Arial" w:cs="Arial"/>
                <w:sz w:val="18"/>
                <w:szCs w:val="18"/>
              </w:rPr>
            </w:pPr>
            <w:r w:rsidRPr="005A42ED">
              <w:rPr>
                <w:rFonts w:ascii="Arial" w:hAnsi="Arial" w:cs="Arial"/>
                <w:sz w:val="18"/>
                <w:szCs w:val="18"/>
              </w:rPr>
              <w:t>34 (24.5)</w:t>
            </w:r>
          </w:p>
        </w:tc>
        <w:tc>
          <w:tcPr>
            <w:tcW w:w="534" w:type="pct"/>
          </w:tcPr>
          <w:p w14:paraId="6E493BC4" w14:textId="77777777" w:rsidR="005A42ED" w:rsidRPr="005A42ED" w:rsidRDefault="005A42ED" w:rsidP="005A42ED">
            <w:pPr>
              <w:rPr>
                <w:rFonts w:ascii="Arial" w:hAnsi="Arial" w:cs="Arial"/>
                <w:sz w:val="18"/>
                <w:szCs w:val="18"/>
              </w:rPr>
            </w:pPr>
            <w:r w:rsidRPr="005A42ED">
              <w:rPr>
                <w:rFonts w:ascii="Arial" w:hAnsi="Arial" w:cs="Arial"/>
                <w:sz w:val="18"/>
                <w:szCs w:val="18"/>
              </w:rPr>
              <w:t>105 (75.5)</w:t>
            </w:r>
          </w:p>
        </w:tc>
        <w:tc>
          <w:tcPr>
            <w:tcW w:w="727" w:type="pct"/>
          </w:tcPr>
          <w:p w14:paraId="0A86CA70"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7010E474"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53193811"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0988BCD2"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60C86C43" w14:textId="77777777" w:rsidTr="007076E4">
        <w:trPr>
          <w:trHeight w:val="102"/>
        </w:trPr>
        <w:tc>
          <w:tcPr>
            <w:tcW w:w="1652" w:type="pct"/>
          </w:tcPr>
          <w:p w14:paraId="3B1013C4"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Level of Education Completed</w:t>
            </w:r>
          </w:p>
        </w:tc>
        <w:tc>
          <w:tcPr>
            <w:tcW w:w="440" w:type="pct"/>
          </w:tcPr>
          <w:p w14:paraId="72D30E6E" w14:textId="77777777" w:rsidR="005A42ED" w:rsidRPr="005A42ED" w:rsidRDefault="005A42ED" w:rsidP="005A42ED">
            <w:pPr>
              <w:rPr>
                <w:rFonts w:ascii="Arial" w:hAnsi="Arial" w:cs="Arial"/>
                <w:sz w:val="18"/>
                <w:szCs w:val="18"/>
              </w:rPr>
            </w:pPr>
          </w:p>
        </w:tc>
        <w:tc>
          <w:tcPr>
            <w:tcW w:w="534" w:type="pct"/>
          </w:tcPr>
          <w:p w14:paraId="25DD9610" w14:textId="77777777" w:rsidR="005A42ED" w:rsidRPr="005A42ED" w:rsidRDefault="005A42ED" w:rsidP="005A42ED">
            <w:pPr>
              <w:rPr>
                <w:rFonts w:ascii="Arial" w:hAnsi="Arial" w:cs="Arial"/>
                <w:sz w:val="18"/>
                <w:szCs w:val="18"/>
              </w:rPr>
            </w:pPr>
          </w:p>
        </w:tc>
        <w:tc>
          <w:tcPr>
            <w:tcW w:w="727" w:type="pct"/>
          </w:tcPr>
          <w:p w14:paraId="40D2A048" w14:textId="77777777" w:rsidR="005A42ED" w:rsidRPr="005A42ED" w:rsidRDefault="005A42ED" w:rsidP="005A42ED">
            <w:pPr>
              <w:rPr>
                <w:rFonts w:ascii="Arial" w:hAnsi="Arial" w:cs="Arial"/>
                <w:sz w:val="18"/>
                <w:szCs w:val="18"/>
              </w:rPr>
            </w:pPr>
          </w:p>
        </w:tc>
        <w:tc>
          <w:tcPr>
            <w:tcW w:w="460" w:type="pct"/>
          </w:tcPr>
          <w:p w14:paraId="6B5BB409" w14:textId="77777777" w:rsidR="005A42ED" w:rsidRPr="005A42ED" w:rsidRDefault="005A42ED" w:rsidP="005A42ED">
            <w:pPr>
              <w:rPr>
                <w:rFonts w:ascii="Arial" w:hAnsi="Arial" w:cs="Arial"/>
                <w:sz w:val="18"/>
                <w:szCs w:val="18"/>
              </w:rPr>
            </w:pPr>
          </w:p>
        </w:tc>
        <w:tc>
          <w:tcPr>
            <w:tcW w:w="727" w:type="pct"/>
          </w:tcPr>
          <w:p w14:paraId="38169ADB" w14:textId="77777777" w:rsidR="005A42ED" w:rsidRPr="005A42ED" w:rsidRDefault="005A42ED" w:rsidP="005A42ED">
            <w:pPr>
              <w:rPr>
                <w:rFonts w:ascii="Arial" w:hAnsi="Arial" w:cs="Arial"/>
                <w:sz w:val="18"/>
                <w:szCs w:val="18"/>
              </w:rPr>
            </w:pPr>
          </w:p>
        </w:tc>
        <w:tc>
          <w:tcPr>
            <w:tcW w:w="460" w:type="pct"/>
          </w:tcPr>
          <w:p w14:paraId="563F9874" w14:textId="77777777" w:rsidR="005A42ED" w:rsidRPr="005A42ED" w:rsidRDefault="005A42ED" w:rsidP="005A42ED">
            <w:pPr>
              <w:rPr>
                <w:rFonts w:ascii="Arial" w:hAnsi="Arial" w:cs="Arial"/>
                <w:sz w:val="18"/>
                <w:szCs w:val="18"/>
              </w:rPr>
            </w:pPr>
          </w:p>
        </w:tc>
      </w:tr>
      <w:tr w:rsidR="007076E4" w:rsidRPr="005A42ED" w14:paraId="57DA081A" w14:textId="77777777" w:rsidTr="007076E4">
        <w:trPr>
          <w:trHeight w:val="107"/>
        </w:trPr>
        <w:tc>
          <w:tcPr>
            <w:tcW w:w="1652" w:type="pct"/>
          </w:tcPr>
          <w:p w14:paraId="03EE232E" w14:textId="77777777" w:rsidR="005A42ED" w:rsidRPr="005A42ED" w:rsidRDefault="005A42ED" w:rsidP="005A42ED">
            <w:pPr>
              <w:rPr>
                <w:rFonts w:ascii="Arial" w:hAnsi="Arial" w:cs="Arial"/>
                <w:sz w:val="18"/>
                <w:szCs w:val="18"/>
              </w:rPr>
            </w:pPr>
            <w:r w:rsidRPr="005A42ED">
              <w:rPr>
                <w:rFonts w:ascii="Arial" w:hAnsi="Arial" w:cs="Arial"/>
                <w:sz w:val="18"/>
                <w:szCs w:val="18"/>
              </w:rPr>
              <w:t>Undergraduate</w:t>
            </w:r>
          </w:p>
        </w:tc>
        <w:tc>
          <w:tcPr>
            <w:tcW w:w="440" w:type="pct"/>
          </w:tcPr>
          <w:p w14:paraId="61C85135" w14:textId="77777777" w:rsidR="005A42ED" w:rsidRPr="005A42ED" w:rsidRDefault="005A42ED" w:rsidP="005A42ED">
            <w:pPr>
              <w:rPr>
                <w:rFonts w:ascii="Arial" w:hAnsi="Arial" w:cs="Arial"/>
                <w:sz w:val="18"/>
                <w:szCs w:val="18"/>
              </w:rPr>
            </w:pPr>
            <w:r w:rsidRPr="005A42ED">
              <w:rPr>
                <w:rFonts w:ascii="Arial" w:hAnsi="Arial" w:cs="Arial"/>
                <w:sz w:val="18"/>
                <w:szCs w:val="18"/>
              </w:rPr>
              <w:t>16 (20.8)</w:t>
            </w:r>
          </w:p>
        </w:tc>
        <w:tc>
          <w:tcPr>
            <w:tcW w:w="534" w:type="pct"/>
          </w:tcPr>
          <w:p w14:paraId="5CE0529E" w14:textId="77777777" w:rsidR="005A42ED" w:rsidRPr="005A42ED" w:rsidRDefault="005A42ED" w:rsidP="005A42ED">
            <w:pPr>
              <w:rPr>
                <w:rFonts w:ascii="Arial" w:hAnsi="Arial" w:cs="Arial"/>
                <w:sz w:val="18"/>
                <w:szCs w:val="18"/>
              </w:rPr>
            </w:pPr>
            <w:r w:rsidRPr="005A42ED">
              <w:rPr>
                <w:rFonts w:ascii="Arial" w:hAnsi="Arial" w:cs="Arial"/>
                <w:sz w:val="18"/>
                <w:szCs w:val="18"/>
              </w:rPr>
              <w:t>61 (79.2)</w:t>
            </w:r>
          </w:p>
        </w:tc>
        <w:tc>
          <w:tcPr>
            <w:tcW w:w="727" w:type="pct"/>
          </w:tcPr>
          <w:p w14:paraId="24CE549C" w14:textId="77777777" w:rsidR="005A42ED" w:rsidRPr="005A42ED" w:rsidRDefault="005A42ED" w:rsidP="005A42ED">
            <w:pPr>
              <w:rPr>
                <w:rFonts w:ascii="Arial" w:hAnsi="Arial" w:cs="Arial"/>
                <w:sz w:val="18"/>
                <w:szCs w:val="18"/>
              </w:rPr>
            </w:pPr>
            <w:r w:rsidRPr="005A42ED">
              <w:rPr>
                <w:rFonts w:ascii="Arial" w:hAnsi="Arial" w:cs="Arial"/>
                <w:sz w:val="18"/>
                <w:szCs w:val="18"/>
              </w:rPr>
              <w:t>- 0.66 (0.34 – 1.29)</w:t>
            </w:r>
          </w:p>
        </w:tc>
        <w:tc>
          <w:tcPr>
            <w:tcW w:w="460" w:type="pct"/>
          </w:tcPr>
          <w:p w14:paraId="1A90BD04" w14:textId="77777777" w:rsidR="005A42ED" w:rsidRPr="005A42ED" w:rsidRDefault="005A42ED" w:rsidP="005A42ED">
            <w:pPr>
              <w:rPr>
                <w:rFonts w:ascii="Arial" w:hAnsi="Arial" w:cs="Arial"/>
                <w:sz w:val="18"/>
                <w:szCs w:val="18"/>
              </w:rPr>
            </w:pPr>
            <w:r w:rsidRPr="005A42ED">
              <w:rPr>
                <w:rFonts w:ascii="Arial" w:hAnsi="Arial" w:cs="Arial"/>
                <w:sz w:val="18"/>
                <w:szCs w:val="18"/>
              </w:rPr>
              <w:t>0.219</w:t>
            </w:r>
          </w:p>
        </w:tc>
        <w:tc>
          <w:tcPr>
            <w:tcW w:w="727" w:type="pct"/>
          </w:tcPr>
          <w:p w14:paraId="3DAFFBD9" w14:textId="77777777" w:rsidR="005A42ED" w:rsidRPr="005A42ED" w:rsidRDefault="005A42ED" w:rsidP="005A42ED">
            <w:pPr>
              <w:rPr>
                <w:rFonts w:ascii="Arial" w:hAnsi="Arial" w:cs="Arial"/>
                <w:sz w:val="18"/>
                <w:szCs w:val="18"/>
              </w:rPr>
            </w:pPr>
            <w:bookmarkStart w:id="0" w:name="_Hlk196395638"/>
            <w:r w:rsidRPr="005A42ED">
              <w:rPr>
                <w:rFonts w:ascii="Arial" w:hAnsi="Arial" w:cs="Arial"/>
                <w:sz w:val="18"/>
                <w:szCs w:val="18"/>
              </w:rPr>
              <w:t>- 0.72 (0.33 – 1.57)</w:t>
            </w:r>
            <w:bookmarkEnd w:id="0"/>
          </w:p>
        </w:tc>
        <w:tc>
          <w:tcPr>
            <w:tcW w:w="460" w:type="pct"/>
          </w:tcPr>
          <w:p w14:paraId="235D92EB" w14:textId="77777777" w:rsidR="005A42ED" w:rsidRPr="005A42ED" w:rsidRDefault="005A42ED" w:rsidP="005A42ED">
            <w:pPr>
              <w:rPr>
                <w:rFonts w:ascii="Arial" w:hAnsi="Arial" w:cs="Arial"/>
                <w:sz w:val="18"/>
                <w:szCs w:val="18"/>
              </w:rPr>
            </w:pPr>
            <w:r w:rsidRPr="005A42ED">
              <w:rPr>
                <w:rFonts w:ascii="Arial" w:hAnsi="Arial" w:cs="Arial"/>
                <w:sz w:val="18"/>
                <w:szCs w:val="18"/>
              </w:rPr>
              <w:t>0.407</w:t>
            </w:r>
          </w:p>
        </w:tc>
      </w:tr>
      <w:tr w:rsidR="007076E4" w:rsidRPr="005A42ED" w14:paraId="706E4AAD" w14:textId="77777777" w:rsidTr="007076E4">
        <w:trPr>
          <w:trHeight w:val="102"/>
        </w:trPr>
        <w:tc>
          <w:tcPr>
            <w:tcW w:w="1652" w:type="pct"/>
          </w:tcPr>
          <w:p w14:paraId="6275B944" w14:textId="77777777" w:rsidR="005A42ED" w:rsidRPr="005A42ED" w:rsidRDefault="005A42ED" w:rsidP="005A42ED">
            <w:pPr>
              <w:rPr>
                <w:rFonts w:ascii="Arial" w:hAnsi="Arial" w:cs="Arial"/>
                <w:sz w:val="18"/>
                <w:szCs w:val="18"/>
              </w:rPr>
            </w:pPr>
            <w:r w:rsidRPr="005A42ED">
              <w:rPr>
                <w:rFonts w:ascii="Arial" w:hAnsi="Arial" w:cs="Arial"/>
                <w:sz w:val="18"/>
                <w:szCs w:val="18"/>
              </w:rPr>
              <w:t>Graduate</w:t>
            </w:r>
          </w:p>
        </w:tc>
        <w:tc>
          <w:tcPr>
            <w:tcW w:w="440" w:type="pct"/>
          </w:tcPr>
          <w:p w14:paraId="59514E27" w14:textId="77777777" w:rsidR="005A42ED" w:rsidRPr="005A42ED" w:rsidRDefault="005A42ED" w:rsidP="005A42ED">
            <w:pPr>
              <w:rPr>
                <w:rFonts w:ascii="Arial" w:hAnsi="Arial" w:cs="Arial"/>
                <w:sz w:val="18"/>
                <w:szCs w:val="18"/>
              </w:rPr>
            </w:pPr>
            <w:r w:rsidRPr="005A42ED">
              <w:rPr>
                <w:rFonts w:ascii="Arial" w:hAnsi="Arial" w:cs="Arial"/>
                <w:sz w:val="18"/>
                <w:szCs w:val="18"/>
              </w:rPr>
              <w:t>36 (28.6)</w:t>
            </w:r>
          </w:p>
        </w:tc>
        <w:tc>
          <w:tcPr>
            <w:tcW w:w="534" w:type="pct"/>
          </w:tcPr>
          <w:p w14:paraId="1F300FF4" w14:textId="77777777" w:rsidR="005A42ED" w:rsidRPr="005A42ED" w:rsidRDefault="005A42ED" w:rsidP="005A42ED">
            <w:pPr>
              <w:rPr>
                <w:rFonts w:ascii="Arial" w:hAnsi="Arial" w:cs="Arial"/>
                <w:sz w:val="18"/>
                <w:szCs w:val="18"/>
              </w:rPr>
            </w:pPr>
            <w:r w:rsidRPr="005A42ED">
              <w:rPr>
                <w:rFonts w:ascii="Arial" w:hAnsi="Arial" w:cs="Arial"/>
                <w:sz w:val="18"/>
                <w:szCs w:val="18"/>
              </w:rPr>
              <w:t>90 (71.4)</w:t>
            </w:r>
          </w:p>
        </w:tc>
        <w:tc>
          <w:tcPr>
            <w:tcW w:w="727" w:type="pct"/>
          </w:tcPr>
          <w:p w14:paraId="11E0B8B1"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751A28DA"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079E292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599CD398"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5E31E8EF" w14:textId="77777777" w:rsidTr="007076E4">
        <w:trPr>
          <w:trHeight w:val="107"/>
        </w:trPr>
        <w:tc>
          <w:tcPr>
            <w:tcW w:w="1652" w:type="pct"/>
          </w:tcPr>
          <w:p w14:paraId="5233D498"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Years of Work Experience</w:t>
            </w:r>
          </w:p>
        </w:tc>
        <w:tc>
          <w:tcPr>
            <w:tcW w:w="440" w:type="pct"/>
          </w:tcPr>
          <w:p w14:paraId="296FADE7" w14:textId="77777777" w:rsidR="005A42ED" w:rsidRPr="005A42ED" w:rsidRDefault="005A42ED" w:rsidP="005A42ED">
            <w:pPr>
              <w:rPr>
                <w:rFonts w:ascii="Arial" w:hAnsi="Arial" w:cs="Arial"/>
                <w:sz w:val="18"/>
                <w:szCs w:val="18"/>
              </w:rPr>
            </w:pPr>
          </w:p>
        </w:tc>
        <w:tc>
          <w:tcPr>
            <w:tcW w:w="534" w:type="pct"/>
          </w:tcPr>
          <w:p w14:paraId="3C6F32DC" w14:textId="77777777" w:rsidR="005A42ED" w:rsidRPr="005A42ED" w:rsidRDefault="005A42ED" w:rsidP="005A42ED">
            <w:pPr>
              <w:rPr>
                <w:rFonts w:ascii="Arial" w:hAnsi="Arial" w:cs="Arial"/>
                <w:sz w:val="18"/>
                <w:szCs w:val="18"/>
              </w:rPr>
            </w:pPr>
          </w:p>
        </w:tc>
        <w:tc>
          <w:tcPr>
            <w:tcW w:w="727" w:type="pct"/>
          </w:tcPr>
          <w:p w14:paraId="10FF07C1" w14:textId="77777777" w:rsidR="005A42ED" w:rsidRPr="005A42ED" w:rsidRDefault="005A42ED" w:rsidP="005A42ED">
            <w:pPr>
              <w:rPr>
                <w:rFonts w:ascii="Arial" w:hAnsi="Arial" w:cs="Arial"/>
                <w:sz w:val="18"/>
                <w:szCs w:val="18"/>
              </w:rPr>
            </w:pPr>
          </w:p>
        </w:tc>
        <w:tc>
          <w:tcPr>
            <w:tcW w:w="460" w:type="pct"/>
          </w:tcPr>
          <w:p w14:paraId="22D924D2" w14:textId="77777777" w:rsidR="005A42ED" w:rsidRPr="005A42ED" w:rsidRDefault="005A42ED" w:rsidP="005A42ED">
            <w:pPr>
              <w:rPr>
                <w:rFonts w:ascii="Arial" w:hAnsi="Arial" w:cs="Arial"/>
                <w:sz w:val="18"/>
                <w:szCs w:val="18"/>
              </w:rPr>
            </w:pPr>
          </w:p>
        </w:tc>
        <w:tc>
          <w:tcPr>
            <w:tcW w:w="727" w:type="pct"/>
          </w:tcPr>
          <w:p w14:paraId="7F665E7B" w14:textId="77777777" w:rsidR="005A42ED" w:rsidRPr="005A42ED" w:rsidRDefault="005A42ED" w:rsidP="005A42ED">
            <w:pPr>
              <w:rPr>
                <w:rFonts w:ascii="Arial" w:hAnsi="Arial" w:cs="Arial"/>
                <w:sz w:val="18"/>
                <w:szCs w:val="18"/>
              </w:rPr>
            </w:pPr>
          </w:p>
        </w:tc>
        <w:tc>
          <w:tcPr>
            <w:tcW w:w="460" w:type="pct"/>
          </w:tcPr>
          <w:p w14:paraId="15439EDB" w14:textId="77777777" w:rsidR="005A42ED" w:rsidRPr="005A42ED" w:rsidRDefault="005A42ED" w:rsidP="005A42ED">
            <w:pPr>
              <w:rPr>
                <w:rFonts w:ascii="Arial" w:hAnsi="Arial" w:cs="Arial"/>
                <w:sz w:val="18"/>
                <w:szCs w:val="18"/>
              </w:rPr>
            </w:pPr>
          </w:p>
        </w:tc>
      </w:tr>
      <w:tr w:rsidR="007076E4" w:rsidRPr="005A42ED" w14:paraId="70035AF2" w14:textId="77777777" w:rsidTr="007076E4">
        <w:trPr>
          <w:trHeight w:val="102"/>
        </w:trPr>
        <w:tc>
          <w:tcPr>
            <w:tcW w:w="1652" w:type="pct"/>
          </w:tcPr>
          <w:p w14:paraId="3BC20D90" w14:textId="77777777" w:rsidR="005A42ED" w:rsidRPr="005A42ED" w:rsidRDefault="005A42ED" w:rsidP="005A42ED">
            <w:pPr>
              <w:rPr>
                <w:rFonts w:ascii="Arial" w:hAnsi="Arial" w:cs="Arial"/>
                <w:sz w:val="18"/>
                <w:szCs w:val="18"/>
              </w:rPr>
            </w:pPr>
            <w:r w:rsidRPr="005A42ED">
              <w:rPr>
                <w:rFonts w:ascii="Arial" w:hAnsi="Arial" w:cs="Arial"/>
                <w:sz w:val="18"/>
                <w:szCs w:val="18"/>
              </w:rPr>
              <w:t>&lt; 1</w:t>
            </w:r>
          </w:p>
        </w:tc>
        <w:tc>
          <w:tcPr>
            <w:tcW w:w="440" w:type="pct"/>
          </w:tcPr>
          <w:p w14:paraId="1E8F2701" w14:textId="77777777" w:rsidR="005A42ED" w:rsidRPr="005A42ED" w:rsidRDefault="005A42ED" w:rsidP="005A42ED">
            <w:pPr>
              <w:rPr>
                <w:rFonts w:ascii="Arial" w:hAnsi="Arial" w:cs="Arial"/>
                <w:sz w:val="18"/>
                <w:szCs w:val="18"/>
              </w:rPr>
            </w:pPr>
            <w:r w:rsidRPr="005A42ED">
              <w:rPr>
                <w:rFonts w:ascii="Arial" w:hAnsi="Arial" w:cs="Arial"/>
                <w:sz w:val="18"/>
                <w:szCs w:val="18"/>
              </w:rPr>
              <w:t>23 (21.3)</w:t>
            </w:r>
          </w:p>
        </w:tc>
        <w:tc>
          <w:tcPr>
            <w:tcW w:w="534" w:type="pct"/>
          </w:tcPr>
          <w:p w14:paraId="74D81518" w14:textId="77777777" w:rsidR="005A42ED" w:rsidRPr="005A42ED" w:rsidRDefault="005A42ED" w:rsidP="005A42ED">
            <w:pPr>
              <w:rPr>
                <w:rFonts w:ascii="Arial" w:hAnsi="Arial" w:cs="Arial"/>
                <w:sz w:val="18"/>
                <w:szCs w:val="18"/>
              </w:rPr>
            </w:pPr>
            <w:r w:rsidRPr="005A42ED">
              <w:rPr>
                <w:rFonts w:ascii="Arial" w:hAnsi="Arial" w:cs="Arial"/>
                <w:sz w:val="18"/>
                <w:szCs w:val="18"/>
              </w:rPr>
              <w:t>85 (78.7)</w:t>
            </w:r>
          </w:p>
        </w:tc>
        <w:tc>
          <w:tcPr>
            <w:tcW w:w="727" w:type="pct"/>
          </w:tcPr>
          <w:p w14:paraId="20AE41B7" w14:textId="77777777" w:rsidR="005A42ED" w:rsidRPr="005A42ED" w:rsidRDefault="005A42ED" w:rsidP="005A42ED">
            <w:pPr>
              <w:rPr>
                <w:rFonts w:ascii="Arial" w:hAnsi="Arial" w:cs="Arial"/>
                <w:sz w:val="18"/>
                <w:szCs w:val="18"/>
              </w:rPr>
            </w:pPr>
            <w:r w:rsidRPr="005A42ED">
              <w:rPr>
                <w:rFonts w:ascii="Arial" w:hAnsi="Arial" w:cs="Arial"/>
                <w:sz w:val="18"/>
                <w:szCs w:val="18"/>
              </w:rPr>
              <w:t>- 0.61 (0.24 – 1.58)</w:t>
            </w:r>
          </w:p>
        </w:tc>
        <w:tc>
          <w:tcPr>
            <w:tcW w:w="460" w:type="pct"/>
          </w:tcPr>
          <w:p w14:paraId="581BD708" w14:textId="77777777" w:rsidR="005A42ED" w:rsidRPr="005A42ED" w:rsidRDefault="005A42ED" w:rsidP="005A42ED">
            <w:pPr>
              <w:rPr>
                <w:rFonts w:ascii="Arial" w:hAnsi="Arial" w:cs="Arial"/>
                <w:sz w:val="18"/>
                <w:szCs w:val="18"/>
              </w:rPr>
            </w:pPr>
            <w:r w:rsidRPr="005A42ED">
              <w:rPr>
                <w:rFonts w:ascii="Arial" w:hAnsi="Arial" w:cs="Arial"/>
                <w:sz w:val="18"/>
                <w:szCs w:val="18"/>
              </w:rPr>
              <w:t>0.307</w:t>
            </w:r>
          </w:p>
        </w:tc>
        <w:tc>
          <w:tcPr>
            <w:tcW w:w="727" w:type="pct"/>
          </w:tcPr>
          <w:p w14:paraId="3F1527AC" w14:textId="77777777" w:rsidR="005A42ED" w:rsidRPr="005A42ED" w:rsidRDefault="005A42ED" w:rsidP="005A42ED">
            <w:pPr>
              <w:rPr>
                <w:rFonts w:ascii="Arial" w:hAnsi="Arial" w:cs="Arial"/>
                <w:sz w:val="18"/>
                <w:szCs w:val="18"/>
              </w:rPr>
            </w:pPr>
            <w:r w:rsidRPr="005A42ED">
              <w:rPr>
                <w:rFonts w:ascii="Arial" w:hAnsi="Arial" w:cs="Arial"/>
                <w:sz w:val="18"/>
                <w:szCs w:val="18"/>
              </w:rPr>
              <w:t>- 0.88 (0.30 – 2.54)</w:t>
            </w:r>
          </w:p>
        </w:tc>
        <w:tc>
          <w:tcPr>
            <w:tcW w:w="460" w:type="pct"/>
          </w:tcPr>
          <w:p w14:paraId="299FBC31" w14:textId="77777777" w:rsidR="005A42ED" w:rsidRPr="005A42ED" w:rsidRDefault="005A42ED" w:rsidP="005A42ED">
            <w:pPr>
              <w:rPr>
                <w:rFonts w:ascii="Arial" w:hAnsi="Arial" w:cs="Arial"/>
                <w:sz w:val="18"/>
                <w:szCs w:val="18"/>
              </w:rPr>
            </w:pPr>
            <w:r w:rsidRPr="005A42ED">
              <w:rPr>
                <w:rFonts w:ascii="Arial" w:hAnsi="Arial" w:cs="Arial"/>
                <w:sz w:val="18"/>
                <w:szCs w:val="18"/>
              </w:rPr>
              <w:t>0.809</w:t>
            </w:r>
          </w:p>
        </w:tc>
      </w:tr>
      <w:tr w:rsidR="007076E4" w:rsidRPr="005A42ED" w14:paraId="47544C53" w14:textId="77777777" w:rsidTr="007076E4">
        <w:trPr>
          <w:trHeight w:val="107"/>
        </w:trPr>
        <w:tc>
          <w:tcPr>
            <w:tcW w:w="1652" w:type="pct"/>
          </w:tcPr>
          <w:p w14:paraId="4BC4EA21" w14:textId="77777777" w:rsidR="005A42ED" w:rsidRPr="005A42ED" w:rsidRDefault="005A42ED" w:rsidP="005A42ED">
            <w:pPr>
              <w:rPr>
                <w:rFonts w:ascii="Arial" w:hAnsi="Arial" w:cs="Arial"/>
                <w:sz w:val="18"/>
                <w:szCs w:val="18"/>
              </w:rPr>
            </w:pPr>
            <w:r w:rsidRPr="005A42ED">
              <w:rPr>
                <w:rFonts w:ascii="Arial" w:hAnsi="Arial" w:cs="Arial"/>
                <w:sz w:val="18"/>
                <w:szCs w:val="18"/>
              </w:rPr>
              <w:t>1 - 3</w:t>
            </w:r>
          </w:p>
        </w:tc>
        <w:tc>
          <w:tcPr>
            <w:tcW w:w="440" w:type="pct"/>
          </w:tcPr>
          <w:p w14:paraId="5C56C356" w14:textId="77777777" w:rsidR="005A42ED" w:rsidRPr="005A42ED" w:rsidRDefault="005A42ED" w:rsidP="005A42ED">
            <w:pPr>
              <w:rPr>
                <w:rFonts w:ascii="Arial" w:hAnsi="Arial" w:cs="Arial"/>
                <w:sz w:val="18"/>
                <w:szCs w:val="18"/>
              </w:rPr>
            </w:pPr>
            <w:r w:rsidRPr="005A42ED">
              <w:rPr>
                <w:rFonts w:ascii="Arial" w:hAnsi="Arial" w:cs="Arial"/>
                <w:sz w:val="18"/>
                <w:szCs w:val="18"/>
              </w:rPr>
              <w:t>21 (30.4)</w:t>
            </w:r>
          </w:p>
        </w:tc>
        <w:tc>
          <w:tcPr>
            <w:tcW w:w="534" w:type="pct"/>
          </w:tcPr>
          <w:p w14:paraId="0790A1CC" w14:textId="77777777" w:rsidR="005A42ED" w:rsidRPr="005A42ED" w:rsidRDefault="005A42ED" w:rsidP="005A42ED">
            <w:pPr>
              <w:rPr>
                <w:rFonts w:ascii="Arial" w:hAnsi="Arial" w:cs="Arial"/>
                <w:sz w:val="18"/>
                <w:szCs w:val="18"/>
              </w:rPr>
            </w:pPr>
            <w:r w:rsidRPr="005A42ED">
              <w:rPr>
                <w:rFonts w:ascii="Arial" w:hAnsi="Arial" w:cs="Arial"/>
                <w:sz w:val="18"/>
                <w:szCs w:val="18"/>
              </w:rPr>
              <w:t>48 (69.6)</w:t>
            </w:r>
          </w:p>
        </w:tc>
        <w:tc>
          <w:tcPr>
            <w:tcW w:w="727" w:type="pct"/>
          </w:tcPr>
          <w:p w14:paraId="529BC3A2" w14:textId="77777777" w:rsidR="005A42ED" w:rsidRPr="005A42ED" w:rsidRDefault="005A42ED" w:rsidP="005A42ED">
            <w:pPr>
              <w:rPr>
                <w:rFonts w:ascii="Arial" w:hAnsi="Arial" w:cs="Arial"/>
                <w:sz w:val="18"/>
                <w:szCs w:val="18"/>
              </w:rPr>
            </w:pPr>
            <w:r w:rsidRPr="005A42ED">
              <w:rPr>
                <w:rFonts w:ascii="Arial" w:hAnsi="Arial" w:cs="Arial"/>
                <w:sz w:val="18"/>
                <w:szCs w:val="18"/>
              </w:rPr>
              <w:t>- 0.98 (0.37 – 2.62)</w:t>
            </w:r>
          </w:p>
        </w:tc>
        <w:tc>
          <w:tcPr>
            <w:tcW w:w="460" w:type="pct"/>
          </w:tcPr>
          <w:p w14:paraId="3CAD045B" w14:textId="77777777" w:rsidR="005A42ED" w:rsidRPr="005A42ED" w:rsidRDefault="005A42ED" w:rsidP="005A42ED">
            <w:pPr>
              <w:rPr>
                <w:rFonts w:ascii="Arial" w:hAnsi="Arial" w:cs="Arial"/>
                <w:sz w:val="18"/>
                <w:szCs w:val="18"/>
              </w:rPr>
            </w:pPr>
            <w:r w:rsidRPr="005A42ED">
              <w:rPr>
                <w:rFonts w:ascii="Arial" w:hAnsi="Arial" w:cs="Arial"/>
                <w:sz w:val="18"/>
                <w:szCs w:val="18"/>
              </w:rPr>
              <w:t>0.975</w:t>
            </w:r>
          </w:p>
        </w:tc>
        <w:tc>
          <w:tcPr>
            <w:tcW w:w="727" w:type="pct"/>
          </w:tcPr>
          <w:p w14:paraId="548CDD1E" w14:textId="77777777" w:rsidR="005A42ED" w:rsidRPr="005A42ED" w:rsidRDefault="005A42ED" w:rsidP="005A42ED">
            <w:pPr>
              <w:rPr>
                <w:rFonts w:ascii="Arial" w:hAnsi="Arial" w:cs="Arial"/>
                <w:sz w:val="18"/>
                <w:szCs w:val="18"/>
              </w:rPr>
            </w:pPr>
            <w:r w:rsidRPr="005A42ED">
              <w:rPr>
                <w:rFonts w:ascii="Arial" w:hAnsi="Arial" w:cs="Arial"/>
                <w:sz w:val="18"/>
                <w:szCs w:val="18"/>
              </w:rPr>
              <w:t>- .91 (-.3- - 2.73)</w:t>
            </w:r>
          </w:p>
        </w:tc>
        <w:tc>
          <w:tcPr>
            <w:tcW w:w="460" w:type="pct"/>
          </w:tcPr>
          <w:p w14:paraId="3B0B9B5F" w14:textId="77777777" w:rsidR="005A42ED" w:rsidRPr="005A42ED" w:rsidRDefault="005A42ED" w:rsidP="005A42ED">
            <w:pPr>
              <w:rPr>
                <w:rFonts w:ascii="Arial" w:hAnsi="Arial" w:cs="Arial"/>
                <w:sz w:val="18"/>
                <w:szCs w:val="18"/>
              </w:rPr>
            </w:pPr>
            <w:r w:rsidRPr="005A42ED">
              <w:rPr>
                <w:rFonts w:ascii="Arial" w:hAnsi="Arial" w:cs="Arial"/>
                <w:sz w:val="18"/>
                <w:szCs w:val="18"/>
              </w:rPr>
              <w:t>0.869</w:t>
            </w:r>
          </w:p>
        </w:tc>
      </w:tr>
      <w:tr w:rsidR="007076E4" w:rsidRPr="005A42ED" w14:paraId="58B8A18D" w14:textId="77777777" w:rsidTr="007076E4">
        <w:trPr>
          <w:trHeight w:val="102"/>
        </w:trPr>
        <w:tc>
          <w:tcPr>
            <w:tcW w:w="1652" w:type="pct"/>
          </w:tcPr>
          <w:p w14:paraId="0800EA91" w14:textId="77777777" w:rsidR="005A42ED" w:rsidRPr="005A42ED" w:rsidRDefault="005A42ED" w:rsidP="005A42ED">
            <w:pPr>
              <w:rPr>
                <w:rFonts w:ascii="Arial" w:hAnsi="Arial" w:cs="Arial"/>
                <w:sz w:val="18"/>
                <w:szCs w:val="18"/>
              </w:rPr>
            </w:pPr>
            <w:r w:rsidRPr="005A42ED">
              <w:rPr>
                <w:rFonts w:ascii="Arial" w:hAnsi="Arial" w:cs="Arial"/>
                <w:sz w:val="18"/>
                <w:szCs w:val="18"/>
              </w:rPr>
              <w:t>4 and above</w:t>
            </w:r>
          </w:p>
        </w:tc>
        <w:tc>
          <w:tcPr>
            <w:tcW w:w="440" w:type="pct"/>
          </w:tcPr>
          <w:p w14:paraId="26336B0F" w14:textId="77777777" w:rsidR="005A42ED" w:rsidRPr="005A42ED" w:rsidRDefault="005A42ED" w:rsidP="005A42ED">
            <w:pPr>
              <w:rPr>
                <w:rFonts w:ascii="Arial" w:hAnsi="Arial" w:cs="Arial"/>
                <w:sz w:val="18"/>
                <w:szCs w:val="18"/>
              </w:rPr>
            </w:pPr>
            <w:r w:rsidRPr="005A42ED">
              <w:rPr>
                <w:rFonts w:ascii="Arial" w:hAnsi="Arial" w:cs="Arial"/>
                <w:sz w:val="18"/>
                <w:szCs w:val="18"/>
              </w:rPr>
              <w:t>8 (30.8)</w:t>
            </w:r>
          </w:p>
        </w:tc>
        <w:tc>
          <w:tcPr>
            <w:tcW w:w="534" w:type="pct"/>
          </w:tcPr>
          <w:p w14:paraId="1D9EE2A3" w14:textId="77777777" w:rsidR="005A42ED" w:rsidRPr="005A42ED" w:rsidRDefault="005A42ED" w:rsidP="005A42ED">
            <w:pPr>
              <w:rPr>
                <w:rFonts w:ascii="Arial" w:hAnsi="Arial" w:cs="Arial"/>
                <w:sz w:val="18"/>
                <w:szCs w:val="18"/>
              </w:rPr>
            </w:pPr>
            <w:r w:rsidRPr="005A42ED">
              <w:rPr>
                <w:rFonts w:ascii="Arial" w:hAnsi="Arial" w:cs="Arial"/>
                <w:sz w:val="18"/>
                <w:szCs w:val="18"/>
              </w:rPr>
              <w:t>18 (69.2)</w:t>
            </w:r>
          </w:p>
        </w:tc>
        <w:tc>
          <w:tcPr>
            <w:tcW w:w="727" w:type="pct"/>
          </w:tcPr>
          <w:p w14:paraId="736945ED"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28AC969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00195A7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67AFA778"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6B91E4E0" w14:textId="77777777" w:rsidTr="007076E4">
        <w:trPr>
          <w:trHeight w:val="210"/>
        </w:trPr>
        <w:tc>
          <w:tcPr>
            <w:tcW w:w="1652" w:type="pct"/>
          </w:tcPr>
          <w:p w14:paraId="3E1A8879"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Formal Training in Antimalaria Drug Development or Natural Medicine Research</w:t>
            </w:r>
          </w:p>
        </w:tc>
        <w:tc>
          <w:tcPr>
            <w:tcW w:w="440" w:type="pct"/>
          </w:tcPr>
          <w:p w14:paraId="1AF2532A" w14:textId="77777777" w:rsidR="005A42ED" w:rsidRPr="005A42ED" w:rsidRDefault="005A42ED" w:rsidP="005A42ED">
            <w:pPr>
              <w:rPr>
                <w:rFonts w:ascii="Arial" w:hAnsi="Arial" w:cs="Arial"/>
                <w:sz w:val="18"/>
                <w:szCs w:val="18"/>
              </w:rPr>
            </w:pPr>
          </w:p>
        </w:tc>
        <w:tc>
          <w:tcPr>
            <w:tcW w:w="534" w:type="pct"/>
          </w:tcPr>
          <w:p w14:paraId="5D6D377D" w14:textId="77777777" w:rsidR="005A42ED" w:rsidRPr="005A42ED" w:rsidRDefault="005A42ED" w:rsidP="005A42ED">
            <w:pPr>
              <w:rPr>
                <w:rFonts w:ascii="Arial" w:hAnsi="Arial" w:cs="Arial"/>
                <w:sz w:val="18"/>
                <w:szCs w:val="18"/>
              </w:rPr>
            </w:pPr>
          </w:p>
        </w:tc>
        <w:tc>
          <w:tcPr>
            <w:tcW w:w="727" w:type="pct"/>
          </w:tcPr>
          <w:p w14:paraId="41F6B052" w14:textId="77777777" w:rsidR="005A42ED" w:rsidRPr="005A42ED" w:rsidRDefault="005A42ED" w:rsidP="005A42ED">
            <w:pPr>
              <w:rPr>
                <w:rFonts w:ascii="Arial" w:hAnsi="Arial" w:cs="Arial"/>
                <w:sz w:val="18"/>
                <w:szCs w:val="18"/>
              </w:rPr>
            </w:pPr>
          </w:p>
        </w:tc>
        <w:tc>
          <w:tcPr>
            <w:tcW w:w="460" w:type="pct"/>
          </w:tcPr>
          <w:p w14:paraId="2FD70192" w14:textId="77777777" w:rsidR="005A42ED" w:rsidRPr="005A42ED" w:rsidRDefault="005A42ED" w:rsidP="005A42ED">
            <w:pPr>
              <w:rPr>
                <w:rFonts w:ascii="Arial" w:hAnsi="Arial" w:cs="Arial"/>
                <w:sz w:val="18"/>
                <w:szCs w:val="18"/>
              </w:rPr>
            </w:pPr>
          </w:p>
        </w:tc>
        <w:tc>
          <w:tcPr>
            <w:tcW w:w="727" w:type="pct"/>
          </w:tcPr>
          <w:p w14:paraId="66641853" w14:textId="77777777" w:rsidR="005A42ED" w:rsidRPr="005A42ED" w:rsidRDefault="005A42ED" w:rsidP="005A42ED">
            <w:pPr>
              <w:rPr>
                <w:rFonts w:ascii="Arial" w:hAnsi="Arial" w:cs="Arial"/>
                <w:sz w:val="18"/>
                <w:szCs w:val="18"/>
              </w:rPr>
            </w:pPr>
          </w:p>
        </w:tc>
        <w:tc>
          <w:tcPr>
            <w:tcW w:w="460" w:type="pct"/>
          </w:tcPr>
          <w:p w14:paraId="290623A3" w14:textId="77777777" w:rsidR="005A42ED" w:rsidRPr="005A42ED" w:rsidRDefault="005A42ED" w:rsidP="005A42ED">
            <w:pPr>
              <w:rPr>
                <w:rFonts w:ascii="Arial" w:hAnsi="Arial" w:cs="Arial"/>
                <w:sz w:val="18"/>
                <w:szCs w:val="18"/>
              </w:rPr>
            </w:pPr>
          </w:p>
        </w:tc>
      </w:tr>
      <w:tr w:rsidR="007076E4" w:rsidRPr="005A42ED" w14:paraId="44513F9E" w14:textId="77777777" w:rsidTr="007076E4">
        <w:trPr>
          <w:trHeight w:val="102"/>
        </w:trPr>
        <w:tc>
          <w:tcPr>
            <w:tcW w:w="1652" w:type="pct"/>
          </w:tcPr>
          <w:p w14:paraId="57065C36" w14:textId="77777777" w:rsidR="005A42ED" w:rsidRPr="005A42ED" w:rsidRDefault="005A42ED" w:rsidP="005A42ED">
            <w:pPr>
              <w:rPr>
                <w:rFonts w:ascii="Arial" w:hAnsi="Arial" w:cs="Arial"/>
                <w:sz w:val="18"/>
                <w:szCs w:val="18"/>
              </w:rPr>
            </w:pPr>
            <w:r w:rsidRPr="005A42ED">
              <w:rPr>
                <w:rFonts w:ascii="Arial" w:hAnsi="Arial" w:cs="Arial"/>
                <w:sz w:val="18"/>
                <w:szCs w:val="18"/>
              </w:rPr>
              <w:t>Yes</w:t>
            </w:r>
          </w:p>
        </w:tc>
        <w:tc>
          <w:tcPr>
            <w:tcW w:w="440" w:type="pct"/>
          </w:tcPr>
          <w:p w14:paraId="2A0C60C1" w14:textId="77777777" w:rsidR="005A42ED" w:rsidRPr="005A42ED" w:rsidRDefault="005A42ED" w:rsidP="005A42ED">
            <w:pPr>
              <w:rPr>
                <w:rFonts w:ascii="Arial" w:hAnsi="Arial" w:cs="Arial"/>
                <w:sz w:val="18"/>
                <w:szCs w:val="18"/>
              </w:rPr>
            </w:pPr>
            <w:r w:rsidRPr="005A42ED">
              <w:rPr>
                <w:rFonts w:ascii="Arial" w:hAnsi="Arial" w:cs="Arial"/>
                <w:sz w:val="18"/>
                <w:szCs w:val="18"/>
              </w:rPr>
              <w:t>30 (21.9)</w:t>
            </w:r>
          </w:p>
        </w:tc>
        <w:tc>
          <w:tcPr>
            <w:tcW w:w="534" w:type="pct"/>
          </w:tcPr>
          <w:p w14:paraId="37E89D7C" w14:textId="77777777" w:rsidR="005A42ED" w:rsidRPr="005A42ED" w:rsidRDefault="005A42ED" w:rsidP="005A42ED">
            <w:pPr>
              <w:rPr>
                <w:rFonts w:ascii="Arial" w:hAnsi="Arial" w:cs="Arial"/>
                <w:sz w:val="18"/>
                <w:szCs w:val="18"/>
              </w:rPr>
            </w:pPr>
            <w:r w:rsidRPr="005A42ED">
              <w:rPr>
                <w:rFonts w:ascii="Arial" w:hAnsi="Arial" w:cs="Arial"/>
                <w:sz w:val="18"/>
                <w:szCs w:val="18"/>
              </w:rPr>
              <w:t>107 (78.1)</w:t>
            </w:r>
          </w:p>
        </w:tc>
        <w:tc>
          <w:tcPr>
            <w:tcW w:w="727" w:type="pct"/>
          </w:tcPr>
          <w:p w14:paraId="71EE81EC" w14:textId="77777777" w:rsidR="005A42ED" w:rsidRPr="005A42ED" w:rsidRDefault="005A42ED" w:rsidP="005A42ED">
            <w:pPr>
              <w:rPr>
                <w:rFonts w:ascii="Arial" w:hAnsi="Arial" w:cs="Arial"/>
                <w:sz w:val="18"/>
                <w:szCs w:val="18"/>
              </w:rPr>
            </w:pPr>
            <w:r w:rsidRPr="005A42ED">
              <w:rPr>
                <w:rFonts w:ascii="Arial" w:hAnsi="Arial" w:cs="Arial"/>
                <w:sz w:val="18"/>
                <w:szCs w:val="18"/>
              </w:rPr>
              <w:t>- 0.56 (0.29 – 1.08)</w:t>
            </w:r>
          </w:p>
        </w:tc>
        <w:tc>
          <w:tcPr>
            <w:tcW w:w="460" w:type="pct"/>
          </w:tcPr>
          <w:p w14:paraId="65FB3FCE" w14:textId="77777777" w:rsidR="005A42ED" w:rsidRPr="005A42ED" w:rsidRDefault="005A42ED" w:rsidP="005A42ED">
            <w:pPr>
              <w:rPr>
                <w:rFonts w:ascii="Arial" w:hAnsi="Arial" w:cs="Arial"/>
                <w:sz w:val="18"/>
                <w:szCs w:val="18"/>
              </w:rPr>
            </w:pPr>
            <w:r w:rsidRPr="005A42ED">
              <w:rPr>
                <w:rFonts w:ascii="Arial" w:hAnsi="Arial" w:cs="Arial"/>
                <w:sz w:val="18"/>
                <w:szCs w:val="18"/>
              </w:rPr>
              <w:t>0.082</w:t>
            </w:r>
          </w:p>
        </w:tc>
        <w:tc>
          <w:tcPr>
            <w:tcW w:w="727" w:type="pct"/>
          </w:tcPr>
          <w:p w14:paraId="72CBB273" w14:textId="77777777" w:rsidR="005A42ED" w:rsidRPr="005A42ED" w:rsidRDefault="005A42ED" w:rsidP="005A42ED">
            <w:pPr>
              <w:rPr>
                <w:rFonts w:ascii="Arial" w:hAnsi="Arial" w:cs="Arial"/>
                <w:sz w:val="18"/>
                <w:szCs w:val="18"/>
              </w:rPr>
            </w:pPr>
            <w:r w:rsidRPr="005A42ED">
              <w:rPr>
                <w:rFonts w:ascii="Arial" w:hAnsi="Arial" w:cs="Arial"/>
                <w:sz w:val="18"/>
                <w:szCs w:val="18"/>
              </w:rPr>
              <w:t>- 0.54 (0.26 – 1.13)</w:t>
            </w:r>
          </w:p>
        </w:tc>
        <w:tc>
          <w:tcPr>
            <w:tcW w:w="460" w:type="pct"/>
          </w:tcPr>
          <w:p w14:paraId="0B89E635" w14:textId="77777777" w:rsidR="005A42ED" w:rsidRPr="005A42ED" w:rsidRDefault="005A42ED" w:rsidP="005A42ED">
            <w:pPr>
              <w:rPr>
                <w:rFonts w:ascii="Arial" w:hAnsi="Arial" w:cs="Arial"/>
                <w:sz w:val="18"/>
                <w:szCs w:val="18"/>
              </w:rPr>
            </w:pPr>
            <w:r w:rsidRPr="005A42ED">
              <w:rPr>
                <w:rFonts w:ascii="Arial" w:hAnsi="Arial" w:cs="Arial"/>
                <w:sz w:val="18"/>
                <w:szCs w:val="18"/>
              </w:rPr>
              <w:t>0.100</w:t>
            </w:r>
          </w:p>
        </w:tc>
      </w:tr>
      <w:tr w:rsidR="007076E4" w:rsidRPr="005A42ED" w14:paraId="56BD1C29" w14:textId="77777777" w:rsidTr="007076E4">
        <w:trPr>
          <w:trHeight w:val="107"/>
        </w:trPr>
        <w:tc>
          <w:tcPr>
            <w:tcW w:w="1652" w:type="pct"/>
          </w:tcPr>
          <w:p w14:paraId="7C026B5C" w14:textId="77777777" w:rsidR="005A42ED" w:rsidRPr="005A42ED" w:rsidRDefault="005A42ED" w:rsidP="005A42ED">
            <w:pPr>
              <w:rPr>
                <w:rFonts w:ascii="Arial" w:hAnsi="Arial" w:cs="Arial"/>
                <w:sz w:val="18"/>
                <w:szCs w:val="18"/>
              </w:rPr>
            </w:pPr>
            <w:r w:rsidRPr="005A42ED">
              <w:rPr>
                <w:rFonts w:ascii="Arial" w:hAnsi="Arial" w:cs="Arial"/>
                <w:sz w:val="18"/>
                <w:szCs w:val="18"/>
              </w:rPr>
              <w:t>No</w:t>
            </w:r>
          </w:p>
        </w:tc>
        <w:tc>
          <w:tcPr>
            <w:tcW w:w="440" w:type="pct"/>
          </w:tcPr>
          <w:p w14:paraId="03DD95E5" w14:textId="77777777" w:rsidR="005A42ED" w:rsidRPr="005A42ED" w:rsidRDefault="005A42ED" w:rsidP="005A42ED">
            <w:pPr>
              <w:rPr>
                <w:rFonts w:ascii="Arial" w:hAnsi="Arial" w:cs="Arial"/>
                <w:sz w:val="18"/>
                <w:szCs w:val="18"/>
              </w:rPr>
            </w:pPr>
            <w:r w:rsidRPr="005A42ED">
              <w:rPr>
                <w:rFonts w:ascii="Arial" w:hAnsi="Arial" w:cs="Arial"/>
                <w:sz w:val="18"/>
                <w:szCs w:val="18"/>
              </w:rPr>
              <w:t>22 (33.3)</w:t>
            </w:r>
          </w:p>
        </w:tc>
        <w:tc>
          <w:tcPr>
            <w:tcW w:w="534" w:type="pct"/>
          </w:tcPr>
          <w:p w14:paraId="66CC3434" w14:textId="77777777" w:rsidR="005A42ED" w:rsidRPr="005A42ED" w:rsidRDefault="005A42ED" w:rsidP="005A42ED">
            <w:pPr>
              <w:rPr>
                <w:rFonts w:ascii="Arial" w:hAnsi="Arial" w:cs="Arial"/>
                <w:sz w:val="18"/>
                <w:szCs w:val="18"/>
              </w:rPr>
            </w:pPr>
            <w:r w:rsidRPr="005A42ED">
              <w:rPr>
                <w:rFonts w:ascii="Arial" w:hAnsi="Arial" w:cs="Arial"/>
                <w:sz w:val="18"/>
                <w:szCs w:val="18"/>
              </w:rPr>
              <w:t>44 (66.7)</w:t>
            </w:r>
          </w:p>
        </w:tc>
        <w:tc>
          <w:tcPr>
            <w:tcW w:w="727" w:type="pct"/>
          </w:tcPr>
          <w:p w14:paraId="42FB89B4"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46DE9DED"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655D5746"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48EA11E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463CA911" w14:textId="77777777" w:rsidTr="007076E4">
        <w:trPr>
          <w:trHeight w:val="102"/>
        </w:trPr>
        <w:tc>
          <w:tcPr>
            <w:tcW w:w="1652" w:type="pct"/>
          </w:tcPr>
          <w:p w14:paraId="2FEE43E9"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Geopolitical Zone of Educational Institution</w:t>
            </w:r>
          </w:p>
        </w:tc>
        <w:tc>
          <w:tcPr>
            <w:tcW w:w="440" w:type="pct"/>
          </w:tcPr>
          <w:p w14:paraId="62B01483" w14:textId="77777777" w:rsidR="005A42ED" w:rsidRPr="005A42ED" w:rsidRDefault="005A42ED" w:rsidP="005A42ED">
            <w:pPr>
              <w:rPr>
                <w:rFonts w:ascii="Arial" w:hAnsi="Arial" w:cs="Arial"/>
                <w:sz w:val="18"/>
                <w:szCs w:val="18"/>
              </w:rPr>
            </w:pPr>
          </w:p>
        </w:tc>
        <w:tc>
          <w:tcPr>
            <w:tcW w:w="534" w:type="pct"/>
          </w:tcPr>
          <w:p w14:paraId="180FE1C0" w14:textId="77777777" w:rsidR="005A42ED" w:rsidRPr="005A42ED" w:rsidRDefault="005A42ED" w:rsidP="005A42ED">
            <w:pPr>
              <w:rPr>
                <w:rFonts w:ascii="Arial" w:hAnsi="Arial" w:cs="Arial"/>
                <w:sz w:val="18"/>
                <w:szCs w:val="18"/>
              </w:rPr>
            </w:pPr>
          </w:p>
        </w:tc>
        <w:tc>
          <w:tcPr>
            <w:tcW w:w="727" w:type="pct"/>
          </w:tcPr>
          <w:p w14:paraId="34543567" w14:textId="77777777" w:rsidR="005A42ED" w:rsidRPr="005A42ED" w:rsidRDefault="005A42ED" w:rsidP="005A42ED">
            <w:pPr>
              <w:rPr>
                <w:rFonts w:ascii="Arial" w:hAnsi="Arial" w:cs="Arial"/>
                <w:sz w:val="18"/>
                <w:szCs w:val="18"/>
              </w:rPr>
            </w:pPr>
          </w:p>
        </w:tc>
        <w:tc>
          <w:tcPr>
            <w:tcW w:w="460" w:type="pct"/>
          </w:tcPr>
          <w:p w14:paraId="1D91822B" w14:textId="77777777" w:rsidR="005A42ED" w:rsidRPr="005A42ED" w:rsidRDefault="005A42ED" w:rsidP="005A42ED">
            <w:pPr>
              <w:rPr>
                <w:rFonts w:ascii="Arial" w:hAnsi="Arial" w:cs="Arial"/>
                <w:sz w:val="18"/>
                <w:szCs w:val="18"/>
              </w:rPr>
            </w:pPr>
          </w:p>
        </w:tc>
        <w:tc>
          <w:tcPr>
            <w:tcW w:w="727" w:type="pct"/>
          </w:tcPr>
          <w:p w14:paraId="723B659D" w14:textId="77777777" w:rsidR="005A42ED" w:rsidRPr="005A42ED" w:rsidRDefault="005A42ED" w:rsidP="005A42ED">
            <w:pPr>
              <w:rPr>
                <w:rFonts w:ascii="Arial" w:hAnsi="Arial" w:cs="Arial"/>
                <w:sz w:val="18"/>
                <w:szCs w:val="18"/>
              </w:rPr>
            </w:pPr>
          </w:p>
        </w:tc>
        <w:tc>
          <w:tcPr>
            <w:tcW w:w="460" w:type="pct"/>
          </w:tcPr>
          <w:p w14:paraId="6BB62880" w14:textId="77777777" w:rsidR="005A42ED" w:rsidRPr="005A42ED" w:rsidRDefault="005A42ED" w:rsidP="005A42ED">
            <w:pPr>
              <w:rPr>
                <w:rFonts w:ascii="Arial" w:hAnsi="Arial" w:cs="Arial"/>
                <w:sz w:val="18"/>
                <w:szCs w:val="18"/>
              </w:rPr>
            </w:pPr>
          </w:p>
        </w:tc>
      </w:tr>
      <w:tr w:rsidR="007076E4" w:rsidRPr="005A42ED" w14:paraId="1DF9D96C" w14:textId="77777777" w:rsidTr="007076E4">
        <w:trPr>
          <w:trHeight w:val="210"/>
        </w:trPr>
        <w:tc>
          <w:tcPr>
            <w:tcW w:w="1652" w:type="pct"/>
          </w:tcPr>
          <w:p w14:paraId="202EC0AD" w14:textId="77777777" w:rsidR="005A42ED" w:rsidRPr="005A42ED" w:rsidRDefault="005A42ED" w:rsidP="005A42ED">
            <w:pPr>
              <w:rPr>
                <w:rFonts w:ascii="Arial" w:hAnsi="Arial" w:cs="Arial"/>
                <w:sz w:val="18"/>
                <w:szCs w:val="18"/>
              </w:rPr>
            </w:pPr>
            <w:r w:rsidRPr="005A42ED">
              <w:rPr>
                <w:rFonts w:ascii="Arial" w:hAnsi="Arial" w:cs="Arial"/>
                <w:sz w:val="18"/>
                <w:szCs w:val="18"/>
              </w:rPr>
              <w:t>North-West</w:t>
            </w:r>
          </w:p>
        </w:tc>
        <w:tc>
          <w:tcPr>
            <w:tcW w:w="440" w:type="pct"/>
          </w:tcPr>
          <w:p w14:paraId="3CA27BF9" w14:textId="77777777" w:rsidR="005A42ED" w:rsidRPr="005A42ED" w:rsidRDefault="005A42ED" w:rsidP="005A42ED">
            <w:pPr>
              <w:rPr>
                <w:rFonts w:ascii="Arial" w:hAnsi="Arial" w:cs="Arial"/>
                <w:sz w:val="18"/>
                <w:szCs w:val="18"/>
              </w:rPr>
            </w:pPr>
            <w:r w:rsidRPr="005A42ED">
              <w:rPr>
                <w:rFonts w:ascii="Arial" w:hAnsi="Arial" w:cs="Arial"/>
                <w:sz w:val="18"/>
                <w:szCs w:val="18"/>
              </w:rPr>
              <w:t>8 (38.1)</w:t>
            </w:r>
          </w:p>
        </w:tc>
        <w:tc>
          <w:tcPr>
            <w:tcW w:w="534" w:type="pct"/>
          </w:tcPr>
          <w:p w14:paraId="407AD21A" w14:textId="77777777" w:rsidR="005A42ED" w:rsidRPr="005A42ED" w:rsidRDefault="005A42ED" w:rsidP="005A42ED">
            <w:pPr>
              <w:rPr>
                <w:rFonts w:ascii="Arial" w:hAnsi="Arial" w:cs="Arial"/>
                <w:sz w:val="18"/>
                <w:szCs w:val="18"/>
              </w:rPr>
            </w:pPr>
            <w:r w:rsidRPr="005A42ED">
              <w:rPr>
                <w:rFonts w:ascii="Arial" w:hAnsi="Arial" w:cs="Arial"/>
                <w:sz w:val="18"/>
                <w:szCs w:val="18"/>
              </w:rPr>
              <w:t>13 (61.9)</w:t>
            </w:r>
          </w:p>
        </w:tc>
        <w:tc>
          <w:tcPr>
            <w:tcW w:w="727" w:type="pct"/>
          </w:tcPr>
          <w:p w14:paraId="42DB16B2" w14:textId="77777777" w:rsidR="005A42ED" w:rsidRPr="005A42ED" w:rsidRDefault="005A42ED" w:rsidP="005A42ED">
            <w:pPr>
              <w:rPr>
                <w:rFonts w:ascii="Arial" w:hAnsi="Arial" w:cs="Arial"/>
                <w:sz w:val="18"/>
                <w:szCs w:val="18"/>
              </w:rPr>
            </w:pPr>
            <w:r w:rsidRPr="005A42ED">
              <w:rPr>
                <w:rFonts w:ascii="Arial" w:hAnsi="Arial" w:cs="Arial"/>
                <w:sz w:val="18"/>
                <w:szCs w:val="18"/>
              </w:rPr>
              <w:t>+ 1.08 (0.35 – 3.34)</w:t>
            </w:r>
          </w:p>
        </w:tc>
        <w:tc>
          <w:tcPr>
            <w:tcW w:w="460" w:type="pct"/>
          </w:tcPr>
          <w:p w14:paraId="6A02900A" w14:textId="77777777" w:rsidR="005A42ED" w:rsidRPr="005A42ED" w:rsidRDefault="005A42ED" w:rsidP="005A42ED">
            <w:pPr>
              <w:rPr>
                <w:rFonts w:ascii="Arial" w:hAnsi="Arial" w:cs="Arial"/>
                <w:sz w:val="18"/>
                <w:szCs w:val="18"/>
              </w:rPr>
            </w:pPr>
            <w:r w:rsidRPr="005A42ED">
              <w:rPr>
                <w:rFonts w:ascii="Arial" w:hAnsi="Arial" w:cs="Arial"/>
                <w:sz w:val="18"/>
                <w:szCs w:val="18"/>
              </w:rPr>
              <w:t>0.898</w:t>
            </w:r>
          </w:p>
        </w:tc>
        <w:tc>
          <w:tcPr>
            <w:tcW w:w="727" w:type="pct"/>
          </w:tcPr>
          <w:p w14:paraId="7F5CC69E" w14:textId="77777777" w:rsidR="005A42ED" w:rsidRPr="005A42ED" w:rsidRDefault="005A42ED" w:rsidP="005A42ED">
            <w:pPr>
              <w:rPr>
                <w:rFonts w:ascii="Arial" w:hAnsi="Arial" w:cs="Arial"/>
                <w:sz w:val="18"/>
                <w:szCs w:val="18"/>
              </w:rPr>
            </w:pPr>
            <w:r w:rsidRPr="005A42ED">
              <w:rPr>
                <w:rFonts w:ascii="Arial" w:hAnsi="Arial" w:cs="Arial"/>
                <w:sz w:val="18"/>
                <w:szCs w:val="18"/>
              </w:rPr>
              <w:t>+ 1.82 (0.52 – 6.36)</w:t>
            </w:r>
          </w:p>
        </w:tc>
        <w:tc>
          <w:tcPr>
            <w:tcW w:w="460" w:type="pct"/>
          </w:tcPr>
          <w:p w14:paraId="253C8653" w14:textId="77777777" w:rsidR="005A42ED" w:rsidRPr="005A42ED" w:rsidRDefault="005A42ED" w:rsidP="005A42ED">
            <w:pPr>
              <w:rPr>
                <w:rFonts w:ascii="Arial" w:hAnsi="Arial" w:cs="Arial"/>
                <w:sz w:val="18"/>
                <w:szCs w:val="18"/>
              </w:rPr>
            </w:pPr>
            <w:r w:rsidRPr="005A42ED">
              <w:rPr>
                <w:rFonts w:ascii="Arial" w:hAnsi="Arial" w:cs="Arial"/>
                <w:sz w:val="18"/>
                <w:szCs w:val="18"/>
              </w:rPr>
              <w:t>0.348</w:t>
            </w:r>
          </w:p>
        </w:tc>
      </w:tr>
      <w:tr w:rsidR="007076E4" w:rsidRPr="005A42ED" w14:paraId="56BDCDA7" w14:textId="77777777" w:rsidTr="007076E4">
        <w:trPr>
          <w:trHeight w:val="210"/>
        </w:trPr>
        <w:tc>
          <w:tcPr>
            <w:tcW w:w="1652" w:type="pct"/>
          </w:tcPr>
          <w:p w14:paraId="1516D1B7" w14:textId="77777777" w:rsidR="005A42ED" w:rsidRPr="005A42ED" w:rsidRDefault="005A42ED" w:rsidP="005A42ED">
            <w:pPr>
              <w:rPr>
                <w:rFonts w:ascii="Arial" w:hAnsi="Arial" w:cs="Arial"/>
                <w:sz w:val="18"/>
                <w:szCs w:val="18"/>
              </w:rPr>
            </w:pPr>
            <w:r w:rsidRPr="005A42ED">
              <w:rPr>
                <w:rFonts w:ascii="Arial" w:hAnsi="Arial" w:cs="Arial"/>
                <w:sz w:val="18"/>
                <w:szCs w:val="18"/>
              </w:rPr>
              <w:t>North-East</w:t>
            </w:r>
          </w:p>
        </w:tc>
        <w:tc>
          <w:tcPr>
            <w:tcW w:w="440" w:type="pct"/>
          </w:tcPr>
          <w:p w14:paraId="277805EA" w14:textId="77777777" w:rsidR="005A42ED" w:rsidRPr="005A42ED" w:rsidRDefault="005A42ED" w:rsidP="005A42ED">
            <w:pPr>
              <w:rPr>
                <w:rFonts w:ascii="Arial" w:hAnsi="Arial" w:cs="Arial"/>
                <w:sz w:val="18"/>
                <w:szCs w:val="18"/>
              </w:rPr>
            </w:pPr>
            <w:r w:rsidRPr="005A42ED">
              <w:rPr>
                <w:rFonts w:ascii="Arial" w:hAnsi="Arial" w:cs="Arial"/>
                <w:sz w:val="18"/>
                <w:szCs w:val="18"/>
              </w:rPr>
              <w:t>6 (35.3)</w:t>
            </w:r>
          </w:p>
        </w:tc>
        <w:tc>
          <w:tcPr>
            <w:tcW w:w="534" w:type="pct"/>
          </w:tcPr>
          <w:p w14:paraId="4287B0D5" w14:textId="77777777" w:rsidR="005A42ED" w:rsidRPr="005A42ED" w:rsidRDefault="005A42ED" w:rsidP="005A42ED">
            <w:pPr>
              <w:rPr>
                <w:rFonts w:ascii="Arial" w:hAnsi="Arial" w:cs="Arial"/>
                <w:sz w:val="18"/>
                <w:szCs w:val="18"/>
              </w:rPr>
            </w:pPr>
            <w:r w:rsidRPr="005A42ED">
              <w:rPr>
                <w:rFonts w:ascii="Arial" w:hAnsi="Arial" w:cs="Arial"/>
                <w:sz w:val="18"/>
                <w:szCs w:val="18"/>
              </w:rPr>
              <w:t>11 (64.7)</w:t>
            </w:r>
          </w:p>
        </w:tc>
        <w:tc>
          <w:tcPr>
            <w:tcW w:w="727" w:type="pct"/>
          </w:tcPr>
          <w:p w14:paraId="6A97B883" w14:textId="77777777" w:rsidR="005A42ED" w:rsidRPr="005A42ED" w:rsidRDefault="005A42ED" w:rsidP="005A42ED">
            <w:pPr>
              <w:rPr>
                <w:rFonts w:ascii="Arial" w:hAnsi="Arial" w:cs="Arial"/>
                <w:sz w:val="18"/>
                <w:szCs w:val="18"/>
              </w:rPr>
            </w:pPr>
            <w:r w:rsidRPr="005A42ED">
              <w:rPr>
                <w:rFonts w:ascii="Arial" w:hAnsi="Arial" w:cs="Arial"/>
                <w:sz w:val="18"/>
                <w:szCs w:val="18"/>
              </w:rPr>
              <w:t>- 0.96 (0.28 – 3.24)</w:t>
            </w:r>
          </w:p>
        </w:tc>
        <w:tc>
          <w:tcPr>
            <w:tcW w:w="460" w:type="pct"/>
          </w:tcPr>
          <w:p w14:paraId="598E7153" w14:textId="77777777" w:rsidR="005A42ED" w:rsidRPr="005A42ED" w:rsidRDefault="005A42ED" w:rsidP="005A42ED">
            <w:pPr>
              <w:rPr>
                <w:rFonts w:ascii="Arial" w:hAnsi="Arial" w:cs="Arial"/>
                <w:sz w:val="18"/>
                <w:szCs w:val="18"/>
              </w:rPr>
            </w:pPr>
            <w:r w:rsidRPr="005A42ED">
              <w:rPr>
                <w:rFonts w:ascii="Arial" w:hAnsi="Arial" w:cs="Arial"/>
                <w:sz w:val="18"/>
                <w:szCs w:val="18"/>
              </w:rPr>
              <w:t>0.941</w:t>
            </w:r>
          </w:p>
        </w:tc>
        <w:tc>
          <w:tcPr>
            <w:tcW w:w="727" w:type="pct"/>
          </w:tcPr>
          <w:p w14:paraId="489E6108" w14:textId="77777777" w:rsidR="005A42ED" w:rsidRPr="005A42ED" w:rsidRDefault="005A42ED" w:rsidP="005A42ED">
            <w:pPr>
              <w:rPr>
                <w:rFonts w:ascii="Arial" w:hAnsi="Arial" w:cs="Arial"/>
                <w:sz w:val="18"/>
                <w:szCs w:val="18"/>
              </w:rPr>
            </w:pPr>
            <w:r w:rsidRPr="005A42ED">
              <w:rPr>
                <w:rFonts w:ascii="Arial" w:hAnsi="Arial" w:cs="Arial"/>
                <w:sz w:val="18"/>
                <w:szCs w:val="18"/>
              </w:rPr>
              <w:t>+ 2.08 (0.54 – 8.06)</w:t>
            </w:r>
          </w:p>
        </w:tc>
        <w:tc>
          <w:tcPr>
            <w:tcW w:w="460" w:type="pct"/>
          </w:tcPr>
          <w:p w14:paraId="7EFD4E9D" w14:textId="77777777" w:rsidR="005A42ED" w:rsidRPr="005A42ED" w:rsidRDefault="005A42ED" w:rsidP="005A42ED">
            <w:pPr>
              <w:rPr>
                <w:rFonts w:ascii="Arial" w:hAnsi="Arial" w:cs="Arial"/>
                <w:sz w:val="18"/>
                <w:szCs w:val="18"/>
              </w:rPr>
            </w:pPr>
            <w:r w:rsidRPr="005A42ED">
              <w:rPr>
                <w:rFonts w:ascii="Arial" w:hAnsi="Arial" w:cs="Arial"/>
                <w:sz w:val="18"/>
                <w:szCs w:val="18"/>
              </w:rPr>
              <w:t>0.290</w:t>
            </w:r>
          </w:p>
        </w:tc>
      </w:tr>
      <w:tr w:rsidR="007076E4" w:rsidRPr="005A42ED" w14:paraId="692EC0A7" w14:textId="77777777" w:rsidTr="007076E4">
        <w:trPr>
          <w:trHeight w:val="107"/>
        </w:trPr>
        <w:tc>
          <w:tcPr>
            <w:tcW w:w="1652" w:type="pct"/>
          </w:tcPr>
          <w:p w14:paraId="4A8759CE" w14:textId="77777777" w:rsidR="005A42ED" w:rsidRPr="005A42ED" w:rsidRDefault="005A42ED" w:rsidP="005A42ED">
            <w:pPr>
              <w:rPr>
                <w:rFonts w:ascii="Arial" w:hAnsi="Arial" w:cs="Arial"/>
                <w:sz w:val="18"/>
                <w:szCs w:val="18"/>
              </w:rPr>
            </w:pPr>
            <w:r w:rsidRPr="005A42ED">
              <w:rPr>
                <w:rFonts w:ascii="Arial" w:hAnsi="Arial" w:cs="Arial"/>
                <w:sz w:val="18"/>
                <w:szCs w:val="18"/>
              </w:rPr>
              <w:t>North-Central</w:t>
            </w:r>
          </w:p>
        </w:tc>
        <w:tc>
          <w:tcPr>
            <w:tcW w:w="440" w:type="pct"/>
          </w:tcPr>
          <w:p w14:paraId="458D2162" w14:textId="77777777" w:rsidR="005A42ED" w:rsidRPr="005A42ED" w:rsidRDefault="005A42ED" w:rsidP="005A42ED">
            <w:pPr>
              <w:rPr>
                <w:rFonts w:ascii="Arial" w:hAnsi="Arial" w:cs="Arial"/>
                <w:sz w:val="18"/>
                <w:szCs w:val="18"/>
              </w:rPr>
            </w:pPr>
            <w:r w:rsidRPr="005A42ED">
              <w:rPr>
                <w:rFonts w:ascii="Arial" w:hAnsi="Arial" w:cs="Arial"/>
                <w:sz w:val="18"/>
                <w:szCs w:val="18"/>
              </w:rPr>
              <w:t>18 (20.9)</w:t>
            </w:r>
          </w:p>
        </w:tc>
        <w:tc>
          <w:tcPr>
            <w:tcW w:w="534" w:type="pct"/>
          </w:tcPr>
          <w:p w14:paraId="52467582" w14:textId="77777777" w:rsidR="005A42ED" w:rsidRPr="005A42ED" w:rsidRDefault="005A42ED" w:rsidP="005A42ED">
            <w:pPr>
              <w:rPr>
                <w:rFonts w:ascii="Arial" w:hAnsi="Arial" w:cs="Arial"/>
                <w:sz w:val="18"/>
                <w:szCs w:val="18"/>
              </w:rPr>
            </w:pPr>
            <w:r w:rsidRPr="005A42ED">
              <w:rPr>
                <w:rFonts w:ascii="Arial" w:hAnsi="Arial" w:cs="Arial"/>
                <w:sz w:val="18"/>
                <w:szCs w:val="18"/>
              </w:rPr>
              <w:t>68 (79.1)</w:t>
            </w:r>
          </w:p>
        </w:tc>
        <w:tc>
          <w:tcPr>
            <w:tcW w:w="727" w:type="pct"/>
          </w:tcPr>
          <w:p w14:paraId="7416CBF3" w14:textId="77777777" w:rsidR="005A42ED" w:rsidRPr="005A42ED" w:rsidRDefault="005A42ED" w:rsidP="005A42ED">
            <w:pPr>
              <w:rPr>
                <w:rFonts w:ascii="Arial" w:hAnsi="Arial" w:cs="Arial"/>
                <w:sz w:val="18"/>
                <w:szCs w:val="18"/>
              </w:rPr>
            </w:pPr>
            <w:r w:rsidRPr="005A42ED">
              <w:rPr>
                <w:rFonts w:ascii="Arial" w:hAnsi="Arial" w:cs="Arial"/>
                <w:sz w:val="18"/>
                <w:szCs w:val="18"/>
              </w:rPr>
              <w:t>- 0.46 (0.19 – 1.12)</w:t>
            </w:r>
          </w:p>
        </w:tc>
        <w:tc>
          <w:tcPr>
            <w:tcW w:w="460" w:type="pct"/>
          </w:tcPr>
          <w:p w14:paraId="299B0D4F" w14:textId="77777777" w:rsidR="005A42ED" w:rsidRPr="005A42ED" w:rsidRDefault="005A42ED" w:rsidP="005A42ED">
            <w:pPr>
              <w:rPr>
                <w:rFonts w:ascii="Arial" w:hAnsi="Arial" w:cs="Arial"/>
                <w:sz w:val="18"/>
                <w:szCs w:val="18"/>
              </w:rPr>
            </w:pPr>
            <w:r w:rsidRPr="005A42ED">
              <w:rPr>
                <w:rFonts w:ascii="Arial" w:hAnsi="Arial" w:cs="Arial"/>
                <w:sz w:val="18"/>
                <w:szCs w:val="18"/>
              </w:rPr>
              <w:t>0.086</w:t>
            </w:r>
          </w:p>
        </w:tc>
        <w:tc>
          <w:tcPr>
            <w:tcW w:w="727" w:type="pct"/>
          </w:tcPr>
          <w:p w14:paraId="3C5A560F" w14:textId="77777777" w:rsidR="005A42ED" w:rsidRPr="005A42ED" w:rsidRDefault="005A42ED" w:rsidP="005A42ED">
            <w:pPr>
              <w:rPr>
                <w:rFonts w:ascii="Arial" w:hAnsi="Arial" w:cs="Arial"/>
                <w:sz w:val="18"/>
                <w:szCs w:val="18"/>
              </w:rPr>
            </w:pPr>
            <w:r w:rsidRPr="005A42ED">
              <w:rPr>
                <w:rFonts w:ascii="Arial" w:hAnsi="Arial" w:cs="Arial"/>
                <w:sz w:val="18"/>
                <w:szCs w:val="18"/>
              </w:rPr>
              <w:t>- 0.69 (0.26 – 1.84)</w:t>
            </w:r>
          </w:p>
        </w:tc>
        <w:tc>
          <w:tcPr>
            <w:tcW w:w="460" w:type="pct"/>
          </w:tcPr>
          <w:p w14:paraId="70A4466D" w14:textId="77777777" w:rsidR="005A42ED" w:rsidRPr="005A42ED" w:rsidRDefault="005A42ED" w:rsidP="005A42ED">
            <w:pPr>
              <w:rPr>
                <w:rFonts w:ascii="Arial" w:hAnsi="Arial" w:cs="Arial"/>
                <w:sz w:val="18"/>
                <w:szCs w:val="18"/>
              </w:rPr>
            </w:pPr>
            <w:r w:rsidRPr="005A42ED">
              <w:rPr>
                <w:rFonts w:ascii="Arial" w:hAnsi="Arial" w:cs="Arial"/>
                <w:sz w:val="18"/>
                <w:szCs w:val="18"/>
              </w:rPr>
              <w:t>0.458</w:t>
            </w:r>
          </w:p>
        </w:tc>
      </w:tr>
      <w:tr w:rsidR="007076E4" w:rsidRPr="005A42ED" w14:paraId="4160B122" w14:textId="77777777" w:rsidTr="007076E4">
        <w:trPr>
          <w:trHeight w:val="102"/>
        </w:trPr>
        <w:tc>
          <w:tcPr>
            <w:tcW w:w="1652" w:type="pct"/>
          </w:tcPr>
          <w:p w14:paraId="41A1A6A7" w14:textId="77777777" w:rsidR="005A42ED" w:rsidRPr="005A42ED" w:rsidRDefault="005A42ED" w:rsidP="005A42ED">
            <w:pPr>
              <w:rPr>
                <w:rFonts w:ascii="Arial" w:hAnsi="Arial" w:cs="Arial"/>
                <w:sz w:val="18"/>
                <w:szCs w:val="18"/>
              </w:rPr>
            </w:pPr>
            <w:r w:rsidRPr="005A42ED">
              <w:rPr>
                <w:rFonts w:ascii="Arial" w:hAnsi="Arial" w:cs="Arial"/>
                <w:sz w:val="18"/>
                <w:szCs w:val="18"/>
              </w:rPr>
              <w:t>South-West</w:t>
            </w:r>
          </w:p>
        </w:tc>
        <w:tc>
          <w:tcPr>
            <w:tcW w:w="440" w:type="pct"/>
          </w:tcPr>
          <w:p w14:paraId="7183224A" w14:textId="77777777" w:rsidR="005A42ED" w:rsidRPr="005A42ED" w:rsidRDefault="005A42ED" w:rsidP="005A42ED">
            <w:pPr>
              <w:rPr>
                <w:rFonts w:ascii="Arial" w:hAnsi="Arial" w:cs="Arial"/>
                <w:sz w:val="18"/>
                <w:szCs w:val="18"/>
              </w:rPr>
            </w:pPr>
            <w:r w:rsidRPr="005A42ED">
              <w:rPr>
                <w:rFonts w:ascii="Arial" w:hAnsi="Arial" w:cs="Arial"/>
                <w:sz w:val="18"/>
                <w:szCs w:val="18"/>
              </w:rPr>
              <w:t>4 (16.7)</w:t>
            </w:r>
          </w:p>
        </w:tc>
        <w:tc>
          <w:tcPr>
            <w:tcW w:w="534" w:type="pct"/>
          </w:tcPr>
          <w:p w14:paraId="4EC777FA" w14:textId="77777777" w:rsidR="005A42ED" w:rsidRPr="005A42ED" w:rsidRDefault="005A42ED" w:rsidP="005A42ED">
            <w:pPr>
              <w:rPr>
                <w:rFonts w:ascii="Arial" w:hAnsi="Arial" w:cs="Arial"/>
                <w:sz w:val="18"/>
                <w:szCs w:val="18"/>
              </w:rPr>
            </w:pPr>
            <w:r w:rsidRPr="005A42ED">
              <w:rPr>
                <w:rFonts w:ascii="Arial" w:hAnsi="Arial" w:cs="Arial"/>
                <w:sz w:val="18"/>
                <w:szCs w:val="18"/>
              </w:rPr>
              <w:t>20 (83.3)</w:t>
            </w:r>
          </w:p>
        </w:tc>
        <w:tc>
          <w:tcPr>
            <w:tcW w:w="727" w:type="pct"/>
          </w:tcPr>
          <w:p w14:paraId="55529ED7" w14:textId="77777777" w:rsidR="005A42ED" w:rsidRPr="005A42ED" w:rsidRDefault="005A42ED" w:rsidP="005A42ED">
            <w:pPr>
              <w:rPr>
                <w:rFonts w:ascii="Arial" w:hAnsi="Arial" w:cs="Arial"/>
                <w:sz w:val="18"/>
                <w:szCs w:val="18"/>
              </w:rPr>
            </w:pPr>
            <w:r w:rsidRPr="005A42ED">
              <w:rPr>
                <w:rFonts w:ascii="Arial" w:hAnsi="Arial" w:cs="Arial"/>
                <w:sz w:val="18"/>
                <w:szCs w:val="18"/>
              </w:rPr>
              <w:t>- 0.35 (0.10 – 1.27)</w:t>
            </w:r>
          </w:p>
        </w:tc>
        <w:tc>
          <w:tcPr>
            <w:tcW w:w="460" w:type="pct"/>
          </w:tcPr>
          <w:p w14:paraId="5DA482F5" w14:textId="77777777" w:rsidR="005A42ED" w:rsidRPr="005A42ED" w:rsidRDefault="005A42ED" w:rsidP="005A42ED">
            <w:pPr>
              <w:rPr>
                <w:rFonts w:ascii="Arial" w:hAnsi="Arial" w:cs="Arial"/>
                <w:sz w:val="18"/>
                <w:szCs w:val="18"/>
              </w:rPr>
            </w:pPr>
            <w:r w:rsidRPr="005A42ED">
              <w:rPr>
                <w:rFonts w:ascii="Arial" w:hAnsi="Arial" w:cs="Arial"/>
                <w:sz w:val="18"/>
                <w:szCs w:val="18"/>
              </w:rPr>
              <w:t>0.110</w:t>
            </w:r>
          </w:p>
        </w:tc>
        <w:tc>
          <w:tcPr>
            <w:tcW w:w="727" w:type="pct"/>
          </w:tcPr>
          <w:p w14:paraId="0B40DD94" w14:textId="77777777" w:rsidR="005A42ED" w:rsidRPr="005A42ED" w:rsidRDefault="005A42ED" w:rsidP="005A42ED">
            <w:pPr>
              <w:rPr>
                <w:rFonts w:ascii="Arial" w:hAnsi="Arial" w:cs="Arial"/>
                <w:sz w:val="18"/>
                <w:szCs w:val="18"/>
              </w:rPr>
            </w:pPr>
            <w:r w:rsidRPr="005A42ED">
              <w:rPr>
                <w:rFonts w:ascii="Arial" w:hAnsi="Arial" w:cs="Arial"/>
                <w:sz w:val="18"/>
                <w:szCs w:val="18"/>
              </w:rPr>
              <w:t>- 0.55 (0.13 – 2.37)</w:t>
            </w:r>
          </w:p>
        </w:tc>
        <w:tc>
          <w:tcPr>
            <w:tcW w:w="460" w:type="pct"/>
          </w:tcPr>
          <w:p w14:paraId="528131CF" w14:textId="77777777" w:rsidR="005A42ED" w:rsidRPr="005A42ED" w:rsidRDefault="005A42ED" w:rsidP="005A42ED">
            <w:pPr>
              <w:rPr>
                <w:rFonts w:ascii="Arial" w:hAnsi="Arial" w:cs="Arial"/>
                <w:sz w:val="18"/>
                <w:szCs w:val="18"/>
              </w:rPr>
            </w:pPr>
            <w:r w:rsidRPr="005A42ED">
              <w:rPr>
                <w:rFonts w:ascii="Arial" w:hAnsi="Arial" w:cs="Arial"/>
                <w:sz w:val="18"/>
                <w:szCs w:val="18"/>
              </w:rPr>
              <w:t>0.421</w:t>
            </w:r>
          </w:p>
        </w:tc>
      </w:tr>
      <w:tr w:rsidR="007076E4" w:rsidRPr="005A42ED" w14:paraId="1B2670F8" w14:textId="77777777" w:rsidTr="007076E4">
        <w:trPr>
          <w:trHeight w:val="107"/>
        </w:trPr>
        <w:tc>
          <w:tcPr>
            <w:tcW w:w="1652" w:type="pct"/>
          </w:tcPr>
          <w:p w14:paraId="35784483" w14:textId="77777777" w:rsidR="005A42ED" w:rsidRPr="005A42ED" w:rsidRDefault="005A42ED" w:rsidP="005A42ED">
            <w:pPr>
              <w:rPr>
                <w:rFonts w:ascii="Arial" w:hAnsi="Arial" w:cs="Arial"/>
                <w:sz w:val="18"/>
                <w:szCs w:val="18"/>
              </w:rPr>
            </w:pPr>
            <w:r w:rsidRPr="005A42ED">
              <w:rPr>
                <w:rFonts w:ascii="Arial" w:hAnsi="Arial" w:cs="Arial"/>
                <w:sz w:val="18"/>
                <w:szCs w:val="18"/>
              </w:rPr>
              <w:t>South-East</w:t>
            </w:r>
          </w:p>
        </w:tc>
        <w:tc>
          <w:tcPr>
            <w:tcW w:w="440" w:type="pct"/>
          </w:tcPr>
          <w:p w14:paraId="61E9234A" w14:textId="77777777" w:rsidR="005A42ED" w:rsidRPr="005A42ED" w:rsidRDefault="005A42ED" w:rsidP="005A42ED">
            <w:pPr>
              <w:rPr>
                <w:rFonts w:ascii="Arial" w:hAnsi="Arial" w:cs="Arial"/>
                <w:sz w:val="18"/>
                <w:szCs w:val="18"/>
              </w:rPr>
            </w:pPr>
            <w:r w:rsidRPr="005A42ED">
              <w:rPr>
                <w:rFonts w:ascii="Arial" w:hAnsi="Arial" w:cs="Arial"/>
                <w:sz w:val="18"/>
                <w:szCs w:val="18"/>
              </w:rPr>
              <w:t>4 (18.2)</w:t>
            </w:r>
          </w:p>
        </w:tc>
        <w:tc>
          <w:tcPr>
            <w:tcW w:w="534" w:type="pct"/>
          </w:tcPr>
          <w:p w14:paraId="47FBB595" w14:textId="77777777" w:rsidR="005A42ED" w:rsidRPr="005A42ED" w:rsidRDefault="005A42ED" w:rsidP="005A42ED">
            <w:pPr>
              <w:rPr>
                <w:rFonts w:ascii="Arial" w:hAnsi="Arial" w:cs="Arial"/>
                <w:sz w:val="18"/>
                <w:szCs w:val="18"/>
              </w:rPr>
            </w:pPr>
            <w:r w:rsidRPr="005A42ED">
              <w:rPr>
                <w:rFonts w:ascii="Arial" w:hAnsi="Arial" w:cs="Arial"/>
                <w:sz w:val="18"/>
                <w:szCs w:val="18"/>
              </w:rPr>
              <w:t>18 (81.8)</w:t>
            </w:r>
          </w:p>
        </w:tc>
        <w:tc>
          <w:tcPr>
            <w:tcW w:w="727" w:type="pct"/>
          </w:tcPr>
          <w:p w14:paraId="1E71FDF5" w14:textId="77777777" w:rsidR="005A42ED" w:rsidRPr="005A42ED" w:rsidRDefault="005A42ED" w:rsidP="005A42ED">
            <w:pPr>
              <w:rPr>
                <w:rFonts w:ascii="Arial" w:hAnsi="Arial" w:cs="Arial"/>
                <w:sz w:val="18"/>
                <w:szCs w:val="18"/>
              </w:rPr>
            </w:pPr>
            <w:r w:rsidRPr="005A42ED">
              <w:rPr>
                <w:rFonts w:ascii="Arial" w:hAnsi="Arial" w:cs="Arial"/>
                <w:sz w:val="18"/>
                <w:szCs w:val="18"/>
              </w:rPr>
              <w:t>- 0.39 (0.11 – 1.42)</w:t>
            </w:r>
          </w:p>
        </w:tc>
        <w:tc>
          <w:tcPr>
            <w:tcW w:w="460" w:type="pct"/>
          </w:tcPr>
          <w:p w14:paraId="162857E7" w14:textId="77777777" w:rsidR="005A42ED" w:rsidRPr="005A42ED" w:rsidRDefault="005A42ED" w:rsidP="005A42ED">
            <w:pPr>
              <w:rPr>
                <w:rFonts w:ascii="Arial" w:hAnsi="Arial" w:cs="Arial"/>
                <w:sz w:val="18"/>
                <w:szCs w:val="18"/>
              </w:rPr>
            </w:pPr>
            <w:r w:rsidRPr="005A42ED">
              <w:rPr>
                <w:rFonts w:ascii="Arial" w:hAnsi="Arial" w:cs="Arial"/>
                <w:sz w:val="18"/>
                <w:szCs w:val="18"/>
              </w:rPr>
              <w:t>0.153</w:t>
            </w:r>
          </w:p>
        </w:tc>
        <w:tc>
          <w:tcPr>
            <w:tcW w:w="727" w:type="pct"/>
          </w:tcPr>
          <w:p w14:paraId="24C0FFBA" w14:textId="77777777" w:rsidR="005A42ED" w:rsidRPr="005A42ED" w:rsidRDefault="005A42ED" w:rsidP="005A42ED">
            <w:pPr>
              <w:rPr>
                <w:rFonts w:ascii="Arial" w:hAnsi="Arial" w:cs="Arial"/>
                <w:sz w:val="18"/>
                <w:szCs w:val="18"/>
              </w:rPr>
            </w:pPr>
            <w:r w:rsidRPr="005A42ED">
              <w:rPr>
                <w:rFonts w:ascii="Arial" w:hAnsi="Arial" w:cs="Arial"/>
                <w:sz w:val="18"/>
                <w:szCs w:val="18"/>
              </w:rPr>
              <w:t>- 0.48 (0.12 – 1.96)</w:t>
            </w:r>
          </w:p>
        </w:tc>
        <w:tc>
          <w:tcPr>
            <w:tcW w:w="460" w:type="pct"/>
          </w:tcPr>
          <w:p w14:paraId="1B1F4F00" w14:textId="77777777" w:rsidR="005A42ED" w:rsidRPr="005A42ED" w:rsidRDefault="005A42ED" w:rsidP="005A42ED">
            <w:pPr>
              <w:rPr>
                <w:rFonts w:ascii="Arial" w:hAnsi="Arial" w:cs="Arial"/>
                <w:sz w:val="18"/>
                <w:szCs w:val="18"/>
              </w:rPr>
            </w:pPr>
            <w:r w:rsidRPr="005A42ED">
              <w:rPr>
                <w:rFonts w:ascii="Arial" w:hAnsi="Arial" w:cs="Arial"/>
                <w:sz w:val="18"/>
                <w:szCs w:val="18"/>
              </w:rPr>
              <w:t>0.307</w:t>
            </w:r>
          </w:p>
        </w:tc>
      </w:tr>
      <w:tr w:rsidR="007076E4" w:rsidRPr="005A42ED" w14:paraId="20E2B2B8" w14:textId="77777777" w:rsidTr="007076E4">
        <w:trPr>
          <w:trHeight w:val="107"/>
        </w:trPr>
        <w:tc>
          <w:tcPr>
            <w:tcW w:w="1652" w:type="pct"/>
          </w:tcPr>
          <w:p w14:paraId="2CC895E3" w14:textId="77777777" w:rsidR="005A42ED" w:rsidRPr="005A42ED" w:rsidRDefault="005A42ED" w:rsidP="005A42ED">
            <w:pPr>
              <w:rPr>
                <w:rFonts w:ascii="Arial" w:hAnsi="Arial" w:cs="Arial"/>
                <w:sz w:val="18"/>
                <w:szCs w:val="18"/>
              </w:rPr>
            </w:pPr>
            <w:r w:rsidRPr="005A42ED">
              <w:rPr>
                <w:rFonts w:ascii="Arial" w:hAnsi="Arial" w:cs="Arial"/>
                <w:sz w:val="18"/>
                <w:szCs w:val="18"/>
              </w:rPr>
              <w:t>South-South</w:t>
            </w:r>
          </w:p>
        </w:tc>
        <w:tc>
          <w:tcPr>
            <w:tcW w:w="440" w:type="pct"/>
          </w:tcPr>
          <w:p w14:paraId="262AFD5C" w14:textId="77777777" w:rsidR="005A42ED" w:rsidRPr="005A42ED" w:rsidRDefault="005A42ED" w:rsidP="005A42ED">
            <w:pPr>
              <w:rPr>
                <w:rFonts w:ascii="Arial" w:hAnsi="Arial" w:cs="Arial"/>
                <w:sz w:val="18"/>
                <w:szCs w:val="18"/>
              </w:rPr>
            </w:pPr>
            <w:r w:rsidRPr="005A42ED">
              <w:rPr>
                <w:rFonts w:ascii="Arial" w:hAnsi="Arial" w:cs="Arial"/>
                <w:sz w:val="18"/>
                <w:szCs w:val="18"/>
              </w:rPr>
              <w:t>12 (36.4)</w:t>
            </w:r>
          </w:p>
        </w:tc>
        <w:tc>
          <w:tcPr>
            <w:tcW w:w="534" w:type="pct"/>
          </w:tcPr>
          <w:p w14:paraId="5A46685E" w14:textId="77777777" w:rsidR="005A42ED" w:rsidRPr="005A42ED" w:rsidRDefault="005A42ED" w:rsidP="005A42ED">
            <w:pPr>
              <w:rPr>
                <w:rFonts w:ascii="Arial" w:hAnsi="Arial" w:cs="Arial"/>
                <w:sz w:val="18"/>
                <w:szCs w:val="18"/>
              </w:rPr>
            </w:pPr>
            <w:r w:rsidRPr="005A42ED">
              <w:rPr>
                <w:rFonts w:ascii="Arial" w:hAnsi="Arial" w:cs="Arial"/>
                <w:sz w:val="18"/>
                <w:szCs w:val="18"/>
              </w:rPr>
              <w:t>21 (63.6)</w:t>
            </w:r>
          </w:p>
        </w:tc>
        <w:tc>
          <w:tcPr>
            <w:tcW w:w="727" w:type="pct"/>
          </w:tcPr>
          <w:p w14:paraId="5A1ED5F5"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6C0302D9"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4A913FC9"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4148CCB9"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bl>
    <w:p w14:paraId="33EF0AB2" w14:textId="77777777" w:rsidR="00D93230" w:rsidRDefault="00D93230" w:rsidP="00327D13">
      <w:pPr>
        <w:pStyle w:val="Body"/>
        <w:spacing w:after="0"/>
        <w:rPr>
          <w:rFonts w:ascii="Arial" w:hAnsi="Arial" w:cs="Arial"/>
        </w:rPr>
      </w:pPr>
    </w:p>
    <w:p w14:paraId="747A1DEF" w14:textId="77777777" w:rsidR="005A42ED" w:rsidRPr="005A42ED" w:rsidRDefault="005A42ED" w:rsidP="005A42ED">
      <w:pPr>
        <w:pStyle w:val="Body"/>
        <w:spacing w:after="0"/>
        <w:rPr>
          <w:rFonts w:ascii="Arial" w:hAnsi="Arial" w:cs="Arial"/>
          <w:vertAlign w:val="superscript"/>
        </w:rPr>
      </w:pPr>
      <w:r w:rsidRPr="005A42ED">
        <w:rPr>
          <w:rFonts w:ascii="Arial" w:hAnsi="Arial" w:cs="Arial"/>
          <w:vertAlign w:val="superscript"/>
        </w:rPr>
        <w:t>Note: ‘COR’ stands for Crude Odds Ratio. ‘AOR’ is Adjusted Odds Ratio ‘+’ indicates that the odds increase.  ‘–’ implies that the odds decrease. ‘Ref’ means reference category. ‘*’ signifies that p &lt; 0.05</w:t>
      </w:r>
    </w:p>
    <w:p w14:paraId="0BDB60C6" w14:textId="77777777" w:rsidR="00DD74B1" w:rsidRDefault="00DD74B1" w:rsidP="00A262D3">
      <w:pPr>
        <w:pStyle w:val="Body"/>
        <w:spacing w:after="0"/>
        <w:rPr>
          <w:rFonts w:ascii="Arial" w:hAnsi="Arial" w:cs="Arial"/>
          <w:b/>
          <w:sz w:val="22"/>
          <w:szCs w:val="22"/>
        </w:rPr>
      </w:pPr>
    </w:p>
    <w:p w14:paraId="7A1C44A6" w14:textId="77777777" w:rsidR="00A262D3" w:rsidRDefault="00590ECA" w:rsidP="00A262D3">
      <w:pPr>
        <w:pStyle w:val="Body"/>
        <w:spacing w:after="0"/>
        <w:rPr>
          <w:rFonts w:ascii="Arial" w:hAnsi="Arial" w:cs="Arial"/>
        </w:rPr>
      </w:pPr>
      <w:r w:rsidRPr="00590ECA">
        <w:rPr>
          <w:rFonts w:ascii="Arial" w:hAnsi="Arial" w:cs="Arial"/>
        </w:rPr>
        <w:t xml:space="preserve">Approximately nineteen out of every twenty respondents (94.6%) agreed that training </w:t>
      </w:r>
      <w:proofErr w:type="spellStart"/>
      <w:r w:rsidRPr="00590ECA">
        <w:rPr>
          <w:rFonts w:ascii="Arial" w:hAnsi="Arial" w:cs="Arial"/>
        </w:rPr>
        <w:t>programmes</w:t>
      </w:r>
      <w:proofErr w:type="spellEnd"/>
      <w:r w:rsidRPr="00590ECA">
        <w:rPr>
          <w:rFonts w:ascii="Arial" w:hAnsi="Arial" w:cs="Arial"/>
        </w:rPr>
        <w:t xml:space="preserve"> on the use of natural sources in the research for phytomedicinal antimalarials would improve their exposure and understanding of this field when implemented. About one in twenty (4%) participants disagreed, whilst 1.5% remained neutral. This study demonstrates a broadly positive attitude toward phytomedicine training, underscoring the awareness and readiness among young professionals to engage in phytomedicinal research if the appropriate platforms and opportunities are made </w:t>
      </w:r>
      <w:r w:rsidRPr="00590ECA">
        <w:rPr>
          <w:rFonts w:ascii="Arial" w:hAnsi="Arial" w:cs="Arial"/>
        </w:rPr>
        <w:lastRenderedPageBreak/>
        <w:t xml:space="preserve">available.  Similarly, </w:t>
      </w:r>
      <w:r w:rsidRPr="00590ECA">
        <w:rPr>
          <w:rFonts w:ascii="Arial" w:hAnsi="Arial" w:cs="Arial"/>
        </w:rPr>
        <w:fldChar w:fldCharType="begin" w:fldLock="1"/>
      </w:r>
      <w:r w:rsidR="00C03B29">
        <w:rPr>
          <w:rFonts w:ascii="Arial" w:hAnsi="Arial" w:cs="Arial"/>
        </w:rPr>
        <w:instrText>ADDIN CSL_CITATION {"citationItems":[{"id":"ITEM-1","itemData":{"DOI":"10.1186/s12909-024-06548-y","ISSN":"1472-6920","author":[{"dropping-particle":"","family":"Ani","given":"Chidiebere Kingsley","non-dropping-particle":"","parse-names":false,"suffix":""},{"dropping-particle":"","family":"Bassey","given":"Aniekeme Sunday","non-dropping-particle":"","parse-names":false,"suffix":""},{"dropping-particle":"","family":"Osaghae","given":"Osahon Joseph","non-dropping-particle":"","parse-names":false,"suffix":""},{"dropping-particle":"","family":"Eroh","given":"Miriam Uzezi","non-dropping-particle":"","parse-names":false,"suffix":""}],"container-title":"BMC Medical Education","id":"ITEM-1","issue":"1","issued":{"date-parts":[["2024","12","23"]]},"page":"1521","title":"Medical research engagement among resident doctors in Nigeria: assessing knowledge, attitudes, and barriers in a public and private tertiary hospital in Nigeria","type":"article-journal","volume":"24"},"uris":["http://www.mendeley.com/documents/?uuid=a08a9abf-3642-3328-bb84-34532b968039"]}],"mendeley":{"formattedCitation":"(Ani et al., 2024)","plainTextFormattedCitation":"(Ani et al., 2024)","previouslyFormattedCitation":"[22]"},"properties":{"noteIndex":0},"schema":"https://github.com/citation-style-language/schema/raw/master/csl-citation.json"}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(Ani et al., 2024)</w:t>
      </w:r>
      <w:r w:rsidRPr="00590ECA">
        <w:rPr>
          <w:rFonts w:ascii="Arial" w:hAnsi="Arial" w:cs="Arial"/>
        </w:rPr>
        <w:fldChar w:fldCharType="end"/>
      </w:r>
      <w:r w:rsidRPr="00590ECA">
        <w:rPr>
          <w:rFonts w:ascii="Arial" w:hAnsi="Arial" w:cs="Arial"/>
        </w:rPr>
        <w:t xml:space="preserve"> and </w:t>
      </w:r>
      <w:r w:rsidRPr="00590ECA">
        <w:rPr>
          <w:rFonts w:ascii="Arial" w:hAnsi="Arial" w:cs="Arial"/>
        </w:rPr>
        <w:fldChar w:fldCharType="begin" w:fldLock="1"/>
      </w:r>
      <w:r w:rsidR="00C03B29">
        <w:rPr>
          <w:rFonts w:ascii="Arial" w:hAnsi="Arial" w:cs="Arial"/>
        </w:rPr>
        <w:instrText>ADDIN CSL_CITATION {"citationItems":[{"id":"ITEM-1","itemData":{"DOI":"10.4103/picr.PICR_152_20","ISSN":"2229-3485","author":[{"dropping-particle":"","family":"Igbokwe","given":"Martin","non-dropping-particle":"","parse-names":false,"suffix":""},{"dropping-particle":"","family":"Adebayo","given":"Oladimeji","non-dropping-particle":"","parse-names":false,"suffix":""},{"dropping-particle":"","family":"Ogunsuji","given":"Oluwaseyi","non-dropping-particle":"","parse-names":false,"suffix":""},{"dropping-particle":"","family":"Popoola","given":"Gbenga","non-dropping-particle":"","parse-names":false,"suffix":""},{"dropping-particle":"","family":"Babalola","given":"Rereloluwa","non-dropping-particle":"","parse-names":false,"suffix":""},{"dropping-particle":"","family":"Oiwoh","given":"Sebastine Oseghae","non-dropping-particle":"","parse-names":false,"suffix":""},{"dropping-particle":"","family":"Makinde","given":"Anuoluwapo Mojisola","non-dropping-particle":"","parse-names":false,"suffix":""},{"dropping-particle":"","family":"Adeniyi","given":"Adebayo Makinde","non-dropping-particle":"","parse-names":false,"suffix":""},{"dropping-particle":"","family":"Kanmodi","given":"Kehinde","non-dropping-particle":"","parse-names":false,"suffix":""},{"dropping-particle":"","family":"Umar","given":"Wasinda Francis","non-dropping-particle":"","parse-names":false,"suffix":""},{"dropping-particle":"","family":"Omololu","given":"Ayanfe","non-dropping-particle":"","parse-names":false,"suffix":""},{"dropping-particle":"","family":"Oduyemi","given":"Ibiyemi","non-dropping-particle":"","parse-names":false,"suffix":""},{"dropping-particle":"","family":"Yahya","given":"Abdulmajid Ibrahim","non-dropping-particle":"","parse-names":false,"suffix":""},{"dropping-particle":"","family":"Sokomba","given":"Aliyu","non-dropping-particle":"","parse-names":false,"suffix":""}],"container-title":"Perspectives in Clinical Research","id":"ITEM-1","issue":"2","issued":{"date-parts":[["2022","4"]]},"page":"106-113","title":"An exploration of profile, perceptions, barriers, and predictors of research engagement among resident doctors","type":"article-journal","volume":"13"},"uris":["http://www.mendeley.com/documents/?uuid=e8371fdf-29ff-30b9-9d2b-358388184b39"]}],"mendeley":{"formattedCitation":"(Igbokwe et al., 2022)","plainTextFormattedCitation":"(Igbokwe et al., 2022)","previouslyFormattedCitation":"[23]"},"properties":{"noteIndex":0},"schema":"https://github.com/citation-style-language/schema/raw/master/csl-citation.json"}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(Igbokwe et al., 2022)</w:t>
      </w:r>
      <w:r w:rsidRPr="00590ECA">
        <w:rPr>
          <w:rFonts w:ascii="Arial" w:hAnsi="Arial" w:cs="Arial"/>
        </w:rPr>
        <w:fldChar w:fldCharType="end"/>
      </w:r>
      <w:r w:rsidRPr="00590ECA">
        <w:rPr>
          <w:rFonts w:ascii="Arial" w:hAnsi="Arial" w:cs="Arial"/>
        </w:rPr>
        <w:t xml:space="preserve"> revealed that individuals in the medical field show very positive attitude to research but are not very keen to practically apply their knowledge.   The endorsement for formal training mirrors findings in educational context. A study among Turkish medical students reported that 85.5% of respondents believed physicians should have adequate knowledge of Complementary and Alternative Medicine (CAM), and most supported the inclusion of CAM in the medical school curriculum </w:t>
      </w:r>
      <w:r w:rsidRPr="00590ECA">
        <w:rPr>
          <w:rFonts w:ascii="Arial" w:hAnsi="Arial" w:cs="Arial"/>
        </w:rPr>
        <w:fldChar w:fldCharType="begin" w:fldLock="1"/>
      </w:r>
      <w:r w:rsidR="00C03B29">
        <w:rPr>
          <w:rFonts w:ascii="Arial" w:hAnsi="Arial" w:cs="Arial"/>
        </w:rPr>
        <w:instrText>ADDIN CSL_CITATION {"citationItems":[{"id":"ITEM-1","itemData":{"DOI":"10.1186/1472-6882-5-20","ISSN":"1472-6882","author":[{"dropping-particle":"","family":"Clement","given":"Yuri N","non-dropping-particle":"","parse-names":false,"suffix":""},{"dropping-particle":"","family":"Williams","given":"Arlene F","non-dropping-particle":"","parse-names":false,"suffix":""},{"dropping-particle":"","family":"Khan","given":"Kristi","non-dropping-particle":"","parse-names":false,"suffix":""},{"dropping-particle":"","family":"Bernard","given":"Tricia","non-dropping-particle":"","parse-names":false,"suffix":""},{"dropping-particle":"","family":"Bhola","given":"Savrina","non-dropping-particle":"","parse-names":false,"suffix":""},{"dropping-particle":"","family":"Fortuné","given":"Maurice","non-dropping-particle":"","parse-names":false,"suffix":""},{"dropping-particle":"","family":"Medupe","given":"Oneil","non-dropping-particle":"","parse-names":false,"suffix":""},{"dropping-particle":"","family":"Nagee","given":"Kerry","non-dropping-particle":"","parse-names":false,"suffix":""},{"dropping-particle":"","family":"Seaforth","given":"Compton E","non-dropping-particle":"","parse-names":false,"suffix":""}],"container-title":"BMC Complementary and Alternative Medicine","id":"ITEM-1","issue":"1","issued":{"date-parts":[["2005","12","18"]]},"page":"20","title":"A gap between acceptance and knowledge of herbal remedies by physicians: The need for educational intervention","type":"article-journal","volume":"5"},"uris":["http://www.mendeley.com/documents/?uuid=4723653d-69af-3421-8772-9aa6b55eaf93"]}],"mendeley":{"formattedCitation":"(Clement et al., 2005)","plainTextFormattedCitation":"(Clement et al., 2005)","previouslyFormattedCitation":"[24]"},"properties":{"noteIndex":0},"schema":"https://github.com/citation-style-language/schema/raw/master/csl-citation.json"}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(Clement et al., 2005)</w:t>
      </w:r>
      <w:r w:rsidRPr="00590ECA">
        <w:rPr>
          <w:rFonts w:ascii="Arial" w:hAnsi="Arial" w:cs="Arial"/>
        </w:rPr>
        <w:fldChar w:fldCharType="end"/>
      </w:r>
      <w:r w:rsidRPr="00590ECA">
        <w:rPr>
          <w:rFonts w:ascii="Arial" w:hAnsi="Arial" w:cs="Arial"/>
        </w:rPr>
        <w:t xml:space="preserve">. Similarly, </w:t>
      </w:r>
      <w:r w:rsidRPr="00590ECA">
        <w:rPr>
          <w:rFonts w:ascii="Arial" w:hAnsi="Arial" w:cs="Arial"/>
        </w:rPr>
        <w:fldChar w:fldCharType="begin" w:fldLock="1"/>
      </w:r>
      <w:r w:rsidR="00C03B29">
        <w:rPr>
          <w:rFonts w:ascii="Arial" w:hAnsi="Arial" w:cs="Arial"/>
        </w:rPr>
        <w:instrText>ADDIN CSL_CITATION {"citationItems":[{"id":"ITEM-1","itemData":{"DOI":"10.1067/mob.2001.117484","ISSN":"00029378","author":[{"dropping-particle":"","family":"Chez","given":"Ronald A.","non-dropping-particle":"","parse-names":false,"suffix":""},{"dropping-particle":"","family":"Jonas","given":"Wayne B.","non-dropping-particle":"","parse-names":false,"suffix":""},{"dropping-particle":"","family":"Crawford","given":"Cindy","non-dropping-particle":"","parse-names":false,"suffix":""}],"container-title":"American Journal of Obstetrics and Gynecology","id":"ITEM-1","issue":"3","issued":{"date-parts":[["2001","9"]]},"page":"754-757","title":"A survey of medical students’ opinions about complementary and alternative medicine","type":"article-journal","volume":"185"},"uris":["http://www.mendeley.com/documents/?uuid=c179954e-e8df-30dc-acc9-6dec0d955334"]}],"mendeley":{"formattedCitation":"(Chez et al., 2001)","plainTextFormattedCitation":"(Chez et al., 2001)","previouslyFormattedCitation":"[25]"},"properties":{"noteIndex":0},"schema":"https://github.com/citation-style-language/schema/raw/master/csl-citation.json"}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(Chez et al., 2001)</w:t>
      </w:r>
      <w:r w:rsidRPr="00590ECA">
        <w:rPr>
          <w:rFonts w:ascii="Arial" w:hAnsi="Arial" w:cs="Arial"/>
        </w:rPr>
        <w:fldChar w:fldCharType="end"/>
      </w:r>
      <w:r w:rsidRPr="00590ECA">
        <w:rPr>
          <w:rFonts w:ascii="Arial" w:hAnsi="Arial" w:cs="Arial"/>
        </w:rPr>
        <w:t xml:space="preserve"> and </w:t>
      </w:r>
      <w:r w:rsidRPr="00590ECA">
        <w:rPr>
          <w:rFonts w:ascii="Arial" w:hAnsi="Arial" w:cs="Arial"/>
        </w:rPr>
        <w:fldChar w:fldCharType="begin" w:fldLock="1"/>
      </w:r>
      <w:r w:rsidR="00C03B29">
        <w:rPr>
          <w:rFonts w:ascii="Arial" w:hAnsi="Arial" w:cs="Arial"/>
        </w:rPr>
        <w:instrText>ADDIN CSL_CITATION {"citationItems":[{"id":"ITEM-1","itemData":{"DOI":"10.1186/1472-6920-6-58","ISSN":"1472-6920","author":[{"dropping-particle":"","family":"Lie","given":"Désirée A","non-dropping-particle":"","parse-names":false,"suffix":""},{"dropping-particle":"","family":"Boker","given":"John","non-dropping-particle":"","parse-names":false,"suffix":""}],"container-title":"BMC Medical Education","id":"ITEM-1","issue":"1","issued":{"date-parts":[["2006","12","9"]]},"page":"58","title":"Comparative survey of Complementary and Alternative Medicine (CAM) attitudes, use, and information-seeking behaviour among medical students, residents &amp;amp; faculty","type":"article-journal","volume":"6"},"uris":["http://www.mendeley.com/documents/?uuid=62fd90b2-16bb-3d92-844c-a556e883a5b7"]}],"mendeley":{"formattedCitation":"(Lie &amp; Boker, 2006)","plainTextFormattedCitation":"(Lie &amp; Boker, 2006)","previouslyFormattedCitation":"[26]"},"properties":{"noteIndex":0},"schema":"https://github.com/citation-style-language/schema/raw/master/csl-citation.json"}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(Lie &amp; Boker, 2006)</w:t>
      </w:r>
      <w:r w:rsidRPr="00590ECA">
        <w:rPr>
          <w:rFonts w:ascii="Arial" w:hAnsi="Arial" w:cs="Arial"/>
        </w:rPr>
        <w:fldChar w:fldCharType="end"/>
      </w:r>
      <w:r w:rsidRPr="00590ECA">
        <w:rPr>
          <w:rFonts w:ascii="Arial" w:hAnsi="Arial" w:cs="Arial"/>
        </w:rPr>
        <w:t xml:space="preserve"> also documented support for the formal integration of CAM training among healthcare professionals. Given that phytomedicinal antimalarials is a subset of CAM; these findings </w:t>
      </w:r>
      <w:proofErr w:type="gramStart"/>
      <w:r w:rsidRPr="00590ECA">
        <w:rPr>
          <w:rFonts w:ascii="Arial" w:hAnsi="Arial" w:cs="Arial"/>
        </w:rPr>
        <w:t>consolidates</w:t>
      </w:r>
      <w:proofErr w:type="gramEnd"/>
      <w:r w:rsidRPr="00590ECA">
        <w:rPr>
          <w:rFonts w:ascii="Arial" w:hAnsi="Arial" w:cs="Arial"/>
        </w:rPr>
        <w:t xml:space="preserve"> the importance of structured capacity building programs as a strategic interface for advancing the role of plant medicine in health innovation. However, it is important to note that whilst enthusiasm for training is strong, </w:t>
      </w:r>
      <w:r w:rsidR="0023343C" w:rsidRPr="00590ECA">
        <w:rPr>
          <w:rFonts w:ascii="Arial" w:hAnsi="Arial" w:cs="Arial"/>
        </w:rPr>
        <w:t>opinions’ regarding the clinical integration of CAM remains</w:t>
      </w:r>
      <w:r w:rsidR="00A262D3" w:rsidRPr="00A262D3">
        <w:rPr>
          <w:rFonts w:ascii="Arial" w:hAnsi="Arial" w:cs="Arial"/>
        </w:rPr>
        <w:t xml:space="preserve"> mixed. A study showed that only 33.1% of students supported combining CAM with conventional medicine. This suggests that although health professionals may value CAM-related knowledge and training, their support for its integration into standard clinical practice may be influenced by cultural beliefs, professional norms, and the availability of scientific evidence. As such, capacity-building initiatives should aim not only to deliver technical content but also to promote critical engagement with the evolving role of phytomedicine in healthcare systems.</w:t>
      </w:r>
    </w:p>
    <w:p w14:paraId="29828167" w14:textId="77777777" w:rsidR="0023343C" w:rsidRPr="00A262D3" w:rsidRDefault="0023343C" w:rsidP="00A262D3">
      <w:pPr>
        <w:pStyle w:val="Body"/>
        <w:spacing w:after="0"/>
        <w:rPr>
          <w:rFonts w:ascii="Arial" w:hAnsi="Arial" w:cs="Arial"/>
        </w:rPr>
      </w:pPr>
    </w:p>
    <w:p w14:paraId="0EAB11E1" w14:textId="77777777" w:rsidR="00A262D3" w:rsidRDefault="00A262D3" w:rsidP="00A262D3">
      <w:pPr>
        <w:pStyle w:val="Body"/>
        <w:spacing w:after="0"/>
        <w:rPr>
          <w:rFonts w:ascii="Arial" w:hAnsi="Arial" w:cs="Arial"/>
        </w:rPr>
      </w:pPr>
      <w:r w:rsidRPr="00A262D3">
        <w:rPr>
          <w:rFonts w:ascii="Arial" w:hAnsi="Arial" w:cs="Arial"/>
        </w:rPr>
        <w:t>Over half of the respondents (53.1%) identified internships at research institutions as crucial for gaining practical experience, whilst 25.6% of the participants highlighted collaboration with local communities, and 21.2% emphasized fieldwork participation. It is important to acknowledge that the background of the study population drawn from individuals affiliated with the National Institute for Pharmaceutical Research and Development (NIPRD) may have influenced their responses. Many of the participants had previously undertaken internships or bench work training at NIPRD, which could have shaped their perspectives on phytomedicinal research and training.</w:t>
      </w:r>
    </w:p>
    <w:p w14:paraId="53D9A6D3" w14:textId="77777777" w:rsidR="00B64FE2" w:rsidRPr="00A262D3" w:rsidRDefault="00B64FE2" w:rsidP="00A262D3">
      <w:pPr>
        <w:pStyle w:val="Body"/>
        <w:spacing w:after="0"/>
        <w:rPr>
          <w:rFonts w:ascii="Arial" w:hAnsi="Arial" w:cs="Arial"/>
        </w:rPr>
      </w:pPr>
    </w:p>
    <w:p w14:paraId="5FE1CE6F" w14:textId="77777777" w:rsidR="00A262D3" w:rsidRDefault="00A262D3" w:rsidP="00A262D3">
      <w:pPr>
        <w:pStyle w:val="Body"/>
        <w:spacing w:after="0"/>
        <w:rPr>
          <w:rFonts w:ascii="Arial" w:hAnsi="Arial" w:cs="Arial"/>
        </w:rPr>
      </w:pPr>
      <w:r w:rsidRPr="00A262D3">
        <w:rPr>
          <w:rFonts w:ascii="Arial" w:hAnsi="Arial" w:cs="Arial"/>
        </w:rPr>
        <w:t xml:space="preserve">More than nineteen out of twenty participants (95.1%) expressed interest in phytomedicinal antimalarial research. Among them, the largest share roughly two out of five (40.3%) were driven by the desire to make a difference. Just over one-third (35.8%) cited career aspirations, and nearly one-quarter (23.8%) were motivated by academic curiosity. This suggests that whilst curiosity plays a role, intrinsic values and professional goals are the key motivators for most participants. </w:t>
      </w:r>
      <w:r w:rsidRPr="00A262D3">
        <w:rPr>
          <w:rFonts w:ascii="Arial" w:hAnsi="Arial" w:cs="Arial"/>
        </w:rPr>
        <w:fldChar w:fldCharType="begin" w:fldLock="1"/>
      </w:r>
      <w:r w:rsidR="00C03B29">
        <w:rPr>
          <w:rFonts w:ascii="Arial" w:hAnsi="Arial" w:cs="Arial"/>
        </w:rPr>
        <w:instrText>ADDIN CSL_CITATION {"citationItems":[{"id":"ITEM-1","itemData":{"DOI":"10.1007/S40037-018-0440-Y","ISSN":"2212-277X","abstract":"&lt;p&gt;Introduction The medical field is currently facing a physician-scientist shortage. One possible solution is to direct medical students towards a research oriented career. To do so, knowledge is needed on how to motivate medical students to do research. Therefore, this study examines motivation for research and identifies factors influencing intrinsic and extrinsic motivation for research among first-year medical students. Methods First-year medical students were surveyed at the beginning of their bachelor’s program in 2016. On a 7-point Likert scale, students reported their motivation for research, self-efficacy, perceptions of research, curiosity, and need for challenge. Regression analyses were used to examine the influence of these factors on students’ motivation for research. Results Out of 316 approached students, 315 participated (99.7%). On average, students scored 5.49 on intrinsic, and 5.66 on extrinsic motivation for research. All factors measured influenced intrinsic and extrinsic motivation for research significantly and positively, also after adjusting for gender and age. Cumulative regression showed that these factors explained 39.6% of the variance in intrinsic, and 14% in extrinsic motivation for research. Discussion All factors play an important role in intrinsic and, to a lesser extent, extrinsic motivation for research. First-year medical students’ motivation for research could be enhanced by stimulating positive self-efficacy beliefs, positive perceptions of research, and curiosity. Also, it is important to fulfil students’ needs for challenge by stimulating them to actively conduct research. Thus, to catch students young and cultivate physician-scientists, students should be stimulated to engage in research from the beginning of medical training.&lt;/p&gt;","author":[{"dropping-particle":"","family":"Ommering","given":"Belinda W. C.","non-dropping-particle":"","parse-names":false,"suffix":""},{"dropping-particle":"","family":"Blankenstein","given":"Floris M.","non-dropping-particle":"Van","parse-names":false,"suffix":""},{"dropping-particle":"","family":"Waaijer","given":"Cathelijn J. F.","non-dropping-particle":"","parse-names":false,"suffix":""},{"dropping-particle":"","family":"Dekker","given":"Friedo W.","non-dropping-particle":"","parse-names":false,"suffix":""}],"container-title":"Perspectives on Medical Education","id":"ITEM-1","issue":"4","issued":{"date-parts":[["2018","7","13"]]},"page":"248-255","title":"Future physician-scientists: could we catch them young? Factors influencing intrinsic and extrinsic motivation for research among first-year medical students","type":"article-journal","volume":"7"},"uris":["http://www.mendeley.com/documents/?uuid=37b07702-cde2-34ef-b49a-38882e287aef"]}],"mendeley":{"formattedCitation":"(Ommering et al., 2018)","plainTextFormattedCitation":"(Ommering et al., 2018)","previouslyFormattedCitation":"[27]"},"properties":{"noteIndex":0},"schema":"https://github.com/citation-style-language/schema/raw/master/csl-citation.json"}</w:instrText>
      </w:r>
      <w:r w:rsidRPr="00A262D3">
        <w:rPr>
          <w:rFonts w:ascii="Arial" w:hAnsi="Arial" w:cs="Arial"/>
        </w:rPr>
        <w:fldChar w:fldCharType="separate"/>
      </w:r>
      <w:r w:rsidR="00C03B29" w:rsidRPr="00C03B29">
        <w:rPr>
          <w:rFonts w:ascii="Arial" w:hAnsi="Arial" w:cs="Arial"/>
          <w:noProof/>
        </w:rPr>
        <w:t>(Ommering et al., 2018)</w:t>
      </w:r>
      <w:r w:rsidRPr="00A262D3">
        <w:rPr>
          <w:rFonts w:ascii="Arial" w:hAnsi="Arial" w:cs="Arial"/>
        </w:rPr>
        <w:fldChar w:fldCharType="end"/>
      </w:r>
      <w:r w:rsidRPr="00A262D3">
        <w:rPr>
          <w:rFonts w:ascii="Arial" w:hAnsi="Arial" w:cs="Arial"/>
        </w:rPr>
        <w:t xml:space="preserve"> reported that first-year medical students scored highly on both intrinsic (5.49) and extrinsic (5.66) motivation for research. </w:t>
      </w:r>
      <w:r w:rsidRPr="00A262D3">
        <w:rPr>
          <w:rFonts w:ascii="Arial" w:hAnsi="Arial" w:cs="Arial"/>
        </w:rPr>
        <w:fldChar w:fldCharType="begin" w:fldLock="1"/>
      </w:r>
      <w:r w:rsidR="00C03B29">
        <w:rPr>
          <w:rFonts w:ascii="Arial" w:hAnsi="Arial" w:cs="Arial"/>
        </w:rPr>
        <w:instrText>ADDIN CSL_CITATION {"citationItems":[{"id":"ITEM-1","itemData":{"DOI":"10.1108/JARHE-04-2020-0106","ISSN":"2050-7003","author":[{"dropping-particle":"","family":"Amida","given":"Ademola","non-dropping-particle":"","parse-names":false,"suffix":""},{"dropping-particle":"","family":"Algarni","given":"Sameera","non-dropping-particle":"","parse-names":false,"suffix":""},{"dropping-particle":"","family":"Stupnisky","given":"Robert","non-dropping-particle":"","parse-names":false,"suffix":""}],"container-title":"Journal of Applied Research in Higher Education","id":"ITEM-1","issue":"5","issued":{"date-parts":[["2021","12","13"]]},"page":"1305-1322","title":"Testing the relationships of motivation, time management and career aspirations on graduate students’ academic success","type":"article-journal","volume":"13"},"uris":["http://www.mendeley.com/documents/?uuid=f773356b-55fc-3202-ae96-52671b98a96e"]}],"mendeley":{"formattedCitation":"(Amida et al., 2021)","plainTextFormattedCitation":"(Amida et al., 2021)","previouslyFormattedCitation":"[28]"},"properties":{"noteIndex":0},"schema":"https://github.com/citation-style-language/schema/raw/master/csl-citation.json"}</w:instrText>
      </w:r>
      <w:r w:rsidRPr="00A262D3">
        <w:rPr>
          <w:rFonts w:ascii="Arial" w:hAnsi="Arial" w:cs="Arial"/>
        </w:rPr>
        <w:fldChar w:fldCharType="separate"/>
      </w:r>
      <w:r w:rsidR="00C03B29" w:rsidRPr="00C03B29">
        <w:rPr>
          <w:rFonts w:ascii="Arial" w:hAnsi="Arial" w:cs="Arial"/>
          <w:noProof/>
        </w:rPr>
        <w:t>(Amida et al., 2021)</w:t>
      </w:r>
      <w:r w:rsidRPr="00A262D3">
        <w:rPr>
          <w:rFonts w:ascii="Arial" w:hAnsi="Arial" w:cs="Arial"/>
        </w:rPr>
        <w:fldChar w:fldCharType="end"/>
      </w:r>
      <w:r w:rsidRPr="00A262D3">
        <w:rPr>
          <w:rFonts w:ascii="Arial" w:hAnsi="Arial" w:cs="Arial"/>
        </w:rPr>
        <w:t xml:space="preserve"> found intrinsic motivation to be the strongest predictor of perceived success for graduate students. </w:t>
      </w:r>
    </w:p>
    <w:p w14:paraId="74B953BC" w14:textId="77777777" w:rsidR="00B64FE2" w:rsidRPr="00A262D3" w:rsidRDefault="00B64FE2" w:rsidP="00A262D3">
      <w:pPr>
        <w:pStyle w:val="Body"/>
        <w:spacing w:after="0"/>
        <w:rPr>
          <w:rFonts w:ascii="Arial" w:hAnsi="Arial" w:cs="Arial"/>
        </w:rPr>
      </w:pPr>
    </w:p>
    <w:p w14:paraId="04CE4438" w14:textId="77777777" w:rsidR="00A262D3" w:rsidRDefault="00A262D3" w:rsidP="00A262D3">
      <w:pPr>
        <w:pStyle w:val="Body"/>
        <w:spacing w:after="0"/>
        <w:rPr>
          <w:rFonts w:ascii="Arial" w:hAnsi="Arial" w:cs="Arial"/>
        </w:rPr>
      </w:pPr>
      <w:r w:rsidRPr="00A262D3">
        <w:rPr>
          <w:rFonts w:ascii="Arial" w:hAnsi="Arial" w:cs="Arial"/>
        </w:rPr>
        <w:t xml:space="preserve">When asked about convenient approaches to </w:t>
      </w:r>
      <w:proofErr w:type="spellStart"/>
      <w:r w:rsidRPr="00A262D3">
        <w:rPr>
          <w:rFonts w:ascii="Arial" w:hAnsi="Arial" w:cs="Arial"/>
        </w:rPr>
        <w:t>enrol</w:t>
      </w:r>
      <w:proofErr w:type="spellEnd"/>
      <w:r w:rsidRPr="00A262D3">
        <w:rPr>
          <w:rFonts w:ascii="Arial" w:hAnsi="Arial" w:cs="Arial"/>
        </w:rPr>
        <w:t xml:space="preserve"> in training, just over one-third (38.4%) highlighted workshops, about one-third favored mentorship programs, and roughly one-quarter (26.2%) found online courses most suitable. Considering that the study population was sourced from NIPRD, the strong selection of workshops likely reflects the institution’s established role in delivering hands-on, experiential training. Additionally, the preferred training modalities which included workshops, mentorship, and online learning tip to a demand for a more flexible blended learning approach. Notably, </w:t>
      </w:r>
      <w:r w:rsidRPr="00A262D3">
        <w:rPr>
          <w:rFonts w:ascii="Arial" w:hAnsi="Arial" w:cs="Arial"/>
        </w:rPr>
        <w:fldChar w:fldCharType="begin" w:fldLock="1"/>
      </w:r>
      <w:r w:rsidR="00C03B29">
        <w:rPr>
          <w:rFonts w:ascii="Arial" w:hAnsi="Arial" w:cs="Arial"/>
        </w:rPr>
        <w:instrText>ADDIN CSL_CITATION {"citationItems":[{"id":"ITEM-1","itemData":{"DOI":"10.1136/bmjgh-2020-003229","ISSN":"2059-7908","author":[{"dropping-particle":"","family":"Rowe","given":"Alexander K","non-dropping-particle":"","parse-names":false,"suffix":""},{"dropping-particle":"","family":"Rowe","given":"Samantha Y","non-dropping-particle":"","parse-names":false,"suffix":""},{"dropping-particle":"","family":"Peters","given":"David H","non-dropping-particle":"","parse-names":false,"suffix":""},{"dropping-particle":"","family":"Holloway","given":"Kathleen A","non-dropping-particle":"","parse-names":false,"suffix":""},{"dropping-particle":"","family":"Ross-Degnan","given":"Dennis","non-dropping-particle":"","parse-names":false,"suffix":""}],"container-title":"BMJ Global Health","id":"ITEM-1","issue":"1","issued":{"date-parts":[["2021","1","15"]]},"page":"e003229","title":"The effectiveness of training strategies to improve healthcare provider practices in low-income and middle-income countries","type":"article-journal","volume":"6"},"uris":["http://www.mendeley.com/documents/?uuid=e8b3a017-c6d1-37d6-86f1-f6bcc7dfa463"]}],"mendeley":{"formattedCitation":"(Rowe et al., 2021)","plainTextFormattedCitation":"(Rowe et al., 2021)","previouslyFormattedCitation":"[29]"},"properties":{"noteIndex":0},"schema":"https://github.com/citation-style-language/schema/raw/master/csl-citation.json"}</w:instrText>
      </w:r>
      <w:r w:rsidRPr="00A262D3">
        <w:rPr>
          <w:rFonts w:ascii="Arial" w:hAnsi="Arial" w:cs="Arial"/>
        </w:rPr>
        <w:fldChar w:fldCharType="separate"/>
      </w:r>
      <w:r w:rsidR="00C03B29" w:rsidRPr="00C03B29">
        <w:rPr>
          <w:rFonts w:ascii="Arial" w:hAnsi="Arial" w:cs="Arial"/>
          <w:noProof/>
        </w:rPr>
        <w:t>(Rowe et al., 2021)</w:t>
      </w:r>
      <w:r w:rsidRPr="00A262D3">
        <w:rPr>
          <w:rFonts w:ascii="Arial" w:hAnsi="Arial" w:cs="Arial"/>
        </w:rPr>
        <w:fldChar w:fldCharType="end"/>
      </w:r>
      <w:r w:rsidRPr="00A262D3">
        <w:rPr>
          <w:rFonts w:ascii="Arial" w:hAnsi="Arial" w:cs="Arial"/>
        </w:rPr>
        <w:t>, also showed that workshops where interactive and showed higher effectiveness in knowledge transfer.</w:t>
      </w:r>
    </w:p>
    <w:p w14:paraId="781BC1A0" w14:textId="77777777" w:rsidR="00B64FE2" w:rsidRPr="00A262D3" w:rsidRDefault="00B64FE2" w:rsidP="00A262D3">
      <w:pPr>
        <w:pStyle w:val="Body"/>
        <w:spacing w:after="0"/>
        <w:rPr>
          <w:rFonts w:ascii="Arial" w:hAnsi="Arial" w:cs="Arial"/>
        </w:rPr>
      </w:pPr>
    </w:p>
    <w:p w14:paraId="5BE01A8C" w14:textId="77777777" w:rsidR="00A262D3" w:rsidRDefault="00A262D3" w:rsidP="00A262D3">
      <w:pPr>
        <w:pStyle w:val="Body"/>
        <w:spacing w:after="0"/>
        <w:rPr>
          <w:rFonts w:ascii="Arial" w:hAnsi="Arial" w:cs="Arial"/>
        </w:rPr>
      </w:pPr>
      <w:r w:rsidRPr="00A262D3">
        <w:rPr>
          <w:rFonts w:ascii="Arial" w:hAnsi="Arial" w:cs="Arial"/>
        </w:rPr>
        <w:t>About half of the respondents (51.1%) indicated that access to research grants would be the most supportive measure to be provided for health professionals interested in pursuing research on antimalarials of plant origin. Roughly one-quarter supported the provision of specialized equipment (23.6%), whilst a similar proportion (25.3%) prioritized mentorship. These responses suggest that financial and technical resources are just as critical as guidance and training in enabling early-career professionals to pursue phytomedicinal research effectively.  The high inclination of respondents on research grants evidently reflects how the paucity of funds truncates the advancement of plant based antimalarial research.</w:t>
      </w:r>
    </w:p>
    <w:p w14:paraId="3F675DC7" w14:textId="77777777" w:rsidR="00B64FE2" w:rsidRPr="00A262D3" w:rsidRDefault="00B64FE2" w:rsidP="00A262D3">
      <w:pPr>
        <w:pStyle w:val="Body"/>
        <w:spacing w:after="0"/>
        <w:rPr>
          <w:rFonts w:ascii="Arial" w:hAnsi="Arial" w:cs="Arial"/>
        </w:rPr>
      </w:pPr>
    </w:p>
    <w:p w14:paraId="7B856ADD" w14:textId="77777777" w:rsidR="00A262D3" w:rsidRPr="00A262D3" w:rsidRDefault="00A262D3" w:rsidP="004022A5">
      <w:pPr>
        <w:pStyle w:val="Body"/>
        <w:spacing w:after="0"/>
        <w:rPr>
          <w:rFonts w:ascii="Arial" w:hAnsi="Arial" w:cs="Arial"/>
        </w:rPr>
      </w:pPr>
      <w:r w:rsidRPr="00A262D3">
        <w:rPr>
          <w:rFonts w:ascii="Arial" w:hAnsi="Arial" w:cs="Arial"/>
        </w:rPr>
        <w:t xml:space="preserve">Only professional background significantly influenced the view that fieldwork is crucial, with researcher’s times more likely to hold this view. This suggests that individuals already embedded in research contexts appreciate skills acquisition through community engagement and direct field observations. Geopolitical zone and education level also showed variations, with North-West and North-East participants more likely to see fieldwork as essential compared to South-South, and undergraduates less likely than graduates. This regional variation might reflect differing educational exposures, necessitating tailored regional policies to support phytomedicinal research development. </w:t>
      </w:r>
      <w:proofErr w:type="gramStart"/>
      <w:r w:rsidRPr="00A262D3">
        <w:rPr>
          <w:rFonts w:ascii="Arial" w:hAnsi="Arial" w:cs="Arial"/>
        </w:rPr>
        <w:t>However</w:t>
      </w:r>
      <w:proofErr w:type="gramEnd"/>
      <w:r w:rsidRPr="00A262D3">
        <w:rPr>
          <w:rFonts w:ascii="Arial" w:hAnsi="Arial" w:cs="Arial"/>
        </w:rPr>
        <w:t xml:space="preserve"> it’s important to note that some geopolitical zones were sparingly represented in the study population, thus conclusions cannot be made. Finally, this study vehemently affirms that adequately equipping early career professionals with relevant, practical, and research-oriented skills is central to enhancing the uptake of phytomedicinal antimalarials. Bridging professional and structural gaps through targeted training and support will be vital in strengthening local capacity for sustainable malaria control.</w:t>
      </w:r>
    </w:p>
    <w:p w14:paraId="48619CBE" w14:textId="77777777" w:rsidR="001207EC" w:rsidRDefault="001207EC" w:rsidP="00EA6255">
      <w:pPr>
        <w:pStyle w:val="Body"/>
        <w:spacing w:after="0"/>
        <w:rPr>
          <w:rFonts w:ascii="Arial" w:hAnsi="Arial" w:cs="Arial"/>
        </w:rPr>
      </w:pPr>
    </w:p>
    <w:p w14:paraId="63C6F39F" w14:textId="77777777" w:rsidR="001207EC" w:rsidRDefault="00C65265" w:rsidP="004022A5">
      <w:pPr>
        <w:pStyle w:val="Body"/>
        <w:spacing w:after="0"/>
        <w:rPr>
          <w:rFonts w:ascii="Arial" w:hAnsi="Arial" w:cs="Arial"/>
          <w:b/>
          <w:sz w:val="22"/>
          <w:szCs w:val="22"/>
        </w:rPr>
      </w:pPr>
      <w:r>
        <w:rPr>
          <w:rFonts w:ascii="Arial" w:hAnsi="Arial" w:cs="Arial"/>
          <w:b/>
          <w:sz w:val="22"/>
          <w:szCs w:val="22"/>
        </w:rPr>
        <w:t xml:space="preserve">4. </w:t>
      </w:r>
      <w:r w:rsidR="004022A5" w:rsidRPr="00A66A8F">
        <w:rPr>
          <w:rFonts w:ascii="Arial" w:hAnsi="Arial" w:cs="Arial"/>
          <w:b/>
          <w:sz w:val="22"/>
          <w:szCs w:val="22"/>
        </w:rPr>
        <w:t>CONCLUSION</w:t>
      </w:r>
    </w:p>
    <w:p w14:paraId="627D095B" w14:textId="77777777" w:rsidR="00C65265" w:rsidRPr="00A66A8F" w:rsidRDefault="00C65265" w:rsidP="004022A5">
      <w:pPr>
        <w:pStyle w:val="Body"/>
        <w:spacing w:after="0"/>
        <w:rPr>
          <w:rFonts w:ascii="Arial" w:hAnsi="Arial" w:cs="Arial"/>
          <w:b/>
          <w:sz w:val="22"/>
          <w:szCs w:val="22"/>
        </w:rPr>
      </w:pPr>
    </w:p>
    <w:p w14:paraId="71DCC5CB" w14:textId="77777777" w:rsidR="004022A5" w:rsidRPr="004022A5" w:rsidRDefault="004022A5" w:rsidP="004022A5">
      <w:pPr>
        <w:pStyle w:val="Body"/>
        <w:spacing w:after="0"/>
        <w:rPr>
          <w:rFonts w:ascii="Arial" w:hAnsi="Arial" w:cs="Arial"/>
        </w:rPr>
      </w:pPr>
      <w:r w:rsidRPr="004022A5">
        <w:rPr>
          <w:rFonts w:ascii="Arial" w:hAnsi="Arial" w:cs="Arial"/>
        </w:rPr>
        <w:lastRenderedPageBreak/>
        <w:t xml:space="preserve">This study reveals that young health professionals </w:t>
      </w:r>
      <w:proofErr w:type="spellStart"/>
      <w:r w:rsidRPr="004022A5">
        <w:rPr>
          <w:rFonts w:ascii="Arial" w:hAnsi="Arial" w:cs="Arial"/>
        </w:rPr>
        <w:t>recognise</w:t>
      </w:r>
      <w:proofErr w:type="spellEnd"/>
      <w:r w:rsidRPr="004022A5">
        <w:rPr>
          <w:rFonts w:ascii="Arial" w:hAnsi="Arial" w:cs="Arial"/>
        </w:rPr>
        <w:t xml:space="preserve"> the importance of training </w:t>
      </w:r>
      <w:proofErr w:type="spellStart"/>
      <w:r w:rsidRPr="004022A5">
        <w:rPr>
          <w:rFonts w:ascii="Arial" w:hAnsi="Arial" w:cs="Arial"/>
        </w:rPr>
        <w:t>programmes</w:t>
      </w:r>
      <w:proofErr w:type="spellEnd"/>
      <w:r w:rsidRPr="004022A5">
        <w:rPr>
          <w:rFonts w:ascii="Arial" w:hAnsi="Arial" w:cs="Arial"/>
        </w:rPr>
        <w:t xml:space="preserve"> and express interest in phytomedicinal antimalarial research, whilst also identifying significant gaps in training, infrastructure, and practical exposure. Participants </w:t>
      </w:r>
      <w:proofErr w:type="spellStart"/>
      <w:r w:rsidRPr="004022A5">
        <w:rPr>
          <w:rFonts w:ascii="Arial" w:hAnsi="Arial" w:cs="Arial"/>
        </w:rPr>
        <w:t>emphasised</w:t>
      </w:r>
      <w:proofErr w:type="spellEnd"/>
      <w:r w:rsidRPr="004022A5">
        <w:rPr>
          <w:rFonts w:ascii="Arial" w:hAnsi="Arial" w:cs="Arial"/>
        </w:rPr>
        <w:t xml:space="preserve"> the value of fieldwork, suggesting that professional orientation may have a greater influence on their engagement than demographic traits. To support the integration of phytomedicinal approaches into malaria control efforts, targeted capacity-building initiatives grounded in experiential learning, equitable resource distribution, and structured mentorship are urgently required. These insights underscore key areas for intervention that would empower young professionals to become active contributors to evidence-based sustainable healthcare solutions.</w:t>
      </w:r>
    </w:p>
    <w:p w14:paraId="3D9CDF81" w14:textId="77777777" w:rsidR="001207EC" w:rsidRDefault="001207EC" w:rsidP="00EA6255">
      <w:pPr>
        <w:pStyle w:val="Body"/>
        <w:spacing w:after="0"/>
        <w:rPr>
          <w:rFonts w:ascii="Arial" w:hAnsi="Arial" w:cs="Arial"/>
        </w:rPr>
      </w:pPr>
    </w:p>
    <w:p w14:paraId="39E38E7A" w14:textId="77777777" w:rsidR="00A66A8F" w:rsidRPr="00A66A8F" w:rsidRDefault="00A66A8F" w:rsidP="00EA6255">
      <w:pPr>
        <w:pStyle w:val="Body"/>
        <w:spacing w:after="0"/>
        <w:rPr>
          <w:rFonts w:ascii="Arial" w:hAnsi="Arial" w:cs="Arial"/>
        </w:rPr>
      </w:pPr>
    </w:p>
    <w:p w14:paraId="69DDB516" w14:textId="77777777" w:rsidR="00860000" w:rsidRDefault="00A66A8F" w:rsidP="00441B6F">
      <w:pPr>
        <w:pStyle w:val="ReferHead"/>
        <w:spacing w:after="0"/>
        <w:jc w:val="both"/>
        <w:rPr>
          <w:rFonts w:ascii="Arial" w:hAnsi="Arial" w:cs="Arial"/>
        </w:rPr>
      </w:pPr>
      <w:r w:rsidRPr="00A66A8F">
        <w:rPr>
          <w:rFonts w:ascii="Arial" w:hAnsi="Arial" w:cs="Arial"/>
        </w:rPr>
        <w:t>ETHICAL APPROVAL</w:t>
      </w:r>
    </w:p>
    <w:p w14:paraId="7978F3DE" w14:textId="77777777" w:rsidR="009A7BCA" w:rsidRDefault="009A7BCA" w:rsidP="00441B6F">
      <w:pPr>
        <w:pStyle w:val="ReferHead"/>
        <w:spacing w:after="0"/>
        <w:jc w:val="both"/>
        <w:rPr>
          <w:rFonts w:ascii="Arial" w:hAnsi="Arial" w:cs="Arial"/>
        </w:rPr>
      </w:pPr>
    </w:p>
    <w:p w14:paraId="3030748D" w14:textId="77777777" w:rsidR="00684236" w:rsidRPr="009C0842" w:rsidRDefault="00684236" w:rsidP="00441B6F">
      <w:pPr>
        <w:pStyle w:val="ReferHead"/>
        <w:spacing w:after="0"/>
        <w:jc w:val="both"/>
        <w:rPr>
          <w:rFonts w:ascii="Arial" w:hAnsi="Arial" w:cs="Arial"/>
          <w:b w:val="0"/>
          <w:sz w:val="20"/>
        </w:rPr>
      </w:pPr>
      <w:r w:rsidRPr="009C0842">
        <w:rPr>
          <w:rFonts w:ascii="Arial" w:hAnsi="Arial" w:cs="Arial"/>
          <w:b w:val="0"/>
          <w:caps w:val="0"/>
          <w:sz w:val="20"/>
        </w:rPr>
        <w:t xml:space="preserve">The ethical approval for this study was obtained from the National Institute </w:t>
      </w:r>
      <w:proofErr w:type="gramStart"/>
      <w:r w:rsidRPr="009C0842">
        <w:rPr>
          <w:rFonts w:ascii="Arial" w:hAnsi="Arial" w:cs="Arial"/>
          <w:b w:val="0"/>
          <w:caps w:val="0"/>
          <w:sz w:val="20"/>
        </w:rPr>
        <w:t>For</w:t>
      </w:r>
      <w:proofErr w:type="gramEnd"/>
      <w:r w:rsidRPr="009C0842">
        <w:rPr>
          <w:rFonts w:ascii="Arial" w:hAnsi="Arial" w:cs="Arial"/>
          <w:b w:val="0"/>
          <w:caps w:val="0"/>
          <w:sz w:val="20"/>
        </w:rPr>
        <w:t xml:space="preserve"> Pharmaceutical Research and Development Health Research Ethics Committee before the commencement of data collection.</w:t>
      </w:r>
    </w:p>
    <w:p w14:paraId="4DF40416" w14:textId="77777777" w:rsidR="00A66A8F" w:rsidRPr="00A66A8F" w:rsidRDefault="00A66A8F" w:rsidP="00441B6F">
      <w:pPr>
        <w:pStyle w:val="ReferHead"/>
        <w:spacing w:after="0"/>
        <w:jc w:val="both"/>
        <w:rPr>
          <w:rFonts w:ascii="Arial" w:hAnsi="Arial" w:cs="Arial"/>
          <w:b w:val="0"/>
          <w:sz w:val="20"/>
        </w:rPr>
      </w:pPr>
    </w:p>
    <w:p w14:paraId="254DA90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5AD7CD" w14:textId="77777777" w:rsidR="00A478CF" w:rsidRPr="006270D1" w:rsidRDefault="00A478CF" w:rsidP="00A478CF">
      <w:pPr>
        <w:pStyle w:val="BodyText"/>
        <w:spacing w:after="0"/>
        <w:jc w:val="both"/>
        <w:rPr>
          <w:rFonts w:ascii="Arial" w:hAnsi="Arial" w:cs="Arial"/>
        </w:rPr>
      </w:pPr>
    </w:p>
    <w:p w14:paraId="4B158DEB"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Almech</w:t>
      </w:r>
      <w:proofErr w:type="spellEnd"/>
      <w:r w:rsidRPr="00DF6E30">
        <w:rPr>
          <w:rFonts w:ascii="Arial" w:eastAsia="MS Mincho" w:hAnsi="Arial" w:cs="Arial"/>
        </w:rPr>
        <w:t xml:space="preserve">, Majd, Abdulrahim Alissa, Ragad Baghdadi, </w:t>
      </w:r>
      <w:proofErr w:type="spellStart"/>
      <w:r w:rsidRPr="00DF6E30">
        <w:rPr>
          <w:rFonts w:ascii="Arial" w:eastAsia="MS Mincho" w:hAnsi="Arial" w:cs="Arial"/>
        </w:rPr>
        <w:t>Jakleen</w:t>
      </w:r>
      <w:proofErr w:type="spellEnd"/>
      <w:r w:rsidRPr="00DF6E30">
        <w:rPr>
          <w:rFonts w:ascii="Arial" w:eastAsia="MS Mincho" w:hAnsi="Arial" w:cs="Arial"/>
        </w:rPr>
        <w:t xml:space="preserve"> </w:t>
      </w:r>
      <w:proofErr w:type="spellStart"/>
      <w:r w:rsidRPr="00DF6E30">
        <w:rPr>
          <w:rFonts w:ascii="Arial" w:eastAsia="MS Mincho" w:hAnsi="Arial" w:cs="Arial"/>
        </w:rPr>
        <w:t>Abujamai</w:t>
      </w:r>
      <w:proofErr w:type="spellEnd"/>
      <w:r w:rsidRPr="00DF6E30">
        <w:rPr>
          <w:rFonts w:ascii="Arial" w:eastAsia="MS Mincho" w:hAnsi="Arial" w:cs="Arial"/>
        </w:rPr>
        <w:t xml:space="preserve">, Waleed Hafiz, Hassan </w:t>
      </w:r>
      <w:proofErr w:type="spellStart"/>
      <w:r w:rsidRPr="00DF6E30">
        <w:rPr>
          <w:rFonts w:ascii="Arial" w:eastAsia="MS Mincho" w:hAnsi="Arial" w:cs="Arial"/>
        </w:rPr>
        <w:t>Alwafi</w:t>
      </w:r>
      <w:proofErr w:type="spellEnd"/>
      <w:r w:rsidRPr="00DF6E30">
        <w:rPr>
          <w:rFonts w:ascii="Arial" w:eastAsia="MS Mincho" w:hAnsi="Arial" w:cs="Arial"/>
        </w:rPr>
        <w:t xml:space="preserve">, Mohammed </w:t>
      </w:r>
      <w:proofErr w:type="spellStart"/>
      <w:r w:rsidRPr="00DF6E30">
        <w:rPr>
          <w:rFonts w:ascii="Arial" w:eastAsia="MS Mincho" w:hAnsi="Arial" w:cs="Arial"/>
        </w:rPr>
        <w:t>Shaikhomer</w:t>
      </w:r>
      <w:proofErr w:type="spellEnd"/>
      <w:r w:rsidRPr="00DF6E30">
        <w:rPr>
          <w:rFonts w:ascii="Arial" w:eastAsia="MS Mincho" w:hAnsi="Arial" w:cs="Arial"/>
        </w:rPr>
        <w:t xml:space="preserve">, Asim </w:t>
      </w:r>
      <w:proofErr w:type="spellStart"/>
      <w:r w:rsidRPr="00DF6E30">
        <w:rPr>
          <w:rFonts w:ascii="Arial" w:eastAsia="MS Mincho" w:hAnsi="Arial" w:cs="Arial"/>
        </w:rPr>
        <w:t>Alshanberi</w:t>
      </w:r>
      <w:proofErr w:type="spellEnd"/>
      <w:r w:rsidRPr="00DF6E30">
        <w:rPr>
          <w:rFonts w:ascii="Arial" w:eastAsia="MS Mincho" w:hAnsi="Arial" w:cs="Arial"/>
        </w:rPr>
        <w:t xml:space="preserve">, Maram Alshareef, and Safaa </w:t>
      </w:r>
      <w:proofErr w:type="spellStart"/>
      <w:r w:rsidRPr="00DF6E30">
        <w:rPr>
          <w:rFonts w:ascii="Arial" w:eastAsia="MS Mincho" w:hAnsi="Arial" w:cs="Arial"/>
        </w:rPr>
        <w:t>Alsanosi</w:t>
      </w:r>
      <w:proofErr w:type="spellEnd"/>
      <w:r w:rsidRPr="00DF6E30">
        <w:rPr>
          <w:rFonts w:ascii="Arial" w:eastAsia="MS Mincho" w:hAnsi="Arial" w:cs="Arial"/>
        </w:rPr>
        <w:t xml:space="preserve">. 2024. “Medical Students’ Knowledge and Perceptions of Herbal Medicine in Saudi Arabia: Should Medical Schools Take Immediate Action?” </w:t>
      </w:r>
      <w:r w:rsidRPr="00DF6E30">
        <w:rPr>
          <w:rFonts w:ascii="Arial" w:eastAsia="MS Mincho" w:hAnsi="Arial" w:cs="Arial"/>
          <w:i/>
          <w:iCs/>
        </w:rPr>
        <w:t>Advances in Medical Education and Practice</w:t>
      </w:r>
      <w:r w:rsidRPr="00DF6E30">
        <w:rPr>
          <w:rFonts w:ascii="Arial" w:eastAsia="MS Mincho" w:hAnsi="Arial" w:cs="Arial"/>
        </w:rPr>
        <w:t xml:space="preserve"> Volume 15:1243–53. </w:t>
      </w:r>
      <w:proofErr w:type="spellStart"/>
      <w:r w:rsidRPr="00DF6E30">
        <w:rPr>
          <w:rFonts w:ascii="Arial" w:eastAsia="MS Mincho" w:hAnsi="Arial" w:cs="Arial"/>
        </w:rPr>
        <w:t>doi</w:t>
      </w:r>
      <w:proofErr w:type="spellEnd"/>
      <w:r w:rsidRPr="00DF6E30">
        <w:rPr>
          <w:rFonts w:ascii="Arial" w:eastAsia="MS Mincho" w:hAnsi="Arial" w:cs="Arial"/>
        </w:rPr>
        <w:t>: 10.2147/AMEP.S497642.</w:t>
      </w:r>
    </w:p>
    <w:p w14:paraId="14F23DED" w14:textId="77777777" w:rsidR="00DF6E30" w:rsidRPr="00DF6E30" w:rsidRDefault="00DF6E30" w:rsidP="00DF6E30">
      <w:pPr>
        <w:pStyle w:val="BodyText"/>
        <w:spacing w:after="0"/>
        <w:jc w:val="both"/>
        <w:rPr>
          <w:rFonts w:ascii="Arial" w:eastAsia="MS Mincho" w:hAnsi="Arial" w:cs="Arial"/>
        </w:rPr>
      </w:pPr>
    </w:p>
    <w:p w14:paraId="2C3E6080"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Ameade</w:t>
      </w:r>
      <w:proofErr w:type="spellEnd"/>
      <w:r w:rsidRPr="00DF6E30">
        <w:rPr>
          <w:rFonts w:ascii="Arial" w:eastAsia="MS Mincho" w:hAnsi="Arial" w:cs="Arial"/>
        </w:rPr>
        <w:t xml:space="preserve">, Evans Paul Kwame, Anthony </w:t>
      </w:r>
      <w:proofErr w:type="spellStart"/>
      <w:r w:rsidRPr="00DF6E30">
        <w:rPr>
          <w:rFonts w:ascii="Arial" w:eastAsia="MS Mincho" w:hAnsi="Arial" w:cs="Arial"/>
        </w:rPr>
        <w:t>Amalba</w:t>
      </w:r>
      <w:proofErr w:type="spellEnd"/>
      <w:r w:rsidRPr="00DF6E30">
        <w:rPr>
          <w:rFonts w:ascii="Arial" w:eastAsia="MS Mincho" w:hAnsi="Arial" w:cs="Arial"/>
        </w:rPr>
        <w:t xml:space="preserve">, Gideon Kofi </w:t>
      </w:r>
      <w:proofErr w:type="spellStart"/>
      <w:r w:rsidRPr="00DF6E30">
        <w:rPr>
          <w:rFonts w:ascii="Arial" w:eastAsia="MS Mincho" w:hAnsi="Arial" w:cs="Arial"/>
        </w:rPr>
        <w:t>Helegbe</w:t>
      </w:r>
      <w:proofErr w:type="spellEnd"/>
      <w:r w:rsidRPr="00DF6E30">
        <w:rPr>
          <w:rFonts w:ascii="Arial" w:eastAsia="MS Mincho" w:hAnsi="Arial" w:cs="Arial"/>
        </w:rPr>
        <w:t xml:space="preserve">, and Baba Sulemana Mohammed. 2016. “Medical Students’ Knowledge and Attitude towards Complementary and Alternative Medicine – A Survey in Ghana.” </w:t>
      </w:r>
      <w:r w:rsidRPr="00DF6E30">
        <w:rPr>
          <w:rFonts w:ascii="Arial" w:eastAsia="MS Mincho" w:hAnsi="Arial" w:cs="Arial"/>
          <w:i/>
          <w:iCs/>
        </w:rPr>
        <w:t>Journal of Traditional and Complementary Medicine</w:t>
      </w:r>
      <w:r w:rsidRPr="00DF6E30">
        <w:rPr>
          <w:rFonts w:ascii="Arial" w:eastAsia="MS Mincho" w:hAnsi="Arial" w:cs="Arial"/>
        </w:rPr>
        <w:t xml:space="preserve"> 6(3):230–36. </w:t>
      </w:r>
      <w:proofErr w:type="spellStart"/>
      <w:r w:rsidRPr="00DF6E30">
        <w:rPr>
          <w:rFonts w:ascii="Arial" w:eastAsia="MS Mincho" w:hAnsi="Arial" w:cs="Arial"/>
        </w:rPr>
        <w:t>doi</w:t>
      </w:r>
      <w:proofErr w:type="spellEnd"/>
      <w:r w:rsidRPr="00DF6E30">
        <w:rPr>
          <w:rFonts w:ascii="Arial" w:eastAsia="MS Mincho" w:hAnsi="Arial" w:cs="Arial"/>
        </w:rPr>
        <w:t>: 10.1016/j.jtcme.2015.03.004.</w:t>
      </w:r>
    </w:p>
    <w:p w14:paraId="7008D933" w14:textId="77777777" w:rsidR="00DF6E30" w:rsidRPr="00DF6E30" w:rsidRDefault="00DF6E30" w:rsidP="00DF6E30">
      <w:pPr>
        <w:pStyle w:val="BodyText"/>
        <w:spacing w:after="0"/>
        <w:jc w:val="both"/>
        <w:rPr>
          <w:rFonts w:ascii="Arial" w:eastAsia="MS Mincho" w:hAnsi="Arial" w:cs="Arial"/>
        </w:rPr>
      </w:pPr>
    </w:p>
    <w:p w14:paraId="1E817D6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Amida, Ademola, Sameera </w:t>
      </w:r>
      <w:proofErr w:type="spellStart"/>
      <w:r w:rsidRPr="00DF6E30">
        <w:rPr>
          <w:rFonts w:ascii="Arial" w:eastAsia="MS Mincho" w:hAnsi="Arial" w:cs="Arial"/>
        </w:rPr>
        <w:t>Algarni</w:t>
      </w:r>
      <w:proofErr w:type="spellEnd"/>
      <w:r w:rsidRPr="00DF6E30">
        <w:rPr>
          <w:rFonts w:ascii="Arial" w:eastAsia="MS Mincho" w:hAnsi="Arial" w:cs="Arial"/>
        </w:rPr>
        <w:t xml:space="preserve">, and Robert </w:t>
      </w:r>
      <w:proofErr w:type="spellStart"/>
      <w:r w:rsidRPr="00DF6E30">
        <w:rPr>
          <w:rFonts w:ascii="Arial" w:eastAsia="MS Mincho" w:hAnsi="Arial" w:cs="Arial"/>
        </w:rPr>
        <w:t>Stupnisky</w:t>
      </w:r>
      <w:proofErr w:type="spellEnd"/>
      <w:r w:rsidRPr="00DF6E30">
        <w:rPr>
          <w:rFonts w:ascii="Arial" w:eastAsia="MS Mincho" w:hAnsi="Arial" w:cs="Arial"/>
        </w:rPr>
        <w:t xml:space="preserve">. 2021. “Testing the Relationships of Motivation, Time Management and Career Aspirations on Graduate Students’ Academic Success.” </w:t>
      </w:r>
      <w:r w:rsidRPr="00DF6E30">
        <w:rPr>
          <w:rFonts w:ascii="Arial" w:eastAsia="MS Mincho" w:hAnsi="Arial" w:cs="Arial"/>
          <w:i/>
          <w:iCs/>
        </w:rPr>
        <w:t>Journal of Applied Research in Higher Education</w:t>
      </w:r>
      <w:r w:rsidRPr="00DF6E30">
        <w:rPr>
          <w:rFonts w:ascii="Arial" w:eastAsia="MS Mincho" w:hAnsi="Arial" w:cs="Arial"/>
        </w:rPr>
        <w:t xml:space="preserve"> 13(5):1305–22. </w:t>
      </w:r>
      <w:proofErr w:type="spellStart"/>
      <w:r w:rsidRPr="00DF6E30">
        <w:rPr>
          <w:rFonts w:ascii="Arial" w:eastAsia="MS Mincho" w:hAnsi="Arial" w:cs="Arial"/>
        </w:rPr>
        <w:t>doi</w:t>
      </w:r>
      <w:proofErr w:type="spellEnd"/>
      <w:r w:rsidRPr="00DF6E30">
        <w:rPr>
          <w:rFonts w:ascii="Arial" w:eastAsia="MS Mincho" w:hAnsi="Arial" w:cs="Arial"/>
        </w:rPr>
        <w:t>: 10.1108/JARHE-04-2020-0106.</w:t>
      </w:r>
    </w:p>
    <w:p w14:paraId="68B4A644" w14:textId="77777777" w:rsidR="00DF6E30" w:rsidRPr="00DF6E30" w:rsidRDefault="00DF6E30" w:rsidP="00DF6E30">
      <w:pPr>
        <w:pStyle w:val="BodyText"/>
        <w:spacing w:after="0"/>
        <w:jc w:val="both"/>
        <w:rPr>
          <w:rFonts w:ascii="Arial" w:eastAsia="MS Mincho" w:hAnsi="Arial" w:cs="Arial"/>
        </w:rPr>
      </w:pPr>
    </w:p>
    <w:p w14:paraId="755B7456"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An, Jie, Mark Minie, </w:t>
      </w:r>
      <w:proofErr w:type="spellStart"/>
      <w:r w:rsidRPr="00DF6E30">
        <w:rPr>
          <w:rFonts w:ascii="Arial" w:eastAsia="MS Mincho" w:hAnsi="Arial" w:cs="Arial"/>
        </w:rPr>
        <w:t>Tomikazu</w:t>
      </w:r>
      <w:proofErr w:type="spellEnd"/>
      <w:r w:rsidRPr="00DF6E30">
        <w:rPr>
          <w:rFonts w:ascii="Arial" w:eastAsia="MS Mincho" w:hAnsi="Arial" w:cs="Arial"/>
        </w:rPr>
        <w:t xml:space="preserve"> Sasaki, Joshua J. Woodward, and Keith B. </w:t>
      </w:r>
      <w:proofErr w:type="spellStart"/>
      <w:r w:rsidRPr="00DF6E30">
        <w:rPr>
          <w:rFonts w:ascii="Arial" w:eastAsia="MS Mincho" w:hAnsi="Arial" w:cs="Arial"/>
        </w:rPr>
        <w:t>Elkon</w:t>
      </w:r>
      <w:proofErr w:type="spellEnd"/>
      <w:r w:rsidRPr="00DF6E30">
        <w:rPr>
          <w:rFonts w:ascii="Arial" w:eastAsia="MS Mincho" w:hAnsi="Arial" w:cs="Arial"/>
        </w:rPr>
        <w:t xml:space="preserve">. 2017. “Antimalarial Drugs as Immune Modulators: New Mechanisms for Old Drugs.” </w:t>
      </w:r>
      <w:r w:rsidRPr="00DF6E30">
        <w:rPr>
          <w:rFonts w:ascii="Arial" w:eastAsia="MS Mincho" w:hAnsi="Arial" w:cs="Arial"/>
          <w:i/>
          <w:iCs/>
        </w:rPr>
        <w:t>Annual Review of Medicine</w:t>
      </w:r>
      <w:r w:rsidRPr="00DF6E30">
        <w:rPr>
          <w:rFonts w:ascii="Arial" w:eastAsia="MS Mincho" w:hAnsi="Arial" w:cs="Arial"/>
        </w:rPr>
        <w:t xml:space="preserve"> 68(1):317–30. </w:t>
      </w:r>
      <w:proofErr w:type="spellStart"/>
      <w:r w:rsidRPr="00DF6E30">
        <w:rPr>
          <w:rFonts w:ascii="Arial" w:eastAsia="MS Mincho" w:hAnsi="Arial" w:cs="Arial"/>
        </w:rPr>
        <w:t>doi</w:t>
      </w:r>
      <w:proofErr w:type="spellEnd"/>
      <w:r w:rsidRPr="00DF6E30">
        <w:rPr>
          <w:rFonts w:ascii="Arial" w:eastAsia="MS Mincho" w:hAnsi="Arial" w:cs="Arial"/>
        </w:rPr>
        <w:t>: 10.1146/annurev-med-043015-123453.</w:t>
      </w:r>
    </w:p>
    <w:p w14:paraId="508B0E30" w14:textId="77777777" w:rsidR="00DF6E30" w:rsidRPr="00DF6E30" w:rsidRDefault="00DF6E30" w:rsidP="00DF6E30">
      <w:pPr>
        <w:pStyle w:val="BodyText"/>
        <w:spacing w:after="0"/>
        <w:jc w:val="both"/>
        <w:rPr>
          <w:rFonts w:ascii="Arial" w:eastAsia="MS Mincho" w:hAnsi="Arial" w:cs="Arial"/>
        </w:rPr>
      </w:pPr>
    </w:p>
    <w:p w14:paraId="01AC268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Ani, Chidiebere Kingsley, </w:t>
      </w:r>
      <w:proofErr w:type="spellStart"/>
      <w:r w:rsidRPr="00DF6E30">
        <w:rPr>
          <w:rFonts w:ascii="Arial" w:eastAsia="MS Mincho" w:hAnsi="Arial" w:cs="Arial"/>
        </w:rPr>
        <w:t>Aniekeme</w:t>
      </w:r>
      <w:proofErr w:type="spellEnd"/>
      <w:r w:rsidRPr="00DF6E30">
        <w:rPr>
          <w:rFonts w:ascii="Arial" w:eastAsia="MS Mincho" w:hAnsi="Arial" w:cs="Arial"/>
        </w:rPr>
        <w:t xml:space="preserve"> Sunday Bassey, Osahon Joseph Osaghae, and Miriam Uzezi Eroh. 2024. “Medical Research Engagement among Resident Doctors in Nigeria: Assessing Knowledge, Attitudes, and Barriers in a Public and Private Tertiary Hospital in Nigeria.” </w:t>
      </w:r>
      <w:r w:rsidRPr="00DF6E30">
        <w:rPr>
          <w:rFonts w:ascii="Arial" w:eastAsia="MS Mincho" w:hAnsi="Arial" w:cs="Arial"/>
          <w:i/>
          <w:iCs/>
        </w:rPr>
        <w:t>BMC Medical Education</w:t>
      </w:r>
      <w:r w:rsidRPr="00DF6E30">
        <w:rPr>
          <w:rFonts w:ascii="Arial" w:eastAsia="MS Mincho" w:hAnsi="Arial" w:cs="Arial"/>
        </w:rPr>
        <w:t xml:space="preserve"> 24(1):1521. </w:t>
      </w:r>
      <w:proofErr w:type="spellStart"/>
      <w:r w:rsidRPr="00DF6E30">
        <w:rPr>
          <w:rFonts w:ascii="Arial" w:eastAsia="MS Mincho" w:hAnsi="Arial" w:cs="Arial"/>
        </w:rPr>
        <w:t>doi</w:t>
      </w:r>
      <w:proofErr w:type="spellEnd"/>
      <w:r w:rsidRPr="00DF6E30">
        <w:rPr>
          <w:rFonts w:ascii="Arial" w:eastAsia="MS Mincho" w:hAnsi="Arial" w:cs="Arial"/>
        </w:rPr>
        <w:t>: 10.1186/s12909-024-06548-y.</w:t>
      </w:r>
    </w:p>
    <w:p w14:paraId="444EA969" w14:textId="77777777" w:rsidR="00DF6E30" w:rsidRPr="00DF6E30" w:rsidRDefault="00DF6E30" w:rsidP="00DF6E30">
      <w:pPr>
        <w:pStyle w:val="BodyText"/>
        <w:spacing w:after="0"/>
        <w:jc w:val="both"/>
        <w:rPr>
          <w:rFonts w:ascii="Arial" w:eastAsia="MS Mincho" w:hAnsi="Arial" w:cs="Arial"/>
        </w:rPr>
      </w:pPr>
    </w:p>
    <w:p w14:paraId="18C60CF9"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Anibogwu</w:t>
      </w:r>
      <w:proofErr w:type="spellEnd"/>
      <w:r w:rsidRPr="00DF6E30">
        <w:rPr>
          <w:rFonts w:ascii="Arial" w:eastAsia="MS Mincho" w:hAnsi="Arial" w:cs="Arial"/>
        </w:rPr>
        <w:t xml:space="preserve">, Rosemary, Karl De Jesus, </w:t>
      </w:r>
      <w:proofErr w:type="spellStart"/>
      <w:r w:rsidRPr="00DF6E30">
        <w:rPr>
          <w:rFonts w:ascii="Arial" w:eastAsia="MS Mincho" w:hAnsi="Arial" w:cs="Arial"/>
        </w:rPr>
        <w:t>Samjhana</w:t>
      </w:r>
      <w:proofErr w:type="spellEnd"/>
      <w:r w:rsidRPr="00DF6E30">
        <w:rPr>
          <w:rFonts w:ascii="Arial" w:eastAsia="MS Mincho" w:hAnsi="Arial" w:cs="Arial"/>
        </w:rPr>
        <w:t xml:space="preserve"> Pradhan, Srinath </w:t>
      </w:r>
      <w:proofErr w:type="spellStart"/>
      <w:r w:rsidRPr="00DF6E30">
        <w:rPr>
          <w:rFonts w:ascii="Arial" w:eastAsia="MS Mincho" w:hAnsi="Arial" w:cs="Arial"/>
        </w:rPr>
        <w:t>Pashikanti</w:t>
      </w:r>
      <w:proofErr w:type="spellEnd"/>
      <w:r w:rsidRPr="00DF6E30">
        <w:rPr>
          <w:rFonts w:ascii="Arial" w:eastAsia="MS Mincho" w:hAnsi="Arial" w:cs="Arial"/>
        </w:rPr>
        <w:t xml:space="preserve">, Sameena Mateen, and Kavita Sharma. 2021. “Extraction, Isolation and Characterization of Bioactive Compounds from Artemisia and Their Biological Significance: A Review.” </w:t>
      </w:r>
      <w:r w:rsidRPr="00DF6E30">
        <w:rPr>
          <w:rFonts w:ascii="Arial" w:eastAsia="MS Mincho" w:hAnsi="Arial" w:cs="Arial"/>
          <w:i/>
          <w:iCs/>
        </w:rPr>
        <w:t>Molecules</w:t>
      </w:r>
      <w:r w:rsidRPr="00DF6E30">
        <w:rPr>
          <w:rFonts w:ascii="Arial" w:eastAsia="MS Mincho" w:hAnsi="Arial" w:cs="Arial"/>
        </w:rPr>
        <w:t xml:space="preserve"> 26(22):6995. </w:t>
      </w:r>
      <w:proofErr w:type="spellStart"/>
      <w:r w:rsidRPr="00DF6E30">
        <w:rPr>
          <w:rFonts w:ascii="Arial" w:eastAsia="MS Mincho" w:hAnsi="Arial" w:cs="Arial"/>
        </w:rPr>
        <w:t>doi</w:t>
      </w:r>
      <w:proofErr w:type="spellEnd"/>
      <w:r w:rsidRPr="00DF6E30">
        <w:rPr>
          <w:rFonts w:ascii="Arial" w:eastAsia="MS Mincho" w:hAnsi="Arial" w:cs="Arial"/>
        </w:rPr>
        <w:t>: 10.3390/molecules26226995.</w:t>
      </w:r>
    </w:p>
    <w:p w14:paraId="00EC5F30" w14:textId="77777777" w:rsidR="00DF6E30" w:rsidRPr="00DF6E30" w:rsidRDefault="00DF6E30" w:rsidP="00DF6E30">
      <w:pPr>
        <w:pStyle w:val="BodyText"/>
        <w:spacing w:after="0"/>
        <w:jc w:val="both"/>
        <w:rPr>
          <w:rFonts w:ascii="Arial" w:eastAsia="MS Mincho" w:hAnsi="Arial" w:cs="Arial"/>
        </w:rPr>
      </w:pPr>
    </w:p>
    <w:p w14:paraId="070C66CB"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Banks, Jim. 2022. “Is the End of Malaria in Sight?” </w:t>
      </w:r>
      <w:r w:rsidRPr="00DF6E30">
        <w:rPr>
          <w:rFonts w:ascii="Arial" w:eastAsia="MS Mincho" w:hAnsi="Arial" w:cs="Arial"/>
          <w:i/>
          <w:iCs/>
        </w:rPr>
        <w:t>IEEE Pulse</w:t>
      </w:r>
      <w:r w:rsidRPr="00DF6E30">
        <w:rPr>
          <w:rFonts w:ascii="Arial" w:eastAsia="MS Mincho" w:hAnsi="Arial" w:cs="Arial"/>
        </w:rPr>
        <w:t xml:space="preserve"> 13(1):22–24. </w:t>
      </w:r>
      <w:proofErr w:type="spellStart"/>
      <w:r w:rsidRPr="00DF6E30">
        <w:rPr>
          <w:rFonts w:ascii="Arial" w:eastAsia="MS Mincho" w:hAnsi="Arial" w:cs="Arial"/>
        </w:rPr>
        <w:t>doi</w:t>
      </w:r>
      <w:proofErr w:type="spellEnd"/>
      <w:r w:rsidRPr="00DF6E30">
        <w:rPr>
          <w:rFonts w:ascii="Arial" w:eastAsia="MS Mincho" w:hAnsi="Arial" w:cs="Arial"/>
        </w:rPr>
        <w:t>: 10.1109/MPULS.2022.3145625.</w:t>
      </w:r>
    </w:p>
    <w:p w14:paraId="01D02FA0" w14:textId="77777777" w:rsidR="00DF6E30" w:rsidRPr="00DF6E30" w:rsidRDefault="00DF6E30" w:rsidP="00DF6E30">
      <w:pPr>
        <w:pStyle w:val="BodyText"/>
        <w:spacing w:after="0"/>
        <w:jc w:val="both"/>
        <w:rPr>
          <w:rFonts w:ascii="Arial" w:eastAsia="MS Mincho" w:hAnsi="Arial" w:cs="Arial"/>
        </w:rPr>
      </w:pPr>
    </w:p>
    <w:p w14:paraId="2ABFBCBE"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Beargie</w:t>
      </w:r>
      <w:proofErr w:type="spellEnd"/>
      <w:r w:rsidRPr="00DF6E30">
        <w:rPr>
          <w:rFonts w:ascii="Arial" w:eastAsia="MS Mincho" w:hAnsi="Arial" w:cs="Arial"/>
        </w:rPr>
        <w:t xml:space="preserve">, Sarah M., Colleen R. Higgins, Daniel R. Evans, Sarah K. Laing, Daniel Erim, and Sachiko Ozawa. 2019. “The Economic Impact of Substandard and Falsified Antimalarial Medications in Nigeria.” </w:t>
      </w:r>
      <w:r w:rsidRPr="00DF6E30">
        <w:rPr>
          <w:rFonts w:ascii="Arial" w:eastAsia="MS Mincho" w:hAnsi="Arial" w:cs="Arial"/>
          <w:i/>
          <w:iCs/>
        </w:rPr>
        <w:t>PLOS ONE</w:t>
      </w:r>
      <w:r w:rsidRPr="00DF6E30">
        <w:rPr>
          <w:rFonts w:ascii="Arial" w:eastAsia="MS Mincho" w:hAnsi="Arial" w:cs="Arial"/>
        </w:rPr>
        <w:t xml:space="preserve"> 14(8</w:t>
      </w:r>
      <w:proofErr w:type="gramStart"/>
      <w:r w:rsidRPr="00DF6E30">
        <w:rPr>
          <w:rFonts w:ascii="Arial" w:eastAsia="MS Mincho" w:hAnsi="Arial" w:cs="Arial"/>
        </w:rPr>
        <w:t>):e</w:t>
      </w:r>
      <w:proofErr w:type="gramEnd"/>
      <w:r w:rsidRPr="00DF6E30">
        <w:rPr>
          <w:rFonts w:ascii="Arial" w:eastAsia="MS Mincho" w:hAnsi="Arial" w:cs="Arial"/>
        </w:rPr>
        <w:t xml:space="preserve">0217910. </w:t>
      </w:r>
      <w:proofErr w:type="spellStart"/>
      <w:r w:rsidRPr="00DF6E30">
        <w:rPr>
          <w:rFonts w:ascii="Arial" w:eastAsia="MS Mincho" w:hAnsi="Arial" w:cs="Arial"/>
        </w:rPr>
        <w:t>doi</w:t>
      </w:r>
      <w:proofErr w:type="spellEnd"/>
      <w:r w:rsidRPr="00DF6E30">
        <w:rPr>
          <w:rFonts w:ascii="Arial" w:eastAsia="MS Mincho" w:hAnsi="Arial" w:cs="Arial"/>
        </w:rPr>
        <w:t>: 10.1371/journal.pone.0217910.</w:t>
      </w:r>
    </w:p>
    <w:p w14:paraId="18B89C48" w14:textId="77777777" w:rsidR="00DF6E30" w:rsidRPr="00DF6E30" w:rsidRDefault="00DF6E30" w:rsidP="00DF6E30">
      <w:pPr>
        <w:pStyle w:val="BodyText"/>
        <w:spacing w:after="0"/>
        <w:jc w:val="both"/>
        <w:rPr>
          <w:rFonts w:ascii="Arial" w:eastAsia="MS Mincho" w:hAnsi="Arial" w:cs="Arial"/>
        </w:rPr>
      </w:pPr>
    </w:p>
    <w:p w14:paraId="7D50416B"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Ben-Arye, Eran, Moshe Frenkel, Anat Klein, and Moshe Scharf. 2008. “Attitudes toward Integration of Complementary and Alternative Medicine in Primary Care: Perspectives of Patients, Physicians and Complementary Practitioners.” </w:t>
      </w:r>
      <w:r w:rsidRPr="00DF6E30">
        <w:rPr>
          <w:rFonts w:ascii="Arial" w:eastAsia="MS Mincho" w:hAnsi="Arial" w:cs="Arial"/>
          <w:i/>
          <w:iCs/>
        </w:rPr>
        <w:t>Patient Education and Counseling</w:t>
      </w:r>
      <w:r w:rsidRPr="00DF6E30">
        <w:rPr>
          <w:rFonts w:ascii="Arial" w:eastAsia="MS Mincho" w:hAnsi="Arial" w:cs="Arial"/>
        </w:rPr>
        <w:t xml:space="preserve"> 70(3):395–402. </w:t>
      </w:r>
      <w:proofErr w:type="spellStart"/>
      <w:r w:rsidRPr="00DF6E30">
        <w:rPr>
          <w:rFonts w:ascii="Arial" w:eastAsia="MS Mincho" w:hAnsi="Arial" w:cs="Arial"/>
        </w:rPr>
        <w:t>doi</w:t>
      </w:r>
      <w:proofErr w:type="spellEnd"/>
      <w:r w:rsidRPr="00DF6E30">
        <w:rPr>
          <w:rFonts w:ascii="Arial" w:eastAsia="MS Mincho" w:hAnsi="Arial" w:cs="Arial"/>
        </w:rPr>
        <w:t>: 10.1016/j.pec.2007.11.019.</w:t>
      </w:r>
    </w:p>
    <w:p w14:paraId="0AEAA477" w14:textId="77777777" w:rsidR="00DF6E30" w:rsidRPr="00DF6E30" w:rsidRDefault="00DF6E30" w:rsidP="00DF6E30">
      <w:pPr>
        <w:pStyle w:val="BodyText"/>
        <w:spacing w:after="0"/>
        <w:jc w:val="both"/>
        <w:rPr>
          <w:rFonts w:ascii="Arial" w:eastAsia="MS Mincho" w:hAnsi="Arial" w:cs="Arial"/>
        </w:rPr>
      </w:pPr>
    </w:p>
    <w:p w14:paraId="66B42B64"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Chez, Ronald A., Wayne B. Jonas, and Cindy Crawford. 2001. “A Survey of Medical Students’ Opinions about Complementary and Alternative Medicine.” </w:t>
      </w:r>
      <w:r w:rsidRPr="00DF6E30">
        <w:rPr>
          <w:rFonts w:ascii="Arial" w:eastAsia="MS Mincho" w:hAnsi="Arial" w:cs="Arial"/>
          <w:i/>
          <w:iCs/>
        </w:rPr>
        <w:t>American Journal of Obstetrics and Gynecology</w:t>
      </w:r>
      <w:r w:rsidRPr="00DF6E30">
        <w:rPr>
          <w:rFonts w:ascii="Arial" w:eastAsia="MS Mincho" w:hAnsi="Arial" w:cs="Arial"/>
        </w:rPr>
        <w:t xml:space="preserve"> 185(3):754–57. </w:t>
      </w:r>
      <w:proofErr w:type="spellStart"/>
      <w:r w:rsidRPr="00DF6E30">
        <w:rPr>
          <w:rFonts w:ascii="Arial" w:eastAsia="MS Mincho" w:hAnsi="Arial" w:cs="Arial"/>
        </w:rPr>
        <w:t>doi</w:t>
      </w:r>
      <w:proofErr w:type="spellEnd"/>
      <w:r w:rsidRPr="00DF6E30">
        <w:rPr>
          <w:rFonts w:ascii="Arial" w:eastAsia="MS Mincho" w:hAnsi="Arial" w:cs="Arial"/>
        </w:rPr>
        <w:t>: 10.1067/mob.2001.117484.</w:t>
      </w:r>
    </w:p>
    <w:p w14:paraId="28F18414" w14:textId="77777777" w:rsidR="00DF6E30" w:rsidRPr="00DF6E30" w:rsidRDefault="00DF6E30" w:rsidP="00DF6E30">
      <w:pPr>
        <w:pStyle w:val="BodyText"/>
        <w:spacing w:after="0"/>
        <w:jc w:val="both"/>
        <w:rPr>
          <w:rFonts w:ascii="Arial" w:eastAsia="MS Mincho" w:hAnsi="Arial" w:cs="Arial"/>
        </w:rPr>
      </w:pPr>
    </w:p>
    <w:p w14:paraId="5464CA8E"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Clement, Yuri N., Arlene F. Williams, Kristi Khan, Tricia Bernard, </w:t>
      </w:r>
      <w:proofErr w:type="spellStart"/>
      <w:r w:rsidRPr="00DF6E30">
        <w:rPr>
          <w:rFonts w:ascii="Arial" w:eastAsia="MS Mincho" w:hAnsi="Arial" w:cs="Arial"/>
        </w:rPr>
        <w:t>Savrina</w:t>
      </w:r>
      <w:proofErr w:type="spellEnd"/>
      <w:r w:rsidRPr="00DF6E30">
        <w:rPr>
          <w:rFonts w:ascii="Arial" w:eastAsia="MS Mincho" w:hAnsi="Arial" w:cs="Arial"/>
        </w:rPr>
        <w:t xml:space="preserve"> Bhola, Maurice </w:t>
      </w:r>
      <w:proofErr w:type="spellStart"/>
      <w:r w:rsidRPr="00DF6E30">
        <w:rPr>
          <w:rFonts w:ascii="Arial" w:eastAsia="MS Mincho" w:hAnsi="Arial" w:cs="Arial"/>
        </w:rPr>
        <w:t>Fortuné</w:t>
      </w:r>
      <w:proofErr w:type="spellEnd"/>
      <w:r w:rsidRPr="00DF6E30">
        <w:rPr>
          <w:rFonts w:ascii="Arial" w:eastAsia="MS Mincho" w:hAnsi="Arial" w:cs="Arial"/>
        </w:rPr>
        <w:t xml:space="preserve">, Oneil </w:t>
      </w:r>
      <w:proofErr w:type="spellStart"/>
      <w:r w:rsidRPr="00DF6E30">
        <w:rPr>
          <w:rFonts w:ascii="Arial" w:eastAsia="MS Mincho" w:hAnsi="Arial" w:cs="Arial"/>
        </w:rPr>
        <w:t>Medupe</w:t>
      </w:r>
      <w:proofErr w:type="spellEnd"/>
      <w:r w:rsidRPr="00DF6E30">
        <w:rPr>
          <w:rFonts w:ascii="Arial" w:eastAsia="MS Mincho" w:hAnsi="Arial" w:cs="Arial"/>
        </w:rPr>
        <w:t xml:space="preserve">, Kerry Nagee, and Compton E. Seaforth. 2005. “A Gap between Acceptance and Knowledge of Herbal Remedies by Physicians: The Need for Educational Intervention.” </w:t>
      </w:r>
      <w:r w:rsidRPr="00DF6E30">
        <w:rPr>
          <w:rFonts w:ascii="Arial" w:eastAsia="MS Mincho" w:hAnsi="Arial" w:cs="Arial"/>
          <w:i/>
          <w:iCs/>
        </w:rPr>
        <w:t>BMC Complementary and Alternative Medicine</w:t>
      </w:r>
      <w:r w:rsidRPr="00DF6E30">
        <w:rPr>
          <w:rFonts w:ascii="Arial" w:eastAsia="MS Mincho" w:hAnsi="Arial" w:cs="Arial"/>
        </w:rPr>
        <w:t xml:space="preserve"> 5(1):20. </w:t>
      </w:r>
      <w:proofErr w:type="spellStart"/>
      <w:r w:rsidRPr="00DF6E30">
        <w:rPr>
          <w:rFonts w:ascii="Arial" w:eastAsia="MS Mincho" w:hAnsi="Arial" w:cs="Arial"/>
        </w:rPr>
        <w:t>doi</w:t>
      </w:r>
      <w:proofErr w:type="spellEnd"/>
      <w:r w:rsidRPr="00DF6E30">
        <w:rPr>
          <w:rFonts w:ascii="Arial" w:eastAsia="MS Mincho" w:hAnsi="Arial" w:cs="Arial"/>
        </w:rPr>
        <w:t>: 10.1186/1472-6882-5-20.</w:t>
      </w:r>
    </w:p>
    <w:p w14:paraId="39BB9AE1" w14:textId="77777777" w:rsidR="00DF6E30" w:rsidRPr="00DF6E30" w:rsidRDefault="00DF6E30" w:rsidP="00DF6E30">
      <w:pPr>
        <w:pStyle w:val="BodyText"/>
        <w:spacing w:after="0"/>
        <w:jc w:val="both"/>
        <w:rPr>
          <w:rFonts w:ascii="Arial" w:eastAsia="MS Mincho" w:hAnsi="Arial" w:cs="Arial"/>
        </w:rPr>
      </w:pPr>
    </w:p>
    <w:p w14:paraId="6D3175CA"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lastRenderedPageBreak/>
        <w:t xml:space="preserve">Deng, Gary, and Barrie </w:t>
      </w:r>
      <w:proofErr w:type="spellStart"/>
      <w:r w:rsidRPr="00DF6E30">
        <w:rPr>
          <w:rFonts w:ascii="Arial" w:eastAsia="MS Mincho" w:hAnsi="Arial" w:cs="Arial"/>
        </w:rPr>
        <w:t>Cassileth</w:t>
      </w:r>
      <w:proofErr w:type="spellEnd"/>
      <w:r w:rsidRPr="00DF6E30">
        <w:rPr>
          <w:rFonts w:ascii="Arial" w:eastAsia="MS Mincho" w:hAnsi="Arial" w:cs="Arial"/>
        </w:rPr>
        <w:t xml:space="preserve">. 2013. “Complementary or Alternative Medicine in Cancer Care—Myths and Realities.” </w:t>
      </w:r>
      <w:r w:rsidRPr="00DF6E30">
        <w:rPr>
          <w:rFonts w:ascii="Arial" w:eastAsia="MS Mincho" w:hAnsi="Arial" w:cs="Arial"/>
          <w:i/>
          <w:iCs/>
        </w:rPr>
        <w:t>Nature Reviews Clinical Oncology</w:t>
      </w:r>
      <w:r w:rsidRPr="00DF6E30">
        <w:rPr>
          <w:rFonts w:ascii="Arial" w:eastAsia="MS Mincho" w:hAnsi="Arial" w:cs="Arial"/>
        </w:rPr>
        <w:t xml:space="preserve"> 10(11):656–64. </w:t>
      </w:r>
      <w:proofErr w:type="spellStart"/>
      <w:r w:rsidRPr="00DF6E30">
        <w:rPr>
          <w:rFonts w:ascii="Arial" w:eastAsia="MS Mincho" w:hAnsi="Arial" w:cs="Arial"/>
        </w:rPr>
        <w:t>doi</w:t>
      </w:r>
      <w:proofErr w:type="spellEnd"/>
      <w:r w:rsidRPr="00DF6E30">
        <w:rPr>
          <w:rFonts w:ascii="Arial" w:eastAsia="MS Mincho" w:hAnsi="Arial" w:cs="Arial"/>
        </w:rPr>
        <w:t>: 10.1038/nrclinonc.2013.125.</w:t>
      </w:r>
    </w:p>
    <w:p w14:paraId="1D80AE3C" w14:textId="77777777" w:rsidR="00DF6E30" w:rsidRPr="00DF6E30" w:rsidRDefault="00DF6E30" w:rsidP="00DF6E30">
      <w:pPr>
        <w:pStyle w:val="BodyText"/>
        <w:spacing w:after="0"/>
        <w:jc w:val="both"/>
        <w:rPr>
          <w:rFonts w:ascii="Arial" w:eastAsia="MS Mincho" w:hAnsi="Arial" w:cs="Arial"/>
        </w:rPr>
      </w:pPr>
    </w:p>
    <w:p w14:paraId="6CA90458"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Fernández-Álvaro, Elena, W. David Hong, Gemma L. Nixon, Paul M. O’Neill, and Félix Calderón. 2016. “Antimalarial Chemotherapy: Natural Product Inspired Development of Preclinical and Clinical Candidates with Diverse Mechanisms of Action.” </w:t>
      </w:r>
      <w:r w:rsidRPr="00DF6E30">
        <w:rPr>
          <w:rFonts w:ascii="Arial" w:eastAsia="MS Mincho" w:hAnsi="Arial" w:cs="Arial"/>
          <w:i/>
          <w:iCs/>
        </w:rPr>
        <w:t>Journal of Medicinal Chemistry</w:t>
      </w:r>
      <w:r w:rsidRPr="00DF6E30">
        <w:rPr>
          <w:rFonts w:ascii="Arial" w:eastAsia="MS Mincho" w:hAnsi="Arial" w:cs="Arial"/>
        </w:rPr>
        <w:t xml:space="preserve"> 59(12):5587–5603. </w:t>
      </w:r>
      <w:proofErr w:type="spellStart"/>
      <w:r w:rsidRPr="00DF6E30">
        <w:rPr>
          <w:rFonts w:ascii="Arial" w:eastAsia="MS Mincho" w:hAnsi="Arial" w:cs="Arial"/>
        </w:rPr>
        <w:t>doi</w:t>
      </w:r>
      <w:proofErr w:type="spellEnd"/>
      <w:r w:rsidRPr="00DF6E30">
        <w:rPr>
          <w:rFonts w:ascii="Arial" w:eastAsia="MS Mincho" w:hAnsi="Arial" w:cs="Arial"/>
        </w:rPr>
        <w:t>: 10.1021/acs.jmedchem.5b01485.</w:t>
      </w:r>
    </w:p>
    <w:p w14:paraId="2B1887ED" w14:textId="77777777" w:rsidR="00DF6E30" w:rsidRPr="00DF6E30" w:rsidRDefault="00DF6E30" w:rsidP="00DF6E30">
      <w:pPr>
        <w:pStyle w:val="BodyText"/>
        <w:spacing w:after="0"/>
        <w:jc w:val="both"/>
        <w:rPr>
          <w:rFonts w:ascii="Arial" w:eastAsia="MS Mincho" w:hAnsi="Arial" w:cs="Arial"/>
        </w:rPr>
      </w:pPr>
    </w:p>
    <w:p w14:paraId="67234E8F"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Gao, Liping, Qi Shi, </w:t>
      </w:r>
      <w:proofErr w:type="spellStart"/>
      <w:r w:rsidRPr="00DF6E30">
        <w:rPr>
          <w:rFonts w:ascii="Arial" w:eastAsia="MS Mincho" w:hAnsi="Arial" w:cs="Arial"/>
        </w:rPr>
        <w:t>Zhiguo</w:t>
      </w:r>
      <w:proofErr w:type="spellEnd"/>
      <w:r w:rsidRPr="00DF6E30">
        <w:rPr>
          <w:rFonts w:ascii="Arial" w:eastAsia="MS Mincho" w:hAnsi="Arial" w:cs="Arial"/>
        </w:rPr>
        <w:t xml:space="preserve"> Liu, </w:t>
      </w:r>
      <w:proofErr w:type="spellStart"/>
      <w:r w:rsidRPr="00DF6E30">
        <w:rPr>
          <w:rFonts w:ascii="Arial" w:eastAsia="MS Mincho" w:hAnsi="Arial" w:cs="Arial"/>
        </w:rPr>
        <w:t>Zhenjun</w:t>
      </w:r>
      <w:proofErr w:type="spellEnd"/>
      <w:r w:rsidRPr="00DF6E30">
        <w:rPr>
          <w:rFonts w:ascii="Arial" w:eastAsia="MS Mincho" w:hAnsi="Arial" w:cs="Arial"/>
        </w:rPr>
        <w:t xml:space="preserve"> Li, and Xiaoping Dong. 2023. “Impact of the COVID-19 Pandemic on Malaria Control in Africa: A Preliminary Analysis.” </w:t>
      </w:r>
      <w:r w:rsidRPr="00DF6E30">
        <w:rPr>
          <w:rFonts w:ascii="Arial" w:eastAsia="MS Mincho" w:hAnsi="Arial" w:cs="Arial"/>
          <w:i/>
          <w:iCs/>
        </w:rPr>
        <w:t>Tropical Medicine and Infectious Disease</w:t>
      </w:r>
      <w:r w:rsidRPr="00DF6E30">
        <w:rPr>
          <w:rFonts w:ascii="Arial" w:eastAsia="MS Mincho" w:hAnsi="Arial" w:cs="Arial"/>
        </w:rPr>
        <w:t xml:space="preserve"> 8(1):67. </w:t>
      </w:r>
      <w:proofErr w:type="spellStart"/>
      <w:r w:rsidRPr="00DF6E30">
        <w:rPr>
          <w:rFonts w:ascii="Arial" w:eastAsia="MS Mincho" w:hAnsi="Arial" w:cs="Arial"/>
        </w:rPr>
        <w:t>doi</w:t>
      </w:r>
      <w:proofErr w:type="spellEnd"/>
      <w:r w:rsidRPr="00DF6E30">
        <w:rPr>
          <w:rFonts w:ascii="Arial" w:eastAsia="MS Mincho" w:hAnsi="Arial" w:cs="Arial"/>
        </w:rPr>
        <w:t>: 10.3390/tropicalmed8010067.</w:t>
      </w:r>
    </w:p>
    <w:p w14:paraId="5089BE62" w14:textId="77777777" w:rsidR="00DF6E30" w:rsidRPr="00DF6E30" w:rsidRDefault="00DF6E30" w:rsidP="00DF6E30">
      <w:pPr>
        <w:pStyle w:val="BodyText"/>
        <w:spacing w:after="0"/>
        <w:jc w:val="both"/>
        <w:rPr>
          <w:rFonts w:ascii="Arial" w:eastAsia="MS Mincho" w:hAnsi="Arial" w:cs="Arial"/>
        </w:rPr>
      </w:pPr>
    </w:p>
    <w:p w14:paraId="4F5987CC"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Garrido-Cardenas, Jose A., Lilia González-</w:t>
      </w:r>
      <w:proofErr w:type="spellStart"/>
      <w:r w:rsidRPr="00DF6E30">
        <w:rPr>
          <w:rFonts w:ascii="Arial" w:eastAsia="MS Mincho" w:hAnsi="Arial" w:cs="Arial"/>
        </w:rPr>
        <w:t>Cerón</w:t>
      </w:r>
      <w:proofErr w:type="spellEnd"/>
      <w:r w:rsidRPr="00DF6E30">
        <w:rPr>
          <w:rFonts w:ascii="Arial" w:eastAsia="MS Mincho" w:hAnsi="Arial" w:cs="Arial"/>
        </w:rPr>
        <w:t xml:space="preserve">, Federico García-Maroto, José Cebrián-Carmona, Francisco Manzano-Agugliaro, and Concepción M. Mesa-Valle. 2023. “Analysis of Fifty Years of Severe Malaria Worldwide Research.” </w:t>
      </w:r>
      <w:r w:rsidRPr="00DF6E30">
        <w:rPr>
          <w:rFonts w:ascii="Arial" w:eastAsia="MS Mincho" w:hAnsi="Arial" w:cs="Arial"/>
          <w:i/>
          <w:iCs/>
        </w:rPr>
        <w:t>Pathogens</w:t>
      </w:r>
      <w:r w:rsidRPr="00DF6E30">
        <w:rPr>
          <w:rFonts w:ascii="Arial" w:eastAsia="MS Mincho" w:hAnsi="Arial" w:cs="Arial"/>
        </w:rPr>
        <w:t xml:space="preserve"> 12(3):373. </w:t>
      </w:r>
      <w:proofErr w:type="spellStart"/>
      <w:r w:rsidRPr="00DF6E30">
        <w:rPr>
          <w:rFonts w:ascii="Arial" w:eastAsia="MS Mincho" w:hAnsi="Arial" w:cs="Arial"/>
        </w:rPr>
        <w:t>doi</w:t>
      </w:r>
      <w:proofErr w:type="spellEnd"/>
      <w:r w:rsidRPr="00DF6E30">
        <w:rPr>
          <w:rFonts w:ascii="Arial" w:eastAsia="MS Mincho" w:hAnsi="Arial" w:cs="Arial"/>
        </w:rPr>
        <w:t>: 10.3390/pathogens12030373.</w:t>
      </w:r>
    </w:p>
    <w:p w14:paraId="38BB80EA" w14:textId="77777777" w:rsidR="00DF6E30" w:rsidRPr="00DF6E30" w:rsidRDefault="00DF6E30" w:rsidP="00DF6E30">
      <w:pPr>
        <w:pStyle w:val="BodyText"/>
        <w:spacing w:after="0"/>
        <w:jc w:val="both"/>
        <w:rPr>
          <w:rFonts w:ascii="Arial" w:eastAsia="MS Mincho" w:hAnsi="Arial" w:cs="Arial"/>
        </w:rPr>
      </w:pPr>
    </w:p>
    <w:p w14:paraId="0C4D68C1"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Habibi, Peyman, Yao Shi, Maria Fatima Grossi-de-Sa, and Imran Khan. 2022. “Plants as Sources of Natural and Recombinant Antimalaria Agents.” </w:t>
      </w:r>
      <w:r w:rsidRPr="00DF6E30">
        <w:rPr>
          <w:rFonts w:ascii="Arial" w:eastAsia="MS Mincho" w:hAnsi="Arial" w:cs="Arial"/>
          <w:i/>
          <w:iCs/>
        </w:rPr>
        <w:t>Molecular Biotechnology</w:t>
      </w:r>
      <w:r w:rsidRPr="00DF6E30">
        <w:rPr>
          <w:rFonts w:ascii="Arial" w:eastAsia="MS Mincho" w:hAnsi="Arial" w:cs="Arial"/>
        </w:rPr>
        <w:t xml:space="preserve"> 64(11):1177–97. </w:t>
      </w:r>
      <w:proofErr w:type="spellStart"/>
      <w:r w:rsidRPr="00DF6E30">
        <w:rPr>
          <w:rFonts w:ascii="Arial" w:eastAsia="MS Mincho" w:hAnsi="Arial" w:cs="Arial"/>
        </w:rPr>
        <w:t>doi</w:t>
      </w:r>
      <w:proofErr w:type="spellEnd"/>
      <w:r w:rsidRPr="00DF6E30">
        <w:rPr>
          <w:rFonts w:ascii="Arial" w:eastAsia="MS Mincho" w:hAnsi="Arial" w:cs="Arial"/>
        </w:rPr>
        <w:t>: 10.1007/s12033-022-00499-9.</w:t>
      </w:r>
    </w:p>
    <w:p w14:paraId="10B85C21" w14:textId="77777777" w:rsidR="00DF6E30" w:rsidRPr="00DF6E30" w:rsidRDefault="00DF6E30" w:rsidP="00DF6E30">
      <w:pPr>
        <w:pStyle w:val="BodyText"/>
        <w:spacing w:after="0"/>
        <w:jc w:val="both"/>
        <w:rPr>
          <w:rFonts w:ascii="Arial" w:eastAsia="MS Mincho" w:hAnsi="Arial" w:cs="Arial"/>
        </w:rPr>
      </w:pPr>
    </w:p>
    <w:p w14:paraId="0BB31151"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Igbokwe, Martin, Oladimeji Adebayo, Oluwaseyi </w:t>
      </w:r>
      <w:proofErr w:type="spellStart"/>
      <w:r w:rsidRPr="00DF6E30">
        <w:rPr>
          <w:rFonts w:ascii="Arial" w:eastAsia="MS Mincho" w:hAnsi="Arial" w:cs="Arial"/>
        </w:rPr>
        <w:t>Ogunsuji</w:t>
      </w:r>
      <w:proofErr w:type="spellEnd"/>
      <w:r w:rsidRPr="00DF6E30">
        <w:rPr>
          <w:rFonts w:ascii="Arial" w:eastAsia="MS Mincho" w:hAnsi="Arial" w:cs="Arial"/>
        </w:rPr>
        <w:t xml:space="preserve">, Gbenga Popoola, Rereloluwa Babalola, </w:t>
      </w:r>
      <w:proofErr w:type="spellStart"/>
      <w:r w:rsidRPr="00DF6E30">
        <w:rPr>
          <w:rFonts w:ascii="Arial" w:eastAsia="MS Mincho" w:hAnsi="Arial" w:cs="Arial"/>
        </w:rPr>
        <w:t>Sebastine</w:t>
      </w:r>
      <w:proofErr w:type="spellEnd"/>
      <w:r w:rsidRPr="00DF6E30">
        <w:rPr>
          <w:rFonts w:ascii="Arial" w:eastAsia="MS Mincho" w:hAnsi="Arial" w:cs="Arial"/>
        </w:rPr>
        <w:t xml:space="preserve"> </w:t>
      </w:r>
      <w:proofErr w:type="spellStart"/>
      <w:r w:rsidRPr="00DF6E30">
        <w:rPr>
          <w:rFonts w:ascii="Arial" w:eastAsia="MS Mincho" w:hAnsi="Arial" w:cs="Arial"/>
        </w:rPr>
        <w:t>Oseghae</w:t>
      </w:r>
      <w:proofErr w:type="spellEnd"/>
      <w:r w:rsidRPr="00DF6E30">
        <w:rPr>
          <w:rFonts w:ascii="Arial" w:eastAsia="MS Mincho" w:hAnsi="Arial" w:cs="Arial"/>
        </w:rPr>
        <w:t xml:space="preserve"> </w:t>
      </w:r>
      <w:proofErr w:type="spellStart"/>
      <w:r w:rsidRPr="00DF6E30">
        <w:rPr>
          <w:rFonts w:ascii="Arial" w:eastAsia="MS Mincho" w:hAnsi="Arial" w:cs="Arial"/>
        </w:rPr>
        <w:t>Oiwoh</w:t>
      </w:r>
      <w:proofErr w:type="spellEnd"/>
      <w:r w:rsidRPr="00DF6E30">
        <w:rPr>
          <w:rFonts w:ascii="Arial" w:eastAsia="MS Mincho" w:hAnsi="Arial" w:cs="Arial"/>
        </w:rPr>
        <w:t xml:space="preserve">, Anuoluwapo Mojisola Makinde, Adebayo Makinde Adeniyi, Kehinde </w:t>
      </w:r>
      <w:proofErr w:type="spellStart"/>
      <w:r w:rsidRPr="00DF6E30">
        <w:rPr>
          <w:rFonts w:ascii="Arial" w:eastAsia="MS Mincho" w:hAnsi="Arial" w:cs="Arial"/>
        </w:rPr>
        <w:t>Kanmodi</w:t>
      </w:r>
      <w:proofErr w:type="spellEnd"/>
      <w:r w:rsidRPr="00DF6E30">
        <w:rPr>
          <w:rFonts w:ascii="Arial" w:eastAsia="MS Mincho" w:hAnsi="Arial" w:cs="Arial"/>
        </w:rPr>
        <w:t xml:space="preserve">, </w:t>
      </w:r>
      <w:proofErr w:type="spellStart"/>
      <w:r w:rsidRPr="00DF6E30">
        <w:rPr>
          <w:rFonts w:ascii="Arial" w:eastAsia="MS Mincho" w:hAnsi="Arial" w:cs="Arial"/>
        </w:rPr>
        <w:t>Wasinda</w:t>
      </w:r>
      <w:proofErr w:type="spellEnd"/>
      <w:r w:rsidRPr="00DF6E30">
        <w:rPr>
          <w:rFonts w:ascii="Arial" w:eastAsia="MS Mincho" w:hAnsi="Arial" w:cs="Arial"/>
        </w:rPr>
        <w:t xml:space="preserve"> Francis Umar, </w:t>
      </w:r>
      <w:proofErr w:type="spellStart"/>
      <w:r w:rsidRPr="00DF6E30">
        <w:rPr>
          <w:rFonts w:ascii="Arial" w:eastAsia="MS Mincho" w:hAnsi="Arial" w:cs="Arial"/>
        </w:rPr>
        <w:t>Ayanfe</w:t>
      </w:r>
      <w:proofErr w:type="spellEnd"/>
      <w:r w:rsidRPr="00DF6E30">
        <w:rPr>
          <w:rFonts w:ascii="Arial" w:eastAsia="MS Mincho" w:hAnsi="Arial" w:cs="Arial"/>
        </w:rPr>
        <w:t xml:space="preserve"> </w:t>
      </w:r>
      <w:proofErr w:type="spellStart"/>
      <w:r w:rsidRPr="00DF6E30">
        <w:rPr>
          <w:rFonts w:ascii="Arial" w:eastAsia="MS Mincho" w:hAnsi="Arial" w:cs="Arial"/>
        </w:rPr>
        <w:t>Omololu</w:t>
      </w:r>
      <w:proofErr w:type="spellEnd"/>
      <w:r w:rsidRPr="00DF6E30">
        <w:rPr>
          <w:rFonts w:ascii="Arial" w:eastAsia="MS Mincho" w:hAnsi="Arial" w:cs="Arial"/>
        </w:rPr>
        <w:t xml:space="preserve">, </w:t>
      </w:r>
      <w:proofErr w:type="spellStart"/>
      <w:r w:rsidRPr="00DF6E30">
        <w:rPr>
          <w:rFonts w:ascii="Arial" w:eastAsia="MS Mincho" w:hAnsi="Arial" w:cs="Arial"/>
        </w:rPr>
        <w:t>Ibiyemi</w:t>
      </w:r>
      <w:proofErr w:type="spellEnd"/>
      <w:r w:rsidRPr="00DF6E30">
        <w:rPr>
          <w:rFonts w:ascii="Arial" w:eastAsia="MS Mincho" w:hAnsi="Arial" w:cs="Arial"/>
        </w:rPr>
        <w:t xml:space="preserve"> </w:t>
      </w:r>
      <w:proofErr w:type="spellStart"/>
      <w:r w:rsidRPr="00DF6E30">
        <w:rPr>
          <w:rFonts w:ascii="Arial" w:eastAsia="MS Mincho" w:hAnsi="Arial" w:cs="Arial"/>
        </w:rPr>
        <w:t>Oduyemi</w:t>
      </w:r>
      <w:proofErr w:type="spellEnd"/>
      <w:r w:rsidRPr="00DF6E30">
        <w:rPr>
          <w:rFonts w:ascii="Arial" w:eastAsia="MS Mincho" w:hAnsi="Arial" w:cs="Arial"/>
        </w:rPr>
        <w:t xml:space="preserve">, Abdulmajid Ibrahim Yahya, and Aliyu </w:t>
      </w:r>
      <w:proofErr w:type="spellStart"/>
      <w:r w:rsidRPr="00DF6E30">
        <w:rPr>
          <w:rFonts w:ascii="Arial" w:eastAsia="MS Mincho" w:hAnsi="Arial" w:cs="Arial"/>
        </w:rPr>
        <w:t>Sokomba</w:t>
      </w:r>
      <w:proofErr w:type="spellEnd"/>
      <w:r w:rsidRPr="00DF6E30">
        <w:rPr>
          <w:rFonts w:ascii="Arial" w:eastAsia="MS Mincho" w:hAnsi="Arial" w:cs="Arial"/>
        </w:rPr>
        <w:t xml:space="preserve">. 2022. “An Exploration of Profile, Perceptions, Barriers, and Predictors of Research Engagement among Resident Doctors.” </w:t>
      </w:r>
      <w:r w:rsidRPr="00DF6E30">
        <w:rPr>
          <w:rFonts w:ascii="Arial" w:eastAsia="MS Mincho" w:hAnsi="Arial" w:cs="Arial"/>
          <w:i/>
          <w:iCs/>
        </w:rPr>
        <w:t>Perspectives in Clinical Research</w:t>
      </w:r>
      <w:r w:rsidRPr="00DF6E30">
        <w:rPr>
          <w:rFonts w:ascii="Arial" w:eastAsia="MS Mincho" w:hAnsi="Arial" w:cs="Arial"/>
        </w:rPr>
        <w:t xml:space="preserve"> 13(2):106–13. </w:t>
      </w:r>
      <w:proofErr w:type="spellStart"/>
      <w:r w:rsidRPr="00DF6E30">
        <w:rPr>
          <w:rFonts w:ascii="Arial" w:eastAsia="MS Mincho" w:hAnsi="Arial" w:cs="Arial"/>
        </w:rPr>
        <w:t>doi</w:t>
      </w:r>
      <w:proofErr w:type="spellEnd"/>
      <w:r w:rsidRPr="00DF6E30">
        <w:rPr>
          <w:rFonts w:ascii="Arial" w:eastAsia="MS Mincho" w:hAnsi="Arial" w:cs="Arial"/>
        </w:rPr>
        <w:t>: 10.4103/picr.PICR_152_20.</w:t>
      </w:r>
    </w:p>
    <w:p w14:paraId="6FAC1429" w14:textId="77777777" w:rsidR="00DF6E30" w:rsidRPr="00DF6E30" w:rsidRDefault="00DF6E30" w:rsidP="00DF6E30">
      <w:pPr>
        <w:pStyle w:val="BodyText"/>
        <w:spacing w:after="0"/>
        <w:jc w:val="both"/>
        <w:rPr>
          <w:rFonts w:ascii="Arial" w:eastAsia="MS Mincho" w:hAnsi="Arial" w:cs="Arial"/>
        </w:rPr>
      </w:pPr>
    </w:p>
    <w:p w14:paraId="378E4A8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Jonassen, J. A., M. P. </w:t>
      </w:r>
      <w:proofErr w:type="spellStart"/>
      <w:r w:rsidRPr="00DF6E30">
        <w:rPr>
          <w:rFonts w:ascii="Arial" w:eastAsia="MS Mincho" w:hAnsi="Arial" w:cs="Arial"/>
        </w:rPr>
        <w:t>Pugnaire</w:t>
      </w:r>
      <w:proofErr w:type="spellEnd"/>
      <w:r w:rsidRPr="00DF6E30">
        <w:rPr>
          <w:rFonts w:ascii="Arial" w:eastAsia="MS Mincho" w:hAnsi="Arial" w:cs="Arial"/>
        </w:rPr>
        <w:t xml:space="preserve">, K. Mazor, M. B. Regan, E. W. Jacobson, W. Gammon, D. G. Doepel, and A. J. Cohen. 1999. “The Effect of a Domestic Violence </w:t>
      </w:r>
      <w:proofErr w:type="spellStart"/>
      <w:r w:rsidRPr="00DF6E30">
        <w:rPr>
          <w:rFonts w:ascii="Arial" w:eastAsia="MS Mincho" w:hAnsi="Arial" w:cs="Arial"/>
        </w:rPr>
        <w:t>Interclerkship</w:t>
      </w:r>
      <w:proofErr w:type="spellEnd"/>
      <w:r w:rsidRPr="00DF6E30">
        <w:rPr>
          <w:rFonts w:ascii="Arial" w:eastAsia="MS Mincho" w:hAnsi="Arial" w:cs="Arial"/>
        </w:rPr>
        <w:t xml:space="preserve"> on the Knowledge, Attitudes, and Skills of Third-Year Medical Students.” </w:t>
      </w:r>
      <w:r w:rsidRPr="00DF6E30">
        <w:rPr>
          <w:rFonts w:ascii="Arial" w:eastAsia="MS Mincho" w:hAnsi="Arial" w:cs="Arial"/>
          <w:i/>
          <w:iCs/>
        </w:rPr>
        <w:t>Academic Medicine</w:t>
      </w:r>
      <w:r w:rsidRPr="00DF6E30">
        <w:rPr>
          <w:rFonts w:ascii="Arial" w:eastAsia="MS Mincho" w:hAnsi="Arial" w:cs="Arial"/>
        </w:rPr>
        <w:t xml:space="preserve"> 74(7):821–28. </w:t>
      </w:r>
      <w:proofErr w:type="spellStart"/>
      <w:r w:rsidRPr="00DF6E30">
        <w:rPr>
          <w:rFonts w:ascii="Arial" w:eastAsia="MS Mincho" w:hAnsi="Arial" w:cs="Arial"/>
        </w:rPr>
        <w:t>doi</w:t>
      </w:r>
      <w:proofErr w:type="spellEnd"/>
      <w:r w:rsidRPr="00DF6E30">
        <w:rPr>
          <w:rFonts w:ascii="Arial" w:eastAsia="MS Mincho" w:hAnsi="Arial" w:cs="Arial"/>
        </w:rPr>
        <w:t>: 10.1097/00001888-199907000-00017.</w:t>
      </w:r>
    </w:p>
    <w:p w14:paraId="68CDEA97" w14:textId="77777777" w:rsidR="00DF6E30" w:rsidRPr="00DF6E30" w:rsidRDefault="00DF6E30" w:rsidP="00DF6E30">
      <w:pPr>
        <w:pStyle w:val="BodyText"/>
        <w:spacing w:after="0"/>
        <w:jc w:val="both"/>
        <w:rPr>
          <w:rFonts w:ascii="Arial" w:eastAsia="MS Mincho" w:hAnsi="Arial" w:cs="Arial"/>
        </w:rPr>
      </w:pPr>
    </w:p>
    <w:p w14:paraId="3EADA2FC"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Lie, Désirée A., and John Boker. 2006. “Comparative Survey of Complementary and Alternative Medicine (CAM) Attitudes, Use, and Information-Seeking </w:t>
      </w:r>
      <w:proofErr w:type="spellStart"/>
      <w:r w:rsidRPr="00DF6E30">
        <w:rPr>
          <w:rFonts w:ascii="Arial" w:eastAsia="MS Mincho" w:hAnsi="Arial" w:cs="Arial"/>
        </w:rPr>
        <w:t>Behaviour</w:t>
      </w:r>
      <w:proofErr w:type="spellEnd"/>
      <w:r w:rsidRPr="00DF6E30">
        <w:rPr>
          <w:rFonts w:ascii="Arial" w:eastAsia="MS Mincho" w:hAnsi="Arial" w:cs="Arial"/>
        </w:rPr>
        <w:t xml:space="preserve"> among Medical Students, Residents &amp;amp; Faculty.” </w:t>
      </w:r>
      <w:r w:rsidRPr="00DF6E30">
        <w:rPr>
          <w:rFonts w:ascii="Arial" w:eastAsia="MS Mincho" w:hAnsi="Arial" w:cs="Arial"/>
          <w:i/>
          <w:iCs/>
        </w:rPr>
        <w:t>BMC Medical Education</w:t>
      </w:r>
      <w:r w:rsidRPr="00DF6E30">
        <w:rPr>
          <w:rFonts w:ascii="Arial" w:eastAsia="MS Mincho" w:hAnsi="Arial" w:cs="Arial"/>
        </w:rPr>
        <w:t xml:space="preserve"> 6(1):58. </w:t>
      </w:r>
      <w:proofErr w:type="spellStart"/>
      <w:r w:rsidRPr="00DF6E30">
        <w:rPr>
          <w:rFonts w:ascii="Arial" w:eastAsia="MS Mincho" w:hAnsi="Arial" w:cs="Arial"/>
        </w:rPr>
        <w:t>doi</w:t>
      </w:r>
      <w:proofErr w:type="spellEnd"/>
      <w:r w:rsidRPr="00DF6E30">
        <w:rPr>
          <w:rFonts w:ascii="Arial" w:eastAsia="MS Mincho" w:hAnsi="Arial" w:cs="Arial"/>
        </w:rPr>
        <w:t>: 10.1186/1472-6920-6-58.</w:t>
      </w:r>
    </w:p>
    <w:p w14:paraId="26526841" w14:textId="77777777" w:rsidR="00DF6E30" w:rsidRPr="00DF6E30" w:rsidRDefault="00DF6E30" w:rsidP="00DF6E30">
      <w:pPr>
        <w:pStyle w:val="BodyText"/>
        <w:spacing w:after="0"/>
        <w:jc w:val="both"/>
        <w:rPr>
          <w:rFonts w:ascii="Arial" w:eastAsia="MS Mincho" w:hAnsi="Arial" w:cs="Arial"/>
        </w:rPr>
      </w:pPr>
    </w:p>
    <w:p w14:paraId="42763CC3"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Ommering</w:t>
      </w:r>
      <w:proofErr w:type="spellEnd"/>
      <w:r w:rsidRPr="00DF6E30">
        <w:rPr>
          <w:rFonts w:ascii="Arial" w:eastAsia="MS Mincho" w:hAnsi="Arial" w:cs="Arial"/>
        </w:rPr>
        <w:t xml:space="preserve">, Belinda W. C., Floris M. Van Blankenstein, </w:t>
      </w:r>
      <w:proofErr w:type="spellStart"/>
      <w:r w:rsidRPr="00DF6E30">
        <w:rPr>
          <w:rFonts w:ascii="Arial" w:eastAsia="MS Mincho" w:hAnsi="Arial" w:cs="Arial"/>
        </w:rPr>
        <w:t>Cathelijn</w:t>
      </w:r>
      <w:proofErr w:type="spellEnd"/>
      <w:r w:rsidRPr="00DF6E30">
        <w:rPr>
          <w:rFonts w:ascii="Arial" w:eastAsia="MS Mincho" w:hAnsi="Arial" w:cs="Arial"/>
        </w:rPr>
        <w:t xml:space="preserve"> J. F. Waaijer, and Friedo W. Dekker. 2018. “Future Physician-Scientists: Could We Catch Them Young? Factors Influencing Intrinsic and Extrinsic Motivation for Research among First-Year Medical Students.” </w:t>
      </w:r>
      <w:r w:rsidRPr="00DF6E30">
        <w:rPr>
          <w:rFonts w:ascii="Arial" w:eastAsia="MS Mincho" w:hAnsi="Arial" w:cs="Arial"/>
          <w:i/>
          <w:iCs/>
        </w:rPr>
        <w:t>Perspectives on Medical Education</w:t>
      </w:r>
      <w:r w:rsidRPr="00DF6E30">
        <w:rPr>
          <w:rFonts w:ascii="Arial" w:eastAsia="MS Mincho" w:hAnsi="Arial" w:cs="Arial"/>
        </w:rPr>
        <w:t xml:space="preserve"> 7(4):248–55. </w:t>
      </w:r>
      <w:proofErr w:type="spellStart"/>
      <w:r w:rsidRPr="00DF6E30">
        <w:rPr>
          <w:rFonts w:ascii="Arial" w:eastAsia="MS Mincho" w:hAnsi="Arial" w:cs="Arial"/>
        </w:rPr>
        <w:t>doi</w:t>
      </w:r>
      <w:proofErr w:type="spellEnd"/>
      <w:r w:rsidRPr="00DF6E30">
        <w:rPr>
          <w:rFonts w:ascii="Arial" w:eastAsia="MS Mincho" w:hAnsi="Arial" w:cs="Arial"/>
        </w:rPr>
        <w:t>: 10.1007/S40037-018-0440-Y.</w:t>
      </w:r>
    </w:p>
    <w:p w14:paraId="4D05D2B1" w14:textId="77777777" w:rsidR="00DF6E30" w:rsidRPr="00DF6E30" w:rsidRDefault="00DF6E30" w:rsidP="00DF6E30">
      <w:pPr>
        <w:pStyle w:val="BodyText"/>
        <w:spacing w:after="0"/>
        <w:jc w:val="both"/>
        <w:rPr>
          <w:rFonts w:ascii="Arial" w:eastAsia="MS Mincho" w:hAnsi="Arial" w:cs="Arial"/>
        </w:rPr>
      </w:pPr>
    </w:p>
    <w:p w14:paraId="73709F92"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Omojuyigbe</w:t>
      </w:r>
      <w:proofErr w:type="spellEnd"/>
      <w:r w:rsidRPr="00DF6E30">
        <w:rPr>
          <w:rFonts w:ascii="Arial" w:eastAsia="MS Mincho" w:hAnsi="Arial" w:cs="Arial"/>
        </w:rPr>
        <w:t xml:space="preserve">, Jeremiah Oluwamayowa, Adedoyin John-Joy </w:t>
      </w:r>
      <w:proofErr w:type="spellStart"/>
      <w:r w:rsidRPr="00DF6E30">
        <w:rPr>
          <w:rFonts w:ascii="Arial" w:eastAsia="MS Mincho" w:hAnsi="Arial" w:cs="Arial"/>
        </w:rPr>
        <w:t>Owolade</w:t>
      </w:r>
      <w:proofErr w:type="spellEnd"/>
      <w:r w:rsidRPr="00DF6E30">
        <w:rPr>
          <w:rFonts w:ascii="Arial" w:eastAsia="MS Mincho" w:hAnsi="Arial" w:cs="Arial"/>
        </w:rPr>
        <w:t xml:space="preserve">, Taiwo Oluwaseun </w:t>
      </w:r>
      <w:proofErr w:type="spellStart"/>
      <w:r w:rsidRPr="00DF6E30">
        <w:rPr>
          <w:rFonts w:ascii="Arial" w:eastAsia="MS Mincho" w:hAnsi="Arial" w:cs="Arial"/>
        </w:rPr>
        <w:t>Sokunbi</w:t>
      </w:r>
      <w:proofErr w:type="spellEnd"/>
      <w:r w:rsidRPr="00DF6E30">
        <w:rPr>
          <w:rFonts w:ascii="Arial" w:eastAsia="MS Mincho" w:hAnsi="Arial" w:cs="Arial"/>
        </w:rPr>
        <w:t xml:space="preserve">, Habib Ademola </w:t>
      </w:r>
      <w:proofErr w:type="spellStart"/>
      <w:r w:rsidRPr="00DF6E30">
        <w:rPr>
          <w:rFonts w:ascii="Arial" w:eastAsia="MS Mincho" w:hAnsi="Arial" w:cs="Arial"/>
        </w:rPr>
        <w:t>Bakenne</w:t>
      </w:r>
      <w:proofErr w:type="spellEnd"/>
      <w:r w:rsidRPr="00DF6E30">
        <w:rPr>
          <w:rFonts w:ascii="Arial" w:eastAsia="MS Mincho" w:hAnsi="Arial" w:cs="Arial"/>
        </w:rPr>
        <w:t xml:space="preserve">, Blessing Abraham </w:t>
      </w:r>
      <w:proofErr w:type="spellStart"/>
      <w:r w:rsidRPr="00DF6E30">
        <w:rPr>
          <w:rFonts w:ascii="Arial" w:eastAsia="MS Mincho" w:hAnsi="Arial" w:cs="Arial"/>
        </w:rPr>
        <w:t>Ogungbe</w:t>
      </w:r>
      <w:proofErr w:type="spellEnd"/>
      <w:r w:rsidRPr="00DF6E30">
        <w:rPr>
          <w:rFonts w:ascii="Arial" w:eastAsia="MS Mincho" w:hAnsi="Arial" w:cs="Arial"/>
        </w:rPr>
        <w:t xml:space="preserve">, </w:t>
      </w:r>
      <w:proofErr w:type="spellStart"/>
      <w:r w:rsidRPr="00DF6E30">
        <w:rPr>
          <w:rFonts w:ascii="Arial" w:eastAsia="MS Mincho" w:hAnsi="Arial" w:cs="Arial"/>
        </w:rPr>
        <w:t>Habeebullah</w:t>
      </w:r>
      <w:proofErr w:type="spellEnd"/>
      <w:r w:rsidRPr="00DF6E30">
        <w:rPr>
          <w:rFonts w:ascii="Arial" w:eastAsia="MS Mincho" w:hAnsi="Arial" w:cs="Arial"/>
        </w:rPr>
        <w:t xml:space="preserve"> </w:t>
      </w:r>
      <w:proofErr w:type="spellStart"/>
      <w:r w:rsidRPr="00DF6E30">
        <w:rPr>
          <w:rFonts w:ascii="Arial" w:eastAsia="MS Mincho" w:hAnsi="Arial" w:cs="Arial"/>
        </w:rPr>
        <w:t>Jayeola</w:t>
      </w:r>
      <w:proofErr w:type="spellEnd"/>
      <w:r w:rsidRPr="00DF6E30">
        <w:rPr>
          <w:rFonts w:ascii="Arial" w:eastAsia="MS Mincho" w:hAnsi="Arial" w:cs="Arial"/>
        </w:rPr>
        <w:t xml:space="preserve"> Oladipo, and Prosper Ifunanya </w:t>
      </w:r>
      <w:proofErr w:type="spellStart"/>
      <w:r w:rsidRPr="00DF6E30">
        <w:rPr>
          <w:rFonts w:ascii="Arial" w:eastAsia="MS Mincho" w:hAnsi="Arial" w:cs="Arial"/>
        </w:rPr>
        <w:t>Agughalam</w:t>
      </w:r>
      <w:proofErr w:type="spellEnd"/>
      <w:r w:rsidRPr="00DF6E30">
        <w:rPr>
          <w:rFonts w:ascii="Arial" w:eastAsia="MS Mincho" w:hAnsi="Arial" w:cs="Arial"/>
        </w:rPr>
        <w:t xml:space="preserve">. 2023. “Malaria Eradication in Nigeria: State of the Nation and Priorities for Action.” </w:t>
      </w:r>
      <w:r w:rsidRPr="00DF6E30">
        <w:rPr>
          <w:rFonts w:ascii="Arial" w:eastAsia="MS Mincho" w:hAnsi="Arial" w:cs="Arial"/>
          <w:i/>
          <w:iCs/>
        </w:rPr>
        <w:t>Journal of Medicine, Surgery, and Public Health</w:t>
      </w:r>
      <w:r w:rsidRPr="00DF6E30">
        <w:rPr>
          <w:rFonts w:ascii="Arial" w:eastAsia="MS Mincho" w:hAnsi="Arial" w:cs="Arial"/>
        </w:rPr>
        <w:t xml:space="preserve"> 1:100024. </w:t>
      </w:r>
      <w:proofErr w:type="spellStart"/>
      <w:r w:rsidRPr="00DF6E30">
        <w:rPr>
          <w:rFonts w:ascii="Arial" w:eastAsia="MS Mincho" w:hAnsi="Arial" w:cs="Arial"/>
        </w:rPr>
        <w:t>doi</w:t>
      </w:r>
      <w:proofErr w:type="spellEnd"/>
      <w:r w:rsidRPr="00DF6E30">
        <w:rPr>
          <w:rFonts w:ascii="Arial" w:eastAsia="MS Mincho" w:hAnsi="Arial" w:cs="Arial"/>
        </w:rPr>
        <w:t>: 10.1016/j.glmedi.2023.100024.</w:t>
      </w:r>
    </w:p>
    <w:p w14:paraId="42A6AAFC" w14:textId="77777777" w:rsidR="00DF6E30" w:rsidRPr="00DF6E30" w:rsidRDefault="00DF6E30" w:rsidP="00DF6E30">
      <w:pPr>
        <w:pStyle w:val="BodyText"/>
        <w:spacing w:after="0"/>
        <w:jc w:val="both"/>
        <w:rPr>
          <w:rFonts w:ascii="Arial" w:eastAsia="MS Mincho" w:hAnsi="Arial" w:cs="Arial"/>
        </w:rPr>
      </w:pPr>
    </w:p>
    <w:p w14:paraId="0EFA64A2"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Pan, Wen-Hui, Xin-Ya Xu, Ni Shi, Siu Wai Tsang, and Hong-Jie Zhang. 2018. “Antimalarial Activity of Plant Metabolites.” </w:t>
      </w:r>
      <w:r w:rsidRPr="00DF6E30">
        <w:rPr>
          <w:rFonts w:ascii="Arial" w:eastAsia="MS Mincho" w:hAnsi="Arial" w:cs="Arial"/>
          <w:i/>
          <w:iCs/>
        </w:rPr>
        <w:t>International Journal of Molecular Sciences</w:t>
      </w:r>
      <w:r w:rsidRPr="00DF6E30">
        <w:rPr>
          <w:rFonts w:ascii="Arial" w:eastAsia="MS Mincho" w:hAnsi="Arial" w:cs="Arial"/>
        </w:rPr>
        <w:t xml:space="preserve"> 19(5):1382. </w:t>
      </w:r>
      <w:proofErr w:type="spellStart"/>
      <w:r w:rsidRPr="00DF6E30">
        <w:rPr>
          <w:rFonts w:ascii="Arial" w:eastAsia="MS Mincho" w:hAnsi="Arial" w:cs="Arial"/>
        </w:rPr>
        <w:t>doi</w:t>
      </w:r>
      <w:proofErr w:type="spellEnd"/>
      <w:r w:rsidRPr="00DF6E30">
        <w:rPr>
          <w:rFonts w:ascii="Arial" w:eastAsia="MS Mincho" w:hAnsi="Arial" w:cs="Arial"/>
        </w:rPr>
        <w:t>: 10.3390/ijms19051382.</w:t>
      </w:r>
    </w:p>
    <w:p w14:paraId="36F36196" w14:textId="77777777" w:rsidR="00DF6E30" w:rsidRPr="00DF6E30" w:rsidRDefault="00DF6E30" w:rsidP="00DF6E30">
      <w:pPr>
        <w:pStyle w:val="BodyText"/>
        <w:spacing w:after="0"/>
        <w:jc w:val="both"/>
        <w:rPr>
          <w:rFonts w:ascii="Arial" w:eastAsia="MS Mincho" w:hAnsi="Arial" w:cs="Arial"/>
        </w:rPr>
      </w:pPr>
    </w:p>
    <w:p w14:paraId="31F37CF4"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Phillips, Margaret A., Jeremy N. Burrows, Christine Manyando, Rob Hooft van </w:t>
      </w:r>
      <w:proofErr w:type="spellStart"/>
      <w:r w:rsidRPr="00DF6E30">
        <w:rPr>
          <w:rFonts w:ascii="Arial" w:eastAsia="MS Mincho" w:hAnsi="Arial" w:cs="Arial"/>
        </w:rPr>
        <w:t>Huijsduijnen</w:t>
      </w:r>
      <w:proofErr w:type="spellEnd"/>
      <w:r w:rsidRPr="00DF6E30">
        <w:rPr>
          <w:rFonts w:ascii="Arial" w:eastAsia="MS Mincho" w:hAnsi="Arial" w:cs="Arial"/>
        </w:rPr>
        <w:t xml:space="preserve">, Wesley C. Van Voorhis, and Timothy N. C. Wells. 2017. “Malaria.” </w:t>
      </w:r>
      <w:r w:rsidRPr="00DF6E30">
        <w:rPr>
          <w:rFonts w:ascii="Arial" w:eastAsia="MS Mincho" w:hAnsi="Arial" w:cs="Arial"/>
          <w:i/>
          <w:iCs/>
        </w:rPr>
        <w:t>Nature Reviews Disease Primers</w:t>
      </w:r>
      <w:r w:rsidRPr="00DF6E30">
        <w:rPr>
          <w:rFonts w:ascii="Arial" w:eastAsia="MS Mincho" w:hAnsi="Arial" w:cs="Arial"/>
        </w:rPr>
        <w:t xml:space="preserve"> 3(1):17050. </w:t>
      </w:r>
      <w:proofErr w:type="spellStart"/>
      <w:r w:rsidRPr="00DF6E30">
        <w:rPr>
          <w:rFonts w:ascii="Arial" w:eastAsia="MS Mincho" w:hAnsi="Arial" w:cs="Arial"/>
        </w:rPr>
        <w:t>doi</w:t>
      </w:r>
      <w:proofErr w:type="spellEnd"/>
      <w:r w:rsidRPr="00DF6E30">
        <w:rPr>
          <w:rFonts w:ascii="Arial" w:eastAsia="MS Mincho" w:hAnsi="Arial" w:cs="Arial"/>
        </w:rPr>
        <w:t>: 10.1038/nrdp.2017.50.</w:t>
      </w:r>
    </w:p>
    <w:p w14:paraId="650D5EBA" w14:textId="77777777" w:rsidR="00DF6E30" w:rsidRPr="00DF6E30" w:rsidRDefault="00DF6E30" w:rsidP="00DF6E30">
      <w:pPr>
        <w:pStyle w:val="BodyText"/>
        <w:spacing w:after="0"/>
        <w:jc w:val="both"/>
        <w:rPr>
          <w:rFonts w:ascii="Arial" w:eastAsia="MS Mincho" w:hAnsi="Arial" w:cs="Arial"/>
        </w:rPr>
      </w:pPr>
    </w:p>
    <w:p w14:paraId="4CF7E75A"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Rowe, Alexander K., Samantha Y. Rowe, David H. Peters, Kathleen A. Holloway, and Dennis Ross-Degnan. 2021. “The Effectiveness of Training Strategies to Improve Healthcare Provider Practices in Low-Income and Middle-Income Countries.” </w:t>
      </w:r>
      <w:r w:rsidRPr="00DF6E30">
        <w:rPr>
          <w:rFonts w:ascii="Arial" w:eastAsia="MS Mincho" w:hAnsi="Arial" w:cs="Arial"/>
          <w:i/>
          <w:iCs/>
        </w:rPr>
        <w:t>BMJ Global Health</w:t>
      </w:r>
      <w:r w:rsidRPr="00DF6E30">
        <w:rPr>
          <w:rFonts w:ascii="Arial" w:eastAsia="MS Mincho" w:hAnsi="Arial" w:cs="Arial"/>
        </w:rPr>
        <w:t xml:space="preserve"> 6(1</w:t>
      </w:r>
      <w:proofErr w:type="gramStart"/>
      <w:r w:rsidRPr="00DF6E30">
        <w:rPr>
          <w:rFonts w:ascii="Arial" w:eastAsia="MS Mincho" w:hAnsi="Arial" w:cs="Arial"/>
        </w:rPr>
        <w:t>):e</w:t>
      </w:r>
      <w:proofErr w:type="gramEnd"/>
      <w:r w:rsidRPr="00DF6E30">
        <w:rPr>
          <w:rFonts w:ascii="Arial" w:eastAsia="MS Mincho" w:hAnsi="Arial" w:cs="Arial"/>
        </w:rPr>
        <w:t xml:space="preserve">003229. </w:t>
      </w:r>
      <w:proofErr w:type="spellStart"/>
      <w:r w:rsidRPr="00DF6E30">
        <w:rPr>
          <w:rFonts w:ascii="Arial" w:eastAsia="MS Mincho" w:hAnsi="Arial" w:cs="Arial"/>
        </w:rPr>
        <w:t>doi</w:t>
      </w:r>
      <w:proofErr w:type="spellEnd"/>
      <w:r w:rsidRPr="00DF6E30">
        <w:rPr>
          <w:rFonts w:ascii="Arial" w:eastAsia="MS Mincho" w:hAnsi="Arial" w:cs="Arial"/>
        </w:rPr>
        <w:t>: 10.1136/bmjgh-2020-003229.</w:t>
      </w:r>
    </w:p>
    <w:p w14:paraId="5D73431B" w14:textId="77777777" w:rsidR="00DF6E30" w:rsidRPr="00DF6E30" w:rsidRDefault="00DF6E30" w:rsidP="00DF6E30">
      <w:pPr>
        <w:pStyle w:val="BodyText"/>
        <w:spacing w:after="0"/>
        <w:jc w:val="both"/>
        <w:rPr>
          <w:rFonts w:ascii="Arial" w:eastAsia="MS Mincho" w:hAnsi="Arial" w:cs="Arial"/>
        </w:rPr>
      </w:pPr>
    </w:p>
    <w:p w14:paraId="29E253BA"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Su, Xin-Zhuan, and Louis H. Miller. 2015. “The Discovery of Artemisinin and the Nobel Prize in Physiology or Medicine.” </w:t>
      </w:r>
      <w:r w:rsidRPr="00DF6E30">
        <w:rPr>
          <w:rFonts w:ascii="Arial" w:eastAsia="MS Mincho" w:hAnsi="Arial" w:cs="Arial"/>
          <w:i/>
          <w:iCs/>
        </w:rPr>
        <w:t>Science China Life Sciences</w:t>
      </w:r>
      <w:r w:rsidRPr="00DF6E30">
        <w:rPr>
          <w:rFonts w:ascii="Arial" w:eastAsia="MS Mincho" w:hAnsi="Arial" w:cs="Arial"/>
        </w:rPr>
        <w:t xml:space="preserve"> 58(11):1175–79. </w:t>
      </w:r>
      <w:proofErr w:type="spellStart"/>
      <w:r w:rsidRPr="00DF6E30">
        <w:rPr>
          <w:rFonts w:ascii="Arial" w:eastAsia="MS Mincho" w:hAnsi="Arial" w:cs="Arial"/>
        </w:rPr>
        <w:t>doi</w:t>
      </w:r>
      <w:proofErr w:type="spellEnd"/>
      <w:r w:rsidRPr="00DF6E30">
        <w:rPr>
          <w:rFonts w:ascii="Arial" w:eastAsia="MS Mincho" w:hAnsi="Arial" w:cs="Arial"/>
        </w:rPr>
        <w:t>: 10.1007/s11427-015-4948-7.</w:t>
      </w:r>
    </w:p>
    <w:p w14:paraId="6AB2D624" w14:textId="77777777" w:rsidR="00DF6E30" w:rsidRPr="00DF6E30" w:rsidRDefault="00DF6E30" w:rsidP="00DF6E30">
      <w:pPr>
        <w:pStyle w:val="BodyText"/>
        <w:spacing w:after="0"/>
        <w:jc w:val="both"/>
        <w:rPr>
          <w:rFonts w:ascii="Arial" w:eastAsia="MS Mincho" w:hAnsi="Arial" w:cs="Arial"/>
        </w:rPr>
      </w:pPr>
    </w:p>
    <w:p w14:paraId="69CE1F88"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Suraj S. Raut, </w:t>
      </w:r>
      <w:proofErr w:type="spellStart"/>
      <w:r w:rsidRPr="00DF6E30">
        <w:rPr>
          <w:rFonts w:ascii="Arial" w:eastAsia="MS Mincho" w:hAnsi="Arial" w:cs="Arial"/>
        </w:rPr>
        <w:t>Yashkumar</w:t>
      </w:r>
      <w:proofErr w:type="spellEnd"/>
      <w:r w:rsidRPr="00DF6E30">
        <w:rPr>
          <w:rFonts w:ascii="Arial" w:eastAsia="MS Mincho" w:hAnsi="Arial" w:cs="Arial"/>
        </w:rPr>
        <w:t xml:space="preserve"> R. </w:t>
      </w:r>
      <w:proofErr w:type="spellStart"/>
      <w:r w:rsidRPr="00DF6E30">
        <w:rPr>
          <w:rFonts w:ascii="Arial" w:eastAsia="MS Mincho" w:hAnsi="Arial" w:cs="Arial"/>
        </w:rPr>
        <w:t>Dhole</w:t>
      </w:r>
      <w:proofErr w:type="spellEnd"/>
      <w:r w:rsidRPr="00DF6E30">
        <w:rPr>
          <w:rFonts w:ascii="Arial" w:eastAsia="MS Mincho" w:hAnsi="Arial" w:cs="Arial"/>
        </w:rPr>
        <w:t xml:space="preserve">, and Swati P. Deshmukh. 2025. “Role of Medicinal Plant in Treatment of Malaria.” </w:t>
      </w:r>
      <w:r w:rsidRPr="00DF6E30">
        <w:rPr>
          <w:rFonts w:ascii="Arial" w:eastAsia="MS Mincho" w:hAnsi="Arial" w:cs="Arial"/>
          <w:i/>
          <w:iCs/>
        </w:rPr>
        <w:t>GSC Biological and Pharmaceutical Sciences</w:t>
      </w:r>
      <w:r w:rsidRPr="00DF6E30">
        <w:rPr>
          <w:rFonts w:ascii="Arial" w:eastAsia="MS Mincho" w:hAnsi="Arial" w:cs="Arial"/>
        </w:rPr>
        <w:t xml:space="preserve"> 30(1):178–85. </w:t>
      </w:r>
      <w:proofErr w:type="spellStart"/>
      <w:r w:rsidRPr="00DF6E30">
        <w:rPr>
          <w:rFonts w:ascii="Arial" w:eastAsia="MS Mincho" w:hAnsi="Arial" w:cs="Arial"/>
        </w:rPr>
        <w:t>doi</w:t>
      </w:r>
      <w:proofErr w:type="spellEnd"/>
      <w:r w:rsidRPr="00DF6E30">
        <w:rPr>
          <w:rFonts w:ascii="Arial" w:eastAsia="MS Mincho" w:hAnsi="Arial" w:cs="Arial"/>
        </w:rPr>
        <w:t>: 10.30574/gscbps.2025.30.1.0499.</w:t>
      </w:r>
    </w:p>
    <w:p w14:paraId="239C994C" w14:textId="77777777" w:rsidR="00DF6E30" w:rsidRPr="00DF6E30" w:rsidRDefault="00DF6E30" w:rsidP="00DF6E30">
      <w:pPr>
        <w:pStyle w:val="BodyText"/>
        <w:spacing w:after="0"/>
        <w:jc w:val="both"/>
        <w:rPr>
          <w:rFonts w:ascii="Arial" w:eastAsia="MS Mincho" w:hAnsi="Arial" w:cs="Arial"/>
        </w:rPr>
      </w:pPr>
    </w:p>
    <w:p w14:paraId="49B1B9DF"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Tajuddeen</w:t>
      </w:r>
      <w:proofErr w:type="spellEnd"/>
      <w:r w:rsidRPr="00DF6E30">
        <w:rPr>
          <w:rFonts w:ascii="Arial" w:eastAsia="MS Mincho" w:hAnsi="Arial" w:cs="Arial"/>
        </w:rPr>
        <w:t>, Nasir, and Fanie R. Van Heerden. 2019. “</w:t>
      </w:r>
      <w:proofErr w:type="spellStart"/>
      <w:r w:rsidRPr="00DF6E30">
        <w:rPr>
          <w:rFonts w:ascii="Arial" w:eastAsia="MS Mincho" w:hAnsi="Arial" w:cs="Arial"/>
        </w:rPr>
        <w:t>Antiplasmodial</w:t>
      </w:r>
      <w:proofErr w:type="spellEnd"/>
      <w:r w:rsidRPr="00DF6E30">
        <w:rPr>
          <w:rFonts w:ascii="Arial" w:eastAsia="MS Mincho" w:hAnsi="Arial" w:cs="Arial"/>
        </w:rPr>
        <w:t xml:space="preserve"> Natural Products: An Update.” </w:t>
      </w:r>
      <w:r w:rsidRPr="00DF6E30">
        <w:rPr>
          <w:rFonts w:ascii="Arial" w:eastAsia="MS Mincho" w:hAnsi="Arial" w:cs="Arial"/>
          <w:i/>
          <w:iCs/>
        </w:rPr>
        <w:t>Malaria Journal</w:t>
      </w:r>
      <w:r w:rsidRPr="00DF6E30">
        <w:rPr>
          <w:rFonts w:ascii="Arial" w:eastAsia="MS Mincho" w:hAnsi="Arial" w:cs="Arial"/>
        </w:rPr>
        <w:t xml:space="preserve"> 18(1):404. </w:t>
      </w:r>
      <w:proofErr w:type="spellStart"/>
      <w:r w:rsidRPr="00DF6E30">
        <w:rPr>
          <w:rFonts w:ascii="Arial" w:eastAsia="MS Mincho" w:hAnsi="Arial" w:cs="Arial"/>
        </w:rPr>
        <w:t>doi</w:t>
      </w:r>
      <w:proofErr w:type="spellEnd"/>
      <w:r w:rsidRPr="00DF6E30">
        <w:rPr>
          <w:rFonts w:ascii="Arial" w:eastAsia="MS Mincho" w:hAnsi="Arial" w:cs="Arial"/>
        </w:rPr>
        <w:t>: 10.1186/s12936-019-3026-1.</w:t>
      </w:r>
    </w:p>
    <w:p w14:paraId="423481DE"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lastRenderedPageBreak/>
        <w:t>Tuteja, Renu. 2007. “Malaria</w:t>
      </w:r>
      <w:r w:rsidRPr="00DF6E30">
        <w:rPr>
          <w:rFonts w:ascii="Arial" w:eastAsia="MS Mincho" w:hAnsi="Arial" w:cs="Arial"/>
        </w:rPr>
        <w:t> </w:t>
      </w:r>
      <w:r w:rsidRPr="00DF6E30">
        <w:rPr>
          <w:rFonts w:ascii="Arial" w:eastAsia="MS Mincho" w:hAnsi="Arial" w:cs="Arial"/>
        </w:rPr>
        <w:t>−</w:t>
      </w:r>
      <w:r w:rsidRPr="00DF6E30">
        <w:rPr>
          <w:rFonts w:ascii="Arial" w:eastAsia="MS Mincho" w:hAnsi="Arial" w:cs="Arial"/>
        </w:rPr>
        <w:t> </w:t>
      </w:r>
      <w:r w:rsidRPr="00DF6E30">
        <w:rPr>
          <w:rFonts w:ascii="Arial" w:eastAsia="MS Mincho" w:hAnsi="Arial" w:cs="Arial"/>
        </w:rPr>
        <w:t xml:space="preserve">an Overview.” </w:t>
      </w:r>
      <w:r w:rsidRPr="00DF6E30">
        <w:rPr>
          <w:rFonts w:ascii="Arial" w:eastAsia="MS Mincho" w:hAnsi="Arial" w:cs="Arial"/>
          <w:i/>
          <w:iCs/>
        </w:rPr>
        <w:t>The FEBS Journal</w:t>
      </w:r>
      <w:r w:rsidRPr="00DF6E30">
        <w:rPr>
          <w:rFonts w:ascii="Arial" w:eastAsia="MS Mincho" w:hAnsi="Arial" w:cs="Arial"/>
        </w:rPr>
        <w:t xml:space="preserve"> 274(18):4670–79. </w:t>
      </w:r>
      <w:proofErr w:type="spellStart"/>
      <w:r w:rsidRPr="00DF6E30">
        <w:rPr>
          <w:rFonts w:ascii="Arial" w:eastAsia="MS Mincho" w:hAnsi="Arial" w:cs="Arial"/>
        </w:rPr>
        <w:t>doi</w:t>
      </w:r>
      <w:proofErr w:type="spellEnd"/>
      <w:r w:rsidRPr="00DF6E30">
        <w:rPr>
          <w:rFonts w:ascii="Arial" w:eastAsia="MS Mincho" w:hAnsi="Arial" w:cs="Arial"/>
        </w:rPr>
        <w:t>: 10.1111/j.1742-4658.2007.</w:t>
      </w:r>
      <w:proofErr w:type="gramStart"/>
      <w:r w:rsidRPr="00DF6E30">
        <w:rPr>
          <w:rFonts w:ascii="Arial" w:eastAsia="MS Mincho" w:hAnsi="Arial" w:cs="Arial"/>
        </w:rPr>
        <w:t>05997.x.</w:t>
      </w:r>
      <w:proofErr w:type="gramEnd"/>
    </w:p>
    <w:p w14:paraId="73670407" w14:textId="77777777" w:rsidR="00DF6E30" w:rsidRPr="00DF6E30" w:rsidRDefault="00DF6E30" w:rsidP="00DF6E30">
      <w:pPr>
        <w:pStyle w:val="BodyText"/>
        <w:spacing w:after="0"/>
        <w:jc w:val="both"/>
        <w:rPr>
          <w:rFonts w:ascii="Arial" w:eastAsia="MS Mincho" w:hAnsi="Arial" w:cs="Arial"/>
        </w:rPr>
      </w:pPr>
    </w:p>
    <w:p w14:paraId="52126D5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Wright, Colin W. 2010. “Recent Developments in Research on Terrestrial Plants Used for the Treatment of Malaria.” </w:t>
      </w:r>
      <w:r w:rsidRPr="00DF6E30">
        <w:rPr>
          <w:rFonts w:ascii="Arial" w:eastAsia="MS Mincho" w:hAnsi="Arial" w:cs="Arial"/>
          <w:i/>
          <w:iCs/>
        </w:rPr>
        <w:t>Natural Product Reports</w:t>
      </w:r>
      <w:r w:rsidRPr="00DF6E30">
        <w:rPr>
          <w:rFonts w:ascii="Arial" w:eastAsia="MS Mincho" w:hAnsi="Arial" w:cs="Arial"/>
        </w:rPr>
        <w:t xml:space="preserve"> 27(7):961. </w:t>
      </w:r>
      <w:proofErr w:type="spellStart"/>
      <w:r w:rsidRPr="00DF6E30">
        <w:rPr>
          <w:rFonts w:ascii="Arial" w:eastAsia="MS Mincho" w:hAnsi="Arial" w:cs="Arial"/>
        </w:rPr>
        <w:t>doi</w:t>
      </w:r>
      <w:proofErr w:type="spellEnd"/>
      <w:r w:rsidRPr="00DF6E30">
        <w:rPr>
          <w:rFonts w:ascii="Arial" w:eastAsia="MS Mincho" w:hAnsi="Arial" w:cs="Arial"/>
        </w:rPr>
        <w:t>: 10.1039/c002196m.</w:t>
      </w:r>
    </w:p>
    <w:p w14:paraId="27F9728E" w14:textId="77777777" w:rsidR="00790ADA" w:rsidRPr="00FB3A86" w:rsidRDefault="00790ADA" w:rsidP="00441B6F">
      <w:pPr>
        <w:pStyle w:val="Body"/>
        <w:spacing w:after="0"/>
        <w:rPr>
          <w:rFonts w:ascii="Arial" w:hAnsi="Arial" w:cs="Arial"/>
        </w:rPr>
      </w:pPr>
    </w:p>
    <w:p w14:paraId="2056D2D1" w14:textId="77777777" w:rsidR="00B01FCD" w:rsidRPr="00FB3A86" w:rsidRDefault="00B01FCD" w:rsidP="00C95C93">
      <w:pPr>
        <w:pStyle w:val="Appendix"/>
        <w:spacing w:after="0"/>
        <w:jc w:val="both"/>
        <w:rPr>
          <w:rFonts w:ascii="Arial" w:hAnsi="Arial" w:cs="Arial"/>
          <w:b w:val="0"/>
        </w:rPr>
      </w:pPr>
    </w:p>
    <w:sectPr w:rsidR="00B01FCD" w:rsidRPr="00FB3A86" w:rsidSect="000A5E26">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EC4F" w14:textId="77777777" w:rsidR="00BD17BC" w:rsidRDefault="00BD17BC" w:rsidP="00C37E61">
      <w:r>
        <w:separator/>
      </w:r>
    </w:p>
  </w:endnote>
  <w:endnote w:type="continuationSeparator" w:id="0">
    <w:p w14:paraId="3512B9BD" w14:textId="77777777" w:rsidR="00BD17BC" w:rsidRDefault="00BD17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2043" w14:textId="77777777" w:rsidR="000A5E26" w:rsidRDefault="000A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C769" w14:textId="77777777" w:rsidR="000A5E26" w:rsidRDefault="000A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05E6" w14:textId="1C05EA26" w:rsidR="00754C9A" w:rsidRPr="000A5E26" w:rsidRDefault="00754C9A" w:rsidP="000A5E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24E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543C" w14:textId="77777777" w:rsidR="00BD17BC" w:rsidRDefault="00BD17BC" w:rsidP="00C37E61">
      <w:r>
        <w:separator/>
      </w:r>
    </w:p>
  </w:footnote>
  <w:footnote w:type="continuationSeparator" w:id="0">
    <w:p w14:paraId="688EED71" w14:textId="77777777" w:rsidR="00BD17BC" w:rsidRDefault="00BD17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058B" w14:textId="08FF2C4C" w:rsidR="000A5E26" w:rsidRDefault="000A5E26">
    <w:pPr>
      <w:pStyle w:val="Header"/>
    </w:pPr>
    <w:r>
      <w:rPr>
        <w:noProof/>
      </w:rPr>
      <w:pict w14:anchorId="1E67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0"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4A00" w14:textId="6221ED35" w:rsidR="000A5E26" w:rsidRDefault="000A5E26">
    <w:pPr>
      <w:pStyle w:val="Header"/>
    </w:pPr>
    <w:r>
      <w:rPr>
        <w:noProof/>
      </w:rPr>
      <w:pict w14:anchorId="705E0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1"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374D" w14:textId="0C1AEA97" w:rsidR="00296529" w:rsidRPr="00296529" w:rsidRDefault="000A5E26" w:rsidP="00296529">
    <w:pPr>
      <w:ind w:left="2160"/>
      <w:jc w:val="center"/>
      <w:rPr>
        <w:rFonts w:ascii="Times New Roman" w:eastAsia="Calibri" w:hAnsi="Times New Roman"/>
        <w:i/>
        <w:sz w:val="18"/>
        <w:szCs w:val="22"/>
      </w:rPr>
    </w:pPr>
    <w:r>
      <w:rPr>
        <w:noProof/>
      </w:rPr>
      <w:pict w14:anchorId="52D68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59"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212AF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79FCB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E151D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0DC9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F23B2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DD4A05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B65C" w14:textId="708F92E1" w:rsidR="000A5E26" w:rsidRDefault="000A5E26">
    <w:pPr>
      <w:pStyle w:val="Header"/>
    </w:pPr>
    <w:r>
      <w:rPr>
        <w:noProof/>
      </w:rPr>
      <w:pict w14:anchorId="609FE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3"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B020" w14:textId="27DB1D75" w:rsidR="000A5E26" w:rsidRDefault="000A5E26">
    <w:pPr>
      <w:pStyle w:val="Header"/>
    </w:pPr>
    <w:r>
      <w:rPr>
        <w:noProof/>
      </w:rPr>
      <w:pict w14:anchorId="798CC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4"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585E" w14:textId="21E88569" w:rsidR="000A5E26" w:rsidRDefault="000A5E26">
    <w:pPr>
      <w:pStyle w:val="Header"/>
    </w:pPr>
    <w:r>
      <w:rPr>
        <w:noProof/>
      </w:rPr>
      <w:pict w14:anchorId="79468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2"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D10A5D"/>
    <w:multiLevelType w:val="hybridMultilevel"/>
    <w:tmpl w:val="E8FEDB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74369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0294891">
    <w:abstractNumId w:val="16"/>
  </w:num>
  <w:num w:numId="3" w16cid:durableId="596181623">
    <w:abstractNumId w:val="25"/>
  </w:num>
  <w:num w:numId="4" w16cid:durableId="13059664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88086842">
    <w:abstractNumId w:val="7"/>
  </w:num>
  <w:num w:numId="6" w16cid:durableId="453905708">
    <w:abstractNumId w:val="6"/>
  </w:num>
  <w:num w:numId="7" w16cid:durableId="1756702962">
    <w:abstractNumId w:val="1"/>
  </w:num>
  <w:num w:numId="8" w16cid:durableId="1080907826">
    <w:abstractNumId w:val="12"/>
  </w:num>
  <w:num w:numId="9" w16cid:durableId="2095589929">
    <w:abstractNumId w:val="27"/>
  </w:num>
  <w:num w:numId="10" w16cid:durableId="1281765695">
    <w:abstractNumId w:val="2"/>
  </w:num>
  <w:num w:numId="11" w16cid:durableId="809638331">
    <w:abstractNumId w:val="20"/>
  </w:num>
  <w:num w:numId="12" w16cid:durableId="481384407">
    <w:abstractNumId w:val="3"/>
  </w:num>
  <w:num w:numId="13" w16cid:durableId="1188712950">
    <w:abstractNumId w:val="19"/>
  </w:num>
  <w:num w:numId="14" w16cid:durableId="1049036822">
    <w:abstractNumId w:val="8"/>
  </w:num>
  <w:num w:numId="15" w16cid:durableId="1329871366">
    <w:abstractNumId w:val="23"/>
  </w:num>
  <w:num w:numId="16" w16cid:durableId="1489050383">
    <w:abstractNumId w:val="5"/>
  </w:num>
  <w:num w:numId="17" w16cid:durableId="1793936748">
    <w:abstractNumId w:val="24"/>
  </w:num>
  <w:num w:numId="18" w16cid:durableId="1127625155">
    <w:abstractNumId w:val="14"/>
  </w:num>
  <w:num w:numId="19" w16cid:durableId="1419402413">
    <w:abstractNumId w:val="30"/>
  </w:num>
  <w:num w:numId="20" w16cid:durableId="1013263117">
    <w:abstractNumId w:val="11"/>
  </w:num>
  <w:num w:numId="21" w16cid:durableId="1569998029">
    <w:abstractNumId w:val="9"/>
  </w:num>
  <w:num w:numId="22" w16cid:durableId="409695550">
    <w:abstractNumId w:val="13"/>
  </w:num>
  <w:num w:numId="23" w16cid:durableId="710348511">
    <w:abstractNumId w:val="21"/>
  </w:num>
  <w:num w:numId="24" w16cid:durableId="1867868025">
    <w:abstractNumId w:val="28"/>
  </w:num>
  <w:num w:numId="25" w16cid:durableId="921908250">
    <w:abstractNumId w:val="4"/>
  </w:num>
  <w:num w:numId="26" w16cid:durableId="1278173873">
    <w:abstractNumId w:val="17"/>
  </w:num>
  <w:num w:numId="27" w16cid:durableId="191261716">
    <w:abstractNumId w:val="22"/>
  </w:num>
  <w:num w:numId="28" w16cid:durableId="309024495">
    <w:abstractNumId w:val="29"/>
  </w:num>
  <w:num w:numId="29" w16cid:durableId="1154443759">
    <w:abstractNumId w:val="26"/>
  </w:num>
  <w:num w:numId="30" w16cid:durableId="312833730">
    <w:abstractNumId w:val="10"/>
  </w:num>
  <w:num w:numId="31" w16cid:durableId="446779264">
    <w:abstractNumId w:val="15"/>
  </w:num>
  <w:num w:numId="32" w16cid:durableId="18618941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3D2A"/>
    <w:rsid w:val="000A47FA"/>
    <w:rsid w:val="000A5E26"/>
    <w:rsid w:val="000A65D3"/>
    <w:rsid w:val="000B1E33"/>
    <w:rsid w:val="000C0A0F"/>
    <w:rsid w:val="000D689F"/>
    <w:rsid w:val="000E7B7B"/>
    <w:rsid w:val="000E7D62"/>
    <w:rsid w:val="000F0C04"/>
    <w:rsid w:val="00103357"/>
    <w:rsid w:val="001207EC"/>
    <w:rsid w:val="00123C9F"/>
    <w:rsid w:val="00126190"/>
    <w:rsid w:val="00130F17"/>
    <w:rsid w:val="001320BF"/>
    <w:rsid w:val="00163BC4"/>
    <w:rsid w:val="00191062"/>
    <w:rsid w:val="00192B72"/>
    <w:rsid w:val="001A29D8"/>
    <w:rsid w:val="001A5CAA"/>
    <w:rsid w:val="001B0427"/>
    <w:rsid w:val="001B28AF"/>
    <w:rsid w:val="001D3A51"/>
    <w:rsid w:val="001E10D2"/>
    <w:rsid w:val="001E25B4"/>
    <w:rsid w:val="001E3955"/>
    <w:rsid w:val="001E44FE"/>
    <w:rsid w:val="001E597C"/>
    <w:rsid w:val="00200595"/>
    <w:rsid w:val="00204835"/>
    <w:rsid w:val="002270FC"/>
    <w:rsid w:val="00231920"/>
    <w:rsid w:val="0023195C"/>
    <w:rsid w:val="0023343C"/>
    <w:rsid w:val="0024282C"/>
    <w:rsid w:val="002460DC"/>
    <w:rsid w:val="00250985"/>
    <w:rsid w:val="002556F6"/>
    <w:rsid w:val="00283105"/>
    <w:rsid w:val="00284C4C"/>
    <w:rsid w:val="00287E68"/>
    <w:rsid w:val="00296529"/>
    <w:rsid w:val="002B27FB"/>
    <w:rsid w:val="002B685A"/>
    <w:rsid w:val="002C57D2"/>
    <w:rsid w:val="002E0D56"/>
    <w:rsid w:val="002F2977"/>
    <w:rsid w:val="00315186"/>
    <w:rsid w:val="00327D13"/>
    <w:rsid w:val="0033343E"/>
    <w:rsid w:val="003512C2"/>
    <w:rsid w:val="00371FB6"/>
    <w:rsid w:val="003763C1"/>
    <w:rsid w:val="00376BBE"/>
    <w:rsid w:val="0039224F"/>
    <w:rsid w:val="003A43A4"/>
    <w:rsid w:val="003A7E18"/>
    <w:rsid w:val="003C4C86"/>
    <w:rsid w:val="003C6258"/>
    <w:rsid w:val="003E2904"/>
    <w:rsid w:val="00401927"/>
    <w:rsid w:val="004022A5"/>
    <w:rsid w:val="0041027F"/>
    <w:rsid w:val="00412475"/>
    <w:rsid w:val="00414C31"/>
    <w:rsid w:val="004221A2"/>
    <w:rsid w:val="00423789"/>
    <w:rsid w:val="004405A4"/>
    <w:rsid w:val="00440F43"/>
    <w:rsid w:val="00441B6F"/>
    <w:rsid w:val="0044298F"/>
    <w:rsid w:val="00446221"/>
    <w:rsid w:val="00450E62"/>
    <w:rsid w:val="004539DB"/>
    <w:rsid w:val="00467F29"/>
    <w:rsid w:val="00471A80"/>
    <w:rsid w:val="00472ACD"/>
    <w:rsid w:val="004B6FCC"/>
    <w:rsid w:val="004C6FA4"/>
    <w:rsid w:val="004D1232"/>
    <w:rsid w:val="004D305E"/>
    <w:rsid w:val="004D4277"/>
    <w:rsid w:val="004F4530"/>
    <w:rsid w:val="00502516"/>
    <w:rsid w:val="00505F06"/>
    <w:rsid w:val="00506828"/>
    <w:rsid w:val="00515B54"/>
    <w:rsid w:val="00527DF8"/>
    <w:rsid w:val="0053056E"/>
    <w:rsid w:val="00554FDA"/>
    <w:rsid w:val="00590ECA"/>
    <w:rsid w:val="005A42ED"/>
    <w:rsid w:val="005C784C"/>
    <w:rsid w:val="005D17F6"/>
    <w:rsid w:val="005E5539"/>
    <w:rsid w:val="00602BF5"/>
    <w:rsid w:val="00617FDD"/>
    <w:rsid w:val="0062200B"/>
    <w:rsid w:val="00623E12"/>
    <w:rsid w:val="00633614"/>
    <w:rsid w:val="00633F68"/>
    <w:rsid w:val="00636EB2"/>
    <w:rsid w:val="006375B8"/>
    <w:rsid w:val="006407EB"/>
    <w:rsid w:val="0066510A"/>
    <w:rsid w:val="00673F9F"/>
    <w:rsid w:val="00684236"/>
    <w:rsid w:val="00686953"/>
    <w:rsid w:val="00687DEA"/>
    <w:rsid w:val="00687E67"/>
    <w:rsid w:val="006966DD"/>
    <w:rsid w:val="006967F7"/>
    <w:rsid w:val="006A250C"/>
    <w:rsid w:val="006A69B7"/>
    <w:rsid w:val="006B21D3"/>
    <w:rsid w:val="006B57D0"/>
    <w:rsid w:val="006D30FF"/>
    <w:rsid w:val="006D6940"/>
    <w:rsid w:val="006E7AC4"/>
    <w:rsid w:val="006F11EC"/>
    <w:rsid w:val="0070082C"/>
    <w:rsid w:val="00703143"/>
    <w:rsid w:val="007076E4"/>
    <w:rsid w:val="007357AE"/>
    <w:rsid w:val="007369E6"/>
    <w:rsid w:val="00746E59"/>
    <w:rsid w:val="00754C9A"/>
    <w:rsid w:val="0075599A"/>
    <w:rsid w:val="00761D52"/>
    <w:rsid w:val="0077749E"/>
    <w:rsid w:val="00784B37"/>
    <w:rsid w:val="00790ADA"/>
    <w:rsid w:val="007D2288"/>
    <w:rsid w:val="007E088F"/>
    <w:rsid w:val="007E5332"/>
    <w:rsid w:val="007F7B32"/>
    <w:rsid w:val="007F7BB1"/>
    <w:rsid w:val="00804BC2"/>
    <w:rsid w:val="0081431A"/>
    <w:rsid w:val="0083216F"/>
    <w:rsid w:val="008544CC"/>
    <w:rsid w:val="00860000"/>
    <w:rsid w:val="00863BD3"/>
    <w:rsid w:val="008641ED"/>
    <w:rsid w:val="00866D66"/>
    <w:rsid w:val="008671C6"/>
    <w:rsid w:val="00875803"/>
    <w:rsid w:val="00880E74"/>
    <w:rsid w:val="008B459E"/>
    <w:rsid w:val="008E13AE"/>
    <w:rsid w:val="008E1506"/>
    <w:rsid w:val="008E4D3C"/>
    <w:rsid w:val="008E710C"/>
    <w:rsid w:val="008E7818"/>
    <w:rsid w:val="008F69D6"/>
    <w:rsid w:val="00902823"/>
    <w:rsid w:val="00915CA6"/>
    <w:rsid w:val="00927834"/>
    <w:rsid w:val="00931737"/>
    <w:rsid w:val="009500A6"/>
    <w:rsid w:val="00957C18"/>
    <w:rsid w:val="009659BA"/>
    <w:rsid w:val="00983040"/>
    <w:rsid w:val="009A7BCA"/>
    <w:rsid w:val="009B3FB9"/>
    <w:rsid w:val="009C0842"/>
    <w:rsid w:val="009C2465"/>
    <w:rsid w:val="009D35A0"/>
    <w:rsid w:val="009D7EB7"/>
    <w:rsid w:val="009E048A"/>
    <w:rsid w:val="009E08E9"/>
    <w:rsid w:val="009E222B"/>
    <w:rsid w:val="009E3DB9"/>
    <w:rsid w:val="009E6E35"/>
    <w:rsid w:val="009F0EDA"/>
    <w:rsid w:val="00A03B96"/>
    <w:rsid w:val="00A05B19"/>
    <w:rsid w:val="00A1134E"/>
    <w:rsid w:val="00A24E7E"/>
    <w:rsid w:val="00A258C3"/>
    <w:rsid w:val="00A262D3"/>
    <w:rsid w:val="00A347C0"/>
    <w:rsid w:val="00A478CF"/>
    <w:rsid w:val="00A51431"/>
    <w:rsid w:val="00A539AD"/>
    <w:rsid w:val="00A66A8F"/>
    <w:rsid w:val="00A94063"/>
    <w:rsid w:val="00AA6219"/>
    <w:rsid w:val="00AA74E0"/>
    <w:rsid w:val="00AB703F"/>
    <w:rsid w:val="00AC6BB8"/>
    <w:rsid w:val="00AE008F"/>
    <w:rsid w:val="00AF3778"/>
    <w:rsid w:val="00B00034"/>
    <w:rsid w:val="00B01FCD"/>
    <w:rsid w:val="00B1776C"/>
    <w:rsid w:val="00B44D17"/>
    <w:rsid w:val="00B52583"/>
    <w:rsid w:val="00B52896"/>
    <w:rsid w:val="00B64FE2"/>
    <w:rsid w:val="00B732EF"/>
    <w:rsid w:val="00B914D1"/>
    <w:rsid w:val="00B95236"/>
    <w:rsid w:val="00B96BD9"/>
    <w:rsid w:val="00BA14DD"/>
    <w:rsid w:val="00BA1B01"/>
    <w:rsid w:val="00BA2641"/>
    <w:rsid w:val="00BB37AA"/>
    <w:rsid w:val="00BB718D"/>
    <w:rsid w:val="00BC53A0"/>
    <w:rsid w:val="00BD17BC"/>
    <w:rsid w:val="00BE62AD"/>
    <w:rsid w:val="00BF121F"/>
    <w:rsid w:val="00BF1F80"/>
    <w:rsid w:val="00C03B29"/>
    <w:rsid w:val="00C07C03"/>
    <w:rsid w:val="00C166EF"/>
    <w:rsid w:val="00C17EB0"/>
    <w:rsid w:val="00C207DF"/>
    <w:rsid w:val="00C27F5F"/>
    <w:rsid w:val="00C30A0F"/>
    <w:rsid w:val="00C35F5A"/>
    <w:rsid w:val="00C37E61"/>
    <w:rsid w:val="00C65265"/>
    <w:rsid w:val="00C70F1B"/>
    <w:rsid w:val="00C71A47"/>
    <w:rsid w:val="00C7464C"/>
    <w:rsid w:val="00C85588"/>
    <w:rsid w:val="00C874D6"/>
    <w:rsid w:val="00C95C93"/>
    <w:rsid w:val="00CA758C"/>
    <w:rsid w:val="00CD6755"/>
    <w:rsid w:val="00CD6856"/>
    <w:rsid w:val="00CE0089"/>
    <w:rsid w:val="00CE793C"/>
    <w:rsid w:val="00CF0D27"/>
    <w:rsid w:val="00CF193C"/>
    <w:rsid w:val="00D173F1"/>
    <w:rsid w:val="00D312A8"/>
    <w:rsid w:val="00D668FD"/>
    <w:rsid w:val="00D74CB0"/>
    <w:rsid w:val="00D8295D"/>
    <w:rsid w:val="00D90282"/>
    <w:rsid w:val="00D93230"/>
    <w:rsid w:val="00D93E30"/>
    <w:rsid w:val="00DA7319"/>
    <w:rsid w:val="00DC2A65"/>
    <w:rsid w:val="00DD5F91"/>
    <w:rsid w:val="00DD74B1"/>
    <w:rsid w:val="00DE0DD7"/>
    <w:rsid w:val="00DE15F0"/>
    <w:rsid w:val="00DE5663"/>
    <w:rsid w:val="00DE78AA"/>
    <w:rsid w:val="00DF6E30"/>
    <w:rsid w:val="00E053D0"/>
    <w:rsid w:val="00E15994"/>
    <w:rsid w:val="00E3114E"/>
    <w:rsid w:val="00E31A70"/>
    <w:rsid w:val="00E35B02"/>
    <w:rsid w:val="00E66496"/>
    <w:rsid w:val="00E66B35"/>
    <w:rsid w:val="00E66E10"/>
    <w:rsid w:val="00E769F6"/>
    <w:rsid w:val="00E8407C"/>
    <w:rsid w:val="00E84F3C"/>
    <w:rsid w:val="00EA012C"/>
    <w:rsid w:val="00EA6255"/>
    <w:rsid w:val="00EB3F7E"/>
    <w:rsid w:val="00EC6A55"/>
    <w:rsid w:val="00ED0288"/>
    <w:rsid w:val="00ED33FD"/>
    <w:rsid w:val="00EE52CB"/>
    <w:rsid w:val="00EF581D"/>
    <w:rsid w:val="00EF7FD8"/>
    <w:rsid w:val="00F06F59"/>
    <w:rsid w:val="00F17988"/>
    <w:rsid w:val="00F469F0"/>
    <w:rsid w:val="00F53273"/>
    <w:rsid w:val="00F755E4"/>
    <w:rsid w:val="00F77D02"/>
    <w:rsid w:val="00FB3A86"/>
    <w:rsid w:val="00FC4F6E"/>
    <w:rsid w:val="00FC53AA"/>
    <w:rsid w:val="00FD36C8"/>
    <w:rsid w:val="00FF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EF8C6EB"/>
  <w15:docId w15:val="{F3F26966-5D96-4362-9A2D-BB36B1B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D5F9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515B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2F2977"/>
    <w:pPr>
      <w:spacing w:after="120"/>
    </w:pPr>
  </w:style>
  <w:style w:type="character" w:customStyle="1" w:styleId="BodyTextChar">
    <w:name w:val="Body Text Char"/>
    <w:basedOn w:val="DefaultParagraphFont"/>
    <w:link w:val="BodyText"/>
    <w:semiHidden/>
    <w:rsid w:val="002F2977"/>
    <w:rPr>
      <w:rFonts w:ascii="Helvetica" w:hAnsi="Helvetica"/>
    </w:rPr>
  </w:style>
  <w:style w:type="character" w:customStyle="1" w:styleId="Heading3Char">
    <w:name w:val="Heading 3 Char"/>
    <w:basedOn w:val="DefaultParagraphFont"/>
    <w:link w:val="Heading3"/>
    <w:semiHidden/>
    <w:rsid w:val="00DD5F9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semiHidden/>
    <w:rsid w:val="00515B54"/>
    <w:rPr>
      <w:rFonts w:asciiTheme="majorHAnsi" w:eastAsiaTheme="majorEastAsia" w:hAnsiTheme="majorHAnsi" w:cstheme="majorBidi"/>
      <w:color w:val="243F60" w:themeColor="accent1" w:themeShade="7F"/>
    </w:rPr>
  </w:style>
  <w:style w:type="paragraph" w:customStyle="1" w:styleId="references">
    <w:name w:val="references"/>
    <w:uiPriority w:val="99"/>
    <w:rsid w:val="00A478CF"/>
    <w:pPr>
      <w:numPr>
        <w:numId w:val="32"/>
      </w:numPr>
      <w:spacing w:after="50" w:line="180" w:lineRule="exact"/>
      <w:jc w:val="both"/>
    </w:pPr>
    <w:rPr>
      <w:noProof/>
      <w:sz w:val="16"/>
      <w:szCs w:val="16"/>
    </w:rPr>
  </w:style>
  <w:style w:type="table" w:customStyle="1" w:styleId="TableGrid1">
    <w:name w:val="Table Grid1"/>
    <w:basedOn w:val="TableNormal"/>
    <w:next w:val="TableGrid"/>
    <w:uiPriority w:val="39"/>
    <w:rsid w:val="005A42ED"/>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9EBDE-1ABA-42EA-910F-3E4CD06D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170</TotalTime>
  <Pages>10</Pages>
  <Words>12449</Words>
  <Characters>70962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83245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75</cp:revision>
  <cp:lastPrinted>1999-07-06T11:00:00Z</cp:lastPrinted>
  <dcterms:created xsi:type="dcterms:W3CDTF">2014-10-25T14:34:00Z</dcterms:created>
  <dcterms:modified xsi:type="dcterms:W3CDTF">2025-06-02T11:12:00Z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ca258e54-c557-3e1e-8f2b-db6ed3abf4b6</vt:lpwstr>
  </property>
  <property fmtid="{D5CDD505-2E9C-101B-9397-08002B2CF9AE}" pid="24" name="Mendeley Citation Style_1">
    <vt:lpwstr>http://www.zotero.org/styles/apa</vt:lpwstr>
  </property>
</Properties>
</file>