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A576E" w14:textId="77777777" w:rsidR="00031351" w:rsidRDefault="00031351" w:rsidP="00031351">
      <w:pPr>
        <w:jc w:val="right"/>
        <w:rPr>
          <w:rFonts w:ascii="Arial" w:hAnsi="Arial" w:cs="Arial"/>
          <w:b/>
          <w:bCs/>
          <w:i/>
          <w:iCs/>
          <w:sz w:val="36"/>
          <w:szCs w:val="36"/>
          <w:u w:val="single"/>
          <w:lang w:val="en-US"/>
        </w:rPr>
      </w:pPr>
      <w:bookmarkStart w:id="0" w:name="_GoBack"/>
      <w:bookmarkEnd w:id="0"/>
      <w:r w:rsidRPr="00031351">
        <w:rPr>
          <w:rFonts w:ascii="Arial" w:hAnsi="Arial" w:cs="Arial"/>
          <w:b/>
          <w:bCs/>
          <w:i/>
          <w:iCs/>
          <w:sz w:val="36"/>
          <w:szCs w:val="36"/>
          <w:u w:val="single"/>
          <w:lang w:val="en-US"/>
        </w:rPr>
        <w:t>Original Research Article</w:t>
      </w:r>
    </w:p>
    <w:p w14:paraId="11DBA5BA" w14:textId="77777777" w:rsidR="00031351" w:rsidRPr="00031351" w:rsidRDefault="00031351" w:rsidP="00031351">
      <w:pPr>
        <w:jc w:val="right"/>
        <w:rPr>
          <w:rFonts w:ascii="Arial" w:hAnsi="Arial" w:cs="Arial"/>
          <w:b/>
          <w:bCs/>
          <w:i/>
          <w:iCs/>
          <w:sz w:val="36"/>
          <w:szCs w:val="36"/>
          <w:u w:val="single"/>
          <w:lang w:val="en-US"/>
        </w:rPr>
      </w:pPr>
    </w:p>
    <w:p w14:paraId="4E42A780" w14:textId="0F61EBA8" w:rsidR="00B77CA6" w:rsidRDefault="00D87684">
      <w:pPr>
        <w:jc w:val="right"/>
        <w:rPr>
          <w:rFonts w:ascii="Arial" w:hAnsi="Arial" w:cs="Arial"/>
          <w:b/>
          <w:bCs/>
          <w:i/>
          <w:sz w:val="36"/>
          <w:szCs w:val="36"/>
        </w:rPr>
      </w:pPr>
      <w:r>
        <w:rPr>
          <w:rFonts w:ascii="Arial" w:hAnsi="Arial" w:cs="Arial"/>
          <w:b/>
          <w:bCs/>
          <w:i/>
          <w:sz w:val="36"/>
          <w:szCs w:val="36"/>
        </w:rPr>
        <w:t xml:space="preserve">  Bioactivity and Safety of hydro-ethanolic Lyophilised Carpobrotus edulis</w:t>
      </w:r>
    </w:p>
    <w:p w14:paraId="42803F65" w14:textId="77777777" w:rsidR="001F7050" w:rsidRDefault="001F7050" w:rsidP="001F7050">
      <w:pPr>
        <w:pStyle w:val="Footer"/>
        <w:rPr>
          <w:rStyle w:val="Hyperlink"/>
          <w:rFonts w:ascii="Arial" w:hAnsi="Arial" w:cs="Arial"/>
        </w:rPr>
      </w:pPr>
    </w:p>
    <w:p w14:paraId="5175BEC9" w14:textId="77777777" w:rsidR="001F7050" w:rsidRDefault="001F7050">
      <w:pPr>
        <w:pStyle w:val="Affiliation"/>
        <w:rPr>
          <w:rFonts w:ascii="Arial" w:hAnsi="Arial" w:cs="Arial"/>
        </w:rPr>
      </w:pPr>
    </w:p>
    <w:p w14:paraId="69736CF7" w14:textId="77777777" w:rsidR="00B77CA6" w:rsidRDefault="007D0265">
      <w:pPr>
        <w:contextualSpacing/>
        <w:rPr>
          <w:rFonts w:ascii="Arial" w:hAnsi="Arial" w:cs="Arial"/>
        </w:rPr>
      </w:pPr>
      <w:r>
        <w:rPr>
          <w:rFonts w:ascii="Arial" w:hAnsi="Arial" w:cs="Arial"/>
          <w:i/>
          <w:noProof/>
          <w:vertAlign w:val="superscript"/>
          <w:lang w:val="en-US" w:eastAsia="en-US"/>
        </w:rPr>
        <w:pict w14:anchorId="067AD643">
          <v:line id="1026" o:spid="_x0000_s1026" style="position:absolute;flip:y;z-index:2;visibility:visible;mso-wrap-distance-left:0;mso-wrap-distance-right:0;mso-position-horizontal-relative:text;mso-position-vertical-relative:text;mso-width-relative:page;mso-height-relative:page" from="-4.8pt,16.3pt" to="457.2pt,16.9pt" strokeweight="1.5pt">
            <v:stroke joinstyle="miter"/>
          </v:line>
        </w:pict>
      </w:r>
    </w:p>
    <w:p w14:paraId="0C282782" w14:textId="77777777" w:rsidR="00B77CA6" w:rsidRDefault="00B77CA6">
      <w:pPr>
        <w:contextualSpacing/>
        <w:rPr>
          <w:rFonts w:ascii="Arial" w:hAnsi="Arial" w:cs="Arial"/>
        </w:rPr>
      </w:pPr>
    </w:p>
    <w:p w14:paraId="7B806FA7" w14:textId="77777777" w:rsidR="00B77CA6" w:rsidRDefault="00D87684">
      <w:pPr>
        <w:autoSpaceDE w:val="0"/>
        <w:autoSpaceDN w:val="0"/>
        <w:adjustRightInd w:val="0"/>
        <w:jc w:val="both"/>
        <w:rPr>
          <w:rFonts w:ascii="Arial" w:hAnsi="Arial" w:cs="Arial"/>
          <w:b/>
          <w:caps/>
          <w:szCs w:val="20"/>
          <w:lang w:val="en-US"/>
        </w:rPr>
      </w:pPr>
      <w:r>
        <w:rPr>
          <w:rFonts w:ascii="Arial" w:hAnsi="Arial" w:cs="Arial"/>
          <w:b/>
          <w:caps/>
          <w:szCs w:val="20"/>
          <w:lang w:val="en-US"/>
        </w:rPr>
        <w:t xml:space="preserve">Abstract </w:t>
      </w:r>
    </w:p>
    <w:p w14:paraId="09485A2C" w14:textId="77777777" w:rsidR="00B77CA6" w:rsidRDefault="00B77CA6">
      <w:pPr>
        <w:autoSpaceDE w:val="0"/>
        <w:autoSpaceDN w:val="0"/>
        <w:adjustRightInd w:val="0"/>
        <w:jc w:val="both"/>
        <w:rPr>
          <w:rFonts w:ascii="Arial" w:hAnsi="Arial" w:cs="Arial"/>
          <w:b/>
          <w:caps/>
          <w:szCs w:val="20"/>
          <w:lang w:val="en-US"/>
        </w:rPr>
      </w:pPr>
    </w:p>
    <w:p w14:paraId="37B8113E" w14:textId="4F91077C" w:rsidR="00B77CA6" w:rsidRDefault="00D87684">
      <w:pPr>
        <w:pBdr>
          <w:top w:val="single" w:sz="4" w:space="1" w:color="666666"/>
          <w:left w:val="single" w:sz="4" w:space="4" w:color="666666"/>
          <w:bottom w:val="single" w:sz="4" w:space="1" w:color="666666"/>
          <w:right w:val="single" w:sz="4" w:space="4" w:color="666666"/>
        </w:pBdr>
        <w:jc w:val="both"/>
        <w:rPr>
          <w:rFonts w:ascii="Arial" w:hAnsi="Arial" w:cs="Arial"/>
          <w:sz w:val="20"/>
          <w:szCs w:val="20"/>
        </w:rPr>
      </w:pPr>
      <w:r>
        <w:rPr>
          <w:rFonts w:ascii="Arial" w:hAnsi="Arial" w:cs="Arial"/>
          <w:i/>
          <w:iCs/>
          <w:sz w:val="20"/>
          <w:szCs w:val="20"/>
        </w:rPr>
        <w:t>Carpobrotus</w:t>
      </w:r>
      <w:r>
        <w:rPr>
          <w:rFonts w:ascii="Arial" w:hAnsi="Arial" w:cs="Arial"/>
          <w:i/>
          <w:iCs/>
          <w:sz w:val="20"/>
          <w:szCs w:val="20"/>
          <w:lang w:val="en-US"/>
        </w:rPr>
        <w:t xml:space="preserve"> edulis</w:t>
      </w:r>
      <w:r>
        <w:rPr>
          <w:rFonts w:ascii="Arial" w:hAnsi="Arial" w:cs="Arial"/>
          <w:sz w:val="20"/>
          <w:szCs w:val="20"/>
          <w:lang w:val="en-US"/>
        </w:rPr>
        <w:t xml:space="preserve"> (</w:t>
      </w:r>
      <w:r w:rsidRPr="00AE288F">
        <w:rPr>
          <w:rFonts w:ascii="Arial" w:hAnsi="Arial" w:cs="Arial"/>
          <w:i/>
          <w:iCs/>
          <w:sz w:val="20"/>
          <w:szCs w:val="20"/>
          <w:lang w:val="en-US"/>
        </w:rPr>
        <w:t>C. edulis</w:t>
      </w:r>
      <w:r>
        <w:rPr>
          <w:rFonts w:ascii="Arial" w:hAnsi="Arial" w:cs="Arial"/>
          <w:sz w:val="20"/>
          <w:szCs w:val="20"/>
          <w:lang w:val="en-US"/>
        </w:rPr>
        <w:t xml:space="preserve">) commonly known as sour fig, from the </w:t>
      </w:r>
      <w:r w:rsidRPr="00AE288F">
        <w:rPr>
          <w:rFonts w:ascii="Arial" w:hAnsi="Arial" w:cs="Arial"/>
          <w:i/>
          <w:iCs/>
          <w:sz w:val="20"/>
          <w:szCs w:val="20"/>
          <w:lang w:val="en-US"/>
        </w:rPr>
        <w:t>Aizoceae</w:t>
      </w:r>
      <w:r>
        <w:rPr>
          <w:rFonts w:ascii="Arial" w:hAnsi="Arial" w:cs="Arial"/>
          <w:sz w:val="20"/>
          <w:szCs w:val="20"/>
          <w:lang w:val="en-US"/>
        </w:rPr>
        <w:t xml:space="preserve"> family is a widespread plant species prevalent in tropical and subtropical regions of Africa. The plant is extensively utilized in traditional medicine for various ailments, including sore throat, bad breath, mouth ulcers, and tonsillitis. The endpoint biomarkers of the </w:t>
      </w:r>
      <w:r w:rsidR="00AE288F">
        <w:rPr>
          <w:rFonts w:ascii="Arial" w:hAnsi="Arial" w:cs="Arial"/>
          <w:sz w:val="20"/>
          <w:szCs w:val="20"/>
          <w:lang w:val="en-US"/>
        </w:rPr>
        <w:t xml:space="preserve">tonsillitis </w:t>
      </w:r>
      <w:r>
        <w:rPr>
          <w:rFonts w:ascii="Arial" w:hAnsi="Arial" w:cs="Arial"/>
          <w:sz w:val="20"/>
          <w:szCs w:val="20"/>
          <w:lang w:val="en-US"/>
        </w:rPr>
        <w:t>diseased state include inflammation</w:t>
      </w:r>
      <w:r w:rsidR="00AE288F">
        <w:rPr>
          <w:rFonts w:ascii="Arial" w:hAnsi="Arial" w:cs="Arial"/>
          <w:sz w:val="20"/>
          <w:szCs w:val="20"/>
          <w:lang w:val="en-US"/>
        </w:rPr>
        <w:t>,</w:t>
      </w:r>
      <w:r>
        <w:rPr>
          <w:rFonts w:ascii="Arial" w:hAnsi="Arial" w:cs="Arial"/>
          <w:sz w:val="20"/>
          <w:szCs w:val="20"/>
          <w:lang w:val="en-US"/>
        </w:rPr>
        <w:t xml:space="preserve"> </w:t>
      </w:r>
      <w:r w:rsidR="00AE288F">
        <w:rPr>
          <w:rFonts w:ascii="Arial" w:hAnsi="Arial" w:cs="Arial"/>
          <w:sz w:val="20"/>
          <w:szCs w:val="20"/>
          <w:lang w:val="en-US"/>
        </w:rPr>
        <w:t>pain and</w:t>
      </w:r>
      <w:r>
        <w:rPr>
          <w:rFonts w:ascii="Arial" w:hAnsi="Arial" w:cs="Arial"/>
          <w:sz w:val="20"/>
          <w:szCs w:val="20"/>
          <w:lang w:val="en-US"/>
        </w:rPr>
        <w:t xml:space="preserve"> degeneration of cells and tissues. The current therapeutic approaches for managing tonsillitis are characterized by several limitations such as adverse side effects and prohibitive costs. This, </w:t>
      </w:r>
      <w:r w:rsidR="00AE288F">
        <w:rPr>
          <w:rFonts w:ascii="Arial" w:hAnsi="Arial" w:cs="Arial"/>
          <w:sz w:val="20"/>
          <w:szCs w:val="20"/>
          <w:lang w:val="en-US"/>
        </w:rPr>
        <w:t>therefore,</w:t>
      </w:r>
      <w:r>
        <w:rPr>
          <w:rFonts w:ascii="Arial" w:hAnsi="Arial" w:cs="Arial"/>
          <w:sz w:val="20"/>
          <w:szCs w:val="20"/>
          <w:lang w:val="en-US"/>
        </w:rPr>
        <w:t xml:space="preserve"> necessitates the need to explore safer, effective, and affordable alternatives that can inhibit, ameliorate, and/or reverse the biological endpoints of tonsillitis. Our current study qualitatively and quantitatively determined the phytoconstituents of </w:t>
      </w:r>
      <w:r>
        <w:rPr>
          <w:rFonts w:ascii="Arial" w:hAnsi="Arial" w:cs="Arial"/>
          <w:i/>
          <w:iCs/>
          <w:sz w:val="20"/>
          <w:szCs w:val="20"/>
          <w:lang w:val="en-US"/>
        </w:rPr>
        <w:t>Carpobrotus edulis</w:t>
      </w:r>
      <w:r>
        <w:rPr>
          <w:rFonts w:ascii="Arial" w:hAnsi="Arial" w:cs="Arial"/>
          <w:sz w:val="20"/>
          <w:szCs w:val="20"/>
          <w:lang w:val="en-US"/>
        </w:rPr>
        <w:t>, as well as its activity as an antimicrobial, antioxidant, and anti-inflammatory agent. The ph</w:t>
      </w:r>
      <w:r w:rsidR="00AE288F">
        <w:rPr>
          <w:rFonts w:ascii="Arial" w:hAnsi="Arial" w:cs="Arial"/>
          <w:sz w:val="20"/>
          <w:szCs w:val="20"/>
          <w:lang w:val="en-US"/>
        </w:rPr>
        <w:t>ytochemical</w:t>
      </w:r>
      <w:r>
        <w:rPr>
          <w:rFonts w:ascii="Arial" w:hAnsi="Arial" w:cs="Arial"/>
          <w:sz w:val="20"/>
          <w:szCs w:val="20"/>
          <w:lang w:val="en-US"/>
        </w:rPr>
        <w:t xml:space="preserve"> screening confirmed the presence of numerous biomedically relevant secondary metabolites with high polyphenolic and flavonoid yields. The biosafety study using Sprague Dawley rat models confirmed that </w:t>
      </w:r>
      <w:r>
        <w:rPr>
          <w:rFonts w:ascii="Arial" w:hAnsi="Arial" w:cs="Arial"/>
          <w:i/>
          <w:iCs/>
          <w:sz w:val="20"/>
          <w:szCs w:val="20"/>
          <w:lang w:val="en-US"/>
        </w:rPr>
        <w:t>Carpobrotus edulis</w:t>
      </w:r>
      <w:r>
        <w:rPr>
          <w:rFonts w:ascii="Arial" w:hAnsi="Arial" w:cs="Arial"/>
          <w:sz w:val="20"/>
          <w:szCs w:val="20"/>
          <w:lang w:val="en-US"/>
        </w:rPr>
        <w:t xml:space="preserve"> is </w:t>
      </w:r>
      <w:r w:rsidR="00AE288F">
        <w:rPr>
          <w:rFonts w:ascii="Arial" w:hAnsi="Arial" w:cs="Arial"/>
          <w:sz w:val="20"/>
          <w:szCs w:val="20"/>
          <w:lang w:val="en-US"/>
        </w:rPr>
        <w:t>non-toxic</w:t>
      </w:r>
      <w:r>
        <w:rPr>
          <w:rFonts w:ascii="Arial" w:hAnsi="Arial" w:cs="Arial"/>
          <w:sz w:val="20"/>
          <w:szCs w:val="20"/>
          <w:lang w:val="en-US"/>
        </w:rPr>
        <w:t xml:space="preserve"> with an LD50 above 2000mg/kg. The hydroethanolic extract demonstrated high anti-oxidant and high anti-inflammatory activities, which were comparable to the standards, ascorbic acid and diclofenac, respectively. It was therefore concluded that the presence of bioactive secondary metabolites in lyophilized extracts of the leaves of </w:t>
      </w:r>
      <w:bookmarkStart w:id="1" w:name="_Hlk201045745"/>
      <w:r w:rsidRPr="00245BE0">
        <w:rPr>
          <w:rFonts w:ascii="Arial" w:hAnsi="Arial" w:cs="Arial"/>
          <w:i/>
          <w:iCs/>
          <w:sz w:val="20"/>
          <w:szCs w:val="20"/>
          <w:lang w:val="en-US"/>
        </w:rPr>
        <w:t>Carpobrotus edulis</w:t>
      </w:r>
      <w:r>
        <w:rPr>
          <w:rFonts w:ascii="Arial" w:hAnsi="Arial" w:cs="Arial"/>
          <w:sz w:val="20"/>
          <w:szCs w:val="20"/>
          <w:lang w:val="en-US"/>
        </w:rPr>
        <w:t xml:space="preserve"> </w:t>
      </w:r>
      <w:bookmarkEnd w:id="1"/>
      <w:r>
        <w:rPr>
          <w:rFonts w:ascii="Arial" w:hAnsi="Arial" w:cs="Arial"/>
          <w:sz w:val="20"/>
          <w:szCs w:val="20"/>
          <w:lang w:val="en-US"/>
        </w:rPr>
        <w:t xml:space="preserve">possess satisfactory anti-bacterial, anti-inflammatory, and </w:t>
      </w:r>
      <w:r w:rsidR="008A4E15">
        <w:rPr>
          <w:rFonts w:ascii="Arial" w:hAnsi="Arial" w:cs="Arial"/>
          <w:sz w:val="20"/>
          <w:szCs w:val="20"/>
          <w:lang w:val="en-US"/>
        </w:rPr>
        <w:t>antioxidant</w:t>
      </w:r>
      <w:r>
        <w:rPr>
          <w:rFonts w:ascii="Arial" w:hAnsi="Arial" w:cs="Arial"/>
          <w:sz w:val="20"/>
          <w:szCs w:val="20"/>
          <w:lang w:val="en-US"/>
        </w:rPr>
        <w:t xml:space="preserve"> profiles. </w:t>
      </w:r>
      <w:r w:rsidR="00AE288F">
        <w:rPr>
          <w:rFonts w:ascii="Arial" w:hAnsi="Arial" w:cs="Arial"/>
          <w:sz w:val="20"/>
          <w:szCs w:val="20"/>
          <w:lang w:val="en-US"/>
        </w:rPr>
        <w:t>These results thereby</w:t>
      </w:r>
      <w:r>
        <w:rPr>
          <w:rFonts w:ascii="Arial" w:hAnsi="Arial" w:cs="Arial"/>
          <w:sz w:val="20"/>
          <w:szCs w:val="20"/>
          <w:lang w:val="en-US"/>
        </w:rPr>
        <w:t xml:space="preserve"> support</w:t>
      </w:r>
      <w:r w:rsidR="00AE288F">
        <w:rPr>
          <w:rFonts w:ascii="Arial" w:hAnsi="Arial" w:cs="Arial"/>
          <w:sz w:val="20"/>
          <w:szCs w:val="20"/>
          <w:lang w:val="en-US"/>
        </w:rPr>
        <w:t xml:space="preserve"> the </w:t>
      </w:r>
      <w:r>
        <w:rPr>
          <w:rFonts w:ascii="Arial" w:hAnsi="Arial" w:cs="Arial"/>
          <w:sz w:val="20"/>
          <w:szCs w:val="20"/>
          <w:lang w:val="en-US"/>
        </w:rPr>
        <w:t xml:space="preserve"> use</w:t>
      </w:r>
      <w:r w:rsidR="00AE288F">
        <w:rPr>
          <w:rFonts w:ascii="Arial" w:hAnsi="Arial" w:cs="Arial"/>
          <w:sz w:val="20"/>
          <w:szCs w:val="20"/>
          <w:lang w:val="en-US"/>
        </w:rPr>
        <w:t xml:space="preserve"> of </w:t>
      </w:r>
      <w:r>
        <w:rPr>
          <w:rFonts w:ascii="Arial" w:hAnsi="Arial" w:cs="Arial"/>
          <w:sz w:val="20"/>
          <w:szCs w:val="20"/>
          <w:lang w:val="en-US"/>
        </w:rPr>
        <w:t xml:space="preserve"> </w:t>
      </w:r>
      <w:r w:rsidR="00AE288F">
        <w:rPr>
          <w:rFonts w:ascii="Arial" w:hAnsi="Arial" w:cs="Arial"/>
          <w:i/>
          <w:iCs/>
          <w:sz w:val="20"/>
          <w:szCs w:val="20"/>
          <w:lang w:val="en-US"/>
        </w:rPr>
        <w:t>Carpobrotus edulis</w:t>
      </w:r>
      <w:r w:rsidR="00AE288F">
        <w:rPr>
          <w:rFonts w:ascii="Arial" w:hAnsi="Arial" w:cs="Arial"/>
          <w:sz w:val="20"/>
          <w:szCs w:val="20"/>
          <w:lang w:val="en-US"/>
        </w:rPr>
        <w:t xml:space="preserve"> </w:t>
      </w:r>
      <w:r>
        <w:rPr>
          <w:rFonts w:ascii="Arial" w:hAnsi="Arial" w:cs="Arial"/>
          <w:sz w:val="20"/>
          <w:szCs w:val="20"/>
          <w:lang w:val="en-US"/>
        </w:rPr>
        <w:t>as an adjunct therapy for known biological endpoints of tonsillitis in traditional medical practices in Southern Africa.</w:t>
      </w:r>
    </w:p>
    <w:p w14:paraId="2B7A4766" w14:textId="77777777" w:rsidR="00B77CA6" w:rsidRDefault="00B77CA6">
      <w:pPr>
        <w:autoSpaceDE w:val="0"/>
        <w:autoSpaceDN w:val="0"/>
        <w:adjustRightInd w:val="0"/>
        <w:jc w:val="both"/>
        <w:rPr>
          <w:rFonts w:ascii="Arial" w:hAnsi="Arial" w:cs="Arial"/>
          <w:b/>
          <w:caps/>
          <w:szCs w:val="20"/>
          <w:lang w:val="en-US"/>
        </w:rPr>
      </w:pPr>
    </w:p>
    <w:p w14:paraId="0D11DFA9" w14:textId="77777777" w:rsidR="00B77CA6" w:rsidRDefault="00D87684">
      <w:pPr>
        <w:autoSpaceDE w:val="0"/>
        <w:autoSpaceDN w:val="0"/>
        <w:adjustRightInd w:val="0"/>
        <w:rPr>
          <w:rFonts w:ascii="Arial" w:hAnsi="Arial" w:cs="Arial"/>
          <w:sz w:val="20"/>
          <w:szCs w:val="20"/>
        </w:rPr>
      </w:pPr>
      <w:r>
        <w:rPr>
          <w:rFonts w:ascii="Arial" w:hAnsi="Arial" w:cs="Arial"/>
          <w:b/>
          <w:sz w:val="20"/>
          <w:szCs w:val="20"/>
        </w:rPr>
        <w:t>Keywords</w:t>
      </w:r>
      <w:r>
        <w:rPr>
          <w:rFonts w:ascii="Arial" w:hAnsi="Arial" w:cs="Arial"/>
          <w:sz w:val="20"/>
          <w:szCs w:val="20"/>
        </w:rPr>
        <w:t>: C</w:t>
      </w:r>
      <w:r>
        <w:rPr>
          <w:rFonts w:ascii="Arial" w:hAnsi="Arial" w:cs="Arial"/>
          <w:i/>
          <w:iCs/>
          <w:sz w:val="20"/>
          <w:szCs w:val="20"/>
        </w:rPr>
        <w:t>ar</w:t>
      </w:r>
      <w:r>
        <w:rPr>
          <w:rFonts w:ascii="Arial" w:hAnsi="Arial" w:cs="Arial"/>
          <w:i/>
          <w:iCs/>
          <w:sz w:val="20"/>
          <w:szCs w:val="20"/>
          <w:lang w:val="en-US"/>
        </w:rPr>
        <w:t xml:space="preserve">pobrotus </w:t>
      </w:r>
      <w:r>
        <w:rPr>
          <w:rFonts w:ascii="Arial" w:hAnsi="Arial" w:cs="Arial"/>
          <w:i/>
          <w:iCs/>
          <w:sz w:val="20"/>
          <w:szCs w:val="20"/>
        </w:rPr>
        <w:t>edulis</w:t>
      </w:r>
      <w:r>
        <w:rPr>
          <w:rFonts w:ascii="Arial" w:hAnsi="Arial" w:cs="Arial"/>
          <w:sz w:val="20"/>
          <w:szCs w:val="20"/>
        </w:rPr>
        <w:t xml:space="preserve">, anti-inflammatory, </w:t>
      </w:r>
      <w:r>
        <w:rPr>
          <w:rFonts w:ascii="Arial" w:hAnsi="Arial" w:cs="Arial"/>
          <w:sz w:val="20"/>
          <w:szCs w:val="20"/>
          <w:lang w:val="en-US"/>
        </w:rPr>
        <w:t>antibacterial,</w:t>
      </w:r>
      <w:r>
        <w:rPr>
          <w:rFonts w:ascii="Arial" w:hAnsi="Arial" w:cs="Arial"/>
          <w:sz w:val="20"/>
          <w:szCs w:val="20"/>
        </w:rPr>
        <w:t xml:space="preserve"> </w:t>
      </w:r>
      <w:r>
        <w:rPr>
          <w:rFonts w:ascii="Arial" w:hAnsi="Arial" w:cs="Arial"/>
          <w:sz w:val="20"/>
          <w:szCs w:val="20"/>
          <w:lang w:val="en-US"/>
        </w:rPr>
        <w:t>tonsilitis</w:t>
      </w:r>
      <w:r>
        <w:rPr>
          <w:rFonts w:ascii="Arial" w:hAnsi="Arial" w:cs="Arial"/>
          <w:sz w:val="20"/>
          <w:szCs w:val="20"/>
        </w:rPr>
        <w:t>, polyphenols, secondary metabolites</w:t>
      </w:r>
      <w:r>
        <w:rPr>
          <w:rFonts w:ascii="Arial" w:hAnsi="Arial" w:cs="Arial"/>
          <w:sz w:val="20"/>
          <w:szCs w:val="20"/>
          <w:lang w:val="en-US"/>
        </w:rPr>
        <w:t>, phytochemicals.</w:t>
      </w:r>
    </w:p>
    <w:p w14:paraId="01BE1470" w14:textId="77777777" w:rsidR="00B77CA6" w:rsidRDefault="00B77CA6">
      <w:pPr>
        <w:autoSpaceDE w:val="0"/>
        <w:autoSpaceDN w:val="0"/>
        <w:adjustRightInd w:val="0"/>
        <w:jc w:val="both"/>
        <w:rPr>
          <w:rFonts w:ascii="Arial" w:hAnsi="Arial" w:cs="Arial"/>
        </w:rPr>
      </w:pPr>
    </w:p>
    <w:p w14:paraId="7422CF72" w14:textId="77777777" w:rsidR="00B77CA6" w:rsidRDefault="00B77CA6">
      <w:pPr>
        <w:autoSpaceDE w:val="0"/>
        <w:autoSpaceDN w:val="0"/>
        <w:adjustRightInd w:val="0"/>
        <w:jc w:val="both"/>
        <w:rPr>
          <w:rFonts w:ascii="Arial" w:hAnsi="Arial" w:cs="Arial"/>
          <w:sz w:val="19"/>
          <w:szCs w:val="19"/>
        </w:rPr>
      </w:pPr>
    </w:p>
    <w:p w14:paraId="767D428C" w14:textId="77777777" w:rsidR="00B77CA6" w:rsidRDefault="00B77CA6">
      <w:pPr>
        <w:autoSpaceDE w:val="0"/>
        <w:autoSpaceDN w:val="0"/>
        <w:adjustRightInd w:val="0"/>
        <w:jc w:val="both"/>
        <w:rPr>
          <w:rFonts w:ascii="Arial" w:hAnsi="Arial" w:cs="Arial"/>
        </w:rPr>
      </w:pPr>
    </w:p>
    <w:p w14:paraId="3E6EE8A0" w14:textId="77777777" w:rsidR="00B77CA6" w:rsidRDefault="00B77CA6">
      <w:pPr>
        <w:autoSpaceDE w:val="0"/>
        <w:autoSpaceDN w:val="0"/>
        <w:adjustRightInd w:val="0"/>
        <w:jc w:val="both"/>
        <w:rPr>
          <w:rFonts w:ascii="Arial" w:hAnsi="Arial" w:cs="Arial"/>
        </w:rPr>
      </w:pPr>
    </w:p>
    <w:p w14:paraId="3FDF0E07" w14:textId="77777777" w:rsidR="00B77CA6" w:rsidRDefault="00B77CA6">
      <w:pPr>
        <w:rPr>
          <w:rFonts w:ascii="Arial" w:hAnsi="Arial" w:cs="Arial"/>
        </w:rPr>
      </w:pPr>
    </w:p>
    <w:p w14:paraId="6B29FC74" w14:textId="77777777" w:rsidR="00B77CA6" w:rsidRDefault="00B77CA6">
      <w:pPr>
        <w:rPr>
          <w:rFonts w:ascii="Arial" w:hAnsi="Arial" w:cs="Arial"/>
        </w:rPr>
      </w:pPr>
    </w:p>
    <w:p w14:paraId="644E09F7" w14:textId="77777777" w:rsidR="00B77CA6" w:rsidRDefault="00D87684">
      <w:pPr>
        <w:rPr>
          <w:rStyle w:val="Hyperlink"/>
          <w:rFonts w:ascii="Arial" w:hAnsi="Arial" w:cs="Arial"/>
        </w:rPr>
      </w:pPr>
      <w:r>
        <w:rPr>
          <w:rStyle w:val="Hyperlink"/>
          <w:rFonts w:ascii="Arial" w:hAnsi="Arial" w:cs="Arial"/>
        </w:rPr>
        <w:br w:type="page"/>
      </w:r>
    </w:p>
    <w:p w14:paraId="20E126D8" w14:textId="77777777" w:rsidR="00B77CA6" w:rsidRPr="008A4E15" w:rsidRDefault="00D87684">
      <w:pPr>
        <w:pStyle w:val="Heading1"/>
        <w:rPr>
          <w:rFonts w:ascii="Arial" w:hAnsi="Arial" w:cs="Arial"/>
          <w:sz w:val="24"/>
          <w:szCs w:val="24"/>
        </w:rPr>
      </w:pPr>
      <w:r w:rsidRPr="008A4E15">
        <w:rPr>
          <w:rFonts w:ascii="Arial" w:hAnsi="Arial" w:cs="Arial"/>
          <w:sz w:val="24"/>
          <w:szCs w:val="24"/>
        </w:rPr>
        <w:lastRenderedPageBreak/>
        <w:t>Introduction</w:t>
      </w:r>
    </w:p>
    <w:p w14:paraId="0FBA0F47" w14:textId="77777777" w:rsidR="00B77CA6" w:rsidRPr="008A4E15" w:rsidRDefault="00D87684">
      <w:pPr>
        <w:pStyle w:val="Heading2"/>
        <w:rPr>
          <w:rFonts w:ascii="Arial" w:hAnsi="Arial" w:cs="Arial"/>
          <w:i/>
          <w:iCs/>
          <w:sz w:val="24"/>
          <w:szCs w:val="24"/>
        </w:rPr>
      </w:pPr>
      <w:r w:rsidRPr="008A4E15">
        <w:rPr>
          <w:rFonts w:ascii="Arial" w:hAnsi="Arial" w:cs="Arial"/>
          <w:i/>
          <w:iCs/>
          <w:sz w:val="24"/>
          <w:szCs w:val="24"/>
        </w:rPr>
        <w:t>Carpobrotus edulis</w:t>
      </w:r>
    </w:p>
    <w:p w14:paraId="6FE8D428" w14:textId="503943E5" w:rsidR="00B77CA6" w:rsidRPr="00DB24B6" w:rsidRDefault="00D87684">
      <w:pPr>
        <w:jc w:val="both"/>
        <w:rPr>
          <w:rFonts w:ascii="Arial" w:hAnsi="Arial" w:cs="Arial"/>
          <w:sz w:val="20"/>
          <w:szCs w:val="20"/>
          <w:lang w:val="en-US"/>
        </w:rPr>
      </w:pPr>
      <w:r w:rsidRPr="00245BE0">
        <w:rPr>
          <w:rFonts w:ascii="Arial" w:hAnsi="Arial" w:cs="Arial"/>
          <w:i/>
          <w:iCs/>
          <w:sz w:val="20"/>
          <w:szCs w:val="20"/>
          <w:lang w:val="en-US"/>
        </w:rPr>
        <w:t>Carpobrotus edulis</w:t>
      </w:r>
      <w:r>
        <w:rPr>
          <w:rFonts w:ascii="Arial" w:hAnsi="Arial" w:cs="Arial"/>
          <w:sz w:val="20"/>
          <w:szCs w:val="20"/>
          <w:lang w:val="en-US"/>
        </w:rPr>
        <w:t xml:space="preserve">, commonly known as </w:t>
      </w:r>
      <w:r w:rsidRPr="00AE288F">
        <w:rPr>
          <w:rFonts w:ascii="Arial" w:hAnsi="Arial" w:cs="Arial"/>
          <w:i/>
          <w:iCs/>
          <w:sz w:val="20"/>
          <w:szCs w:val="20"/>
          <w:lang w:val="en-US"/>
        </w:rPr>
        <w:t>Mukuyukono</w:t>
      </w:r>
      <w:r>
        <w:rPr>
          <w:rFonts w:ascii="Arial" w:hAnsi="Arial" w:cs="Arial"/>
          <w:sz w:val="20"/>
          <w:szCs w:val="20"/>
          <w:lang w:val="en-US"/>
        </w:rPr>
        <w:t xml:space="preserve"> by the Shona communities of Zimbabwe is a succulent, ground-cover plant that is used widely in Southern Africa. </w:t>
      </w:r>
      <w:r>
        <w:rPr>
          <w:rFonts w:ascii="Arial" w:hAnsi="Arial" w:cs="Arial"/>
          <w:sz w:val="20"/>
          <w:szCs w:val="20"/>
        </w:rPr>
        <w:t>This plant belongs to the Aizoaceae family and is characterized by its mat-forming growth habit, vibrant foliage, and ability to thrive in saline environments</w:t>
      </w:r>
      <w:sdt>
        <w:sdtPr>
          <w:rPr>
            <w:rFonts w:ascii="Arial" w:hAnsi="Arial" w:cs="Arial"/>
            <w:sz w:val="20"/>
            <w:szCs w:val="20"/>
          </w:rPr>
          <w:id w:val="1141692393"/>
          <w:citation/>
        </w:sdtPr>
        <w:sdtEndPr/>
        <w:sdtContent>
          <w:r w:rsidR="00CC03DA" w:rsidRPr="00DB24B6">
            <w:rPr>
              <w:rFonts w:ascii="Arial" w:hAnsi="Arial" w:cs="Arial"/>
              <w:sz w:val="20"/>
              <w:szCs w:val="20"/>
            </w:rPr>
            <w:fldChar w:fldCharType="begin"/>
          </w:r>
          <w:r w:rsidR="00EF7D0C">
            <w:rPr>
              <w:rFonts w:ascii="Arial" w:hAnsi="Arial" w:cs="Arial"/>
              <w:sz w:val="20"/>
              <w:szCs w:val="20"/>
              <w:lang w:val="en-GB"/>
            </w:rPr>
            <w:instrText xml:space="preserve">CITATION KAA20 \l 2057 </w:instrText>
          </w:r>
          <w:r w:rsidR="00CC03DA" w:rsidRPr="00DB24B6">
            <w:rPr>
              <w:rFonts w:ascii="Arial" w:hAnsi="Arial" w:cs="Arial"/>
              <w:sz w:val="20"/>
              <w:szCs w:val="20"/>
            </w:rPr>
            <w:fldChar w:fldCharType="separate"/>
          </w:r>
          <w:r w:rsidR="00EF7D0C">
            <w:rPr>
              <w:rFonts w:ascii="Arial" w:hAnsi="Arial" w:cs="Arial"/>
              <w:noProof/>
              <w:sz w:val="20"/>
              <w:szCs w:val="20"/>
              <w:lang w:val="en-GB"/>
            </w:rPr>
            <w:t xml:space="preserve"> </w:t>
          </w:r>
          <w:r w:rsidR="00EF7D0C" w:rsidRPr="00EF7D0C">
            <w:rPr>
              <w:rFonts w:ascii="Arial" w:hAnsi="Arial" w:cs="Arial"/>
              <w:noProof/>
              <w:sz w:val="20"/>
              <w:szCs w:val="20"/>
              <w:lang w:val="en-GB"/>
            </w:rPr>
            <w:t>[1]</w:t>
          </w:r>
          <w:r w:rsidR="00CC03DA" w:rsidRPr="00DB24B6">
            <w:rPr>
              <w:rFonts w:ascii="Arial" w:hAnsi="Arial" w:cs="Arial"/>
              <w:sz w:val="20"/>
              <w:szCs w:val="20"/>
            </w:rPr>
            <w:fldChar w:fldCharType="end"/>
          </w:r>
        </w:sdtContent>
      </w:sdt>
      <w:r>
        <w:rPr>
          <w:rFonts w:ascii="Arial" w:hAnsi="Arial" w:cs="Arial"/>
          <w:sz w:val="20"/>
          <w:szCs w:val="20"/>
        </w:rPr>
        <w:t>. It is characterized by fleshy, green leaves that can store water, making it well-suited for arid environments</w:t>
      </w:r>
      <w:r>
        <w:rPr>
          <w:rFonts w:ascii="Arial" w:hAnsi="Arial" w:cs="Arial"/>
          <w:sz w:val="20"/>
          <w:szCs w:val="20"/>
          <w:lang w:val="en-US"/>
        </w:rPr>
        <w:t xml:space="preserve"> It has mat-forming leaves and low-lying stems that may reach up to 2m in length. The leaves have margins serrated along the keel and apex sharply pointed. Carpobrotus usually flowers in August up to 50mm in diameter of the flowers, with numerous pale yellow petals, turning pinkish as the flowers age with edible fleshy fruits. The traditional use of the leaves for wound, sore, or ulcer healing, makes the extract a promising natural and sustainable option for the management of mouth ulcerations, sore throats, scurvy, and also bacterial tonsillitis, particularly in resource-limited settings. The crude extracted from the </w:t>
      </w:r>
      <w:r w:rsidRPr="00245BE0">
        <w:rPr>
          <w:rFonts w:ascii="Arial" w:hAnsi="Arial" w:cs="Arial"/>
          <w:i/>
          <w:iCs/>
          <w:sz w:val="20"/>
          <w:szCs w:val="20"/>
          <w:lang w:val="en-US"/>
        </w:rPr>
        <w:t>Carpobrotus edulis</w:t>
      </w:r>
      <w:r>
        <w:rPr>
          <w:rFonts w:ascii="Arial" w:hAnsi="Arial" w:cs="Arial"/>
          <w:sz w:val="20"/>
          <w:szCs w:val="20"/>
          <w:lang w:val="en-US"/>
        </w:rPr>
        <w:t xml:space="preserve"> folia has been massively studied for its wound healing properties, specifically in the context of treating oral infections such as sore throat, mouth ulcers, gum infections as well as tonsillitis. Traditional medicine in various regions has long utilized the </w:t>
      </w:r>
      <w:r w:rsidRPr="00245BE0">
        <w:rPr>
          <w:rFonts w:ascii="Arial" w:hAnsi="Arial" w:cs="Arial"/>
          <w:i/>
          <w:iCs/>
          <w:sz w:val="20"/>
          <w:szCs w:val="20"/>
          <w:lang w:val="en-US"/>
        </w:rPr>
        <w:t>Carpobrotus edulis</w:t>
      </w:r>
      <w:r>
        <w:rPr>
          <w:rFonts w:ascii="Arial" w:hAnsi="Arial" w:cs="Arial"/>
          <w:sz w:val="20"/>
          <w:szCs w:val="20"/>
          <w:lang w:val="en-US"/>
        </w:rPr>
        <w:t xml:space="preserve"> plant for its ability to promote ulcer recovery and antibacterial activity. The crude extract is believed to contain many bioactive compounds such as flavonoids, tannins, and phenolic acid which have demonstrated antimicrobial, anti-inflammatory, and wound-healing properties in previous studies</w:t>
      </w:r>
      <w:sdt>
        <w:sdtPr>
          <w:rPr>
            <w:rFonts w:ascii="Arial" w:hAnsi="Arial" w:cs="Arial"/>
            <w:sz w:val="20"/>
            <w:szCs w:val="20"/>
            <w:lang w:val="en-US"/>
          </w:rPr>
          <w:id w:val="-479696758"/>
          <w:citation/>
        </w:sdtPr>
        <w:sdtEndPr/>
        <w:sdtContent>
          <w:r w:rsidR="009F13C4" w:rsidRPr="00DB24B6">
            <w:rPr>
              <w:rFonts w:ascii="Arial" w:hAnsi="Arial" w:cs="Arial"/>
              <w:sz w:val="20"/>
              <w:szCs w:val="20"/>
              <w:lang w:val="en-US"/>
            </w:rPr>
            <w:fldChar w:fldCharType="begin"/>
          </w:r>
          <w:r w:rsidR="00DD3CA4">
            <w:rPr>
              <w:rFonts w:ascii="Arial" w:hAnsi="Arial" w:cs="Arial"/>
              <w:sz w:val="20"/>
              <w:szCs w:val="20"/>
              <w:lang w:val="en-GB"/>
            </w:rPr>
            <w:instrText xml:space="preserve">CITATION Jaa12 \l 2057 </w:instrText>
          </w:r>
          <w:r w:rsidR="009F13C4" w:rsidRPr="00DB24B6">
            <w:rPr>
              <w:rFonts w:ascii="Arial" w:hAnsi="Arial" w:cs="Arial"/>
              <w:sz w:val="20"/>
              <w:szCs w:val="20"/>
              <w:lang w:val="en-US"/>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[2]</w:t>
          </w:r>
          <w:r w:rsidR="009F13C4" w:rsidRPr="00DB24B6">
            <w:rPr>
              <w:rFonts w:ascii="Arial" w:hAnsi="Arial" w:cs="Arial"/>
              <w:sz w:val="20"/>
              <w:szCs w:val="20"/>
              <w:lang w:val="en-US"/>
            </w:rPr>
            <w:fldChar w:fldCharType="end"/>
          </w:r>
        </w:sdtContent>
      </w:sdt>
    </w:p>
    <w:p w14:paraId="521FF9AB" w14:textId="77777777" w:rsidR="00B77CA6" w:rsidRDefault="00B77CA6">
      <w:pPr>
        <w:jc w:val="both"/>
        <w:rPr>
          <w:rFonts w:ascii="Arial" w:hAnsi="Arial" w:cs="Arial"/>
          <w:sz w:val="20"/>
          <w:szCs w:val="20"/>
          <w:lang w:val="en-US"/>
        </w:rPr>
      </w:pPr>
    </w:p>
    <w:p w14:paraId="2FB9E7C5" w14:textId="77777777" w:rsidR="00B77CA6" w:rsidRDefault="00B77CA6">
      <w:pPr>
        <w:jc w:val="both"/>
        <w:rPr>
          <w:rFonts w:ascii="Arial" w:hAnsi="Arial" w:cs="Arial"/>
          <w:sz w:val="20"/>
          <w:szCs w:val="20"/>
          <w:lang w:val="en-US"/>
        </w:rPr>
      </w:pPr>
    </w:p>
    <w:p w14:paraId="09FD3175" w14:textId="77777777" w:rsidR="00B77CA6" w:rsidRDefault="00D87684">
      <w:pPr>
        <w:jc w:val="both"/>
        <w:rPr>
          <w:rFonts w:ascii="Arial" w:hAnsi="Arial" w:cs="Arial"/>
        </w:rPr>
      </w:pPr>
      <w:r>
        <w:rPr>
          <w:rFonts w:ascii="Arial" w:hAnsi="Arial" w:cs="Arial"/>
        </w:rPr>
        <w:t xml:space="preserve">   </w:t>
      </w:r>
      <w:r>
        <w:rPr>
          <w:rFonts w:ascii="Arial" w:hAnsi="Arial" w:cs="Arial"/>
          <w:noProof/>
          <w:lang w:val="en-GB" w:eastAsia="en-GB"/>
        </w:rPr>
        <w:drawing>
          <wp:inline distT="0" distB="0" distL="0" distR="0" wp14:anchorId="317A7FCA" wp14:editId="011BDD6E">
            <wp:extent cx="1900795" cy="198212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1900795" cy="1982120"/>
                    </a:xfrm>
                    <a:prstGeom prst="rect">
                      <a:avLst/>
                    </a:prstGeom>
                  </pic:spPr>
                </pic:pic>
              </a:graphicData>
            </a:graphic>
          </wp:inline>
        </w:drawing>
      </w:r>
      <w:r>
        <w:rPr>
          <w:rFonts w:ascii="Arial" w:hAnsi="Arial" w:cs="Arial"/>
          <w:noProof/>
          <w:lang w:val="en-GB" w:eastAsia="en-GB"/>
        </w:rPr>
        <w:drawing>
          <wp:inline distT="0" distB="0" distL="0" distR="0" wp14:anchorId="66EBFD2D" wp14:editId="4937EA14">
            <wp:extent cx="1409904" cy="1940137"/>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1409904" cy="1940137"/>
                    </a:xfrm>
                    <a:prstGeom prst="rect">
                      <a:avLst/>
                    </a:prstGeom>
                  </pic:spPr>
                </pic:pic>
              </a:graphicData>
            </a:graphic>
          </wp:inline>
        </w:drawing>
      </w:r>
      <w:r>
        <w:rPr>
          <w:rFonts w:ascii="Arial" w:hAnsi="Arial" w:cs="Arial"/>
        </w:rPr>
        <w:t xml:space="preserve">  </w:t>
      </w:r>
      <w:r>
        <w:rPr>
          <w:rFonts w:ascii="Arial" w:hAnsi="Arial" w:cs="Arial"/>
          <w:noProof/>
          <w:lang w:val="en-GB" w:eastAsia="en-GB"/>
        </w:rPr>
        <w:drawing>
          <wp:inline distT="0" distB="0" distL="0" distR="0" wp14:anchorId="271111E3" wp14:editId="0601C9DC">
            <wp:extent cx="2017465" cy="2017465"/>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2017465" cy="2017465"/>
                    </a:xfrm>
                    <a:prstGeom prst="rect">
                      <a:avLst/>
                    </a:prstGeom>
                  </pic:spPr>
                </pic:pic>
              </a:graphicData>
            </a:graphic>
          </wp:inline>
        </w:drawing>
      </w:r>
    </w:p>
    <w:p w14:paraId="515F1485" w14:textId="77777777" w:rsidR="00B77CA6" w:rsidRDefault="00B77CA6">
      <w:pPr>
        <w:jc w:val="both"/>
        <w:rPr>
          <w:rFonts w:ascii="Arial" w:hAnsi="Arial" w:cs="Arial"/>
          <w:sz w:val="20"/>
          <w:szCs w:val="20"/>
          <w:lang w:val="en-US"/>
        </w:rPr>
      </w:pPr>
    </w:p>
    <w:p w14:paraId="47A302F0" w14:textId="77777777" w:rsidR="00B77CA6" w:rsidRDefault="00D87684">
      <w:pPr>
        <w:jc w:val="both"/>
        <w:rPr>
          <w:rFonts w:ascii="Arial" w:hAnsi="Arial" w:cs="Arial"/>
        </w:rPr>
      </w:pPr>
      <w:r>
        <w:rPr>
          <w:rFonts w:ascii="Arial" w:hAnsi="Arial" w:cs="Arial"/>
        </w:rPr>
        <w:t xml:space="preserve">     </w:t>
      </w:r>
    </w:p>
    <w:p w14:paraId="53B49C1C" w14:textId="2A9B5148" w:rsidR="00B77CA6" w:rsidRDefault="00D87684">
      <w:pPr>
        <w:pStyle w:val="Caption"/>
        <w:rPr>
          <w:rFonts w:cs="Arial"/>
          <w:szCs w:val="20"/>
          <w:lang w:val="en-US"/>
        </w:rPr>
      </w:pPr>
      <w:r>
        <w:rPr>
          <w:rFonts w:cs="Arial"/>
        </w:rPr>
        <w:t xml:space="preserve">Figure </w:t>
      </w:r>
      <w:r>
        <w:rPr>
          <w:rFonts w:cs="Arial"/>
        </w:rPr>
        <w:fldChar w:fldCharType="begin"/>
      </w:r>
      <w:r>
        <w:rPr>
          <w:rFonts w:cs="Arial"/>
        </w:rPr>
        <w:instrText xml:space="preserve"> SEQ Figure \* ARABIC </w:instrText>
      </w:r>
      <w:r>
        <w:rPr>
          <w:rFonts w:cs="Arial"/>
        </w:rPr>
        <w:fldChar w:fldCharType="separate"/>
      </w:r>
      <w:r w:rsidR="00031351">
        <w:rPr>
          <w:rFonts w:cs="Arial"/>
          <w:noProof/>
        </w:rPr>
        <w:t>1</w:t>
      </w:r>
      <w:r>
        <w:rPr>
          <w:rFonts w:cs="Arial"/>
        </w:rPr>
        <w:fldChar w:fldCharType="end"/>
      </w:r>
      <w:r>
        <w:rPr>
          <w:rFonts w:cs="Arial"/>
        </w:rPr>
        <w:t>: Images of C edulis plant, aerial parts, foliage, and fruit</w:t>
      </w:r>
    </w:p>
    <w:p w14:paraId="52D5BFBA" w14:textId="77777777" w:rsidR="00B77CA6" w:rsidRDefault="00D87684">
      <w:pPr>
        <w:jc w:val="both"/>
        <w:rPr>
          <w:rFonts w:ascii="Arial" w:hAnsi="Arial" w:cs="Arial"/>
          <w:sz w:val="20"/>
          <w:szCs w:val="20"/>
          <w:lang w:val="en-US"/>
        </w:rPr>
      </w:pPr>
      <w:r>
        <w:rPr>
          <w:rFonts w:ascii="Arial" w:hAnsi="Arial" w:cs="Arial"/>
          <w:sz w:val="20"/>
          <w:szCs w:val="20"/>
          <w:lang w:val="en-US"/>
        </w:rPr>
        <w:t xml:space="preserve"> </w:t>
      </w:r>
    </w:p>
    <w:p w14:paraId="6D292F70" w14:textId="77777777" w:rsidR="00B77CA6" w:rsidRPr="008A4E15" w:rsidRDefault="00D87684">
      <w:pPr>
        <w:pStyle w:val="Heading2"/>
        <w:rPr>
          <w:rFonts w:ascii="Arial" w:hAnsi="Arial" w:cs="Arial"/>
          <w:sz w:val="24"/>
          <w:szCs w:val="24"/>
        </w:rPr>
      </w:pPr>
      <w:r w:rsidRPr="008A4E15">
        <w:rPr>
          <w:rFonts w:ascii="Arial" w:hAnsi="Arial" w:cs="Arial"/>
          <w:sz w:val="24"/>
          <w:szCs w:val="24"/>
        </w:rPr>
        <w:t>Tonsillitis</w:t>
      </w:r>
    </w:p>
    <w:p w14:paraId="600DD8F7" w14:textId="74454505" w:rsidR="00B77CA6" w:rsidRDefault="00D87684">
      <w:pPr>
        <w:jc w:val="both"/>
        <w:rPr>
          <w:rFonts w:ascii="Arial" w:hAnsi="Arial" w:cs="Arial"/>
          <w:sz w:val="20"/>
          <w:szCs w:val="20"/>
          <w:lang w:val="en-US"/>
        </w:rPr>
      </w:pPr>
      <w:r>
        <w:rPr>
          <w:rFonts w:ascii="Arial" w:eastAsia="SimSun" w:hAnsi="Arial" w:cs="Arial"/>
          <w:sz w:val="20"/>
          <w:szCs w:val="20"/>
          <w:lang w:val="en-US" w:eastAsia="zh-CN"/>
        </w:rPr>
        <w:t>Tonsillitis is an inflammation of the tonsils, which are two lymph nodes located on each side of the back of the throat. It can be a result of viral or bacterial infections, with the most common bacterial cause being Streptococcus pyogenes. Tonsillitis typically begins when bacteria enter the body through the mouth or nose. The tonsils act as a first line of defense via a mechanism of trapping these pathogens. The bacteria are agglomerated by the proliferation of lymphocytes, a type of white blood cell, and the release of cytokines, which are signaling proteins that help coordinate the immune response</w:t>
      </w:r>
      <w:sdt>
        <w:sdtPr>
          <w:rPr>
            <w:rFonts w:ascii="Arial" w:eastAsia="SimSun" w:hAnsi="Arial" w:cs="Arial"/>
            <w:sz w:val="20"/>
            <w:szCs w:val="20"/>
            <w:lang w:val="en-US" w:eastAsia="zh-CN"/>
          </w:rPr>
          <w:id w:val="1816527768"/>
          <w:citation/>
        </w:sdtPr>
        <w:sdtEndPr/>
        <w:sdtContent>
          <w:r w:rsidR="00407C67" w:rsidRPr="00DB24B6">
            <w:rPr>
              <w:rFonts w:ascii="Arial" w:eastAsia="SimSun" w:hAnsi="Arial" w:cs="Arial"/>
              <w:sz w:val="20"/>
              <w:szCs w:val="20"/>
              <w:lang w:val="en-US" w:eastAsia="zh-CN"/>
            </w:rPr>
            <w:fldChar w:fldCharType="begin"/>
          </w:r>
          <w:r w:rsidR="00EF7D0C">
            <w:rPr>
              <w:rFonts w:ascii="Arial" w:eastAsia="SimSun" w:hAnsi="Arial" w:cs="Arial"/>
              <w:sz w:val="20"/>
              <w:szCs w:val="20"/>
              <w:lang w:val="en-GB" w:eastAsia="zh-CN"/>
            </w:rPr>
            <w:instrText xml:space="preserve">CITATION JCD17 \l 2057 </w:instrText>
          </w:r>
          <w:r w:rsidR="00407C67" w:rsidRPr="00DB24B6">
            <w:rPr>
              <w:rFonts w:ascii="Arial" w:eastAsia="SimSun" w:hAnsi="Arial" w:cs="Arial"/>
              <w:sz w:val="20"/>
              <w:szCs w:val="20"/>
              <w:lang w:val="en-US" w:eastAsia="zh-CN"/>
            </w:rPr>
            <w:fldChar w:fldCharType="separate"/>
          </w:r>
          <w:r w:rsidR="00EF7D0C">
            <w:rPr>
              <w:rFonts w:ascii="Arial" w:eastAsia="SimSun" w:hAnsi="Arial" w:cs="Arial"/>
              <w:noProof/>
              <w:sz w:val="20"/>
              <w:szCs w:val="20"/>
              <w:lang w:val="en-GB" w:eastAsia="zh-CN"/>
            </w:rPr>
            <w:t xml:space="preserve"> </w:t>
          </w:r>
          <w:r w:rsidR="00EF7D0C" w:rsidRPr="00EF7D0C">
            <w:rPr>
              <w:rFonts w:ascii="Arial" w:eastAsia="SimSun" w:hAnsi="Arial" w:cs="Arial"/>
              <w:noProof/>
              <w:sz w:val="20"/>
              <w:szCs w:val="20"/>
              <w:lang w:val="en-GB" w:eastAsia="zh-CN"/>
            </w:rPr>
            <w:t>[3]</w:t>
          </w:r>
          <w:r w:rsidR="00407C67" w:rsidRPr="00DB24B6">
            <w:rPr>
              <w:rFonts w:ascii="Arial" w:eastAsia="SimSun" w:hAnsi="Arial" w:cs="Arial"/>
              <w:sz w:val="20"/>
              <w:szCs w:val="20"/>
              <w:lang w:val="en-US" w:eastAsia="zh-CN"/>
            </w:rPr>
            <w:fldChar w:fldCharType="end"/>
          </w:r>
        </w:sdtContent>
      </w:sdt>
      <w:r w:rsidRPr="00DB24B6">
        <w:rPr>
          <w:rFonts w:ascii="Arial" w:eastAsia="SimSun" w:hAnsi="Arial" w:cs="Arial"/>
          <w:sz w:val="20"/>
          <w:szCs w:val="20"/>
          <w:lang w:val="en-US" w:eastAsia="zh-CN"/>
        </w:rPr>
        <w:t>.</w:t>
      </w:r>
      <w:r>
        <w:rPr>
          <w:rFonts w:ascii="Arial" w:eastAsia="SimSun" w:hAnsi="Arial" w:cs="Arial"/>
          <w:sz w:val="20"/>
          <w:szCs w:val="20"/>
          <w:lang w:val="en-US" w:eastAsia="zh-CN"/>
        </w:rPr>
        <w:t xml:space="preserve"> This activation leads to inflammation, causing the tonsils to swell and become painful. In the progression of the process, symptoms of tonsillitis develop and the most common include sore throat, difficulty swallowing, fever, swollen lymph nodes, and sometimes white or yellow patches on the tonsils.  In some cases, the immune system clears the infection, and symptoms subside though it takes some days to recover. However, in most cases, particularly strep throat, antibiotic treatment is necessary to prevent complications such as rheumatic fever or kidney inflammation </w:t>
      </w:r>
      <w:sdt>
        <w:sdtPr>
          <w:rPr>
            <w:rFonts w:ascii="Arial" w:eastAsia="SimSun" w:hAnsi="Arial" w:cs="Arial"/>
            <w:sz w:val="20"/>
            <w:szCs w:val="20"/>
            <w:lang w:val="en-US" w:eastAsia="zh-CN"/>
          </w:rPr>
          <w:id w:val="615339780"/>
          <w:citation/>
        </w:sdtPr>
        <w:sdtEndPr/>
        <w:sdtContent>
          <w:r w:rsidR="00907331" w:rsidRPr="00DB24B6">
            <w:rPr>
              <w:rFonts w:ascii="Arial" w:eastAsia="SimSun" w:hAnsi="Arial" w:cs="Arial"/>
              <w:sz w:val="20"/>
              <w:szCs w:val="20"/>
              <w:lang w:val="en-US" w:eastAsia="zh-CN"/>
            </w:rPr>
            <w:fldChar w:fldCharType="begin"/>
          </w:r>
          <w:r w:rsidR="00EF7D0C">
            <w:rPr>
              <w:rFonts w:ascii="Arial" w:eastAsia="SimSun" w:hAnsi="Arial" w:cs="Arial"/>
              <w:sz w:val="20"/>
              <w:szCs w:val="20"/>
              <w:lang w:val="en-GB" w:eastAsia="zh-CN"/>
            </w:rPr>
            <w:instrText xml:space="preserve">CITATION Sch22 \l 2057 </w:instrText>
          </w:r>
          <w:r w:rsidR="00907331" w:rsidRPr="00DB24B6">
            <w:rPr>
              <w:rFonts w:ascii="Arial" w:eastAsia="SimSun" w:hAnsi="Arial" w:cs="Arial"/>
              <w:sz w:val="20"/>
              <w:szCs w:val="20"/>
              <w:lang w:val="en-US" w:eastAsia="zh-CN"/>
            </w:rPr>
            <w:fldChar w:fldCharType="separate"/>
          </w:r>
          <w:r w:rsidR="00EF7D0C" w:rsidRPr="00EF7D0C">
            <w:rPr>
              <w:rFonts w:ascii="Arial" w:eastAsia="SimSun" w:hAnsi="Arial" w:cs="Arial"/>
              <w:noProof/>
              <w:sz w:val="20"/>
              <w:szCs w:val="20"/>
              <w:lang w:val="en-GB" w:eastAsia="zh-CN"/>
            </w:rPr>
            <w:t>[4]</w:t>
          </w:r>
          <w:r w:rsidR="00907331" w:rsidRPr="00DB24B6">
            <w:rPr>
              <w:rFonts w:ascii="Arial" w:eastAsia="SimSun" w:hAnsi="Arial" w:cs="Arial"/>
              <w:sz w:val="20"/>
              <w:szCs w:val="20"/>
              <w:lang w:val="en-US" w:eastAsia="zh-CN"/>
            </w:rPr>
            <w:fldChar w:fldCharType="end"/>
          </w:r>
        </w:sdtContent>
      </w:sdt>
      <w:r w:rsidRPr="00DB24B6">
        <w:rPr>
          <w:rFonts w:ascii="Arial" w:eastAsia="SimSun" w:hAnsi="Arial" w:cs="Arial"/>
          <w:sz w:val="20"/>
          <w:szCs w:val="20"/>
          <w:lang w:val="en-US" w:eastAsia="zh-CN"/>
        </w:rPr>
        <w:t>.</w:t>
      </w:r>
      <w:r>
        <w:rPr>
          <w:rFonts w:ascii="Arial" w:eastAsia="SimSun" w:hAnsi="Arial" w:cs="Arial"/>
          <w:sz w:val="20"/>
          <w:szCs w:val="20"/>
          <w:lang w:val="en-US" w:eastAsia="zh-CN"/>
        </w:rPr>
        <w:t xml:space="preserve"> Some individuals may experience recurrent episodes of tonsillitis, leading to chronic tonsillitis which results in persistent inflammation and may require surgical intervention, such as a tonsillectomy, to remove the tonsils.</w:t>
      </w:r>
    </w:p>
    <w:p w14:paraId="0E49708C" w14:textId="77777777" w:rsidR="00B77CA6" w:rsidRDefault="00B77CA6">
      <w:pPr>
        <w:jc w:val="both"/>
        <w:rPr>
          <w:rFonts w:ascii="Arial" w:hAnsi="Arial" w:cs="Arial"/>
          <w:sz w:val="20"/>
          <w:szCs w:val="20"/>
          <w:lang w:val="en-US"/>
        </w:rPr>
      </w:pPr>
    </w:p>
    <w:p w14:paraId="326F6528" w14:textId="77777777" w:rsidR="00B77CA6" w:rsidRPr="008A4E15" w:rsidRDefault="00D87684">
      <w:pPr>
        <w:pStyle w:val="Heading2"/>
        <w:rPr>
          <w:rFonts w:ascii="Arial" w:hAnsi="Arial" w:cs="Arial"/>
          <w:sz w:val="24"/>
          <w:szCs w:val="24"/>
        </w:rPr>
      </w:pPr>
      <w:r w:rsidRPr="008A4E15">
        <w:rPr>
          <w:rFonts w:ascii="Arial" w:hAnsi="Arial" w:cs="Arial"/>
          <w:sz w:val="24"/>
          <w:szCs w:val="24"/>
        </w:rPr>
        <w:lastRenderedPageBreak/>
        <w:t>Antibacterial herbal remedies' role in tonsilitis management</w:t>
      </w:r>
    </w:p>
    <w:p w14:paraId="76886F24" w14:textId="03239BD9" w:rsidR="00B77CA6" w:rsidRDefault="00D87684">
      <w:pPr>
        <w:pStyle w:val="BodyText"/>
        <w:ind w:left="0"/>
        <w:rPr>
          <w:rFonts w:ascii="Arial" w:hAnsi="Arial" w:cs="Arial"/>
          <w:color w:val="000000"/>
          <w:sz w:val="20"/>
          <w:szCs w:val="20"/>
        </w:rPr>
      </w:pPr>
      <w:r>
        <w:rPr>
          <w:rFonts w:ascii="Arial" w:hAnsi="Arial" w:cs="Arial"/>
          <w:sz w:val="20"/>
          <w:szCs w:val="20"/>
        </w:rPr>
        <w:t xml:space="preserve">Tonsillitis is an inflammation of the tonsils, commonly caused by viral or bacterial infections. In bacterial tonsillitis, </w:t>
      </w:r>
      <w:r>
        <w:rPr>
          <w:rStyle w:val="Emphasis"/>
          <w:rFonts w:ascii="Arial" w:eastAsia="SimSun" w:hAnsi="Arial" w:cs="Arial"/>
          <w:sz w:val="20"/>
          <w:szCs w:val="20"/>
        </w:rPr>
        <w:t>Streptococcus pyogenes</w:t>
      </w:r>
      <w:r>
        <w:rPr>
          <w:rFonts w:ascii="Arial" w:hAnsi="Arial" w:cs="Arial"/>
          <w:sz w:val="20"/>
          <w:szCs w:val="20"/>
        </w:rPr>
        <w:t xml:space="preserve"> adheres to the surface of the tonsils, evading the immune system with virulence factors such as the M protein and various exotoxins, which contribute to tissue damage and inflammation</w:t>
      </w:r>
      <w:sdt>
        <w:sdtPr>
          <w:rPr>
            <w:rFonts w:ascii="Arial" w:hAnsi="Arial" w:cs="Arial"/>
            <w:sz w:val="20"/>
            <w:szCs w:val="20"/>
          </w:rPr>
          <w:id w:val="582721765"/>
          <w:citation/>
        </w:sdtPr>
        <w:sdtEndPr/>
        <w:sdtContent>
          <w:r w:rsidR="00FB382F" w:rsidRPr="00DB24B6">
            <w:rPr>
              <w:rFonts w:ascii="Arial" w:hAnsi="Arial" w:cs="Arial"/>
              <w:sz w:val="20"/>
              <w:szCs w:val="20"/>
            </w:rPr>
            <w:fldChar w:fldCharType="begin"/>
          </w:r>
          <w:r w:rsidR="00EF7D0C">
            <w:rPr>
              <w:rFonts w:ascii="Arial" w:hAnsi="Arial" w:cs="Arial"/>
              <w:sz w:val="20"/>
              <w:szCs w:val="20"/>
              <w:lang w:val="en-GB"/>
            </w:rPr>
            <w:instrText xml:space="preserve">CITATION Bis01 \l 2057 </w:instrText>
          </w:r>
          <w:r w:rsidR="00FB382F" w:rsidRPr="00DB24B6">
            <w:rPr>
              <w:rFonts w:ascii="Arial" w:hAnsi="Arial" w:cs="Arial"/>
              <w:sz w:val="20"/>
              <w:szCs w:val="20"/>
            </w:rPr>
            <w:fldChar w:fldCharType="separate"/>
          </w:r>
          <w:r w:rsidR="00EF7D0C">
            <w:rPr>
              <w:rFonts w:ascii="Arial" w:hAnsi="Arial" w:cs="Arial"/>
              <w:noProof/>
              <w:sz w:val="20"/>
              <w:szCs w:val="20"/>
              <w:lang w:val="en-GB"/>
            </w:rPr>
            <w:t xml:space="preserve"> </w:t>
          </w:r>
          <w:r w:rsidR="00EF7D0C" w:rsidRPr="00EF7D0C">
            <w:rPr>
              <w:rFonts w:ascii="Arial" w:hAnsi="Arial" w:cs="Arial"/>
              <w:noProof/>
              <w:sz w:val="20"/>
              <w:szCs w:val="20"/>
              <w:lang w:val="en-GB"/>
            </w:rPr>
            <w:t>[5]</w:t>
          </w:r>
          <w:r w:rsidR="00FB382F" w:rsidRPr="00DB24B6">
            <w:rPr>
              <w:rFonts w:ascii="Arial" w:hAnsi="Arial" w:cs="Arial"/>
              <w:sz w:val="20"/>
              <w:szCs w:val="20"/>
            </w:rPr>
            <w:fldChar w:fldCharType="end"/>
          </w:r>
        </w:sdtContent>
      </w:sdt>
      <w:r>
        <w:rPr>
          <w:rFonts w:ascii="Arial" w:hAnsi="Arial" w:cs="Arial"/>
          <w:sz w:val="20"/>
          <w:szCs w:val="20"/>
        </w:rPr>
        <w:t>. The symptoms, such as sore throat, fever, and swollen tonsils, are primarily the result of local tissue inflammation and the body's immune response to the infection</w:t>
      </w:r>
      <w:sdt>
        <w:sdtPr>
          <w:rPr>
            <w:rFonts w:ascii="Arial" w:hAnsi="Arial" w:cs="Arial"/>
            <w:sz w:val="20"/>
            <w:szCs w:val="20"/>
          </w:rPr>
          <w:id w:val="1393615013"/>
          <w:citation/>
        </w:sdtPr>
        <w:sdtEndPr/>
        <w:sdtContent>
          <w:r w:rsidR="002E3907" w:rsidRPr="00DB24B6">
            <w:rPr>
              <w:rFonts w:ascii="Arial" w:hAnsi="Arial" w:cs="Arial"/>
              <w:sz w:val="20"/>
              <w:szCs w:val="20"/>
            </w:rPr>
            <w:fldChar w:fldCharType="begin"/>
          </w:r>
          <w:r w:rsidR="00DD3CA4">
            <w:rPr>
              <w:rFonts w:ascii="Arial" w:hAnsi="Arial" w:cs="Arial"/>
              <w:sz w:val="20"/>
              <w:szCs w:val="20"/>
              <w:lang w:val="en-GB"/>
            </w:rPr>
            <w:instrText xml:space="preserve">CITATION 13S12 \l 2057 </w:instrText>
          </w:r>
          <w:r w:rsidR="002E3907" w:rsidRPr="00DB24B6">
            <w:rPr>
              <w:rFonts w:ascii="Arial" w:hAnsi="Arial" w:cs="Arial"/>
              <w:sz w:val="20"/>
              <w:szCs w:val="20"/>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[6]</w:t>
          </w:r>
          <w:r w:rsidR="002E3907" w:rsidRPr="00DB24B6">
            <w:rPr>
              <w:rFonts w:ascii="Arial" w:hAnsi="Arial" w:cs="Arial"/>
              <w:sz w:val="20"/>
              <w:szCs w:val="20"/>
            </w:rPr>
            <w:fldChar w:fldCharType="end"/>
          </w:r>
        </w:sdtContent>
      </w:sdt>
      <w:r w:rsidRPr="00DB24B6">
        <w:rPr>
          <w:rFonts w:ascii="Arial" w:hAnsi="Arial" w:cs="Arial"/>
          <w:sz w:val="20"/>
          <w:szCs w:val="20"/>
        </w:rPr>
        <w:t>.</w:t>
      </w:r>
      <w:r>
        <w:rPr>
          <w:rFonts w:ascii="Arial" w:hAnsi="Arial" w:cs="Arial"/>
          <w:sz w:val="20"/>
          <w:szCs w:val="20"/>
        </w:rPr>
        <w:t xml:space="preserve"> </w:t>
      </w:r>
      <w:r>
        <w:rPr>
          <w:rFonts w:ascii="Arial" w:hAnsi="Arial" w:cs="Arial"/>
          <w:color w:val="000000"/>
          <w:sz w:val="20"/>
          <w:szCs w:val="20"/>
        </w:rPr>
        <w:t>Tonsils act as filters, trapping bacteria and viruses that enter the body through the mouth and nose.</w:t>
      </w:r>
    </w:p>
    <w:p w14:paraId="6B1CC072" w14:textId="07E6BDF5" w:rsidR="00B77CA6" w:rsidRDefault="00D87684">
      <w:pPr>
        <w:pStyle w:val="BodyText"/>
        <w:rPr>
          <w:rFonts w:ascii="Arial" w:hAnsi="Arial" w:cs="Arial"/>
          <w:sz w:val="20"/>
          <w:szCs w:val="20"/>
          <w:lang w:val="en-US"/>
        </w:rPr>
      </w:pPr>
      <w:r>
        <w:rPr>
          <w:rFonts w:ascii="Arial" w:hAnsi="Arial" w:cs="Arial"/>
          <w:sz w:val="20"/>
          <w:szCs w:val="20"/>
        </w:rPr>
        <w:t xml:space="preserve">In Zimbabwe and much of Africa, tonsillitis is commonly treated with a combination of medical interventions and home remedies. For bacterial tonsillitis, antibiotics are the standard medical treatment. Penicillin or amoxicillin is commonly prescribed, as </w:t>
      </w:r>
      <w:r>
        <w:rPr>
          <w:rStyle w:val="Emphasis"/>
          <w:rFonts w:ascii="Arial" w:eastAsia="SimSun" w:hAnsi="Arial" w:cs="Arial"/>
          <w:sz w:val="20"/>
          <w:szCs w:val="20"/>
        </w:rPr>
        <w:t>Streptococcus pyogenes</w:t>
      </w:r>
      <w:r>
        <w:rPr>
          <w:rFonts w:ascii="Arial" w:hAnsi="Arial" w:cs="Arial"/>
          <w:sz w:val="20"/>
          <w:szCs w:val="20"/>
        </w:rPr>
        <w:t xml:space="preserve"> is typically sensitive to these medications</w:t>
      </w:r>
      <w:sdt>
        <w:sdtPr>
          <w:rPr>
            <w:rFonts w:ascii="Arial" w:hAnsi="Arial" w:cs="Arial"/>
            <w:sz w:val="20"/>
            <w:szCs w:val="20"/>
          </w:rPr>
          <w:id w:val="1816451237"/>
          <w:citation/>
        </w:sdtPr>
        <w:sdtEndPr/>
        <w:sdtContent>
          <w:r w:rsidR="002E3907" w:rsidRPr="00DB24B6">
            <w:rPr>
              <w:rFonts w:ascii="Arial" w:hAnsi="Arial" w:cs="Arial"/>
              <w:sz w:val="20"/>
              <w:szCs w:val="20"/>
            </w:rPr>
            <w:fldChar w:fldCharType="begin"/>
          </w:r>
          <w:r w:rsidR="00DD3CA4">
            <w:rPr>
              <w:rFonts w:ascii="Arial" w:hAnsi="Arial" w:cs="Arial"/>
              <w:sz w:val="20"/>
              <w:szCs w:val="20"/>
              <w:lang w:val="en-GB"/>
            </w:rPr>
            <w:instrText xml:space="preserve">CITATION 13S12 \l 2057 </w:instrText>
          </w:r>
          <w:r w:rsidR="002E3907" w:rsidRPr="00DB24B6">
            <w:rPr>
              <w:rFonts w:ascii="Arial" w:hAnsi="Arial" w:cs="Arial"/>
              <w:sz w:val="20"/>
              <w:szCs w:val="20"/>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[6]</w:t>
          </w:r>
          <w:r w:rsidR="002E3907" w:rsidRPr="00DB24B6">
            <w:rPr>
              <w:rFonts w:ascii="Arial" w:hAnsi="Arial" w:cs="Arial"/>
              <w:sz w:val="20"/>
              <w:szCs w:val="20"/>
            </w:rPr>
            <w:fldChar w:fldCharType="end"/>
          </w:r>
        </w:sdtContent>
      </w:sdt>
      <w:r>
        <w:rPr>
          <w:rFonts w:ascii="Arial" w:hAnsi="Arial" w:cs="Arial"/>
          <w:sz w:val="20"/>
          <w:szCs w:val="20"/>
        </w:rPr>
        <w:t>. However, the overuse and misuse of antibiotics in many parts of Africa, due to self-medication or inadequate medical supervision, have led to concerns about antimicrobial resistance</w:t>
      </w:r>
      <w:sdt>
        <w:sdtPr>
          <w:rPr>
            <w:rFonts w:ascii="Arial" w:hAnsi="Arial" w:cs="Arial"/>
            <w:sz w:val="20"/>
            <w:szCs w:val="20"/>
          </w:rPr>
          <w:id w:val="1717084282"/>
          <w:citation/>
        </w:sdtPr>
        <w:sdtEndPr/>
        <w:sdtContent>
          <w:r w:rsidR="002E3907" w:rsidRPr="00DB24B6">
            <w:rPr>
              <w:rFonts w:ascii="Arial" w:hAnsi="Arial" w:cs="Arial"/>
              <w:sz w:val="20"/>
              <w:szCs w:val="20"/>
            </w:rPr>
            <w:fldChar w:fldCharType="begin"/>
          </w:r>
          <w:r w:rsidR="002E3907" w:rsidRPr="00DB24B6">
            <w:rPr>
              <w:rFonts w:ascii="Arial" w:hAnsi="Arial" w:cs="Arial"/>
              <w:sz w:val="20"/>
              <w:szCs w:val="20"/>
              <w:lang w:val="en-GB"/>
            </w:rPr>
            <w:instrText xml:space="preserve"> CITATION Kar14 \l 2057 </w:instrText>
          </w:r>
          <w:r w:rsidR="002E3907" w:rsidRPr="00DB24B6">
            <w:rPr>
              <w:rFonts w:ascii="Arial" w:hAnsi="Arial" w:cs="Arial"/>
              <w:sz w:val="20"/>
              <w:szCs w:val="20"/>
            </w:rPr>
            <w:fldChar w:fldCharType="separate"/>
          </w:r>
          <w:r w:rsidR="005965BD">
            <w:rPr>
              <w:rFonts w:ascii="Arial" w:hAnsi="Arial" w:cs="Arial"/>
              <w:noProof/>
              <w:sz w:val="20"/>
              <w:szCs w:val="20"/>
              <w:lang w:val="en-GB"/>
            </w:rPr>
            <w:t xml:space="preserve"> </w:t>
          </w:r>
          <w:r w:rsidR="005965BD" w:rsidRPr="005965BD">
            <w:rPr>
              <w:rFonts w:ascii="Arial" w:hAnsi="Arial" w:cs="Arial"/>
              <w:noProof/>
              <w:sz w:val="20"/>
              <w:szCs w:val="20"/>
              <w:lang w:val="en-GB"/>
            </w:rPr>
            <w:t>[7]</w:t>
          </w:r>
          <w:r w:rsidR="002E3907" w:rsidRPr="00DB24B6">
            <w:rPr>
              <w:rFonts w:ascii="Arial" w:hAnsi="Arial" w:cs="Arial"/>
              <w:sz w:val="20"/>
              <w:szCs w:val="20"/>
            </w:rPr>
            <w:fldChar w:fldCharType="end"/>
          </w:r>
        </w:sdtContent>
      </w:sdt>
      <w:r w:rsidRPr="00DB24B6">
        <w:rPr>
          <w:rFonts w:ascii="Arial" w:hAnsi="Arial" w:cs="Arial"/>
          <w:sz w:val="20"/>
          <w:szCs w:val="20"/>
        </w:rPr>
        <w:t>.</w:t>
      </w:r>
      <w:r>
        <w:rPr>
          <w:rFonts w:ascii="Arial" w:hAnsi="Arial" w:cs="Arial"/>
          <w:sz w:val="20"/>
          <w:szCs w:val="20"/>
        </w:rPr>
        <w:t xml:space="preserve"> In addition to antibiotics, pain relievers such as paracetamol and anti-inflammatory drugs are used to manage symptoms such as fever and throat pain. Relying on oral medications can present challenges for individuals with sore throats, where swallowing is painful</w:t>
      </w:r>
      <w:sdt>
        <w:sdtPr>
          <w:rPr>
            <w:rFonts w:ascii="Arial" w:hAnsi="Arial" w:cs="Arial"/>
            <w:sz w:val="20"/>
            <w:szCs w:val="20"/>
          </w:rPr>
          <w:id w:val="2071768814"/>
          <w:citation/>
        </w:sdtPr>
        <w:sdtEndPr/>
        <w:sdtContent>
          <w:r w:rsidR="00C5746C" w:rsidRPr="00DB24B6">
            <w:rPr>
              <w:rFonts w:ascii="Arial" w:hAnsi="Arial" w:cs="Arial"/>
              <w:sz w:val="20"/>
              <w:szCs w:val="20"/>
            </w:rPr>
            <w:fldChar w:fldCharType="begin"/>
          </w:r>
          <w:r w:rsidR="00DD3CA4">
            <w:rPr>
              <w:rFonts w:ascii="Arial" w:hAnsi="Arial" w:cs="Arial"/>
              <w:sz w:val="20"/>
              <w:szCs w:val="20"/>
              <w:lang w:val="en-GB"/>
            </w:rPr>
            <w:instrText xml:space="preserve">CITATION Pic19 \l 2057 </w:instrText>
          </w:r>
          <w:r w:rsidR="00C5746C" w:rsidRPr="00DB24B6">
            <w:rPr>
              <w:rFonts w:ascii="Arial" w:hAnsi="Arial" w:cs="Arial"/>
              <w:sz w:val="20"/>
              <w:szCs w:val="20"/>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[8]</w:t>
          </w:r>
          <w:r w:rsidR="00C5746C" w:rsidRPr="00DB24B6">
            <w:rPr>
              <w:rFonts w:ascii="Arial" w:hAnsi="Arial" w:cs="Arial"/>
              <w:sz w:val="20"/>
              <w:szCs w:val="20"/>
            </w:rPr>
            <w:fldChar w:fldCharType="end"/>
          </w:r>
        </w:sdtContent>
      </w:sdt>
      <w:r w:rsidRPr="00DB24B6">
        <w:rPr>
          <w:rFonts w:ascii="Arial" w:hAnsi="Arial" w:cs="Arial"/>
          <w:sz w:val="20"/>
          <w:szCs w:val="20"/>
        </w:rPr>
        <w:t>.</w:t>
      </w:r>
      <w:r>
        <w:rPr>
          <w:rFonts w:ascii="Arial" w:hAnsi="Arial" w:cs="Arial"/>
          <w:sz w:val="20"/>
          <w:szCs w:val="20"/>
        </w:rPr>
        <w:t xml:space="preserve"> The use of indigenous plants in the treatment of tonsillitis is quite prevalent in Southern Africa and has been for years. Many home remedies including ginger, honey aloe vera, and saltwater gaggling are employed. Although </w:t>
      </w:r>
      <w:r w:rsidRPr="00245BE0">
        <w:rPr>
          <w:rFonts w:ascii="Arial" w:hAnsi="Arial" w:cs="Arial"/>
          <w:i/>
          <w:iCs/>
          <w:sz w:val="20"/>
          <w:szCs w:val="20"/>
        </w:rPr>
        <w:t>Carpobrotus edulis</w:t>
      </w:r>
      <w:r>
        <w:rPr>
          <w:rFonts w:ascii="Arial" w:hAnsi="Arial" w:cs="Arial"/>
          <w:sz w:val="20"/>
          <w:szCs w:val="20"/>
        </w:rPr>
        <w:t xml:space="preserve"> is widely</w:t>
      </w:r>
      <w:r>
        <w:rPr>
          <w:rFonts w:ascii="Arial" w:hAnsi="Arial" w:cs="Arial"/>
          <w:sz w:val="20"/>
          <w:szCs w:val="20"/>
          <w:lang w:val="en-US"/>
        </w:rPr>
        <w:t xml:space="preserve"> used traditionally to cure many ailments, its bioactivity and safety profiles are not well characterized. The activity of anti-bacterial plants is a consequence of their richness in secondary metabolites including polyphenols. Secondary metabolites are organic compounds produced by plants that are not directly involved in growth, development, or reproduction, but are cruc</w:t>
      </w:r>
      <w:r w:rsidR="00C5746C">
        <w:rPr>
          <w:rFonts w:ascii="Arial" w:hAnsi="Arial" w:cs="Arial"/>
          <w:sz w:val="20"/>
          <w:szCs w:val="20"/>
          <w:lang w:val="en-US"/>
        </w:rPr>
        <w:t xml:space="preserve">ial for environmental adaptation </w:t>
      </w:r>
      <w:sdt>
        <w:sdtPr>
          <w:rPr>
            <w:rFonts w:ascii="Arial" w:hAnsi="Arial" w:cs="Arial"/>
            <w:sz w:val="20"/>
            <w:szCs w:val="20"/>
            <w:lang w:val="en-US"/>
          </w:rPr>
          <w:id w:val="950752397"/>
          <w:citation/>
        </w:sdtPr>
        <w:sdtEndPr/>
        <w:sdtContent>
          <w:r w:rsidR="00C5746C" w:rsidRPr="00DB24B6">
            <w:rPr>
              <w:rFonts w:ascii="Arial" w:hAnsi="Arial" w:cs="Arial"/>
              <w:sz w:val="20"/>
              <w:szCs w:val="20"/>
              <w:lang w:val="en-US"/>
            </w:rPr>
            <w:fldChar w:fldCharType="begin"/>
          </w:r>
          <w:r w:rsidR="00DD3CA4">
            <w:rPr>
              <w:rFonts w:ascii="Arial" w:hAnsi="Arial" w:cs="Arial"/>
              <w:sz w:val="20"/>
              <w:szCs w:val="20"/>
              <w:lang w:val="en-GB"/>
            </w:rPr>
            <w:instrText xml:space="preserve">CITATION Yil13 \l 2057 </w:instrText>
          </w:r>
          <w:r w:rsidR="00C5746C" w:rsidRPr="00DB24B6">
            <w:rPr>
              <w:rFonts w:ascii="Arial" w:hAnsi="Arial" w:cs="Arial"/>
              <w:sz w:val="20"/>
              <w:szCs w:val="20"/>
              <w:lang w:val="en-US"/>
            </w:rPr>
            <w:fldChar w:fldCharType="separate"/>
          </w:r>
          <w:r w:rsidR="00DD3CA4" w:rsidRPr="00DD3CA4">
            <w:rPr>
              <w:rFonts w:ascii="Arial" w:hAnsi="Arial" w:cs="Arial"/>
              <w:noProof/>
              <w:sz w:val="20"/>
              <w:szCs w:val="20"/>
              <w:lang w:val="en-GB"/>
            </w:rPr>
            <w:t>[9]</w:t>
          </w:r>
          <w:r w:rsidR="00C5746C" w:rsidRPr="00DB24B6">
            <w:rPr>
              <w:rFonts w:ascii="Arial" w:hAnsi="Arial" w:cs="Arial"/>
              <w:sz w:val="20"/>
              <w:szCs w:val="20"/>
              <w:lang w:val="en-US"/>
            </w:rPr>
            <w:fldChar w:fldCharType="end"/>
          </w:r>
        </w:sdtContent>
      </w:sdt>
      <w:r>
        <w:rPr>
          <w:rFonts w:ascii="Arial" w:hAnsi="Arial" w:cs="Arial"/>
          <w:sz w:val="20"/>
          <w:szCs w:val="20"/>
          <w:lang w:val="en-US"/>
        </w:rPr>
        <w:t xml:space="preserve">. Compounds such as alkaloids, flavonoids, terpenoids, phenolic acids, and saponins have demonstrated significant anti-bacterial effects through a variety of mechanisms. These include antioxidant activity and inhibition of bacterial growth. </w:t>
      </w:r>
      <w:r>
        <w:rPr>
          <w:rFonts w:ascii="Arial" w:hAnsi="Arial" w:cs="Arial"/>
          <w:sz w:val="20"/>
          <w:szCs w:val="20"/>
        </w:rPr>
        <w:t>Flavonoids are known for their antioxidant properties and have been shown to possess antibacterial activity. Research indicates that flavonoids can disrupt microbial membranes and inhibit enzymes essential for bacterial growth</w:t>
      </w:r>
      <w:sdt>
        <w:sdtPr>
          <w:rPr>
            <w:rFonts w:ascii="Arial" w:hAnsi="Arial" w:cs="Arial"/>
            <w:sz w:val="20"/>
            <w:szCs w:val="20"/>
          </w:rPr>
          <w:id w:val="611635793"/>
          <w:citation/>
        </w:sdtPr>
        <w:sdtEndPr/>
        <w:sdtContent>
          <w:r w:rsidR="00FD5FF4" w:rsidRPr="00DB24B6">
            <w:rPr>
              <w:rFonts w:ascii="Arial" w:hAnsi="Arial" w:cs="Arial"/>
              <w:sz w:val="20"/>
              <w:szCs w:val="20"/>
            </w:rPr>
            <w:fldChar w:fldCharType="begin"/>
          </w:r>
          <w:r w:rsidR="00DD3CA4">
            <w:rPr>
              <w:rFonts w:ascii="Arial" w:hAnsi="Arial" w:cs="Arial"/>
              <w:sz w:val="20"/>
              <w:szCs w:val="20"/>
              <w:lang w:val="en-GB"/>
            </w:rPr>
            <w:instrText xml:space="preserve">CITATION Bal06 \l 2057 </w:instrText>
          </w:r>
          <w:r w:rsidR="00FD5FF4" w:rsidRPr="00DB24B6">
            <w:rPr>
              <w:rFonts w:ascii="Arial" w:hAnsi="Arial" w:cs="Arial"/>
              <w:sz w:val="20"/>
              <w:szCs w:val="20"/>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[10]</w:t>
          </w:r>
          <w:r w:rsidR="00FD5FF4" w:rsidRPr="00DB24B6">
            <w:rPr>
              <w:rFonts w:ascii="Arial" w:hAnsi="Arial" w:cs="Arial"/>
              <w:sz w:val="20"/>
              <w:szCs w:val="20"/>
            </w:rPr>
            <w:fldChar w:fldCharType="end"/>
          </w:r>
        </w:sdtContent>
      </w:sdt>
      <w:r>
        <w:rPr>
          <w:rFonts w:ascii="Arial" w:hAnsi="Arial" w:cs="Arial"/>
          <w:sz w:val="20"/>
          <w:szCs w:val="20"/>
        </w:rPr>
        <w:t>. Phenolic compounds are significant in plant defense and have been associated with antimicrobial properties. They can act by interfering with bacterial cell wall synthesis or by inhibiting crucial metabolic pathways</w:t>
      </w:r>
      <w:sdt>
        <w:sdtPr>
          <w:rPr>
            <w:rFonts w:ascii="Arial" w:hAnsi="Arial" w:cs="Arial"/>
            <w:sz w:val="20"/>
            <w:szCs w:val="20"/>
          </w:rPr>
          <w:id w:val="2132126382"/>
          <w:citation/>
        </w:sdtPr>
        <w:sdtEndPr/>
        <w:sdtContent>
          <w:r w:rsidR="00F31BC6" w:rsidRPr="00DB24B6">
            <w:rPr>
              <w:rFonts w:ascii="Arial" w:hAnsi="Arial" w:cs="Arial"/>
              <w:sz w:val="20"/>
              <w:szCs w:val="20"/>
            </w:rPr>
            <w:fldChar w:fldCharType="begin"/>
          </w:r>
          <w:r w:rsidR="00DD3CA4">
            <w:rPr>
              <w:rFonts w:ascii="Arial" w:hAnsi="Arial" w:cs="Arial"/>
              <w:sz w:val="20"/>
              <w:szCs w:val="20"/>
              <w:lang w:val="en-GB"/>
            </w:rPr>
            <w:instrText xml:space="preserve">CITATION Kum17 \l 2057 </w:instrText>
          </w:r>
          <w:r w:rsidR="00F31BC6" w:rsidRPr="00DB24B6">
            <w:rPr>
              <w:rFonts w:ascii="Arial" w:hAnsi="Arial" w:cs="Arial"/>
              <w:sz w:val="20"/>
              <w:szCs w:val="20"/>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[11]</w:t>
          </w:r>
          <w:r w:rsidR="00F31BC6" w:rsidRPr="00DB24B6">
            <w:rPr>
              <w:rFonts w:ascii="Arial" w:hAnsi="Arial" w:cs="Arial"/>
              <w:sz w:val="20"/>
              <w:szCs w:val="20"/>
            </w:rPr>
            <w:fldChar w:fldCharType="end"/>
          </w:r>
        </w:sdtContent>
      </w:sdt>
      <w:r w:rsidRPr="00DB24B6">
        <w:rPr>
          <w:rFonts w:ascii="Arial" w:hAnsi="Arial" w:cs="Arial"/>
          <w:sz w:val="20"/>
          <w:szCs w:val="20"/>
        </w:rPr>
        <w:t>.</w:t>
      </w:r>
      <w:r>
        <w:rPr>
          <w:rFonts w:ascii="Arial" w:hAnsi="Arial" w:cs="Arial"/>
          <w:sz w:val="20"/>
          <w:szCs w:val="20"/>
        </w:rPr>
        <w:t xml:space="preserve"> Tannins are polyphenolic compounds that exhibit astringency and have been documented for their ability to inhibit microbial growth</w:t>
      </w:r>
      <w:sdt>
        <w:sdtPr>
          <w:rPr>
            <w:rFonts w:ascii="Arial" w:hAnsi="Arial" w:cs="Arial"/>
            <w:sz w:val="20"/>
            <w:szCs w:val="20"/>
            <w:vertAlign w:val="superscript"/>
          </w:rPr>
          <w:id w:val="1935553846"/>
          <w:citation/>
        </w:sdtPr>
        <w:sdtEndPr/>
        <w:sdtContent>
          <w:r w:rsidR="00F31BC6" w:rsidRPr="00F31BC6">
            <w:rPr>
              <w:rFonts w:ascii="Arial" w:hAnsi="Arial" w:cs="Arial"/>
              <w:sz w:val="20"/>
              <w:szCs w:val="20"/>
              <w:vertAlign w:val="superscript"/>
            </w:rPr>
            <w:fldChar w:fldCharType="begin"/>
          </w:r>
          <w:r w:rsidR="00DD3CA4">
            <w:rPr>
              <w:rFonts w:ascii="Arial" w:hAnsi="Arial" w:cs="Arial"/>
              <w:sz w:val="20"/>
              <w:szCs w:val="20"/>
              <w:vertAlign w:val="superscript"/>
              <w:lang w:val="en-GB"/>
            </w:rPr>
            <w:instrText xml:space="preserve">CITATION Sca91 \l 2057 </w:instrText>
          </w:r>
          <w:r w:rsidR="00F31BC6" w:rsidRPr="00F31BC6">
            <w:rPr>
              <w:rFonts w:ascii="Arial" w:hAnsi="Arial" w:cs="Arial"/>
              <w:sz w:val="20"/>
              <w:szCs w:val="20"/>
              <w:vertAlign w:val="superscript"/>
            </w:rPr>
            <w:fldChar w:fldCharType="separate"/>
          </w:r>
          <w:r w:rsidR="00DD3CA4">
            <w:rPr>
              <w:rFonts w:ascii="Arial" w:hAnsi="Arial" w:cs="Arial"/>
              <w:noProof/>
              <w:sz w:val="20"/>
              <w:szCs w:val="20"/>
              <w:vertAlign w:val="superscript"/>
              <w:lang w:val="en-GB"/>
            </w:rPr>
            <w:t xml:space="preserve"> </w:t>
          </w:r>
          <w:r w:rsidR="00DD3CA4" w:rsidRPr="00DD3CA4">
            <w:rPr>
              <w:rFonts w:ascii="Arial" w:hAnsi="Arial" w:cs="Arial"/>
              <w:noProof/>
              <w:sz w:val="20"/>
              <w:szCs w:val="20"/>
              <w:lang w:val="en-GB"/>
            </w:rPr>
            <w:t>[12]</w:t>
          </w:r>
          <w:r w:rsidR="00F31BC6" w:rsidRPr="00F31BC6">
            <w:rPr>
              <w:rFonts w:ascii="Arial" w:hAnsi="Arial" w:cs="Arial"/>
              <w:sz w:val="20"/>
              <w:szCs w:val="20"/>
              <w:vertAlign w:val="superscript"/>
            </w:rPr>
            <w:fldChar w:fldCharType="end"/>
          </w:r>
        </w:sdtContent>
      </w:sdt>
      <w:r>
        <w:rPr>
          <w:rFonts w:ascii="Arial" w:hAnsi="Arial" w:cs="Arial"/>
          <w:sz w:val="20"/>
          <w:szCs w:val="20"/>
        </w:rPr>
        <w:t>. The antibacterial action of tannins is believed to be due to their ability to precipitate proteins and disrupt microbial cell membrane integrity</w:t>
      </w:r>
      <w:sdt>
        <w:sdtPr>
          <w:rPr>
            <w:rFonts w:ascii="Arial" w:hAnsi="Arial" w:cs="Arial"/>
            <w:sz w:val="20"/>
            <w:szCs w:val="20"/>
          </w:rPr>
          <w:id w:val="-1499957878"/>
          <w:citation/>
        </w:sdtPr>
        <w:sdtEndPr/>
        <w:sdtContent>
          <w:r w:rsidR="004A66F1" w:rsidRPr="00DB24B6">
            <w:rPr>
              <w:rFonts w:ascii="Arial" w:hAnsi="Arial" w:cs="Arial"/>
              <w:sz w:val="20"/>
              <w:szCs w:val="20"/>
            </w:rPr>
            <w:fldChar w:fldCharType="begin"/>
          </w:r>
          <w:r w:rsidR="00DD3CA4">
            <w:rPr>
              <w:rFonts w:ascii="Arial" w:hAnsi="Arial" w:cs="Arial"/>
              <w:sz w:val="20"/>
              <w:szCs w:val="20"/>
              <w:lang w:val="en-GB"/>
            </w:rPr>
            <w:instrText xml:space="preserve">CITATION Mak07 \l 2057 </w:instrText>
          </w:r>
          <w:r w:rsidR="004A66F1" w:rsidRPr="00DB24B6">
            <w:rPr>
              <w:rFonts w:ascii="Arial" w:hAnsi="Arial" w:cs="Arial"/>
              <w:sz w:val="20"/>
              <w:szCs w:val="20"/>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[13]</w:t>
          </w:r>
          <w:r w:rsidR="004A66F1" w:rsidRPr="00DB24B6">
            <w:rPr>
              <w:rFonts w:ascii="Arial" w:hAnsi="Arial" w:cs="Arial"/>
              <w:sz w:val="20"/>
              <w:szCs w:val="20"/>
            </w:rPr>
            <w:fldChar w:fldCharType="end"/>
          </w:r>
        </w:sdtContent>
      </w:sdt>
      <w:r w:rsidRPr="00DB24B6">
        <w:rPr>
          <w:rFonts w:ascii="Arial" w:hAnsi="Arial" w:cs="Arial"/>
          <w:sz w:val="20"/>
          <w:szCs w:val="20"/>
        </w:rPr>
        <w:t>.</w:t>
      </w:r>
      <w:r>
        <w:rPr>
          <w:rFonts w:ascii="Arial" w:hAnsi="Arial" w:cs="Arial"/>
          <w:sz w:val="20"/>
          <w:szCs w:val="20"/>
        </w:rPr>
        <w:t xml:space="preserve"> Terpenoids, present in significant amounts, have demonstrated antibacterial effects by interacting with bacterial cell membranes, causing leakage of intracellular components and subsequent cell death</w:t>
      </w:r>
      <w:sdt>
        <w:sdtPr>
          <w:rPr>
            <w:rFonts w:ascii="Arial" w:hAnsi="Arial" w:cs="Arial"/>
            <w:sz w:val="20"/>
            <w:szCs w:val="20"/>
            <w:vertAlign w:val="superscript"/>
          </w:rPr>
          <w:id w:val="-1194763168"/>
          <w:citation/>
        </w:sdtPr>
        <w:sdtEndPr>
          <w:rPr>
            <w:vertAlign w:val="baseline"/>
          </w:rPr>
        </w:sdtEndPr>
        <w:sdtContent>
          <w:r w:rsidR="006C2F74" w:rsidRPr="00DB24B6">
            <w:rPr>
              <w:rFonts w:ascii="Arial" w:hAnsi="Arial" w:cs="Arial"/>
              <w:sz w:val="20"/>
              <w:szCs w:val="20"/>
            </w:rPr>
            <w:fldChar w:fldCharType="begin"/>
          </w:r>
          <w:r w:rsidR="00DD3CA4">
            <w:rPr>
              <w:rFonts w:ascii="Arial" w:hAnsi="Arial" w:cs="Arial"/>
              <w:sz w:val="20"/>
              <w:szCs w:val="20"/>
              <w:lang w:val="en-GB"/>
            </w:rPr>
            <w:instrText xml:space="preserve">CITATION Rio05 \l 2057 </w:instrText>
          </w:r>
          <w:r w:rsidR="006C2F74" w:rsidRPr="00DB24B6">
            <w:rPr>
              <w:rFonts w:ascii="Arial" w:hAnsi="Arial" w:cs="Arial"/>
              <w:sz w:val="20"/>
              <w:szCs w:val="20"/>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[14]</w:t>
          </w:r>
          <w:r w:rsidR="006C2F74" w:rsidRPr="00DB24B6">
            <w:rPr>
              <w:rFonts w:ascii="Arial" w:hAnsi="Arial" w:cs="Arial"/>
              <w:sz w:val="20"/>
              <w:szCs w:val="20"/>
            </w:rPr>
            <w:fldChar w:fldCharType="end"/>
          </w:r>
        </w:sdtContent>
      </w:sdt>
      <w:r>
        <w:rPr>
          <w:rFonts w:ascii="Arial" w:hAnsi="Arial" w:cs="Arial"/>
          <w:sz w:val="20"/>
          <w:szCs w:val="20"/>
        </w:rPr>
        <w:t xml:space="preserve">. The antibacterial effects of </w:t>
      </w:r>
      <w:r w:rsidRPr="00245BE0">
        <w:rPr>
          <w:rFonts w:ascii="Arial" w:hAnsi="Arial" w:cs="Arial"/>
          <w:i/>
          <w:iCs/>
          <w:sz w:val="20"/>
          <w:szCs w:val="20"/>
        </w:rPr>
        <w:t>Carpobrotus edulis</w:t>
      </w:r>
      <w:r>
        <w:rPr>
          <w:rFonts w:ascii="Arial" w:hAnsi="Arial" w:cs="Arial"/>
          <w:sz w:val="20"/>
          <w:szCs w:val="20"/>
        </w:rPr>
        <w:t xml:space="preserve"> leaf extracts can be attributed to the synergistic action of these phytochemicals. For example, flavonoids and phenolic compounds may work together to enhance the permeability of bacterial membranes, making them more susceptible to damage from other components</w:t>
      </w:r>
      <w:sdt>
        <w:sdtPr>
          <w:rPr>
            <w:rFonts w:ascii="Arial" w:hAnsi="Arial" w:cs="Arial"/>
            <w:sz w:val="20"/>
            <w:szCs w:val="20"/>
          </w:rPr>
          <w:id w:val="-220060416"/>
          <w:citation/>
        </w:sdtPr>
        <w:sdtEndPr/>
        <w:sdtContent>
          <w:r w:rsidR="006C2F74" w:rsidRPr="00DB24B6">
            <w:rPr>
              <w:rFonts w:ascii="Arial" w:hAnsi="Arial" w:cs="Arial"/>
              <w:sz w:val="20"/>
              <w:szCs w:val="20"/>
            </w:rPr>
            <w:fldChar w:fldCharType="begin"/>
          </w:r>
          <w:r w:rsidR="00DD3CA4">
            <w:rPr>
              <w:rFonts w:ascii="Arial" w:hAnsi="Arial" w:cs="Arial"/>
              <w:sz w:val="20"/>
              <w:szCs w:val="20"/>
              <w:lang w:val="en-GB"/>
            </w:rPr>
            <w:instrText xml:space="preserve">CITATION Cao18 \l 2057 </w:instrText>
          </w:r>
          <w:r w:rsidR="006C2F74" w:rsidRPr="00DB24B6">
            <w:rPr>
              <w:rFonts w:ascii="Arial" w:hAnsi="Arial" w:cs="Arial"/>
              <w:sz w:val="20"/>
              <w:szCs w:val="20"/>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[15]</w:t>
          </w:r>
          <w:r w:rsidR="006C2F74" w:rsidRPr="00DB24B6">
            <w:rPr>
              <w:rFonts w:ascii="Arial" w:hAnsi="Arial" w:cs="Arial"/>
              <w:sz w:val="20"/>
              <w:szCs w:val="20"/>
            </w:rPr>
            <w:fldChar w:fldCharType="end"/>
          </w:r>
        </w:sdtContent>
      </w:sdt>
      <w:r>
        <w:rPr>
          <w:rFonts w:ascii="Arial" w:hAnsi="Arial" w:cs="Arial"/>
          <w:sz w:val="20"/>
          <w:szCs w:val="20"/>
        </w:rPr>
        <w:t xml:space="preserve">. Furthermore, the high antioxidant capacity of these phytochemicals could limit oxidative stress in host cells while targeting bacterial pathogens. </w:t>
      </w:r>
      <w:r>
        <w:rPr>
          <w:rFonts w:ascii="Arial" w:hAnsi="Arial" w:cs="Arial"/>
          <w:sz w:val="20"/>
          <w:szCs w:val="20"/>
          <w:lang w:val="en-US"/>
        </w:rPr>
        <w:t xml:space="preserve">The antibacterial properties of secondary metabolites make them promising candidates for the management of tonsillitis. The present study seeks to investigate the biosafety and bioactivity of the hydroethanolic extract of the aerial parts of </w:t>
      </w:r>
      <w:r w:rsidRPr="00245BE0">
        <w:rPr>
          <w:rFonts w:ascii="Arial" w:hAnsi="Arial" w:cs="Arial"/>
          <w:i/>
          <w:iCs/>
          <w:sz w:val="20"/>
          <w:szCs w:val="20"/>
          <w:lang w:val="en-US"/>
        </w:rPr>
        <w:t>Carpobrotus edulis</w:t>
      </w:r>
      <w:r>
        <w:rPr>
          <w:rFonts w:ascii="Arial" w:hAnsi="Arial" w:cs="Arial"/>
          <w:sz w:val="20"/>
          <w:szCs w:val="20"/>
          <w:lang w:val="en-US"/>
        </w:rPr>
        <w:t>, to validate its use in the management of tonsillitis in traditional medicine in Zimbabwe.</w:t>
      </w:r>
    </w:p>
    <w:p w14:paraId="490FC5BB" w14:textId="77777777" w:rsidR="00B77CA6" w:rsidRDefault="00B77CA6">
      <w:pPr>
        <w:jc w:val="both"/>
        <w:rPr>
          <w:rFonts w:ascii="Arial" w:hAnsi="Arial" w:cs="Arial"/>
          <w:sz w:val="20"/>
          <w:szCs w:val="20"/>
          <w:lang w:val="en-US"/>
        </w:rPr>
      </w:pPr>
    </w:p>
    <w:p w14:paraId="7D217B8F" w14:textId="77777777" w:rsidR="00B77CA6" w:rsidRDefault="00B77CA6">
      <w:pPr>
        <w:jc w:val="both"/>
        <w:rPr>
          <w:rFonts w:ascii="Arial" w:hAnsi="Arial" w:cs="Arial"/>
          <w:sz w:val="20"/>
          <w:szCs w:val="20"/>
        </w:rPr>
      </w:pPr>
    </w:p>
    <w:p w14:paraId="088E1AFB" w14:textId="228892FB" w:rsidR="00B77CA6" w:rsidRPr="008A4E15" w:rsidRDefault="00D87684">
      <w:pPr>
        <w:pStyle w:val="Heading2"/>
        <w:rPr>
          <w:rFonts w:ascii="Arial" w:hAnsi="Arial" w:cs="Arial"/>
          <w:sz w:val="24"/>
          <w:szCs w:val="24"/>
        </w:rPr>
      </w:pPr>
      <w:r w:rsidRPr="008A4E15">
        <w:rPr>
          <w:rFonts w:ascii="Arial" w:hAnsi="Arial" w:cs="Arial"/>
          <w:sz w:val="24"/>
          <w:szCs w:val="24"/>
        </w:rPr>
        <w:t xml:space="preserve">Anti-inflammatory </w:t>
      </w:r>
      <w:r w:rsidR="008B603D">
        <w:rPr>
          <w:rFonts w:ascii="Arial" w:hAnsi="Arial" w:cs="Arial"/>
          <w:sz w:val="24"/>
          <w:szCs w:val="24"/>
        </w:rPr>
        <w:t>metabolites</w:t>
      </w:r>
      <w:r w:rsidRPr="008A4E15">
        <w:rPr>
          <w:rFonts w:ascii="Arial" w:hAnsi="Arial" w:cs="Arial"/>
          <w:sz w:val="24"/>
          <w:szCs w:val="24"/>
        </w:rPr>
        <w:t xml:space="preserve"> role in tonsillitis management </w:t>
      </w:r>
    </w:p>
    <w:p w14:paraId="4EADD6BD" w14:textId="4D895B4B" w:rsidR="00B77CA6" w:rsidRDefault="00D87684" w:rsidP="008B603D">
      <w:pPr>
        <w:jc w:val="both"/>
        <w:rPr>
          <w:rFonts w:ascii="Arial" w:hAnsi="Arial" w:cs="Arial"/>
          <w:sz w:val="20"/>
          <w:szCs w:val="20"/>
        </w:rPr>
      </w:pPr>
      <w:r>
        <w:rPr>
          <w:rFonts w:ascii="Arial" w:hAnsi="Arial" w:cs="Arial"/>
          <w:sz w:val="20"/>
          <w:szCs w:val="20"/>
          <w:lang w:val="en-US"/>
        </w:rPr>
        <w:t>Tonsillitis, the inflammation of the tonsils, is primarily caused by viral or bacterial infections, with Streptococcus pyogenes being the most common bacterial agent. One of the key features of the disease is inflammation,  which plays a central role in both the pathogenesis and symptom development of the condition. The clinical manifestations—pain, swelling, redness, and fever—are direct outcomes of inflammatory responses initiated by the immune system in reaction to the invading pathogens</w:t>
      </w:r>
      <w:sdt>
        <w:sdtPr>
          <w:rPr>
            <w:rFonts w:ascii="Arial" w:hAnsi="Arial" w:cs="Arial"/>
            <w:sz w:val="20"/>
            <w:szCs w:val="20"/>
            <w:lang w:val="en-US"/>
          </w:rPr>
          <w:id w:val="-768074711"/>
          <w:citation/>
        </w:sdtPr>
        <w:sdtEndPr/>
        <w:sdtContent>
          <w:r w:rsidR="00DB2EAB" w:rsidRPr="00DB24B6">
            <w:rPr>
              <w:rFonts w:ascii="Arial" w:hAnsi="Arial" w:cs="Arial"/>
              <w:sz w:val="20"/>
              <w:szCs w:val="20"/>
              <w:lang w:val="en-US"/>
            </w:rPr>
            <w:fldChar w:fldCharType="begin"/>
          </w:r>
          <w:r w:rsidR="00E92AA0">
            <w:rPr>
              <w:rFonts w:ascii="Arial" w:hAnsi="Arial" w:cs="Arial"/>
              <w:sz w:val="20"/>
              <w:szCs w:val="20"/>
              <w:lang w:val="en-GB"/>
            </w:rPr>
            <w:instrText xml:space="preserve">CITATION Bro07 \l 2057 </w:instrText>
          </w:r>
          <w:r w:rsidR="00DB2EAB" w:rsidRPr="00DB24B6">
            <w:rPr>
              <w:rFonts w:ascii="Arial" w:hAnsi="Arial" w:cs="Arial"/>
              <w:sz w:val="20"/>
              <w:szCs w:val="20"/>
              <w:lang w:val="en-US"/>
            </w:rPr>
            <w:fldChar w:fldCharType="separate"/>
          </w:r>
          <w:r w:rsidR="00E92AA0">
            <w:rPr>
              <w:rFonts w:ascii="Arial" w:hAnsi="Arial" w:cs="Arial"/>
              <w:noProof/>
              <w:sz w:val="20"/>
              <w:szCs w:val="20"/>
              <w:lang w:val="en-GB"/>
            </w:rPr>
            <w:t xml:space="preserve"> </w:t>
          </w:r>
          <w:r w:rsidR="00E92AA0" w:rsidRPr="00E92AA0">
            <w:rPr>
              <w:rFonts w:ascii="Arial" w:hAnsi="Arial" w:cs="Arial"/>
              <w:noProof/>
              <w:sz w:val="20"/>
              <w:szCs w:val="20"/>
              <w:lang w:val="en-GB"/>
            </w:rPr>
            <w:t>[16]</w:t>
          </w:r>
          <w:r w:rsidR="00DB2EAB" w:rsidRPr="00DB24B6">
            <w:rPr>
              <w:rFonts w:ascii="Arial" w:hAnsi="Arial" w:cs="Arial"/>
              <w:sz w:val="20"/>
              <w:szCs w:val="20"/>
              <w:lang w:val="en-US"/>
            </w:rPr>
            <w:fldChar w:fldCharType="end"/>
          </w:r>
        </w:sdtContent>
      </w:sdt>
      <w:r w:rsidR="00DB2EAB">
        <w:rPr>
          <w:rFonts w:ascii="Arial" w:hAnsi="Arial" w:cs="Arial"/>
          <w:sz w:val="20"/>
          <w:szCs w:val="20"/>
          <w:lang w:val="en-US"/>
        </w:rPr>
        <w:t>. T</w:t>
      </w:r>
      <w:r>
        <w:rPr>
          <w:rFonts w:ascii="Arial" w:hAnsi="Arial" w:cs="Arial"/>
          <w:sz w:val="20"/>
          <w:szCs w:val="20"/>
          <w:lang w:val="en-US"/>
        </w:rPr>
        <w:t>he inflammatory cascade in tonsillitis begins when pathogen-associated molecular patterns (PAMPs) are recognized by pattern recognition receptors (PRRs) on epithelial and immune cells of the tonsils. This recognition activates intracellular signaling pathways, most notably the nuclear factor kappa B (NF-κB) pathway, which regulates the expression of pro-inflammatory genes</w:t>
      </w:r>
      <w:sdt>
        <w:sdtPr>
          <w:rPr>
            <w:rFonts w:ascii="Arial" w:hAnsi="Arial" w:cs="Arial"/>
            <w:sz w:val="20"/>
            <w:szCs w:val="20"/>
            <w:vertAlign w:val="superscript"/>
            <w:lang w:val="en-US"/>
          </w:rPr>
          <w:id w:val="961545975"/>
          <w:citation/>
        </w:sdtPr>
        <w:sdtEndPr>
          <w:rPr>
            <w:vertAlign w:val="baseline"/>
          </w:rPr>
        </w:sdtEndPr>
        <w:sdtContent>
          <w:r w:rsidRPr="00DB24B6">
            <w:rPr>
              <w:rFonts w:ascii="Arial" w:hAnsi="Arial" w:cs="Arial"/>
              <w:sz w:val="20"/>
              <w:szCs w:val="20"/>
              <w:lang w:val="en-US"/>
            </w:rPr>
            <w:fldChar w:fldCharType="begin"/>
          </w:r>
          <w:r w:rsidR="00E92AA0">
            <w:rPr>
              <w:rFonts w:ascii="Arial" w:hAnsi="Arial" w:cs="Arial"/>
              <w:sz w:val="20"/>
              <w:szCs w:val="20"/>
              <w:lang w:val="en-GB"/>
            </w:rPr>
            <w:instrText xml:space="preserve">CITATION Gil11 \l 2057 </w:instrText>
          </w:r>
          <w:r w:rsidRPr="00DB24B6">
            <w:rPr>
              <w:rFonts w:ascii="Arial" w:hAnsi="Arial" w:cs="Arial"/>
              <w:sz w:val="20"/>
              <w:szCs w:val="20"/>
              <w:lang w:val="en-US"/>
            </w:rPr>
            <w:fldChar w:fldCharType="separate"/>
          </w:r>
          <w:r w:rsidR="00E92AA0">
            <w:rPr>
              <w:rFonts w:ascii="Arial" w:hAnsi="Arial" w:cs="Arial"/>
              <w:noProof/>
              <w:sz w:val="20"/>
              <w:szCs w:val="20"/>
              <w:lang w:val="en-GB"/>
            </w:rPr>
            <w:t xml:space="preserve"> </w:t>
          </w:r>
          <w:r w:rsidR="00E92AA0" w:rsidRPr="00E92AA0">
            <w:rPr>
              <w:rFonts w:ascii="Arial" w:hAnsi="Arial" w:cs="Arial"/>
              <w:noProof/>
              <w:sz w:val="20"/>
              <w:szCs w:val="20"/>
              <w:lang w:val="en-GB"/>
            </w:rPr>
            <w:t>[17]</w:t>
          </w:r>
          <w:r w:rsidRPr="00DB24B6">
            <w:rPr>
              <w:rFonts w:ascii="Arial" w:hAnsi="Arial" w:cs="Arial"/>
              <w:sz w:val="20"/>
              <w:szCs w:val="20"/>
              <w:lang w:val="en-US"/>
            </w:rPr>
            <w:fldChar w:fldCharType="end"/>
          </w:r>
        </w:sdtContent>
      </w:sdt>
      <w:r w:rsidRPr="00DB24B6">
        <w:rPr>
          <w:rFonts w:ascii="Arial" w:hAnsi="Arial" w:cs="Arial"/>
          <w:sz w:val="20"/>
          <w:szCs w:val="20"/>
          <w:lang w:val="en-US"/>
        </w:rPr>
        <w:t xml:space="preserve">. </w:t>
      </w:r>
      <w:r>
        <w:rPr>
          <w:rFonts w:ascii="Arial" w:hAnsi="Arial" w:cs="Arial"/>
          <w:sz w:val="20"/>
          <w:szCs w:val="20"/>
          <w:lang w:val="en-US"/>
        </w:rPr>
        <w:t xml:space="preserve">As a result, immune cells such as neutrophils, macrophages, and T-cells are recruited to the site, amplifying the inflammatory response. Several pro-inflammatory cytokines have been implicated in the pathology of tonsillitis, including interleukin-1 beta (IL-1β), tumor necrosis factor-alpha (TNF-α), and interleukin-6 (IL-6). These cytokines not only mediate local inflammation and tissue swelling but also contribute to systemic </w:t>
      </w:r>
      <w:r>
        <w:rPr>
          <w:rFonts w:ascii="Arial" w:hAnsi="Arial" w:cs="Arial"/>
          <w:sz w:val="20"/>
          <w:szCs w:val="20"/>
          <w:lang w:val="en-US"/>
        </w:rPr>
        <w:lastRenderedPageBreak/>
        <w:t>symptoms such as fever and malaise</w:t>
      </w:r>
      <w:sdt>
        <w:sdtPr>
          <w:rPr>
            <w:rFonts w:ascii="Arial" w:hAnsi="Arial" w:cs="Arial"/>
            <w:sz w:val="20"/>
            <w:szCs w:val="20"/>
            <w:lang w:val="en-US"/>
          </w:rPr>
          <w:id w:val="832957077"/>
          <w:citation/>
        </w:sdtPr>
        <w:sdtEndPr/>
        <w:sdtContent>
          <w:r w:rsidRPr="00DB24B6">
            <w:rPr>
              <w:rFonts w:ascii="Arial" w:hAnsi="Arial" w:cs="Arial"/>
              <w:sz w:val="20"/>
              <w:szCs w:val="20"/>
              <w:lang w:val="en-US"/>
            </w:rPr>
            <w:fldChar w:fldCharType="begin"/>
          </w:r>
          <w:r w:rsidR="00E92AA0">
            <w:rPr>
              <w:rFonts w:ascii="Arial" w:hAnsi="Arial" w:cs="Arial"/>
              <w:sz w:val="20"/>
              <w:szCs w:val="20"/>
              <w:lang w:val="en-GB"/>
            </w:rPr>
            <w:instrText xml:space="preserve">CITATION Kle07 \l 2057 </w:instrText>
          </w:r>
          <w:r w:rsidRPr="00DB24B6">
            <w:rPr>
              <w:rFonts w:ascii="Arial" w:hAnsi="Arial" w:cs="Arial"/>
              <w:sz w:val="20"/>
              <w:szCs w:val="20"/>
              <w:lang w:val="en-US"/>
            </w:rPr>
            <w:fldChar w:fldCharType="separate"/>
          </w:r>
          <w:r w:rsidR="00E92AA0">
            <w:rPr>
              <w:rFonts w:ascii="Arial" w:hAnsi="Arial" w:cs="Arial"/>
              <w:noProof/>
              <w:sz w:val="20"/>
              <w:szCs w:val="20"/>
              <w:lang w:val="en-GB"/>
            </w:rPr>
            <w:t xml:space="preserve"> </w:t>
          </w:r>
          <w:r w:rsidR="00E92AA0" w:rsidRPr="00E92AA0">
            <w:rPr>
              <w:rFonts w:ascii="Arial" w:hAnsi="Arial" w:cs="Arial"/>
              <w:noProof/>
              <w:sz w:val="20"/>
              <w:szCs w:val="20"/>
              <w:lang w:val="en-GB"/>
            </w:rPr>
            <w:t>[18]</w:t>
          </w:r>
          <w:r w:rsidRPr="00DB24B6">
            <w:rPr>
              <w:rFonts w:ascii="Arial" w:hAnsi="Arial" w:cs="Arial"/>
              <w:sz w:val="20"/>
              <w:szCs w:val="20"/>
              <w:lang w:val="en-US"/>
            </w:rPr>
            <w:fldChar w:fldCharType="end"/>
          </w:r>
        </w:sdtContent>
      </w:sdt>
      <w:r>
        <w:rPr>
          <w:rFonts w:ascii="Arial" w:hAnsi="Arial" w:cs="Arial"/>
          <w:sz w:val="20"/>
          <w:szCs w:val="20"/>
          <w:lang w:val="en-US"/>
        </w:rPr>
        <w:t>. Elevated levels of these cytokines in tonsillar tissues and serum have been documented in patients with acute tonsillitis, affirming their role in disease progression</w:t>
      </w:r>
      <w:sdt>
        <w:sdtPr>
          <w:rPr>
            <w:rFonts w:ascii="Arial" w:hAnsi="Arial" w:cs="Arial"/>
            <w:sz w:val="20"/>
            <w:szCs w:val="20"/>
            <w:lang w:val="en-US"/>
          </w:rPr>
          <w:id w:val="1762327559"/>
          <w:citation/>
        </w:sdtPr>
        <w:sdtEndPr/>
        <w:sdtContent>
          <w:r w:rsidRPr="00DB24B6">
            <w:rPr>
              <w:rFonts w:ascii="Arial" w:hAnsi="Arial" w:cs="Arial"/>
              <w:sz w:val="20"/>
              <w:szCs w:val="20"/>
              <w:lang w:val="en-US"/>
            </w:rPr>
            <w:fldChar w:fldCharType="begin"/>
          </w:r>
          <w:r w:rsidR="00E92AA0">
            <w:rPr>
              <w:rFonts w:ascii="Arial" w:hAnsi="Arial" w:cs="Arial"/>
              <w:sz w:val="20"/>
              <w:szCs w:val="20"/>
              <w:lang w:val="en-GB"/>
            </w:rPr>
            <w:instrText xml:space="preserve">CITATION Joh01 \l 2057 </w:instrText>
          </w:r>
          <w:r w:rsidRPr="00DB24B6">
            <w:rPr>
              <w:rFonts w:ascii="Arial" w:hAnsi="Arial" w:cs="Arial"/>
              <w:sz w:val="20"/>
              <w:szCs w:val="20"/>
              <w:lang w:val="en-US"/>
            </w:rPr>
            <w:fldChar w:fldCharType="separate"/>
          </w:r>
          <w:r w:rsidR="00E92AA0">
            <w:rPr>
              <w:rFonts w:ascii="Arial" w:hAnsi="Arial" w:cs="Arial"/>
              <w:noProof/>
              <w:sz w:val="20"/>
              <w:szCs w:val="20"/>
              <w:lang w:val="en-GB"/>
            </w:rPr>
            <w:t xml:space="preserve"> </w:t>
          </w:r>
          <w:r w:rsidR="00E92AA0" w:rsidRPr="00E92AA0">
            <w:rPr>
              <w:rFonts w:ascii="Arial" w:hAnsi="Arial" w:cs="Arial"/>
              <w:noProof/>
              <w:sz w:val="20"/>
              <w:szCs w:val="20"/>
              <w:lang w:val="en-GB"/>
            </w:rPr>
            <w:t>[19]</w:t>
          </w:r>
          <w:r w:rsidRPr="00DB24B6">
            <w:rPr>
              <w:rFonts w:ascii="Arial" w:hAnsi="Arial" w:cs="Arial"/>
              <w:sz w:val="20"/>
              <w:szCs w:val="20"/>
              <w:lang w:val="en-US"/>
            </w:rPr>
            <w:fldChar w:fldCharType="end"/>
          </w:r>
        </w:sdtContent>
      </w:sdt>
      <w:r>
        <w:rPr>
          <w:rFonts w:ascii="Arial" w:hAnsi="Arial" w:cs="Arial"/>
          <w:sz w:val="20"/>
          <w:szCs w:val="20"/>
          <w:lang w:val="en-US"/>
        </w:rPr>
        <w:t>. At the molecular level, the inflammation in tonsillitis involves the upregulation of adhesion molecules, chemokines, and matrix metalloproteinases (MMPs), which facilitate leukocyte infiltration and tissue remodeling. Prolonged inflammation can result in fibrosis, crypt hyperplasia, and lymphoid tissue hypertrophy, which in turn may impair normal immune function in the tonsils</w:t>
      </w:r>
      <w:sdt>
        <w:sdtPr>
          <w:rPr>
            <w:rFonts w:ascii="Arial" w:hAnsi="Arial" w:cs="Arial"/>
            <w:sz w:val="20"/>
            <w:szCs w:val="20"/>
            <w:lang w:val="en-US"/>
          </w:rPr>
          <w:id w:val="-1277638795"/>
          <w:citation/>
        </w:sdtPr>
        <w:sdtEndPr/>
        <w:sdtContent>
          <w:r w:rsidRPr="00DB24B6">
            <w:rPr>
              <w:rFonts w:ascii="Arial" w:hAnsi="Arial" w:cs="Arial"/>
              <w:sz w:val="20"/>
              <w:szCs w:val="20"/>
              <w:lang w:val="en-US"/>
            </w:rPr>
            <w:fldChar w:fldCharType="begin"/>
          </w:r>
          <w:r w:rsidRPr="00DB24B6">
            <w:rPr>
              <w:rFonts w:ascii="Arial" w:hAnsi="Arial" w:cs="Arial"/>
              <w:sz w:val="20"/>
              <w:szCs w:val="20"/>
              <w:lang w:val="en-GB"/>
            </w:rPr>
            <w:instrText xml:space="preserve"> CITATION Ber01 \l 2057 </w:instrText>
          </w:r>
          <w:r w:rsidRPr="00DB24B6">
            <w:rPr>
              <w:rFonts w:ascii="Arial" w:hAnsi="Arial" w:cs="Arial"/>
              <w:sz w:val="20"/>
              <w:szCs w:val="20"/>
              <w:lang w:val="en-US"/>
            </w:rPr>
            <w:fldChar w:fldCharType="separate"/>
          </w:r>
          <w:r w:rsidR="005965BD">
            <w:rPr>
              <w:rFonts w:ascii="Arial" w:hAnsi="Arial" w:cs="Arial"/>
              <w:noProof/>
              <w:sz w:val="20"/>
              <w:szCs w:val="20"/>
              <w:lang w:val="en-GB"/>
            </w:rPr>
            <w:t xml:space="preserve"> </w:t>
          </w:r>
          <w:r w:rsidR="005965BD" w:rsidRPr="005965BD">
            <w:rPr>
              <w:rFonts w:ascii="Arial" w:hAnsi="Arial" w:cs="Arial"/>
              <w:noProof/>
              <w:sz w:val="20"/>
              <w:szCs w:val="20"/>
              <w:lang w:val="en-GB"/>
            </w:rPr>
            <w:t>[20]</w:t>
          </w:r>
          <w:r w:rsidRPr="00DB24B6">
            <w:rPr>
              <w:rFonts w:ascii="Arial" w:hAnsi="Arial" w:cs="Arial"/>
              <w:sz w:val="20"/>
              <w:szCs w:val="20"/>
              <w:lang w:val="en-US"/>
            </w:rPr>
            <w:fldChar w:fldCharType="end"/>
          </w:r>
        </w:sdtContent>
      </w:sdt>
      <w:r>
        <w:rPr>
          <w:rFonts w:ascii="Arial" w:hAnsi="Arial" w:cs="Arial"/>
          <w:sz w:val="20"/>
          <w:szCs w:val="20"/>
          <w:lang w:val="en-US"/>
        </w:rPr>
        <w:t>. Environmental factors, such as exposure to allergens, air pollutants, or cold air, can exacerbate inflammatory responses by priming the immune system or disrupting mucosal barriers. These factors can lead to repeated infections and chronic inflammation, thereby contributing to recurrent tonsillitis</w:t>
      </w:r>
      <w:sdt>
        <w:sdtPr>
          <w:rPr>
            <w:rFonts w:ascii="Arial" w:hAnsi="Arial" w:cs="Arial"/>
            <w:sz w:val="20"/>
            <w:szCs w:val="20"/>
            <w:lang w:val="en-US"/>
          </w:rPr>
          <w:id w:val="1832173971"/>
          <w:citation/>
        </w:sdtPr>
        <w:sdtEndPr/>
        <w:sdtContent>
          <w:r w:rsidR="005F765F" w:rsidRPr="00DB24B6">
            <w:rPr>
              <w:rFonts w:ascii="Arial" w:hAnsi="Arial" w:cs="Arial"/>
              <w:sz w:val="20"/>
              <w:szCs w:val="20"/>
              <w:lang w:val="en-US"/>
            </w:rPr>
            <w:fldChar w:fldCharType="begin"/>
          </w:r>
          <w:r w:rsidR="00DD3CA4">
            <w:rPr>
              <w:rFonts w:ascii="Arial" w:hAnsi="Arial" w:cs="Arial"/>
              <w:sz w:val="20"/>
              <w:szCs w:val="20"/>
              <w:lang w:val="en-GB"/>
            </w:rPr>
            <w:instrText xml:space="preserve">CITATION Yil13 \l 2057 </w:instrText>
          </w:r>
          <w:r w:rsidR="005F765F" w:rsidRPr="00DB24B6">
            <w:rPr>
              <w:rFonts w:ascii="Arial" w:hAnsi="Arial" w:cs="Arial"/>
              <w:sz w:val="20"/>
              <w:szCs w:val="20"/>
              <w:lang w:val="en-US"/>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[9]</w:t>
          </w:r>
          <w:r w:rsidR="005F765F" w:rsidRPr="00DB24B6">
            <w:rPr>
              <w:rFonts w:ascii="Arial" w:hAnsi="Arial" w:cs="Arial"/>
              <w:sz w:val="20"/>
              <w:szCs w:val="20"/>
              <w:lang w:val="en-US"/>
            </w:rPr>
            <w:fldChar w:fldCharType="end"/>
          </w:r>
        </w:sdtContent>
      </w:sdt>
      <w:r w:rsidR="005F765F">
        <w:rPr>
          <w:rFonts w:ascii="Arial" w:hAnsi="Arial" w:cs="Arial"/>
          <w:sz w:val="20"/>
          <w:szCs w:val="20"/>
          <w:lang w:val="en-US"/>
        </w:rPr>
        <w:t xml:space="preserve">. </w:t>
      </w:r>
      <w:r>
        <w:rPr>
          <w:rFonts w:ascii="Arial" w:hAnsi="Arial" w:cs="Arial"/>
          <w:sz w:val="20"/>
          <w:szCs w:val="20"/>
          <w:lang w:val="en-US"/>
        </w:rPr>
        <w:t>Moreover, certain genetic predispositions and epigenetic modifications have been shown to influence how the body reacts to these environmental triggers, adding complexity to the inflammatory mechanisms.</w:t>
      </w:r>
      <w:r>
        <w:rPr>
          <w:rFonts w:ascii="Arial" w:hAnsi="Arial" w:cs="Arial"/>
          <w:sz w:val="20"/>
          <w:szCs w:val="20"/>
        </w:rPr>
        <w:t xml:space="preserve"> </w:t>
      </w:r>
      <w:r>
        <w:rPr>
          <w:rFonts w:ascii="Arial" w:hAnsi="Arial" w:cs="Arial"/>
          <w:sz w:val="20"/>
          <w:szCs w:val="20"/>
          <w:lang w:val="en-US"/>
        </w:rPr>
        <w:t xml:space="preserve">Given these findings, there is growing research interest in targeting inflammation as a therapeutic strategy for managing tonsillitis. Anti-inflammatory drugs, both steroidal and non-steroidal, are commonly prescribed to manage symptoms, yet they may come with adverse effects or contraindications. This has spurred interest in exploring plant-based anti-inflammatory agents, especially in regions with rich traditional medicine systems such as Southern Africa. The growing understanding of the link between inflammation and tonsillitis has spurred interest in anti-inflammatory therapies to manage and prevent the condition, as well as in using inflammatory biomarkers to assess risk for chronic tonsillitis. </w:t>
      </w:r>
      <w:r>
        <w:rPr>
          <w:rFonts w:ascii="Arial" w:hAnsi="Arial" w:cs="Arial"/>
          <w:sz w:val="20"/>
          <w:szCs w:val="20"/>
        </w:rPr>
        <w:t xml:space="preserve">The identification of potential pathways connecting inflammation to </w:t>
      </w:r>
      <w:r>
        <w:rPr>
          <w:rFonts w:ascii="Arial" w:hAnsi="Arial" w:cs="Arial"/>
          <w:sz w:val="20"/>
          <w:szCs w:val="20"/>
          <w:lang w:val="en-US"/>
        </w:rPr>
        <w:t>tonsillitis</w:t>
      </w:r>
      <w:r>
        <w:rPr>
          <w:rFonts w:ascii="Arial" w:hAnsi="Arial" w:cs="Arial"/>
          <w:sz w:val="20"/>
          <w:szCs w:val="20"/>
        </w:rPr>
        <w:t xml:space="preserve"> has produced growing interest in targeting inflammation to help </w:t>
      </w:r>
      <w:r>
        <w:rPr>
          <w:rFonts w:ascii="Arial" w:hAnsi="Arial" w:cs="Arial"/>
          <w:sz w:val="20"/>
          <w:szCs w:val="20"/>
          <w:lang w:val="en-US"/>
        </w:rPr>
        <w:t xml:space="preserve">manage </w:t>
      </w:r>
      <w:r>
        <w:rPr>
          <w:rFonts w:ascii="Arial" w:hAnsi="Arial" w:cs="Arial"/>
          <w:sz w:val="20"/>
          <w:szCs w:val="20"/>
        </w:rPr>
        <w:t xml:space="preserve">and control </w:t>
      </w:r>
      <w:r>
        <w:rPr>
          <w:rFonts w:ascii="Arial" w:hAnsi="Arial" w:cs="Arial"/>
          <w:sz w:val="20"/>
          <w:szCs w:val="20"/>
          <w:lang w:val="en-US"/>
        </w:rPr>
        <w:t xml:space="preserve">tonsillitis. Aiming to broaden the scope of orally administered anti-tonsillitis agents, the present study was carried out to confirm the bioactivity of lyophilized hydroethanolic aerial extracts of </w:t>
      </w:r>
      <w:r>
        <w:rPr>
          <w:rFonts w:ascii="Arial" w:hAnsi="Arial" w:cs="Arial"/>
          <w:i/>
          <w:iCs/>
          <w:sz w:val="20"/>
          <w:szCs w:val="20"/>
          <w:lang w:val="en-US"/>
        </w:rPr>
        <w:t>Carpobrotus edulis</w:t>
      </w:r>
      <w:r>
        <w:rPr>
          <w:rFonts w:ascii="Arial" w:hAnsi="Arial" w:cs="Arial"/>
          <w:sz w:val="20"/>
          <w:szCs w:val="20"/>
          <w:lang w:val="en-US"/>
        </w:rPr>
        <w:t xml:space="preserve"> against known biological endpoints associated with tonsillitis conditions including inflammation and oxidative cell damage. The study also serves to evaluate its safety in animal models and to complement earlier studies in different geographical setups on this cardinal antidiabetic medicinal plant.</w:t>
      </w:r>
    </w:p>
    <w:p w14:paraId="7E13FC67" w14:textId="77777777" w:rsidR="00B77CA6" w:rsidRPr="008A4E15" w:rsidRDefault="00D87684">
      <w:pPr>
        <w:pStyle w:val="Heading1"/>
        <w:rPr>
          <w:rFonts w:ascii="Arial" w:hAnsi="Arial" w:cs="Arial"/>
          <w:sz w:val="24"/>
          <w:szCs w:val="24"/>
        </w:rPr>
      </w:pPr>
      <w:r w:rsidRPr="008A4E15">
        <w:rPr>
          <w:rFonts w:ascii="Arial" w:hAnsi="Arial" w:cs="Arial"/>
          <w:sz w:val="24"/>
          <w:szCs w:val="24"/>
        </w:rPr>
        <w:t>Materials and methods</w:t>
      </w:r>
    </w:p>
    <w:p w14:paraId="5FC70343" w14:textId="77777777" w:rsidR="00B77CA6" w:rsidRPr="008A4E15" w:rsidRDefault="00D87684">
      <w:pPr>
        <w:pStyle w:val="Heading2"/>
        <w:rPr>
          <w:rFonts w:ascii="Arial" w:hAnsi="Arial" w:cs="Arial"/>
          <w:sz w:val="24"/>
          <w:szCs w:val="24"/>
        </w:rPr>
      </w:pPr>
      <w:r w:rsidRPr="008A4E15">
        <w:rPr>
          <w:rFonts w:ascii="Arial" w:hAnsi="Arial" w:cs="Arial"/>
          <w:sz w:val="24"/>
          <w:szCs w:val="24"/>
        </w:rPr>
        <w:t>Materials, equipment, and facilities</w:t>
      </w:r>
    </w:p>
    <w:p w14:paraId="70D50751" w14:textId="77777777" w:rsidR="00B77CA6" w:rsidRDefault="00D87684">
      <w:pPr>
        <w:contextualSpacing/>
        <w:jc w:val="both"/>
        <w:rPr>
          <w:rFonts w:ascii="Arial" w:hAnsi="Arial" w:cs="Arial"/>
          <w:sz w:val="20"/>
          <w:szCs w:val="20"/>
        </w:rPr>
      </w:pPr>
      <w:r>
        <w:rPr>
          <w:rFonts w:ascii="Arial" w:hAnsi="Arial" w:cs="Arial"/>
          <w:sz w:val="20"/>
          <w:szCs w:val="20"/>
        </w:rPr>
        <w:t xml:space="preserve">All chemicals, associated reagents, equipment, and facilities for the </w:t>
      </w:r>
      <w:r>
        <w:rPr>
          <w:rFonts w:ascii="Arial" w:hAnsi="Arial" w:cs="Arial"/>
          <w:i/>
          <w:sz w:val="20"/>
          <w:szCs w:val="20"/>
        </w:rPr>
        <w:t>in-vivo</w:t>
      </w:r>
      <w:r>
        <w:rPr>
          <w:rFonts w:ascii="Arial" w:hAnsi="Arial" w:cs="Arial"/>
          <w:sz w:val="20"/>
          <w:szCs w:val="20"/>
        </w:rPr>
        <w:t xml:space="preserve"> laboratory animal toxicity investigations and the bioactivity assays were obtained from the University of Zimbabwe, Faculty of Medicine and Health Sciences laboratories</w:t>
      </w:r>
      <w:r>
        <w:rPr>
          <w:rFonts w:ascii="Arial" w:hAnsi="Arial" w:cs="Arial"/>
          <w:sz w:val="20"/>
          <w:szCs w:val="20"/>
          <w:lang w:val="en-US"/>
        </w:rPr>
        <w:t>.</w:t>
      </w:r>
    </w:p>
    <w:p w14:paraId="3786906F" w14:textId="77777777" w:rsidR="00B77CA6" w:rsidRDefault="00D87684">
      <w:pPr>
        <w:contextualSpacing/>
        <w:jc w:val="both"/>
        <w:rPr>
          <w:rFonts w:ascii="Arial" w:hAnsi="Arial" w:cs="Arial"/>
          <w:sz w:val="20"/>
          <w:szCs w:val="20"/>
        </w:rPr>
      </w:pPr>
      <w:r>
        <w:rPr>
          <w:rFonts w:ascii="Arial" w:hAnsi="Arial" w:cs="Arial"/>
          <w:sz w:val="20"/>
          <w:szCs w:val="20"/>
        </w:rPr>
        <w:t xml:space="preserve"> </w:t>
      </w:r>
    </w:p>
    <w:p w14:paraId="405FBC47"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Animal use approval </w:t>
      </w:r>
    </w:p>
    <w:p w14:paraId="33C6D459" w14:textId="77777777" w:rsidR="00B77CA6" w:rsidRDefault="00D87684">
      <w:pPr>
        <w:contextualSpacing/>
        <w:jc w:val="both"/>
        <w:rPr>
          <w:rFonts w:ascii="Arial" w:hAnsi="Arial" w:cs="Arial"/>
          <w:sz w:val="20"/>
          <w:szCs w:val="20"/>
        </w:rPr>
      </w:pPr>
      <w:r>
        <w:rPr>
          <w:rFonts w:ascii="Arial" w:hAnsi="Arial" w:cs="Arial"/>
          <w:sz w:val="20"/>
          <w:szCs w:val="20"/>
        </w:rPr>
        <w:t xml:space="preserve">Prior to the investigations, animal use and research ethics approvals were obtained from the Joint Parirenyatwa Research Ethics Committee (JREC) which is the local research Institutional Review board for the University of Zimbabwe. </w:t>
      </w:r>
    </w:p>
    <w:p w14:paraId="6DCD2B07" w14:textId="77777777" w:rsidR="00B77CA6" w:rsidRDefault="00D87684">
      <w:pPr>
        <w:contextualSpacing/>
        <w:jc w:val="both"/>
        <w:rPr>
          <w:rFonts w:ascii="Arial" w:hAnsi="Arial" w:cs="Arial"/>
          <w:sz w:val="20"/>
          <w:szCs w:val="20"/>
        </w:rPr>
      </w:pPr>
      <w:r>
        <w:rPr>
          <w:rFonts w:ascii="Arial" w:hAnsi="Arial" w:cs="Arial"/>
          <w:sz w:val="20"/>
          <w:szCs w:val="20"/>
        </w:rPr>
        <w:t xml:space="preserve"> </w:t>
      </w:r>
    </w:p>
    <w:p w14:paraId="72F89D6E"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w:t>
      </w:r>
      <w:r w:rsidRPr="00E8579A">
        <w:rPr>
          <w:rFonts w:ascii="Arial" w:hAnsi="Arial" w:cs="Arial"/>
          <w:i/>
          <w:iCs/>
          <w:sz w:val="24"/>
          <w:szCs w:val="24"/>
        </w:rPr>
        <w:t>Carpobrotus edulis</w:t>
      </w:r>
      <w:r w:rsidRPr="00E8579A">
        <w:rPr>
          <w:rFonts w:ascii="Arial" w:hAnsi="Arial" w:cs="Arial"/>
          <w:sz w:val="24"/>
          <w:szCs w:val="24"/>
        </w:rPr>
        <w:t xml:space="preserve"> Plant material collection and preparation </w:t>
      </w:r>
    </w:p>
    <w:p w14:paraId="46BC88C2" w14:textId="77777777" w:rsidR="00B77CA6" w:rsidRDefault="00D87684">
      <w:pPr>
        <w:contextualSpacing/>
        <w:jc w:val="both"/>
        <w:rPr>
          <w:rFonts w:ascii="Arial" w:hAnsi="Arial" w:cs="Arial"/>
          <w:sz w:val="20"/>
          <w:szCs w:val="20"/>
        </w:rPr>
      </w:pPr>
      <w:r>
        <w:rPr>
          <w:rFonts w:ascii="Arial" w:hAnsi="Arial" w:cs="Arial"/>
          <w:sz w:val="20"/>
          <w:szCs w:val="20"/>
        </w:rPr>
        <w:t xml:space="preserve">Plant material was collected from the </w:t>
      </w:r>
      <w:r>
        <w:rPr>
          <w:rFonts w:ascii="Arial" w:hAnsi="Arial" w:cs="Arial"/>
          <w:sz w:val="20"/>
          <w:szCs w:val="20"/>
          <w:lang w:val="en-US"/>
        </w:rPr>
        <w:t>Marondera</w:t>
      </w:r>
      <w:r>
        <w:rPr>
          <w:rFonts w:ascii="Arial" w:hAnsi="Arial" w:cs="Arial"/>
          <w:sz w:val="20"/>
          <w:szCs w:val="20"/>
        </w:rPr>
        <w:t xml:space="preserve"> </w:t>
      </w:r>
      <w:r>
        <w:rPr>
          <w:rFonts w:ascii="Arial" w:hAnsi="Arial" w:cs="Arial"/>
          <w:sz w:val="20"/>
          <w:szCs w:val="20"/>
          <w:lang w:val="en-US"/>
        </w:rPr>
        <w:t>town</w:t>
      </w:r>
      <w:r>
        <w:rPr>
          <w:rFonts w:ascii="Arial" w:hAnsi="Arial" w:cs="Arial"/>
          <w:sz w:val="20"/>
          <w:szCs w:val="20"/>
        </w:rPr>
        <w:t xml:space="preserve"> of Zimbabwe, </w:t>
      </w:r>
      <w:r>
        <w:rPr>
          <w:rFonts w:ascii="Arial" w:hAnsi="Arial" w:cs="Arial"/>
          <w:sz w:val="20"/>
          <w:szCs w:val="20"/>
          <w:lang w:val="en-US"/>
        </w:rPr>
        <w:t>74</w:t>
      </w:r>
      <w:r>
        <w:rPr>
          <w:rFonts w:ascii="Arial" w:hAnsi="Arial" w:cs="Arial"/>
          <w:sz w:val="20"/>
          <w:szCs w:val="20"/>
        </w:rPr>
        <w:t xml:space="preserve"> km </w:t>
      </w:r>
      <w:r>
        <w:rPr>
          <w:rFonts w:ascii="Arial" w:hAnsi="Arial" w:cs="Arial"/>
          <w:sz w:val="20"/>
          <w:szCs w:val="20"/>
          <w:lang w:val="en-US"/>
        </w:rPr>
        <w:t>Eastwards</w:t>
      </w:r>
      <w:r>
        <w:rPr>
          <w:rFonts w:ascii="Arial" w:hAnsi="Arial" w:cs="Arial"/>
          <w:sz w:val="20"/>
          <w:szCs w:val="20"/>
        </w:rPr>
        <w:t xml:space="preserve"> from the City of Harare (18.2493° S, 30.8556° E). In observing the rules for Zimbabwe's Sustainable Harvesting of Traditional Medicinal Plants, the material was collected from 5 different plants. The plant material was authenticated as </w:t>
      </w:r>
      <w:r>
        <w:rPr>
          <w:rFonts w:ascii="Arial" w:hAnsi="Arial" w:cs="Arial"/>
          <w:i/>
          <w:iCs/>
          <w:sz w:val="20"/>
          <w:szCs w:val="20"/>
        </w:rPr>
        <w:t>Carpobrotus edulis</w:t>
      </w:r>
      <w:r>
        <w:rPr>
          <w:rFonts w:ascii="Arial" w:hAnsi="Arial" w:cs="Arial"/>
          <w:sz w:val="20"/>
          <w:szCs w:val="20"/>
        </w:rPr>
        <w:t xml:space="preserve"> by the National Herbarium and Botanical Garden in Harare, Zimbabwe. The leaves were thoroughly washed using clean water to remove debris and other contaminants, </w:t>
      </w:r>
      <w:r>
        <w:rPr>
          <w:rFonts w:ascii="Arial" w:hAnsi="Arial" w:cs="Arial"/>
          <w:sz w:val="20"/>
          <w:szCs w:val="20"/>
          <w:lang w:val="en-US"/>
        </w:rPr>
        <w:t>oven</w:t>
      </w:r>
      <w:r>
        <w:rPr>
          <w:rFonts w:ascii="Arial" w:hAnsi="Arial" w:cs="Arial"/>
          <w:sz w:val="20"/>
          <w:szCs w:val="20"/>
        </w:rPr>
        <w:t xml:space="preserve">-dried at </w:t>
      </w:r>
      <w:r>
        <w:rPr>
          <w:rFonts w:ascii="Arial" w:hAnsi="Arial" w:cs="Arial"/>
          <w:sz w:val="20"/>
          <w:szCs w:val="20"/>
          <w:lang w:val="en-US"/>
        </w:rPr>
        <w:t>40°C</w:t>
      </w:r>
      <w:r>
        <w:rPr>
          <w:rFonts w:ascii="Arial" w:hAnsi="Arial" w:cs="Arial"/>
          <w:sz w:val="20"/>
          <w:szCs w:val="20"/>
        </w:rPr>
        <w:t xml:space="preserve"> to constant weight for </w:t>
      </w:r>
      <w:r>
        <w:rPr>
          <w:rFonts w:ascii="Arial" w:hAnsi="Arial" w:cs="Arial"/>
          <w:sz w:val="20"/>
          <w:szCs w:val="20"/>
          <w:lang w:val="en-US"/>
        </w:rPr>
        <w:t>24 hours</w:t>
      </w:r>
      <w:r>
        <w:rPr>
          <w:rFonts w:ascii="Arial" w:hAnsi="Arial" w:cs="Arial"/>
          <w:sz w:val="20"/>
          <w:szCs w:val="20"/>
        </w:rPr>
        <w:t xml:space="preserve">, and then pulverized using mortar and pestle. The pulverized material was ground into a fine powder using a coffee grinder (Hamilton Beach Coffee Grinder Model- 80410). </w:t>
      </w:r>
    </w:p>
    <w:p w14:paraId="49D767CC" w14:textId="77777777" w:rsidR="00B77CA6" w:rsidRDefault="00D87684">
      <w:pPr>
        <w:jc w:val="both"/>
        <w:rPr>
          <w:rFonts w:ascii="Arial" w:hAnsi="Arial" w:cs="Arial"/>
          <w:sz w:val="20"/>
          <w:szCs w:val="20"/>
        </w:rPr>
      </w:pPr>
      <w:r>
        <w:rPr>
          <w:rFonts w:ascii="Arial" w:hAnsi="Arial" w:cs="Arial"/>
          <w:sz w:val="20"/>
          <w:szCs w:val="20"/>
        </w:rPr>
        <w:t xml:space="preserve">The phytoextraction was done by adding 500g plant powder into 1200 ml of 70% (v/v) hydro-ethanolic mixture in a 2-liter sterile amber bottle and macerated for </w:t>
      </w:r>
      <w:r>
        <w:rPr>
          <w:rFonts w:ascii="Arial" w:hAnsi="Arial" w:cs="Arial"/>
          <w:sz w:val="20"/>
          <w:szCs w:val="20"/>
          <w:lang w:val="en-US"/>
        </w:rPr>
        <w:t>3</w:t>
      </w:r>
      <w:r>
        <w:rPr>
          <w:rFonts w:ascii="Arial" w:hAnsi="Arial" w:cs="Arial"/>
          <w:sz w:val="20"/>
          <w:szCs w:val="20"/>
        </w:rPr>
        <w:t xml:space="preserve"> days, with 3 minutes physical shaking twice a day.</w:t>
      </w:r>
      <w:r>
        <w:rPr>
          <w:rFonts w:ascii="Arial" w:hAnsi="Arial" w:cs="Arial"/>
          <w:sz w:val="20"/>
          <w:szCs w:val="20"/>
          <w:lang w:val="en-US"/>
        </w:rPr>
        <w:t xml:space="preserve"> A muslin cloth was used to obtain a filtrate from the solution, which was further clarified by filtration using Whatman filter paper number 1. The filtrate was then</w:t>
      </w:r>
      <w:r>
        <w:rPr>
          <w:rFonts w:ascii="Arial" w:hAnsi="Arial" w:cs="Arial"/>
          <w:sz w:val="20"/>
          <w:szCs w:val="20"/>
        </w:rPr>
        <w:t xml:space="preserve"> evaporated under vacuum and low pressure (Rotavapor® R-300, Buchi, Switzerland), followed by lyophilization (Lyovapor l-200, Buchi, Switzerland) under 140Pa pressure and -50 °C. The lyophilized extract was stored in an airtight sample bottle, at 4 C in a refrigerator until required.</w:t>
      </w:r>
    </w:p>
    <w:p w14:paraId="67B5D779" w14:textId="77777777" w:rsidR="00B77CA6" w:rsidRDefault="00B77CA6">
      <w:pPr>
        <w:jc w:val="both"/>
        <w:rPr>
          <w:rFonts w:ascii="Arial" w:hAnsi="Arial" w:cs="Arial"/>
          <w:sz w:val="20"/>
          <w:szCs w:val="20"/>
          <w:lang w:val="en-US"/>
        </w:rPr>
      </w:pPr>
    </w:p>
    <w:p w14:paraId="4618190B" w14:textId="77777777" w:rsidR="00B77CA6" w:rsidRPr="008A4E15" w:rsidRDefault="00D87684">
      <w:pPr>
        <w:pStyle w:val="Heading2"/>
        <w:rPr>
          <w:rFonts w:ascii="Arial" w:hAnsi="Arial" w:cs="Arial"/>
          <w:i/>
          <w:sz w:val="24"/>
          <w:szCs w:val="24"/>
        </w:rPr>
      </w:pPr>
      <w:r w:rsidRPr="008A4E15">
        <w:rPr>
          <w:rFonts w:ascii="Arial" w:hAnsi="Arial" w:cs="Arial"/>
          <w:sz w:val="24"/>
          <w:szCs w:val="24"/>
        </w:rPr>
        <w:lastRenderedPageBreak/>
        <w:t xml:space="preserve">Phytochemical Screening of </w:t>
      </w:r>
      <w:r w:rsidRPr="008A4E15">
        <w:rPr>
          <w:rFonts w:ascii="Arial" w:hAnsi="Arial" w:cs="Arial"/>
          <w:i/>
          <w:iCs/>
          <w:sz w:val="24"/>
          <w:szCs w:val="24"/>
        </w:rPr>
        <w:t>Carpobrotus edulis</w:t>
      </w:r>
      <w:r w:rsidRPr="008A4E15">
        <w:rPr>
          <w:rFonts w:ascii="Arial" w:hAnsi="Arial" w:cs="Arial"/>
          <w:sz w:val="24"/>
          <w:szCs w:val="24"/>
        </w:rPr>
        <w:t xml:space="preserve"> </w:t>
      </w:r>
    </w:p>
    <w:p w14:paraId="25859DE7" w14:textId="77777777" w:rsidR="00B77CA6" w:rsidRDefault="00D87684">
      <w:pPr>
        <w:autoSpaceDE w:val="0"/>
        <w:autoSpaceDN w:val="0"/>
        <w:adjustRightInd w:val="0"/>
        <w:contextualSpacing/>
        <w:jc w:val="both"/>
        <w:rPr>
          <w:rFonts w:ascii="Arial" w:hAnsi="Arial" w:cs="Arial"/>
          <w:sz w:val="20"/>
          <w:szCs w:val="20"/>
        </w:rPr>
      </w:pPr>
      <w:r>
        <w:rPr>
          <w:rFonts w:ascii="Arial" w:hAnsi="Arial" w:cs="Arial"/>
          <w:sz w:val="20"/>
          <w:szCs w:val="20"/>
        </w:rPr>
        <w:t xml:space="preserve">In a 200ml round-bottomed flask, 10g of the lyophilized hydro-ethanolic extracts of </w:t>
      </w:r>
      <w:r>
        <w:rPr>
          <w:rFonts w:ascii="Arial" w:eastAsia="Calibri" w:hAnsi="Arial" w:cs="Arial"/>
          <w:i/>
          <w:iCs/>
          <w:sz w:val="20"/>
          <w:szCs w:val="20"/>
        </w:rPr>
        <w:t>Carpobrotus edulis</w:t>
      </w:r>
      <w:r>
        <w:rPr>
          <w:rFonts w:ascii="Arial" w:eastAsia="Calibri" w:hAnsi="Arial" w:cs="Arial"/>
          <w:i/>
          <w:sz w:val="20"/>
          <w:szCs w:val="20"/>
        </w:rPr>
        <w:t xml:space="preserve"> </w:t>
      </w:r>
      <w:r>
        <w:rPr>
          <w:rFonts w:ascii="Arial" w:hAnsi="Arial" w:cs="Arial"/>
          <w:sz w:val="20"/>
          <w:szCs w:val="20"/>
        </w:rPr>
        <w:t>were dissolved in 100ml of distilled water and subjected to various phyto-screening techniques to confirm the presence or absence of relevant phytoconstituents of pharmacological interest. The following qualitative tests were conducted on the extract liquor.</w:t>
      </w:r>
    </w:p>
    <w:p w14:paraId="120777C5" w14:textId="77777777" w:rsidR="00B77CA6" w:rsidRDefault="00D87684">
      <w:pPr>
        <w:autoSpaceDE w:val="0"/>
        <w:autoSpaceDN w:val="0"/>
        <w:adjustRightInd w:val="0"/>
        <w:contextualSpacing/>
        <w:jc w:val="both"/>
        <w:rPr>
          <w:rFonts w:ascii="Arial" w:hAnsi="Arial" w:cs="Arial"/>
          <w:color w:val="FF0000"/>
          <w:sz w:val="20"/>
          <w:szCs w:val="20"/>
        </w:rPr>
      </w:pPr>
      <w:r>
        <w:rPr>
          <w:rFonts w:ascii="Arial" w:hAnsi="Arial" w:cs="Arial"/>
          <w:color w:val="FF0000"/>
          <w:sz w:val="20"/>
          <w:szCs w:val="20"/>
        </w:rPr>
        <w:t xml:space="preserve"> </w:t>
      </w:r>
    </w:p>
    <w:p w14:paraId="438A73AB"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for alkaloids by the Iodine test </w:t>
      </w:r>
    </w:p>
    <w:p w14:paraId="31843C51" w14:textId="37FB4024" w:rsidR="00B77CA6" w:rsidRDefault="00D87684">
      <w:pPr>
        <w:pStyle w:val="Default"/>
        <w:jc w:val="both"/>
        <w:rPr>
          <w:rFonts w:ascii="Arial" w:hAnsi="Arial" w:cs="Arial"/>
          <w:sz w:val="20"/>
          <w:szCs w:val="20"/>
        </w:rPr>
      </w:pPr>
      <w:r>
        <w:rPr>
          <w:rFonts w:ascii="Arial" w:hAnsi="Arial" w:cs="Arial"/>
          <w:sz w:val="20"/>
          <w:szCs w:val="20"/>
        </w:rPr>
        <w:t xml:space="preserve">The Iodine test was used to determine the presence of alkaloids. In this assay, to 3ml of the lyophilized </w:t>
      </w:r>
      <w:r>
        <w:rPr>
          <w:rFonts w:ascii="Arial" w:hAnsi="Arial" w:cs="Arial"/>
          <w:sz w:val="20"/>
          <w:szCs w:val="20"/>
          <w:lang w:eastAsia="en-ZW"/>
        </w:rPr>
        <w:t xml:space="preserve">extract solution, a few drops of iodine solution </w:t>
      </w:r>
      <w:r>
        <w:rPr>
          <w:rFonts w:ascii="Arial" w:hAnsi="Arial" w:cs="Arial"/>
          <w:sz w:val="20"/>
          <w:szCs w:val="20"/>
        </w:rPr>
        <w:t>were slowly added along the sides of the test tube. The presence of alkaloids was then identified by the appearance of a blue colo</w:t>
      </w:r>
      <w:r w:rsidR="00E92AA0">
        <w:rPr>
          <w:rFonts w:ascii="Arial" w:hAnsi="Arial" w:cs="Arial"/>
          <w:sz w:val="20"/>
          <w:szCs w:val="20"/>
        </w:rPr>
        <w:t>u</w:t>
      </w:r>
      <w:r>
        <w:rPr>
          <w:rFonts w:ascii="Arial" w:hAnsi="Arial" w:cs="Arial"/>
          <w:sz w:val="20"/>
          <w:szCs w:val="20"/>
        </w:rPr>
        <w:t>r, which disappears on boiling and reappears on cooling</w:t>
      </w:r>
      <w:sdt>
        <w:sdtPr>
          <w:rPr>
            <w:rFonts w:ascii="Arial" w:hAnsi="Arial" w:cs="Arial"/>
            <w:sz w:val="20"/>
            <w:szCs w:val="20"/>
          </w:rPr>
          <w:id w:val="-919326096"/>
          <w:citation/>
        </w:sdtPr>
        <w:sdtEndPr/>
        <w:sdtContent>
          <w:r w:rsidR="000271A3">
            <w:rPr>
              <w:rFonts w:ascii="Arial" w:hAnsi="Arial" w:cs="Arial"/>
              <w:sz w:val="20"/>
              <w:szCs w:val="20"/>
            </w:rPr>
            <w:fldChar w:fldCharType="begin"/>
          </w:r>
          <w:r w:rsidR="00E92AA0">
            <w:rPr>
              <w:rFonts w:ascii="Arial" w:hAnsi="Arial" w:cs="Arial"/>
              <w:sz w:val="20"/>
              <w:szCs w:val="20"/>
            </w:rPr>
            <w:instrText xml:space="preserve">CITATION Ale24 \l 12297 </w:instrText>
          </w:r>
          <w:r w:rsidR="000271A3">
            <w:rPr>
              <w:rFonts w:ascii="Arial" w:hAnsi="Arial" w:cs="Arial"/>
              <w:sz w:val="20"/>
              <w:szCs w:val="20"/>
            </w:rPr>
            <w:fldChar w:fldCharType="separate"/>
          </w:r>
          <w:r w:rsidR="00E92AA0">
            <w:rPr>
              <w:rFonts w:ascii="Arial" w:hAnsi="Arial" w:cs="Arial"/>
              <w:noProof/>
              <w:sz w:val="20"/>
              <w:szCs w:val="20"/>
            </w:rPr>
            <w:t xml:space="preserve"> </w:t>
          </w:r>
          <w:r w:rsidR="00E92AA0" w:rsidRPr="00E92AA0">
            <w:rPr>
              <w:rFonts w:ascii="Arial" w:hAnsi="Arial" w:cs="Arial"/>
              <w:noProof/>
              <w:sz w:val="20"/>
              <w:szCs w:val="20"/>
            </w:rPr>
            <w:t>[21]</w:t>
          </w:r>
          <w:r w:rsidR="000271A3">
            <w:rPr>
              <w:rFonts w:ascii="Arial" w:hAnsi="Arial" w:cs="Arial"/>
              <w:sz w:val="20"/>
              <w:szCs w:val="20"/>
            </w:rPr>
            <w:fldChar w:fldCharType="end"/>
          </w:r>
        </w:sdtContent>
      </w:sdt>
      <w:r>
        <w:rPr>
          <w:rFonts w:ascii="Arial" w:hAnsi="Arial" w:cs="Arial"/>
          <w:sz w:val="20"/>
          <w:szCs w:val="20"/>
          <w:vertAlign w:val="superscript"/>
        </w:rPr>
        <w:t xml:space="preserve"> </w:t>
      </w:r>
      <w:r>
        <w:rPr>
          <w:rFonts w:ascii="Arial" w:hAnsi="Arial" w:cs="Arial"/>
          <w:sz w:val="20"/>
          <w:szCs w:val="20"/>
        </w:rPr>
        <w:t>.</w:t>
      </w:r>
    </w:p>
    <w:p w14:paraId="390AB70F" w14:textId="77777777" w:rsidR="00B77CA6" w:rsidRDefault="00B77CA6">
      <w:pPr>
        <w:autoSpaceDE w:val="0"/>
        <w:autoSpaceDN w:val="0"/>
        <w:adjustRightInd w:val="0"/>
        <w:contextualSpacing/>
        <w:jc w:val="both"/>
        <w:rPr>
          <w:rFonts w:ascii="Arial" w:hAnsi="Arial" w:cs="Arial"/>
          <w:b/>
          <w:bCs/>
          <w:color w:val="FF0000"/>
          <w:sz w:val="20"/>
          <w:szCs w:val="20"/>
        </w:rPr>
      </w:pPr>
    </w:p>
    <w:p w14:paraId="6B1D86CD"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tannins by the Braymer’s test </w:t>
      </w:r>
    </w:p>
    <w:p w14:paraId="66C943D5" w14:textId="4740AE1E" w:rsidR="00B77CA6" w:rsidRDefault="00D87684">
      <w:pPr>
        <w:pStyle w:val="Default"/>
        <w:jc w:val="both"/>
        <w:rPr>
          <w:rFonts w:ascii="Arial" w:hAnsi="Arial" w:cs="Arial"/>
          <w:sz w:val="20"/>
          <w:szCs w:val="20"/>
          <w:lang w:eastAsia="en-ZW"/>
        </w:rPr>
      </w:pPr>
      <w:r>
        <w:rPr>
          <w:rFonts w:ascii="Arial" w:hAnsi="Arial" w:cs="Arial"/>
          <w:sz w:val="20"/>
          <w:szCs w:val="20"/>
          <w:lang w:eastAsia="en-ZW"/>
        </w:rPr>
        <w:t>The simplified Braymer's test was used to detect the presence of tannins. To 1ml lyophilized extract solution, 3 drops of a 10% Ferric chloride solution were added. The presence of tannins was confirmed by conversion of the solution to a blue-green colo</w:t>
      </w:r>
      <w:r w:rsidR="00E92AA0">
        <w:rPr>
          <w:rFonts w:ascii="Arial" w:hAnsi="Arial" w:cs="Arial"/>
          <w:sz w:val="20"/>
          <w:szCs w:val="20"/>
          <w:lang w:eastAsia="en-ZW"/>
        </w:rPr>
        <w:t>u</w:t>
      </w:r>
      <w:r>
        <w:rPr>
          <w:rFonts w:ascii="Arial" w:hAnsi="Arial" w:cs="Arial"/>
          <w:sz w:val="20"/>
          <w:szCs w:val="20"/>
          <w:lang w:val="en-US" w:eastAsia="en-ZW"/>
        </w:rPr>
        <w:t>r</w:t>
      </w:r>
      <w:sdt>
        <w:sdtPr>
          <w:rPr>
            <w:rFonts w:ascii="Arial" w:hAnsi="Arial" w:cs="Arial"/>
            <w:sz w:val="20"/>
            <w:szCs w:val="20"/>
            <w:lang w:val="en-US" w:eastAsia="en-ZW"/>
          </w:rPr>
          <w:id w:val="-144520294"/>
          <w:citation/>
        </w:sdtPr>
        <w:sdtEndPr/>
        <w:sdtContent>
          <w:r w:rsidR="000271A3">
            <w:rPr>
              <w:rFonts w:ascii="Arial" w:hAnsi="Arial" w:cs="Arial"/>
              <w:sz w:val="20"/>
              <w:szCs w:val="20"/>
              <w:lang w:val="en-US" w:eastAsia="en-ZW"/>
            </w:rPr>
            <w:fldChar w:fldCharType="begin"/>
          </w:r>
          <w:r w:rsidR="00E92AA0">
            <w:rPr>
              <w:rFonts w:ascii="Arial" w:hAnsi="Arial" w:cs="Arial"/>
              <w:sz w:val="20"/>
              <w:szCs w:val="20"/>
              <w:lang w:eastAsia="en-ZW"/>
            </w:rPr>
            <w:instrText xml:space="preserve">CITATION Keb21 \l 12297 </w:instrText>
          </w:r>
          <w:r w:rsidR="000271A3">
            <w:rPr>
              <w:rFonts w:ascii="Arial" w:hAnsi="Arial" w:cs="Arial"/>
              <w:sz w:val="20"/>
              <w:szCs w:val="20"/>
              <w:lang w:val="en-US" w:eastAsia="en-ZW"/>
            </w:rPr>
            <w:fldChar w:fldCharType="separate"/>
          </w:r>
          <w:r w:rsidR="00E92AA0">
            <w:rPr>
              <w:rFonts w:ascii="Arial" w:hAnsi="Arial" w:cs="Arial"/>
              <w:noProof/>
              <w:sz w:val="20"/>
              <w:szCs w:val="20"/>
              <w:lang w:eastAsia="en-ZW"/>
            </w:rPr>
            <w:t xml:space="preserve"> </w:t>
          </w:r>
          <w:r w:rsidR="00E92AA0" w:rsidRPr="00E92AA0">
            <w:rPr>
              <w:rFonts w:ascii="Arial" w:hAnsi="Arial" w:cs="Arial"/>
              <w:noProof/>
              <w:sz w:val="20"/>
              <w:szCs w:val="20"/>
              <w:lang w:eastAsia="en-ZW"/>
            </w:rPr>
            <w:t>[22]</w:t>
          </w:r>
          <w:r w:rsidR="000271A3">
            <w:rPr>
              <w:rFonts w:ascii="Arial" w:hAnsi="Arial" w:cs="Arial"/>
              <w:sz w:val="20"/>
              <w:szCs w:val="20"/>
              <w:lang w:val="en-US" w:eastAsia="en-ZW"/>
            </w:rPr>
            <w:fldChar w:fldCharType="end"/>
          </w:r>
        </w:sdtContent>
      </w:sdt>
      <w:r w:rsidR="000271A3">
        <w:rPr>
          <w:rFonts w:ascii="Arial" w:hAnsi="Arial" w:cs="Arial"/>
          <w:sz w:val="20"/>
          <w:szCs w:val="20"/>
          <w:lang w:eastAsia="en-ZW"/>
        </w:rPr>
        <w:t>.</w:t>
      </w:r>
    </w:p>
    <w:p w14:paraId="523C28CE" w14:textId="77777777" w:rsidR="00B77CA6" w:rsidRDefault="00D87684">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p>
    <w:p w14:paraId="68F64C49"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flavonoids by the Ammonia test </w:t>
      </w:r>
    </w:p>
    <w:p w14:paraId="4BD98A79" w14:textId="177101E7" w:rsidR="00B77CA6" w:rsidRDefault="00D87684">
      <w:pPr>
        <w:pStyle w:val="Default"/>
        <w:jc w:val="both"/>
        <w:rPr>
          <w:rFonts w:ascii="Arial" w:hAnsi="Arial" w:cs="Arial"/>
          <w:sz w:val="20"/>
          <w:szCs w:val="20"/>
        </w:rPr>
      </w:pPr>
      <w:r>
        <w:rPr>
          <w:rFonts w:ascii="Arial" w:hAnsi="Arial" w:cs="Arial"/>
          <w:sz w:val="20"/>
          <w:szCs w:val="20"/>
        </w:rPr>
        <w:t xml:space="preserve">Flavonoids were detected by means of the Ammonia test where </w:t>
      </w:r>
      <w:r>
        <w:rPr>
          <w:rFonts w:ascii="Arial" w:hAnsi="Arial" w:cs="Arial"/>
          <w:sz w:val="20"/>
          <w:szCs w:val="20"/>
          <w:lang w:eastAsia="en-ZW"/>
        </w:rPr>
        <w:t xml:space="preserve">5ml dilute ammonia solution was added to </w:t>
      </w:r>
      <w:r>
        <w:rPr>
          <w:rFonts w:ascii="Arial" w:hAnsi="Arial" w:cs="Arial"/>
          <w:sz w:val="20"/>
          <w:szCs w:val="20"/>
        </w:rPr>
        <w:t>5ml of the lyophilized solution</w:t>
      </w:r>
      <w:r>
        <w:rPr>
          <w:rFonts w:ascii="Arial" w:hAnsi="Arial" w:cs="Arial"/>
          <w:sz w:val="20"/>
          <w:szCs w:val="20"/>
          <w:lang w:eastAsia="en-ZW"/>
        </w:rPr>
        <w:t xml:space="preserve"> followed by a few drops of conc. H</w:t>
      </w:r>
      <w:r>
        <w:rPr>
          <w:rFonts w:ascii="Arial" w:hAnsi="Arial" w:cs="Arial"/>
          <w:sz w:val="20"/>
          <w:szCs w:val="20"/>
          <w:vertAlign w:val="subscript"/>
          <w:lang w:eastAsia="en-ZW"/>
        </w:rPr>
        <w:t>2</w:t>
      </w:r>
      <w:r>
        <w:rPr>
          <w:rFonts w:ascii="Arial" w:hAnsi="Arial" w:cs="Arial"/>
          <w:sz w:val="20"/>
          <w:szCs w:val="20"/>
          <w:lang w:eastAsia="en-ZW"/>
        </w:rPr>
        <w:t>SO</w:t>
      </w:r>
      <w:r>
        <w:rPr>
          <w:rFonts w:ascii="Arial" w:hAnsi="Arial" w:cs="Arial"/>
          <w:sz w:val="20"/>
          <w:szCs w:val="20"/>
          <w:vertAlign w:val="subscript"/>
          <w:lang w:eastAsia="en-ZW"/>
        </w:rPr>
        <w:t>4</w:t>
      </w:r>
      <w:r>
        <w:rPr>
          <w:rFonts w:ascii="Arial" w:hAnsi="Arial" w:cs="Arial"/>
          <w:sz w:val="20"/>
          <w:szCs w:val="20"/>
          <w:lang w:eastAsia="en-ZW"/>
        </w:rPr>
        <w:t>. The emergence of a yellow colo</w:t>
      </w:r>
      <w:r w:rsidR="00E92AA0">
        <w:rPr>
          <w:rFonts w:ascii="Arial" w:hAnsi="Arial" w:cs="Arial"/>
          <w:sz w:val="20"/>
          <w:szCs w:val="20"/>
          <w:lang w:eastAsia="en-ZW"/>
        </w:rPr>
        <w:t>u</w:t>
      </w:r>
      <w:r>
        <w:rPr>
          <w:rFonts w:ascii="Arial" w:hAnsi="Arial" w:cs="Arial"/>
          <w:sz w:val="20"/>
          <w:szCs w:val="20"/>
          <w:lang w:eastAsia="en-ZW"/>
        </w:rPr>
        <w:t>r</w:t>
      </w:r>
      <w:r>
        <w:rPr>
          <w:rFonts w:ascii="Arial" w:hAnsi="Arial" w:cs="Arial"/>
          <w:sz w:val="20"/>
          <w:szCs w:val="20"/>
        </w:rPr>
        <w:t xml:space="preserve"> indicates the presence of flavonoids</w:t>
      </w:r>
      <w:sdt>
        <w:sdtPr>
          <w:rPr>
            <w:rFonts w:ascii="Arial" w:hAnsi="Arial" w:cs="Arial"/>
            <w:sz w:val="20"/>
            <w:szCs w:val="20"/>
          </w:rPr>
          <w:id w:val="-1372463380"/>
          <w:citation/>
        </w:sdtPr>
        <w:sdtEndPr/>
        <w:sdtContent>
          <w:r w:rsidR="000271A3">
            <w:rPr>
              <w:rFonts w:ascii="Arial" w:hAnsi="Arial" w:cs="Arial"/>
              <w:sz w:val="20"/>
              <w:szCs w:val="20"/>
            </w:rPr>
            <w:fldChar w:fldCharType="begin"/>
          </w:r>
          <w:r w:rsidR="00DD3CA4">
            <w:rPr>
              <w:rFonts w:ascii="Arial" w:hAnsi="Arial" w:cs="Arial"/>
              <w:sz w:val="20"/>
              <w:szCs w:val="20"/>
            </w:rPr>
            <w:instrText xml:space="preserve">CITATION Jaa12 \l 12297 </w:instrText>
          </w:r>
          <w:r w:rsidR="000271A3">
            <w:rPr>
              <w:rFonts w:ascii="Arial" w:hAnsi="Arial" w:cs="Arial"/>
              <w:sz w:val="20"/>
              <w:szCs w:val="20"/>
            </w:rPr>
            <w:fldChar w:fldCharType="separate"/>
          </w:r>
          <w:r w:rsidR="00DD3CA4">
            <w:rPr>
              <w:rFonts w:ascii="Arial" w:hAnsi="Arial" w:cs="Arial"/>
              <w:noProof/>
              <w:sz w:val="20"/>
              <w:szCs w:val="20"/>
            </w:rPr>
            <w:t xml:space="preserve"> </w:t>
          </w:r>
          <w:r w:rsidR="00DD3CA4" w:rsidRPr="00DD3CA4">
            <w:rPr>
              <w:rFonts w:ascii="Arial" w:hAnsi="Arial" w:cs="Arial"/>
              <w:noProof/>
              <w:sz w:val="20"/>
              <w:szCs w:val="20"/>
            </w:rPr>
            <w:t>[2]</w:t>
          </w:r>
          <w:r w:rsidR="000271A3">
            <w:rPr>
              <w:rFonts w:ascii="Arial" w:hAnsi="Arial" w:cs="Arial"/>
              <w:sz w:val="20"/>
              <w:szCs w:val="20"/>
            </w:rPr>
            <w:fldChar w:fldCharType="end"/>
          </w:r>
        </w:sdtContent>
      </w:sdt>
      <w:r w:rsidR="000271A3">
        <w:rPr>
          <w:rFonts w:ascii="Arial" w:hAnsi="Arial" w:cs="Arial"/>
          <w:sz w:val="20"/>
          <w:szCs w:val="20"/>
        </w:rPr>
        <w:t>.</w:t>
      </w:r>
    </w:p>
    <w:p w14:paraId="73A22AC1" w14:textId="77777777" w:rsidR="00B77CA6" w:rsidRDefault="00B77CA6">
      <w:pPr>
        <w:pStyle w:val="Default"/>
        <w:jc w:val="both"/>
        <w:rPr>
          <w:rFonts w:ascii="Arial" w:hAnsi="Arial" w:cs="Arial"/>
          <w:sz w:val="20"/>
          <w:szCs w:val="20"/>
        </w:rPr>
      </w:pPr>
    </w:p>
    <w:p w14:paraId="2F4F3669"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Glycosides by the Keller-Killani test </w:t>
      </w:r>
    </w:p>
    <w:p w14:paraId="0CE71D35" w14:textId="297F65CC" w:rsidR="00B77CA6" w:rsidRDefault="00D87684">
      <w:pPr>
        <w:pStyle w:val="Default"/>
        <w:rPr>
          <w:rFonts w:ascii="Arial" w:hAnsi="Arial" w:cs="Arial"/>
          <w:sz w:val="20"/>
          <w:szCs w:val="20"/>
        </w:rPr>
      </w:pPr>
      <w:r>
        <w:rPr>
          <w:rFonts w:ascii="Arial" w:hAnsi="Arial" w:cs="Arial"/>
          <w:sz w:val="20"/>
          <w:szCs w:val="20"/>
        </w:rPr>
        <w:t xml:space="preserve">The presence of glycosides was done by the </w:t>
      </w:r>
      <w:r>
        <w:rPr>
          <w:rFonts w:ascii="Arial" w:hAnsi="Arial" w:cs="Arial"/>
          <w:sz w:val="20"/>
          <w:szCs w:val="20"/>
          <w:lang w:eastAsia="en-ZW"/>
        </w:rPr>
        <w:t>Keller-Killani test</w:t>
      </w:r>
      <w:sdt>
        <w:sdtPr>
          <w:rPr>
            <w:rFonts w:ascii="Arial" w:hAnsi="Arial" w:cs="Arial"/>
            <w:sz w:val="20"/>
            <w:szCs w:val="20"/>
            <w:lang w:eastAsia="en-ZW"/>
          </w:rPr>
          <w:id w:val="-712191700"/>
          <w:citation/>
        </w:sdtPr>
        <w:sdtEndPr/>
        <w:sdtContent>
          <w:r w:rsidR="004D1D75">
            <w:rPr>
              <w:rFonts w:ascii="Arial" w:hAnsi="Arial" w:cs="Arial"/>
              <w:sz w:val="20"/>
              <w:szCs w:val="20"/>
              <w:lang w:eastAsia="en-ZW"/>
            </w:rPr>
            <w:fldChar w:fldCharType="begin"/>
          </w:r>
          <w:r w:rsidR="00DD3CA4">
            <w:rPr>
              <w:rFonts w:ascii="Arial" w:hAnsi="Arial" w:cs="Arial"/>
              <w:sz w:val="20"/>
              <w:szCs w:val="20"/>
              <w:lang w:eastAsia="en-ZW"/>
            </w:rPr>
            <w:instrText xml:space="preserve">CITATION Jaa12 \l 12297 </w:instrText>
          </w:r>
          <w:r w:rsidR="004D1D75">
            <w:rPr>
              <w:rFonts w:ascii="Arial" w:hAnsi="Arial" w:cs="Arial"/>
              <w:sz w:val="20"/>
              <w:szCs w:val="20"/>
              <w:lang w:eastAsia="en-ZW"/>
            </w:rPr>
            <w:fldChar w:fldCharType="separate"/>
          </w:r>
          <w:r w:rsidR="00DD3CA4">
            <w:rPr>
              <w:rFonts w:ascii="Arial" w:hAnsi="Arial" w:cs="Arial"/>
              <w:noProof/>
              <w:sz w:val="20"/>
              <w:szCs w:val="20"/>
              <w:lang w:eastAsia="en-ZW"/>
            </w:rPr>
            <w:t xml:space="preserve"> </w:t>
          </w:r>
          <w:r w:rsidR="00DD3CA4" w:rsidRPr="00DD3CA4">
            <w:rPr>
              <w:rFonts w:ascii="Arial" w:hAnsi="Arial" w:cs="Arial"/>
              <w:noProof/>
              <w:sz w:val="20"/>
              <w:szCs w:val="20"/>
              <w:lang w:eastAsia="en-ZW"/>
            </w:rPr>
            <w:t>[2]</w:t>
          </w:r>
          <w:r w:rsidR="004D1D75">
            <w:rPr>
              <w:rFonts w:ascii="Arial" w:hAnsi="Arial" w:cs="Arial"/>
              <w:sz w:val="20"/>
              <w:szCs w:val="20"/>
              <w:lang w:eastAsia="en-ZW"/>
            </w:rPr>
            <w:fldChar w:fldCharType="end"/>
          </w:r>
        </w:sdtContent>
      </w:sdt>
      <w:r w:rsidR="004D1D75">
        <w:rPr>
          <w:rFonts w:ascii="Arial" w:hAnsi="Arial" w:cs="Arial"/>
          <w:sz w:val="20"/>
          <w:szCs w:val="20"/>
        </w:rPr>
        <w:t>.</w:t>
      </w:r>
      <w:r>
        <w:rPr>
          <w:rFonts w:ascii="Arial" w:hAnsi="Arial" w:cs="Arial"/>
          <w:sz w:val="20"/>
          <w:szCs w:val="20"/>
        </w:rPr>
        <w:t xml:space="preserve"> To </w:t>
      </w:r>
      <w:r>
        <w:rPr>
          <w:rFonts w:ascii="Arial" w:hAnsi="Arial" w:cs="Arial"/>
          <w:sz w:val="20"/>
          <w:szCs w:val="20"/>
          <w:lang w:eastAsia="en-ZW"/>
        </w:rPr>
        <w:t>1mL of the lyophilized solution, 1.5mL glacial acetic acid was added and a few drops of 5% ferric chloride were added as well as cons. H</w:t>
      </w:r>
      <w:r>
        <w:rPr>
          <w:rFonts w:ascii="Arial" w:hAnsi="Arial" w:cs="Arial"/>
          <w:sz w:val="20"/>
          <w:szCs w:val="20"/>
          <w:vertAlign w:val="subscript"/>
          <w:lang w:eastAsia="en-ZW"/>
        </w:rPr>
        <w:t>2</w:t>
      </w:r>
      <w:r>
        <w:rPr>
          <w:rFonts w:ascii="Arial" w:hAnsi="Arial" w:cs="Arial"/>
          <w:sz w:val="20"/>
          <w:szCs w:val="20"/>
          <w:lang w:eastAsia="en-ZW"/>
        </w:rPr>
        <w:t>SO</w:t>
      </w:r>
      <w:r>
        <w:rPr>
          <w:rFonts w:ascii="Arial" w:hAnsi="Arial" w:cs="Arial"/>
          <w:sz w:val="20"/>
          <w:szCs w:val="20"/>
          <w:vertAlign w:val="subscript"/>
          <w:lang w:eastAsia="en-ZW"/>
        </w:rPr>
        <w:t>4</w:t>
      </w:r>
      <w:r>
        <w:rPr>
          <w:rFonts w:ascii="Arial" w:hAnsi="Arial" w:cs="Arial"/>
          <w:sz w:val="20"/>
          <w:szCs w:val="20"/>
          <w:lang w:eastAsia="en-ZW"/>
        </w:rPr>
        <w:t xml:space="preserve"> (along the side of the test tube). The presence of glycosides was confirmed by the emergence of a blue-colo</w:t>
      </w:r>
      <w:r w:rsidR="00E92AA0">
        <w:rPr>
          <w:rFonts w:ascii="Arial" w:hAnsi="Arial" w:cs="Arial"/>
          <w:sz w:val="20"/>
          <w:szCs w:val="20"/>
          <w:lang w:eastAsia="en-ZW"/>
        </w:rPr>
        <w:t>u</w:t>
      </w:r>
      <w:r>
        <w:rPr>
          <w:rFonts w:ascii="Arial" w:hAnsi="Arial" w:cs="Arial"/>
          <w:sz w:val="20"/>
          <w:szCs w:val="20"/>
          <w:lang w:eastAsia="en-ZW"/>
        </w:rPr>
        <w:t>red solution in the mixture acetic acid layer</w:t>
      </w:r>
      <w:r>
        <w:rPr>
          <w:rFonts w:ascii="Arial" w:hAnsi="Arial" w:cs="Arial"/>
          <w:sz w:val="20"/>
          <w:szCs w:val="20"/>
        </w:rPr>
        <w:t>.</w:t>
      </w:r>
    </w:p>
    <w:p w14:paraId="19584389" w14:textId="77777777" w:rsidR="00B77CA6" w:rsidRDefault="00B77CA6">
      <w:pPr>
        <w:pStyle w:val="Default"/>
        <w:rPr>
          <w:rFonts w:ascii="Arial" w:hAnsi="Arial" w:cs="Arial"/>
          <w:sz w:val="20"/>
          <w:szCs w:val="20"/>
          <w:lang w:eastAsia="en-ZW"/>
        </w:rPr>
      </w:pPr>
    </w:p>
    <w:p w14:paraId="6A23AAF8"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Phenolic compounds by the Gelatin test </w:t>
      </w:r>
    </w:p>
    <w:p w14:paraId="7562E1E1" w14:textId="1A170A6A" w:rsidR="00B77CA6" w:rsidRDefault="00D87684">
      <w:pPr>
        <w:pStyle w:val="Default"/>
        <w:rPr>
          <w:rFonts w:ascii="Arial" w:hAnsi="Arial" w:cs="Arial"/>
          <w:sz w:val="20"/>
          <w:szCs w:val="20"/>
          <w:lang w:eastAsia="en-ZW"/>
        </w:rPr>
      </w:pPr>
      <w:r>
        <w:rPr>
          <w:rFonts w:ascii="Arial" w:hAnsi="Arial" w:cs="Arial"/>
          <w:sz w:val="20"/>
          <w:szCs w:val="20"/>
          <w:lang w:eastAsia="en-ZW"/>
        </w:rPr>
        <w:t>Phenolic compounds were detected using the Gelatin test. In this assay, 2ml of the lyophilized extract solution was added to 5ml of a 1% gelatin solution and 5 drops of 10% NaCl were further added. Phenolics were identified by the appearance of a white precipitate</w:t>
      </w:r>
      <w:sdt>
        <w:sdtPr>
          <w:rPr>
            <w:rFonts w:ascii="Arial" w:hAnsi="Arial" w:cs="Arial"/>
            <w:sz w:val="20"/>
            <w:szCs w:val="20"/>
            <w:lang w:eastAsia="en-ZW"/>
          </w:rPr>
          <w:id w:val="1498999220"/>
          <w:citation/>
        </w:sdtPr>
        <w:sdtEndPr/>
        <w:sdtContent>
          <w:r w:rsidR="004D1D75">
            <w:rPr>
              <w:rFonts w:ascii="Arial" w:hAnsi="Arial" w:cs="Arial"/>
              <w:sz w:val="20"/>
              <w:szCs w:val="20"/>
              <w:lang w:eastAsia="en-ZW"/>
            </w:rPr>
            <w:fldChar w:fldCharType="begin"/>
          </w:r>
          <w:r w:rsidR="00E92AA0">
            <w:rPr>
              <w:rFonts w:ascii="Arial" w:hAnsi="Arial" w:cs="Arial"/>
              <w:sz w:val="20"/>
              <w:szCs w:val="20"/>
              <w:lang w:eastAsia="en-ZW"/>
            </w:rPr>
            <w:instrText xml:space="preserve">CITATION Hon05 \l 12297 </w:instrText>
          </w:r>
          <w:r w:rsidR="004D1D75">
            <w:rPr>
              <w:rFonts w:ascii="Arial" w:hAnsi="Arial" w:cs="Arial"/>
              <w:sz w:val="20"/>
              <w:szCs w:val="20"/>
              <w:lang w:eastAsia="en-ZW"/>
            </w:rPr>
            <w:fldChar w:fldCharType="separate"/>
          </w:r>
          <w:r w:rsidR="00E92AA0">
            <w:rPr>
              <w:rFonts w:ascii="Arial" w:hAnsi="Arial" w:cs="Arial"/>
              <w:noProof/>
              <w:sz w:val="20"/>
              <w:szCs w:val="20"/>
              <w:lang w:eastAsia="en-ZW"/>
            </w:rPr>
            <w:t xml:space="preserve"> </w:t>
          </w:r>
          <w:r w:rsidR="00E92AA0" w:rsidRPr="00E92AA0">
            <w:rPr>
              <w:rFonts w:ascii="Arial" w:hAnsi="Arial" w:cs="Arial"/>
              <w:noProof/>
              <w:sz w:val="20"/>
              <w:szCs w:val="20"/>
              <w:lang w:eastAsia="en-ZW"/>
            </w:rPr>
            <w:t>[23]</w:t>
          </w:r>
          <w:r w:rsidR="004D1D75">
            <w:rPr>
              <w:rFonts w:ascii="Arial" w:hAnsi="Arial" w:cs="Arial"/>
              <w:sz w:val="20"/>
              <w:szCs w:val="20"/>
              <w:lang w:eastAsia="en-ZW"/>
            </w:rPr>
            <w:fldChar w:fldCharType="end"/>
          </w:r>
        </w:sdtContent>
      </w:sdt>
      <w:r w:rsidR="004D1D75">
        <w:rPr>
          <w:rFonts w:ascii="Arial" w:hAnsi="Arial" w:cs="Arial"/>
          <w:sz w:val="20"/>
          <w:szCs w:val="20"/>
          <w:lang w:eastAsia="en-ZW"/>
        </w:rPr>
        <w:t>.</w:t>
      </w:r>
    </w:p>
    <w:p w14:paraId="6D806341" w14:textId="77777777" w:rsidR="00B77CA6" w:rsidRDefault="00B77CA6">
      <w:pPr>
        <w:rPr>
          <w:rFonts w:ascii="Arial" w:hAnsi="Arial" w:cs="Arial"/>
          <w:sz w:val="20"/>
          <w:szCs w:val="20"/>
        </w:rPr>
      </w:pPr>
    </w:p>
    <w:p w14:paraId="716CB1D1"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saponins by the simplified foam test</w:t>
      </w:r>
    </w:p>
    <w:p w14:paraId="71EE8CD8" w14:textId="4E68E833" w:rsidR="00B77CA6" w:rsidRDefault="00D87684">
      <w:pPr>
        <w:autoSpaceDE w:val="0"/>
        <w:autoSpaceDN w:val="0"/>
        <w:adjustRightInd w:val="0"/>
        <w:contextualSpacing/>
        <w:jc w:val="both"/>
        <w:rPr>
          <w:rFonts w:ascii="Arial" w:hAnsi="Arial" w:cs="Arial"/>
          <w:sz w:val="20"/>
          <w:szCs w:val="20"/>
        </w:rPr>
      </w:pPr>
      <w:r>
        <w:rPr>
          <w:rFonts w:ascii="Arial" w:hAnsi="Arial" w:cs="Arial"/>
          <w:sz w:val="20"/>
          <w:szCs w:val="20"/>
        </w:rPr>
        <w:t>The simplified foam test was used to determine the presence of saponins. In this assay, 2 ml of the extract was added to 20 ml distilled water. The mixture was shaken in a graduated cylinder for 15 minutes. The presence of saponins would be confirmed by the formation of a form with a head height of at least 1 cm</w:t>
      </w:r>
      <w:sdt>
        <w:sdtPr>
          <w:rPr>
            <w:rFonts w:ascii="Arial" w:hAnsi="Arial" w:cs="Arial"/>
            <w:sz w:val="20"/>
            <w:szCs w:val="20"/>
          </w:rPr>
          <w:id w:val="78343847"/>
          <w:citation/>
        </w:sdtPr>
        <w:sdtEndPr/>
        <w:sdtContent>
          <w:r w:rsidR="00743247">
            <w:rPr>
              <w:rFonts w:ascii="Arial" w:hAnsi="Arial" w:cs="Arial"/>
              <w:sz w:val="20"/>
              <w:szCs w:val="20"/>
            </w:rPr>
            <w:fldChar w:fldCharType="begin"/>
          </w:r>
          <w:r w:rsidR="00E92AA0">
            <w:rPr>
              <w:rFonts w:ascii="Arial" w:hAnsi="Arial" w:cs="Arial"/>
              <w:sz w:val="20"/>
              <w:szCs w:val="20"/>
            </w:rPr>
            <w:instrText xml:space="preserve">CITATION Rai23 \l 12297 </w:instrText>
          </w:r>
          <w:r w:rsidR="00743247">
            <w:rPr>
              <w:rFonts w:ascii="Arial" w:hAnsi="Arial" w:cs="Arial"/>
              <w:sz w:val="20"/>
              <w:szCs w:val="20"/>
            </w:rPr>
            <w:fldChar w:fldCharType="separate"/>
          </w:r>
          <w:r w:rsidR="00E92AA0">
            <w:rPr>
              <w:rFonts w:ascii="Arial" w:hAnsi="Arial" w:cs="Arial"/>
              <w:noProof/>
              <w:sz w:val="20"/>
              <w:szCs w:val="20"/>
            </w:rPr>
            <w:t xml:space="preserve"> </w:t>
          </w:r>
          <w:r w:rsidR="00E92AA0" w:rsidRPr="00E92AA0">
            <w:rPr>
              <w:rFonts w:ascii="Arial" w:hAnsi="Arial" w:cs="Arial"/>
              <w:noProof/>
              <w:sz w:val="20"/>
              <w:szCs w:val="20"/>
            </w:rPr>
            <w:t>[24]</w:t>
          </w:r>
          <w:r w:rsidR="00743247">
            <w:rPr>
              <w:rFonts w:ascii="Arial" w:hAnsi="Arial" w:cs="Arial"/>
              <w:sz w:val="20"/>
              <w:szCs w:val="20"/>
            </w:rPr>
            <w:fldChar w:fldCharType="end"/>
          </w:r>
        </w:sdtContent>
      </w:sdt>
      <w:r w:rsidR="00743247">
        <w:rPr>
          <w:rFonts w:ascii="Arial" w:hAnsi="Arial" w:cs="Arial"/>
          <w:sz w:val="20"/>
          <w:szCs w:val="20"/>
        </w:rPr>
        <w:t>.</w:t>
      </w:r>
    </w:p>
    <w:p w14:paraId="679E264A" w14:textId="77777777" w:rsidR="00B77CA6" w:rsidRDefault="00B77CA6">
      <w:pPr>
        <w:autoSpaceDE w:val="0"/>
        <w:autoSpaceDN w:val="0"/>
        <w:adjustRightInd w:val="0"/>
        <w:contextualSpacing/>
        <w:jc w:val="both"/>
        <w:rPr>
          <w:rFonts w:ascii="Arial" w:hAnsi="Arial" w:cs="Arial"/>
          <w:sz w:val="20"/>
          <w:szCs w:val="20"/>
        </w:rPr>
      </w:pPr>
    </w:p>
    <w:p w14:paraId="392FCD69"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anthraquinones by the ammonium hydroxide test</w:t>
      </w:r>
    </w:p>
    <w:p w14:paraId="79E7F787" w14:textId="29A0C52B" w:rsidR="00B77CA6" w:rsidRDefault="00D87684">
      <w:pPr>
        <w:rPr>
          <w:rFonts w:ascii="Arial" w:hAnsi="Arial" w:cs="Arial"/>
          <w:sz w:val="20"/>
          <w:szCs w:val="20"/>
        </w:rPr>
      </w:pPr>
      <w:r>
        <w:rPr>
          <w:rFonts w:ascii="Arial" w:hAnsi="Arial" w:cs="Arial"/>
          <w:sz w:val="20"/>
          <w:szCs w:val="20"/>
        </w:rPr>
        <w:t>The ammonium hydroxide test was used to determine the presence of anthraquinones. One drop of concentrated ammonium hydroxide was added to 10mg of the extract, previously dissolved in isopropyl alcohol. After two minutes, the formation of a red colo</w:t>
      </w:r>
      <w:r w:rsidR="00E92AA0">
        <w:rPr>
          <w:rFonts w:ascii="Arial" w:hAnsi="Arial" w:cs="Arial"/>
          <w:sz w:val="20"/>
          <w:szCs w:val="20"/>
        </w:rPr>
        <w:t>u</w:t>
      </w:r>
      <w:r>
        <w:rPr>
          <w:rFonts w:ascii="Arial" w:hAnsi="Arial" w:cs="Arial"/>
          <w:sz w:val="20"/>
          <w:szCs w:val="20"/>
        </w:rPr>
        <w:t>r indicated the presence of anthraquinones.</w:t>
      </w:r>
    </w:p>
    <w:p w14:paraId="530FF3B2" w14:textId="77777777" w:rsidR="00B77CA6" w:rsidRDefault="00B77CA6">
      <w:pPr>
        <w:rPr>
          <w:rFonts w:ascii="Arial" w:hAnsi="Arial" w:cs="Arial"/>
          <w:sz w:val="20"/>
          <w:szCs w:val="20"/>
        </w:rPr>
      </w:pPr>
    </w:p>
    <w:p w14:paraId="2604E508"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terpenoids by the Salkowski test</w:t>
      </w:r>
    </w:p>
    <w:p w14:paraId="24D336EE" w14:textId="74A24429" w:rsidR="00B77CA6" w:rsidRDefault="00D87684">
      <w:pPr>
        <w:rPr>
          <w:rFonts w:ascii="Arial" w:hAnsi="Arial" w:cs="Arial"/>
          <w:sz w:val="20"/>
          <w:szCs w:val="20"/>
        </w:rPr>
      </w:pPr>
      <w:r>
        <w:rPr>
          <w:rFonts w:ascii="Arial" w:hAnsi="Arial" w:cs="Arial"/>
          <w:sz w:val="20"/>
          <w:szCs w:val="20"/>
          <w:lang w:val="en-US"/>
        </w:rPr>
        <w:t>The Salkowski test was used to determine the presence of terpenoids. To 2ml of the lyophilized extract solution, add a few drops of concentrated sulfuric acid down the side of the test tube (do not mix). Observe the interface between the two layers. The presence of terpenoids was confirmed by the appearance of a reddish-brown color at the interface</w:t>
      </w:r>
      <w:sdt>
        <w:sdtPr>
          <w:rPr>
            <w:rFonts w:ascii="Arial" w:hAnsi="Arial" w:cs="Arial"/>
            <w:sz w:val="20"/>
            <w:szCs w:val="20"/>
            <w:lang w:val="en-US"/>
          </w:rPr>
          <w:id w:val="-1386486140"/>
          <w:citation/>
        </w:sdtPr>
        <w:sdtEndPr/>
        <w:sdtContent>
          <w:r w:rsidR="00743247">
            <w:rPr>
              <w:rFonts w:ascii="Arial" w:hAnsi="Arial" w:cs="Arial"/>
              <w:sz w:val="20"/>
              <w:szCs w:val="20"/>
              <w:lang w:val="en-US"/>
            </w:rPr>
            <w:fldChar w:fldCharType="begin"/>
          </w:r>
          <w:r w:rsidR="00E92AA0">
            <w:rPr>
              <w:rFonts w:ascii="Arial" w:hAnsi="Arial" w:cs="Arial"/>
              <w:sz w:val="20"/>
              <w:szCs w:val="20"/>
            </w:rPr>
            <w:instrText xml:space="preserve">CITATION Har98 \l 12297 </w:instrText>
          </w:r>
          <w:r w:rsidR="00743247">
            <w:rPr>
              <w:rFonts w:ascii="Arial" w:hAnsi="Arial" w:cs="Arial"/>
              <w:sz w:val="20"/>
              <w:szCs w:val="20"/>
              <w:lang w:val="en-US"/>
            </w:rPr>
            <w:fldChar w:fldCharType="separate"/>
          </w:r>
          <w:r w:rsidR="00E92AA0">
            <w:rPr>
              <w:rFonts w:ascii="Arial" w:hAnsi="Arial" w:cs="Arial"/>
              <w:noProof/>
              <w:sz w:val="20"/>
              <w:szCs w:val="20"/>
            </w:rPr>
            <w:t xml:space="preserve"> </w:t>
          </w:r>
          <w:r w:rsidR="00E92AA0" w:rsidRPr="00E92AA0">
            <w:rPr>
              <w:rFonts w:ascii="Arial" w:hAnsi="Arial" w:cs="Arial"/>
              <w:noProof/>
              <w:sz w:val="20"/>
              <w:szCs w:val="20"/>
            </w:rPr>
            <w:t>[25]</w:t>
          </w:r>
          <w:r w:rsidR="00743247">
            <w:rPr>
              <w:rFonts w:ascii="Arial" w:hAnsi="Arial" w:cs="Arial"/>
              <w:sz w:val="20"/>
              <w:szCs w:val="20"/>
              <w:lang w:val="en-US"/>
            </w:rPr>
            <w:fldChar w:fldCharType="end"/>
          </w:r>
        </w:sdtContent>
      </w:sdt>
      <w:r w:rsidR="00743247">
        <w:rPr>
          <w:rFonts w:ascii="Arial" w:hAnsi="Arial" w:cs="Arial"/>
          <w:sz w:val="20"/>
          <w:szCs w:val="20"/>
          <w:lang w:val="en-US"/>
        </w:rPr>
        <w:t>.</w:t>
      </w:r>
    </w:p>
    <w:p w14:paraId="55EF05D4" w14:textId="77777777" w:rsidR="00B77CA6" w:rsidRDefault="00B77CA6">
      <w:pPr>
        <w:rPr>
          <w:rFonts w:ascii="Arial" w:hAnsi="Arial" w:cs="Arial"/>
          <w:sz w:val="20"/>
          <w:szCs w:val="20"/>
        </w:rPr>
      </w:pPr>
    </w:p>
    <w:p w14:paraId="4DBF66CA"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proanthocyanidins by the ferric chloride test</w:t>
      </w:r>
    </w:p>
    <w:p w14:paraId="42D725E1" w14:textId="549B2C41" w:rsidR="00B77CA6" w:rsidRDefault="00D87684">
      <w:pPr>
        <w:rPr>
          <w:rFonts w:ascii="Arial" w:hAnsi="Arial" w:cs="Arial"/>
          <w:sz w:val="20"/>
          <w:szCs w:val="20"/>
        </w:rPr>
      </w:pPr>
      <w:r>
        <w:rPr>
          <w:rFonts w:ascii="Arial" w:hAnsi="Arial" w:cs="Arial"/>
          <w:sz w:val="20"/>
          <w:szCs w:val="20"/>
          <w:lang w:val="en-US"/>
        </w:rPr>
        <w:t>The ferric chloride test was used to determine the presence of proanthocyanidins. To 1ml of the lyophilized plant extract solution, add a few drops of 1% ferric chloride solution. The presence of proanthocyanidins was confirmed by the appearance of a dark green color</w:t>
      </w:r>
      <w:sdt>
        <w:sdtPr>
          <w:rPr>
            <w:rFonts w:ascii="Arial" w:hAnsi="Arial" w:cs="Arial"/>
            <w:sz w:val="20"/>
            <w:szCs w:val="20"/>
            <w:lang w:val="en-US"/>
          </w:rPr>
          <w:id w:val="-241259286"/>
          <w:citation/>
        </w:sdtPr>
        <w:sdtEndPr/>
        <w:sdtContent>
          <w:r w:rsidR="00743247">
            <w:rPr>
              <w:rFonts w:ascii="Arial" w:hAnsi="Arial" w:cs="Arial"/>
              <w:sz w:val="20"/>
              <w:szCs w:val="20"/>
              <w:lang w:val="en-US"/>
            </w:rPr>
            <w:fldChar w:fldCharType="begin"/>
          </w:r>
          <w:r w:rsidR="00743247">
            <w:rPr>
              <w:rFonts w:ascii="Arial" w:hAnsi="Arial" w:cs="Arial"/>
              <w:sz w:val="20"/>
              <w:szCs w:val="20"/>
            </w:rPr>
            <w:instrText xml:space="preserve"> CITATION Sof93 \l 12297 </w:instrText>
          </w:r>
          <w:r w:rsidR="00743247">
            <w:rPr>
              <w:rFonts w:ascii="Arial" w:hAnsi="Arial" w:cs="Arial"/>
              <w:sz w:val="20"/>
              <w:szCs w:val="20"/>
              <w:lang w:val="en-US"/>
            </w:rPr>
            <w:fldChar w:fldCharType="separate"/>
          </w:r>
          <w:r w:rsidR="005965BD">
            <w:rPr>
              <w:rFonts w:ascii="Arial" w:hAnsi="Arial" w:cs="Arial"/>
              <w:noProof/>
              <w:sz w:val="20"/>
              <w:szCs w:val="20"/>
            </w:rPr>
            <w:t xml:space="preserve"> </w:t>
          </w:r>
          <w:r w:rsidR="005965BD" w:rsidRPr="005965BD">
            <w:rPr>
              <w:rFonts w:ascii="Arial" w:hAnsi="Arial" w:cs="Arial"/>
              <w:noProof/>
              <w:sz w:val="20"/>
              <w:szCs w:val="20"/>
            </w:rPr>
            <w:t>[26]</w:t>
          </w:r>
          <w:r w:rsidR="00743247">
            <w:rPr>
              <w:rFonts w:ascii="Arial" w:hAnsi="Arial" w:cs="Arial"/>
              <w:sz w:val="20"/>
              <w:szCs w:val="20"/>
              <w:lang w:val="en-US"/>
            </w:rPr>
            <w:fldChar w:fldCharType="end"/>
          </w:r>
        </w:sdtContent>
      </w:sdt>
      <w:r w:rsidR="00743247">
        <w:rPr>
          <w:rFonts w:ascii="Arial" w:hAnsi="Arial" w:cs="Arial"/>
          <w:sz w:val="20"/>
          <w:szCs w:val="20"/>
          <w:lang w:val="en-US"/>
        </w:rPr>
        <w:t>.</w:t>
      </w:r>
    </w:p>
    <w:p w14:paraId="52D5020D" w14:textId="77777777" w:rsidR="00B77CA6" w:rsidRDefault="00B77CA6">
      <w:pPr>
        <w:rPr>
          <w:rFonts w:ascii="Arial" w:hAnsi="Arial" w:cs="Arial"/>
          <w:sz w:val="20"/>
          <w:szCs w:val="20"/>
        </w:rPr>
      </w:pPr>
    </w:p>
    <w:p w14:paraId="50BC9A58" w14:textId="77777777" w:rsidR="00B77CA6" w:rsidRDefault="00B77CA6">
      <w:pPr>
        <w:autoSpaceDE w:val="0"/>
        <w:autoSpaceDN w:val="0"/>
        <w:adjustRightInd w:val="0"/>
        <w:contextualSpacing/>
        <w:jc w:val="both"/>
        <w:rPr>
          <w:rFonts w:ascii="Arial" w:hAnsi="Arial" w:cs="Arial"/>
          <w:sz w:val="20"/>
          <w:szCs w:val="20"/>
        </w:rPr>
      </w:pPr>
    </w:p>
    <w:p w14:paraId="6E79F1D7" w14:textId="77777777" w:rsidR="00B77CA6" w:rsidRDefault="00B77CA6">
      <w:pPr>
        <w:autoSpaceDE w:val="0"/>
        <w:autoSpaceDN w:val="0"/>
        <w:adjustRightInd w:val="0"/>
        <w:contextualSpacing/>
        <w:jc w:val="both"/>
        <w:rPr>
          <w:rFonts w:ascii="Arial" w:hAnsi="Arial" w:cs="Arial"/>
          <w:color w:val="FF0000"/>
          <w:sz w:val="20"/>
          <w:szCs w:val="20"/>
        </w:rPr>
      </w:pPr>
    </w:p>
    <w:p w14:paraId="573FB712" w14:textId="77777777" w:rsidR="00B77CA6" w:rsidRPr="008A4E15" w:rsidRDefault="00D87684">
      <w:pPr>
        <w:pStyle w:val="Heading2"/>
        <w:rPr>
          <w:rFonts w:ascii="Arial" w:hAnsi="Arial" w:cs="Arial"/>
          <w:sz w:val="24"/>
          <w:szCs w:val="24"/>
        </w:rPr>
      </w:pPr>
      <w:r w:rsidRPr="008A4E15">
        <w:rPr>
          <w:rFonts w:ascii="Arial" w:hAnsi="Arial" w:cs="Arial"/>
          <w:sz w:val="24"/>
          <w:szCs w:val="24"/>
        </w:rPr>
        <w:t xml:space="preserve">Antibacterial Activity Test of </w:t>
      </w:r>
      <w:r w:rsidRPr="008A4E15">
        <w:rPr>
          <w:rFonts w:ascii="Arial" w:hAnsi="Arial" w:cs="Arial"/>
          <w:i/>
          <w:iCs/>
          <w:sz w:val="24"/>
          <w:szCs w:val="24"/>
        </w:rPr>
        <w:t>Carpobrotus edulis</w:t>
      </w:r>
    </w:p>
    <w:p w14:paraId="425F1205" w14:textId="77777777" w:rsidR="00B77CA6" w:rsidRDefault="00B77CA6">
      <w:pPr>
        <w:autoSpaceDE w:val="0"/>
        <w:autoSpaceDN w:val="0"/>
        <w:adjustRightInd w:val="0"/>
        <w:rPr>
          <w:rFonts w:ascii="Arial" w:hAnsi="Arial" w:cs="Arial"/>
          <w:i/>
          <w:iCs/>
          <w:sz w:val="20"/>
          <w:szCs w:val="20"/>
        </w:rPr>
      </w:pPr>
    </w:p>
    <w:p w14:paraId="5443138C"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Test microorganisms</w:t>
      </w:r>
    </w:p>
    <w:p w14:paraId="2C51B182" w14:textId="0A50952B" w:rsidR="00B77CA6" w:rsidRDefault="00D87684">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The bacterial </w:t>
      </w:r>
      <w:r w:rsidR="00E8579A">
        <w:rPr>
          <w:rFonts w:ascii="Arial" w:hAnsi="Arial" w:cs="Arial"/>
          <w:color w:val="000000"/>
          <w:sz w:val="20"/>
          <w:szCs w:val="20"/>
        </w:rPr>
        <w:t>species:</w:t>
      </w:r>
      <w:r>
        <w:rPr>
          <w:rFonts w:ascii="Arial" w:hAnsi="Arial" w:cs="Arial"/>
          <w:color w:val="000000"/>
          <w:sz w:val="20"/>
          <w:szCs w:val="20"/>
        </w:rPr>
        <w:t xml:space="preserve"> multidrug-resistant strains ® of gram-positive </w:t>
      </w:r>
      <w:r>
        <w:rPr>
          <w:rFonts w:ascii="Arial" w:hAnsi="Arial" w:cs="Arial"/>
          <w:i/>
          <w:color w:val="000000"/>
          <w:sz w:val="20"/>
          <w:szCs w:val="20"/>
        </w:rPr>
        <w:t>Streptococcus pyogenes</w:t>
      </w:r>
      <w:r>
        <w:rPr>
          <w:rFonts w:ascii="Arial" w:hAnsi="Arial" w:cs="Arial"/>
          <w:color w:val="000000"/>
          <w:sz w:val="20"/>
          <w:szCs w:val="20"/>
        </w:rPr>
        <w:t xml:space="preserve"> and meticillin-sensitive </w:t>
      </w:r>
      <w:r>
        <w:rPr>
          <w:rFonts w:ascii="Arial" w:hAnsi="Arial" w:cs="Arial"/>
          <w:i/>
          <w:color w:val="000000"/>
          <w:sz w:val="20"/>
          <w:szCs w:val="20"/>
        </w:rPr>
        <w:t>Staphylococcus Aureus</w:t>
      </w:r>
      <w:r>
        <w:rPr>
          <w:rFonts w:ascii="Arial" w:hAnsi="Arial" w:cs="Arial"/>
          <w:color w:val="000000"/>
          <w:sz w:val="20"/>
          <w:szCs w:val="20"/>
        </w:rPr>
        <w:t xml:space="preserve"> as well as gram-negative </w:t>
      </w:r>
      <w:r>
        <w:rPr>
          <w:rFonts w:ascii="Arial" w:hAnsi="Arial" w:cs="Arial"/>
          <w:i/>
          <w:color w:val="000000"/>
          <w:sz w:val="20"/>
          <w:szCs w:val="20"/>
        </w:rPr>
        <w:t>Escherichia coli</w:t>
      </w:r>
      <w:r>
        <w:rPr>
          <w:rFonts w:ascii="Arial" w:hAnsi="Arial" w:cs="Arial"/>
          <w:color w:val="000000"/>
          <w:sz w:val="20"/>
          <w:szCs w:val="20"/>
        </w:rPr>
        <w:t xml:space="preserve"> were obtained from the University of Zimbabwe Department of Medical Microbiology in Harare, Zimbabwe. The antibacterial, evaluation laboratory studies were performed according to CLSI guidelines.</w:t>
      </w:r>
    </w:p>
    <w:p w14:paraId="5513A549" w14:textId="77777777" w:rsidR="00B77CA6" w:rsidRDefault="00B77CA6">
      <w:pPr>
        <w:autoSpaceDE w:val="0"/>
        <w:autoSpaceDN w:val="0"/>
        <w:adjustRightInd w:val="0"/>
        <w:rPr>
          <w:rFonts w:ascii="Arial" w:eastAsia="MinionPro-Regular" w:hAnsi="Arial" w:cs="Arial"/>
          <w:color w:val="000000"/>
          <w:sz w:val="20"/>
          <w:szCs w:val="20"/>
        </w:rPr>
      </w:pPr>
    </w:p>
    <w:p w14:paraId="6DB8D249"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Determination of the zone of inhibition</w:t>
      </w:r>
    </w:p>
    <w:p w14:paraId="66682285" w14:textId="31CC4668" w:rsidR="00B77CA6" w:rsidRDefault="00D87684">
      <w:pPr>
        <w:pStyle w:val="NormalWeb"/>
        <w:spacing w:before="0" w:beforeAutospacing="0" w:after="420" w:afterAutospacing="0"/>
        <w:contextualSpacing/>
        <w:textAlignment w:val="baseline"/>
        <w:rPr>
          <w:rFonts w:ascii="Arial" w:eastAsia="Calibri" w:hAnsi="Arial" w:cs="Arial"/>
          <w:color w:val="000000"/>
          <w:sz w:val="20"/>
          <w:szCs w:val="20"/>
          <w:lang w:eastAsia="en-US"/>
        </w:rPr>
      </w:pPr>
      <w:r>
        <w:rPr>
          <w:rFonts w:ascii="Arial" w:eastAsia="Calibri" w:hAnsi="Arial" w:cs="Arial"/>
          <w:color w:val="000000"/>
          <w:sz w:val="20"/>
          <w:szCs w:val="20"/>
          <w:lang w:eastAsia="en-US"/>
        </w:rPr>
        <w:t xml:space="preserve">A modified, simplified Kirby-Bauer </w:t>
      </w:r>
      <w:r>
        <w:rPr>
          <w:rFonts w:ascii="Arial" w:eastAsia="Calibri" w:hAnsi="Arial" w:cs="Arial"/>
          <w:iCs/>
          <w:color w:val="000000"/>
          <w:sz w:val="20"/>
          <w:szCs w:val="20"/>
          <w:lang w:eastAsia="en-US"/>
        </w:rPr>
        <w:t>test</w:t>
      </w:r>
      <w:sdt>
        <w:sdtPr>
          <w:rPr>
            <w:rFonts w:ascii="Arial" w:eastAsia="Calibri" w:hAnsi="Arial" w:cs="Arial"/>
            <w:iCs/>
            <w:color w:val="000000"/>
            <w:sz w:val="20"/>
            <w:szCs w:val="20"/>
            <w:lang w:eastAsia="en-US"/>
          </w:rPr>
          <w:id w:val="1764726352"/>
          <w:citation/>
        </w:sdtPr>
        <w:sdtEndPr/>
        <w:sdtContent>
          <w:r w:rsidR="00743247">
            <w:rPr>
              <w:rFonts w:ascii="Arial" w:eastAsia="Calibri" w:hAnsi="Arial" w:cs="Arial"/>
              <w:iCs/>
              <w:color w:val="000000"/>
              <w:sz w:val="20"/>
              <w:szCs w:val="20"/>
              <w:lang w:eastAsia="en-US"/>
            </w:rPr>
            <w:fldChar w:fldCharType="begin"/>
          </w:r>
          <w:r w:rsidR="00E92AA0">
            <w:rPr>
              <w:rFonts w:ascii="Arial" w:eastAsia="Calibri" w:hAnsi="Arial" w:cs="Arial"/>
              <w:iCs/>
              <w:color w:val="000000"/>
              <w:sz w:val="20"/>
              <w:szCs w:val="20"/>
              <w:lang w:eastAsia="en-US"/>
            </w:rPr>
            <w:instrText xml:space="preserve">CITATION Elf96 \l 12297 </w:instrText>
          </w:r>
          <w:r w:rsidR="00743247">
            <w:rPr>
              <w:rFonts w:ascii="Arial" w:eastAsia="Calibri" w:hAnsi="Arial" w:cs="Arial"/>
              <w:iCs/>
              <w:color w:val="000000"/>
              <w:sz w:val="20"/>
              <w:szCs w:val="20"/>
              <w:lang w:eastAsia="en-US"/>
            </w:rPr>
            <w:fldChar w:fldCharType="separate"/>
          </w:r>
          <w:r w:rsidR="00E92AA0">
            <w:rPr>
              <w:rFonts w:ascii="Arial" w:eastAsia="Calibri" w:hAnsi="Arial" w:cs="Arial"/>
              <w:iCs/>
              <w:noProof/>
              <w:color w:val="000000"/>
              <w:sz w:val="20"/>
              <w:szCs w:val="20"/>
              <w:lang w:eastAsia="en-US"/>
            </w:rPr>
            <w:t xml:space="preserve"> </w:t>
          </w:r>
          <w:r w:rsidR="00E92AA0" w:rsidRPr="00E92AA0">
            <w:rPr>
              <w:rFonts w:ascii="Arial" w:eastAsia="Calibri" w:hAnsi="Arial" w:cs="Arial"/>
              <w:noProof/>
              <w:color w:val="000000"/>
              <w:sz w:val="20"/>
              <w:szCs w:val="20"/>
              <w:lang w:eastAsia="en-US"/>
            </w:rPr>
            <w:t>[27]</w:t>
          </w:r>
          <w:r w:rsidR="00743247">
            <w:rPr>
              <w:rFonts w:ascii="Arial" w:eastAsia="Calibri" w:hAnsi="Arial" w:cs="Arial"/>
              <w:iCs/>
              <w:color w:val="000000"/>
              <w:sz w:val="20"/>
              <w:szCs w:val="20"/>
              <w:lang w:eastAsia="en-US"/>
            </w:rPr>
            <w:fldChar w:fldCharType="end"/>
          </w:r>
        </w:sdtContent>
      </w:sdt>
      <w:r w:rsidR="00743247">
        <w:rPr>
          <w:rFonts w:ascii="Arial" w:eastAsia="Calibri" w:hAnsi="Arial" w:cs="Arial"/>
          <w:color w:val="000000"/>
          <w:sz w:val="20"/>
          <w:szCs w:val="20"/>
          <w:lang w:eastAsia="en-US"/>
        </w:rPr>
        <w:t xml:space="preserve"> </w:t>
      </w:r>
      <w:r>
        <w:rPr>
          <w:rFonts w:ascii="Arial" w:eastAsia="Calibri" w:hAnsi="Arial" w:cs="Arial"/>
          <w:color w:val="000000"/>
          <w:sz w:val="20"/>
          <w:szCs w:val="20"/>
          <w:lang w:eastAsia="en-US"/>
        </w:rPr>
        <w:t xml:space="preserve">was configured and used in this study to determine and compare the susceptibility or resistance of the chosen pathogenic bacteria to the crude </w:t>
      </w:r>
      <w:r w:rsidRPr="00245BE0">
        <w:rPr>
          <w:rFonts w:ascii="Arial" w:eastAsia="Calibri" w:hAnsi="Arial" w:cs="Arial"/>
          <w:i/>
          <w:iCs/>
          <w:color w:val="000000"/>
          <w:sz w:val="20"/>
          <w:szCs w:val="20"/>
          <w:lang w:eastAsia="en-US"/>
        </w:rPr>
        <w:t>Carpobro</w:t>
      </w:r>
      <w:r w:rsidR="00245BE0" w:rsidRPr="00245BE0">
        <w:rPr>
          <w:rFonts w:ascii="Arial" w:eastAsia="Calibri" w:hAnsi="Arial" w:cs="Arial"/>
          <w:i/>
          <w:iCs/>
          <w:color w:val="000000"/>
          <w:sz w:val="20"/>
          <w:szCs w:val="20"/>
          <w:lang w:eastAsia="en-US"/>
        </w:rPr>
        <w:t>t</w:t>
      </w:r>
      <w:r w:rsidRPr="00245BE0">
        <w:rPr>
          <w:rFonts w:ascii="Arial" w:eastAsia="Calibri" w:hAnsi="Arial" w:cs="Arial"/>
          <w:i/>
          <w:iCs/>
          <w:color w:val="000000"/>
          <w:sz w:val="20"/>
          <w:szCs w:val="20"/>
          <w:lang w:eastAsia="en-US"/>
        </w:rPr>
        <w:t>us edulis</w:t>
      </w:r>
      <w:r>
        <w:rPr>
          <w:rFonts w:ascii="Arial" w:eastAsia="Calibri" w:hAnsi="Arial" w:cs="Arial"/>
          <w:color w:val="000000"/>
          <w:sz w:val="20"/>
          <w:szCs w:val="20"/>
          <w:lang w:eastAsia="en-US"/>
        </w:rPr>
        <w:t xml:space="preserve"> through the zone of inhibition observations and MIC determination through serial dilution techniques.</w:t>
      </w:r>
    </w:p>
    <w:p w14:paraId="440126A7" w14:textId="77777777" w:rsidR="00B77CA6" w:rsidRPr="00E8579A" w:rsidRDefault="00D87684">
      <w:pPr>
        <w:pStyle w:val="Heading3"/>
        <w:rPr>
          <w:rFonts w:ascii="Arial" w:hAnsi="Arial" w:cs="Arial"/>
          <w:sz w:val="24"/>
          <w:szCs w:val="24"/>
        </w:rPr>
      </w:pPr>
      <w:r w:rsidRPr="00E8579A">
        <w:rPr>
          <w:rStyle w:val="Heading3Char"/>
          <w:rFonts w:ascii="Arial" w:hAnsi="Arial" w:cs="Arial"/>
          <w:sz w:val="24"/>
          <w:szCs w:val="24"/>
        </w:rPr>
        <w:t xml:space="preserve"> Zone of inhibition MIC test requirements</w:t>
      </w:r>
    </w:p>
    <w:p w14:paraId="7B34A271" w14:textId="77777777" w:rsidR="00B77CA6" w:rsidRDefault="00D87684">
      <w:pPr>
        <w:pStyle w:val="NormalWeb"/>
        <w:numPr>
          <w:ilvl w:val="0"/>
          <w:numId w:val="2"/>
        </w:numPr>
        <w:spacing w:before="0" w:beforeAutospacing="0" w:after="420" w:afterAutospacing="0"/>
        <w:contextualSpacing/>
        <w:jc w:val="both"/>
        <w:textAlignment w:val="baseline"/>
        <w:rPr>
          <w:rFonts w:ascii="Arial" w:eastAsia="Calibri" w:hAnsi="Arial" w:cs="Arial"/>
          <w:color w:val="000000"/>
          <w:sz w:val="20"/>
          <w:szCs w:val="20"/>
          <w:lang w:eastAsia="en-US"/>
        </w:rPr>
      </w:pPr>
      <w:r>
        <w:rPr>
          <w:rFonts w:ascii="Arial" w:eastAsia="Calibri" w:hAnsi="Arial" w:cs="Arial"/>
          <w:color w:val="000000"/>
          <w:sz w:val="20"/>
          <w:szCs w:val="20"/>
          <w:lang w:eastAsia="en-US"/>
        </w:rPr>
        <w:t>Mueller-Hinton agar plates</w:t>
      </w:r>
    </w:p>
    <w:p w14:paraId="2D48B7B9" w14:textId="77777777" w:rsidR="00B77CA6" w:rsidRDefault="00D87684">
      <w:pPr>
        <w:pStyle w:val="NormalWeb"/>
        <w:numPr>
          <w:ilvl w:val="0"/>
          <w:numId w:val="2"/>
        </w:numPr>
        <w:spacing w:before="0" w:beforeAutospacing="0" w:after="420" w:afterAutospacing="0"/>
        <w:contextualSpacing/>
        <w:jc w:val="both"/>
        <w:textAlignment w:val="baseline"/>
        <w:rPr>
          <w:rFonts w:ascii="Arial" w:eastAsia="Calibri" w:hAnsi="Arial" w:cs="Arial"/>
          <w:color w:val="000000"/>
          <w:sz w:val="20"/>
          <w:szCs w:val="20"/>
          <w:lang w:eastAsia="en-US"/>
        </w:rPr>
      </w:pPr>
      <w:r>
        <w:rPr>
          <w:rFonts w:ascii="Arial" w:eastAsia="Calibri" w:hAnsi="Arial" w:cs="Arial"/>
          <w:color w:val="000000"/>
          <w:sz w:val="20"/>
          <w:szCs w:val="20"/>
          <w:lang w:eastAsia="en-US"/>
        </w:rPr>
        <w:t>Sterile swabs and forceps</w:t>
      </w:r>
    </w:p>
    <w:p w14:paraId="59BCF29F" w14:textId="77777777" w:rsidR="00B77CA6" w:rsidRDefault="00D87684">
      <w:pPr>
        <w:pStyle w:val="NormalWeb"/>
        <w:numPr>
          <w:ilvl w:val="0"/>
          <w:numId w:val="2"/>
        </w:numPr>
        <w:spacing w:before="0" w:beforeAutospacing="0" w:after="420" w:afterAutospacing="0"/>
        <w:contextualSpacing/>
        <w:jc w:val="both"/>
        <w:textAlignment w:val="baseline"/>
        <w:rPr>
          <w:rFonts w:ascii="Arial" w:eastAsia="Calibri" w:hAnsi="Arial" w:cs="Arial"/>
          <w:color w:val="000000"/>
          <w:sz w:val="20"/>
          <w:szCs w:val="20"/>
          <w:lang w:eastAsia="en-US"/>
        </w:rPr>
      </w:pPr>
      <w:r>
        <w:rPr>
          <w:rFonts w:ascii="Arial" w:eastAsia="Calibri" w:hAnsi="Arial" w:cs="Arial"/>
          <w:color w:val="000000"/>
          <w:sz w:val="20"/>
          <w:szCs w:val="20"/>
          <w:lang w:eastAsia="en-US"/>
        </w:rPr>
        <w:t xml:space="preserve">Pure bacterial cultures </w:t>
      </w:r>
    </w:p>
    <w:p w14:paraId="40B4A35D" w14:textId="77777777" w:rsidR="00B77CA6" w:rsidRDefault="00D87684">
      <w:pPr>
        <w:pStyle w:val="NormalWeb"/>
        <w:numPr>
          <w:ilvl w:val="0"/>
          <w:numId w:val="2"/>
        </w:numPr>
        <w:spacing w:before="0" w:beforeAutospacing="0" w:after="420" w:afterAutospacing="0"/>
        <w:contextualSpacing/>
        <w:jc w:val="both"/>
        <w:textAlignment w:val="baseline"/>
        <w:rPr>
          <w:rFonts w:ascii="Arial" w:hAnsi="Arial" w:cs="Arial"/>
          <w:sz w:val="20"/>
          <w:szCs w:val="20"/>
        </w:rPr>
      </w:pPr>
      <w:r>
        <w:rPr>
          <w:rFonts w:ascii="Arial" w:eastAsia="Calibri" w:hAnsi="Arial" w:cs="Arial"/>
          <w:color w:val="000000"/>
          <w:sz w:val="20"/>
          <w:szCs w:val="20"/>
          <w:lang w:eastAsia="en-US"/>
        </w:rPr>
        <w:t xml:space="preserve">Samples of </w:t>
      </w:r>
      <w:r>
        <w:rPr>
          <w:rFonts w:ascii="Arial" w:eastAsia="Calibri" w:hAnsi="Arial" w:cs="Arial"/>
          <w:i/>
          <w:color w:val="000000"/>
          <w:sz w:val="20"/>
          <w:szCs w:val="20"/>
          <w:lang w:eastAsia="en-US"/>
        </w:rPr>
        <w:t xml:space="preserve">Carpobrotus edulis </w:t>
      </w:r>
      <w:r>
        <w:rPr>
          <w:rFonts w:ascii="Arial" w:eastAsia="Calibri" w:hAnsi="Arial" w:cs="Arial"/>
          <w:color w:val="000000"/>
          <w:sz w:val="20"/>
          <w:szCs w:val="20"/>
          <w:lang w:eastAsia="en-US"/>
        </w:rPr>
        <w:t>extract liquor</w:t>
      </w:r>
    </w:p>
    <w:p w14:paraId="6CEC0C50"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Zone of inhibition measurement and MIC determination test protocol </w:t>
      </w:r>
    </w:p>
    <w:p w14:paraId="36A1379F" w14:textId="146F0D3C" w:rsidR="00B77CA6" w:rsidRDefault="00D87684">
      <w:pPr>
        <w:autoSpaceDE w:val="0"/>
        <w:autoSpaceDN w:val="0"/>
        <w:adjustRightInd w:val="0"/>
        <w:jc w:val="both"/>
        <w:rPr>
          <w:rFonts w:ascii="Arial" w:hAnsi="Arial" w:cs="Arial"/>
          <w:bCs/>
          <w:i/>
          <w:color w:val="000000"/>
          <w:sz w:val="20"/>
          <w:szCs w:val="20"/>
        </w:rPr>
      </w:pPr>
      <w:r>
        <w:rPr>
          <w:rFonts w:ascii="Arial" w:hAnsi="Arial" w:cs="Arial"/>
          <w:color w:val="000000"/>
          <w:sz w:val="20"/>
          <w:szCs w:val="20"/>
        </w:rPr>
        <w:t>Bacterial inoculum suspensions were spread uniformly on solidified Muller−Hinton Agar (MHA) using a sterile swab</w:t>
      </w:r>
      <w:sdt>
        <w:sdtPr>
          <w:rPr>
            <w:rFonts w:ascii="Arial" w:hAnsi="Arial" w:cs="Arial"/>
            <w:color w:val="000000"/>
            <w:sz w:val="20"/>
            <w:szCs w:val="20"/>
          </w:rPr>
          <w:id w:val="-1184127821"/>
          <w:citation/>
        </w:sdtPr>
        <w:sdtEndPr/>
        <w:sdtContent>
          <w:r w:rsidR="00743247">
            <w:rPr>
              <w:rFonts w:ascii="Arial" w:hAnsi="Arial" w:cs="Arial"/>
              <w:color w:val="000000"/>
              <w:sz w:val="20"/>
              <w:szCs w:val="20"/>
            </w:rPr>
            <w:fldChar w:fldCharType="begin"/>
          </w:r>
          <w:r w:rsidR="00E92AA0">
            <w:rPr>
              <w:rFonts w:ascii="Arial" w:hAnsi="Arial" w:cs="Arial"/>
              <w:color w:val="000000"/>
              <w:sz w:val="20"/>
              <w:szCs w:val="20"/>
            </w:rPr>
            <w:instrText xml:space="preserve">CITATION Mur23 \l 12297 </w:instrText>
          </w:r>
          <w:r w:rsidR="00743247">
            <w:rPr>
              <w:rFonts w:ascii="Arial" w:hAnsi="Arial" w:cs="Arial"/>
              <w:color w:val="000000"/>
              <w:sz w:val="20"/>
              <w:szCs w:val="20"/>
            </w:rPr>
            <w:fldChar w:fldCharType="separate"/>
          </w:r>
          <w:r w:rsidR="00E92AA0">
            <w:rPr>
              <w:rFonts w:ascii="Arial" w:hAnsi="Arial" w:cs="Arial"/>
              <w:noProof/>
              <w:color w:val="000000"/>
              <w:sz w:val="20"/>
              <w:szCs w:val="20"/>
            </w:rPr>
            <w:t xml:space="preserve"> </w:t>
          </w:r>
          <w:r w:rsidR="00E92AA0" w:rsidRPr="00E92AA0">
            <w:rPr>
              <w:rFonts w:ascii="Arial" w:hAnsi="Arial" w:cs="Arial"/>
              <w:noProof/>
              <w:color w:val="000000"/>
              <w:sz w:val="20"/>
              <w:szCs w:val="20"/>
            </w:rPr>
            <w:t>[28]</w:t>
          </w:r>
          <w:r w:rsidR="00743247">
            <w:rPr>
              <w:rFonts w:ascii="Arial" w:hAnsi="Arial" w:cs="Arial"/>
              <w:color w:val="000000"/>
              <w:sz w:val="20"/>
              <w:szCs w:val="20"/>
            </w:rPr>
            <w:fldChar w:fldCharType="end"/>
          </w:r>
        </w:sdtContent>
      </w:sdt>
      <w:r w:rsidR="00743247">
        <w:rPr>
          <w:rFonts w:ascii="Arial" w:hAnsi="Arial" w:cs="Arial"/>
          <w:color w:val="000000"/>
          <w:sz w:val="20"/>
          <w:szCs w:val="20"/>
        </w:rPr>
        <w:t>.</w:t>
      </w:r>
      <w:r>
        <w:rPr>
          <w:rFonts w:ascii="Arial" w:hAnsi="Arial" w:cs="Arial"/>
          <w:color w:val="000000"/>
          <w:sz w:val="20"/>
          <w:szCs w:val="20"/>
        </w:rPr>
        <w:t xml:space="preserve"> The bacterial strains to confirm the broad-spectrum antibacterial effects of </w:t>
      </w:r>
      <w:r w:rsidRPr="00245BE0">
        <w:rPr>
          <w:rFonts w:ascii="Arial" w:hAnsi="Arial" w:cs="Arial"/>
          <w:i/>
          <w:iCs/>
          <w:color w:val="000000"/>
          <w:sz w:val="20"/>
          <w:szCs w:val="20"/>
        </w:rPr>
        <w:t>Carpobrotus edulis</w:t>
      </w:r>
      <w:r>
        <w:rPr>
          <w:rFonts w:ascii="Arial" w:hAnsi="Arial" w:cs="Arial"/>
          <w:color w:val="000000"/>
          <w:sz w:val="20"/>
          <w:szCs w:val="20"/>
        </w:rPr>
        <w:t xml:space="preserve"> were multi-</w:t>
      </w:r>
      <w:r w:rsidR="00E92AA0">
        <w:rPr>
          <w:rFonts w:ascii="Arial" w:hAnsi="Arial" w:cs="Arial"/>
          <w:color w:val="000000"/>
          <w:sz w:val="20"/>
          <w:szCs w:val="20"/>
        </w:rPr>
        <w:t>drug-resistant</w:t>
      </w:r>
      <w:r>
        <w:rPr>
          <w:rFonts w:ascii="Arial" w:hAnsi="Arial" w:cs="Arial"/>
          <w:color w:val="000000"/>
          <w:sz w:val="20"/>
          <w:szCs w:val="20"/>
        </w:rPr>
        <w:t xml:space="preserve"> strains ® of gram-positive </w:t>
      </w:r>
      <w:r>
        <w:rPr>
          <w:rFonts w:ascii="Arial" w:hAnsi="Arial" w:cs="Arial"/>
          <w:i/>
          <w:color w:val="000000"/>
          <w:sz w:val="20"/>
          <w:szCs w:val="20"/>
        </w:rPr>
        <w:t>Streptococcus pyogenes</w:t>
      </w:r>
      <w:r>
        <w:rPr>
          <w:rFonts w:ascii="Arial" w:hAnsi="Arial" w:cs="Arial"/>
          <w:color w:val="000000"/>
          <w:sz w:val="20"/>
          <w:szCs w:val="20"/>
        </w:rPr>
        <w:t xml:space="preserve"> and meticillin-sensitive </w:t>
      </w:r>
      <w:r>
        <w:rPr>
          <w:rFonts w:ascii="Arial" w:hAnsi="Arial" w:cs="Arial"/>
          <w:i/>
          <w:color w:val="000000"/>
          <w:sz w:val="20"/>
          <w:szCs w:val="20"/>
        </w:rPr>
        <w:t>Staphylococcus aureus</w:t>
      </w:r>
      <w:r>
        <w:rPr>
          <w:rFonts w:ascii="Arial" w:hAnsi="Arial" w:cs="Arial"/>
          <w:color w:val="000000"/>
          <w:sz w:val="20"/>
          <w:szCs w:val="20"/>
        </w:rPr>
        <w:t xml:space="preserve"> as well as gram-negative </w:t>
      </w:r>
      <w:r>
        <w:rPr>
          <w:rFonts w:ascii="Arial" w:hAnsi="Arial" w:cs="Arial"/>
          <w:i/>
          <w:color w:val="000000"/>
          <w:sz w:val="20"/>
          <w:szCs w:val="20"/>
        </w:rPr>
        <w:t>Escherichia coli</w:t>
      </w:r>
      <w:r>
        <w:rPr>
          <w:rFonts w:ascii="Arial" w:hAnsi="Arial" w:cs="Arial"/>
          <w:color w:val="000000"/>
          <w:sz w:val="20"/>
          <w:szCs w:val="20"/>
        </w:rPr>
        <w:t>.</w:t>
      </w:r>
    </w:p>
    <w:p w14:paraId="292D0338" w14:textId="77777777" w:rsidR="008A4E15" w:rsidRDefault="00D87684" w:rsidP="008A4E15">
      <w:pPr>
        <w:pStyle w:val="NormalWeb"/>
        <w:spacing w:before="0" w:beforeAutospacing="0" w:after="420" w:afterAutospacing="0"/>
        <w:contextualSpacing/>
        <w:jc w:val="both"/>
        <w:textAlignment w:val="baseline"/>
        <w:rPr>
          <w:rFonts w:ascii="Arial" w:eastAsia="Calibri" w:hAnsi="Arial" w:cs="Arial"/>
          <w:color w:val="000000"/>
          <w:sz w:val="20"/>
          <w:szCs w:val="20"/>
          <w:lang w:eastAsia="en-US"/>
        </w:rPr>
      </w:pPr>
      <w:r>
        <w:rPr>
          <w:rFonts w:ascii="Arial" w:eastAsia="Calibri" w:hAnsi="Arial" w:cs="Arial"/>
          <w:color w:val="000000"/>
          <w:sz w:val="20"/>
          <w:szCs w:val="20"/>
          <w:lang w:eastAsia="en-US"/>
        </w:rPr>
        <w:t>In the procedure: To the Mueller-Hinton agar plates, swabs of the pure bacterial cultures were evenly spread over and 2 -3 drops of the test samples were placed in the media plate using sterile forceps.  The petri plates were incubated for 24 hours at 36</w:t>
      </w:r>
      <w:r>
        <w:rPr>
          <w:rFonts w:ascii="Arial" w:eastAsia="Calibri" w:hAnsi="Arial" w:cs="Arial"/>
          <w:color w:val="000000"/>
          <w:sz w:val="20"/>
          <w:szCs w:val="20"/>
          <w:vertAlign w:val="superscript"/>
          <w:lang w:eastAsia="en-US"/>
        </w:rPr>
        <w:t>o</w:t>
      </w:r>
      <w:r>
        <w:rPr>
          <w:rFonts w:ascii="Arial" w:eastAsia="Calibri" w:hAnsi="Arial" w:cs="Arial"/>
          <w:color w:val="000000"/>
          <w:sz w:val="20"/>
          <w:szCs w:val="20"/>
          <w:lang w:eastAsia="en-US"/>
        </w:rPr>
        <w:t>C with controlled humidity. After the incubation period and diffusion of the test samples, the clear area (zone of inhibition) around the point of introduction of the samples was observed and measured. The size of the zone of inhibition is directly proportional to the antibacterial activity.</w:t>
      </w:r>
    </w:p>
    <w:p w14:paraId="5DACDE19" w14:textId="2F173A86" w:rsidR="00B77CA6" w:rsidRPr="008A4E15" w:rsidRDefault="00D87684" w:rsidP="008A4E15">
      <w:pPr>
        <w:pStyle w:val="NormalWeb"/>
        <w:spacing w:before="0" w:beforeAutospacing="0" w:after="420" w:afterAutospacing="0"/>
        <w:contextualSpacing/>
        <w:jc w:val="both"/>
        <w:textAlignment w:val="baseline"/>
        <w:rPr>
          <w:rFonts w:ascii="Arial" w:eastAsia="Calibri" w:hAnsi="Arial" w:cs="Arial"/>
          <w:color w:val="000000"/>
          <w:sz w:val="20"/>
          <w:szCs w:val="20"/>
          <w:lang w:eastAsia="en-US"/>
        </w:rPr>
      </w:pPr>
      <w:r>
        <w:rPr>
          <w:rFonts w:ascii="Arial" w:eastAsia="Calibri" w:hAnsi="Arial" w:cs="Arial"/>
          <w:color w:val="000000"/>
          <w:sz w:val="20"/>
          <w:szCs w:val="20"/>
          <w:lang w:eastAsia="en-US"/>
        </w:rPr>
        <w:t>For the determination of MICs, the same experimental setup was used. Serial dilutions of the test materials with distilled water were done and the minimum concentrations of the test materials needed to inhibit the ability of the microorganism's ability to produce any visible growth in the agar plates was noted. In this simplified modified method, the lowest concentration of the antimicrobial agents (in mg/ml) which prevented the appearance of visible growth of the microorganisms within 24 hours was determined as the MIC.</w:t>
      </w:r>
    </w:p>
    <w:p w14:paraId="4BD142AB" w14:textId="77777777" w:rsidR="00B77CA6" w:rsidRDefault="00B77CA6">
      <w:pPr>
        <w:autoSpaceDE w:val="0"/>
        <w:autoSpaceDN w:val="0"/>
        <w:adjustRightInd w:val="0"/>
        <w:contextualSpacing/>
        <w:jc w:val="both"/>
        <w:rPr>
          <w:rFonts w:ascii="Arial" w:hAnsi="Arial" w:cs="Arial"/>
          <w:color w:val="FF0000"/>
          <w:sz w:val="20"/>
          <w:szCs w:val="20"/>
        </w:rPr>
      </w:pPr>
    </w:p>
    <w:p w14:paraId="35F76EF1" w14:textId="77777777" w:rsidR="00B77CA6" w:rsidRDefault="00B77CA6">
      <w:pPr>
        <w:autoSpaceDE w:val="0"/>
        <w:autoSpaceDN w:val="0"/>
        <w:adjustRightInd w:val="0"/>
        <w:contextualSpacing/>
        <w:jc w:val="both"/>
        <w:rPr>
          <w:rFonts w:ascii="Arial" w:hAnsi="Arial" w:cs="Arial"/>
          <w:sz w:val="20"/>
          <w:szCs w:val="20"/>
        </w:rPr>
      </w:pPr>
      <w:bookmarkStart w:id="2" w:name="_Toc157026289"/>
      <w:bookmarkEnd w:id="2"/>
    </w:p>
    <w:p w14:paraId="7067DEB4" w14:textId="77777777" w:rsidR="00B77CA6" w:rsidRPr="008A4E15" w:rsidRDefault="00D87684">
      <w:pPr>
        <w:pStyle w:val="Heading2"/>
        <w:rPr>
          <w:rFonts w:ascii="Arial" w:hAnsi="Arial" w:cs="Arial"/>
          <w:sz w:val="24"/>
          <w:szCs w:val="24"/>
        </w:rPr>
      </w:pPr>
      <w:r w:rsidRPr="008A4E15">
        <w:rPr>
          <w:rFonts w:ascii="Arial" w:hAnsi="Arial" w:cs="Arial"/>
          <w:sz w:val="24"/>
          <w:szCs w:val="24"/>
        </w:rPr>
        <w:lastRenderedPageBreak/>
        <w:t xml:space="preserve">Anti-inflammatory activity of </w:t>
      </w:r>
      <w:r w:rsidRPr="008A4E15">
        <w:rPr>
          <w:rFonts w:ascii="Arial" w:hAnsi="Arial" w:cs="Arial"/>
          <w:i/>
          <w:iCs/>
          <w:sz w:val="24"/>
          <w:szCs w:val="24"/>
        </w:rPr>
        <w:t>Carpobrotus edulis</w:t>
      </w:r>
      <w:r w:rsidRPr="008A4E15">
        <w:rPr>
          <w:rFonts w:ascii="Arial" w:hAnsi="Arial" w:cs="Arial"/>
          <w:sz w:val="24"/>
          <w:szCs w:val="24"/>
        </w:rPr>
        <w:t xml:space="preserve"> using the egg albumin denaturation test</w:t>
      </w:r>
    </w:p>
    <w:p w14:paraId="5BD78059" w14:textId="17090A5D" w:rsidR="00B77CA6" w:rsidRDefault="00D87684">
      <w:pPr>
        <w:autoSpaceDE w:val="0"/>
        <w:autoSpaceDN w:val="0"/>
        <w:adjustRightInd w:val="0"/>
        <w:contextualSpacing/>
        <w:jc w:val="both"/>
        <w:rPr>
          <w:rFonts w:ascii="Arial" w:eastAsia="Calibri" w:hAnsi="Arial" w:cs="Arial"/>
          <w:color w:val="000000"/>
          <w:sz w:val="20"/>
          <w:szCs w:val="20"/>
        </w:rPr>
      </w:pPr>
      <w:r>
        <w:rPr>
          <w:rFonts w:ascii="Arial" w:eastAsia="Calibri" w:hAnsi="Arial" w:cs="Arial"/>
          <w:color w:val="000000"/>
          <w:sz w:val="20"/>
          <w:szCs w:val="20"/>
        </w:rPr>
        <w:t xml:space="preserve">The anti-inflammatory activity of the lyophilized leaf extract of </w:t>
      </w:r>
      <w:r>
        <w:rPr>
          <w:rFonts w:ascii="Arial" w:eastAsia="Calibri" w:hAnsi="Arial" w:cs="Arial"/>
          <w:i/>
          <w:iCs/>
          <w:color w:val="000000"/>
          <w:sz w:val="20"/>
          <w:szCs w:val="20"/>
        </w:rPr>
        <w:t>Carpobrotus edulis</w:t>
      </w:r>
      <w:r>
        <w:rPr>
          <w:rFonts w:ascii="Arial" w:eastAsia="Calibri" w:hAnsi="Arial" w:cs="Arial"/>
          <w:color w:val="000000"/>
          <w:sz w:val="20"/>
          <w:szCs w:val="20"/>
        </w:rPr>
        <w:t xml:space="preserve"> was determined using the egg albumin protein denaturation assay, with slight modifications as described by Chifamba </w:t>
      </w:r>
      <w:r>
        <w:rPr>
          <w:rFonts w:ascii="Arial" w:eastAsia="Calibri" w:hAnsi="Arial" w:cs="Arial"/>
          <w:i/>
          <w:color w:val="000000"/>
          <w:sz w:val="20"/>
          <w:szCs w:val="20"/>
        </w:rPr>
        <w:t>et al</w:t>
      </w:r>
      <w:r>
        <w:rPr>
          <w:rFonts w:ascii="Arial" w:eastAsia="Calibri" w:hAnsi="Arial" w:cs="Arial"/>
          <w:color w:val="000000"/>
          <w:sz w:val="20"/>
          <w:szCs w:val="20"/>
        </w:rPr>
        <w:t xml:space="preserve"> (2024)</w:t>
      </w:r>
      <w:sdt>
        <w:sdtPr>
          <w:rPr>
            <w:rFonts w:ascii="Arial" w:eastAsia="Calibri" w:hAnsi="Arial" w:cs="Arial"/>
            <w:color w:val="000000"/>
            <w:sz w:val="20"/>
            <w:szCs w:val="20"/>
          </w:rPr>
          <w:id w:val="2134446804"/>
          <w:citation/>
        </w:sdtPr>
        <w:sdtEndPr/>
        <w:sdtContent>
          <w:r w:rsidR="00F45040">
            <w:rPr>
              <w:rFonts w:ascii="Arial" w:eastAsia="Calibri" w:hAnsi="Arial" w:cs="Arial"/>
              <w:color w:val="000000"/>
              <w:sz w:val="20"/>
              <w:szCs w:val="20"/>
            </w:rPr>
            <w:fldChar w:fldCharType="begin"/>
          </w:r>
          <w:r w:rsidR="00E92AA0">
            <w:rPr>
              <w:rFonts w:ascii="Arial" w:eastAsia="Calibri" w:hAnsi="Arial" w:cs="Arial"/>
              <w:color w:val="000000"/>
              <w:sz w:val="20"/>
              <w:szCs w:val="20"/>
            </w:rPr>
            <w:instrText xml:space="preserve">CITATION Chi24 \l 12297 </w:instrText>
          </w:r>
          <w:r w:rsidR="00F45040">
            <w:rPr>
              <w:rFonts w:ascii="Arial" w:eastAsia="Calibri" w:hAnsi="Arial" w:cs="Arial"/>
              <w:color w:val="000000"/>
              <w:sz w:val="20"/>
              <w:szCs w:val="20"/>
            </w:rPr>
            <w:fldChar w:fldCharType="separate"/>
          </w:r>
          <w:r w:rsidR="00E92AA0">
            <w:rPr>
              <w:rFonts w:ascii="Arial" w:eastAsia="Calibri" w:hAnsi="Arial" w:cs="Arial"/>
              <w:noProof/>
              <w:color w:val="000000"/>
              <w:sz w:val="20"/>
              <w:szCs w:val="20"/>
            </w:rPr>
            <w:t xml:space="preserve"> </w:t>
          </w:r>
          <w:r w:rsidR="00E92AA0" w:rsidRPr="00E92AA0">
            <w:rPr>
              <w:rFonts w:ascii="Arial" w:eastAsia="Calibri" w:hAnsi="Arial" w:cs="Arial"/>
              <w:noProof/>
              <w:color w:val="000000"/>
              <w:sz w:val="20"/>
              <w:szCs w:val="20"/>
            </w:rPr>
            <w:t>[29]</w:t>
          </w:r>
          <w:r w:rsidR="00F45040">
            <w:rPr>
              <w:rFonts w:ascii="Arial" w:eastAsia="Calibri" w:hAnsi="Arial" w:cs="Arial"/>
              <w:color w:val="000000"/>
              <w:sz w:val="20"/>
              <w:szCs w:val="20"/>
            </w:rPr>
            <w:fldChar w:fldCharType="end"/>
          </w:r>
        </w:sdtContent>
      </w:sdt>
      <w:r>
        <w:rPr>
          <w:rFonts w:ascii="Arial" w:eastAsia="Calibri" w:hAnsi="Arial" w:cs="Arial"/>
          <w:color w:val="000000"/>
          <w:sz w:val="20"/>
          <w:szCs w:val="20"/>
        </w:rPr>
        <w:t>. The samples and reagents used for this assay include 0.4 mL of egg albumin (fresh) from a free-range domesticated hen (</w:t>
      </w:r>
      <w:r>
        <w:rPr>
          <w:rFonts w:ascii="Arial" w:eastAsia="Calibri" w:hAnsi="Arial" w:cs="Arial"/>
          <w:i/>
          <w:color w:val="000000"/>
          <w:sz w:val="20"/>
          <w:szCs w:val="20"/>
        </w:rPr>
        <w:t>Gallus domesticus</w:t>
      </w:r>
      <w:r>
        <w:rPr>
          <w:rFonts w:ascii="Arial" w:eastAsia="Calibri" w:hAnsi="Arial" w:cs="Arial"/>
          <w:color w:val="000000"/>
          <w:sz w:val="20"/>
          <w:szCs w:val="20"/>
        </w:rPr>
        <w:t>), 10 mL of phosphate-buffered saline (PBS) at pH 7.2, and 5ml solutions of varying concentrations of the lyophilized leaf extracts in 0.4% DMSO. The concentrations of the lyophilized extracts in the total reaction solution ranged from 50 to 1000 µg/mL. The samples were incubated (Shel lab SRI3 Low Temperature BOD Incubator) for 20 minutes at 37°C</w:t>
      </w:r>
      <w:r>
        <w:rPr>
          <w:rFonts w:ascii="Arial" w:eastAsia="Calibri" w:hAnsi="Arial" w:cs="Arial"/>
          <w:color w:val="000000"/>
          <w:sz w:val="20"/>
          <w:szCs w:val="20"/>
          <w:lang w:val="en-US"/>
        </w:rPr>
        <w:t xml:space="preserve"> followed </w:t>
      </w:r>
      <w:r>
        <w:rPr>
          <w:rFonts w:ascii="Arial" w:eastAsia="Calibri" w:hAnsi="Arial" w:cs="Arial"/>
          <w:color w:val="000000"/>
          <w:sz w:val="20"/>
          <w:szCs w:val="20"/>
        </w:rPr>
        <w:t>by heating at 65°C in a water bath for an additional 30 minutes to induce denaturation of the egg albumin. After cooling the mixture, the absorbance was measured at 660 nm (UV spectrophotometer, Lambda 35 UV/Vis-Spectrometer, Perkin Elmer Instruments) using the vehicle as blank. Negative controls consisting of 0.4 mL of fresh egg albumin, 0.5 mL of 0.4% DMSO, and 3 mL of PBS were included in the experiment. Diclofenac sodium was used as a positive control for the study at similar concentrations. The percentage of inhibition, which translates to the anti-inflammatory activity of the extracts and standards, was calculated by the following equation.</w:t>
      </w:r>
    </w:p>
    <w:p w14:paraId="7563B1F7" w14:textId="77777777" w:rsidR="00B77CA6" w:rsidRDefault="00B77CA6">
      <w:pPr>
        <w:autoSpaceDE w:val="0"/>
        <w:autoSpaceDN w:val="0"/>
        <w:adjustRightInd w:val="0"/>
        <w:contextualSpacing/>
        <w:jc w:val="both"/>
        <w:rPr>
          <w:rFonts w:ascii="Arial" w:eastAsia="Calibri" w:hAnsi="Arial" w:cs="Arial"/>
          <w:color w:val="000000"/>
          <w:sz w:val="20"/>
          <w:szCs w:val="20"/>
        </w:rPr>
      </w:pPr>
    </w:p>
    <w:p w14:paraId="0CAF568E" w14:textId="77777777" w:rsidR="00B77CA6" w:rsidRDefault="00D87684">
      <w:pPr>
        <w:autoSpaceDE w:val="0"/>
        <w:autoSpaceDN w:val="0"/>
        <w:adjustRightInd w:val="0"/>
        <w:contextualSpacing/>
        <w:jc w:val="both"/>
        <w:rPr>
          <w:rFonts w:ascii="Arial" w:eastAsia="Calibri" w:hAnsi="Arial" w:cs="Arial"/>
          <w:b/>
          <w:i/>
          <w:color w:val="000000"/>
          <w:sz w:val="20"/>
          <w:szCs w:val="20"/>
        </w:rPr>
      </w:pPr>
      <w:r>
        <w:rPr>
          <w:rFonts w:ascii="Arial" w:eastAsia="Calibri" w:hAnsi="Arial" w:cs="Arial"/>
          <w:b/>
          <w:i/>
          <w:color w:val="000000"/>
          <w:sz w:val="20"/>
          <w:szCs w:val="20"/>
        </w:rPr>
        <w:t>Equation 1</w:t>
      </w:r>
    </w:p>
    <w:p w14:paraId="3D9848F2" w14:textId="77777777" w:rsidR="00B77CA6" w:rsidRDefault="00D87684">
      <w:pPr>
        <w:autoSpaceDE w:val="0"/>
        <w:autoSpaceDN w:val="0"/>
        <w:adjustRightInd w:val="0"/>
        <w:contextualSpacing/>
        <w:jc w:val="both"/>
        <w:rPr>
          <w:rFonts w:ascii="Arial" w:eastAsia="Calibri" w:hAnsi="Arial" w:cs="Arial"/>
          <w:color w:val="000000"/>
          <w:sz w:val="20"/>
          <w:szCs w:val="20"/>
        </w:rPr>
      </w:pPr>
      <m:oMathPara>
        <m:oMath>
          <m:r>
            <w:rPr>
              <w:rFonts w:ascii="Cambria Math" w:eastAsia="Calibri" w:hAnsi="Cambria Math" w:cs="Arial"/>
              <w:color w:val="000000"/>
              <w:sz w:val="20"/>
              <w:szCs w:val="20"/>
            </w:rPr>
            <m:t>Inflammation inhibition percentage effect=</m:t>
          </m:r>
          <m:f>
            <m:fPr>
              <m:ctrlPr>
                <w:rPr>
                  <w:rFonts w:ascii="Cambria Math" w:eastAsia="Calibri" w:hAnsi="Cambria Math" w:cs="Arial"/>
                  <w:i/>
                  <w:color w:val="000000"/>
                  <w:sz w:val="20"/>
                  <w:szCs w:val="20"/>
                </w:rPr>
              </m:ctrlPr>
            </m:fPr>
            <m:num>
              <m:sSub>
                <m:sSubPr>
                  <m:ctrlPr>
                    <w:rPr>
                      <w:rFonts w:ascii="Cambria Math" w:eastAsia="Calibri" w:hAnsi="Cambria Math" w:cs="Arial"/>
                      <w:i/>
                      <w:color w:val="000000"/>
                      <w:sz w:val="20"/>
                      <w:szCs w:val="20"/>
                    </w:rPr>
                  </m:ctrlPr>
                </m:sSubPr>
                <m:e>
                  <m:r>
                    <w:rPr>
                      <w:rFonts w:ascii="Cambria Math" w:eastAsia="Calibri" w:hAnsi="Cambria Math" w:cs="Arial"/>
                      <w:color w:val="000000"/>
                      <w:sz w:val="20"/>
                      <w:szCs w:val="20"/>
                    </w:rPr>
                    <m:t>Abs</m:t>
                  </m:r>
                </m:e>
                <m:sub>
                  <m:r>
                    <w:rPr>
                      <w:rFonts w:ascii="Cambria Math" w:eastAsia="Calibri" w:hAnsi="Cambria Math" w:cs="Arial"/>
                      <w:color w:val="000000"/>
                      <w:sz w:val="20"/>
                      <w:szCs w:val="20"/>
                    </w:rPr>
                    <m:t>sample</m:t>
                  </m:r>
                </m:sub>
              </m:sSub>
            </m:num>
            <m:den>
              <m:sSub>
                <m:sSubPr>
                  <m:ctrlPr>
                    <w:rPr>
                      <w:rFonts w:ascii="Cambria Math" w:eastAsia="Calibri" w:hAnsi="Cambria Math" w:cs="Arial"/>
                      <w:i/>
                      <w:color w:val="000000"/>
                      <w:sz w:val="20"/>
                      <w:szCs w:val="20"/>
                    </w:rPr>
                  </m:ctrlPr>
                </m:sSubPr>
                <m:e>
                  <m:r>
                    <w:rPr>
                      <w:rFonts w:ascii="Cambria Math" w:eastAsia="Calibri" w:hAnsi="Cambria Math" w:cs="Arial"/>
                      <w:color w:val="000000"/>
                      <w:sz w:val="20"/>
                      <w:szCs w:val="20"/>
                    </w:rPr>
                    <m:t>Abs</m:t>
                  </m:r>
                </m:e>
                <m:sub>
                  <m:r>
                    <w:rPr>
                      <w:rFonts w:ascii="Cambria Math" w:eastAsia="Calibri" w:hAnsi="Cambria Math" w:cs="Arial"/>
                      <w:color w:val="000000"/>
                      <w:sz w:val="20"/>
                      <w:szCs w:val="20"/>
                    </w:rPr>
                    <m:t>control</m:t>
                  </m:r>
                </m:sub>
              </m:sSub>
              <m:r>
                <w:rPr>
                  <w:rFonts w:ascii="Cambria Math" w:eastAsia="Calibri" w:hAnsi="Cambria Math" w:cs="Arial"/>
                  <w:color w:val="000000"/>
                  <w:sz w:val="20"/>
                  <w:szCs w:val="20"/>
                </w:rPr>
                <m:t>-1</m:t>
              </m:r>
            </m:den>
          </m:f>
          <m:r>
            <w:rPr>
              <w:rFonts w:ascii="Cambria Math" w:eastAsia="Calibri" w:hAnsi="Cambria Math" w:cs="Arial"/>
              <w:color w:val="000000"/>
              <w:sz w:val="20"/>
              <w:szCs w:val="20"/>
            </w:rPr>
            <m:t xml:space="preserve"> x 100</m:t>
          </m:r>
        </m:oMath>
      </m:oMathPara>
    </w:p>
    <w:p w14:paraId="16335112" w14:textId="77777777" w:rsidR="00B77CA6" w:rsidRDefault="00D87684">
      <w:pPr>
        <w:autoSpaceDE w:val="0"/>
        <w:autoSpaceDN w:val="0"/>
        <w:adjustRightInd w:val="0"/>
        <w:contextualSpacing/>
        <w:jc w:val="both"/>
        <w:rPr>
          <w:rFonts w:ascii="Arial" w:eastAsia="Calibri" w:hAnsi="Arial" w:cs="Arial"/>
          <w:color w:val="000000"/>
          <w:sz w:val="20"/>
          <w:szCs w:val="20"/>
        </w:rPr>
      </w:pPr>
      <w:r>
        <w:rPr>
          <w:rFonts w:ascii="Arial" w:eastAsia="Calibri" w:hAnsi="Arial" w:cs="Arial"/>
          <w:color w:val="000000"/>
          <w:sz w:val="20"/>
          <w:szCs w:val="20"/>
        </w:rPr>
        <w:t xml:space="preserve">                                </w:t>
      </w:r>
    </w:p>
    <w:p w14:paraId="49B9DB42" w14:textId="77777777" w:rsidR="00B77CA6" w:rsidRDefault="00D87684">
      <w:pPr>
        <w:autoSpaceDE w:val="0"/>
        <w:autoSpaceDN w:val="0"/>
        <w:adjustRightInd w:val="0"/>
        <w:contextualSpacing/>
        <w:jc w:val="both"/>
        <w:rPr>
          <w:rFonts w:ascii="Arial" w:eastAsia="Calibri" w:hAnsi="Arial" w:cs="Arial"/>
          <w:color w:val="000000"/>
          <w:sz w:val="20"/>
          <w:szCs w:val="20"/>
        </w:rPr>
      </w:pPr>
      <w:r>
        <w:rPr>
          <w:rFonts w:ascii="Arial" w:eastAsia="Calibri" w:hAnsi="Arial" w:cs="Arial"/>
          <w:color w:val="000000"/>
          <w:sz w:val="20"/>
          <w:szCs w:val="20"/>
        </w:rPr>
        <w:t>where,</w:t>
      </w:r>
    </w:p>
    <w:p w14:paraId="7A1D43E5" w14:textId="77777777" w:rsidR="00B77CA6" w:rsidRDefault="00D87684">
      <w:pPr>
        <w:autoSpaceDE w:val="0"/>
        <w:autoSpaceDN w:val="0"/>
        <w:adjustRightInd w:val="0"/>
        <w:contextualSpacing/>
        <w:jc w:val="both"/>
        <w:rPr>
          <w:rFonts w:ascii="Arial" w:eastAsia="Calibri" w:hAnsi="Arial" w:cs="Arial"/>
          <w:color w:val="000000"/>
          <w:sz w:val="20"/>
          <w:szCs w:val="20"/>
        </w:rPr>
      </w:pPr>
      <w:r>
        <w:rPr>
          <w:rFonts w:ascii="Arial" w:eastAsia="Calibri" w:hAnsi="Arial" w:cs="Arial"/>
          <w:color w:val="000000"/>
          <w:sz w:val="20"/>
          <w:szCs w:val="20"/>
        </w:rPr>
        <w:t>Abs</w:t>
      </w:r>
      <w:r>
        <w:rPr>
          <w:rFonts w:ascii="Arial" w:eastAsia="Calibri" w:hAnsi="Arial" w:cs="Arial"/>
          <w:color w:val="000000"/>
          <w:sz w:val="20"/>
          <w:szCs w:val="20"/>
          <w:vertAlign w:val="subscript"/>
        </w:rPr>
        <w:t xml:space="preserve"> sample</w:t>
      </w:r>
      <w:r>
        <w:rPr>
          <w:rFonts w:ascii="Arial" w:eastAsia="Calibri" w:hAnsi="Arial" w:cs="Arial"/>
          <w:color w:val="000000"/>
          <w:sz w:val="20"/>
          <w:szCs w:val="20"/>
        </w:rPr>
        <w:t xml:space="preserve"> = absorbance of sample, Abs</w:t>
      </w:r>
      <w:r>
        <w:rPr>
          <w:rFonts w:ascii="Arial" w:eastAsia="Calibri" w:hAnsi="Arial" w:cs="Arial"/>
          <w:color w:val="000000"/>
          <w:sz w:val="20"/>
          <w:szCs w:val="20"/>
          <w:vertAlign w:val="subscript"/>
        </w:rPr>
        <w:t xml:space="preserve"> control</w:t>
      </w:r>
      <w:r>
        <w:rPr>
          <w:rFonts w:ascii="Arial" w:eastAsia="Calibri" w:hAnsi="Arial" w:cs="Arial"/>
          <w:color w:val="000000"/>
          <w:sz w:val="20"/>
          <w:szCs w:val="20"/>
        </w:rPr>
        <w:t xml:space="preserve"> = absorbance of control.</w:t>
      </w:r>
    </w:p>
    <w:p w14:paraId="4FC2AEFD" w14:textId="77777777" w:rsidR="00B77CA6" w:rsidRDefault="00B77CA6">
      <w:pPr>
        <w:autoSpaceDE w:val="0"/>
        <w:autoSpaceDN w:val="0"/>
        <w:adjustRightInd w:val="0"/>
        <w:contextualSpacing/>
        <w:jc w:val="both"/>
        <w:rPr>
          <w:rFonts w:ascii="Arial" w:eastAsia="Calibri" w:hAnsi="Arial" w:cs="Arial"/>
          <w:color w:val="000000"/>
          <w:sz w:val="20"/>
          <w:szCs w:val="20"/>
        </w:rPr>
      </w:pPr>
    </w:p>
    <w:p w14:paraId="7ABFF10E" w14:textId="77777777" w:rsidR="00B77CA6" w:rsidRDefault="00B77CA6">
      <w:pPr>
        <w:autoSpaceDE w:val="0"/>
        <w:autoSpaceDN w:val="0"/>
        <w:adjustRightInd w:val="0"/>
        <w:contextualSpacing/>
        <w:jc w:val="both"/>
        <w:rPr>
          <w:rFonts w:ascii="Arial" w:hAnsi="Arial" w:cs="Arial"/>
          <w:color w:val="131413"/>
          <w:sz w:val="20"/>
          <w:szCs w:val="20"/>
        </w:rPr>
      </w:pPr>
    </w:p>
    <w:p w14:paraId="308F9B6D" w14:textId="77777777" w:rsidR="00B77CA6" w:rsidRPr="008A4E15" w:rsidRDefault="00D87684">
      <w:pPr>
        <w:pStyle w:val="Heading2"/>
        <w:rPr>
          <w:rFonts w:ascii="Arial" w:hAnsi="Arial" w:cs="Arial"/>
          <w:sz w:val="24"/>
          <w:szCs w:val="24"/>
        </w:rPr>
      </w:pPr>
      <w:r w:rsidRPr="008A4E15">
        <w:rPr>
          <w:rFonts w:ascii="Arial" w:hAnsi="Arial" w:cs="Arial"/>
          <w:sz w:val="24"/>
          <w:szCs w:val="24"/>
        </w:rPr>
        <w:t xml:space="preserve">Acute oral toxicity evaluation of </w:t>
      </w:r>
      <w:r w:rsidRPr="008A4E15">
        <w:rPr>
          <w:rFonts w:ascii="Arial" w:hAnsi="Arial" w:cs="Arial"/>
          <w:i/>
          <w:iCs/>
          <w:sz w:val="24"/>
          <w:szCs w:val="24"/>
        </w:rPr>
        <w:t>Carpobrotus edulis</w:t>
      </w:r>
    </w:p>
    <w:p w14:paraId="104A6976" w14:textId="77777777" w:rsidR="00B77CA6" w:rsidRDefault="00B77CA6">
      <w:pPr>
        <w:autoSpaceDE w:val="0"/>
        <w:autoSpaceDN w:val="0"/>
        <w:adjustRightInd w:val="0"/>
        <w:contextualSpacing/>
        <w:jc w:val="both"/>
        <w:rPr>
          <w:rFonts w:ascii="Arial" w:hAnsi="Arial" w:cs="Arial"/>
          <w:iCs/>
          <w:sz w:val="20"/>
          <w:szCs w:val="20"/>
          <w:lang w:val="en-US"/>
        </w:rPr>
      </w:pPr>
    </w:p>
    <w:p w14:paraId="11BC8493" w14:textId="7A9DECA8" w:rsidR="00B77CA6" w:rsidRDefault="00D87684">
      <w:pPr>
        <w:autoSpaceDE w:val="0"/>
        <w:autoSpaceDN w:val="0"/>
        <w:adjustRightInd w:val="0"/>
        <w:contextualSpacing/>
        <w:jc w:val="both"/>
        <w:rPr>
          <w:rFonts w:ascii="Arial" w:hAnsi="Arial" w:cs="Arial"/>
          <w:iCs/>
          <w:sz w:val="20"/>
          <w:szCs w:val="20"/>
          <w:lang w:val="en-US"/>
        </w:rPr>
      </w:pPr>
      <w:r>
        <w:rPr>
          <w:rFonts w:ascii="Arial" w:hAnsi="Arial" w:cs="Arial"/>
          <w:iCs/>
          <w:sz w:val="20"/>
          <w:szCs w:val="20"/>
          <w:lang w:val="en-US"/>
        </w:rPr>
        <w:t xml:space="preserve">The acute oral toxicity evaluation of </w:t>
      </w:r>
      <w:r>
        <w:rPr>
          <w:rFonts w:ascii="Arial" w:hAnsi="Arial" w:cs="Arial"/>
          <w:i/>
          <w:iCs/>
          <w:sz w:val="20"/>
          <w:szCs w:val="20"/>
          <w:lang w:val="en-US"/>
        </w:rPr>
        <w:t xml:space="preserve">Carpobrotus edulis </w:t>
      </w:r>
      <w:r>
        <w:rPr>
          <w:rFonts w:ascii="Arial" w:hAnsi="Arial" w:cs="Arial"/>
          <w:sz w:val="20"/>
          <w:szCs w:val="20"/>
          <w:lang w:val="en-US"/>
        </w:rPr>
        <w:t xml:space="preserve">lyophilized extract </w:t>
      </w:r>
      <w:r>
        <w:rPr>
          <w:rFonts w:ascii="Arial" w:hAnsi="Arial" w:cs="Arial"/>
          <w:iCs/>
          <w:sz w:val="20"/>
          <w:szCs w:val="20"/>
          <w:lang w:val="en-US"/>
        </w:rPr>
        <w:t>was done using a modified OECD technical guideline 425 (The up and down test)</w:t>
      </w:r>
      <w:sdt>
        <w:sdtPr>
          <w:rPr>
            <w:rFonts w:ascii="Arial" w:hAnsi="Arial" w:cs="Arial"/>
            <w:iCs/>
            <w:sz w:val="20"/>
            <w:szCs w:val="20"/>
            <w:lang w:val="en-US"/>
          </w:rPr>
          <w:id w:val="-1251351457"/>
          <w:citation/>
        </w:sdtPr>
        <w:sdtEndPr/>
        <w:sdtContent>
          <w:r w:rsidR="00F45040">
            <w:rPr>
              <w:rFonts w:ascii="Arial" w:hAnsi="Arial" w:cs="Arial"/>
              <w:iCs/>
              <w:sz w:val="20"/>
              <w:szCs w:val="20"/>
              <w:lang w:val="en-US"/>
            </w:rPr>
            <w:fldChar w:fldCharType="begin"/>
          </w:r>
          <w:r w:rsidR="00245BE0">
            <w:rPr>
              <w:rFonts w:ascii="Arial" w:hAnsi="Arial" w:cs="Arial"/>
              <w:iCs/>
              <w:sz w:val="20"/>
              <w:szCs w:val="20"/>
            </w:rPr>
            <w:instrText xml:space="preserve">CITATION OEC24 \l 12297 </w:instrText>
          </w:r>
          <w:r w:rsidR="00F45040">
            <w:rPr>
              <w:rFonts w:ascii="Arial" w:hAnsi="Arial" w:cs="Arial"/>
              <w:iCs/>
              <w:sz w:val="20"/>
              <w:szCs w:val="20"/>
              <w:lang w:val="en-US"/>
            </w:rPr>
            <w:fldChar w:fldCharType="separate"/>
          </w:r>
          <w:r w:rsidR="00245BE0">
            <w:rPr>
              <w:rFonts w:ascii="Arial" w:hAnsi="Arial" w:cs="Arial"/>
              <w:iCs/>
              <w:noProof/>
              <w:sz w:val="20"/>
              <w:szCs w:val="20"/>
            </w:rPr>
            <w:t xml:space="preserve"> </w:t>
          </w:r>
          <w:r w:rsidR="00245BE0" w:rsidRPr="00245BE0">
            <w:rPr>
              <w:rFonts w:ascii="Arial" w:hAnsi="Arial" w:cs="Arial"/>
              <w:noProof/>
              <w:sz w:val="20"/>
              <w:szCs w:val="20"/>
            </w:rPr>
            <w:t>[30]</w:t>
          </w:r>
          <w:r w:rsidR="00F45040">
            <w:rPr>
              <w:rFonts w:ascii="Arial" w:hAnsi="Arial" w:cs="Arial"/>
              <w:iCs/>
              <w:sz w:val="20"/>
              <w:szCs w:val="20"/>
              <w:lang w:val="en-US"/>
            </w:rPr>
            <w:fldChar w:fldCharType="end"/>
          </w:r>
        </w:sdtContent>
      </w:sdt>
      <w:r w:rsidR="00F45040">
        <w:rPr>
          <w:rFonts w:ascii="Arial" w:hAnsi="Arial" w:cs="Arial"/>
          <w:sz w:val="20"/>
          <w:szCs w:val="20"/>
          <w:lang w:val="en-US"/>
        </w:rPr>
        <w:t>.</w:t>
      </w:r>
      <w:r>
        <w:rPr>
          <w:rFonts w:ascii="Arial" w:hAnsi="Arial" w:cs="Arial"/>
          <w:iCs/>
          <w:sz w:val="20"/>
          <w:szCs w:val="20"/>
          <w:lang w:val="en-US"/>
        </w:rPr>
        <w:t xml:space="preserve"> Female Sprague Dawley rats (24) were used, which were acclimatized to the test environment for 10 days before the commencement of the test protocols. The participating animals were fed with a commercial standardized rodent pellet from Agrofeeds® and were given water </w:t>
      </w:r>
      <w:r>
        <w:rPr>
          <w:rFonts w:ascii="Arial" w:hAnsi="Arial" w:cs="Arial"/>
          <w:i/>
          <w:sz w:val="20"/>
          <w:szCs w:val="20"/>
          <w:lang w:val="en-US"/>
        </w:rPr>
        <w:t>ad libitum</w:t>
      </w:r>
      <w:r>
        <w:rPr>
          <w:rFonts w:ascii="Arial" w:hAnsi="Arial" w:cs="Arial"/>
          <w:iCs/>
          <w:sz w:val="20"/>
          <w:szCs w:val="20"/>
          <w:lang w:val="en-US"/>
        </w:rPr>
        <w:t xml:space="preserve">. The animal habitat was kept at an average ambient temperature of 25°C throughout the study with a relative humidity level of 40% and an artificially controlled photoperiod of 12-h light and 12-h darkness. The animal welfare, observations, and care were supervised by a practicing veterinary officer. </w:t>
      </w:r>
    </w:p>
    <w:p w14:paraId="0836B16E" w14:textId="77777777" w:rsidR="00B77CA6" w:rsidRDefault="00D87684">
      <w:pPr>
        <w:autoSpaceDE w:val="0"/>
        <w:autoSpaceDN w:val="0"/>
        <w:adjustRightInd w:val="0"/>
        <w:contextualSpacing/>
        <w:jc w:val="both"/>
        <w:rPr>
          <w:rFonts w:ascii="Arial" w:hAnsi="Arial" w:cs="Arial"/>
          <w:iCs/>
          <w:sz w:val="20"/>
          <w:szCs w:val="20"/>
        </w:rPr>
      </w:pPr>
      <w:r>
        <w:rPr>
          <w:rFonts w:ascii="Arial" w:hAnsi="Arial" w:cs="Arial"/>
          <w:iCs/>
          <w:sz w:val="20"/>
          <w:szCs w:val="20"/>
          <w:lang w:val="en-US"/>
        </w:rPr>
        <w:t xml:space="preserve">In our test, sequentially ordered progressions of doses were orally administered to the animals at 48-hour intervals. The animals were divided into 2 groups of 12 female rats each; the first group (group 1) received distilled water and served as the control group. The second (group 2) received incremental doses of the </w:t>
      </w:r>
      <w:r>
        <w:rPr>
          <w:rFonts w:ascii="Arial" w:hAnsi="Arial" w:cs="Arial"/>
          <w:i/>
          <w:iCs/>
          <w:sz w:val="20"/>
          <w:szCs w:val="20"/>
          <w:lang w:val="en-US"/>
        </w:rPr>
        <w:t>Carpobrotus edulis</w:t>
      </w:r>
      <w:r>
        <w:rPr>
          <w:rFonts w:ascii="Arial" w:hAnsi="Arial" w:cs="Arial"/>
          <w:iCs/>
          <w:sz w:val="20"/>
          <w:szCs w:val="20"/>
          <w:lang w:val="en-US"/>
        </w:rPr>
        <w:t xml:space="preserve"> solution. The selected animals were marked to facilitate individual identification. The experimental animals were fasted for 18 hours with water before dosing. Initial starting doses were chosen based on related toxicological studies. The first animal received a dose of 250mg/kg body weight, which was below a randomly selected estimated LD50. When animals survived the dose, the next dose was doubled, subject to our observations of the test animals over 48 hours. The </w:t>
      </w:r>
      <w:r>
        <w:rPr>
          <w:rFonts w:ascii="Arial" w:hAnsi="Arial" w:cs="Arial"/>
          <w:i/>
          <w:iCs/>
          <w:sz w:val="20"/>
          <w:szCs w:val="20"/>
          <w:lang w:val="en-US"/>
        </w:rPr>
        <w:t xml:space="preserve">Carpobrotus edulis </w:t>
      </w:r>
      <w:r>
        <w:rPr>
          <w:rFonts w:ascii="Arial" w:hAnsi="Arial" w:cs="Arial"/>
          <w:iCs/>
          <w:sz w:val="20"/>
          <w:szCs w:val="20"/>
          <w:lang w:val="en-US"/>
        </w:rPr>
        <w:t>was orally gavaged in a water solution in 4 different sets of doses of: 250, 500, 1000 and 2000 mg/kg  body weight. The female rats were observed by a veterinary specialist for morbidity and mortality twice daily. In the absence of mortality, the rats were observed for any visible changes and clinical signs and symptoms of toxicity every 1 hour, up to 12 hours on day 1, and thereafter, once daily up to a maximum of 14 days. The animals were also weighed daily up to a maximum of 21 days.</w:t>
      </w:r>
    </w:p>
    <w:p w14:paraId="35417B04" w14:textId="77777777" w:rsidR="00B77CA6" w:rsidRPr="008A4E15" w:rsidRDefault="00D87684">
      <w:pPr>
        <w:pStyle w:val="Heading1"/>
        <w:rPr>
          <w:rFonts w:ascii="Arial" w:hAnsi="Arial" w:cs="Arial"/>
          <w:sz w:val="24"/>
          <w:szCs w:val="24"/>
        </w:rPr>
      </w:pPr>
      <w:r w:rsidRPr="008A4E15">
        <w:rPr>
          <w:rFonts w:ascii="Arial" w:hAnsi="Arial" w:cs="Arial"/>
          <w:sz w:val="24"/>
          <w:szCs w:val="24"/>
        </w:rPr>
        <w:t>Results and discussion</w:t>
      </w:r>
    </w:p>
    <w:p w14:paraId="2C1908D1" w14:textId="77777777" w:rsidR="00B77CA6" w:rsidRDefault="00B77CA6">
      <w:pPr>
        <w:rPr>
          <w:rFonts w:ascii="Arial" w:hAnsi="Arial" w:cs="Arial"/>
          <w:sz w:val="20"/>
          <w:szCs w:val="20"/>
        </w:rPr>
      </w:pPr>
    </w:p>
    <w:p w14:paraId="577414E3" w14:textId="77777777" w:rsidR="00B77CA6" w:rsidRPr="008A4E15" w:rsidRDefault="00D87684">
      <w:pPr>
        <w:pStyle w:val="Heading2"/>
        <w:rPr>
          <w:rFonts w:ascii="Arial" w:hAnsi="Arial" w:cs="Arial"/>
          <w:sz w:val="24"/>
          <w:szCs w:val="24"/>
        </w:rPr>
      </w:pPr>
      <w:r w:rsidRPr="008A4E15">
        <w:rPr>
          <w:rFonts w:ascii="Arial" w:hAnsi="Arial" w:cs="Arial"/>
          <w:sz w:val="24"/>
          <w:szCs w:val="24"/>
        </w:rPr>
        <w:t>Phytochemical screening</w:t>
      </w:r>
    </w:p>
    <w:p w14:paraId="1B5235F0" w14:textId="77777777" w:rsidR="00B77CA6" w:rsidRDefault="00B77CA6">
      <w:pPr>
        <w:rPr>
          <w:rFonts w:ascii="Arial" w:hAnsi="Arial" w:cs="Arial"/>
          <w:sz w:val="20"/>
          <w:szCs w:val="20"/>
        </w:rPr>
      </w:pPr>
    </w:p>
    <w:p w14:paraId="3BEBFA20" w14:textId="597320DB" w:rsidR="00B77CA6" w:rsidRDefault="00D87684">
      <w:pPr>
        <w:pStyle w:val="Caption"/>
        <w:rPr>
          <w:rFonts w:cs="Arial"/>
          <w:szCs w:val="20"/>
        </w:rPr>
      </w:pPr>
      <w:r>
        <w:rPr>
          <w:rFonts w:cs="Arial"/>
          <w:szCs w:val="20"/>
        </w:rPr>
        <w:t xml:space="preserve">Table </w:t>
      </w:r>
      <w:r>
        <w:rPr>
          <w:rFonts w:cs="Arial"/>
          <w:szCs w:val="20"/>
        </w:rPr>
        <w:fldChar w:fldCharType="begin"/>
      </w:r>
      <w:r>
        <w:rPr>
          <w:rFonts w:cs="Arial"/>
          <w:szCs w:val="20"/>
        </w:rPr>
        <w:instrText xml:space="preserve"> SEQ Table \* ARABIC </w:instrText>
      </w:r>
      <w:r>
        <w:rPr>
          <w:rFonts w:cs="Arial"/>
          <w:szCs w:val="20"/>
        </w:rPr>
        <w:fldChar w:fldCharType="separate"/>
      </w:r>
      <w:r w:rsidR="00031351">
        <w:rPr>
          <w:rFonts w:cs="Arial"/>
          <w:noProof/>
          <w:szCs w:val="20"/>
        </w:rPr>
        <w:t>1</w:t>
      </w:r>
      <w:r>
        <w:rPr>
          <w:rFonts w:cs="Arial"/>
          <w:szCs w:val="20"/>
        </w:rPr>
        <w:fldChar w:fldCharType="end"/>
      </w:r>
      <w:r>
        <w:rPr>
          <w:rFonts w:cs="Arial"/>
          <w:szCs w:val="20"/>
        </w:rPr>
        <w:t xml:space="preserve">: Qualitative screening of Carpobrotus edulis secondary metabolites </w:t>
      </w:r>
    </w:p>
    <w:tbl>
      <w:tblPr>
        <w:tblStyle w:val="PlainTable23"/>
        <w:tblW w:w="0" w:type="auto"/>
        <w:tblInd w:w="625" w:type="dxa"/>
        <w:tblLook w:val="04A0" w:firstRow="1" w:lastRow="0" w:firstColumn="1" w:lastColumn="0" w:noHBand="0" w:noVBand="1"/>
      </w:tblPr>
      <w:tblGrid>
        <w:gridCol w:w="2405"/>
        <w:gridCol w:w="2552"/>
        <w:gridCol w:w="2835"/>
      </w:tblGrid>
      <w:tr w:rsidR="00B77CA6" w:rsidRPr="008B603D" w14:paraId="314378B4" w14:textId="77777777" w:rsidTr="00B77C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right w:val="nil"/>
            </w:tcBorders>
            <w:shd w:val="clear" w:color="auto" w:fill="767171"/>
          </w:tcPr>
          <w:p w14:paraId="66E77178" w14:textId="77777777" w:rsidR="00B77CA6" w:rsidRPr="008B603D" w:rsidRDefault="00D87684">
            <w:pPr>
              <w:contextualSpacing/>
              <w:jc w:val="center"/>
              <w:rPr>
                <w:rFonts w:ascii="Arial" w:hAnsi="Arial" w:cs="Arial"/>
                <w:sz w:val="18"/>
                <w:szCs w:val="18"/>
              </w:rPr>
            </w:pPr>
            <w:r w:rsidRPr="008B603D">
              <w:rPr>
                <w:rFonts w:ascii="Arial" w:hAnsi="Arial" w:cs="Arial"/>
                <w:sz w:val="18"/>
                <w:szCs w:val="18"/>
              </w:rPr>
              <w:lastRenderedPageBreak/>
              <w:t>Test</w:t>
            </w:r>
          </w:p>
        </w:tc>
        <w:tc>
          <w:tcPr>
            <w:tcW w:w="2552" w:type="dxa"/>
            <w:tcBorders>
              <w:top w:val="single" w:sz="4" w:space="0" w:color="7E7E7E"/>
              <w:left w:val="nil"/>
              <w:right w:val="nil"/>
            </w:tcBorders>
            <w:shd w:val="clear" w:color="auto" w:fill="767171"/>
          </w:tcPr>
          <w:p w14:paraId="57F8EC3F" w14:textId="77777777" w:rsidR="00B77CA6" w:rsidRPr="008B603D" w:rsidRDefault="00D87684">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Presence in hydro-ethanolic extract</w:t>
            </w:r>
          </w:p>
        </w:tc>
        <w:tc>
          <w:tcPr>
            <w:tcW w:w="2835" w:type="dxa"/>
            <w:tcBorders>
              <w:top w:val="single" w:sz="4" w:space="0" w:color="7E7E7E"/>
              <w:left w:val="nil"/>
              <w:right w:val="nil"/>
            </w:tcBorders>
            <w:shd w:val="clear" w:color="auto" w:fill="767171"/>
          </w:tcPr>
          <w:p w14:paraId="038C1D0F" w14:textId="77777777" w:rsidR="00B77CA6" w:rsidRPr="008B603D" w:rsidRDefault="00D87684">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Presence in distilled water extract</w:t>
            </w:r>
          </w:p>
        </w:tc>
      </w:tr>
      <w:tr w:rsidR="00B77CA6" w:rsidRPr="008B603D" w14:paraId="0E64A953"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047A6A56"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Phenols</w:t>
            </w:r>
          </w:p>
        </w:tc>
        <w:tc>
          <w:tcPr>
            <w:tcW w:w="2552" w:type="dxa"/>
            <w:tcBorders>
              <w:top w:val="single" w:sz="4" w:space="0" w:color="7E7E7E"/>
              <w:left w:val="nil"/>
              <w:bottom w:val="single" w:sz="4" w:space="0" w:color="7E7E7E"/>
              <w:right w:val="nil"/>
            </w:tcBorders>
          </w:tcPr>
          <w:p w14:paraId="674E09A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single" w:sz="4" w:space="0" w:color="7E7E7E"/>
              <w:left w:val="nil"/>
              <w:bottom w:val="single" w:sz="4" w:space="0" w:color="7E7E7E"/>
              <w:right w:val="nil"/>
            </w:tcBorders>
          </w:tcPr>
          <w:p w14:paraId="37D55683"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0AD6132C"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46C07E70"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Flavonoids</w:t>
            </w:r>
          </w:p>
        </w:tc>
        <w:tc>
          <w:tcPr>
            <w:tcW w:w="2552" w:type="dxa"/>
            <w:tcBorders>
              <w:top w:val="nil"/>
              <w:left w:val="nil"/>
              <w:bottom w:val="nil"/>
              <w:right w:val="nil"/>
            </w:tcBorders>
          </w:tcPr>
          <w:p w14:paraId="61BF6BBF"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nil"/>
              <w:left w:val="nil"/>
              <w:bottom w:val="nil"/>
              <w:right w:val="nil"/>
            </w:tcBorders>
          </w:tcPr>
          <w:p w14:paraId="07956F2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4B113412"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51AA36F4"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Anthraquinones</w:t>
            </w:r>
          </w:p>
        </w:tc>
        <w:tc>
          <w:tcPr>
            <w:tcW w:w="2552" w:type="dxa"/>
            <w:tcBorders>
              <w:top w:val="single" w:sz="4" w:space="0" w:color="7E7E7E"/>
              <w:left w:val="nil"/>
              <w:bottom w:val="single" w:sz="4" w:space="0" w:color="7E7E7E"/>
              <w:right w:val="nil"/>
            </w:tcBorders>
          </w:tcPr>
          <w:p w14:paraId="0A0B22C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single" w:sz="4" w:space="0" w:color="7E7E7E"/>
              <w:left w:val="nil"/>
              <w:bottom w:val="single" w:sz="4" w:space="0" w:color="7E7E7E"/>
              <w:right w:val="nil"/>
            </w:tcBorders>
          </w:tcPr>
          <w:p w14:paraId="68421AF6"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4B2B0236"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6E07752C"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Alkaloids</w:t>
            </w:r>
          </w:p>
        </w:tc>
        <w:tc>
          <w:tcPr>
            <w:tcW w:w="2552" w:type="dxa"/>
            <w:tcBorders>
              <w:top w:val="nil"/>
              <w:left w:val="nil"/>
              <w:bottom w:val="nil"/>
              <w:right w:val="nil"/>
            </w:tcBorders>
          </w:tcPr>
          <w:p w14:paraId="2F2702A2"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nil"/>
              <w:left w:val="nil"/>
              <w:bottom w:val="nil"/>
              <w:right w:val="nil"/>
            </w:tcBorders>
          </w:tcPr>
          <w:p w14:paraId="069CDF31"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3A721541"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4C00C049"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Terpenoids</w:t>
            </w:r>
          </w:p>
        </w:tc>
        <w:tc>
          <w:tcPr>
            <w:tcW w:w="2552" w:type="dxa"/>
            <w:tcBorders>
              <w:top w:val="single" w:sz="4" w:space="0" w:color="7E7E7E"/>
              <w:left w:val="nil"/>
              <w:bottom w:val="single" w:sz="4" w:space="0" w:color="7E7E7E"/>
              <w:right w:val="nil"/>
            </w:tcBorders>
          </w:tcPr>
          <w:p w14:paraId="53DD9539"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single" w:sz="4" w:space="0" w:color="7E7E7E"/>
              <w:left w:val="nil"/>
              <w:bottom w:val="single" w:sz="4" w:space="0" w:color="7E7E7E"/>
              <w:right w:val="nil"/>
            </w:tcBorders>
          </w:tcPr>
          <w:p w14:paraId="76B28A57"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4C05C208"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45A63CF3"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Saponins</w:t>
            </w:r>
          </w:p>
        </w:tc>
        <w:tc>
          <w:tcPr>
            <w:tcW w:w="2552" w:type="dxa"/>
            <w:tcBorders>
              <w:top w:val="nil"/>
              <w:left w:val="nil"/>
              <w:bottom w:val="nil"/>
              <w:right w:val="nil"/>
            </w:tcBorders>
          </w:tcPr>
          <w:p w14:paraId="157D040E"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nil"/>
              <w:left w:val="nil"/>
              <w:bottom w:val="nil"/>
              <w:right w:val="nil"/>
            </w:tcBorders>
          </w:tcPr>
          <w:p w14:paraId="78115563"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41AB224F"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13F18B8B"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Glycosides</w:t>
            </w:r>
          </w:p>
        </w:tc>
        <w:tc>
          <w:tcPr>
            <w:tcW w:w="2552" w:type="dxa"/>
            <w:tcBorders>
              <w:top w:val="single" w:sz="4" w:space="0" w:color="7E7E7E"/>
              <w:left w:val="nil"/>
              <w:bottom w:val="single" w:sz="4" w:space="0" w:color="7E7E7E"/>
              <w:right w:val="nil"/>
            </w:tcBorders>
          </w:tcPr>
          <w:p w14:paraId="348316C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single" w:sz="4" w:space="0" w:color="7E7E7E"/>
              <w:left w:val="nil"/>
              <w:bottom w:val="single" w:sz="4" w:space="0" w:color="7E7E7E"/>
              <w:right w:val="nil"/>
            </w:tcBorders>
          </w:tcPr>
          <w:p w14:paraId="240DD4D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3FC06727"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5D50013F"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Tannins</w:t>
            </w:r>
          </w:p>
        </w:tc>
        <w:tc>
          <w:tcPr>
            <w:tcW w:w="2552" w:type="dxa"/>
            <w:tcBorders>
              <w:top w:val="nil"/>
              <w:left w:val="nil"/>
              <w:bottom w:val="nil"/>
              <w:right w:val="nil"/>
            </w:tcBorders>
          </w:tcPr>
          <w:p w14:paraId="614CB1D7"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nil"/>
              <w:left w:val="nil"/>
              <w:bottom w:val="nil"/>
              <w:right w:val="nil"/>
            </w:tcBorders>
          </w:tcPr>
          <w:p w14:paraId="564F6AC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3829DE43"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53421D9B"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Proanthocyanidins</w:t>
            </w:r>
          </w:p>
        </w:tc>
        <w:tc>
          <w:tcPr>
            <w:tcW w:w="2552" w:type="dxa"/>
            <w:tcBorders>
              <w:top w:val="single" w:sz="4" w:space="0" w:color="7E7E7E"/>
              <w:left w:val="nil"/>
              <w:bottom w:val="single" w:sz="4" w:space="0" w:color="7E7E7E"/>
              <w:right w:val="nil"/>
            </w:tcBorders>
          </w:tcPr>
          <w:p w14:paraId="2A76A65E" w14:textId="77777777" w:rsidR="00B77CA6" w:rsidRPr="008B603D" w:rsidRDefault="00B77CA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835" w:type="dxa"/>
            <w:tcBorders>
              <w:top w:val="single" w:sz="4" w:space="0" w:color="7E7E7E"/>
              <w:left w:val="nil"/>
              <w:bottom w:val="single" w:sz="4" w:space="0" w:color="7E7E7E"/>
              <w:right w:val="nil"/>
            </w:tcBorders>
          </w:tcPr>
          <w:p w14:paraId="24D91C92" w14:textId="77777777" w:rsidR="00B77CA6" w:rsidRPr="008B603D" w:rsidRDefault="00B77CA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39408649" w14:textId="77777777" w:rsidR="00B77CA6" w:rsidRPr="008B603D" w:rsidRDefault="00D87684">
      <w:pPr>
        <w:contextualSpacing/>
        <w:rPr>
          <w:rFonts w:ascii="Arial" w:hAnsi="Arial" w:cs="Arial"/>
          <w:i/>
          <w:sz w:val="18"/>
          <w:szCs w:val="18"/>
        </w:rPr>
      </w:pPr>
      <w:r w:rsidRPr="008B603D">
        <w:rPr>
          <w:rFonts w:ascii="Arial" w:hAnsi="Arial" w:cs="Arial"/>
          <w:i/>
          <w:sz w:val="18"/>
          <w:szCs w:val="18"/>
        </w:rPr>
        <w:t xml:space="preserve">(-): Indicates the absence of the phytochemical </w:t>
      </w:r>
    </w:p>
    <w:p w14:paraId="7B6C5F1B" w14:textId="77777777" w:rsidR="00B77CA6" w:rsidRPr="008B603D" w:rsidRDefault="00D87684">
      <w:pPr>
        <w:contextualSpacing/>
        <w:rPr>
          <w:rFonts w:ascii="Arial" w:hAnsi="Arial" w:cs="Arial"/>
          <w:i/>
          <w:sz w:val="18"/>
          <w:szCs w:val="18"/>
        </w:rPr>
      </w:pPr>
      <w:r w:rsidRPr="008B603D">
        <w:rPr>
          <w:rFonts w:ascii="Arial" w:hAnsi="Arial" w:cs="Arial"/>
          <w:i/>
          <w:sz w:val="18"/>
          <w:szCs w:val="18"/>
        </w:rPr>
        <w:t xml:space="preserve"> (+): Indicates the presence of the phytochemical </w:t>
      </w:r>
    </w:p>
    <w:p w14:paraId="07897EAE" w14:textId="77777777" w:rsidR="00B77CA6" w:rsidRPr="008B603D" w:rsidRDefault="00D87684">
      <w:pPr>
        <w:contextualSpacing/>
        <w:rPr>
          <w:rFonts w:ascii="Arial" w:hAnsi="Arial" w:cs="Arial"/>
          <w:i/>
          <w:sz w:val="18"/>
          <w:szCs w:val="18"/>
        </w:rPr>
      </w:pPr>
      <w:r w:rsidRPr="008B603D">
        <w:rPr>
          <w:rFonts w:ascii="Arial" w:hAnsi="Arial" w:cs="Arial"/>
          <w:i/>
          <w:sz w:val="18"/>
          <w:szCs w:val="18"/>
        </w:rPr>
        <w:t>(++): Indicates moderate presence of the phytochemical</w:t>
      </w:r>
    </w:p>
    <w:p w14:paraId="40CD9408" w14:textId="77777777" w:rsidR="00B77CA6" w:rsidRPr="008B603D" w:rsidRDefault="00D87684">
      <w:pPr>
        <w:contextualSpacing/>
        <w:rPr>
          <w:rFonts w:ascii="Arial" w:hAnsi="Arial" w:cs="Arial"/>
          <w:i/>
          <w:sz w:val="18"/>
          <w:szCs w:val="18"/>
        </w:rPr>
      </w:pPr>
      <w:r w:rsidRPr="008B603D">
        <w:rPr>
          <w:rFonts w:ascii="Arial" w:hAnsi="Arial" w:cs="Arial"/>
          <w:i/>
          <w:sz w:val="18"/>
          <w:szCs w:val="18"/>
        </w:rPr>
        <w:t xml:space="preserve">(+++): Indicates strong presence of the phytochemical </w:t>
      </w:r>
    </w:p>
    <w:p w14:paraId="29B4C0F0" w14:textId="77777777" w:rsidR="00B77CA6" w:rsidRDefault="00B77CA6">
      <w:pPr>
        <w:contextualSpacing/>
        <w:rPr>
          <w:rFonts w:ascii="Arial" w:hAnsi="Arial" w:cs="Arial"/>
          <w:i/>
          <w:sz w:val="20"/>
          <w:szCs w:val="20"/>
        </w:rPr>
      </w:pPr>
    </w:p>
    <w:p w14:paraId="165A7C59" w14:textId="77777777" w:rsidR="00B77CA6" w:rsidRDefault="00D87684">
      <w:pPr>
        <w:contextualSpacing/>
        <w:jc w:val="both"/>
        <w:rPr>
          <w:rFonts w:ascii="Arial" w:hAnsi="Arial" w:cs="Arial"/>
          <w:sz w:val="20"/>
          <w:szCs w:val="20"/>
        </w:rPr>
      </w:pPr>
      <w:r>
        <w:rPr>
          <w:rFonts w:ascii="Arial" w:hAnsi="Arial" w:cs="Arial"/>
          <w:sz w:val="20"/>
          <w:szCs w:val="20"/>
        </w:rPr>
        <w:t xml:space="preserve">From the phytochemical screening protocols, our investigations confirmed the abundance of primary and secondary metabolites of biomedical relevance to tonsillitis (Table 1). </w:t>
      </w:r>
      <w:r>
        <w:rPr>
          <w:rFonts w:ascii="Arial" w:hAnsi="Arial" w:cs="Arial"/>
          <w:sz w:val="20"/>
          <w:szCs w:val="20"/>
          <w:lang w:val="en-US"/>
        </w:rPr>
        <w:t xml:space="preserve">In the ethanolic extract, flavonoids, anthraquinones and terpenoids were found to be especially abundant, giving this extract stronger antimicrobial and anti-inflammatory potential. The aqueous extract is particularly rich in flavonoids and tannins. </w:t>
      </w:r>
      <w:r>
        <w:rPr>
          <w:rFonts w:ascii="Arial" w:hAnsi="Arial" w:cs="Arial"/>
          <w:sz w:val="20"/>
          <w:szCs w:val="20"/>
        </w:rPr>
        <w:t xml:space="preserve">These results correlate with studies by </w:t>
      </w:r>
      <w:r>
        <w:rPr>
          <w:rFonts w:ascii="Arial" w:hAnsi="Arial" w:cs="Arial"/>
          <w:sz w:val="20"/>
          <w:szCs w:val="20"/>
          <w:lang w:val="en-US"/>
        </w:rPr>
        <w:t>Mudimba and Nguta et al</w:t>
      </w:r>
      <w:r>
        <w:rPr>
          <w:rFonts w:ascii="Arial" w:hAnsi="Arial" w:cs="Arial"/>
          <w:sz w:val="20"/>
          <w:szCs w:val="20"/>
        </w:rPr>
        <w:t xml:space="preserve">, who identified tannins, flavonoids, </w:t>
      </w:r>
      <w:r>
        <w:rPr>
          <w:rFonts w:ascii="Arial" w:hAnsi="Arial" w:cs="Arial"/>
          <w:sz w:val="20"/>
          <w:szCs w:val="20"/>
          <w:lang w:val="en-US"/>
        </w:rPr>
        <w:t>glycosides</w:t>
      </w:r>
      <w:r>
        <w:rPr>
          <w:rFonts w:ascii="Arial" w:hAnsi="Arial" w:cs="Arial"/>
          <w:sz w:val="20"/>
          <w:szCs w:val="20"/>
        </w:rPr>
        <w:t>, phen</w:t>
      </w:r>
      <w:r>
        <w:rPr>
          <w:rFonts w:ascii="Arial" w:hAnsi="Arial" w:cs="Arial"/>
          <w:sz w:val="20"/>
          <w:szCs w:val="20"/>
          <w:lang w:val="en-US"/>
        </w:rPr>
        <w:t xml:space="preserve">ols, </w:t>
      </w:r>
      <w:r>
        <w:rPr>
          <w:rFonts w:ascii="Arial" w:hAnsi="Arial" w:cs="Arial"/>
          <w:sz w:val="20"/>
          <w:szCs w:val="20"/>
        </w:rPr>
        <w:t xml:space="preserve">and </w:t>
      </w:r>
      <w:r>
        <w:rPr>
          <w:rFonts w:ascii="Arial" w:hAnsi="Arial" w:cs="Arial"/>
          <w:sz w:val="20"/>
          <w:szCs w:val="20"/>
          <w:lang w:val="en-US"/>
        </w:rPr>
        <w:t xml:space="preserve">saponins </w:t>
      </w:r>
      <w:r>
        <w:rPr>
          <w:rFonts w:ascii="Arial" w:hAnsi="Arial" w:cs="Arial"/>
          <w:sz w:val="20"/>
          <w:szCs w:val="20"/>
        </w:rPr>
        <w:t xml:space="preserve">among other compounds in </w:t>
      </w:r>
      <w:r>
        <w:rPr>
          <w:rFonts w:ascii="Arial" w:hAnsi="Arial" w:cs="Arial"/>
          <w:i/>
          <w:iCs/>
          <w:sz w:val="20"/>
          <w:szCs w:val="20"/>
        </w:rPr>
        <w:t>Carpobrotus edulis</w:t>
      </w:r>
      <w:r>
        <w:rPr>
          <w:rFonts w:ascii="Arial" w:hAnsi="Arial" w:cs="Arial"/>
          <w:sz w:val="20"/>
          <w:szCs w:val="20"/>
        </w:rPr>
        <w:t>.</w:t>
      </w:r>
      <w:bookmarkStart w:id="3" w:name="Conclusion_and_Future_Prospects"/>
      <w:bookmarkStart w:id="4" w:name="Other_Effects"/>
      <w:bookmarkStart w:id="5" w:name="4.5_Identification_of_phytocompounds_in_"/>
      <w:bookmarkStart w:id="6" w:name="4.4.1_Total_protein_content_antioxidant_"/>
      <w:bookmarkEnd w:id="3"/>
      <w:bookmarkEnd w:id="4"/>
      <w:bookmarkEnd w:id="5"/>
      <w:bookmarkEnd w:id="6"/>
      <w:r>
        <w:rPr>
          <w:rFonts w:ascii="Arial" w:hAnsi="Arial" w:cs="Arial"/>
          <w:sz w:val="20"/>
          <w:szCs w:val="20"/>
          <w:lang w:val="en-US"/>
        </w:rPr>
        <w:t xml:space="preserve"> </w:t>
      </w:r>
      <w:r>
        <w:rPr>
          <w:rFonts w:ascii="Arial" w:hAnsi="Arial" w:cs="Arial"/>
          <w:sz w:val="20"/>
          <w:szCs w:val="20"/>
        </w:rPr>
        <w:t xml:space="preserve">This proliferation of medically relevant phytoconstituents validates the numerous uses of the plant in traditional medical practice in general, and the management of </w:t>
      </w:r>
      <w:r>
        <w:rPr>
          <w:rFonts w:ascii="Arial" w:hAnsi="Arial" w:cs="Arial"/>
          <w:sz w:val="20"/>
          <w:szCs w:val="20"/>
          <w:lang w:val="en-US"/>
        </w:rPr>
        <w:t xml:space="preserve">tonsillitis </w:t>
      </w:r>
      <w:r>
        <w:rPr>
          <w:rFonts w:ascii="Arial" w:hAnsi="Arial" w:cs="Arial"/>
          <w:sz w:val="20"/>
          <w:szCs w:val="20"/>
        </w:rPr>
        <w:t>in particular.</w:t>
      </w:r>
    </w:p>
    <w:p w14:paraId="28612EE9" w14:textId="77777777" w:rsidR="00B77CA6" w:rsidRDefault="00B77CA6">
      <w:pPr>
        <w:rPr>
          <w:rFonts w:ascii="Arial" w:hAnsi="Arial" w:cs="Arial"/>
          <w:color w:val="FF0000"/>
          <w:sz w:val="20"/>
          <w:szCs w:val="20"/>
          <w:lang w:val="en-US"/>
        </w:rPr>
      </w:pPr>
    </w:p>
    <w:p w14:paraId="33516C8C" w14:textId="77777777" w:rsidR="00B77CA6" w:rsidRDefault="00D87684">
      <w:pPr>
        <w:rPr>
          <w:rFonts w:ascii="Arial" w:hAnsi="Arial" w:cs="Arial"/>
          <w:sz w:val="20"/>
          <w:szCs w:val="20"/>
        </w:rPr>
      </w:pPr>
      <w:r>
        <w:rPr>
          <w:rFonts w:ascii="Arial" w:hAnsi="Arial" w:cs="Arial"/>
          <w:sz w:val="20"/>
          <w:szCs w:val="20"/>
        </w:rPr>
        <w:t xml:space="preserve">              </w:t>
      </w:r>
    </w:p>
    <w:p w14:paraId="55BE10C6" w14:textId="77777777" w:rsidR="00B77CA6" w:rsidRPr="008A4E15" w:rsidRDefault="00D87684">
      <w:pPr>
        <w:pStyle w:val="Heading2"/>
        <w:rPr>
          <w:rFonts w:ascii="Arial" w:hAnsi="Arial" w:cs="Arial"/>
          <w:sz w:val="24"/>
          <w:szCs w:val="24"/>
        </w:rPr>
      </w:pPr>
      <w:r w:rsidRPr="008A4E15">
        <w:rPr>
          <w:rFonts w:ascii="Arial" w:hAnsi="Arial" w:cs="Arial"/>
          <w:sz w:val="24"/>
          <w:szCs w:val="24"/>
        </w:rPr>
        <w:t>Anti-inflammatory tests</w:t>
      </w:r>
    </w:p>
    <w:p w14:paraId="77965491" w14:textId="77777777" w:rsidR="00B77CA6" w:rsidRDefault="00B77CA6">
      <w:pPr>
        <w:rPr>
          <w:rFonts w:ascii="Arial" w:hAnsi="Arial" w:cs="Arial"/>
          <w:sz w:val="20"/>
          <w:szCs w:val="20"/>
        </w:rPr>
      </w:pPr>
    </w:p>
    <w:p w14:paraId="5D373A4E" w14:textId="670CCABF" w:rsidR="00B77CA6" w:rsidRDefault="00D87684">
      <w:pPr>
        <w:pStyle w:val="Caption"/>
        <w:rPr>
          <w:rFonts w:cs="Arial"/>
          <w:szCs w:val="20"/>
        </w:rPr>
      </w:pPr>
      <w:r>
        <w:rPr>
          <w:rFonts w:cs="Arial"/>
          <w:szCs w:val="20"/>
        </w:rPr>
        <w:t xml:space="preserve">Table </w:t>
      </w:r>
      <w:r>
        <w:rPr>
          <w:rFonts w:cs="Arial"/>
          <w:szCs w:val="20"/>
        </w:rPr>
        <w:fldChar w:fldCharType="begin"/>
      </w:r>
      <w:r>
        <w:rPr>
          <w:rFonts w:cs="Arial"/>
          <w:szCs w:val="20"/>
        </w:rPr>
        <w:instrText xml:space="preserve"> SEQ Table \* ARABIC </w:instrText>
      </w:r>
      <w:r>
        <w:rPr>
          <w:rFonts w:cs="Arial"/>
          <w:szCs w:val="20"/>
        </w:rPr>
        <w:fldChar w:fldCharType="separate"/>
      </w:r>
      <w:r w:rsidR="00031351">
        <w:rPr>
          <w:rFonts w:cs="Arial"/>
          <w:noProof/>
          <w:szCs w:val="20"/>
        </w:rPr>
        <w:t>2</w:t>
      </w:r>
      <w:r>
        <w:rPr>
          <w:rFonts w:cs="Arial"/>
          <w:szCs w:val="20"/>
        </w:rPr>
        <w:fldChar w:fldCharType="end"/>
      </w:r>
      <w:r>
        <w:rPr>
          <w:rFonts w:cs="Arial"/>
          <w:szCs w:val="20"/>
        </w:rPr>
        <w:t>: Anti-inflammatory activity of lyophilized Carpobrotus edulis extracts</w:t>
      </w:r>
    </w:p>
    <w:tbl>
      <w:tblPr>
        <w:tblStyle w:val="ListTable21"/>
        <w:tblW w:w="7083" w:type="dxa"/>
        <w:tblInd w:w="979" w:type="dxa"/>
        <w:tblLook w:val="04A0" w:firstRow="1" w:lastRow="0" w:firstColumn="1" w:lastColumn="0" w:noHBand="0" w:noVBand="1"/>
      </w:tblPr>
      <w:tblGrid>
        <w:gridCol w:w="1765"/>
        <w:gridCol w:w="2766"/>
        <w:gridCol w:w="2552"/>
      </w:tblGrid>
      <w:tr w:rsidR="00B77CA6" w14:paraId="4BA07A49" w14:textId="77777777" w:rsidTr="00B77CA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65" w:type="dxa"/>
            <w:tcBorders>
              <w:bottom w:val="single" w:sz="4" w:space="0" w:color="666666"/>
            </w:tcBorders>
            <w:shd w:val="clear" w:color="auto" w:fill="E7E6E6"/>
            <w:noWrap/>
          </w:tcPr>
          <w:p w14:paraId="2AC4B773"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Concentration</w:t>
            </w:r>
          </w:p>
        </w:tc>
        <w:tc>
          <w:tcPr>
            <w:tcW w:w="2766" w:type="dxa"/>
            <w:tcBorders>
              <w:bottom w:val="single" w:sz="4" w:space="0" w:color="666666"/>
            </w:tcBorders>
            <w:shd w:val="clear" w:color="auto" w:fill="E7E6E6"/>
            <w:noWrap/>
          </w:tcPr>
          <w:p w14:paraId="57BE8CF2" w14:textId="77777777" w:rsidR="00B77CA6" w:rsidRPr="008B603D" w:rsidRDefault="00D87684">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 xml:space="preserve">% Inhibition </w:t>
            </w:r>
          </w:p>
        </w:tc>
        <w:tc>
          <w:tcPr>
            <w:tcW w:w="2552" w:type="dxa"/>
            <w:tcBorders>
              <w:bottom w:val="single" w:sz="4" w:space="0" w:color="666666"/>
            </w:tcBorders>
            <w:shd w:val="clear" w:color="auto" w:fill="E7E6E6"/>
            <w:noWrap/>
          </w:tcPr>
          <w:p w14:paraId="4431F568" w14:textId="77777777" w:rsidR="00B77CA6" w:rsidRPr="008B603D" w:rsidRDefault="00D87684">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 xml:space="preserve">% Inhibition </w:t>
            </w:r>
          </w:p>
        </w:tc>
      </w:tr>
      <w:tr w:rsidR="00B77CA6" w14:paraId="0E0CC01C"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shd w:val="clear" w:color="auto" w:fill="E7E6E6"/>
            <w:noWrap/>
          </w:tcPr>
          <w:p w14:paraId="668024C0"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 xml:space="preserve"> µg/ml</w:t>
            </w:r>
          </w:p>
        </w:tc>
        <w:tc>
          <w:tcPr>
            <w:tcW w:w="2766" w:type="dxa"/>
            <w:shd w:val="clear" w:color="auto" w:fill="E7E6E6"/>
            <w:noWrap/>
          </w:tcPr>
          <w:p w14:paraId="5D0EB89C"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8B603D">
              <w:rPr>
                <w:rFonts w:ascii="Arial" w:hAnsi="Arial" w:cs="Arial"/>
                <w:b/>
                <w:i/>
                <w:iCs/>
                <w:color w:val="000000"/>
                <w:sz w:val="18"/>
                <w:szCs w:val="18"/>
              </w:rPr>
              <w:t>Carpobrotus edulis</w:t>
            </w:r>
            <w:r w:rsidRPr="008B603D">
              <w:rPr>
                <w:rFonts w:ascii="Arial" w:hAnsi="Arial" w:cs="Arial"/>
                <w:b/>
                <w:color w:val="000000"/>
                <w:sz w:val="18"/>
                <w:szCs w:val="18"/>
              </w:rPr>
              <w:t xml:space="preserve"> hydroethanolic extract</w:t>
            </w:r>
          </w:p>
        </w:tc>
        <w:tc>
          <w:tcPr>
            <w:tcW w:w="2552" w:type="dxa"/>
            <w:shd w:val="clear" w:color="auto" w:fill="E7E6E6"/>
            <w:noWrap/>
          </w:tcPr>
          <w:p w14:paraId="18CD10DD"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8B603D">
              <w:rPr>
                <w:rFonts w:ascii="Arial" w:hAnsi="Arial" w:cs="Arial"/>
                <w:b/>
                <w:color w:val="000000"/>
                <w:sz w:val="18"/>
                <w:szCs w:val="18"/>
              </w:rPr>
              <w:t>Diclofenac (standard)</w:t>
            </w:r>
          </w:p>
        </w:tc>
      </w:tr>
      <w:tr w:rsidR="00B77CA6" w14:paraId="0C0E8C58"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1A32B323"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250</w:t>
            </w:r>
          </w:p>
        </w:tc>
        <w:tc>
          <w:tcPr>
            <w:tcW w:w="2766" w:type="dxa"/>
            <w:noWrap/>
          </w:tcPr>
          <w:p w14:paraId="260F0BB3"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15± 0.11</w:t>
            </w:r>
          </w:p>
        </w:tc>
        <w:tc>
          <w:tcPr>
            <w:tcW w:w="2552" w:type="dxa"/>
            <w:noWrap/>
          </w:tcPr>
          <w:p w14:paraId="2A409E8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39±0.84</w:t>
            </w:r>
          </w:p>
        </w:tc>
      </w:tr>
      <w:tr w:rsidR="00B77CA6" w14:paraId="513B9441"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252AC3A4"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500</w:t>
            </w:r>
          </w:p>
        </w:tc>
        <w:tc>
          <w:tcPr>
            <w:tcW w:w="2766" w:type="dxa"/>
            <w:noWrap/>
          </w:tcPr>
          <w:p w14:paraId="74A042D7"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27.3±0.18</w:t>
            </w:r>
          </w:p>
        </w:tc>
        <w:tc>
          <w:tcPr>
            <w:tcW w:w="2552" w:type="dxa"/>
            <w:noWrap/>
          </w:tcPr>
          <w:p w14:paraId="43313142"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65.1±1.78</w:t>
            </w:r>
          </w:p>
        </w:tc>
      </w:tr>
      <w:tr w:rsidR="00B77CA6" w14:paraId="04979AB2"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75B3754D"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1000</w:t>
            </w:r>
          </w:p>
        </w:tc>
        <w:tc>
          <w:tcPr>
            <w:tcW w:w="2766" w:type="dxa"/>
            <w:noWrap/>
          </w:tcPr>
          <w:p w14:paraId="00A7F633"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41.8±0.29</w:t>
            </w:r>
          </w:p>
        </w:tc>
        <w:tc>
          <w:tcPr>
            <w:tcW w:w="2552" w:type="dxa"/>
            <w:noWrap/>
          </w:tcPr>
          <w:p w14:paraId="469CB34E"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82.6±2.44</w:t>
            </w:r>
          </w:p>
        </w:tc>
      </w:tr>
      <w:tr w:rsidR="00B77CA6" w14:paraId="1201B653"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4716580F"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2000</w:t>
            </w:r>
          </w:p>
        </w:tc>
        <w:tc>
          <w:tcPr>
            <w:tcW w:w="2766" w:type="dxa"/>
            <w:noWrap/>
          </w:tcPr>
          <w:p w14:paraId="3F3D1689"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62.5±1.42</w:t>
            </w:r>
          </w:p>
        </w:tc>
        <w:tc>
          <w:tcPr>
            <w:tcW w:w="2552" w:type="dxa"/>
            <w:noWrap/>
          </w:tcPr>
          <w:p w14:paraId="25964C81"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93.0.± 2.92</w:t>
            </w:r>
          </w:p>
        </w:tc>
      </w:tr>
      <w:tr w:rsidR="00B77CA6" w14:paraId="11F4634A"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66BC503D"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4000</w:t>
            </w:r>
          </w:p>
        </w:tc>
        <w:tc>
          <w:tcPr>
            <w:tcW w:w="2766" w:type="dxa"/>
            <w:noWrap/>
          </w:tcPr>
          <w:p w14:paraId="615F15F1"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77.9±1.65</w:t>
            </w:r>
          </w:p>
        </w:tc>
        <w:tc>
          <w:tcPr>
            <w:tcW w:w="2552" w:type="dxa"/>
            <w:noWrap/>
          </w:tcPr>
          <w:p w14:paraId="17D999F7"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Tested</w:t>
            </w:r>
          </w:p>
        </w:tc>
      </w:tr>
      <w:tr w:rsidR="00B77CA6" w14:paraId="2612F69F"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6791B717"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6000</w:t>
            </w:r>
          </w:p>
        </w:tc>
        <w:tc>
          <w:tcPr>
            <w:tcW w:w="2766" w:type="dxa"/>
            <w:noWrap/>
          </w:tcPr>
          <w:p w14:paraId="5C29E9CF"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86.7±1.98</w:t>
            </w:r>
          </w:p>
        </w:tc>
        <w:tc>
          <w:tcPr>
            <w:tcW w:w="2552" w:type="dxa"/>
            <w:noWrap/>
          </w:tcPr>
          <w:p w14:paraId="4EFB9F16"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Tested</w:t>
            </w:r>
          </w:p>
        </w:tc>
      </w:tr>
      <w:tr w:rsidR="00B77CA6" w14:paraId="122CE37E"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408BED41"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8000</w:t>
            </w:r>
          </w:p>
        </w:tc>
        <w:tc>
          <w:tcPr>
            <w:tcW w:w="2766" w:type="dxa"/>
            <w:noWrap/>
          </w:tcPr>
          <w:p w14:paraId="5319B8FE"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91.3±2.11</w:t>
            </w:r>
          </w:p>
        </w:tc>
        <w:tc>
          <w:tcPr>
            <w:tcW w:w="2552" w:type="dxa"/>
            <w:noWrap/>
          </w:tcPr>
          <w:p w14:paraId="1CDAD512"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Tested</w:t>
            </w:r>
          </w:p>
        </w:tc>
      </w:tr>
    </w:tbl>
    <w:p w14:paraId="5F2004FB" w14:textId="77777777" w:rsidR="00B77CA6" w:rsidRDefault="00B77CA6">
      <w:pPr>
        <w:rPr>
          <w:rFonts w:ascii="Arial" w:hAnsi="Arial" w:cs="Arial"/>
          <w:color w:val="FF0000"/>
          <w:sz w:val="20"/>
          <w:szCs w:val="20"/>
          <w:lang w:val="en-US"/>
        </w:rPr>
      </w:pPr>
    </w:p>
    <w:p w14:paraId="6A6BF177" w14:textId="77777777" w:rsidR="00B77CA6" w:rsidRDefault="00D87684">
      <w:pPr>
        <w:jc w:val="both"/>
        <w:rPr>
          <w:rFonts w:ascii="Arial" w:hAnsi="Arial" w:cs="Arial"/>
          <w:sz w:val="20"/>
          <w:szCs w:val="20"/>
        </w:rPr>
      </w:pPr>
      <w:r>
        <w:rPr>
          <w:rFonts w:ascii="Arial" w:hAnsi="Arial" w:cs="Arial"/>
          <w:sz w:val="20"/>
          <w:szCs w:val="20"/>
          <w:lang w:val="en-US"/>
        </w:rPr>
        <w:t xml:space="preserve">At related concentrations, the lyophilized hydroethanolic leaf extracts of </w:t>
      </w:r>
      <w:r w:rsidRPr="00245BE0">
        <w:rPr>
          <w:rFonts w:ascii="Arial" w:hAnsi="Arial" w:cs="Arial"/>
          <w:i/>
          <w:iCs/>
          <w:sz w:val="20"/>
          <w:szCs w:val="20"/>
          <w:lang w:val="en-US"/>
        </w:rPr>
        <w:t>Carpobrotus edulis</w:t>
      </w:r>
      <w:r>
        <w:rPr>
          <w:rFonts w:ascii="Arial" w:hAnsi="Arial" w:cs="Arial"/>
          <w:sz w:val="20"/>
          <w:szCs w:val="20"/>
          <w:lang w:val="en-US"/>
        </w:rPr>
        <w:t xml:space="preserve"> exhibited anti-inflammatory effects that were consistently lower than those of the standard Diclofenac, though still significant in a dose-dependent manner (Table 2). The anti-inflammatory activity of </w:t>
      </w:r>
      <w:r>
        <w:rPr>
          <w:rFonts w:ascii="Arial" w:hAnsi="Arial" w:cs="Arial"/>
          <w:i/>
          <w:iCs/>
          <w:sz w:val="20"/>
          <w:szCs w:val="20"/>
          <w:lang w:val="en-US"/>
        </w:rPr>
        <w:t>Carpobrotus edulis</w:t>
      </w:r>
      <w:r>
        <w:rPr>
          <w:rFonts w:ascii="Arial" w:hAnsi="Arial" w:cs="Arial"/>
          <w:sz w:val="20"/>
          <w:szCs w:val="20"/>
          <w:lang w:val="en-US"/>
        </w:rPr>
        <w:t xml:space="preserve"> became comparable to the lowest dose of the positive control (Diclofenac at 250 µg/mL) at approximately 900–1000 µg/mL. At 8000 µg/mL, </w:t>
      </w:r>
      <w:r>
        <w:rPr>
          <w:rFonts w:ascii="Arial" w:hAnsi="Arial" w:cs="Arial"/>
          <w:i/>
          <w:iCs/>
          <w:sz w:val="20"/>
          <w:szCs w:val="20"/>
          <w:lang w:val="en-US"/>
        </w:rPr>
        <w:t>Carpobrotus edulis</w:t>
      </w:r>
      <w:r>
        <w:rPr>
          <w:rFonts w:ascii="Arial" w:hAnsi="Arial" w:cs="Arial"/>
          <w:sz w:val="20"/>
          <w:szCs w:val="20"/>
          <w:lang w:val="en-US"/>
        </w:rPr>
        <w:t xml:space="preserve"> showed 91.3 ± 2.11% inhibition of protein denaturation, while 2000 µg/mL of Diclofenac produced 93.0 ± 2.92% inhibition, indicating that the crude extract has near-comparable activity to Diclofenac at higher concentrations. The high activity of </w:t>
      </w:r>
      <w:r>
        <w:rPr>
          <w:rFonts w:ascii="Arial" w:hAnsi="Arial" w:cs="Arial"/>
          <w:i/>
          <w:iCs/>
          <w:sz w:val="20"/>
          <w:szCs w:val="20"/>
          <w:lang w:val="en-US"/>
        </w:rPr>
        <w:t>Carpobrotus edulis</w:t>
      </w:r>
      <w:r>
        <w:rPr>
          <w:rFonts w:ascii="Arial" w:hAnsi="Arial" w:cs="Arial"/>
          <w:sz w:val="20"/>
          <w:szCs w:val="20"/>
          <w:lang w:val="en-US"/>
        </w:rPr>
        <w:t xml:space="preserve"> at 8000 µg/mL, despite being in crude form, suggests that the plant contains active anti-inflammatory constituents. This activity is expected to increase with further fractionation and isolation of bioactive compounds. The findings from this study suggest that </w:t>
      </w:r>
      <w:r>
        <w:rPr>
          <w:rFonts w:ascii="Arial" w:hAnsi="Arial" w:cs="Arial"/>
          <w:i/>
          <w:iCs/>
          <w:sz w:val="20"/>
          <w:szCs w:val="20"/>
          <w:lang w:val="en-US"/>
        </w:rPr>
        <w:t>Carpobrotus edulis</w:t>
      </w:r>
      <w:r>
        <w:rPr>
          <w:rFonts w:ascii="Arial" w:hAnsi="Arial" w:cs="Arial"/>
          <w:sz w:val="20"/>
          <w:szCs w:val="20"/>
          <w:lang w:val="en-US"/>
        </w:rPr>
        <w:t xml:space="preserve"> has the potential to play a supportive role in tonsillitis. Tonsillitis involves acute inflammation of the tonsils, primarily triggered by bacterial or viral infections, where excessive production of pro-inflammatory cytokines contributes to symptoms such as pain, swelling, and fever. By targeting inflammatory pathways, </w:t>
      </w:r>
      <w:r>
        <w:rPr>
          <w:rFonts w:ascii="Arial" w:hAnsi="Arial" w:cs="Arial"/>
          <w:i/>
          <w:iCs/>
          <w:sz w:val="20"/>
          <w:szCs w:val="20"/>
          <w:lang w:val="en-US"/>
        </w:rPr>
        <w:t>Carpobrotus edulis</w:t>
      </w:r>
      <w:r>
        <w:rPr>
          <w:rFonts w:ascii="Arial" w:hAnsi="Arial" w:cs="Arial"/>
          <w:sz w:val="20"/>
          <w:szCs w:val="20"/>
          <w:lang w:val="en-US"/>
        </w:rPr>
        <w:t xml:space="preserve"> may help reduce these symptoms and contribute to the resolution of infection-associated inflammation. The development of standardized, dosage-controlled formulations based on this extract could therefore provide a safe and accessible alternative or adjunct to conventional therapy for tonsillitis.</w:t>
      </w:r>
    </w:p>
    <w:p w14:paraId="4A1B4BBB" w14:textId="77777777" w:rsidR="00B77CA6" w:rsidRDefault="00B77CA6">
      <w:pPr>
        <w:jc w:val="both"/>
        <w:rPr>
          <w:rFonts w:ascii="Arial" w:hAnsi="Arial" w:cs="Arial"/>
          <w:sz w:val="20"/>
          <w:szCs w:val="20"/>
        </w:rPr>
      </w:pPr>
    </w:p>
    <w:p w14:paraId="1435152F" w14:textId="77777777" w:rsidR="00B77CA6" w:rsidRDefault="00B77CA6">
      <w:pPr>
        <w:jc w:val="both"/>
        <w:rPr>
          <w:rFonts w:ascii="Arial" w:hAnsi="Arial" w:cs="Arial"/>
          <w:sz w:val="20"/>
          <w:szCs w:val="20"/>
        </w:rPr>
      </w:pPr>
    </w:p>
    <w:p w14:paraId="537A7428" w14:textId="77777777" w:rsidR="00B77CA6" w:rsidRPr="008A4E15" w:rsidRDefault="00D87684">
      <w:pPr>
        <w:pStyle w:val="Heading2"/>
        <w:rPr>
          <w:rFonts w:ascii="Arial" w:hAnsi="Arial" w:cs="Arial"/>
          <w:sz w:val="24"/>
          <w:szCs w:val="24"/>
        </w:rPr>
      </w:pPr>
      <w:r w:rsidRPr="008A4E15">
        <w:rPr>
          <w:rFonts w:ascii="Arial" w:hAnsi="Arial" w:cs="Arial"/>
          <w:sz w:val="24"/>
          <w:szCs w:val="24"/>
        </w:rPr>
        <w:t>Acute oral toxicity evaluation</w:t>
      </w:r>
    </w:p>
    <w:p w14:paraId="1BC6F255" w14:textId="77777777" w:rsidR="00B77CA6" w:rsidRDefault="00B77CA6">
      <w:pPr>
        <w:rPr>
          <w:rFonts w:ascii="Arial" w:hAnsi="Arial" w:cs="Arial"/>
          <w:sz w:val="20"/>
          <w:szCs w:val="20"/>
        </w:rPr>
      </w:pPr>
    </w:p>
    <w:p w14:paraId="3A4B6B84" w14:textId="2D2A8E2B" w:rsidR="00B77CA6" w:rsidRDefault="00D87684">
      <w:pPr>
        <w:pStyle w:val="Caption"/>
        <w:keepNext/>
        <w:rPr>
          <w:rFonts w:cs="Arial"/>
          <w:szCs w:val="20"/>
        </w:rPr>
      </w:pPr>
      <w:r>
        <w:rPr>
          <w:rFonts w:cs="Arial"/>
          <w:szCs w:val="20"/>
        </w:rPr>
        <w:t xml:space="preserve">Table </w:t>
      </w:r>
      <w:r>
        <w:rPr>
          <w:rFonts w:cs="Arial"/>
          <w:szCs w:val="20"/>
        </w:rPr>
        <w:fldChar w:fldCharType="begin"/>
      </w:r>
      <w:r>
        <w:rPr>
          <w:rFonts w:cs="Arial"/>
          <w:szCs w:val="20"/>
        </w:rPr>
        <w:instrText xml:space="preserve"> SEQ Table \* ARABIC </w:instrText>
      </w:r>
      <w:r>
        <w:rPr>
          <w:rFonts w:cs="Arial"/>
          <w:szCs w:val="20"/>
        </w:rPr>
        <w:fldChar w:fldCharType="separate"/>
      </w:r>
      <w:r w:rsidR="00031351">
        <w:rPr>
          <w:rFonts w:cs="Arial"/>
          <w:noProof/>
          <w:szCs w:val="20"/>
        </w:rPr>
        <w:t>3</w:t>
      </w:r>
      <w:r>
        <w:rPr>
          <w:rFonts w:cs="Arial"/>
          <w:szCs w:val="20"/>
        </w:rPr>
        <w:fldChar w:fldCharType="end"/>
      </w:r>
      <w:r>
        <w:rPr>
          <w:rFonts w:cs="Arial"/>
          <w:szCs w:val="20"/>
        </w:rPr>
        <w:t xml:space="preserve">: Acute Oral Toxicity Study of C edulis </w:t>
      </w:r>
      <w:r w:rsidR="00E8579A">
        <w:rPr>
          <w:rFonts w:cs="Arial"/>
          <w:szCs w:val="20"/>
        </w:rPr>
        <w:t>Behavioural</w:t>
      </w:r>
      <w:r>
        <w:rPr>
          <w:rFonts w:cs="Arial"/>
          <w:szCs w:val="20"/>
        </w:rPr>
        <w:t xml:space="preserve"> Observations</w:t>
      </w:r>
    </w:p>
    <w:tbl>
      <w:tblPr>
        <w:tblStyle w:val="PlainTable2"/>
        <w:tblW w:w="8977" w:type="dxa"/>
        <w:tblLook w:val="04A0" w:firstRow="1" w:lastRow="0" w:firstColumn="1" w:lastColumn="0" w:noHBand="0" w:noVBand="1"/>
      </w:tblPr>
      <w:tblGrid>
        <w:gridCol w:w="1548"/>
        <w:gridCol w:w="1424"/>
        <w:gridCol w:w="1559"/>
        <w:gridCol w:w="1560"/>
        <w:gridCol w:w="1417"/>
        <w:gridCol w:w="1469"/>
      </w:tblGrid>
      <w:tr w:rsidR="00B77CA6" w14:paraId="0881D5F7" w14:textId="77777777" w:rsidTr="008B603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7A68691D"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Observed parameter</w:t>
            </w:r>
          </w:p>
        </w:tc>
        <w:tc>
          <w:tcPr>
            <w:tcW w:w="7429" w:type="dxa"/>
            <w:gridSpan w:val="5"/>
          </w:tcPr>
          <w:p w14:paraId="1295664A" w14:textId="77777777" w:rsidR="00B77CA6" w:rsidRPr="008B603D" w:rsidRDefault="00D87684">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color w:val="000000"/>
                <w:sz w:val="18"/>
                <w:szCs w:val="18"/>
              </w:rPr>
              <w:t xml:space="preserve"> Dose of </w:t>
            </w:r>
            <w:r w:rsidRPr="008B603D">
              <w:rPr>
                <w:rFonts w:ascii="Arial" w:hAnsi="Arial" w:cs="Arial"/>
                <w:i/>
                <w:iCs/>
                <w:color w:val="000000"/>
                <w:sz w:val="18"/>
                <w:szCs w:val="18"/>
              </w:rPr>
              <w:t xml:space="preserve">Carpobrotus edulis </w:t>
            </w:r>
            <w:r w:rsidRPr="008B603D">
              <w:rPr>
                <w:rFonts w:ascii="Arial" w:hAnsi="Arial" w:cs="Arial"/>
                <w:color w:val="000000"/>
                <w:sz w:val="18"/>
                <w:szCs w:val="18"/>
              </w:rPr>
              <w:t>in mg/kg body weight</w:t>
            </w:r>
          </w:p>
        </w:tc>
      </w:tr>
      <w:tr w:rsidR="00B77CA6" w14:paraId="2D068AC9"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77FA173B" w14:textId="77777777" w:rsidR="00B77CA6" w:rsidRPr="008B603D" w:rsidRDefault="00B77CA6">
            <w:pPr>
              <w:jc w:val="center"/>
              <w:rPr>
                <w:rFonts w:ascii="Arial" w:hAnsi="Arial" w:cs="Arial"/>
                <w:sz w:val="18"/>
                <w:szCs w:val="18"/>
              </w:rPr>
            </w:pPr>
          </w:p>
        </w:tc>
        <w:tc>
          <w:tcPr>
            <w:tcW w:w="1424" w:type="dxa"/>
            <w:noWrap/>
          </w:tcPr>
          <w:p w14:paraId="505A1C9B"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250mg</w:t>
            </w:r>
          </w:p>
        </w:tc>
        <w:tc>
          <w:tcPr>
            <w:tcW w:w="1559" w:type="dxa"/>
            <w:noWrap/>
          </w:tcPr>
          <w:p w14:paraId="2C084EFC"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500mg</w:t>
            </w:r>
          </w:p>
        </w:tc>
        <w:tc>
          <w:tcPr>
            <w:tcW w:w="1560" w:type="dxa"/>
            <w:noWrap/>
          </w:tcPr>
          <w:p w14:paraId="55CAE9DE"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1000mg</w:t>
            </w:r>
          </w:p>
        </w:tc>
        <w:tc>
          <w:tcPr>
            <w:tcW w:w="1417" w:type="dxa"/>
            <w:noWrap/>
          </w:tcPr>
          <w:p w14:paraId="647ADF0F"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2000mg</w:t>
            </w:r>
          </w:p>
        </w:tc>
        <w:tc>
          <w:tcPr>
            <w:tcW w:w="1469" w:type="dxa"/>
            <w:noWrap/>
          </w:tcPr>
          <w:p w14:paraId="58CC347D"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Control</w:t>
            </w:r>
          </w:p>
        </w:tc>
      </w:tr>
      <w:tr w:rsidR="00B77CA6" w14:paraId="1124173D"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6F06FFA8"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Food intake</w:t>
            </w:r>
          </w:p>
        </w:tc>
        <w:tc>
          <w:tcPr>
            <w:tcW w:w="1424" w:type="dxa"/>
            <w:noWrap/>
          </w:tcPr>
          <w:p w14:paraId="7A8ACA89"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59" w:type="dxa"/>
            <w:noWrap/>
          </w:tcPr>
          <w:p w14:paraId="3988E960"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60" w:type="dxa"/>
            <w:noWrap/>
          </w:tcPr>
          <w:p w14:paraId="546DC83D"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17" w:type="dxa"/>
            <w:noWrap/>
          </w:tcPr>
          <w:p w14:paraId="12A7A720"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69" w:type="dxa"/>
            <w:noWrap/>
          </w:tcPr>
          <w:p w14:paraId="44C33DBB"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r>
      <w:tr w:rsidR="00B77CA6" w14:paraId="13B7AE03"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309C2CA5"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Water intake</w:t>
            </w:r>
          </w:p>
        </w:tc>
        <w:tc>
          <w:tcPr>
            <w:tcW w:w="1424" w:type="dxa"/>
            <w:noWrap/>
          </w:tcPr>
          <w:p w14:paraId="7269733B"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59" w:type="dxa"/>
            <w:noWrap/>
          </w:tcPr>
          <w:p w14:paraId="52768E9A"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60" w:type="dxa"/>
            <w:noWrap/>
          </w:tcPr>
          <w:p w14:paraId="294980A4"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17" w:type="dxa"/>
            <w:noWrap/>
          </w:tcPr>
          <w:p w14:paraId="03D8CD21"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69" w:type="dxa"/>
            <w:noWrap/>
          </w:tcPr>
          <w:p w14:paraId="2F420B49"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r>
      <w:tr w:rsidR="00B77CA6" w14:paraId="13CD8906"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089B6F4D"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Death</w:t>
            </w:r>
          </w:p>
        </w:tc>
        <w:tc>
          <w:tcPr>
            <w:tcW w:w="1424" w:type="dxa"/>
            <w:noWrap/>
          </w:tcPr>
          <w:p w14:paraId="4E099804"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Alive</w:t>
            </w:r>
          </w:p>
        </w:tc>
        <w:tc>
          <w:tcPr>
            <w:tcW w:w="1559" w:type="dxa"/>
            <w:noWrap/>
          </w:tcPr>
          <w:p w14:paraId="6119B063"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Alive</w:t>
            </w:r>
          </w:p>
        </w:tc>
        <w:tc>
          <w:tcPr>
            <w:tcW w:w="1560" w:type="dxa"/>
            <w:noWrap/>
          </w:tcPr>
          <w:p w14:paraId="3190A520"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Alive</w:t>
            </w:r>
          </w:p>
        </w:tc>
        <w:tc>
          <w:tcPr>
            <w:tcW w:w="1417" w:type="dxa"/>
            <w:noWrap/>
          </w:tcPr>
          <w:p w14:paraId="151B8A54"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Alive</w:t>
            </w:r>
          </w:p>
        </w:tc>
        <w:tc>
          <w:tcPr>
            <w:tcW w:w="1469" w:type="dxa"/>
            <w:noWrap/>
          </w:tcPr>
          <w:p w14:paraId="5C9679DA"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Alive</w:t>
            </w:r>
          </w:p>
        </w:tc>
      </w:tr>
      <w:tr w:rsidR="00B77CA6" w14:paraId="7C330FC3"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4F0E6313"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Breathing</w:t>
            </w:r>
          </w:p>
        </w:tc>
        <w:tc>
          <w:tcPr>
            <w:tcW w:w="1424" w:type="dxa"/>
            <w:noWrap/>
          </w:tcPr>
          <w:p w14:paraId="75FBBD12"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59" w:type="dxa"/>
            <w:noWrap/>
          </w:tcPr>
          <w:p w14:paraId="55914E54"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60" w:type="dxa"/>
            <w:noWrap/>
          </w:tcPr>
          <w:p w14:paraId="4276D0D8"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17" w:type="dxa"/>
            <w:noWrap/>
          </w:tcPr>
          <w:p w14:paraId="6336D09F"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69" w:type="dxa"/>
            <w:noWrap/>
          </w:tcPr>
          <w:p w14:paraId="48EE6204"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r>
      <w:tr w:rsidR="00B77CA6" w14:paraId="6925F6ED"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4DF0A3A6"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Diarrhea</w:t>
            </w:r>
          </w:p>
        </w:tc>
        <w:tc>
          <w:tcPr>
            <w:tcW w:w="1424" w:type="dxa"/>
            <w:noWrap/>
          </w:tcPr>
          <w:p w14:paraId="23C3023B"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559" w:type="dxa"/>
            <w:noWrap/>
          </w:tcPr>
          <w:p w14:paraId="0B394CA1"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560" w:type="dxa"/>
            <w:noWrap/>
          </w:tcPr>
          <w:p w14:paraId="303D82FF"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417" w:type="dxa"/>
            <w:noWrap/>
          </w:tcPr>
          <w:p w14:paraId="42D7478E"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469" w:type="dxa"/>
            <w:noWrap/>
          </w:tcPr>
          <w:p w14:paraId="57E0E109"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r>
      <w:tr w:rsidR="00B77CA6" w14:paraId="67B7FBB4"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707EC813"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Urination</w:t>
            </w:r>
          </w:p>
        </w:tc>
        <w:tc>
          <w:tcPr>
            <w:tcW w:w="1424" w:type="dxa"/>
            <w:noWrap/>
          </w:tcPr>
          <w:p w14:paraId="4ACE62E9"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59" w:type="dxa"/>
            <w:noWrap/>
          </w:tcPr>
          <w:p w14:paraId="6AB54E99"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60" w:type="dxa"/>
            <w:noWrap/>
          </w:tcPr>
          <w:p w14:paraId="48952823"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17" w:type="dxa"/>
            <w:noWrap/>
          </w:tcPr>
          <w:p w14:paraId="1D31976A"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69" w:type="dxa"/>
            <w:noWrap/>
          </w:tcPr>
          <w:p w14:paraId="128A890A"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r>
      <w:tr w:rsidR="00B77CA6" w14:paraId="3E889803"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184015A4"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Skin colour</w:t>
            </w:r>
          </w:p>
        </w:tc>
        <w:tc>
          <w:tcPr>
            <w:tcW w:w="1424" w:type="dxa"/>
            <w:noWrap/>
          </w:tcPr>
          <w:p w14:paraId="6D8AE19C"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59" w:type="dxa"/>
            <w:noWrap/>
          </w:tcPr>
          <w:p w14:paraId="03FDFDE2"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60" w:type="dxa"/>
            <w:noWrap/>
          </w:tcPr>
          <w:p w14:paraId="42018345"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17" w:type="dxa"/>
            <w:noWrap/>
          </w:tcPr>
          <w:p w14:paraId="4F15C26F"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69" w:type="dxa"/>
            <w:noWrap/>
          </w:tcPr>
          <w:p w14:paraId="10D10A66"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r>
      <w:tr w:rsidR="00B77CA6" w14:paraId="2DBD6241"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193C8455"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Drowsiness</w:t>
            </w:r>
          </w:p>
        </w:tc>
        <w:tc>
          <w:tcPr>
            <w:tcW w:w="1424" w:type="dxa"/>
            <w:noWrap/>
          </w:tcPr>
          <w:p w14:paraId="41AD712B"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559" w:type="dxa"/>
            <w:noWrap/>
          </w:tcPr>
          <w:p w14:paraId="35DB529E"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560" w:type="dxa"/>
            <w:noWrap/>
          </w:tcPr>
          <w:p w14:paraId="39FD42A1"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417" w:type="dxa"/>
            <w:noWrap/>
          </w:tcPr>
          <w:p w14:paraId="43F1DC0D"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469" w:type="dxa"/>
            <w:noWrap/>
          </w:tcPr>
          <w:p w14:paraId="3093B617"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r>
      <w:tr w:rsidR="00B77CA6" w14:paraId="14C1B7A9"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556F1F8B"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Erection of Fur</w:t>
            </w:r>
          </w:p>
        </w:tc>
        <w:tc>
          <w:tcPr>
            <w:tcW w:w="1424" w:type="dxa"/>
            <w:noWrap/>
          </w:tcPr>
          <w:p w14:paraId="2319FFB9"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559" w:type="dxa"/>
            <w:noWrap/>
          </w:tcPr>
          <w:p w14:paraId="37742916"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560" w:type="dxa"/>
            <w:noWrap/>
          </w:tcPr>
          <w:p w14:paraId="7E58F267"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417" w:type="dxa"/>
            <w:noWrap/>
          </w:tcPr>
          <w:p w14:paraId="35584936"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469" w:type="dxa"/>
            <w:noWrap/>
          </w:tcPr>
          <w:p w14:paraId="16FD76C2"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r>
    </w:tbl>
    <w:p w14:paraId="66AF974C" w14:textId="77777777" w:rsidR="00B77CA6" w:rsidRDefault="00B77CA6">
      <w:pPr>
        <w:kinsoku w:val="0"/>
        <w:overflowPunct w:val="0"/>
        <w:autoSpaceDE w:val="0"/>
        <w:autoSpaceDN w:val="0"/>
        <w:adjustRightInd w:val="0"/>
        <w:spacing w:line="261" w:lineRule="auto"/>
        <w:ind w:left="40" w:right="106" w:firstLine="238"/>
        <w:jc w:val="both"/>
        <w:rPr>
          <w:rFonts w:ascii="Arial" w:hAnsi="Arial" w:cs="Arial"/>
          <w:sz w:val="20"/>
          <w:szCs w:val="20"/>
        </w:rPr>
      </w:pPr>
    </w:p>
    <w:p w14:paraId="794C34B1" w14:textId="77777777" w:rsidR="00B77CA6" w:rsidRDefault="00D87684">
      <w:pPr>
        <w:kinsoku w:val="0"/>
        <w:overflowPunct w:val="0"/>
        <w:autoSpaceDE w:val="0"/>
        <w:autoSpaceDN w:val="0"/>
        <w:adjustRightInd w:val="0"/>
        <w:spacing w:line="261" w:lineRule="auto"/>
        <w:ind w:left="40" w:right="106"/>
        <w:jc w:val="both"/>
        <w:rPr>
          <w:rFonts w:ascii="Arial" w:hAnsi="Arial" w:cs="Arial"/>
          <w:sz w:val="20"/>
          <w:szCs w:val="20"/>
        </w:rPr>
      </w:pPr>
      <w:r>
        <w:rPr>
          <w:rFonts w:ascii="Arial" w:hAnsi="Arial" w:cs="Arial"/>
          <w:sz w:val="20"/>
          <w:szCs w:val="20"/>
        </w:rPr>
        <w:t xml:space="preserve">The acute toxicity study was carried out as per OECD technical guideline 425. The observations, results, and interpretation were done by a qualified veterinary expert. Our findings indicated that the extract at doses up to </w:t>
      </w:r>
      <w:r>
        <w:rPr>
          <w:rFonts w:ascii="Arial" w:hAnsi="Arial" w:cs="Arial"/>
          <w:sz w:val="20"/>
          <w:szCs w:val="20"/>
          <w:lang w:val="en-US"/>
        </w:rPr>
        <w:t>2</w:t>
      </w:r>
      <w:r>
        <w:rPr>
          <w:rFonts w:ascii="Arial" w:hAnsi="Arial" w:cs="Arial"/>
          <w:sz w:val="20"/>
          <w:szCs w:val="20"/>
        </w:rPr>
        <w:t xml:space="preserve">000 mg/kg body weight imparted neither visible signs of toxicity nor mortality in rats, suggesting its safety. No animals were withdrawn from the study for any reason during the observation period.  Our results are in agreement with studies by </w:t>
      </w:r>
      <w:r>
        <w:rPr>
          <w:rFonts w:ascii="Arial" w:hAnsi="Arial" w:cs="Arial"/>
          <w:sz w:val="20"/>
          <w:szCs w:val="20"/>
          <w:lang w:val="en-US"/>
        </w:rPr>
        <w:t>Van der Watt and Pretorius</w:t>
      </w:r>
      <w:r>
        <w:rPr>
          <w:rFonts w:ascii="Arial" w:hAnsi="Arial" w:cs="Arial"/>
          <w:sz w:val="20"/>
          <w:szCs w:val="20"/>
        </w:rPr>
        <w:t xml:space="preserve"> where the LD50 of the </w:t>
      </w:r>
      <w:r>
        <w:rPr>
          <w:rFonts w:ascii="Arial" w:hAnsi="Arial" w:cs="Arial"/>
          <w:i/>
          <w:iCs/>
          <w:sz w:val="20"/>
          <w:szCs w:val="20"/>
        </w:rPr>
        <w:t>Carpobrotus edulis</w:t>
      </w:r>
      <w:r>
        <w:rPr>
          <w:rFonts w:ascii="Arial" w:hAnsi="Arial" w:cs="Arial"/>
          <w:sz w:val="20"/>
          <w:szCs w:val="20"/>
        </w:rPr>
        <w:t xml:space="preserve"> extract was estimated to be </w:t>
      </w:r>
      <w:r>
        <w:rPr>
          <w:rFonts w:ascii="Arial" w:hAnsi="Arial" w:cs="Arial"/>
          <w:sz w:val="20"/>
          <w:szCs w:val="20"/>
          <w:lang w:val="en-US"/>
        </w:rPr>
        <w:t>around 20</w:t>
      </w:r>
      <w:r>
        <w:rPr>
          <w:rFonts w:ascii="Arial" w:hAnsi="Arial" w:cs="Arial"/>
          <w:sz w:val="20"/>
          <w:szCs w:val="20"/>
        </w:rPr>
        <w:t>00 mg/kg body weight</w:t>
      </w:r>
      <w:r>
        <w:rPr>
          <w:rFonts w:ascii="Arial" w:hAnsi="Arial" w:cs="Arial"/>
          <w:sz w:val="20"/>
          <w:szCs w:val="20"/>
          <w:lang w:val="en-US"/>
        </w:rPr>
        <w:t>. Our findings</w:t>
      </w:r>
      <w:r>
        <w:rPr>
          <w:rFonts w:ascii="Arial" w:hAnsi="Arial" w:cs="Arial"/>
          <w:sz w:val="20"/>
          <w:szCs w:val="20"/>
        </w:rPr>
        <w:t xml:space="preserve"> impl</w:t>
      </w:r>
      <w:r>
        <w:rPr>
          <w:rFonts w:ascii="Arial" w:hAnsi="Arial" w:cs="Arial"/>
          <w:sz w:val="20"/>
          <w:szCs w:val="20"/>
          <w:lang w:val="en-US"/>
        </w:rPr>
        <w:t xml:space="preserve">y </w:t>
      </w:r>
      <w:r>
        <w:rPr>
          <w:rFonts w:ascii="Arial" w:hAnsi="Arial" w:cs="Arial"/>
          <w:sz w:val="20"/>
          <w:szCs w:val="20"/>
        </w:rPr>
        <w:t xml:space="preserve">that the use of </w:t>
      </w:r>
      <w:r w:rsidRPr="00245BE0">
        <w:rPr>
          <w:rFonts w:ascii="Arial" w:hAnsi="Arial" w:cs="Arial"/>
          <w:i/>
          <w:iCs/>
          <w:sz w:val="20"/>
          <w:szCs w:val="20"/>
          <w:lang w:val="en-US"/>
        </w:rPr>
        <w:t>Carpobrotus edulis</w:t>
      </w:r>
      <w:r>
        <w:rPr>
          <w:rFonts w:ascii="Arial" w:hAnsi="Arial" w:cs="Arial"/>
          <w:sz w:val="20"/>
          <w:szCs w:val="20"/>
          <w:lang w:val="en-US"/>
        </w:rPr>
        <w:t xml:space="preserve"> </w:t>
      </w:r>
      <w:r>
        <w:rPr>
          <w:rFonts w:ascii="Arial" w:hAnsi="Arial" w:cs="Arial"/>
          <w:sz w:val="20"/>
          <w:szCs w:val="20"/>
        </w:rPr>
        <w:t xml:space="preserve">extract </w:t>
      </w:r>
      <w:r>
        <w:rPr>
          <w:rFonts w:ascii="Arial" w:hAnsi="Arial" w:cs="Arial"/>
          <w:sz w:val="20"/>
          <w:szCs w:val="20"/>
          <w:lang w:val="en-US"/>
        </w:rPr>
        <w:t xml:space="preserve">in high concentrations </w:t>
      </w:r>
      <w:r>
        <w:rPr>
          <w:rFonts w:ascii="Arial" w:hAnsi="Arial" w:cs="Arial"/>
          <w:sz w:val="20"/>
          <w:szCs w:val="20"/>
        </w:rPr>
        <w:t>to achieve the desired bioactivity effects</w:t>
      </w:r>
      <w:r>
        <w:rPr>
          <w:rFonts w:ascii="Arial" w:hAnsi="Arial" w:cs="Arial"/>
          <w:sz w:val="20"/>
          <w:szCs w:val="20"/>
          <w:lang w:val="en-US"/>
        </w:rPr>
        <w:t xml:space="preserve"> is relatively safe.</w:t>
      </w:r>
      <w:r>
        <w:rPr>
          <w:rFonts w:ascii="Arial" w:hAnsi="Arial" w:cs="Arial"/>
          <w:sz w:val="20"/>
          <w:szCs w:val="20"/>
        </w:rPr>
        <w:t xml:space="preserve"> </w:t>
      </w:r>
    </w:p>
    <w:p w14:paraId="7B8E74B1" w14:textId="77777777" w:rsidR="00B77CA6" w:rsidRDefault="00B77CA6">
      <w:pPr>
        <w:kinsoku w:val="0"/>
        <w:overflowPunct w:val="0"/>
        <w:autoSpaceDE w:val="0"/>
        <w:autoSpaceDN w:val="0"/>
        <w:adjustRightInd w:val="0"/>
        <w:spacing w:line="261" w:lineRule="auto"/>
        <w:ind w:left="40" w:right="106"/>
        <w:jc w:val="both"/>
        <w:rPr>
          <w:rFonts w:ascii="Arial" w:hAnsi="Arial" w:cs="Arial"/>
          <w:sz w:val="20"/>
          <w:szCs w:val="20"/>
        </w:rPr>
      </w:pPr>
    </w:p>
    <w:p w14:paraId="46566E20" w14:textId="77777777" w:rsidR="00B77CA6" w:rsidRPr="008A4E15" w:rsidRDefault="00D87684">
      <w:pPr>
        <w:pStyle w:val="Heading2"/>
        <w:rPr>
          <w:rFonts w:ascii="Arial" w:hAnsi="Arial" w:cs="Arial"/>
          <w:sz w:val="24"/>
          <w:szCs w:val="24"/>
        </w:rPr>
      </w:pPr>
      <w:r w:rsidRPr="008A4E15">
        <w:rPr>
          <w:rFonts w:ascii="Arial" w:hAnsi="Arial" w:cs="Arial"/>
          <w:sz w:val="24"/>
          <w:szCs w:val="24"/>
        </w:rPr>
        <w:t>Rat weights observations</w:t>
      </w:r>
    </w:p>
    <w:p w14:paraId="7CCB99AA" w14:textId="77777777" w:rsidR="00B77CA6" w:rsidRDefault="00B77CA6">
      <w:pPr>
        <w:rPr>
          <w:rFonts w:ascii="Arial" w:hAnsi="Arial" w:cs="Arial"/>
          <w:noProof/>
          <w:sz w:val="20"/>
          <w:szCs w:val="20"/>
          <w:lang w:val="en-US" w:eastAsia="en-US"/>
        </w:rPr>
      </w:pPr>
    </w:p>
    <w:p w14:paraId="29D2F902" w14:textId="77777777" w:rsidR="00B77CA6" w:rsidRDefault="00D87684">
      <w:pPr>
        <w:rPr>
          <w:rFonts w:ascii="Arial" w:hAnsi="Arial" w:cs="Arial"/>
          <w:sz w:val="20"/>
          <w:szCs w:val="20"/>
        </w:rPr>
      </w:pPr>
      <w:r>
        <w:rPr>
          <w:rFonts w:ascii="Arial" w:hAnsi="Arial" w:cs="Arial"/>
          <w:sz w:val="20"/>
          <w:szCs w:val="20"/>
        </w:rPr>
        <w:t xml:space="preserve"> </w:t>
      </w:r>
      <w:r>
        <w:rPr>
          <w:noProof/>
          <w:lang w:val="en-GB" w:eastAsia="en-GB"/>
          <w14:ligatures w14:val="standardContextual"/>
        </w:rPr>
        <w:drawing>
          <wp:inline distT="0" distB="0" distL="114300" distR="114300" wp14:anchorId="6043B7D7" wp14:editId="20F0A17A">
            <wp:extent cx="4572000" cy="2743200"/>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A78B15" w14:textId="6722F345" w:rsidR="00B77CA6" w:rsidRDefault="00D87684">
      <w:pPr>
        <w:pStyle w:val="Caption"/>
        <w:rPr>
          <w:rFonts w:cs="Arial"/>
          <w:szCs w:val="20"/>
        </w:rPr>
      </w:pPr>
      <w:bookmarkStart w:id="7" w:name="_bookmark0"/>
      <w:bookmarkStart w:id="8" w:name="_bookmark2"/>
      <w:bookmarkStart w:id="9" w:name="Discussion"/>
      <w:bookmarkStart w:id="10" w:name="Histopathological_study"/>
      <w:bookmarkEnd w:id="7"/>
      <w:bookmarkEnd w:id="8"/>
      <w:bookmarkEnd w:id="9"/>
      <w:bookmarkEnd w:id="10"/>
      <w:r>
        <w:rPr>
          <w:rFonts w:cs="Arial"/>
          <w:szCs w:val="20"/>
        </w:rPr>
        <w:t xml:space="preserve">Figure </w:t>
      </w:r>
      <w:r>
        <w:rPr>
          <w:rFonts w:cs="Arial"/>
          <w:szCs w:val="20"/>
        </w:rPr>
        <w:fldChar w:fldCharType="begin"/>
      </w:r>
      <w:r>
        <w:rPr>
          <w:rFonts w:cs="Arial"/>
          <w:szCs w:val="20"/>
        </w:rPr>
        <w:instrText xml:space="preserve"> SEQ Figure \* ARABIC </w:instrText>
      </w:r>
      <w:r>
        <w:rPr>
          <w:rFonts w:cs="Arial"/>
          <w:szCs w:val="20"/>
        </w:rPr>
        <w:fldChar w:fldCharType="separate"/>
      </w:r>
      <w:r w:rsidR="00031351">
        <w:rPr>
          <w:rFonts w:cs="Arial"/>
          <w:noProof/>
          <w:szCs w:val="20"/>
        </w:rPr>
        <w:t>2</w:t>
      </w:r>
      <w:r>
        <w:rPr>
          <w:rFonts w:cs="Arial"/>
          <w:szCs w:val="20"/>
        </w:rPr>
        <w:fldChar w:fldCharType="end"/>
      </w:r>
      <w:r>
        <w:rPr>
          <w:rFonts w:cs="Arial"/>
          <w:szCs w:val="20"/>
        </w:rPr>
        <w:t>: Observed rat weights during acute oral toxicity studies of C edulis</w:t>
      </w:r>
    </w:p>
    <w:p w14:paraId="3F8F77CD" w14:textId="77777777" w:rsidR="00B77CA6" w:rsidRDefault="00D87684">
      <w:pPr>
        <w:kinsoku w:val="0"/>
        <w:overflowPunct w:val="0"/>
        <w:autoSpaceDE w:val="0"/>
        <w:autoSpaceDN w:val="0"/>
        <w:adjustRightInd w:val="0"/>
        <w:spacing w:line="261" w:lineRule="auto"/>
        <w:ind w:right="106"/>
        <w:jc w:val="both"/>
        <w:rPr>
          <w:rFonts w:ascii="Arial" w:hAnsi="Arial" w:cs="Arial"/>
          <w:sz w:val="20"/>
          <w:szCs w:val="20"/>
        </w:rPr>
      </w:pPr>
      <w:r>
        <w:rPr>
          <w:rFonts w:ascii="Arial" w:hAnsi="Arial" w:cs="Arial"/>
          <w:sz w:val="20"/>
          <w:szCs w:val="20"/>
        </w:rPr>
        <w:t xml:space="preserve">In toxicity evaluations, generally, unexpected fluctuations in body weight are a simple and sensitive reflection of toxicity after exposure of study animals to materials. Progressive Weight loss or gain in animals is usually indicative of stress, failure to feed, or a response to observed or underlying adverse </w:t>
      </w:r>
      <w:r>
        <w:rPr>
          <w:rFonts w:ascii="Arial" w:hAnsi="Arial" w:cs="Arial"/>
          <w:sz w:val="20"/>
          <w:szCs w:val="20"/>
        </w:rPr>
        <w:lastRenderedPageBreak/>
        <w:t xml:space="preserve">health conditions. In the present study, the lyophilized extracts did not signiﬁcantly affect normal body weight growth during the study period suggesting that the extract did not alter rat growth at the concentrations investigated. </w:t>
      </w:r>
    </w:p>
    <w:p w14:paraId="7DF3BEC6" w14:textId="77777777" w:rsidR="00B77CA6" w:rsidRDefault="00B77CA6">
      <w:pPr>
        <w:kinsoku w:val="0"/>
        <w:overflowPunct w:val="0"/>
        <w:autoSpaceDE w:val="0"/>
        <w:autoSpaceDN w:val="0"/>
        <w:adjustRightInd w:val="0"/>
        <w:spacing w:line="261" w:lineRule="auto"/>
        <w:ind w:right="106"/>
        <w:jc w:val="both"/>
        <w:rPr>
          <w:rFonts w:ascii="Arial" w:hAnsi="Arial" w:cs="Arial"/>
          <w:sz w:val="20"/>
          <w:szCs w:val="20"/>
        </w:rPr>
      </w:pPr>
    </w:p>
    <w:p w14:paraId="0AEAA0D4" w14:textId="77777777" w:rsidR="00B77CA6" w:rsidRDefault="00B77CA6">
      <w:pPr>
        <w:kinsoku w:val="0"/>
        <w:overflowPunct w:val="0"/>
        <w:autoSpaceDE w:val="0"/>
        <w:autoSpaceDN w:val="0"/>
        <w:adjustRightInd w:val="0"/>
        <w:spacing w:line="261" w:lineRule="auto"/>
        <w:ind w:right="106"/>
        <w:jc w:val="both"/>
        <w:rPr>
          <w:rFonts w:ascii="Arial" w:hAnsi="Arial" w:cs="Arial"/>
          <w:sz w:val="20"/>
          <w:szCs w:val="20"/>
        </w:rPr>
      </w:pPr>
    </w:p>
    <w:p w14:paraId="662891E5" w14:textId="77777777" w:rsidR="00B77CA6" w:rsidRPr="008A4E15" w:rsidRDefault="00D87684">
      <w:pPr>
        <w:pStyle w:val="Heading2"/>
        <w:rPr>
          <w:rFonts w:ascii="Arial" w:hAnsi="Arial" w:cs="Arial"/>
          <w:sz w:val="24"/>
          <w:szCs w:val="24"/>
        </w:rPr>
      </w:pPr>
      <w:r w:rsidRPr="008A4E15">
        <w:rPr>
          <w:rFonts w:ascii="Arial" w:hAnsi="Arial" w:cs="Arial"/>
          <w:sz w:val="24"/>
          <w:szCs w:val="24"/>
        </w:rPr>
        <w:t>Anti-bacterial assays</w:t>
      </w:r>
    </w:p>
    <w:p w14:paraId="3D71F6D4" w14:textId="77777777" w:rsidR="00B77CA6" w:rsidRDefault="00D87684">
      <w:pPr>
        <w:autoSpaceDE w:val="0"/>
        <w:autoSpaceDN w:val="0"/>
        <w:adjustRightInd w:val="0"/>
        <w:jc w:val="both"/>
        <w:rPr>
          <w:rFonts w:ascii="Arial" w:hAnsi="Arial" w:cs="Arial"/>
          <w:sz w:val="20"/>
          <w:szCs w:val="20"/>
        </w:rPr>
      </w:pPr>
      <w:r>
        <w:rPr>
          <w:rFonts w:ascii="Arial" w:hAnsi="Arial" w:cs="Arial"/>
          <w:sz w:val="20"/>
          <w:szCs w:val="20"/>
        </w:rPr>
        <w:t>In the antibacterial tests against susceptible common microbes,</w:t>
      </w:r>
      <w:r>
        <w:rPr>
          <w:rFonts w:ascii="Arial" w:hAnsi="Arial" w:cs="Arial"/>
          <w:sz w:val="20"/>
          <w:szCs w:val="20"/>
          <w:lang w:val="en-US"/>
        </w:rPr>
        <w:t xml:space="preserve"> </w:t>
      </w:r>
      <w:r>
        <w:rPr>
          <w:rFonts w:ascii="Arial" w:hAnsi="Arial" w:cs="Arial"/>
          <w:sz w:val="20"/>
          <w:szCs w:val="20"/>
        </w:rPr>
        <w:t xml:space="preserve">the lyophilized </w:t>
      </w:r>
      <w:r w:rsidRPr="00245BE0">
        <w:rPr>
          <w:rFonts w:ascii="Arial" w:hAnsi="Arial" w:cs="Arial"/>
          <w:i/>
          <w:iCs/>
          <w:sz w:val="20"/>
          <w:szCs w:val="20"/>
          <w:lang w:val="en-US"/>
        </w:rPr>
        <w:t>Carpobrotus edulis</w:t>
      </w:r>
      <w:r>
        <w:rPr>
          <w:rFonts w:ascii="Arial" w:hAnsi="Arial" w:cs="Arial"/>
          <w:i/>
          <w:sz w:val="20"/>
          <w:szCs w:val="20"/>
        </w:rPr>
        <w:t xml:space="preserve"> </w:t>
      </w:r>
      <w:r>
        <w:rPr>
          <w:rFonts w:ascii="Arial" w:hAnsi="Arial" w:cs="Arial"/>
          <w:sz w:val="20"/>
          <w:szCs w:val="20"/>
        </w:rPr>
        <w:t xml:space="preserve">exhibited considerable antibacterial effects. The lyophilized plant extract was slightly lower in activity </w:t>
      </w:r>
      <w:r>
        <w:rPr>
          <w:rFonts w:ascii="Arial" w:hAnsi="Arial" w:cs="Arial"/>
          <w:sz w:val="20"/>
          <w:szCs w:val="20"/>
          <w:lang w:val="en-US"/>
        </w:rPr>
        <w:t xml:space="preserve">against meticillin sensitive and multi drug resistant strains of Staphylococcus aureus </w:t>
      </w:r>
      <w:r>
        <w:rPr>
          <w:rFonts w:ascii="Arial" w:hAnsi="Arial" w:cs="Arial"/>
          <w:sz w:val="20"/>
          <w:szCs w:val="20"/>
        </w:rPr>
        <w:t xml:space="preserve">when comparable to the commercial drug used as standard. The commercial drug was ineffective against multidrug-resistant strains </w:t>
      </w:r>
      <w:r>
        <w:rPr>
          <w:rFonts w:ascii="Arial" w:hAnsi="Arial" w:cs="Arial"/>
          <w:sz w:val="20"/>
          <w:szCs w:val="20"/>
          <w:lang w:val="en-US"/>
        </w:rPr>
        <w:t xml:space="preserve">of Streptococcus pyogenes </w:t>
      </w:r>
      <w:r>
        <w:rPr>
          <w:rFonts w:ascii="Arial" w:hAnsi="Arial" w:cs="Arial"/>
          <w:sz w:val="20"/>
          <w:szCs w:val="20"/>
        </w:rPr>
        <w:t xml:space="preserve">(Table </w:t>
      </w:r>
      <w:r>
        <w:rPr>
          <w:rFonts w:ascii="Arial" w:hAnsi="Arial" w:cs="Arial"/>
          <w:sz w:val="20"/>
          <w:szCs w:val="20"/>
          <w:lang w:val="en-US"/>
        </w:rPr>
        <w:t>4)</w:t>
      </w:r>
      <w:r>
        <w:rPr>
          <w:rFonts w:ascii="Arial" w:hAnsi="Arial" w:cs="Arial"/>
          <w:sz w:val="20"/>
          <w:szCs w:val="20"/>
        </w:rPr>
        <w:t xml:space="preserve">.  </w:t>
      </w:r>
    </w:p>
    <w:p w14:paraId="5816E76D" w14:textId="77777777" w:rsidR="00B77CA6" w:rsidRDefault="00B77CA6">
      <w:pPr>
        <w:autoSpaceDE w:val="0"/>
        <w:autoSpaceDN w:val="0"/>
        <w:adjustRightInd w:val="0"/>
        <w:rPr>
          <w:rFonts w:ascii="Arial" w:hAnsi="Arial" w:cs="Arial"/>
          <w:sz w:val="20"/>
          <w:szCs w:val="20"/>
        </w:rPr>
      </w:pPr>
    </w:p>
    <w:p w14:paraId="740455F5" w14:textId="7E2B0714" w:rsidR="00B77CA6" w:rsidRDefault="00D87684" w:rsidP="00E8579A">
      <w:pPr>
        <w:pStyle w:val="Caption"/>
      </w:pPr>
      <w:r>
        <w:t xml:space="preserve">Table </w:t>
      </w:r>
      <w:r>
        <w:rPr>
          <w:lang w:val="en-US"/>
        </w:rPr>
        <w:t>4</w:t>
      </w:r>
      <w:r>
        <w:t xml:space="preserve">: Antibacterial activity zones of inhibition for </w:t>
      </w:r>
      <w:proofErr w:type="spellStart"/>
      <w:r>
        <w:t>Carpobrotus</w:t>
      </w:r>
      <w:proofErr w:type="spellEnd"/>
      <w:r>
        <w:t xml:space="preserve"> edulis</w:t>
      </w:r>
      <w:r>
        <w:rPr>
          <w:lang w:val="en-US"/>
        </w:rPr>
        <w:t xml:space="preserve"> as well as Doxycycline on bacterial strains.</w:t>
      </w:r>
    </w:p>
    <w:tbl>
      <w:tblPr>
        <w:tblStyle w:val="PlainTable2"/>
        <w:tblW w:w="9207" w:type="dxa"/>
        <w:tblLook w:val="04A0" w:firstRow="1" w:lastRow="0" w:firstColumn="1" w:lastColumn="0" w:noHBand="0" w:noVBand="1"/>
      </w:tblPr>
      <w:tblGrid>
        <w:gridCol w:w="1551"/>
        <w:gridCol w:w="1279"/>
        <w:gridCol w:w="1370"/>
        <w:gridCol w:w="236"/>
        <w:gridCol w:w="1513"/>
        <w:gridCol w:w="1559"/>
        <w:gridCol w:w="1699"/>
      </w:tblGrid>
      <w:tr w:rsidR="00B77CA6" w14:paraId="51044784" w14:textId="77777777" w:rsidTr="008B603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1" w:type="dxa"/>
            <w:noWrap/>
          </w:tcPr>
          <w:p w14:paraId="656298CE" w14:textId="77777777" w:rsidR="00B77CA6" w:rsidRPr="008B603D" w:rsidRDefault="00D87684">
            <w:pPr>
              <w:rPr>
                <w:rFonts w:ascii="Arial" w:hAnsi="Arial" w:cs="Arial"/>
                <w:color w:val="000000"/>
                <w:sz w:val="18"/>
                <w:szCs w:val="18"/>
              </w:rPr>
            </w:pPr>
            <w:r w:rsidRPr="008B603D">
              <w:rPr>
                <w:rFonts w:ascii="Arial" w:hAnsi="Arial" w:cs="Arial"/>
                <w:bCs w:val="0"/>
                <w:color w:val="000000"/>
                <w:sz w:val="18"/>
                <w:szCs w:val="18"/>
              </w:rPr>
              <w:t>Test Sample</w:t>
            </w:r>
          </w:p>
        </w:tc>
        <w:tc>
          <w:tcPr>
            <w:tcW w:w="1279" w:type="dxa"/>
            <w:noWrap/>
          </w:tcPr>
          <w:p w14:paraId="128D0582" w14:textId="77777777" w:rsidR="00B77CA6" w:rsidRPr="008B603D" w:rsidRDefault="00D87684">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bCs w:val="0"/>
                <w:color w:val="000000"/>
                <w:sz w:val="18"/>
                <w:szCs w:val="18"/>
              </w:rPr>
              <w:t>mg/ml</w:t>
            </w:r>
          </w:p>
        </w:tc>
        <w:tc>
          <w:tcPr>
            <w:tcW w:w="1370" w:type="dxa"/>
            <w:noWrap/>
          </w:tcPr>
          <w:p w14:paraId="47190A91" w14:textId="77777777" w:rsidR="00B77CA6" w:rsidRPr="008B603D" w:rsidRDefault="00B77CA6">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36" w:type="dxa"/>
            <w:noWrap/>
          </w:tcPr>
          <w:p w14:paraId="26B73B50" w14:textId="77777777" w:rsidR="00B77CA6" w:rsidRPr="008B603D" w:rsidRDefault="00B77CA6">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771" w:type="dxa"/>
            <w:gridSpan w:val="3"/>
            <w:noWrap/>
          </w:tcPr>
          <w:p w14:paraId="5E6B2F59" w14:textId="77777777" w:rsidR="00B77CA6" w:rsidRPr="008B603D" w:rsidRDefault="00D87684">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bCs w:val="0"/>
                <w:color w:val="000000"/>
                <w:sz w:val="18"/>
                <w:szCs w:val="18"/>
              </w:rPr>
              <w:t>Inhibition zone in diameter (mm)</w:t>
            </w:r>
          </w:p>
        </w:tc>
      </w:tr>
      <w:tr w:rsidR="00B77CA6" w14:paraId="3AB59D63"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1" w:type="dxa"/>
            <w:noWrap/>
          </w:tcPr>
          <w:p w14:paraId="2C387928" w14:textId="77777777" w:rsidR="00B77CA6" w:rsidRPr="008B603D" w:rsidRDefault="00B77CA6">
            <w:pPr>
              <w:rPr>
                <w:rFonts w:ascii="Arial" w:hAnsi="Arial" w:cs="Arial"/>
                <w:color w:val="000000"/>
                <w:sz w:val="18"/>
                <w:szCs w:val="18"/>
              </w:rPr>
            </w:pPr>
          </w:p>
        </w:tc>
        <w:tc>
          <w:tcPr>
            <w:tcW w:w="1279" w:type="dxa"/>
            <w:noWrap/>
          </w:tcPr>
          <w:p w14:paraId="0D8CC415" w14:textId="77777777" w:rsidR="00B77CA6" w:rsidRPr="008B603D" w:rsidRDefault="00B77CA6">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4678" w:type="dxa"/>
            <w:gridSpan w:val="4"/>
            <w:noWrap/>
          </w:tcPr>
          <w:p w14:paraId="6C4B1738"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 xml:space="preserve"> Gram-positive bacteria</w:t>
            </w:r>
          </w:p>
        </w:tc>
        <w:tc>
          <w:tcPr>
            <w:tcW w:w="1699" w:type="dxa"/>
            <w:noWrap/>
          </w:tcPr>
          <w:p w14:paraId="17C6A506"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Gram-negative Bacteria</w:t>
            </w:r>
          </w:p>
        </w:tc>
      </w:tr>
      <w:tr w:rsidR="008B603D" w14:paraId="39ED43F7" w14:textId="77777777" w:rsidTr="008B603D">
        <w:trPr>
          <w:trHeight w:val="300"/>
        </w:trPr>
        <w:tc>
          <w:tcPr>
            <w:cnfStyle w:val="001000000000" w:firstRow="0" w:lastRow="0" w:firstColumn="1" w:lastColumn="0" w:oddVBand="0" w:evenVBand="0" w:oddHBand="0" w:evenHBand="0" w:firstRowFirstColumn="0" w:firstRowLastColumn="0" w:lastRowFirstColumn="0" w:lastRowLastColumn="0"/>
            <w:tcW w:w="1551" w:type="dxa"/>
            <w:noWrap/>
          </w:tcPr>
          <w:p w14:paraId="6463C05F" w14:textId="77777777" w:rsidR="00B77CA6" w:rsidRPr="008B603D" w:rsidRDefault="00D87684">
            <w:pPr>
              <w:rPr>
                <w:rFonts w:ascii="Arial" w:hAnsi="Arial" w:cs="Arial"/>
                <w:color w:val="000000"/>
                <w:sz w:val="18"/>
                <w:szCs w:val="18"/>
              </w:rPr>
            </w:pPr>
            <w:r w:rsidRPr="008B603D">
              <w:rPr>
                <w:rFonts w:ascii="Arial" w:hAnsi="Arial" w:cs="Arial"/>
                <w:color w:val="000000"/>
                <w:sz w:val="18"/>
                <w:szCs w:val="18"/>
              </w:rPr>
              <w:t> </w:t>
            </w:r>
          </w:p>
        </w:tc>
        <w:tc>
          <w:tcPr>
            <w:tcW w:w="1279" w:type="dxa"/>
            <w:noWrap/>
          </w:tcPr>
          <w:p w14:paraId="61D7DB72"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 </w:t>
            </w:r>
          </w:p>
        </w:tc>
        <w:tc>
          <w:tcPr>
            <w:tcW w:w="1370" w:type="dxa"/>
            <w:noWrap/>
          </w:tcPr>
          <w:p w14:paraId="310A8393"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b/>
                <w:bCs/>
                <w:i/>
                <w:color w:val="000000"/>
                <w:sz w:val="18"/>
                <w:szCs w:val="18"/>
              </w:rPr>
            </w:pPr>
            <w:r w:rsidRPr="008B603D">
              <w:rPr>
                <w:rFonts w:ascii="Arial" w:hAnsi="Arial" w:cs="Arial"/>
                <w:b/>
                <w:bCs/>
                <w:i/>
                <w:color w:val="000000"/>
                <w:sz w:val="18"/>
                <w:szCs w:val="18"/>
              </w:rPr>
              <w:t>MRSA®</w:t>
            </w:r>
          </w:p>
        </w:tc>
        <w:tc>
          <w:tcPr>
            <w:tcW w:w="1749" w:type="dxa"/>
            <w:gridSpan w:val="2"/>
            <w:noWrap/>
          </w:tcPr>
          <w:p w14:paraId="7B666C1A"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b/>
                <w:bCs/>
                <w:i/>
                <w:color w:val="000000"/>
                <w:sz w:val="18"/>
                <w:szCs w:val="18"/>
              </w:rPr>
            </w:pPr>
            <w:r w:rsidRPr="008B603D">
              <w:rPr>
                <w:rFonts w:ascii="Arial" w:hAnsi="Arial" w:cs="Arial"/>
                <w:b/>
                <w:bCs/>
                <w:i/>
                <w:color w:val="000000"/>
                <w:sz w:val="18"/>
                <w:szCs w:val="18"/>
              </w:rPr>
              <w:t>MSSA</w:t>
            </w:r>
          </w:p>
        </w:tc>
        <w:tc>
          <w:tcPr>
            <w:tcW w:w="1559" w:type="dxa"/>
            <w:noWrap/>
          </w:tcPr>
          <w:p w14:paraId="234E0926"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b/>
                <w:bCs/>
                <w:i/>
                <w:color w:val="000000"/>
                <w:sz w:val="18"/>
                <w:szCs w:val="18"/>
              </w:rPr>
            </w:pPr>
            <w:r w:rsidRPr="008B603D">
              <w:rPr>
                <w:rFonts w:ascii="Arial" w:hAnsi="Arial" w:cs="Arial"/>
                <w:b/>
                <w:bCs/>
                <w:i/>
                <w:color w:val="000000"/>
                <w:sz w:val="18"/>
                <w:szCs w:val="18"/>
              </w:rPr>
              <w:t> S.Pyogenes®</w:t>
            </w:r>
          </w:p>
        </w:tc>
        <w:tc>
          <w:tcPr>
            <w:tcW w:w="1699" w:type="dxa"/>
            <w:noWrap/>
          </w:tcPr>
          <w:p w14:paraId="03C1B945"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b/>
                <w:bCs/>
                <w:i/>
                <w:color w:val="000000"/>
                <w:sz w:val="18"/>
                <w:szCs w:val="18"/>
              </w:rPr>
            </w:pPr>
            <w:r w:rsidRPr="008B603D">
              <w:rPr>
                <w:rFonts w:ascii="Arial" w:hAnsi="Arial" w:cs="Arial"/>
                <w:b/>
                <w:bCs/>
                <w:i/>
                <w:color w:val="000000"/>
                <w:sz w:val="18"/>
                <w:szCs w:val="18"/>
              </w:rPr>
              <w:t xml:space="preserve">E.coli® </w:t>
            </w:r>
          </w:p>
        </w:tc>
      </w:tr>
      <w:tr w:rsidR="00B77CA6" w14:paraId="52D68998"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1" w:type="dxa"/>
            <w:noWrap/>
          </w:tcPr>
          <w:p w14:paraId="5E552189" w14:textId="77777777" w:rsidR="00B77CA6" w:rsidRPr="008B603D" w:rsidRDefault="00D87684">
            <w:pPr>
              <w:rPr>
                <w:rFonts w:ascii="Arial" w:hAnsi="Arial" w:cs="Arial"/>
                <w:i/>
                <w:color w:val="000000"/>
                <w:sz w:val="18"/>
                <w:szCs w:val="18"/>
              </w:rPr>
            </w:pPr>
            <w:proofErr w:type="spellStart"/>
            <w:r w:rsidRPr="008B603D">
              <w:rPr>
                <w:rFonts w:ascii="Arial" w:hAnsi="Arial" w:cs="Arial"/>
                <w:i/>
                <w:color w:val="000000"/>
                <w:sz w:val="18"/>
                <w:szCs w:val="18"/>
              </w:rPr>
              <w:t>Carpobrotus</w:t>
            </w:r>
            <w:proofErr w:type="spellEnd"/>
            <w:r w:rsidRPr="008B603D">
              <w:rPr>
                <w:rFonts w:ascii="Arial" w:hAnsi="Arial" w:cs="Arial"/>
                <w:i/>
                <w:color w:val="000000"/>
                <w:sz w:val="18"/>
                <w:szCs w:val="18"/>
              </w:rPr>
              <w:t xml:space="preserve"> edulis</w:t>
            </w:r>
          </w:p>
        </w:tc>
        <w:tc>
          <w:tcPr>
            <w:tcW w:w="1279" w:type="dxa"/>
            <w:noWrap/>
          </w:tcPr>
          <w:p w14:paraId="02F47790"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10</w:t>
            </w:r>
          </w:p>
        </w:tc>
        <w:tc>
          <w:tcPr>
            <w:tcW w:w="1370" w:type="dxa"/>
            <w:noWrap/>
          </w:tcPr>
          <w:p w14:paraId="779B8D46"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18.03±0.7</w:t>
            </w:r>
          </w:p>
        </w:tc>
        <w:tc>
          <w:tcPr>
            <w:tcW w:w="1749" w:type="dxa"/>
            <w:gridSpan w:val="2"/>
            <w:noWrap/>
          </w:tcPr>
          <w:p w14:paraId="2587BEF4"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19.24±0.3</w:t>
            </w:r>
          </w:p>
        </w:tc>
        <w:tc>
          <w:tcPr>
            <w:tcW w:w="1559" w:type="dxa"/>
            <w:noWrap/>
          </w:tcPr>
          <w:p w14:paraId="63B55F3F"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12.00±0.5</w:t>
            </w:r>
          </w:p>
        </w:tc>
        <w:tc>
          <w:tcPr>
            <w:tcW w:w="1699" w:type="dxa"/>
            <w:noWrap/>
          </w:tcPr>
          <w:p w14:paraId="4013CE1A"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14.20±0.9</w:t>
            </w:r>
          </w:p>
        </w:tc>
      </w:tr>
      <w:tr w:rsidR="00B77CA6" w14:paraId="758E9363"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51" w:type="dxa"/>
            <w:noWrap/>
          </w:tcPr>
          <w:p w14:paraId="0B69775F" w14:textId="77777777" w:rsidR="00B77CA6" w:rsidRPr="008B603D" w:rsidRDefault="00D87684">
            <w:pPr>
              <w:rPr>
                <w:rFonts w:ascii="Arial" w:hAnsi="Arial" w:cs="Arial"/>
                <w:color w:val="000000"/>
                <w:sz w:val="18"/>
                <w:szCs w:val="18"/>
              </w:rPr>
            </w:pPr>
            <w:r w:rsidRPr="008B603D">
              <w:rPr>
                <w:rFonts w:ascii="Arial" w:hAnsi="Arial" w:cs="Arial"/>
                <w:color w:val="000000"/>
                <w:sz w:val="18"/>
                <w:szCs w:val="18"/>
              </w:rPr>
              <w:t xml:space="preserve">Carpobrotus edulis </w:t>
            </w:r>
          </w:p>
        </w:tc>
        <w:tc>
          <w:tcPr>
            <w:tcW w:w="1279" w:type="dxa"/>
            <w:noWrap/>
          </w:tcPr>
          <w:p w14:paraId="6815213F"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20</w:t>
            </w:r>
          </w:p>
        </w:tc>
        <w:tc>
          <w:tcPr>
            <w:tcW w:w="1370" w:type="dxa"/>
            <w:noWrap/>
          </w:tcPr>
          <w:p w14:paraId="0DA94E66"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18.24±0.5</w:t>
            </w:r>
          </w:p>
        </w:tc>
        <w:tc>
          <w:tcPr>
            <w:tcW w:w="1749" w:type="dxa"/>
            <w:gridSpan w:val="2"/>
            <w:noWrap/>
          </w:tcPr>
          <w:p w14:paraId="333150BC"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18.45±0.8</w:t>
            </w:r>
          </w:p>
        </w:tc>
        <w:tc>
          <w:tcPr>
            <w:tcW w:w="1559" w:type="dxa"/>
            <w:noWrap/>
          </w:tcPr>
          <w:p w14:paraId="05F30030"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14.50±0.4</w:t>
            </w:r>
          </w:p>
        </w:tc>
        <w:tc>
          <w:tcPr>
            <w:tcW w:w="1699" w:type="dxa"/>
            <w:noWrap/>
          </w:tcPr>
          <w:p w14:paraId="565AD447"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20.00±0.5</w:t>
            </w:r>
          </w:p>
        </w:tc>
      </w:tr>
      <w:tr w:rsidR="00B77CA6" w14:paraId="64B8D286"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1" w:type="dxa"/>
            <w:noWrap/>
          </w:tcPr>
          <w:p w14:paraId="79B936DF" w14:textId="77777777" w:rsidR="00B77CA6" w:rsidRPr="008B603D" w:rsidRDefault="00D87684">
            <w:pPr>
              <w:rPr>
                <w:rFonts w:ascii="Arial" w:hAnsi="Arial" w:cs="Arial"/>
                <w:color w:val="000000"/>
                <w:sz w:val="18"/>
                <w:szCs w:val="18"/>
              </w:rPr>
            </w:pPr>
            <w:r w:rsidRPr="008B603D">
              <w:rPr>
                <w:rFonts w:ascii="Arial" w:hAnsi="Arial" w:cs="Arial"/>
                <w:color w:val="000000"/>
                <w:sz w:val="18"/>
                <w:szCs w:val="18"/>
              </w:rPr>
              <w:t>Doxycycline</w:t>
            </w:r>
          </w:p>
        </w:tc>
        <w:tc>
          <w:tcPr>
            <w:tcW w:w="1279" w:type="dxa"/>
            <w:noWrap/>
          </w:tcPr>
          <w:p w14:paraId="517AF73B"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 xml:space="preserve">  -</w:t>
            </w:r>
          </w:p>
        </w:tc>
        <w:tc>
          <w:tcPr>
            <w:tcW w:w="1370" w:type="dxa"/>
            <w:noWrap/>
          </w:tcPr>
          <w:p w14:paraId="756B73C3"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19.50± 0.8</w:t>
            </w:r>
          </w:p>
        </w:tc>
        <w:tc>
          <w:tcPr>
            <w:tcW w:w="1749" w:type="dxa"/>
            <w:gridSpan w:val="2"/>
            <w:noWrap/>
          </w:tcPr>
          <w:p w14:paraId="3644FE2B"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19.26±0.8</w:t>
            </w:r>
          </w:p>
        </w:tc>
        <w:tc>
          <w:tcPr>
            <w:tcW w:w="1559" w:type="dxa"/>
            <w:noWrap/>
          </w:tcPr>
          <w:p w14:paraId="0FD79B0E"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w:t>
            </w:r>
          </w:p>
        </w:tc>
        <w:tc>
          <w:tcPr>
            <w:tcW w:w="1699" w:type="dxa"/>
            <w:noWrap/>
          </w:tcPr>
          <w:p w14:paraId="5D641CFC"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w:t>
            </w:r>
          </w:p>
        </w:tc>
      </w:tr>
      <w:tr w:rsidR="00B77CA6" w14:paraId="7536BF25"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51" w:type="dxa"/>
            <w:noWrap/>
          </w:tcPr>
          <w:p w14:paraId="21715CDC" w14:textId="77777777" w:rsidR="00B77CA6" w:rsidRPr="008B603D" w:rsidRDefault="00D87684">
            <w:pPr>
              <w:rPr>
                <w:rFonts w:ascii="Arial" w:hAnsi="Arial" w:cs="Arial"/>
                <w:color w:val="000000"/>
                <w:sz w:val="18"/>
                <w:szCs w:val="18"/>
              </w:rPr>
            </w:pPr>
            <w:r w:rsidRPr="008B603D">
              <w:rPr>
                <w:rFonts w:ascii="Arial" w:hAnsi="Arial" w:cs="Arial"/>
                <w:color w:val="000000"/>
                <w:sz w:val="18"/>
                <w:szCs w:val="18"/>
              </w:rPr>
              <w:t>Control</w:t>
            </w:r>
          </w:p>
        </w:tc>
        <w:tc>
          <w:tcPr>
            <w:tcW w:w="1279" w:type="dxa"/>
            <w:noWrap/>
          </w:tcPr>
          <w:p w14:paraId="15043945"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 -</w:t>
            </w:r>
          </w:p>
        </w:tc>
        <w:tc>
          <w:tcPr>
            <w:tcW w:w="1370" w:type="dxa"/>
            <w:noWrap/>
          </w:tcPr>
          <w:p w14:paraId="5E15BB45"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w:t>
            </w:r>
          </w:p>
        </w:tc>
        <w:tc>
          <w:tcPr>
            <w:tcW w:w="1749" w:type="dxa"/>
            <w:gridSpan w:val="2"/>
            <w:noWrap/>
          </w:tcPr>
          <w:p w14:paraId="02BE308B"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w:t>
            </w:r>
          </w:p>
        </w:tc>
        <w:tc>
          <w:tcPr>
            <w:tcW w:w="1559" w:type="dxa"/>
            <w:noWrap/>
          </w:tcPr>
          <w:p w14:paraId="5558FC3E"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w:t>
            </w:r>
          </w:p>
        </w:tc>
        <w:tc>
          <w:tcPr>
            <w:tcW w:w="1699" w:type="dxa"/>
            <w:noWrap/>
          </w:tcPr>
          <w:p w14:paraId="51D1B5C2"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 -</w:t>
            </w:r>
          </w:p>
        </w:tc>
      </w:tr>
    </w:tbl>
    <w:p w14:paraId="504FEF51" w14:textId="77777777" w:rsidR="00B77CA6" w:rsidRPr="008B603D" w:rsidRDefault="00D87684">
      <w:pPr>
        <w:autoSpaceDE w:val="0"/>
        <w:autoSpaceDN w:val="0"/>
        <w:adjustRightInd w:val="0"/>
        <w:rPr>
          <w:rFonts w:ascii="Arial" w:hAnsi="Arial" w:cs="Arial"/>
          <w:bCs/>
          <w:i/>
          <w:iCs/>
          <w:color w:val="000000"/>
          <w:sz w:val="18"/>
          <w:szCs w:val="18"/>
        </w:rPr>
      </w:pPr>
      <w:r w:rsidRPr="008B603D">
        <w:rPr>
          <w:rFonts w:ascii="Arial" w:hAnsi="Arial" w:cs="Arial"/>
          <w:bCs/>
          <w:i/>
          <w:iCs/>
          <w:color w:val="000000"/>
          <w:sz w:val="18"/>
          <w:szCs w:val="18"/>
        </w:rPr>
        <w:t>All values are mean ± standard deviation of 3 determinations, ® =the multidrug-resistant strain, R =Reference strain (susceptible), S. pyogenes= Streptococcus pyogenes, MSSAR =meticillin-sensitive Staphylococcus aureus, MRSA =meticillin resistant Staphylococcus aureus</w:t>
      </w:r>
    </w:p>
    <w:p w14:paraId="259CE074" w14:textId="77777777" w:rsidR="00B77CA6" w:rsidRDefault="00D87684">
      <w:pPr>
        <w:autoSpaceDE w:val="0"/>
        <w:autoSpaceDN w:val="0"/>
        <w:adjustRightInd w:val="0"/>
        <w:rPr>
          <w:rFonts w:ascii="Arial" w:hAnsi="Arial" w:cs="Arial"/>
          <w:bCs/>
          <w:i/>
          <w:color w:val="000000"/>
          <w:sz w:val="20"/>
          <w:szCs w:val="20"/>
          <w:lang w:val="en-US"/>
        </w:rPr>
      </w:pPr>
      <w:r>
        <w:rPr>
          <w:rFonts w:ascii="Arial" w:hAnsi="Arial" w:cs="Arial"/>
          <w:bCs/>
          <w:i/>
          <w:color w:val="000000"/>
          <w:sz w:val="20"/>
          <w:szCs w:val="20"/>
        </w:rPr>
        <w:t>E.coli =Escherichia coli</w:t>
      </w:r>
      <w:r>
        <w:rPr>
          <w:rFonts w:ascii="Arial" w:hAnsi="Arial" w:cs="Arial"/>
          <w:bCs/>
          <w:i/>
          <w:color w:val="000000"/>
          <w:sz w:val="20"/>
          <w:szCs w:val="20"/>
          <w:lang w:val="en-US"/>
        </w:rPr>
        <w:t>.</w:t>
      </w:r>
    </w:p>
    <w:p w14:paraId="1E5F8562" w14:textId="77777777" w:rsidR="008B603D" w:rsidRDefault="008B603D">
      <w:pPr>
        <w:autoSpaceDE w:val="0"/>
        <w:autoSpaceDN w:val="0"/>
        <w:adjustRightInd w:val="0"/>
        <w:rPr>
          <w:rFonts w:ascii="Arial" w:hAnsi="Arial" w:cs="Arial"/>
          <w:bCs/>
          <w:i/>
          <w:color w:val="000000"/>
          <w:sz w:val="20"/>
          <w:szCs w:val="20"/>
        </w:rPr>
      </w:pPr>
    </w:p>
    <w:p w14:paraId="0E5B7672" w14:textId="77777777" w:rsidR="00B77CA6" w:rsidRDefault="00B77CA6">
      <w:pPr>
        <w:autoSpaceDE w:val="0"/>
        <w:autoSpaceDN w:val="0"/>
        <w:adjustRightInd w:val="0"/>
        <w:rPr>
          <w:rFonts w:ascii="Arial" w:hAnsi="Arial" w:cs="Arial"/>
          <w:sz w:val="20"/>
          <w:szCs w:val="20"/>
        </w:rPr>
      </w:pPr>
    </w:p>
    <w:p w14:paraId="65DB9EA5" w14:textId="732C1B95" w:rsidR="00B77CA6" w:rsidRPr="00E8579A" w:rsidRDefault="00D87684" w:rsidP="00E8579A">
      <w:pPr>
        <w:pStyle w:val="Caption"/>
        <w:rPr>
          <w:rFonts w:cs="Arial"/>
          <w:szCs w:val="20"/>
        </w:rPr>
      </w:pPr>
      <w:r w:rsidRPr="00E8579A">
        <w:rPr>
          <w:rFonts w:cs="Arial"/>
          <w:szCs w:val="20"/>
        </w:rPr>
        <w:t xml:space="preserve">Table 5: Minimum inhibition concentrations for </w:t>
      </w:r>
      <w:r w:rsidRPr="00E8579A">
        <w:rPr>
          <w:rFonts w:cs="Arial"/>
          <w:szCs w:val="20"/>
          <w:lang w:val="en-US"/>
        </w:rPr>
        <w:t xml:space="preserve">Carpobrotus edulis as </w:t>
      </w:r>
      <w:r w:rsidRPr="00E8579A">
        <w:rPr>
          <w:rFonts w:cs="Arial"/>
          <w:szCs w:val="20"/>
        </w:rPr>
        <w:t xml:space="preserve">well as </w:t>
      </w:r>
      <w:r w:rsidR="00E8579A" w:rsidRPr="00E8579A">
        <w:rPr>
          <w:rFonts w:cs="Arial"/>
          <w:szCs w:val="20"/>
          <w:lang w:val="en-US"/>
        </w:rPr>
        <w:t xml:space="preserve">doxycycline </w:t>
      </w:r>
      <w:r w:rsidR="00E8579A" w:rsidRPr="00E8579A">
        <w:rPr>
          <w:rFonts w:cs="Arial"/>
          <w:szCs w:val="20"/>
        </w:rPr>
        <w:t>on</w:t>
      </w:r>
      <w:r w:rsidRPr="00E8579A">
        <w:rPr>
          <w:rFonts w:cs="Arial"/>
          <w:szCs w:val="20"/>
        </w:rPr>
        <w:t xml:space="preserve"> multidrug resistant strains</w:t>
      </w:r>
    </w:p>
    <w:p w14:paraId="356218BA" w14:textId="77777777" w:rsidR="00B77CA6" w:rsidRDefault="00B77CA6">
      <w:pPr>
        <w:autoSpaceDE w:val="0"/>
        <w:autoSpaceDN w:val="0"/>
        <w:adjustRightInd w:val="0"/>
        <w:rPr>
          <w:rFonts w:ascii="Arial" w:hAnsi="Arial" w:cs="Arial"/>
          <w:sz w:val="20"/>
          <w:szCs w:val="20"/>
        </w:rPr>
      </w:pPr>
    </w:p>
    <w:tbl>
      <w:tblPr>
        <w:tblStyle w:val="PlainTable2"/>
        <w:tblW w:w="7797" w:type="dxa"/>
        <w:tblLook w:val="04A0" w:firstRow="1" w:lastRow="0" w:firstColumn="1" w:lastColumn="0" w:noHBand="0" w:noVBand="1"/>
      </w:tblPr>
      <w:tblGrid>
        <w:gridCol w:w="2239"/>
        <w:gridCol w:w="238"/>
        <w:gridCol w:w="2763"/>
        <w:gridCol w:w="2557"/>
      </w:tblGrid>
      <w:tr w:rsidR="00B77CA6" w14:paraId="7E30C03F" w14:textId="77777777" w:rsidTr="008B603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77" w:type="dxa"/>
            <w:gridSpan w:val="2"/>
            <w:noWrap/>
          </w:tcPr>
          <w:p w14:paraId="0F5B69EB" w14:textId="77777777" w:rsidR="00B77CA6" w:rsidRDefault="00D87684">
            <w:pPr>
              <w:jc w:val="center"/>
              <w:rPr>
                <w:rFonts w:ascii="Arial" w:hAnsi="Arial" w:cs="Arial"/>
                <w:color w:val="000000"/>
                <w:sz w:val="20"/>
                <w:szCs w:val="20"/>
              </w:rPr>
            </w:pPr>
            <w:r>
              <w:rPr>
                <w:rFonts w:ascii="Arial" w:hAnsi="Arial" w:cs="Arial"/>
                <w:color w:val="000000"/>
                <w:sz w:val="20"/>
                <w:szCs w:val="20"/>
              </w:rPr>
              <w:t>Bacterial strain</w:t>
            </w:r>
          </w:p>
        </w:tc>
        <w:tc>
          <w:tcPr>
            <w:tcW w:w="5320" w:type="dxa"/>
            <w:gridSpan w:val="2"/>
            <w:noWrap/>
          </w:tcPr>
          <w:p w14:paraId="40FB27C0" w14:textId="77777777" w:rsidR="00B77CA6" w:rsidRDefault="00D8768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Minimum inhibitory concentrations mg/ml</w:t>
            </w:r>
          </w:p>
        </w:tc>
      </w:tr>
      <w:tr w:rsidR="00B77CA6" w14:paraId="07D055B6"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39" w:type="dxa"/>
            <w:noWrap/>
          </w:tcPr>
          <w:p w14:paraId="2F4C2660" w14:textId="77777777" w:rsidR="00B77CA6" w:rsidRDefault="00B77CA6">
            <w:pPr>
              <w:jc w:val="center"/>
              <w:rPr>
                <w:rFonts w:ascii="Arial" w:hAnsi="Arial" w:cs="Arial"/>
                <w:color w:val="000000"/>
                <w:sz w:val="20"/>
                <w:szCs w:val="20"/>
              </w:rPr>
            </w:pPr>
          </w:p>
        </w:tc>
        <w:tc>
          <w:tcPr>
            <w:tcW w:w="238" w:type="dxa"/>
            <w:noWrap/>
          </w:tcPr>
          <w:p w14:paraId="17690386" w14:textId="77777777" w:rsidR="00B77CA6" w:rsidRDefault="00B77CA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tc>
        <w:tc>
          <w:tcPr>
            <w:tcW w:w="2763" w:type="dxa"/>
            <w:noWrap/>
          </w:tcPr>
          <w:p w14:paraId="32B8EC92" w14:textId="77777777" w:rsidR="00B77CA6"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000000"/>
                <w:sz w:val="20"/>
                <w:szCs w:val="20"/>
              </w:rPr>
            </w:pPr>
            <w:r>
              <w:rPr>
                <w:rFonts w:ascii="Arial" w:hAnsi="Arial" w:cs="Arial"/>
                <w:b/>
                <w:i/>
                <w:color w:val="000000"/>
                <w:sz w:val="20"/>
                <w:szCs w:val="20"/>
              </w:rPr>
              <w:t>Carpobrotus edulis extract</w:t>
            </w:r>
          </w:p>
        </w:tc>
        <w:tc>
          <w:tcPr>
            <w:tcW w:w="2557" w:type="dxa"/>
            <w:noWrap/>
          </w:tcPr>
          <w:p w14:paraId="7B585C0D" w14:textId="77777777" w:rsidR="00B77CA6"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Doxycycline</w:t>
            </w:r>
          </w:p>
        </w:tc>
      </w:tr>
      <w:tr w:rsidR="00B77CA6" w14:paraId="07EDBCED" w14:textId="77777777" w:rsidTr="008B603D">
        <w:trPr>
          <w:trHeight w:val="183"/>
        </w:trPr>
        <w:tc>
          <w:tcPr>
            <w:cnfStyle w:val="001000000000" w:firstRow="0" w:lastRow="0" w:firstColumn="1" w:lastColumn="0" w:oddVBand="0" w:evenVBand="0" w:oddHBand="0" w:evenHBand="0" w:firstRowFirstColumn="0" w:firstRowLastColumn="0" w:lastRowFirstColumn="0" w:lastRowLastColumn="0"/>
            <w:tcW w:w="2239" w:type="dxa"/>
            <w:noWrap/>
          </w:tcPr>
          <w:p w14:paraId="5E74EBAD" w14:textId="77777777" w:rsidR="00B77CA6" w:rsidRDefault="00D87684">
            <w:pPr>
              <w:jc w:val="center"/>
              <w:rPr>
                <w:rFonts w:ascii="Arial" w:hAnsi="Arial" w:cs="Arial"/>
                <w:color w:val="000000"/>
                <w:sz w:val="20"/>
                <w:szCs w:val="20"/>
              </w:rPr>
            </w:pPr>
            <w:r>
              <w:rPr>
                <w:rFonts w:ascii="Arial" w:hAnsi="Arial" w:cs="Arial"/>
                <w:b w:val="0"/>
                <w:color w:val="000000"/>
                <w:sz w:val="20"/>
                <w:szCs w:val="20"/>
              </w:rPr>
              <w:t>MRSA®</w:t>
            </w:r>
          </w:p>
        </w:tc>
        <w:tc>
          <w:tcPr>
            <w:tcW w:w="238" w:type="dxa"/>
            <w:noWrap/>
          </w:tcPr>
          <w:p w14:paraId="46822D67" w14:textId="77777777" w:rsidR="00B77CA6" w:rsidRDefault="00B77CA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p>
        </w:tc>
        <w:tc>
          <w:tcPr>
            <w:tcW w:w="2763" w:type="dxa"/>
            <w:noWrap/>
          </w:tcPr>
          <w:p w14:paraId="0B14B54B" w14:textId="77777777" w:rsidR="00B77CA6"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20</w:t>
            </w:r>
          </w:p>
        </w:tc>
        <w:tc>
          <w:tcPr>
            <w:tcW w:w="2557" w:type="dxa"/>
            <w:noWrap/>
          </w:tcPr>
          <w:p w14:paraId="347BAECD" w14:textId="77777777" w:rsidR="00B77CA6"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6.25</w:t>
            </w:r>
          </w:p>
        </w:tc>
      </w:tr>
      <w:tr w:rsidR="00B77CA6" w14:paraId="4D416D4A"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39" w:type="dxa"/>
            <w:noWrap/>
          </w:tcPr>
          <w:p w14:paraId="46758A64" w14:textId="77777777" w:rsidR="00B77CA6" w:rsidRDefault="00D87684">
            <w:pPr>
              <w:jc w:val="center"/>
              <w:rPr>
                <w:rFonts w:ascii="Arial" w:hAnsi="Arial" w:cs="Arial"/>
                <w:color w:val="000000"/>
                <w:sz w:val="20"/>
                <w:szCs w:val="20"/>
              </w:rPr>
            </w:pPr>
            <w:r>
              <w:rPr>
                <w:rFonts w:ascii="Arial" w:hAnsi="Arial" w:cs="Arial"/>
                <w:b w:val="0"/>
                <w:bCs w:val="0"/>
                <w:i/>
                <w:color w:val="000000"/>
                <w:sz w:val="20"/>
                <w:szCs w:val="20"/>
              </w:rPr>
              <w:t>S.Pyogen®</w:t>
            </w:r>
          </w:p>
        </w:tc>
        <w:tc>
          <w:tcPr>
            <w:tcW w:w="238" w:type="dxa"/>
            <w:noWrap/>
          </w:tcPr>
          <w:p w14:paraId="264B044F" w14:textId="77777777" w:rsidR="00B77CA6" w:rsidRDefault="00B77CA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tc>
        <w:tc>
          <w:tcPr>
            <w:tcW w:w="2763" w:type="dxa"/>
            <w:noWrap/>
          </w:tcPr>
          <w:p w14:paraId="26F10658" w14:textId="77777777" w:rsidR="00B77CA6"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w:t>
            </w:r>
          </w:p>
        </w:tc>
        <w:tc>
          <w:tcPr>
            <w:tcW w:w="2557" w:type="dxa"/>
            <w:noWrap/>
          </w:tcPr>
          <w:p w14:paraId="078D27ED" w14:textId="77777777" w:rsidR="00B77CA6"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w:t>
            </w:r>
          </w:p>
        </w:tc>
      </w:tr>
      <w:tr w:rsidR="00B77CA6" w14:paraId="2B518AB8"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2239" w:type="dxa"/>
            <w:noWrap/>
          </w:tcPr>
          <w:p w14:paraId="620A8094" w14:textId="77777777" w:rsidR="00B77CA6" w:rsidRDefault="00D87684">
            <w:pPr>
              <w:jc w:val="center"/>
              <w:rPr>
                <w:rFonts w:ascii="Arial" w:hAnsi="Arial" w:cs="Arial"/>
                <w:color w:val="000000"/>
                <w:sz w:val="20"/>
                <w:szCs w:val="20"/>
              </w:rPr>
            </w:pPr>
            <w:r>
              <w:rPr>
                <w:rFonts w:ascii="Arial" w:hAnsi="Arial" w:cs="Arial"/>
                <w:b w:val="0"/>
                <w:color w:val="000000"/>
                <w:sz w:val="20"/>
                <w:szCs w:val="20"/>
              </w:rPr>
              <w:t>E Coli®</w:t>
            </w:r>
          </w:p>
        </w:tc>
        <w:tc>
          <w:tcPr>
            <w:tcW w:w="238" w:type="dxa"/>
            <w:noWrap/>
          </w:tcPr>
          <w:p w14:paraId="47F39FA8" w14:textId="77777777" w:rsidR="00B77CA6" w:rsidRDefault="00B77CA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p>
        </w:tc>
        <w:tc>
          <w:tcPr>
            <w:tcW w:w="2763" w:type="dxa"/>
            <w:noWrap/>
          </w:tcPr>
          <w:p w14:paraId="6840CD77" w14:textId="77777777" w:rsidR="00B77CA6"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18</w:t>
            </w:r>
          </w:p>
        </w:tc>
        <w:tc>
          <w:tcPr>
            <w:tcW w:w="2557" w:type="dxa"/>
            <w:noWrap/>
          </w:tcPr>
          <w:p w14:paraId="19173B7B" w14:textId="77777777" w:rsidR="00B77CA6"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w:t>
            </w:r>
          </w:p>
        </w:tc>
      </w:tr>
    </w:tbl>
    <w:p w14:paraId="72436EB0" w14:textId="77777777" w:rsidR="00B77CA6" w:rsidRDefault="00B77CA6">
      <w:pPr>
        <w:autoSpaceDE w:val="0"/>
        <w:autoSpaceDN w:val="0"/>
        <w:adjustRightInd w:val="0"/>
        <w:jc w:val="both"/>
        <w:rPr>
          <w:rFonts w:ascii="Arial" w:hAnsi="Arial" w:cs="Arial"/>
          <w:sz w:val="20"/>
          <w:szCs w:val="20"/>
        </w:rPr>
      </w:pPr>
    </w:p>
    <w:p w14:paraId="1FFA3878" w14:textId="77777777" w:rsidR="00B77CA6" w:rsidRDefault="00D87684">
      <w:pPr>
        <w:autoSpaceDE w:val="0"/>
        <w:autoSpaceDN w:val="0"/>
        <w:adjustRightInd w:val="0"/>
        <w:jc w:val="both"/>
        <w:rPr>
          <w:rFonts w:ascii="Arial" w:hAnsi="Arial" w:cs="Arial"/>
          <w:sz w:val="20"/>
          <w:szCs w:val="20"/>
        </w:rPr>
      </w:pPr>
      <w:r>
        <w:rPr>
          <w:rFonts w:ascii="Arial" w:hAnsi="Arial" w:cs="Arial"/>
          <w:sz w:val="20"/>
          <w:szCs w:val="20"/>
        </w:rPr>
        <w:t xml:space="preserve">The antibacterial activity of </w:t>
      </w:r>
      <w:r w:rsidRPr="00245BE0">
        <w:rPr>
          <w:rFonts w:ascii="Arial" w:hAnsi="Arial" w:cs="Arial"/>
          <w:i/>
          <w:iCs/>
          <w:sz w:val="20"/>
          <w:szCs w:val="20"/>
        </w:rPr>
        <w:t>Carpobrotus edulis</w:t>
      </w:r>
      <w:r>
        <w:rPr>
          <w:rFonts w:ascii="Arial" w:hAnsi="Arial" w:cs="Arial"/>
          <w:sz w:val="20"/>
          <w:szCs w:val="20"/>
        </w:rPr>
        <w:t xml:space="preserve"> extract was assessed against both Gram-positive and Gram-negative bacteria using the agar well diffusion method. At different concentrations, the extract exhibited measurable zones of inhibition across all tested bacterial strains, indicating a broad-spectrum antibacterial effect. The antibacterial activity of the lyophilized hydro-ethanolic extract obtained at 2</w:t>
      </w:r>
      <w:r>
        <w:rPr>
          <w:rFonts w:ascii="Arial" w:hAnsi="Arial" w:cs="Arial"/>
          <w:sz w:val="20"/>
          <w:szCs w:val="20"/>
          <w:lang w:val="en-US"/>
        </w:rPr>
        <w:t>0mg</w:t>
      </w:r>
      <w:r>
        <w:rPr>
          <w:rFonts w:ascii="Arial" w:hAnsi="Arial" w:cs="Arial"/>
          <w:sz w:val="20"/>
          <w:szCs w:val="20"/>
        </w:rPr>
        <w:t xml:space="preserve">/ml is much better than those reported in many studies. There was not much difference in antibacterial activities of </w:t>
      </w:r>
      <w:r w:rsidRPr="00245BE0">
        <w:rPr>
          <w:rFonts w:ascii="Arial" w:hAnsi="Arial" w:cs="Arial"/>
          <w:i/>
          <w:iCs/>
          <w:sz w:val="20"/>
          <w:szCs w:val="20"/>
          <w:lang w:val="en-US"/>
        </w:rPr>
        <w:t>Carpobrotus edulis</w:t>
      </w:r>
      <w:r>
        <w:rPr>
          <w:rFonts w:ascii="Arial" w:hAnsi="Arial" w:cs="Arial"/>
          <w:sz w:val="20"/>
          <w:szCs w:val="20"/>
          <w:lang w:val="en-US"/>
        </w:rPr>
        <w:t xml:space="preserve"> </w:t>
      </w:r>
      <w:r>
        <w:rPr>
          <w:rFonts w:ascii="Arial" w:hAnsi="Arial" w:cs="Arial"/>
          <w:sz w:val="20"/>
          <w:szCs w:val="20"/>
        </w:rPr>
        <w:t>between the bacterial strains, despite the structural differences in bacterial morphologies between gram-positive and gram-negative types.  The increase in zone diameters with rising concentration confirms a dose-dependent response, and the extract’s efficacy, especially against a MSSA and E. coli, suggests the presence of potent antibacterial phytochemicals such as tannins, flavonoids and alkaloids. These compounds are known to disrupt bacterial cell walls, interfere with protein synthesis and inhibit nucleic acid replication.</w:t>
      </w:r>
    </w:p>
    <w:p w14:paraId="5D552809" w14:textId="77777777" w:rsidR="00B77CA6" w:rsidRPr="008A4E15" w:rsidRDefault="00D87684">
      <w:pPr>
        <w:pStyle w:val="Heading1"/>
        <w:rPr>
          <w:rFonts w:ascii="Arial" w:hAnsi="Arial" w:cs="Arial"/>
          <w:sz w:val="24"/>
          <w:szCs w:val="24"/>
        </w:rPr>
      </w:pPr>
      <w:r w:rsidRPr="008A4E15">
        <w:rPr>
          <w:rFonts w:ascii="Arial" w:hAnsi="Arial" w:cs="Arial"/>
          <w:sz w:val="24"/>
          <w:szCs w:val="24"/>
        </w:rPr>
        <w:t>Conclusions</w:t>
      </w:r>
    </w:p>
    <w:p w14:paraId="26EDD64F" w14:textId="586554EF" w:rsidR="00B77CA6" w:rsidRDefault="00D87684">
      <w:pPr>
        <w:jc w:val="both"/>
        <w:rPr>
          <w:rFonts w:ascii="Arial" w:hAnsi="Arial" w:cs="Arial"/>
          <w:sz w:val="20"/>
          <w:szCs w:val="20"/>
        </w:rPr>
      </w:pPr>
      <w:r>
        <w:rPr>
          <w:rFonts w:ascii="Arial" w:hAnsi="Arial" w:cs="Arial"/>
          <w:sz w:val="20"/>
          <w:szCs w:val="20"/>
        </w:rPr>
        <w:t>The</w:t>
      </w:r>
      <w:r>
        <w:rPr>
          <w:rFonts w:ascii="Arial" w:hAnsi="Arial" w:cs="Arial"/>
          <w:sz w:val="20"/>
          <w:szCs w:val="20"/>
          <w:lang w:val="en-US"/>
        </w:rPr>
        <w:t xml:space="preserve"> </w:t>
      </w:r>
      <w:r>
        <w:rPr>
          <w:rFonts w:ascii="Arial" w:hAnsi="Arial" w:cs="Arial"/>
          <w:sz w:val="20"/>
          <w:szCs w:val="20"/>
        </w:rPr>
        <w:t xml:space="preserve">lyophilized hydro-ethanolic extracts of </w:t>
      </w:r>
      <w:r>
        <w:rPr>
          <w:rFonts w:ascii="Arial" w:hAnsi="Arial" w:cs="Arial"/>
          <w:i/>
          <w:iCs/>
          <w:sz w:val="20"/>
          <w:szCs w:val="20"/>
        </w:rPr>
        <w:t xml:space="preserve">Carpobrotus edulis </w:t>
      </w:r>
      <w:r>
        <w:rPr>
          <w:rFonts w:ascii="Arial" w:hAnsi="Arial" w:cs="Arial"/>
          <w:iCs/>
          <w:sz w:val="20"/>
          <w:szCs w:val="20"/>
        </w:rPr>
        <w:t>were shown to</w:t>
      </w:r>
      <w:r>
        <w:rPr>
          <w:rFonts w:ascii="Arial" w:hAnsi="Arial" w:cs="Arial"/>
          <w:i/>
          <w:iCs/>
          <w:sz w:val="20"/>
          <w:szCs w:val="20"/>
        </w:rPr>
        <w:t xml:space="preserve"> </w:t>
      </w:r>
      <w:r>
        <w:rPr>
          <w:rFonts w:ascii="Arial" w:hAnsi="Arial" w:cs="Arial"/>
          <w:sz w:val="20"/>
          <w:szCs w:val="20"/>
        </w:rPr>
        <w:t>possess considerable anti</w:t>
      </w:r>
      <w:r>
        <w:rPr>
          <w:rFonts w:ascii="Arial" w:hAnsi="Arial" w:cs="Arial"/>
          <w:sz w:val="20"/>
          <w:szCs w:val="20"/>
          <w:lang w:val="en-US"/>
        </w:rPr>
        <w:t xml:space="preserve">bacterial </w:t>
      </w:r>
      <w:r>
        <w:rPr>
          <w:rFonts w:ascii="Arial" w:hAnsi="Arial" w:cs="Arial"/>
          <w:sz w:val="20"/>
          <w:szCs w:val="20"/>
        </w:rPr>
        <w:t xml:space="preserve">and anti-inflammatory activities. The observed activities were attributable to the presence </w:t>
      </w:r>
      <w:r>
        <w:rPr>
          <w:rFonts w:ascii="Arial" w:hAnsi="Arial" w:cs="Arial"/>
          <w:sz w:val="20"/>
          <w:szCs w:val="20"/>
        </w:rPr>
        <w:lastRenderedPageBreak/>
        <w:t xml:space="preserve">of secondary metabolites including </w:t>
      </w:r>
      <w:r>
        <w:rPr>
          <w:rFonts w:ascii="Arial" w:hAnsi="Arial" w:cs="Arial"/>
          <w:sz w:val="20"/>
          <w:szCs w:val="20"/>
          <w:lang w:val="en-US"/>
        </w:rPr>
        <w:t>tannin</w:t>
      </w:r>
      <w:r>
        <w:rPr>
          <w:rFonts w:ascii="Arial" w:hAnsi="Arial" w:cs="Arial"/>
          <w:sz w:val="20"/>
          <w:szCs w:val="20"/>
        </w:rPr>
        <w:t xml:space="preserve">s, phenolic compounds, flavonoids, and </w:t>
      </w:r>
      <w:r>
        <w:rPr>
          <w:rFonts w:ascii="Arial" w:hAnsi="Arial" w:cs="Arial"/>
          <w:sz w:val="20"/>
          <w:szCs w:val="20"/>
          <w:lang w:val="en-US"/>
        </w:rPr>
        <w:t>alkaloids</w:t>
      </w:r>
      <w:r>
        <w:rPr>
          <w:rFonts w:ascii="Arial" w:hAnsi="Arial" w:cs="Arial"/>
          <w:sz w:val="20"/>
          <w:szCs w:val="20"/>
        </w:rPr>
        <w:t xml:space="preserve">. These contribute to the underlying mechanisms behind the plant’s proven </w:t>
      </w:r>
      <w:r>
        <w:rPr>
          <w:rFonts w:ascii="Arial" w:hAnsi="Arial" w:cs="Arial"/>
          <w:sz w:val="20"/>
          <w:szCs w:val="20"/>
          <w:lang w:val="en-US"/>
        </w:rPr>
        <w:t>antibacterial</w:t>
      </w:r>
      <w:r>
        <w:rPr>
          <w:rFonts w:ascii="Arial" w:hAnsi="Arial" w:cs="Arial"/>
          <w:sz w:val="20"/>
          <w:szCs w:val="20"/>
        </w:rPr>
        <w:t xml:space="preserve"> effects and therapeutic activities in </w:t>
      </w:r>
      <w:r>
        <w:rPr>
          <w:rFonts w:ascii="Arial" w:hAnsi="Arial" w:cs="Arial"/>
          <w:sz w:val="20"/>
          <w:szCs w:val="20"/>
          <w:lang w:val="en-US"/>
        </w:rPr>
        <w:t>tonsillitis</w:t>
      </w:r>
      <w:r>
        <w:rPr>
          <w:rFonts w:ascii="Arial" w:hAnsi="Arial" w:cs="Arial"/>
          <w:i/>
          <w:iCs/>
          <w:sz w:val="20"/>
          <w:szCs w:val="20"/>
        </w:rPr>
        <w:t>.</w:t>
      </w:r>
      <w:r w:rsidR="00245BE0">
        <w:rPr>
          <w:rFonts w:ascii="Arial" w:hAnsi="Arial" w:cs="Arial"/>
          <w:i/>
          <w:iCs/>
          <w:sz w:val="20"/>
          <w:szCs w:val="20"/>
        </w:rPr>
        <w:t xml:space="preserve"> </w:t>
      </w:r>
      <w:r>
        <w:rPr>
          <w:rFonts w:ascii="Arial" w:hAnsi="Arial" w:cs="Arial"/>
          <w:i/>
          <w:iCs/>
          <w:sz w:val="20"/>
          <w:szCs w:val="20"/>
          <w:lang w:val="en-US"/>
        </w:rPr>
        <w:t>C.</w:t>
      </w:r>
      <w:r>
        <w:rPr>
          <w:rFonts w:ascii="Arial" w:hAnsi="Arial" w:cs="Arial"/>
          <w:i/>
          <w:iCs/>
          <w:sz w:val="20"/>
          <w:szCs w:val="20"/>
        </w:rPr>
        <w:t xml:space="preserve">edulis </w:t>
      </w:r>
      <w:r>
        <w:rPr>
          <w:rFonts w:ascii="Arial" w:hAnsi="Arial" w:cs="Arial"/>
          <w:sz w:val="20"/>
          <w:szCs w:val="20"/>
        </w:rPr>
        <w:t xml:space="preserve">was nontoxic at </w:t>
      </w:r>
      <w:r>
        <w:rPr>
          <w:rFonts w:ascii="Arial" w:hAnsi="Arial" w:cs="Arial"/>
          <w:sz w:val="20"/>
          <w:szCs w:val="20"/>
          <w:lang w:val="en-US"/>
        </w:rPr>
        <w:t>2</w:t>
      </w:r>
      <w:r>
        <w:rPr>
          <w:rFonts w:ascii="Arial" w:hAnsi="Arial" w:cs="Arial"/>
          <w:sz w:val="20"/>
          <w:szCs w:val="20"/>
        </w:rPr>
        <w:t xml:space="preserve">000mg/kg. Our biosafety and bioactivity studies therefore authenticate the use of </w:t>
      </w:r>
      <w:r>
        <w:rPr>
          <w:rFonts w:ascii="Arial" w:hAnsi="Arial" w:cs="Arial"/>
          <w:i/>
          <w:iCs/>
          <w:sz w:val="20"/>
          <w:szCs w:val="20"/>
        </w:rPr>
        <w:t>Carpobrotus edulis</w:t>
      </w:r>
      <w:r>
        <w:rPr>
          <w:rFonts w:ascii="Arial" w:hAnsi="Arial" w:cs="Arial"/>
          <w:sz w:val="20"/>
          <w:szCs w:val="20"/>
        </w:rPr>
        <w:t xml:space="preserve"> as a potential anti</w:t>
      </w:r>
      <w:r>
        <w:rPr>
          <w:rFonts w:ascii="Arial" w:hAnsi="Arial" w:cs="Arial"/>
          <w:sz w:val="20"/>
          <w:szCs w:val="20"/>
          <w:lang w:val="en-US"/>
        </w:rPr>
        <w:t xml:space="preserve">bacterial </w:t>
      </w:r>
      <w:r>
        <w:rPr>
          <w:rFonts w:ascii="Arial" w:hAnsi="Arial" w:cs="Arial"/>
          <w:sz w:val="20"/>
          <w:szCs w:val="20"/>
        </w:rPr>
        <w:t>remedy in traditional medicine.</w:t>
      </w:r>
    </w:p>
    <w:p w14:paraId="06F119EB" w14:textId="748503F4" w:rsidR="005965BD" w:rsidRPr="008A4E15" w:rsidRDefault="001E2B8E" w:rsidP="001E2B8E">
      <w:pPr>
        <w:pStyle w:val="Heading1"/>
        <w:rPr>
          <w:rFonts w:ascii="Arial" w:hAnsi="Arial" w:cs="Arial"/>
          <w:sz w:val="24"/>
          <w:szCs w:val="24"/>
        </w:rPr>
      </w:pPr>
      <w:r w:rsidRPr="008A4E15">
        <w:rPr>
          <w:rFonts w:ascii="Arial" w:hAnsi="Arial" w:cs="Arial"/>
          <w:sz w:val="24"/>
          <w:szCs w:val="24"/>
        </w:rPr>
        <w:t>References</w:t>
      </w:r>
    </w:p>
    <w:p w14:paraId="0765196A" w14:textId="77777777" w:rsidR="00245BE0" w:rsidRPr="00E8579A" w:rsidRDefault="005965BD">
      <w:pPr>
        <w:contextualSpacing/>
        <w:jc w:val="both"/>
        <w:rPr>
          <w:rFonts w:ascii="Arial" w:eastAsia="Calibri" w:hAnsi="Arial" w:cs="Arial"/>
          <w:noProof/>
          <w:kern w:val="2"/>
          <w:sz w:val="20"/>
          <w:szCs w:val="20"/>
          <w:lang w:eastAsia="en-US"/>
          <w14:ligatures w14:val="standardContextual"/>
        </w:rPr>
      </w:pPr>
      <w:r w:rsidRPr="00E8579A">
        <w:rPr>
          <w:rFonts w:ascii="Arial" w:hAnsi="Arial" w:cs="Arial"/>
          <w:sz w:val="20"/>
          <w:szCs w:val="20"/>
        </w:rPr>
        <w:fldChar w:fldCharType="begin"/>
      </w:r>
      <w:r w:rsidRPr="00E8579A">
        <w:rPr>
          <w:rFonts w:ascii="Arial" w:hAnsi="Arial" w:cs="Arial"/>
          <w:sz w:val="20"/>
          <w:szCs w:val="20"/>
        </w:rPr>
        <w:instrText xml:space="preserve"> BIBLIOGRAPHY  \l 12297 </w:instrText>
      </w:r>
      <w:r w:rsidRPr="00E8579A">
        <w:rPr>
          <w:rFonts w:ascii="Arial" w:hAnsi="Arial" w:cs="Arial"/>
          <w:sz w:val="20"/>
          <w:szCs w:val="2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8617"/>
      </w:tblGrid>
      <w:tr w:rsidR="00245BE0" w:rsidRPr="00E8579A" w14:paraId="6A34FB67" w14:textId="77777777">
        <w:trPr>
          <w:divId w:val="658847678"/>
          <w:tblCellSpacing w:w="15" w:type="dxa"/>
        </w:trPr>
        <w:tc>
          <w:tcPr>
            <w:tcW w:w="50" w:type="pct"/>
            <w:hideMark/>
          </w:tcPr>
          <w:p w14:paraId="1B9FCA0A" w14:textId="64A775F5"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 </w:t>
            </w:r>
          </w:p>
        </w:tc>
        <w:tc>
          <w:tcPr>
            <w:tcW w:w="0" w:type="auto"/>
            <w:hideMark/>
          </w:tcPr>
          <w:p w14:paraId="5C169A94"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K. Akinyede, O. Olajide and S. Ounbawo, "Phytochemcal screenng and antimcrobial activity of aqueous and ethanolic leaf extracts of Carpobrotus edulis," </w:t>
            </w:r>
            <w:r w:rsidRPr="00E8579A">
              <w:rPr>
                <w:rFonts w:ascii="Arial" w:hAnsi="Arial" w:cs="Arial"/>
                <w:i/>
                <w:iCs/>
                <w:noProof/>
                <w:sz w:val="20"/>
                <w:szCs w:val="20"/>
              </w:rPr>
              <w:t xml:space="preserve">African journal of biomedical research, </w:t>
            </w:r>
            <w:r w:rsidRPr="00E8579A">
              <w:rPr>
                <w:rFonts w:ascii="Arial" w:hAnsi="Arial" w:cs="Arial"/>
                <w:noProof/>
                <w:sz w:val="20"/>
                <w:szCs w:val="20"/>
              </w:rPr>
              <w:t xml:space="preserve">vol. 1, no. 23, pp. 39-45, 2020. </w:t>
            </w:r>
          </w:p>
        </w:tc>
      </w:tr>
      <w:tr w:rsidR="00245BE0" w:rsidRPr="00E8579A" w14:paraId="1A1FB87F" w14:textId="77777777">
        <w:trPr>
          <w:divId w:val="658847678"/>
          <w:tblCellSpacing w:w="15" w:type="dxa"/>
        </w:trPr>
        <w:tc>
          <w:tcPr>
            <w:tcW w:w="50" w:type="pct"/>
            <w:hideMark/>
          </w:tcPr>
          <w:p w14:paraId="0D9D7DE1"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 </w:t>
            </w:r>
          </w:p>
        </w:tc>
        <w:tc>
          <w:tcPr>
            <w:tcW w:w="0" w:type="auto"/>
            <w:hideMark/>
          </w:tcPr>
          <w:p w14:paraId="6DF2E3F2"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H. Z. Jaafar, M. H. Ibrahim and K. E, "Phenolics and flavonoids compounds, phenylanine ammonia lyase and antioxidant activity responses to elevated CO</w:t>
            </w:r>
            <w:r w:rsidRPr="00E8579A">
              <w:rPr>
                <w:rFonts w:ascii="Cambria Math" w:hAnsi="Cambria Math" w:cs="Cambria Math"/>
                <w:noProof/>
                <w:sz w:val="20"/>
                <w:szCs w:val="20"/>
              </w:rPr>
              <w:t>₂</w:t>
            </w:r>
            <w:r w:rsidRPr="00E8579A">
              <w:rPr>
                <w:rFonts w:ascii="Arial" w:hAnsi="Arial" w:cs="Arial"/>
                <w:noProof/>
                <w:sz w:val="20"/>
                <w:szCs w:val="20"/>
              </w:rPr>
              <w:t xml:space="preserve"> in Labisia pumila (Myrisinaceae). Molecules.," in </w:t>
            </w:r>
            <w:r w:rsidRPr="00E8579A">
              <w:rPr>
                <w:rFonts w:ascii="Arial" w:hAnsi="Arial" w:cs="Arial"/>
                <w:i/>
                <w:iCs/>
                <w:noProof/>
                <w:sz w:val="20"/>
                <w:szCs w:val="20"/>
              </w:rPr>
              <w:t>Molecules</w:t>
            </w:r>
            <w:r w:rsidRPr="00E8579A">
              <w:rPr>
                <w:rFonts w:ascii="Arial" w:hAnsi="Arial" w:cs="Arial"/>
                <w:noProof/>
                <w:sz w:val="20"/>
                <w:szCs w:val="20"/>
              </w:rPr>
              <w:t>, vol. 6, 2012, pp. 6331-6347.</w:t>
            </w:r>
          </w:p>
        </w:tc>
      </w:tr>
      <w:tr w:rsidR="00245BE0" w:rsidRPr="00E8579A" w14:paraId="51465C17" w14:textId="77777777">
        <w:trPr>
          <w:divId w:val="658847678"/>
          <w:tblCellSpacing w:w="15" w:type="dxa"/>
        </w:trPr>
        <w:tc>
          <w:tcPr>
            <w:tcW w:w="50" w:type="pct"/>
            <w:hideMark/>
          </w:tcPr>
          <w:p w14:paraId="4DF5A419"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[3] </w:t>
            </w:r>
          </w:p>
        </w:tc>
        <w:tc>
          <w:tcPr>
            <w:tcW w:w="0" w:type="auto"/>
            <w:hideMark/>
          </w:tcPr>
          <w:p w14:paraId="63A52341"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J. C. D. Research, "Herbal formulation and its potential in the treatment of tonsillitis: A review.," </w:t>
            </w:r>
            <w:r w:rsidRPr="00E8579A">
              <w:rPr>
                <w:rFonts w:ascii="Arial" w:hAnsi="Arial" w:cs="Arial"/>
                <w:i/>
                <w:iCs/>
                <w:noProof/>
                <w:sz w:val="20"/>
                <w:szCs w:val="20"/>
              </w:rPr>
              <w:t xml:space="preserve">Journal of Chemical and Pharmaceutical Research, </w:t>
            </w:r>
            <w:r w:rsidRPr="00E8579A">
              <w:rPr>
                <w:rFonts w:ascii="Arial" w:hAnsi="Arial" w:cs="Arial"/>
                <w:noProof/>
                <w:sz w:val="20"/>
                <w:szCs w:val="20"/>
              </w:rPr>
              <w:t xml:space="preserve">vol. 6, no. 9, pp. 40-45, 2017. </w:t>
            </w:r>
          </w:p>
        </w:tc>
      </w:tr>
      <w:tr w:rsidR="00245BE0" w:rsidRPr="00E8579A" w14:paraId="4BB468C5" w14:textId="77777777">
        <w:trPr>
          <w:divId w:val="658847678"/>
          <w:tblCellSpacing w:w="15" w:type="dxa"/>
        </w:trPr>
        <w:tc>
          <w:tcPr>
            <w:tcW w:w="50" w:type="pct"/>
            <w:hideMark/>
          </w:tcPr>
          <w:p w14:paraId="1347B247"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[4] </w:t>
            </w:r>
          </w:p>
        </w:tc>
        <w:tc>
          <w:tcPr>
            <w:tcW w:w="0" w:type="auto"/>
            <w:hideMark/>
          </w:tcPr>
          <w:p w14:paraId="408F120E"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H. Schneider, T. Dienemann, P. Rohdewald and S. Schwartz, "Herbal interventions in streptococcal infections: Clinical perspectives and evidence.," </w:t>
            </w:r>
            <w:r w:rsidRPr="00E8579A">
              <w:rPr>
                <w:rFonts w:ascii="Arial" w:hAnsi="Arial" w:cs="Arial"/>
                <w:i/>
                <w:iCs/>
                <w:noProof/>
                <w:sz w:val="20"/>
                <w:szCs w:val="20"/>
              </w:rPr>
              <w:t xml:space="preserve">Phytomedicine, </w:t>
            </w:r>
            <w:r w:rsidRPr="00E8579A">
              <w:rPr>
                <w:rFonts w:ascii="Arial" w:hAnsi="Arial" w:cs="Arial"/>
                <w:noProof/>
                <w:sz w:val="20"/>
                <w:szCs w:val="20"/>
              </w:rPr>
              <w:t xml:space="preserve">no. 102, pp. 154-224, 2022. </w:t>
            </w:r>
          </w:p>
        </w:tc>
      </w:tr>
      <w:tr w:rsidR="00245BE0" w:rsidRPr="00E8579A" w14:paraId="6E738DAF" w14:textId="77777777">
        <w:trPr>
          <w:divId w:val="658847678"/>
          <w:tblCellSpacing w:w="15" w:type="dxa"/>
        </w:trPr>
        <w:tc>
          <w:tcPr>
            <w:tcW w:w="50" w:type="pct"/>
            <w:hideMark/>
          </w:tcPr>
          <w:p w14:paraId="6324248E"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[5] </w:t>
            </w:r>
          </w:p>
        </w:tc>
        <w:tc>
          <w:tcPr>
            <w:tcW w:w="0" w:type="auto"/>
            <w:hideMark/>
          </w:tcPr>
          <w:p w14:paraId="7C9B575D"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A. Bisno, "Acute pharyngitis," </w:t>
            </w:r>
            <w:r w:rsidRPr="00E8579A">
              <w:rPr>
                <w:rFonts w:ascii="Arial" w:hAnsi="Arial" w:cs="Arial"/>
                <w:i/>
                <w:iCs/>
                <w:noProof/>
                <w:sz w:val="20"/>
                <w:szCs w:val="20"/>
              </w:rPr>
              <w:t xml:space="preserve">The New England Journal of Medicine,, </w:t>
            </w:r>
            <w:r w:rsidRPr="00E8579A">
              <w:rPr>
                <w:rFonts w:ascii="Arial" w:hAnsi="Arial" w:cs="Arial"/>
                <w:noProof/>
                <w:sz w:val="20"/>
                <w:szCs w:val="20"/>
              </w:rPr>
              <w:t xml:space="preserve">vol. 344, no. 3, p. 205–211, 2001. </w:t>
            </w:r>
          </w:p>
        </w:tc>
      </w:tr>
      <w:tr w:rsidR="00245BE0" w:rsidRPr="00E8579A" w14:paraId="12902B9B" w14:textId="77777777">
        <w:trPr>
          <w:divId w:val="658847678"/>
          <w:tblCellSpacing w:w="15" w:type="dxa"/>
        </w:trPr>
        <w:tc>
          <w:tcPr>
            <w:tcW w:w="50" w:type="pct"/>
            <w:hideMark/>
          </w:tcPr>
          <w:p w14:paraId="620F5900"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[6] </w:t>
            </w:r>
          </w:p>
        </w:tc>
        <w:tc>
          <w:tcPr>
            <w:tcW w:w="0" w:type="auto"/>
            <w:hideMark/>
          </w:tcPr>
          <w:p w14:paraId="01D63A88"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S. Shulman, A. L. Bisno, H. W. Clegg, M. A. Gerber, E. L. Kaplan, G. Lee, J. M. Martin and C. Van Beneden, "Clinical practice guideline for the diagnosis and management of group A streptococcal pharyngitis," </w:t>
            </w:r>
            <w:r w:rsidRPr="00E8579A">
              <w:rPr>
                <w:rFonts w:ascii="Arial" w:hAnsi="Arial" w:cs="Arial"/>
                <w:i/>
                <w:iCs/>
                <w:noProof/>
                <w:sz w:val="20"/>
                <w:szCs w:val="20"/>
              </w:rPr>
              <w:t xml:space="preserve">Clinical infectious diseases, </w:t>
            </w:r>
            <w:r w:rsidRPr="00E8579A">
              <w:rPr>
                <w:rFonts w:ascii="Arial" w:hAnsi="Arial" w:cs="Arial"/>
                <w:noProof/>
                <w:sz w:val="20"/>
                <w:szCs w:val="20"/>
              </w:rPr>
              <w:t xml:space="preserve">vol. 55, no. 10, pp. 1279-1282, 2012. </w:t>
            </w:r>
          </w:p>
        </w:tc>
      </w:tr>
      <w:tr w:rsidR="00245BE0" w:rsidRPr="00E8579A" w14:paraId="48DEC316" w14:textId="77777777">
        <w:trPr>
          <w:divId w:val="658847678"/>
          <w:tblCellSpacing w:w="15" w:type="dxa"/>
        </w:trPr>
        <w:tc>
          <w:tcPr>
            <w:tcW w:w="50" w:type="pct"/>
            <w:hideMark/>
          </w:tcPr>
          <w:p w14:paraId="3FE595A1"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[7] </w:t>
            </w:r>
          </w:p>
        </w:tc>
        <w:tc>
          <w:tcPr>
            <w:tcW w:w="0" w:type="auto"/>
            <w:hideMark/>
          </w:tcPr>
          <w:p w14:paraId="65AA146F"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S. Kariuki, "Herbal medicines and their role in managing respiratory infections in East Africa.," </w:t>
            </w:r>
            <w:r w:rsidRPr="00E8579A">
              <w:rPr>
                <w:rFonts w:ascii="Arial" w:hAnsi="Arial" w:cs="Arial"/>
                <w:i/>
                <w:iCs/>
                <w:noProof/>
                <w:sz w:val="20"/>
                <w:szCs w:val="20"/>
              </w:rPr>
              <w:t xml:space="preserve">African Journal of Traditional, Complementary and Alternative Medicines, </w:t>
            </w:r>
            <w:r w:rsidRPr="00E8579A">
              <w:rPr>
                <w:rFonts w:ascii="Arial" w:hAnsi="Arial" w:cs="Arial"/>
                <w:noProof/>
                <w:sz w:val="20"/>
                <w:szCs w:val="20"/>
              </w:rPr>
              <w:t xml:space="preserve">vol. 11, no. 5, pp. 14-19, 2014. </w:t>
            </w:r>
          </w:p>
        </w:tc>
      </w:tr>
      <w:tr w:rsidR="00245BE0" w:rsidRPr="00E8579A" w14:paraId="23E60455" w14:textId="77777777">
        <w:trPr>
          <w:divId w:val="658847678"/>
          <w:tblCellSpacing w:w="15" w:type="dxa"/>
        </w:trPr>
        <w:tc>
          <w:tcPr>
            <w:tcW w:w="50" w:type="pct"/>
            <w:hideMark/>
          </w:tcPr>
          <w:p w14:paraId="24EEF7E3"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[8] </w:t>
            </w:r>
          </w:p>
        </w:tc>
        <w:tc>
          <w:tcPr>
            <w:tcW w:w="0" w:type="auto"/>
            <w:hideMark/>
          </w:tcPr>
          <w:p w14:paraId="7EA89195"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M. E. Pichichero, "Group A streptococcal tonsillopharyngitis in children: Clinical features and treatment," Pichichero M E, Luwanga, 2019.</w:t>
            </w:r>
          </w:p>
        </w:tc>
      </w:tr>
      <w:tr w:rsidR="00245BE0" w:rsidRPr="00E8579A" w14:paraId="41F79C43" w14:textId="77777777">
        <w:trPr>
          <w:divId w:val="658847678"/>
          <w:tblCellSpacing w:w="15" w:type="dxa"/>
        </w:trPr>
        <w:tc>
          <w:tcPr>
            <w:tcW w:w="50" w:type="pct"/>
            <w:hideMark/>
          </w:tcPr>
          <w:p w14:paraId="4A40E674"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[9] </w:t>
            </w:r>
          </w:p>
        </w:tc>
        <w:tc>
          <w:tcPr>
            <w:tcW w:w="0" w:type="auto"/>
            <w:hideMark/>
          </w:tcPr>
          <w:p w14:paraId="36D5C51C"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Y. S. Yildirim, Y. Karslioglu and M. Yildirim, "Environmental factors in recurrent tonsillitis: air pollution and allergic sensitization," </w:t>
            </w:r>
            <w:r w:rsidRPr="00E8579A">
              <w:rPr>
                <w:rFonts w:ascii="Arial" w:hAnsi="Arial" w:cs="Arial"/>
                <w:i/>
                <w:iCs/>
                <w:noProof/>
                <w:sz w:val="20"/>
                <w:szCs w:val="20"/>
              </w:rPr>
              <w:t xml:space="preserve">International Journal of Pediatric Otorhinolaryngology,, </w:t>
            </w:r>
            <w:r w:rsidRPr="00E8579A">
              <w:rPr>
                <w:rFonts w:ascii="Arial" w:hAnsi="Arial" w:cs="Arial"/>
                <w:noProof/>
                <w:sz w:val="20"/>
                <w:szCs w:val="20"/>
              </w:rPr>
              <w:t xml:space="preserve">vol. 77, no. 4, pp. 561-564, 2013. </w:t>
            </w:r>
          </w:p>
        </w:tc>
      </w:tr>
      <w:tr w:rsidR="00245BE0" w:rsidRPr="00E8579A" w14:paraId="7F2B82A1" w14:textId="77777777">
        <w:trPr>
          <w:divId w:val="658847678"/>
          <w:tblCellSpacing w:w="15" w:type="dxa"/>
        </w:trPr>
        <w:tc>
          <w:tcPr>
            <w:tcW w:w="50" w:type="pct"/>
            <w:hideMark/>
          </w:tcPr>
          <w:p w14:paraId="53328F0E"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[10] </w:t>
            </w:r>
          </w:p>
        </w:tc>
        <w:tc>
          <w:tcPr>
            <w:tcW w:w="0" w:type="auto"/>
            <w:hideMark/>
          </w:tcPr>
          <w:p w14:paraId="55A6E852"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N. Balasundram, K. Sundram and S. Samman, "Phenolic compounds in plants and agri-industrial by-products: Antioxidant activity, occurrence, and potential uses," </w:t>
            </w:r>
            <w:r w:rsidRPr="00E8579A">
              <w:rPr>
                <w:rFonts w:ascii="Arial" w:hAnsi="Arial" w:cs="Arial"/>
                <w:i/>
                <w:iCs/>
                <w:noProof/>
                <w:sz w:val="20"/>
                <w:szCs w:val="20"/>
              </w:rPr>
              <w:t xml:space="preserve">Food Chemistry,, </w:t>
            </w:r>
            <w:r w:rsidRPr="00E8579A">
              <w:rPr>
                <w:rFonts w:ascii="Arial" w:hAnsi="Arial" w:cs="Arial"/>
                <w:noProof/>
                <w:sz w:val="20"/>
                <w:szCs w:val="20"/>
              </w:rPr>
              <w:t xml:space="preserve">vol. 99, no. 1, pp. 191-203, 2006. </w:t>
            </w:r>
          </w:p>
        </w:tc>
      </w:tr>
      <w:tr w:rsidR="00245BE0" w:rsidRPr="00E8579A" w14:paraId="74562BDD" w14:textId="77777777">
        <w:trPr>
          <w:divId w:val="658847678"/>
          <w:tblCellSpacing w:w="15" w:type="dxa"/>
        </w:trPr>
        <w:tc>
          <w:tcPr>
            <w:tcW w:w="50" w:type="pct"/>
            <w:hideMark/>
          </w:tcPr>
          <w:p w14:paraId="433F4975"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[11] </w:t>
            </w:r>
          </w:p>
        </w:tc>
        <w:tc>
          <w:tcPr>
            <w:tcW w:w="0" w:type="auto"/>
            <w:hideMark/>
          </w:tcPr>
          <w:p w14:paraId="6DF1E7CA"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S. Kumar and A. K. Pandey, "Chemistry and biological activities of flavonoids: An overview," </w:t>
            </w:r>
            <w:r w:rsidRPr="00E8579A">
              <w:rPr>
                <w:rFonts w:ascii="Arial" w:hAnsi="Arial" w:cs="Arial"/>
                <w:i/>
                <w:iCs/>
                <w:noProof/>
                <w:sz w:val="20"/>
                <w:szCs w:val="20"/>
              </w:rPr>
              <w:t xml:space="preserve">The Scientific World Journal, </w:t>
            </w:r>
            <w:r w:rsidRPr="00E8579A">
              <w:rPr>
                <w:rFonts w:ascii="Arial" w:hAnsi="Arial" w:cs="Arial"/>
                <w:noProof/>
                <w:sz w:val="20"/>
                <w:szCs w:val="20"/>
              </w:rPr>
              <w:t xml:space="preserve">vol. 1, no. 1, pp. 23-45, 2017. </w:t>
            </w:r>
          </w:p>
        </w:tc>
      </w:tr>
      <w:tr w:rsidR="00245BE0" w:rsidRPr="00E8579A" w14:paraId="35AE81A1" w14:textId="77777777">
        <w:trPr>
          <w:divId w:val="658847678"/>
          <w:tblCellSpacing w:w="15" w:type="dxa"/>
        </w:trPr>
        <w:tc>
          <w:tcPr>
            <w:tcW w:w="50" w:type="pct"/>
            <w:hideMark/>
          </w:tcPr>
          <w:p w14:paraId="28DDA450"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[12] </w:t>
            </w:r>
          </w:p>
        </w:tc>
        <w:tc>
          <w:tcPr>
            <w:tcW w:w="0" w:type="auto"/>
            <w:hideMark/>
          </w:tcPr>
          <w:p w14:paraId="59F5619C"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A. Scalbert, "Antimicrobial properties of tannins," </w:t>
            </w:r>
            <w:r w:rsidRPr="00E8579A">
              <w:rPr>
                <w:rFonts w:ascii="Arial" w:hAnsi="Arial" w:cs="Arial"/>
                <w:i/>
                <w:iCs/>
                <w:noProof/>
                <w:sz w:val="20"/>
                <w:szCs w:val="20"/>
              </w:rPr>
              <w:t xml:space="preserve">Phytochemistry, </w:t>
            </w:r>
            <w:r w:rsidRPr="00E8579A">
              <w:rPr>
                <w:rFonts w:ascii="Arial" w:hAnsi="Arial" w:cs="Arial"/>
                <w:noProof/>
                <w:sz w:val="20"/>
                <w:szCs w:val="20"/>
              </w:rPr>
              <w:t xml:space="preserve">vol. 30, no. 12, p. 3875–3883, 1991. </w:t>
            </w:r>
          </w:p>
        </w:tc>
      </w:tr>
      <w:tr w:rsidR="00245BE0" w:rsidRPr="00E8579A" w14:paraId="122B348A" w14:textId="77777777">
        <w:trPr>
          <w:divId w:val="658847678"/>
          <w:tblCellSpacing w:w="15" w:type="dxa"/>
        </w:trPr>
        <w:tc>
          <w:tcPr>
            <w:tcW w:w="50" w:type="pct"/>
            <w:hideMark/>
          </w:tcPr>
          <w:p w14:paraId="02AFBCCF"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[13] </w:t>
            </w:r>
          </w:p>
        </w:tc>
        <w:tc>
          <w:tcPr>
            <w:tcW w:w="0" w:type="auto"/>
            <w:hideMark/>
          </w:tcPr>
          <w:p w14:paraId="2AEAF0F8"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H. P. S. Makkar, G. Francis and K. Becker, "Bioactivity of phytochemicals in some lesser-known plants and their effects and potential applications in livestock and aquaculture production systems," </w:t>
            </w:r>
            <w:r w:rsidRPr="00E8579A">
              <w:rPr>
                <w:rFonts w:ascii="Arial" w:hAnsi="Arial" w:cs="Arial"/>
                <w:i/>
                <w:iCs/>
                <w:noProof/>
                <w:sz w:val="20"/>
                <w:szCs w:val="20"/>
              </w:rPr>
              <w:t xml:space="preserve">Animal, </w:t>
            </w:r>
            <w:r w:rsidRPr="00E8579A">
              <w:rPr>
                <w:rFonts w:ascii="Arial" w:hAnsi="Arial" w:cs="Arial"/>
                <w:noProof/>
                <w:sz w:val="20"/>
                <w:szCs w:val="20"/>
              </w:rPr>
              <w:t xml:space="preserve">vol. 1, no. 9, pp. 1371-1391, 2007. </w:t>
            </w:r>
          </w:p>
        </w:tc>
      </w:tr>
      <w:tr w:rsidR="00245BE0" w:rsidRPr="00E8579A" w14:paraId="4C687553" w14:textId="77777777">
        <w:trPr>
          <w:divId w:val="658847678"/>
          <w:tblCellSpacing w:w="15" w:type="dxa"/>
        </w:trPr>
        <w:tc>
          <w:tcPr>
            <w:tcW w:w="50" w:type="pct"/>
            <w:hideMark/>
          </w:tcPr>
          <w:p w14:paraId="1E8B3F78"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[14] </w:t>
            </w:r>
          </w:p>
        </w:tc>
        <w:tc>
          <w:tcPr>
            <w:tcW w:w="0" w:type="auto"/>
            <w:hideMark/>
          </w:tcPr>
          <w:p w14:paraId="5F0E8DF2"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J. L. Rios and M. C. Recio, "Medicinal plants and antimicrobial activity," </w:t>
            </w:r>
            <w:r w:rsidRPr="00E8579A">
              <w:rPr>
                <w:rFonts w:ascii="Arial" w:hAnsi="Arial" w:cs="Arial"/>
                <w:i/>
                <w:iCs/>
                <w:noProof/>
                <w:sz w:val="20"/>
                <w:szCs w:val="20"/>
              </w:rPr>
              <w:t xml:space="preserve">Journal of Ethnopharmacology, </w:t>
            </w:r>
            <w:r w:rsidRPr="00E8579A">
              <w:rPr>
                <w:rFonts w:ascii="Arial" w:hAnsi="Arial" w:cs="Arial"/>
                <w:noProof/>
                <w:sz w:val="20"/>
                <w:szCs w:val="20"/>
              </w:rPr>
              <w:t xml:space="preserve">vol. 100, no. 1-2, pp. 80-84, 2005. </w:t>
            </w:r>
          </w:p>
        </w:tc>
      </w:tr>
      <w:tr w:rsidR="00245BE0" w:rsidRPr="00E8579A" w14:paraId="26B0881A" w14:textId="77777777">
        <w:trPr>
          <w:divId w:val="658847678"/>
          <w:tblCellSpacing w:w="15" w:type="dxa"/>
        </w:trPr>
        <w:tc>
          <w:tcPr>
            <w:tcW w:w="50" w:type="pct"/>
            <w:hideMark/>
          </w:tcPr>
          <w:p w14:paraId="5E69C705"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[15] </w:t>
            </w:r>
          </w:p>
        </w:tc>
        <w:tc>
          <w:tcPr>
            <w:tcW w:w="0" w:type="auto"/>
            <w:hideMark/>
          </w:tcPr>
          <w:p w14:paraId="1B04EACD"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Y. Cao, Y. Wu, H. Zhang, Y. Chen, Y. Chen and S. Wang, "Antibacterial mechanism of plant flavonoids against Gram-positive bacteria: A review," </w:t>
            </w:r>
            <w:r w:rsidRPr="00E8579A">
              <w:rPr>
                <w:rFonts w:ascii="Arial" w:hAnsi="Arial" w:cs="Arial"/>
                <w:i/>
                <w:iCs/>
                <w:noProof/>
                <w:sz w:val="20"/>
                <w:szCs w:val="20"/>
              </w:rPr>
              <w:t xml:space="preserve">Phytotherapy Research, </w:t>
            </w:r>
            <w:r w:rsidRPr="00E8579A">
              <w:rPr>
                <w:rFonts w:ascii="Arial" w:hAnsi="Arial" w:cs="Arial"/>
                <w:noProof/>
                <w:sz w:val="20"/>
                <w:szCs w:val="20"/>
              </w:rPr>
              <w:t xml:space="preserve">vol. 32, no. 3, pp. 468-485, 2018. </w:t>
            </w:r>
          </w:p>
        </w:tc>
      </w:tr>
      <w:tr w:rsidR="00245BE0" w:rsidRPr="00E8579A" w14:paraId="6FD7901C" w14:textId="77777777">
        <w:trPr>
          <w:divId w:val="658847678"/>
          <w:tblCellSpacing w:w="15" w:type="dxa"/>
        </w:trPr>
        <w:tc>
          <w:tcPr>
            <w:tcW w:w="50" w:type="pct"/>
            <w:hideMark/>
          </w:tcPr>
          <w:p w14:paraId="5D6207D0"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[16] </w:t>
            </w:r>
          </w:p>
        </w:tc>
        <w:tc>
          <w:tcPr>
            <w:tcW w:w="0" w:type="auto"/>
            <w:hideMark/>
          </w:tcPr>
          <w:p w14:paraId="14D2A383"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I. Brook, "Microbiology and management of tonsillitis," </w:t>
            </w:r>
            <w:r w:rsidRPr="00E8579A">
              <w:rPr>
                <w:rFonts w:ascii="Arial" w:hAnsi="Arial" w:cs="Arial"/>
                <w:i/>
                <w:iCs/>
                <w:noProof/>
                <w:sz w:val="20"/>
                <w:szCs w:val="20"/>
              </w:rPr>
              <w:t xml:space="preserve">American Journal of Therapeutics, </w:t>
            </w:r>
            <w:r w:rsidRPr="00E8579A">
              <w:rPr>
                <w:rFonts w:ascii="Arial" w:hAnsi="Arial" w:cs="Arial"/>
                <w:noProof/>
                <w:sz w:val="20"/>
                <w:szCs w:val="20"/>
              </w:rPr>
              <w:t xml:space="preserve">vol. 14, no. 4, pp. 341-350, 2007. </w:t>
            </w:r>
          </w:p>
        </w:tc>
      </w:tr>
      <w:tr w:rsidR="00245BE0" w:rsidRPr="00E8579A" w14:paraId="5AEC2AE1" w14:textId="77777777">
        <w:trPr>
          <w:divId w:val="658847678"/>
          <w:tblCellSpacing w:w="15" w:type="dxa"/>
        </w:trPr>
        <w:tc>
          <w:tcPr>
            <w:tcW w:w="50" w:type="pct"/>
            <w:hideMark/>
          </w:tcPr>
          <w:p w14:paraId="3BC072DD"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[17] </w:t>
            </w:r>
          </w:p>
        </w:tc>
        <w:tc>
          <w:tcPr>
            <w:tcW w:w="0" w:type="auto"/>
            <w:hideMark/>
          </w:tcPr>
          <w:p w14:paraId="61036951"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M. B. Gillespie, M. Abouyared and G. C. Allen, "Impact of inflammation on the tonsil transcriptome," </w:t>
            </w:r>
            <w:r w:rsidRPr="00E8579A">
              <w:rPr>
                <w:rFonts w:ascii="Arial" w:hAnsi="Arial" w:cs="Arial"/>
                <w:i/>
                <w:iCs/>
                <w:noProof/>
                <w:sz w:val="20"/>
                <w:szCs w:val="20"/>
              </w:rPr>
              <w:t xml:space="preserve">Otolaryngology–Head and Neck Surgery, </w:t>
            </w:r>
            <w:r w:rsidRPr="00E8579A">
              <w:rPr>
                <w:rFonts w:ascii="Arial" w:hAnsi="Arial" w:cs="Arial"/>
                <w:noProof/>
                <w:sz w:val="20"/>
                <w:szCs w:val="20"/>
              </w:rPr>
              <w:t xml:space="preserve">vol. 144, no. 5, pp. 702-707, 2011. </w:t>
            </w:r>
          </w:p>
        </w:tc>
      </w:tr>
      <w:tr w:rsidR="00245BE0" w:rsidRPr="00E8579A" w14:paraId="00E30E40" w14:textId="77777777">
        <w:trPr>
          <w:divId w:val="658847678"/>
          <w:tblCellSpacing w:w="15" w:type="dxa"/>
        </w:trPr>
        <w:tc>
          <w:tcPr>
            <w:tcW w:w="50" w:type="pct"/>
            <w:hideMark/>
          </w:tcPr>
          <w:p w14:paraId="3135ED81"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[18] </w:t>
            </w:r>
          </w:p>
        </w:tc>
        <w:tc>
          <w:tcPr>
            <w:tcW w:w="0" w:type="auto"/>
            <w:hideMark/>
          </w:tcPr>
          <w:p w14:paraId="7CE539B0"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C. Klemens, U. Bockmuhl and F. Stupp H, "Cytokine expression in tonsils of patients with tonsillar hypertrophy and recurrent tonsillitis," </w:t>
            </w:r>
            <w:r w:rsidRPr="00E8579A">
              <w:rPr>
                <w:rFonts w:ascii="Arial" w:hAnsi="Arial" w:cs="Arial"/>
                <w:i/>
                <w:iCs/>
                <w:noProof/>
                <w:sz w:val="20"/>
                <w:szCs w:val="20"/>
              </w:rPr>
              <w:t xml:space="preserve">HNO, </w:t>
            </w:r>
            <w:r w:rsidRPr="00E8579A">
              <w:rPr>
                <w:rFonts w:ascii="Arial" w:hAnsi="Arial" w:cs="Arial"/>
                <w:noProof/>
                <w:sz w:val="20"/>
                <w:szCs w:val="20"/>
              </w:rPr>
              <w:t xml:space="preserve">vol. 55, no. 3, pp. 190-195, 2007. </w:t>
            </w:r>
          </w:p>
        </w:tc>
      </w:tr>
      <w:tr w:rsidR="00245BE0" w:rsidRPr="00E8579A" w14:paraId="1EA6680B" w14:textId="77777777">
        <w:trPr>
          <w:divId w:val="658847678"/>
          <w:tblCellSpacing w:w="15" w:type="dxa"/>
        </w:trPr>
        <w:tc>
          <w:tcPr>
            <w:tcW w:w="50" w:type="pct"/>
            <w:hideMark/>
          </w:tcPr>
          <w:p w14:paraId="21A663BA"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lastRenderedPageBreak/>
              <w:t xml:space="preserve">[19] </w:t>
            </w:r>
          </w:p>
        </w:tc>
        <w:tc>
          <w:tcPr>
            <w:tcW w:w="0" w:type="auto"/>
            <w:hideMark/>
          </w:tcPr>
          <w:p w14:paraId="074C8C13"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L. Johansson, T. Soderstrom and A. Hermansson, "Cytokines in tonsils in patients with tonsillar disease," </w:t>
            </w:r>
            <w:r w:rsidRPr="00E8579A">
              <w:rPr>
                <w:rFonts w:ascii="Arial" w:hAnsi="Arial" w:cs="Arial"/>
                <w:i/>
                <w:iCs/>
                <w:noProof/>
                <w:sz w:val="20"/>
                <w:szCs w:val="20"/>
              </w:rPr>
              <w:t xml:space="preserve">Acta Oto Laryngologica, </w:t>
            </w:r>
            <w:r w:rsidRPr="00E8579A">
              <w:rPr>
                <w:rFonts w:ascii="Arial" w:hAnsi="Arial" w:cs="Arial"/>
                <w:noProof/>
                <w:sz w:val="20"/>
                <w:szCs w:val="20"/>
              </w:rPr>
              <w:t xml:space="preserve">vol. 121, pp. 275-280, 2001. </w:t>
            </w:r>
          </w:p>
        </w:tc>
      </w:tr>
      <w:tr w:rsidR="00245BE0" w:rsidRPr="00E8579A" w14:paraId="3614A4B2" w14:textId="77777777">
        <w:trPr>
          <w:divId w:val="658847678"/>
          <w:tblCellSpacing w:w="15" w:type="dxa"/>
        </w:trPr>
        <w:tc>
          <w:tcPr>
            <w:tcW w:w="50" w:type="pct"/>
            <w:hideMark/>
          </w:tcPr>
          <w:p w14:paraId="70F2337D"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[20] </w:t>
            </w:r>
          </w:p>
        </w:tc>
        <w:tc>
          <w:tcPr>
            <w:tcW w:w="0" w:type="auto"/>
            <w:hideMark/>
          </w:tcPr>
          <w:p w14:paraId="16AE4187"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G. Berger, S. Berger and A. Cnaan, "The chronically infected tonsil: A possible focus of infection?," </w:t>
            </w:r>
            <w:r w:rsidRPr="00E8579A">
              <w:rPr>
                <w:rFonts w:ascii="Arial" w:hAnsi="Arial" w:cs="Arial"/>
                <w:i/>
                <w:iCs/>
                <w:noProof/>
                <w:sz w:val="20"/>
                <w:szCs w:val="20"/>
              </w:rPr>
              <w:t xml:space="preserve">Archives of Otolaryngology-Head &amp; Neck Surgery, </w:t>
            </w:r>
            <w:r w:rsidRPr="00E8579A">
              <w:rPr>
                <w:rFonts w:ascii="Arial" w:hAnsi="Arial" w:cs="Arial"/>
                <w:noProof/>
                <w:sz w:val="20"/>
                <w:szCs w:val="20"/>
              </w:rPr>
              <w:t xml:space="preserve">vol. 127, no. 5, pp. 546-550, 2001. </w:t>
            </w:r>
          </w:p>
        </w:tc>
      </w:tr>
      <w:tr w:rsidR="00245BE0" w:rsidRPr="00E8579A" w14:paraId="005C2155" w14:textId="77777777">
        <w:trPr>
          <w:divId w:val="658847678"/>
          <w:tblCellSpacing w:w="15" w:type="dxa"/>
        </w:trPr>
        <w:tc>
          <w:tcPr>
            <w:tcW w:w="50" w:type="pct"/>
            <w:hideMark/>
          </w:tcPr>
          <w:p w14:paraId="50FF1389"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[21] </w:t>
            </w:r>
          </w:p>
        </w:tc>
        <w:tc>
          <w:tcPr>
            <w:tcW w:w="0" w:type="auto"/>
            <w:hideMark/>
          </w:tcPr>
          <w:p w14:paraId="649D448F"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M. Alemu, E. Lulekal, Z. Asfaw, B. Warkineh, A. Debella, A. Abebe, S. Degu and E. Debebe, "Antibacterial activity and phytochemical screening of traditional medicinal plants most preferred for treating infectious diseases in Habru District, North Wollo Zone," </w:t>
            </w:r>
            <w:r w:rsidRPr="00E8579A">
              <w:rPr>
                <w:rFonts w:ascii="Arial" w:hAnsi="Arial" w:cs="Arial"/>
                <w:i/>
                <w:iCs/>
                <w:noProof/>
                <w:sz w:val="20"/>
                <w:szCs w:val="20"/>
              </w:rPr>
              <w:t xml:space="preserve">Journal, </w:t>
            </w:r>
            <w:r w:rsidRPr="00E8579A">
              <w:rPr>
                <w:rFonts w:ascii="Arial" w:hAnsi="Arial" w:cs="Arial"/>
                <w:noProof/>
                <w:sz w:val="20"/>
                <w:szCs w:val="20"/>
              </w:rPr>
              <w:t xml:space="preserve">vol. 19, no. 3, pp. 129-135, 2024. </w:t>
            </w:r>
          </w:p>
        </w:tc>
      </w:tr>
      <w:tr w:rsidR="00245BE0" w:rsidRPr="00E8579A" w14:paraId="2885FA85" w14:textId="77777777">
        <w:trPr>
          <w:divId w:val="658847678"/>
          <w:tblCellSpacing w:w="15" w:type="dxa"/>
        </w:trPr>
        <w:tc>
          <w:tcPr>
            <w:tcW w:w="50" w:type="pct"/>
            <w:hideMark/>
          </w:tcPr>
          <w:p w14:paraId="69776543"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[22] </w:t>
            </w:r>
          </w:p>
        </w:tc>
        <w:tc>
          <w:tcPr>
            <w:tcW w:w="0" w:type="auto"/>
            <w:hideMark/>
          </w:tcPr>
          <w:p w14:paraId="24749BB3"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T. Kebede, E. Gadisa and A. Tufa, "Antimicrobial activities evaluation and phytochemical screening of some selected medicinal plants: A possible alternative in the treatment of multidrug-resistant microbes.," </w:t>
            </w:r>
            <w:r w:rsidRPr="00E8579A">
              <w:rPr>
                <w:rFonts w:ascii="Arial" w:hAnsi="Arial" w:cs="Arial"/>
                <w:i/>
                <w:iCs/>
                <w:noProof/>
                <w:sz w:val="20"/>
                <w:szCs w:val="20"/>
              </w:rPr>
              <w:t xml:space="preserve">PLoS One, </w:t>
            </w:r>
            <w:r w:rsidRPr="00E8579A">
              <w:rPr>
                <w:rFonts w:ascii="Arial" w:hAnsi="Arial" w:cs="Arial"/>
                <w:noProof/>
                <w:sz w:val="20"/>
                <w:szCs w:val="20"/>
              </w:rPr>
              <w:t xml:space="preserve">vol. 16, no. 3, p. 43, 2021. </w:t>
            </w:r>
          </w:p>
        </w:tc>
      </w:tr>
      <w:tr w:rsidR="00245BE0" w:rsidRPr="00E8579A" w14:paraId="122CF34A" w14:textId="77777777">
        <w:trPr>
          <w:divId w:val="658847678"/>
          <w:tblCellSpacing w:w="15" w:type="dxa"/>
        </w:trPr>
        <w:tc>
          <w:tcPr>
            <w:tcW w:w="50" w:type="pct"/>
            <w:hideMark/>
          </w:tcPr>
          <w:p w14:paraId="36E887A6"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[23] </w:t>
            </w:r>
          </w:p>
        </w:tc>
        <w:tc>
          <w:tcPr>
            <w:tcW w:w="0" w:type="auto"/>
            <w:hideMark/>
          </w:tcPr>
          <w:p w14:paraId="11A8C226"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L. Hongzhen, L. Danli, W. Xiaoxian and T. Liching, "Determination of phenolic preservatives in gelatin and vacant capsules for medicine use by ion-suppression reversed-phase high performance liquid chromatography," </w:t>
            </w:r>
            <w:r w:rsidRPr="00E8579A">
              <w:rPr>
                <w:rFonts w:ascii="Arial" w:hAnsi="Arial" w:cs="Arial"/>
                <w:i/>
                <w:iCs/>
                <w:noProof/>
                <w:sz w:val="20"/>
                <w:szCs w:val="20"/>
              </w:rPr>
              <w:t xml:space="preserve">Journal of Pharmaceutical and Biomedical Analysis, </w:t>
            </w:r>
            <w:r w:rsidRPr="00E8579A">
              <w:rPr>
                <w:rFonts w:ascii="Arial" w:hAnsi="Arial" w:cs="Arial"/>
                <w:noProof/>
                <w:sz w:val="20"/>
                <w:szCs w:val="20"/>
              </w:rPr>
              <w:t xml:space="preserve">vol. 37, no. 2, pp. 369-372, 2005. </w:t>
            </w:r>
          </w:p>
        </w:tc>
      </w:tr>
      <w:tr w:rsidR="00245BE0" w:rsidRPr="00E8579A" w14:paraId="186D7E26" w14:textId="77777777">
        <w:trPr>
          <w:divId w:val="658847678"/>
          <w:tblCellSpacing w:w="15" w:type="dxa"/>
        </w:trPr>
        <w:tc>
          <w:tcPr>
            <w:tcW w:w="50" w:type="pct"/>
            <w:hideMark/>
          </w:tcPr>
          <w:p w14:paraId="617E1C4C"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[24] </w:t>
            </w:r>
          </w:p>
        </w:tc>
        <w:tc>
          <w:tcPr>
            <w:tcW w:w="0" w:type="auto"/>
            <w:hideMark/>
          </w:tcPr>
          <w:p w14:paraId="3E107536"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S. Rai, A. Kafle, H. P. Devkota and A. Bhattarai, "Characterization of saponins from the leaves and stem bark of Jatropha curcas L. for surface-active properties," </w:t>
            </w:r>
            <w:r w:rsidRPr="00E8579A">
              <w:rPr>
                <w:rFonts w:ascii="Arial" w:hAnsi="Arial" w:cs="Arial"/>
                <w:i/>
                <w:iCs/>
                <w:noProof/>
                <w:sz w:val="20"/>
                <w:szCs w:val="20"/>
              </w:rPr>
              <w:t xml:space="preserve">Heliyon, </w:t>
            </w:r>
            <w:r w:rsidRPr="00E8579A">
              <w:rPr>
                <w:rFonts w:ascii="Arial" w:hAnsi="Arial" w:cs="Arial"/>
                <w:noProof/>
                <w:sz w:val="20"/>
                <w:szCs w:val="20"/>
              </w:rPr>
              <w:t xml:space="preserve">vol. 9, no. 5, 2023. </w:t>
            </w:r>
          </w:p>
        </w:tc>
      </w:tr>
      <w:tr w:rsidR="00245BE0" w:rsidRPr="00E8579A" w14:paraId="26ABBF85" w14:textId="77777777">
        <w:trPr>
          <w:divId w:val="658847678"/>
          <w:tblCellSpacing w:w="15" w:type="dxa"/>
        </w:trPr>
        <w:tc>
          <w:tcPr>
            <w:tcW w:w="50" w:type="pct"/>
            <w:hideMark/>
          </w:tcPr>
          <w:p w14:paraId="3B8D3000"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[25] </w:t>
            </w:r>
          </w:p>
        </w:tc>
        <w:tc>
          <w:tcPr>
            <w:tcW w:w="0" w:type="auto"/>
            <w:hideMark/>
          </w:tcPr>
          <w:p w14:paraId="327752AF"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J. B. Harborne, "Phytochemical methods," in </w:t>
            </w:r>
            <w:r w:rsidRPr="00E8579A">
              <w:rPr>
                <w:rFonts w:ascii="Arial" w:hAnsi="Arial" w:cs="Arial"/>
                <w:i/>
                <w:iCs/>
                <w:noProof/>
                <w:sz w:val="20"/>
                <w:szCs w:val="20"/>
              </w:rPr>
              <w:t>A guide to modern techniques of plant analysis 3rd ed</w:t>
            </w:r>
            <w:r w:rsidRPr="00E8579A">
              <w:rPr>
                <w:rFonts w:ascii="Arial" w:hAnsi="Arial" w:cs="Arial"/>
                <w:noProof/>
                <w:sz w:val="20"/>
                <w:szCs w:val="20"/>
              </w:rPr>
              <w:t>, London, Chapman and Hall, 1998, pp. 567-598.</w:t>
            </w:r>
          </w:p>
        </w:tc>
      </w:tr>
      <w:tr w:rsidR="00245BE0" w:rsidRPr="00E8579A" w14:paraId="2EF05DC5" w14:textId="77777777">
        <w:trPr>
          <w:divId w:val="658847678"/>
          <w:tblCellSpacing w:w="15" w:type="dxa"/>
        </w:trPr>
        <w:tc>
          <w:tcPr>
            <w:tcW w:w="50" w:type="pct"/>
            <w:hideMark/>
          </w:tcPr>
          <w:p w14:paraId="25DF10C8"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[26] </w:t>
            </w:r>
          </w:p>
        </w:tc>
        <w:tc>
          <w:tcPr>
            <w:tcW w:w="0" w:type="auto"/>
            <w:hideMark/>
          </w:tcPr>
          <w:p w14:paraId="79939CB9"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A. Sofowora, Medicinal plants and traditional medicine in Africa. 2nd ed., Ibadan: Spectrum Books Ltd., 1993. </w:t>
            </w:r>
          </w:p>
        </w:tc>
      </w:tr>
      <w:tr w:rsidR="00245BE0" w:rsidRPr="00E8579A" w14:paraId="2F82B3DC" w14:textId="77777777">
        <w:trPr>
          <w:divId w:val="658847678"/>
          <w:tblCellSpacing w:w="15" w:type="dxa"/>
        </w:trPr>
        <w:tc>
          <w:tcPr>
            <w:tcW w:w="50" w:type="pct"/>
            <w:hideMark/>
          </w:tcPr>
          <w:p w14:paraId="564A0C15"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[27] </w:t>
            </w:r>
          </w:p>
        </w:tc>
        <w:tc>
          <w:tcPr>
            <w:tcW w:w="0" w:type="auto"/>
            <w:hideMark/>
          </w:tcPr>
          <w:p w14:paraId="71BE6056"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F. K. Elfiky, M. A. Aboukaram and E. A. Afify, "Effect of Luffa aegyptiaca (seeds) and Carissa edulis (leaves) extracts on blood glucose level of normal and streptozotocin diabetic rats.," </w:t>
            </w:r>
            <w:r w:rsidRPr="00E8579A">
              <w:rPr>
                <w:rFonts w:ascii="Arial" w:hAnsi="Arial" w:cs="Arial"/>
                <w:i/>
                <w:iCs/>
                <w:noProof/>
                <w:sz w:val="20"/>
                <w:szCs w:val="20"/>
              </w:rPr>
              <w:t xml:space="preserve">Journal of Ethnopharmacology, </w:t>
            </w:r>
            <w:r w:rsidRPr="00E8579A">
              <w:rPr>
                <w:rFonts w:ascii="Arial" w:hAnsi="Arial" w:cs="Arial"/>
                <w:noProof/>
                <w:sz w:val="20"/>
                <w:szCs w:val="20"/>
              </w:rPr>
              <w:t xml:space="preserve">vol. 50, no. 1, pp. 43-47, 1996. </w:t>
            </w:r>
          </w:p>
        </w:tc>
      </w:tr>
      <w:tr w:rsidR="00245BE0" w:rsidRPr="00E8579A" w14:paraId="1BA75C8B" w14:textId="77777777">
        <w:trPr>
          <w:divId w:val="658847678"/>
          <w:tblCellSpacing w:w="15" w:type="dxa"/>
        </w:trPr>
        <w:tc>
          <w:tcPr>
            <w:tcW w:w="50" w:type="pct"/>
            <w:hideMark/>
          </w:tcPr>
          <w:p w14:paraId="443AD910"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[28] </w:t>
            </w:r>
          </w:p>
        </w:tc>
        <w:tc>
          <w:tcPr>
            <w:tcW w:w="0" w:type="auto"/>
            <w:hideMark/>
          </w:tcPr>
          <w:p w14:paraId="20A601FF"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C. W. Muruthi, M. P. Ngugi, S. M. Runo and P. G. Mwitari, "In Vitro Antiproliferative Effects and Phytochemical Characterization of Carissa edulis ((Forssk) Vahl) and Pappea capensis (Eckyl and Zeyh).," </w:t>
            </w:r>
            <w:r w:rsidRPr="00E8579A">
              <w:rPr>
                <w:rFonts w:ascii="Arial" w:hAnsi="Arial" w:cs="Arial"/>
                <w:i/>
                <w:iCs/>
                <w:noProof/>
                <w:sz w:val="20"/>
                <w:szCs w:val="20"/>
              </w:rPr>
              <w:t xml:space="preserve">Extracts. J Evid Based Integr Med, </w:t>
            </w:r>
            <w:r w:rsidRPr="00E8579A">
              <w:rPr>
                <w:rFonts w:ascii="Arial" w:hAnsi="Arial" w:cs="Arial"/>
                <w:noProof/>
                <w:sz w:val="20"/>
                <w:szCs w:val="20"/>
              </w:rPr>
              <w:t xml:space="preserve">vol. 1, no. 1, pp. 25-28, 2023. </w:t>
            </w:r>
          </w:p>
        </w:tc>
      </w:tr>
      <w:tr w:rsidR="00245BE0" w:rsidRPr="00E8579A" w14:paraId="3828E13C" w14:textId="77777777">
        <w:trPr>
          <w:divId w:val="658847678"/>
          <w:tblCellSpacing w:w="15" w:type="dxa"/>
        </w:trPr>
        <w:tc>
          <w:tcPr>
            <w:tcW w:w="50" w:type="pct"/>
            <w:hideMark/>
          </w:tcPr>
          <w:p w14:paraId="7E961037"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[29] </w:t>
            </w:r>
          </w:p>
        </w:tc>
        <w:tc>
          <w:tcPr>
            <w:tcW w:w="0" w:type="auto"/>
            <w:hideMark/>
          </w:tcPr>
          <w:p w14:paraId="5DF9185F"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J. Chifamba, A. J. Addae, S. Zengeni, M. Pomerai and K. N, "Lyophilised Aloe Excelsa Fractions, Photo-Protection and Actinic Damage Retardation Claims Substantiation," </w:t>
            </w:r>
            <w:r w:rsidRPr="00E8579A">
              <w:rPr>
                <w:rFonts w:ascii="Arial" w:hAnsi="Arial" w:cs="Arial"/>
                <w:i/>
                <w:iCs/>
                <w:noProof/>
                <w:sz w:val="20"/>
                <w:szCs w:val="20"/>
              </w:rPr>
              <w:t xml:space="preserve">Journal of Complementary and Alternative Medical Research, </w:t>
            </w:r>
            <w:r w:rsidRPr="00E8579A">
              <w:rPr>
                <w:rFonts w:ascii="Arial" w:hAnsi="Arial" w:cs="Arial"/>
                <w:noProof/>
                <w:sz w:val="20"/>
                <w:szCs w:val="20"/>
              </w:rPr>
              <w:t xml:space="preserve">vol. 25, no. 5, pp. 37-52, 2024. </w:t>
            </w:r>
          </w:p>
        </w:tc>
      </w:tr>
      <w:tr w:rsidR="00245BE0" w:rsidRPr="00E8579A" w14:paraId="5B7C8674" w14:textId="77777777">
        <w:trPr>
          <w:divId w:val="658847678"/>
          <w:tblCellSpacing w:w="15" w:type="dxa"/>
        </w:trPr>
        <w:tc>
          <w:tcPr>
            <w:tcW w:w="50" w:type="pct"/>
            <w:hideMark/>
          </w:tcPr>
          <w:p w14:paraId="135583C8"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[30] </w:t>
            </w:r>
          </w:p>
        </w:tc>
        <w:tc>
          <w:tcPr>
            <w:tcW w:w="0" w:type="auto"/>
            <w:hideMark/>
          </w:tcPr>
          <w:p w14:paraId="52AD3FFC"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E. C. D. O, "https://www.oecd-ilibrary.org/environment/test-no-425-acute-oral-toxicity-up-and-down-procedure," </w:t>
            </w:r>
            <w:r w:rsidRPr="00E8579A">
              <w:rPr>
                <w:rFonts w:ascii="Arial" w:hAnsi="Arial" w:cs="Arial"/>
                <w:i/>
                <w:iCs/>
                <w:noProof/>
                <w:sz w:val="20"/>
                <w:szCs w:val="20"/>
              </w:rPr>
              <w:t xml:space="preserve">OECD, </w:t>
            </w:r>
            <w:r w:rsidRPr="00E8579A">
              <w:rPr>
                <w:rFonts w:ascii="Arial" w:hAnsi="Arial" w:cs="Arial"/>
                <w:noProof/>
                <w:sz w:val="20"/>
                <w:szCs w:val="20"/>
              </w:rPr>
              <w:t xml:space="preserve">vol. 1, no. 1, p. 1, 2024. </w:t>
            </w:r>
          </w:p>
        </w:tc>
      </w:tr>
    </w:tbl>
    <w:p w14:paraId="533EFD29" w14:textId="77777777" w:rsidR="00245BE0" w:rsidRPr="00E8579A" w:rsidRDefault="00245BE0">
      <w:pPr>
        <w:divId w:val="658847678"/>
        <w:rPr>
          <w:rFonts w:ascii="Arial" w:hAnsi="Arial" w:cs="Arial"/>
          <w:noProof/>
          <w:sz w:val="20"/>
          <w:szCs w:val="20"/>
        </w:rPr>
      </w:pPr>
    </w:p>
    <w:p w14:paraId="615ECA9D" w14:textId="77777777" w:rsidR="005965BD" w:rsidRPr="00E8579A" w:rsidRDefault="005965BD">
      <w:pPr>
        <w:contextualSpacing/>
        <w:jc w:val="both"/>
        <w:rPr>
          <w:rFonts w:ascii="Arial" w:hAnsi="Arial" w:cs="Arial"/>
          <w:sz w:val="20"/>
          <w:szCs w:val="20"/>
        </w:rPr>
      </w:pPr>
      <w:r w:rsidRPr="00E8579A">
        <w:rPr>
          <w:rFonts w:ascii="Arial" w:hAnsi="Arial" w:cs="Arial"/>
          <w:sz w:val="20"/>
          <w:szCs w:val="20"/>
        </w:rPr>
        <w:fldChar w:fldCharType="end"/>
      </w:r>
    </w:p>
    <w:sectPr w:rsidR="005965BD" w:rsidRPr="00E8579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5876F" w14:textId="77777777" w:rsidR="007D0265" w:rsidRDefault="007D0265" w:rsidP="00A41E46">
      <w:r>
        <w:separator/>
      </w:r>
    </w:p>
  </w:endnote>
  <w:endnote w:type="continuationSeparator" w:id="0">
    <w:p w14:paraId="2DA5A061" w14:textId="77777777" w:rsidR="007D0265" w:rsidRDefault="007D0265" w:rsidP="00A4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pyright Klim Type Foundry">
    <w:altName w:val="Segoe Print"/>
    <w:charset w:val="00"/>
    <w:family w:val="swiss"/>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inionPro-Regular">
    <w:altName w:val="Malgun Gothic"/>
    <w:charset w:val="81"/>
    <w:family w:val="swiss"/>
    <w:pitch w:val="default"/>
    <w:sig w:usb0="00000000" w:usb1="00000000" w:usb2="00000010" w:usb3="00000000" w:csb0="00080009"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A59F9" w14:textId="77777777" w:rsidR="00A41E46" w:rsidRDefault="00A41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7E65C" w14:textId="77777777" w:rsidR="00A41E46" w:rsidRDefault="00A41E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8040" w14:textId="77777777" w:rsidR="00A41E46" w:rsidRDefault="00A41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6A87B" w14:textId="77777777" w:rsidR="007D0265" w:rsidRDefault="007D0265" w:rsidP="00A41E46">
      <w:r>
        <w:separator/>
      </w:r>
    </w:p>
  </w:footnote>
  <w:footnote w:type="continuationSeparator" w:id="0">
    <w:p w14:paraId="4A518CF8" w14:textId="77777777" w:rsidR="007D0265" w:rsidRDefault="007D0265" w:rsidP="00A41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20EDA" w14:textId="2CBC462F" w:rsidR="00A41E46" w:rsidRDefault="00A41E46">
    <w:pPr>
      <w:pStyle w:val="Header"/>
    </w:pPr>
    <w:r>
      <w:rPr>
        <w:noProof/>
      </w:rPr>
      <w:pict w14:anchorId="3DF2F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1753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96239" w14:textId="43206BAB" w:rsidR="00A41E46" w:rsidRDefault="00A41E46">
    <w:pPr>
      <w:pStyle w:val="Header"/>
    </w:pPr>
    <w:r>
      <w:rPr>
        <w:noProof/>
      </w:rPr>
      <w:pict w14:anchorId="68D80A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1753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A065B" w14:textId="49B0DC10" w:rsidR="00A41E46" w:rsidRDefault="00A41E46">
    <w:pPr>
      <w:pStyle w:val="Header"/>
    </w:pPr>
    <w:r>
      <w:rPr>
        <w:noProof/>
      </w:rPr>
      <w:pict w14:anchorId="22484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1753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A7166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53B48B04"/>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0000003"/>
    <w:multiLevelType w:val="multilevel"/>
    <w:tmpl w:val="82428BF8"/>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A34BF7"/>
    <w:multiLevelType w:val="multilevel"/>
    <w:tmpl w:val="0A800D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CA6"/>
    <w:rsid w:val="000271A3"/>
    <w:rsid w:val="00031351"/>
    <w:rsid w:val="000B098F"/>
    <w:rsid w:val="00197A7A"/>
    <w:rsid w:val="001E2B8E"/>
    <w:rsid w:val="001F7050"/>
    <w:rsid w:val="00245BE0"/>
    <w:rsid w:val="00276F3C"/>
    <w:rsid w:val="002B1E16"/>
    <w:rsid w:val="002C5506"/>
    <w:rsid w:val="002E3907"/>
    <w:rsid w:val="00343561"/>
    <w:rsid w:val="00407C67"/>
    <w:rsid w:val="004464E9"/>
    <w:rsid w:val="004702CC"/>
    <w:rsid w:val="004859AF"/>
    <w:rsid w:val="004A66F1"/>
    <w:rsid w:val="004D1D75"/>
    <w:rsid w:val="005965BD"/>
    <w:rsid w:val="005F765F"/>
    <w:rsid w:val="00684AC3"/>
    <w:rsid w:val="006C2F74"/>
    <w:rsid w:val="006E491B"/>
    <w:rsid w:val="00743247"/>
    <w:rsid w:val="007D0265"/>
    <w:rsid w:val="008A4E15"/>
    <w:rsid w:val="008B603D"/>
    <w:rsid w:val="00905877"/>
    <w:rsid w:val="00907331"/>
    <w:rsid w:val="009934A6"/>
    <w:rsid w:val="009D7BF3"/>
    <w:rsid w:val="009F13C4"/>
    <w:rsid w:val="00A41E46"/>
    <w:rsid w:val="00A85870"/>
    <w:rsid w:val="00AE288F"/>
    <w:rsid w:val="00B77CA6"/>
    <w:rsid w:val="00C5746C"/>
    <w:rsid w:val="00C7532C"/>
    <w:rsid w:val="00CC03DA"/>
    <w:rsid w:val="00D87684"/>
    <w:rsid w:val="00DB24B6"/>
    <w:rsid w:val="00DB2EAB"/>
    <w:rsid w:val="00DD3CA4"/>
    <w:rsid w:val="00E1565D"/>
    <w:rsid w:val="00E8579A"/>
    <w:rsid w:val="00E92AA0"/>
    <w:rsid w:val="00EB465B"/>
    <w:rsid w:val="00EF7D0C"/>
    <w:rsid w:val="00F0798F"/>
    <w:rsid w:val="00F31BC6"/>
    <w:rsid w:val="00F45040"/>
    <w:rsid w:val="00F5748F"/>
    <w:rsid w:val="00F67861"/>
    <w:rsid w:val="00FB382F"/>
    <w:rsid w:val="00FB7A70"/>
    <w:rsid w:val="00FD5FF4"/>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7FC57C"/>
  <w15:docId w15:val="{01BD2AD7-56FB-45E1-8C5D-ECB1E4C7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kern w:val="2"/>
        <w:sz w:val="22"/>
        <w:szCs w:val="22"/>
        <w:lang w:val="en-ZW"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kern w:val="0"/>
      <w:sz w:val="24"/>
      <w:szCs w:val="24"/>
      <w:lang w:eastAsia="en-ZW"/>
      <w14:ligatures w14:val="none"/>
    </w:rPr>
  </w:style>
  <w:style w:type="paragraph" w:styleId="Heading1">
    <w:name w:val="heading 1"/>
    <w:basedOn w:val="Normal"/>
    <w:next w:val="Normal"/>
    <w:link w:val="Heading1Char"/>
    <w:uiPriority w:val="9"/>
    <w:qFormat/>
    <w:pPr>
      <w:keepNext/>
      <w:keepLines/>
      <w:numPr>
        <w:numId w:val="1"/>
      </w:numPr>
      <w:spacing w:before="360" w:after="80"/>
      <w:outlineLvl w:val="0"/>
    </w:pPr>
    <w:rPr>
      <w:rFonts w:ascii="Calibri Light" w:eastAsia="SimSun" w:hAnsi="Calibri Light" w:cs="SimSun"/>
      <w:color w:val="2F5496"/>
      <w:sz w:val="40"/>
      <w:szCs w:val="40"/>
    </w:rPr>
  </w:style>
  <w:style w:type="paragraph" w:styleId="Heading2">
    <w:name w:val="heading 2"/>
    <w:basedOn w:val="Normal"/>
    <w:next w:val="Normal"/>
    <w:link w:val="Heading2Char"/>
    <w:uiPriority w:val="9"/>
    <w:unhideWhenUsed/>
    <w:qFormat/>
    <w:pPr>
      <w:keepNext/>
      <w:keepLines/>
      <w:numPr>
        <w:ilvl w:val="1"/>
        <w:numId w:val="1"/>
      </w:numPr>
      <w:spacing w:before="160" w:after="80"/>
      <w:outlineLvl w:val="1"/>
    </w:pPr>
    <w:rPr>
      <w:rFonts w:ascii="Calibri Light" w:eastAsia="SimSun" w:hAnsi="Calibri Light" w:cs="SimSun"/>
      <w:color w:val="2F5496"/>
      <w:sz w:val="32"/>
      <w:szCs w:val="32"/>
    </w:rPr>
  </w:style>
  <w:style w:type="paragraph" w:styleId="Heading3">
    <w:name w:val="heading 3"/>
    <w:basedOn w:val="Normal"/>
    <w:next w:val="Normal"/>
    <w:link w:val="Heading3Char"/>
    <w:uiPriority w:val="9"/>
    <w:unhideWhenUsed/>
    <w:qFormat/>
    <w:pPr>
      <w:keepNext/>
      <w:keepLines/>
      <w:numPr>
        <w:ilvl w:val="2"/>
        <w:numId w:val="1"/>
      </w:numPr>
      <w:spacing w:before="160" w:after="80"/>
      <w:outlineLvl w:val="2"/>
    </w:pPr>
    <w:rPr>
      <w:rFonts w:eastAsia="SimSun" w:cs="SimSu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cs="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s="SimSun"/>
      <w:color w:val="2F5496"/>
    </w:rPr>
  </w:style>
  <w:style w:type="paragraph" w:styleId="Heading6">
    <w:name w:val="heading 6"/>
    <w:basedOn w:val="Normal"/>
    <w:next w:val="Normal"/>
    <w:link w:val="Heading6Char"/>
    <w:uiPriority w:val="9"/>
    <w:semiHidden/>
    <w:unhideWhenUsed/>
    <w:qFormat/>
    <w:pPr>
      <w:keepNext/>
      <w:keepLines/>
      <w:spacing w:before="40"/>
      <w:outlineLvl w:val="5"/>
    </w:pPr>
    <w:rPr>
      <w:rFonts w:eastAsia="SimSun" w:cs="SimSun"/>
      <w:i/>
      <w:iCs/>
      <w:color w:val="595959"/>
    </w:rPr>
  </w:style>
  <w:style w:type="paragraph" w:styleId="Heading7">
    <w:name w:val="heading 7"/>
    <w:basedOn w:val="Normal"/>
    <w:next w:val="Normal"/>
    <w:link w:val="Heading7Char"/>
    <w:uiPriority w:val="9"/>
    <w:qFormat/>
    <w:pPr>
      <w:keepNext/>
      <w:keepLines/>
      <w:spacing w:before="40"/>
      <w:outlineLvl w:val="6"/>
    </w:pPr>
    <w:rPr>
      <w:rFonts w:eastAsia="SimSun" w:cs="SimSun"/>
      <w:color w:val="595959"/>
    </w:rPr>
  </w:style>
  <w:style w:type="paragraph" w:styleId="Heading8">
    <w:name w:val="heading 8"/>
    <w:basedOn w:val="Normal"/>
    <w:next w:val="Normal"/>
    <w:link w:val="Heading8Char"/>
    <w:uiPriority w:val="9"/>
    <w:qFormat/>
    <w:pPr>
      <w:keepNext/>
      <w:keepLines/>
      <w:outlineLvl w:val="7"/>
    </w:pPr>
    <w:rPr>
      <w:rFonts w:eastAsia="SimSun" w:cs="SimSun"/>
      <w:i/>
      <w:iCs/>
      <w:color w:val="272727"/>
    </w:rPr>
  </w:style>
  <w:style w:type="paragraph" w:styleId="Heading9">
    <w:name w:val="heading 9"/>
    <w:basedOn w:val="Normal"/>
    <w:next w:val="Normal"/>
    <w:link w:val="Heading9Char"/>
    <w:uiPriority w:val="9"/>
    <w:qFormat/>
    <w:pPr>
      <w:keepNext/>
      <w:keepLines/>
      <w:outlineLvl w:val="8"/>
    </w:pPr>
    <w:rPr>
      <w:rFonts w:eastAsia="SimSun" w:cs="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Calibri Light" w:eastAsia="SimSun" w:hAnsi="Calibri Light" w:cs="SimSun"/>
      <w:color w:val="2F5496"/>
      <w:sz w:val="40"/>
      <w:szCs w:val="40"/>
    </w:rPr>
  </w:style>
  <w:style w:type="character" w:customStyle="1" w:styleId="Heading2Char">
    <w:name w:val="Heading 2 Char"/>
    <w:basedOn w:val="DefaultParagraphFont"/>
    <w:link w:val="Heading2"/>
    <w:uiPriority w:val="9"/>
    <w:qFormat/>
    <w:rPr>
      <w:rFonts w:ascii="Calibri Light" w:eastAsia="SimSun" w:hAnsi="Calibri Light" w:cs="SimSun"/>
      <w:color w:val="2F5496"/>
      <w:sz w:val="32"/>
      <w:szCs w:val="32"/>
    </w:rPr>
  </w:style>
  <w:style w:type="character" w:customStyle="1" w:styleId="Heading3Char">
    <w:name w:val="Heading 3 Char"/>
    <w:basedOn w:val="DefaultParagraphFont"/>
    <w:link w:val="Heading3"/>
    <w:uiPriority w:val="9"/>
    <w:qFormat/>
    <w:rPr>
      <w:rFonts w:eastAsia="SimSun" w:cs="SimSun"/>
      <w:color w:val="2F5496"/>
      <w:sz w:val="28"/>
      <w:szCs w:val="28"/>
    </w:rPr>
  </w:style>
  <w:style w:type="character" w:customStyle="1" w:styleId="Heading4Char">
    <w:name w:val="Heading 4 Char"/>
    <w:basedOn w:val="DefaultParagraphFont"/>
    <w:link w:val="Heading4"/>
    <w:uiPriority w:val="9"/>
    <w:rPr>
      <w:rFonts w:eastAsia="SimSun" w:cs="SimSun"/>
      <w:i/>
      <w:iCs/>
      <w:color w:val="2F5496"/>
    </w:rPr>
  </w:style>
  <w:style w:type="character" w:customStyle="1" w:styleId="Heading5Char">
    <w:name w:val="Heading 5 Char"/>
    <w:basedOn w:val="DefaultParagraphFont"/>
    <w:link w:val="Heading5"/>
    <w:uiPriority w:val="9"/>
    <w:rPr>
      <w:rFonts w:eastAsia="SimSun" w:cs="SimSun"/>
      <w:color w:val="2F5496"/>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contextualSpacing/>
    </w:pPr>
    <w:rPr>
      <w:rFonts w:ascii="Calibri Light" w:eastAsia="SimSun" w:hAnsi="Calibri Light" w:cs="SimSun"/>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s="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99"/>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paragraph" w:styleId="BodyText">
    <w:name w:val="Body Text"/>
    <w:basedOn w:val="Normal"/>
    <w:link w:val="BodyTextChar"/>
    <w:uiPriority w:val="1"/>
    <w:qFormat/>
    <w:pPr>
      <w:autoSpaceDE w:val="0"/>
      <w:autoSpaceDN w:val="0"/>
      <w:adjustRightInd w:val="0"/>
      <w:ind w:left="40" w:right="106"/>
      <w:jc w:val="both"/>
    </w:pPr>
    <w:rPr>
      <w:rFonts w:ascii="Century" w:hAnsi="Century" w:cs="Century"/>
      <w:sz w:val="16"/>
      <w:szCs w:val="16"/>
    </w:rPr>
  </w:style>
  <w:style w:type="character" w:customStyle="1" w:styleId="BodyTextChar">
    <w:name w:val="Body Text Char"/>
    <w:basedOn w:val="DefaultParagraphFont"/>
    <w:link w:val="BodyText"/>
    <w:uiPriority w:val="1"/>
    <w:qFormat/>
    <w:rPr>
      <w:rFonts w:ascii="Century" w:eastAsia="Times New Roman" w:hAnsi="Century" w:cs="Century"/>
      <w:kern w:val="0"/>
      <w:sz w:val="16"/>
      <w:szCs w:val="16"/>
      <w:lang w:eastAsia="en-ZW"/>
      <w14:ligatures w14:val="none"/>
    </w:rPr>
  </w:style>
  <w:style w:type="paragraph" w:styleId="Caption">
    <w:name w:val="caption"/>
    <w:basedOn w:val="Normal"/>
    <w:next w:val="Normal"/>
    <w:uiPriority w:val="35"/>
    <w:qFormat/>
    <w:rsid w:val="00E8579A"/>
    <w:pPr>
      <w:spacing w:after="200"/>
    </w:pPr>
    <w:rPr>
      <w:rFonts w:ascii="Arial" w:hAnsi="Arial"/>
      <w:i/>
      <w:iCs/>
      <w:color w:val="44546A"/>
      <w:sz w:val="20"/>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513"/>
        <w:tab w:val="right" w:pos="9026"/>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lang w:eastAsia="en-ZW"/>
      <w14:ligatures w14:val="none"/>
    </w:rPr>
  </w:style>
  <w:style w:type="character" w:styleId="Hyperlink">
    <w:name w:val="Hyperlink"/>
    <w:basedOn w:val="DefaultParagraphFont"/>
    <w:uiPriority w:val="99"/>
    <w:qFormat/>
    <w:rPr>
      <w:color w:val="0563C1"/>
      <w:u w:val="single"/>
    </w:rPr>
  </w:style>
  <w:style w:type="paragraph" w:styleId="NormalWeb">
    <w:name w:val="Normal (Web)"/>
    <w:basedOn w:val="Normal"/>
    <w:uiPriority w:val="99"/>
    <w:qFormat/>
    <w:pPr>
      <w:spacing w:before="100" w:beforeAutospacing="1" w:after="100" w:afterAutospacing="1"/>
    </w:pPr>
  </w:style>
  <w:style w:type="paragraph" w:customStyle="1" w:styleId="Default">
    <w:name w:val="Default"/>
    <w:qFormat/>
    <w:pPr>
      <w:autoSpaceDE w:val="0"/>
      <w:autoSpaceDN w:val="0"/>
      <w:adjustRightInd w:val="0"/>
      <w:spacing w:after="0" w:line="240" w:lineRule="auto"/>
    </w:pPr>
    <w:rPr>
      <w:rFonts w:ascii="Copyright Klim Type Foundry" w:hAnsi="Copyright Klim Type Foundry" w:cs="Copyright Klim Type Foundry"/>
      <w:color w:val="000000"/>
      <w:kern w:val="0"/>
      <w:sz w:val="24"/>
      <w:szCs w:val="24"/>
      <w14:ligatures w14:val="none"/>
    </w:rPr>
  </w:style>
  <w:style w:type="table" w:customStyle="1" w:styleId="ListTable21">
    <w:name w:val="List Table 21"/>
    <w:basedOn w:val="TableNormal"/>
    <w:uiPriority w:val="47"/>
    <w:qFormat/>
    <w:pPr>
      <w:spacing w:after="0" w:line="240" w:lineRule="auto"/>
    </w:pPr>
    <w:rPr>
      <w:kern w:val="0"/>
      <w:sz w:val="20"/>
      <w:szCs w:val="20"/>
      <w:lang w:val="en-US"/>
      <w14:ligatures w14:val="none"/>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table" w:customStyle="1" w:styleId="PlainTable23">
    <w:name w:val="Plain Table 23"/>
    <w:basedOn w:val="TableNormal"/>
    <w:uiPriority w:val="42"/>
    <w:qFormat/>
    <w:pPr>
      <w:spacing w:after="0" w:line="240" w:lineRule="auto"/>
    </w:pPr>
    <w:rPr>
      <w:kern w:val="0"/>
      <w:sz w:val="20"/>
      <w:szCs w:val="20"/>
      <w:lang w:val="en-US"/>
      <w14:ligatures w14:val="none"/>
    </w:rPr>
    <w:tblPr>
      <w:tblBorders>
        <w:top w:val="single" w:sz="4" w:space="0" w:color="7E7E7E"/>
        <w:bottom w:val="single" w:sz="4" w:space="0" w:color="7E7E7E"/>
      </w:tblBorders>
    </w:tblPr>
    <w:tblStylePr w:type="firstRow">
      <w:rPr>
        <w:b/>
        <w:bCs/>
      </w:rPr>
      <w:tblPr/>
      <w:tcPr>
        <w:tcBorders>
          <w:bottom w:val="single" w:sz="4" w:space="0" w:color="7E7E7E"/>
        </w:tcBorders>
      </w:tcPr>
    </w:tblStylePr>
    <w:tblStylePr w:type="lastRow">
      <w:rPr>
        <w:b/>
        <w:bCs/>
      </w:rPr>
      <w:tblPr/>
      <w:tcPr>
        <w:tcBorders>
          <w:top w:val="single" w:sz="4" w:space="0" w:color="7E7E7E"/>
        </w:tcBorders>
      </w:tcPr>
    </w:tblStylePr>
    <w:tblStylePr w:type="firstCol">
      <w:rPr>
        <w:b/>
        <w:bCs/>
      </w:rPr>
    </w:tblStylePr>
    <w:tblStylePr w:type="lastCol">
      <w:rPr>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table" w:customStyle="1" w:styleId="PlainTable24">
    <w:name w:val="Plain Table 24"/>
    <w:basedOn w:val="TableNormal"/>
    <w:uiPriority w:val="42"/>
    <w:qFormat/>
    <w:pPr>
      <w:spacing w:after="0" w:line="240" w:lineRule="auto"/>
    </w:pPr>
    <w:rPr>
      <w:kern w:val="0"/>
      <w:sz w:val="20"/>
      <w:szCs w:val="20"/>
      <w:lang w:val="en-US"/>
      <w14:ligatures w14:val="none"/>
    </w:rPr>
    <w:tblPr>
      <w:tblBorders>
        <w:top w:val="single" w:sz="4" w:space="0" w:color="7E7E7E"/>
        <w:bottom w:val="single" w:sz="4" w:space="0" w:color="7E7E7E"/>
      </w:tblBorders>
    </w:tblPr>
    <w:tblStylePr w:type="firstRow">
      <w:rPr>
        <w:b/>
        <w:bCs/>
      </w:rPr>
      <w:tblPr/>
      <w:tcPr>
        <w:tcBorders>
          <w:bottom w:val="single" w:sz="4" w:space="0" w:color="7E7E7E"/>
        </w:tcBorders>
      </w:tcPr>
    </w:tblStylePr>
    <w:tblStylePr w:type="lastRow">
      <w:rPr>
        <w:b/>
        <w:bCs/>
      </w:rPr>
      <w:tblPr/>
      <w:tcPr>
        <w:tcBorders>
          <w:top w:val="single" w:sz="4" w:space="0" w:color="7E7E7E"/>
        </w:tcBorders>
      </w:tcPr>
    </w:tblStylePr>
    <w:tblStylePr w:type="firstCol">
      <w:rPr>
        <w:b/>
        <w:bCs/>
      </w:rPr>
    </w:tblStylePr>
    <w:tblStylePr w:type="lastCol">
      <w:rPr>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customStyle="1" w:styleId="UnresolvedMention1">
    <w:name w:val="Unresolved Mention1"/>
    <w:basedOn w:val="DefaultParagraphFont"/>
    <w:uiPriority w:val="99"/>
    <w:rPr>
      <w:color w:val="605E5C"/>
      <w:shd w:val="clear" w:color="auto" w:fill="E1DFDD"/>
    </w:rPr>
  </w:style>
  <w:style w:type="paragraph" w:styleId="Bibliography">
    <w:name w:val="Bibliography"/>
    <w:basedOn w:val="Normal"/>
    <w:next w:val="Normal"/>
    <w:uiPriority w:val="37"/>
    <w:unhideWhenUsed/>
    <w:rsid w:val="005965BD"/>
  </w:style>
  <w:style w:type="table" w:styleId="PlainTable1">
    <w:name w:val="Plain Table 1"/>
    <w:basedOn w:val="TableNormal"/>
    <w:uiPriority w:val="41"/>
    <w:rsid w:val="008B60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B60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8B60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41E46"/>
    <w:pPr>
      <w:tabs>
        <w:tab w:val="center" w:pos="4680"/>
        <w:tab w:val="right" w:pos="9360"/>
      </w:tabs>
    </w:pPr>
  </w:style>
  <w:style w:type="character" w:customStyle="1" w:styleId="HeaderChar">
    <w:name w:val="Header Char"/>
    <w:basedOn w:val="DefaultParagraphFont"/>
    <w:link w:val="Header"/>
    <w:uiPriority w:val="99"/>
    <w:rsid w:val="00A41E46"/>
    <w:rPr>
      <w:rFonts w:ascii="Times New Roman" w:eastAsia="Times New Roman" w:hAnsi="Times New Roman" w:cs="Times New Roman"/>
      <w:kern w:val="0"/>
      <w:sz w:val="24"/>
      <w:szCs w:val="24"/>
      <w:lang w:eastAsia="en-Z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3797">
      <w:bodyDiv w:val="1"/>
      <w:marLeft w:val="0"/>
      <w:marRight w:val="0"/>
      <w:marTop w:val="0"/>
      <w:marBottom w:val="0"/>
      <w:divBdr>
        <w:top w:val="none" w:sz="0" w:space="0" w:color="auto"/>
        <w:left w:val="none" w:sz="0" w:space="0" w:color="auto"/>
        <w:bottom w:val="none" w:sz="0" w:space="0" w:color="auto"/>
        <w:right w:val="none" w:sz="0" w:space="0" w:color="auto"/>
      </w:divBdr>
    </w:div>
    <w:div w:id="9307821">
      <w:bodyDiv w:val="1"/>
      <w:marLeft w:val="0"/>
      <w:marRight w:val="0"/>
      <w:marTop w:val="0"/>
      <w:marBottom w:val="0"/>
      <w:divBdr>
        <w:top w:val="none" w:sz="0" w:space="0" w:color="auto"/>
        <w:left w:val="none" w:sz="0" w:space="0" w:color="auto"/>
        <w:bottom w:val="none" w:sz="0" w:space="0" w:color="auto"/>
        <w:right w:val="none" w:sz="0" w:space="0" w:color="auto"/>
      </w:divBdr>
    </w:div>
    <w:div w:id="44643694">
      <w:bodyDiv w:val="1"/>
      <w:marLeft w:val="0"/>
      <w:marRight w:val="0"/>
      <w:marTop w:val="0"/>
      <w:marBottom w:val="0"/>
      <w:divBdr>
        <w:top w:val="none" w:sz="0" w:space="0" w:color="auto"/>
        <w:left w:val="none" w:sz="0" w:space="0" w:color="auto"/>
        <w:bottom w:val="none" w:sz="0" w:space="0" w:color="auto"/>
        <w:right w:val="none" w:sz="0" w:space="0" w:color="auto"/>
      </w:divBdr>
    </w:div>
    <w:div w:id="60759058">
      <w:bodyDiv w:val="1"/>
      <w:marLeft w:val="0"/>
      <w:marRight w:val="0"/>
      <w:marTop w:val="0"/>
      <w:marBottom w:val="0"/>
      <w:divBdr>
        <w:top w:val="none" w:sz="0" w:space="0" w:color="auto"/>
        <w:left w:val="none" w:sz="0" w:space="0" w:color="auto"/>
        <w:bottom w:val="none" w:sz="0" w:space="0" w:color="auto"/>
        <w:right w:val="none" w:sz="0" w:space="0" w:color="auto"/>
      </w:divBdr>
    </w:div>
    <w:div w:id="72624046">
      <w:bodyDiv w:val="1"/>
      <w:marLeft w:val="0"/>
      <w:marRight w:val="0"/>
      <w:marTop w:val="0"/>
      <w:marBottom w:val="0"/>
      <w:divBdr>
        <w:top w:val="none" w:sz="0" w:space="0" w:color="auto"/>
        <w:left w:val="none" w:sz="0" w:space="0" w:color="auto"/>
        <w:bottom w:val="none" w:sz="0" w:space="0" w:color="auto"/>
        <w:right w:val="none" w:sz="0" w:space="0" w:color="auto"/>
      </w:divBdr>
    </w:div>
    <w:div w:id="90585936">
      <w:bodyDiv w:val="1"/>
      <w:marLeft w:val="0"/>
      <w:marRight w:val="0"/>
      <w:marTop w:val="0"/>
      <w:marBottom w:val="0"/>
      <w:divBdr>
        <w:top w:val="none" w:sz="0" w:space="0" w:color="auto"/>
        <w:left w:val="none" w:sz="0" w:space="0" w:color="auto"/>
        <w:bottom w:val="none" w:sz="0" w:space="0" w:color="auto"/>
        <w:right w:val="none" w:sz="0" w:space="0" w:color="auto"/>
      </w:divBdr>
    </w:div>
    <w:div w:id="97917385">
      <w:bodyDiv w:val="1"/>
      <w:marLeft w:val="0"/>
      <w:marRight w:val="0"/>
      <w:marTop w:val="0"/>
      <w:marBottom w:val="0"/>
      <w:divBdr>
        <w:top w:val="none" w:sz="0" w:space="0" w:color="auto"/>
        <w:left w:val="none" w:sz="0" w:space="0" w:color="auto"/>
        <w:bottom w:val="none" w:sz="0" w:space="0" w:color="auto"/>
        <w:right w:val="none" w:sz="0" w:space="0" w:color="auto"/>
      </w:divBdr>
    </w:div>
    <w:div w:id="108671234">
      <w:bodyDiv w:val="1"/>
      <w:marLeft w:val="0"/>
      <w:marRight w:val="0"/>
      <w:marTop w:val="0"/>
      <w:marBottom w:val="0"/>
      <w:divBdr>
        <w:top w:val="none" w:sz="0" w:space="0" w:color="auto"/>
        <w:left w:val="none" w:sz="0" w:space="0" w:color="auto"/>
        <w:bottom w:val="none" w:sz="0" w:space="0" w:color="auto"/>
        <w:right w:val="none" w:sz="0" w:space="0" w:color="auto"/>
      </w:divBdr>
    </w:div>
    <w:div w:id="128323528">
      <w:bodyDiv w:val="1"/>
      <w:marLeft w:val="0"/>
      <w:marRight w:val="0"/>
      <w:marTop w:val="0"/>
      <w:marBottom w:val="0"/>
      <w:divBdr>
        <w:top w:val="none" w:sz="0" w:space="0" w:color="auto"/>
        <w:left w:val="none" w:sz="0" w:space="0" w:color="auto"/>
        <w:bottom w:val="none" w:sz="0" w:space="0" w:color="auto"/>
        <w:right w:val="none" w:sz="0" w:space="0" w:color="auto"/>
      </w:divBdr>
    </w:div>
    <w:div w:id="130564878">
      <w:bodyDiv w:val="1"/>
      <w:marLeft w:val="0"/>
      <w:marRight w:val="0"/>
      <w:marTop w:val="0"/>
      <w:marBottom w:val="0"/>
      <w:divBdr>
        <w:top w:val="none" w:sz="0" w:space="0" w:color="auto"/>
        <w:left w:val="none" w:sz="0" w:space="0" w:color="auto"/>
        <w:bottom w:val="none" w:sz="0" w:space="0" w:color="auto"/>
        <w:right w:val="none" w:sz="0" w:space="0" w:color="auto"/>
      </w:divBdr>
    </w:div>
    <w:div w:id="143090321">
      <w:bodyDiv w:val="1"/>
      <w:marLeft w:val="0"/>
      <w:marRight w:val="0"/>
      <w:marTop w:val="0"/>
      <w:marBottom w:val="0"/>
      <w:divBdr>
        <w:top w:val="none" w:sz="0" w:space="0" w:color="auto"/>
        <w:left w:val="none" w:sz="0" w:space="0" w:color="auto"/>
        <w:bottom w:val="none" w:sz="0" w:space="0" w:color="auto"/>
        <w:right w:val="none" w:sz="0" w:space="0" w:color="auto"/>
      </w:divBdr>
    </w:div>
    <w:div w:id="146242008">
      <w:bodyDiv w:val="1"/>
      <w:marLeft w:val="0"/>
      <w:marRight w:val="0"/>
      <w:marTop w:val="0"/>
      <w:marBottom w:val="0"/>
      <w:divBdr>
        <w:top w:val="none" w:sz="0" w:space="0" w:color="auto"/>
        <w:left w:val="none" w:sz="0" w:space="0" w:color="auto"/>
        <w:bottom w:val="none" w:sz="0" w:space="0" w:color="auto"/>
        <w:right w:val="none" w:sz="0" w:space="0" w:color="auto"/>
      </w:divBdr>
    </w:div>
    <w:div w:id="177355585">
      <w:bodyDiv w:val="1"/>
      <w:marLeft w:val="0"/>
      <w:marRight w:val="0"/>
      <w:marTop w:val="0"/>
      <w:marBottom w:val="0"/>
      <w:divBdr>
        <w:top w:val="none" w:sz="0" w:space="0" w:color="auto"/>
        <w:left w:val="none" w:sz="0" w:space="0" w:color="auto"/>
        <w:bottom w:val="none" w:sz="0" w:space="0" w:color="auto"/>
        <w:right w:val="none" w:sz="0" w:space="0" w:color="auto"/>
      </w:divBdr>
    </w:div>
    <w:div w:id="192813199">
      <w:bodyDiv w:val="1"/>
      <w:marLeft w:val="0"/>
      <w:marRight w:val="0"/>
      <w:marTop w:val="0"/>
      <w:marBottom w:val="0"/>
      <w:divBdr>
        <w:top w:val="none" w:sz="0" w:space="0" w:color="auto"/>
        <w:left w:val="none" w:sz="0" w:space="0" w:color="auto"/>
        <w:bottom w:val="none" w:sz="0" w:space="0" w:color="auto"/>
        <w:right w:val="none" w:sz="0" w:space="0" w:color="auto"/>
      </w:divBdr>
    </w:div>
    <w:div w:id="203565785">
      <w:bodyDiv w:val="1"/>
      <w:marLeft w:val="0"/>
      <w:marRight w:val="0"/>
      <w:marTop w:val="0"/>
      <w:marBottom w:val="0"/>
      <w:divBdr>
        <w:top w:val="none" w:sz="0" w:space="0" w:color="auto"/>
        <w:left w:val="none" w:sz="0" w:space="0" w:color="auto"/>
        <w:bottom w:val="none" w:sz="0" w:space="0" w:color="auto"/>
        <w:right w:val="none" w:sz="0" w:space="0" w:color="auto"/>
      </w:divBdr>
    </w:div>
    <w:div w:id="208878472">
      <w:bodyDiv w:val="1"/>
      <w:marLeft w:val="0"/>
      <w:marRight w:val="0"/>
      <w:marTop w:val="0"/>
      <w:marBottom w:val="0"/>
      <w:divBdr>
        <w:top w:val="none" w:sz="0" w:space="0" w:color="auto"/>
        <w:left w:val="none" w:sz="0" w:space="0" w:color="auto"/>
        <w:bottom w:val="none" w:sz="0" w:space="0" w:color="auto"/>
        <w:right w:val="none" w:sz="0" w:space="0" w:color="auto"/>
      </w:divBdr>
    </w:div>
    <w:div w:id="212079097">
      <w:bodyDiv w:val="1"/>
      <w:marLeft w:val="0"/>
      <w:marRight w:val="0"/>
      <w:marTop w:val="0"/>
      <w:marBottom w:val="0"/>
      <w:divBdr>
        <w:top w:val="none" w:sz="0" w:space="0" w:color="auto"/>
        <w:left w:val="none" w:sz="0" w:space="0" w:color="auto"/>
        <w:bottom w:val="none" w:sz="0" w:space="0" w:color="auto"/>
        <w:right w:val="none" w:sz="0" w:space="0" w:color="auto"/>
      </w:divBdr>
    </w:div>
    <w:div w:id="227764803">
      <w:bodyDiv w:val="1"/>
      <w:marLeft w:val="0"/>
      <w:marRight w:val="0"/>
      <w:marTop w:val="0"/>
      <w:marBottom w:val="0"/>
      <w:divBdr>
        <w:top w:val="none" w:sz="0" w:space="0" w:color="auto"/>
        <w:left w:val="none" w:sz="0" w:space="0" w:color="auto"/>
        <w:bottom w:val="none" w:sz="0" w:space="0" w:color="auto"/>
        <w:right w:val="none" w:sz="0" w:space="0" w:color="auto"/>
      </w:divBdr>
    </w:div>
    <w:div w:id="237831485">
      <w:bodyDiv w:val="1"/>
      <w:marLeft w:val="0"/>
      <w:marRight w:val="0"/>
      <w:marTop w:val="0"/>
      <w:marBottom w:val="0"/>
      <w:divBdr>
        <w:top w:val="none" w:sz="0" w:space="0" w:color="auto"/>
        <w:left w:val="none" w:sz="0" w:space="0" w:color="auto"/>
        <w:bottom w:val="none" w:sz="0" w:space="0" w:color="auto"/>
        <w:right w:val="none" w:sz="0" w:space="0" w:color="auto"/>
      </w:divBdr>
    </w:div>
    <w:div w:id="244805368">
      <w:bodyDiv w:val="1"/>
      <w:marLeft w:val="0"/>
      <w:marRight w:val="0"/>
      <w:marTop w:val="0"/>
      <w:marBottom w:val="0"/>
      <w:divBdr>
        <w:top w:val="none" w:sz="0" w:space="0" w:color="auto"/>
        <w:left w:val="none" w:sz="0" w:space="0" w:color="auto"/>
        <w:bottom w:val="none" w:sz="0" w:space="0" w:color="auto"/>
        <w:right w:val="none" w:sz="0" w:space="0" w:color="auto"/>
      </w:divBdr>
    </w:div>
    <w:div w:id="261689434">
      <w:bodyDiv w:val="1"/>
      <w:marLeft w:val="0"/>
      <w:marRight w:val="0"/>
      <w:marTop w:val="0"/>
      <w:marBottom w:val="0"/>
      <w:divBdr>
        <w:top w:val="none" w:sz="0" w:space="0" w:color="auto"/>
        <w:left w:val="none" w:sz="0" w:space="0" w:color="auto"/>
        <w:bottom w:val="none" w:sz="0" w:space="0" w:color="auto"/>
        <w:right w:val="none" w:sz="0" w:space="0" w:color="auto"/>
      </w:divBdr>
    </w:div>
    <w:div w:id="269817429">
      <w:bodyDiv w:val="1"/>
      <w:marLeft w:val="0"/>
      <w:marRight w:val="0"/>
      <w:marTop w:val="0"/>
      <w:marBottom w:val="0"/>
      <w:divBdr>
        <w:top w:val="none" w:sz="0" w:space="0" w:color="auto"/>
        <w:left w:val="none" w:sz="0" w:space="0" w:color="auto"/>
        <w:bottom w:val="none" w:sz="0" w:space="0" w:color="auto"/>
        <w:right w:val="none" w:sz="0" w:space="0" w:color="auto"/>
      </w:divBdr>
    </w:div>
    <w:div w:id="272253250">
      <w:bodyDiv w:val="1"/>
      <w:marLeft w:val="0"/>
      <w:marRight w:val="0"/>
      <w:marTop w:val="0"/>
      <w:marBottom w:val="0"/>
      <w:divBdr>
        <w:top w:val="none" w:sz="0" w:space="0" w:color="auto"/>
        <w:left w:val="none" w:sz="0" w:space="0" w:color="auto"/>
        <w:bottom w:val="none" w:sz="0" w:space="0" w:color="auto"/>
        <w:right w:val="none" w:sz="0" w:space="0" w:color="auto"/>
      </w:divBdr>
    </w:div>
    <w:div w:id="294718975">
      <w:bodyDiv w:val="1"/>
      <w:marLeft w:val="0"/>
      <w:marRight w:val="0"/>
      <w:marTop w:val="0"/>
      <w:marBottom w:val="0"/>
      <w:divBdr>
        <w:top w:val="none" w:sz="0" w:space="0" w:color="auto"/>
        <w:left w:val="none" w:sz="0" w:space="0" w:color="auto"/>
        <w:bottom w:val="none" w:sz="0" w:space="0" w:color="auto"/>
        <w:right w:val="none" w:sz="0" w:space="0" w:color="auto"/>
      </w:divBdr>
    </w:div>
    <w:div w:id="295257723">
      <w:bodyDiv w:val="1"/>
      <w:marLeft w:val="0"/>
      <w:marRight w:val="0"/>
      <w:marTop w:val="0"/>
      <w:marBottom w:val="0"/>
      <w:divBdr>
        <w:top w:val="none" w:sz="0" w:space="0" w:color="auto"/>
        <w:left w:val="none" w:sz="0" w:space="0" w:color="auto"/>
        <w:bottom w:val="none" w:sz="0" w:space="0" w:color="auto"/>
        <w:right w:val="none" w:sz="0" w:space="0" w:color="auto"/>
      </w:divBdr>
    </w:div>
    <w:div w:id="314191780">
      <w:bodyDiv w:val="1"/>
      <w:marLeft w:val="0"/>
      <w:marRight w:val="0"/>
      <w:marTop w:val="0"/>
      <w:marBottom w:val="0"/>
      <w:divBdr>
        <w:top w:val="none" w:sz="0" w:space="0" w:color="auto"/>
        <w:left w:val="none" w:sz="0" w:space="0" w:color="auto"/>
        <w:bottom w:val="none" w:sz="0" w:space="0" w:color="auto"/>
        <w:right w:val="none" w:sz="0" w:space="0" w:color="auto"/>
      </w:divBdr>
    </w:div>
    <w:div w:id="330110591">
      <w:bodyDiv w:val="1"/>
      <w:marLeft w:val="0"/>
      <w:marRight w:val="0"/>
      <w:marTop w:val="0"/>
      <w:marBottom w:val="0"/>
      <w:divBdr>
        <w:top w:val="none" w:sz="0" w:space="0" w:color="auto"/>
        <w:left w:val="none" w:sz="0" w:space="0" w:color="auto"/>
        <w:bottom w:val="none" w:sz="0" w:space="0" w:color="auto"/>
        <w:right w:val="none" w:sz="0" w:space="0" w:color="auto"/>
      </w:divBdr>
    </w:div>
    <w:div w:id="333728589">
      <w:bodyDiv w:val="1"/>
      <w:marLeft w:val="0"/>
      <w:marRight w:val="0"/>
      <w:marTop w:val="0"/>
      <w:marBottom w:val="0"/>
      <w:divBdr>
        <w:top w:val="none" w:sz="0" w:space="0" w:color="auto"/>
        <w:left w:val="none" w:sz="0" w:space="0" w:color="auto"/>
        <w:bottom w:val="none" w:sz="0" w:space="0" w:color="auto"/>
        <w:right w:val="none" w:sz="0" w:space="0" w:color="auto"/>
      </w:divBdr>
    </w:div>
    <w:div w:id="349531756">
      <w:bodyDiv w:val="1"/>
      <w:marLeft w:val="0"/>
      <w:marRight w:val="0"/>
      <w:marTop w:val="0"/>
      <w:marBottom w:val="0"/>
      <w:divBdr>
        <w:top w:val="none" w:sz="0" w:space="0" w:color="auto"/>
        <w:left w:val="none" w:sz="0" w:space="0" w:color="auto"/>
        <w:bottom w:val="none" w:sz="0" w:space="0" w:color="auto"/>
        <w:right w:val="none" w:sz="0" w:space="0" w:color="auto"/>
      </w:divBdr>
    </w:div>
    <w:div w:id="359360087">
      <w:bodyDiv w:val="1"/>
      <w:marLeft w:val="0"/>
      <w:marRight w:val="0"/>
      <w:marTop w:val="0"/>
      <w:marBottom w:val="0"/>
      <w:divBdr>
        <w:top w:val="none" w:sz="0" w:space="0" w:color="auto"/>
        <w:left w:val="none" w:sz="0" w:space="0" w:color="auto"/>
        <w:bottom w:val="none" w:sz="0" w:space="0" w:color="auto"/>
        <w:right w:val="none" w:sz="0" w:space="0" w:color="auto"/>
      </w:divBdr>
    </w:div>
    <w:div w:id="365716196">
      <w:bodyDiv w:val="1"/>
      <w:marLeft w:val="0"/>
      <w:marRight w:val="0"/>
      <w:marTop w:val="0"/>
      <w:marBottom w:val="0"/>
      <w:divBdr>
        <w:top w:val="none" w:sz="0" w:space="0" w:color="auto"/>
        <w:left w:val="none" w:sz="0" w:space="0" w:color="auto"/>
        <w:bottom w:val="none" w:sz="0" w:space="0" w:color="auto"/>
        <w:right w:val="none" w:sz="0" w:space="0" w:color="auto"/>
      </w:divBdr>
    </w:div>
    <w:div w:id="371462749">
      <w:bodyDiv w:val="1"/>
      <w:marLeft w:val="0"/>
      <w:marRight w:val="0"/>
      <w:marTop w:val="0"/>
      <w:marBottom w:val="0"/>
      <w:divBdr>
        <w:top w:val="none" w:sz="0" w:space="0" w:color="auto"/>
        <w:left w:val="none" w:sz="0" w:space="0" w:color="auto"/>
        <w:bottom w:val="none" w:sz="0" w:space="0" w:color="auto"/>
        <w:right w:val="none" w:sz="0" w:space="0" w:color="auto"/>
      </w:divBdr>
    </w:div>
    <w:div w:id="410779896">
      <w:bodyDiv w:val="1"/>
      <w:marLeft w:val="0"/>
      <w:marRight w:val="0"/>
      <w:marTop w:val="0"/>
      <w:marBottom w:val="0"/>
      <w:divBdr>
        <w:top w:val="none" w:sz="0" w:space="0" w:color="auto"/>
        <w:left w:val="none" w:sz="0" w:space="0" w:color="auto"/>
        <w:bottom w:val="none" w:sz="0" w:space="0" w:color="auto"/>
        <w:right w:val="none" w:sz="0" w:space="0" w:color="auto"/>
      </w:divBdr>
    </w:div>
    <w:div w:id="417679951">
      <w:bodyDiv w:val="1"/>
      <w:marLeft w:val="0"/>
      <w:marRight w:val="0"/>
      <w:marTop w:val="0"/>
      <w:marBottom w:val="0"/>
      <w:divBdr>
        <w:top w:val="none" w:sz="0" w:space="0" w:color="auto"/>
        <w:left w:val="none" w:sz="0" w:space="0" w:color="auto"/>
        <w:bottom w:val="none" w:sz="0" w:space="0" w:color="auto"/>
        <w:right w:val="none" w:sz="0" w:space="0" w:color="auto"/>
      </w:divBdr>
    </w:div>
    <w:div w:id="431127253">
      <w:bodyDiv w:val="1"/>
      <w:marLeft w:val="0"/>
      <w:marRight w:val="0"/>
      <w:marTop w:val="0"/>
      <w:marBottom w:val="0"/>
      <w:divBdr>
        <w:top w:val="none" w:sz="0" w:space="0" w:color="auto"/>
        <w:left w:val="none" w:sz="0" w:space="0" w:color="auto"/>
        <w:bottom w:val="none" w:sz="0" w:space="0" w:color="auto"/>
        <w:right w:val="none" w:sz="0" w:space="0" w:color="auto"/>
      </w:divBdr>
    </w:div>
    <w:div w:id="431827049">
      <w:bodyDiv w:val="1"/>
      <w:marLeft w:val="0"/>
      <w:marRight w:val="0"/>
      <w:marTop w:val="0"/>
      <w:marBottom w:val="0"/>
      <w:divBdr>
        <w:top w:val="none" w:sz="0" w:space="0" w:color="auto"/>
        <w:left w:val="none" w:sz="0" w:space="0" w:color="auto"/>
        <w:bottom w:val="none" w:sz="0" w:space="0" w:color="auto"/>
        <w:right w:val="none" w:sz="0" w:space="0" w:color="auto"/>
      </w:divBdr>
    </w:div>
    <w:div w:id="444930677">
      <w:bodyDiv w:val="1"/>
      <w:marLeft w:val="0"/>
      <w:marRight w:val="0"/>
      <w:marTop w:val="0"/>
      <w:marBottom w:val="0"/>
      <w:divBdr>
        <w:top w:val="none" w:sz="0" w:space="0" w:color="auto"/>
        <w:left w:val="none" w:sz="0" w:space="0" w:color="auto"/>
        <w:bottom w:val="none" w:sz="0" w:space="0" w:color="auto"/>
        <w:right w:val="none" w:sz="0" w:space="0" w:color="auto"/>
      </w:divBdr>
    </w:div>
    <w:div w:id="447893396">
      <w:bodyDiv w:val="1"/>
      <w:marLeft w:val="0"/>
      <w:marRight w:val="0"/>
      <w:marTop w:val="0"/>
      <w:marBottom w:val="0"/>
      <w:divBdr>
        <w:top w:val="none" w:sz="0" w:space="0" w:color="auto"/>
        <w:left w:val="none" w:sz="0" w:space="0" w:color="auto"/>
        <w:bottom w:val="none" w:sz="0" w:space="0" w:color="auto"/>
        <w:right w:val="none" w:sz="0" w:space="0" w:color="auto"/>
      </w:divBdr>
    </w:div>
    <w:div w:id="460077703">
      <w:bodyDiv w:val="1"/>
      <w:marLeft w:val="0"/>
      <w:marRight w:val="0"/>
      <w:marTop w:val="0"/>
      <w:marBottom w:val="0"/>
      <w:divBdr>
        <w:top w:val="none" w:sz="0" w:space="0" w:color="auto"/>
        <w:left w:val="none" w:sz="0" w:space="0" w:color="auto"/>
        <w:bottom w:val="none" w:sz="0" w:space="0" w:color="auto"/>
        <w:right w:val="none" w:sz="0" w:space="0" w:color="auto"/>
      </w:divBdr>
    </w:div>
    <w:div w:id="493108388">
      <w:bodyDiv w:val="1"/>
      <w:marLeft w:val="0"/>
      <w:marRight w:val="0"/>
      <w:marTop w:val="0"/>
      <w:marBottom w:val="0"/>
      <w:divBdr>
        <w:top w:val="none" w:sz="0" w:space="0" w:color="auto"/>
        <w:left w:val="none" w:sz="0" w:space="0" w:color="auto"/>
        <w:bottom w:val="none" w:sz="0" w:space="0" w:color="auto"/>
        <w:right w:val="none" w:sz="0" w:space="0" w:color="auto"/>
      </w:divBdr>
    </w:div>
    <w:div w:id="527841867">
      <w:bodyDiv w:val="1"/>
      <w:marLeft w:val="0"/>
      <w:marRight w:val="0"/>
      <w:marTop w:val="0"/>
      <w:marBottom w:val="0"/>
      <w:divBdr>
        <w:top w:val="none" w:sz="0" w:space="0" w:color="auto"/>
        <w:left w:val="none" w:sz="0" w:space="0" w:color="auto"/>
        <w:bottom w:val="none" w:sz="0" w:space="0" w:color="auto"/>
        <w:right w:val="none" w:sz="0" w:space="0" w:color="auto"/>
      </w:divBdr>
    </w:div>
    <w:div w:id="543103230">
      <w:bodyDiv w:val="1"/>
      <w:marLeft w:val="0"/>
      <w:marRight w:val="0"/>
      <w:marTop w:val="0"/>
      <w:marBottom w:val="0"/>
      <w:divBdr>
        <w:top w:val="none" w:sz="0" w:space="0" w:color="auto"/>
        <w:left w:val="none" w:sz="0" w:space="0" w:color="auto"/>
        <w:bottom w:val="none" w:sz="0" w:space="0" w:color="auto"/>
        <w:right w:val="none" w:sz="0" w:space="0" w:color="auto"/>
      </w:divBdr>
    </w:div>
    <w:div w:id="559900530">
      <w:bodyDiv w:val="1"/>
      <w:marLeft w:val="0"/>
      <w:marRight w:val="0"/>
      <w:marTop w:val="0"/>
      <w:marBottom w:val="0"/>
      <w:divBdr>
        <w:top w:val="none" w:sz="0" w:space="0" w:color="auto"/>
        <w:left w:val="none" w:sz="0" w:space="0" w:color="auto"/>
        <w:bottom w:val="none" w:sz="0" w:space="0" w:color="auto"/>
        <w:right w:val="none" w:sz="0" w:space="0" w:color="auto"/>
      </w:divBdr>
    </w:div>
    <w:div w:id="561135743">
      <w:bodyDiv w:val="1"/>
      <w:marLeft w:val="0"/>
      <w:marRight w:val="0"/>
      <w:marTop w:val="0"/>
      <w:marBottom w:val="0"/>
      <w:divBdr>
        <w:top w:val="none" w:sz="0" w:space="0" w:color="auto"/>
        <w:left w:val="none" w:sz="0" w:space="0" w:color="auto"/>
        <w:bottom w:val="none" w:sz="0" w:space="0" w:color="auto"/>
        <w:right w:val="none" w:sz="0" w:space="0" w:color="auto"/>
      </w:divBdr>
    </w:div>
    <w:div w:id="568463616">
      <w:bodyDiv w:val="1"/>
      <w:marLeft w:val="0"/>
      <w:marRight w:val="0"/>
      <w:marTop w:val="0"/>
      <w:marBottom w:val="0"/>
      <w:divBdr>
        <w:top w:val="none" w:sz="0" w:space="0" w:color="auto"/>
        <w:left w:val="none" w:sz="0" w:space="0" w:color="auto"/>
        <w:bottom w:val="none" w:sz="0" w:space="0" w:color="auto"/>
        <w:right w:val="none" w:sz="0" w:space="0" w:color="auto"/>
      </w:divBdr>
    </w:div>
    <w:div w:id="569190126">
      <w:bodyDiv w:val="1"/>
      <w:marLeft w:val="0"/>
      <w:marRight w:val="0"/>
      <w:marTop w:val="0"/>
      <w:marBottom w:val="0"/>
      <w:divBdr>
        <w:top w:val="none" w:sz="0" w:space="0" w:color="auto"/>
        <w:left w:val="none" w:sz="0" w:space="0" w:color="auto"/>
        <w:bottom w:val="none" w:sz="0" w:space="0" w:color="auto"/>
        <w:right w:val="none" w:sz="0" w:space="0" w:color="auto"/>
      </w:divBdr>
    </w:div>
    <w:div w:id="581574100">
      <w:bodyDiv w:val="1"/>
      <w:marLeft w:val="0"/>
      <w:marRight w:val="0"/>
      <w:marTop w:val="0"/>
      <w:marBottom w:val="0"/>
      <w:divBdr>
        <w:top w:val="none" w:sz="0" w:space="0" w:color="auto"/>
        <w:left w:val="none" w:sz="0" w:space="0" w:color="auto"/>
        <w:bottom w:val="none" w:sz="0" w:space="0" w:color="auto"/>
        <w:right w:val="none" w:sz="0" w:space="0" w:color="auto"/>
      </w:divBdr>
    </w:div>
    <w:div w:id="589700232">
      <w:bodyDiv w:val="1"/>
      <w:marLeft w:val="0"/>
      <w:marRight w:val="0"/>
      <w:marTop w:val="0"/>
      <w:marBottom w:val="0"/>
      <w:divBdr>
        <w:top w:val="none" w:sz="0" w:space="0" w:color="auto"/>
        <w:left w:val="none" w:sz="0" w:space="0" w:color="auto"/>
        <w:bottom w:val="none" w:sz="0" w:space="0" w:color="auto"/>
        <w:right w:val="none" w:sz="0" w:space="0" w:color="auto"/>
      </w:divBdr>
    </w:div>
    <w:div w:id="608853629">
      <w:bodyDiv w:val="1"/>
      <w:marLeft w:val="0"/>
      <w:marRight w:val="0"/>
      <w:marTop w:val="0"/>
      <w:marBottom w:val="0"/>
      <w:divBdr>
        <w:top w:val="none" w:sz="0" w:space="0" w:color="auto"/>
        <w:left w:val="none" w:sz="0" w:space="0" w:color="auto"/>
        <w:bottom w:val="none" w:sz="0" w:space="0" w:color="auto"/>
        <w:right w:val="none" w:sz="0" w:space="0" w:color="auto"/>
      </w:divBdr>
    </w:div>
    <w:div w:id="608896514">
      <w:bodyDiv w:val="1"/>
      <w:marLeft w:val="0"/>
      <w:marRight w:val="0"/>
      <w:marTop w:val="0"/>
      <w:marBottom w:val="0"/>
      <w:divBdr>
        <w:top w:val="none" w:sz="0" w:space="0" w:color="auto"/>
        <w:left w:val="none" w:sz="0" w:space="0" w:color="auto"/>
        <w:bottom w:val="none" w:sz="0" w:space="0" w:color="auto"/>
        <w:right w:val="none" w:sz="0" w:space="0" w:color="auto"/>
      </w:divBdr>
    </w:div>
    <w:div w:id="621427136">
      <w:bodyDiv w:val="1"/>
      <w:marLeft w:val="0"/>
      <w:marRight w:val="0"/>
      <w:marTop w:val="0"/>
      <w:marBottom w:val="0"/>
      <w:divBdr>
        <w:top w:val="none" w:sz="0" w:space="0" w:color="auto"/>
        <w:left w:val="none" w:sz="0" w:space="0" w:color="auto"/>
        <w:bottom w:val="none" w:sz="0" w:space="0" w:color="auto"/>
        <w:right w:val="none" w:sz="0" w:space="0" w:color="auto"/>
      </w:divBdr>
    </w:div>
    <w:div w:id="624972501">
      <w:bodyDiv w:val="1"/>
      <w:marLeft w:val="0"/>
      <w:marRight w:val="0"/>
      <w:marTop w:val="0"/>
      <w:marBottom w:val="0"/>
      <w:divBdr>
        <w:top w:val="none" w:sz="0" w:space="0" w:color="auto"/>
        <w:left w:val="none" w:sz="0" w:space="0" w:color="auto"/>
        <w:bottom w:val="none" w:sz="0" w:space="0" w:color="auto"/>
        <w:right w:val="none" w:sz="0" w:space="0" w:color="auto"/>
      </w:divBdr>
    </w:div>
    <w:div w:id="636305403">
      <w:bodyDiv w:val="1"/>
      <w:marLeft w:val="0"/>
      <w:marRight w:val="0"/>
      <w:marTop w:val="0"/>
      <w:marBottom w:val="0"/>
      <w:divBdr>
        <w:top w:val="none" w:sz="0" w:space="0" w:color="auto"/>
        <w:left w:val="none" w:sz="0" w:space="0" w:color="auto"/>
        <w:bottom w:val="none" w:sz="0" w:space="0" w:color="auto"/>
        <w:right w:val="none" w:sz="0" w:space="0" w:color="auto"/>
      </w:divBdr>
    </w:div>
    <w:div w:id="640426719">
      <w:bodyDiv w:val="1"/>
      <w:marLeft w:val="0"/>
      <w:marRight w:val="0"/>
      <w:marTop w:val="0"/>
      <w:marBottom w:val="0"/>
      <w:divBdr>
        <w:top w:val="none" w:sz="0" w:space="0" w:color="auto"/>
        <w:left w:val="none" w:sz="0" w:space="0" w:color="auto"/>
        <w:bottom w:val="none" w:sz="0" w:space="0" w:color="auto"/>
        <w:right w:val="none" w:sz="0" w:space="0" w:color="auto"/>
      </w:divBdr>
    </w:div>
    <w:div w:id="655569832">
      <w:bodyDiv w:val="1"/>
      <w:marLeft w:val="0"/>
      <w:marRight w:val="0"/>
      <w:marTop w:val="0"/>
      <w:marBottom w:val="0"/>
      <w:divBdr>
        <w:top w:val="none" w:sz="0" w:space="0" w:color="auto"/>
        <w:left w:val="none" w:sz="0" w:space="0" w:color="auto"/>
        <w:bottom w:val="none" w:sz="0" w:space="0" w:color="auto"/>
        <w:right w:val="none" w:sz="0" w:space="0" w:color="auto"/>
      </w:divBdr>
    </w:div>
    <w:div w:id="658847678">
      <w:bodyDiv w:val="1"/>
      <w:marLeft w:val="0"/>
      <w:marRight w:val="0"/>
      <w:marTop w:val="0"/>
      <w:marBottom w:val="0"/>
      <w:divBdr>
        <w:top w:val="none" w:sz="0" w:space="0" w:color="auto"/>
        <w:left w:val="none" w:sz="0" w:space="0" w:color="auto"/>
        <w:bottom w:val="none" w:sz="0" w:space="0" w:color="auto"/>
        <w:right w:val="none" w:sz="0" w:space="0" w:color="auto"/>
      </w:divBdr>
    </w:div>
    <w:div w:id="666782495">
      <w:bodyDiv w:val="1"/>
      <w:marLeft w:val="0"/>
      <w:marRight w:val="0"/>
      <w:marTop w:val="0"/>
      <w:marBottom w:val="0"/>
      <w:divBdr>
        <w:top w:val="none" w:sz="0" w:space="0" w:color="auto"/>
        <w:left w:val="none" w:sz="0" w:space="0" w:color="auto"/>
        <w:bottom w:val="none" w:sz="0" w:space="0" w:color="auto"/>
        <w:right w:val="none" w:sz="0" w:space="0" w:color="auto"/>
      </w:divBdr>
    </w:div>
    <w:div w:id="687408161">
      <w:bodyDiv w:val="1"/>
      <w:marLeft w:val="0"/>
      <w:marRight w:val="0"/>
      <w:marTop w:val="0"/>
      <w:marBottom w:val="0"/>
      <w:divBdr>
        <w:top w:val="none" w:sz="0" w:space="0" w:color="auto"/>
        <w:left w:val="none" w:sz="0" w:space="0" w:color="auto"/>
        <w:bottom w:val="none" w:sz="0" w:space="0" w:color="auto"/>
        <w:right w:val="none" w:sz="0" w:space="0" w:color="auto"/>
      </w:divBdr>
    </w:div>
    <w:div w:id="688869228">
      <w:bodyDiv w:val="1"/>
      <w:marLeft w:val="0"/>
      <w:marRight w:val="0"/>
      <w:marTop w:val="0"/>
      <w:marBottom w:val="0"/>
      <w:divBdr>
        <w:top w:val="none" w:sz="0" w:space="0" w:color="auto"/>
        <w:left w:val="none" w:sz="0" w:space="0" w:color="auto"/>
        <w:bottom w:val="none" w:sz="0" w:space="0" w:color="auto"/>
        <w:right w:val="none" w:sz="0" w:space="0" w:color="auto"/>
      </w:divBdr>
    </w:div>
    <w:div w:id="691490143">
      <w:bodyDiv w:val="1"/>
      <w:marLeft w:val="0"/>
      <w:marRight w:val="0"/>
      <w:marTop w:val="0"/>
      <w:marBottom w:val="0"/>
      <w:divBdr>
        <w:top w:val="none" w:sz="0" w:space="0" w:color="auto"/>
        <w:left w:val="none" w:sz="0" w:space="0" w:color="auto"/>
        <w:bottom w:val="none" w:sz="0" w:space="0" w:color="auto"/>
        <w:right w:val="none" w:sz="0" w:space="0" w:color="auto"/>
      </w:divBdr>
    </w:div>
    <w:div w:id="697924681">
      <w:bodyDiv w:val="1"/>
      <w:marLeft w:val="0"/>
      <w:marRight w:val="0"/>
      <w:marTop w:val="0"/>
      <w:marBottom w:val="0"/>
      <w:divBdr>
        <w:top w:val="none" w:sz="0" w:space="0" w:color="auto"/>
        <w:left w:val="none" w:sz="0" w:space="0" w:color="auto"/>
        <w:bottom w:val="none" w:sz="0" w:space="0" w:color="auto"/>
        <w:right w:val="none" w:sz="0" w:space="0" w:color="auto"/>
      </w:divBdr>
    </w:div>
    <w:div w:id="709568450">
      <w:bodyDiv w:val="1"/>
      <w:marLeft w:val="0"/>
      <w:marRight w:val="0"/>
      <w:marTop w:val="0"/>
      <w:marBottom w:val="0"/>
      <w:divBdr>
        <w:top w:val="none" w:sz="0" w:space="0" w:color="auto"/>
        <w:left w:val="none" w:sz="0" w:space="0" w:color="auto"/>
        <w:bottom w:val="none" w:sz="0" w:space="0" w:color="auto"/>
        <w:right w:val="none" w:sz="0" w:space="0" w:color="auto"/>
      </w:divBdr>
    </w:div>
    <w:div w:id="710030682">
      <w:bodyDiv w:val="1"/>
      <w:marLeft w:val="0"/>
      <w:marRight w:val="0"/>
      <w:marTop w:val="0"/>
      <w:marBottom w:val="0"/>
      <w:divBdr>
        <w:top w:val="none" w:sz="0" w:space="0" w:color="auto"/>
        <w:left w:val="none" w:sz="0" w:space="0" w:color="auto"/>
        <w:bottom w:val="none" w:sz="0" w:space="0" w:color="auto"/>
        <w:right w:val="none" w:sz="0" w:space="0" w:color="auto"/>
      </w:divBdr>
    </w:div>
    <w:div w:id="736166502">
      <w:bodyDiv w:val="1"/>
      <w:marLeft w:val="0"/>
      <w:marRight w:val="0"/>
      <w:marTop w:val="0"/>
      <w:marBottom w:val="0"/>
      <w:divBdr>
        <w:top w:val="none" w:sz="0" w:space="0" w:color="auto"/>
        <w:left w:val="none" w:sz="0" w:space="0" w:color="auto"/>
        <w:bottom w:val="none" w:sz="0" w:space="0" w:color="auto"/>
        <w:right w:val="none" w:sz="0" w:space="0" w:color="auto"/>
      </w:divBdr>
    </w:div>
    <w:div w:id="751321379">
      <w:bodyDiv w:val="1"/>
      <w:marLeft w:val="0"/>
      <w:marRight w:val="0"/>
      <w:marTop w:val="0"/>
      <w:marBottom w:val="0"/>
      <w:divBdr>
        <w:top w:val="none" w:sz="0" w:space="0" w:color="auto"/>
        <w:left w:val="none" w:sz="0" w:space="0" w:color="auto"/>
        <w:bottom w:val="none" w:sz="0" w:space="0" w:color="auto"/>
        <w:right w:val="none" w:sz="0" w:space="0" w:color="auto"/>
      </w:divBdr>
    </w:div>
    <w:div w:id="751393636">
      <w:bodyDiv w:val="1"/>
      <w:marLeft w:val="0"/>
      <w:marRight w:val="0"/>
      <w:marTop w:val="0"/>
      <w:marBottom w:val="0"/>
      <w:divBdr>
        <w:top w:val="none" w:sz="0" w:space="0" w:color="auto"/>
        <w:left w:val="none" w:sz="0" w:space="0" w:color="auto"/>
        <w:bottom w:val="none" w:sz="0" w:space="0" w:color="auto"/>
        <w:right w:val="none" w:sz="0" w:space="0" w:color="auto"/>
      </w:divBdr>
    </w:div>
    <w:div w:id="756099972">
      <w:bodyDiv w:val="1"/>
      <w:marLeft w:val="0"/>
      <w:marRight w:val="0"/>
      <w:marTop w:val="0"/>
      <w:marBottom w:val="0"/>
      <w:divBdr>
        <w:top w:val="none" w:sz="0" w:space="0" w:color="auto"/>
        <w:left w:val="none" w:sz="0" w:space="0" w:color="auto"/>
        <w:bottom w:val="none" w:sz="0" w:space="0" w:color="auto"/>
        <w:right w:val="none" w:sz="0" w:space="0" w:color="auto"/>
      </w:divBdr>
    </w:div>
    <w:div w:id="763499330">
      <w:bodyDiv w:val="1"/>
      <w:marLeft w:val="0"/>
      <w:marRight w:val="0"/>
      <w:marTop w:val="0"/>
      <w:marBottom w:val="0"/>
      <w:divBdr>
        <w:top w:val="none" w:sz="0" w:space="0" w:color="auto"/>
        <w:left w:val="none" w:sz="0" w:space="0" w:color="auto"/>
        <w:bottom w:val="none" w:sz="0" w:space="0" w:color="auto"/>
        <w:right w:val="none" w:sz="0" w:space="0" w:color="auto"/>
      </w:divBdr>
    </w:div>
    <w:div w:id="778068793">
      <w:bodyDiv w:val="1"/>
      <w:marLeft w:val="0"/>
      <w:marRight w:val="0"/>
      <w:marTop w:val="0"/>
      <w:marBottom w:val="0"/>
      <w:divBdr>
        <w:top w:val="none" w:sz="0" w:space="0" w:color="auto"/>
        <w:left w:val="none" w:sz="0" w:space="0" w:color="auto"/>
        <w:bottom w:val="none" w:sz="0" w:space="0" w:color="auto"/>
        <w:right w:val="none" w:sz="0" w:space="0" w:color="auto"/>
      </w:divBdr>
    </w:div>
    <w:div w:id="780535730">
      <w:bodyDiv w:val="1"/>
      <w:marLeft w:val="0"/>
      <w:marRight w:val="0"/>
      <w:marTop w:val="0"/>
      <w:marBottom w:val="0"/>
      <w:divBdr>
        <w:top w:val="none" w:sz="0" w:space="0" w:color="auto"/>
        <w:left w:val="none" w:sz="0" w:space="0" w:color="auto"/>
        <w:bottom w:val="none" w:sz="0" w:space="0" w:color="auto"/>
        <w:right w:val="none" w:sz="0" w:space="0" w:color="auto"/>
      </w:divBdr>
    </w:div>
    <w:div w:id="784080853">
      <w:bodyDiv w:val="1"/>
      <w:marLeft w:val="0"/>
      <w:marRight w:val="0"/>
      <w:marTop w:val="0"/>
      <w:marBottom w:val="0"/>
      <w:divBdr>
        <w:top w:val="none" w:sz="0" w:space="0" w:color="auto"/>
        <w:left w:val="none" w:sz="0" w:space="0" w:color="auto"/>
        <w:bottom w:val="none" w:sz="0" w:space="0" w:color="auto"/>
        <w:right w:val="none" w:sz="0" w:space="0" w:color="auto"/>
      </w:divBdr>
    </w:div>
    <w:div w:id="795761978">
      <w:bodyDiv w:val="1"/>
      <w:marLeft w:val="0"/>
      <w:marRight w:val="0"/>
      <w:marTop w:val="0"/>
      <w:marBottom w:val="0"/>
      <w:divBdr>
        <w:top w:val="none" w:sz="0" w:space="0" w:color="auto"/>
        <w:left w:val="none" w:sz="0" w:space="0" w:color="auto"/>
        <w:bottom w:val="none" w:sz="0" w:space="0" w:color="auto"/>
        <w:right w:val="none" w:sz="0" w:space="0" w:color="auto"/>
      </w:divBdr>
    </w:div>
    <w:div w:id="810094221">
      <w:bodyDiv w:val="1"/>
      <w:marLeft w:val="0"/>
      <w:marRight w:val="0"/>
      <w:marTop w:val="0"/>
      <w:marBottom w:val="0"/>
      <w:divBdr>
        <w:top w:val="none" w:sz="0" w:space="0" w:color="auto"/>
        <w:left w:val="none" w:sz="0" w:space="0" w:color="auto"/>
        <w:bottom w:val="none" w:sz="0" w:space="0" w:color="auto"/>
        <w:right w:val="none" w:sz="0" w:space="0" w:color="auto"/>
      </w:divBdr>
    </w:div>
    <w:div w:id="824127293">
      <w:bodyDiv w:val="1"/>
      <w:marLeft w:val="0"/>
      <w:marRight w:val="0"/>
      <w:marTop w:val="0"/>
      <w:marBottom w:val="0"/>
      <w:divBdr>
        <w:top w:val="none" w:sz="0" w:space="0" w:color="auto"/>
        <w:left w:val="none" w:sz="0" w:space="0" w:color="auto"/>
        <w:bottom w:val="none" w:sz="0" w:space="0" w:color="auto"/>
        <w:right w:val="none" w:sz="0" w:space="0" w:color="auto"/>
      </w:divBdr>
    </w:div>
    <w:div w:id="833186608">
      <w:bodyDiv w:val="1"/>
      <w:marLeft w:val="0"/>
      <w:marRight w:val="0"/>
      <w:marTop w:val="0"/>
      <w:marBottom w:val="0"/>
      <w:divBdr>
        <w:top w:val="none" w:sz="0" w:space="0" w:color="auto"/>
        <w:left w:val="none" w:sz="0" w:space="0" w:color="auto"/>
        <w:bottom w:val="none" w:sz="0" w:space="0" w:color="auto"/>
        <w:right w:val="none" w:sz="0" w:space="0" w:color="auto"/>
      </w:divBdr>
    </w:div>
    <w:div w:id="844131962">
      <w:bodyDiv w:val="1"/>
      <w:marLeft w:val="0"/>
      <w:marRight w:val="0"/>
      <w:marTop w:val="0"/>
      <w:marBottom w:val="0"/>
      <w:divBdr>
        <w:top w:val="none" w:sz="0" w:space="0" w:color="auto"/>
        <w:left w:val="none" w:sz="0" w:space="0" w:color="auto"/>
        <w:bottom w:val="none" w:sz="0" w:space="0" w:color="auto"/>
        <w:right w:val="none" w:sz="0" w:space="0" w:color="auto"/>
      </w:divBdr>
    </w:div>
    <w:div w:id="849835018">
      <w:bodyDiv w:val="1"/>
      <w:marLeft w:val="0"/>
      <w:marRight w:val="0"/>
      <w:marTop w:val="0"/>
      <w:marBottom w:val="0"/>
      <w:divBdr>
        <w:top w:val="none" w:sz="0" w:space="0" w:color="auto"/>
        <w:left w:val="none" w:sz="0" w:space="0" w:color="auto"/>
        <w:bottom w:val="none" w:sz="0" w:space="0" w:color="auto"/>
        <w:right w:val="none" w:sz="0" w:space="0" w:color="auto"/>
      </w:divBdr>
    </w:div>
    <w:div w:id="857622703">
      <w:bodyDiv w:val="1"/>
      <w:marLeft w:val="0"/>
      <w:marRight w:val="0"/>
      <w:marTop w:val="0"/>
      <w:marBottom w:val="0"/>
      <w:divBdr>
        <w:top w:val="none" w:sz="0" w:space="0" w:color="auto"/>
        <w:left w:val="none" w:sz="0" w:space="0" w:color="auto"/>
        <w:bottom w:val="none" w:sz="0" w:space="0" w:color="auto"/>
        <w:right w:val="none" w:sz="0" w:space="0" w:color="auto"/>
      </w:divBdr>
    </w:div>
    <w:div w:id="875777831">
      <w:bodyDiv w:val="1"/>
      <w:marLeft w:val="0"/>
      <w:marRight w:val="0"/>
      <w:marTop w:val="0"/>
      <w:marBottom w:val="0"/>
      <w:divBdr>
        <w:top w:val="none" w:sz="0" w:space="0" w:color="auto"/>
        <w:left w:val="none" w:sz="0" w:space="0" w:color="auto"/>
        <w:bottom w:val="none" w:sz="0" w:space="0" w:color="auto"/>
        <w:right w:val="none" w:sz="0" w:space="0" w:color="auto"/>
      </w:divBdr>
    </w:div>
    <w:div w:id="906916263">
      <w:bodyDiv w:val="1"/>
      <w:marLeft w:val="0"/>
      <w:marRight w:val="0"/>
      <w:marTop w:val="0"/>
      <w:marBottom w:val="0"/>
      <w:divBdr>
        <w:top w:val="none" w:sz="0" w:space="0" w:color="auto"/>
        <w:left w:val="none" w:sz="0" w:space="0" w:color="auto"/>
        <w:bottom w:val="none" w:sz="0" w:space="0" w:color="auto"/>
        <w:right w:val="none" w:sz="0" w:space="0" w:color="auto"/>
      </w:divBdr>
    </w:div>
    <w:div w:id="911504690">
      <w:bodyDiv w:val="1"/>
      <w:marLeft w:val="0"/>
      <w:marRight w:val="0"/>
      <w:marTop w:val="0"/>
      <w:marBottom w:val="0"/>
      <w:divBdr>
        <w:top w:val="none" w:sz="0" w:space="0" w:color="auto"/>
        <w:left w:val="none" w:sz="0" w:space="0" w:color="auto"/>
        <w:bottom w:val="none" w:sz="0" w:space="0" w:color="auto"/>
        <w:right w:val="none" w:sz="0" w:space="0" w:color="auto"/>
      </w:divBdr>
    </w:div>
    <w:div w:id="924070695">
      <w:bodyDiv w:val="1"/>
      <w:marLeft w:val="0"/>
      <w:marRight w:val="0"/>
      <w:marTop w:val="0"/>
      <w:marBottom w:val="0"/>
      <w:divBdr>
        <w:top w:val="none" w:sz="0" w:space="0" w:color="auto"/>
        <w:left w:val="none" w:sz="0" w:space="0" w:color="auto"/>
        <w:bottom w:val="none" w:sz="0" w:space="0" w:color="auto"/>
        <w:right w:val="none" w:sz="0" w:space="0" w:color="auto"/>
      </w:divBdr>
    </w:div>
    <w:div w:id="929267379">
      <w:bodyDiv w:val="1"/>
      <w:marLeft w:val="0"/>
      <w:marRight w:val="0"/>
      <w:marTop w:val="0"/>
      <w:marBottom w:val="0"/>
      <w:divBdr>
        <w:top w:val="none" w:sz="0" w:space="0" w:color="auto"/>
        <w:left w:val="none" w:sz="0" w:space="0" w:color="auto"/>
        <w:bottom w:val="none" w:sz="0" w:space="0" w:color="auto"/>
        <w:right w:val="none" w:sz="0" w:space="0" w:color="auto"/>
      </w:divBdr>
    </w:div>
    <w:div w:id="950555097">
      <w:bodyDiv w:val="1"/>
      <w:marLeft w:val="0"/>
      <w:marRight w:val="0"/>
      <w:marTop w:val="0"/>
      <w:marBottom w:val="0"/>
      <w:divBdr>
        <w:top w:val="none" w:sz="0" w:space="0" w:color="auto"/>
        <w:left w:val="none" w:sz="0" w:space="0" w:color="auto"/>
        <w:bottom w:val="none" w:sz="0" w:space="0" w:color="auto"/>
        <w:right w:val="none" w:sz="0" w:space="0" w:color="auto"/>
      </w:divBdr>
    </w:div>
    <w:div w:id="966358097">
      <w:bodyDiv w:val="1"/>
      <w:marLeft w:val="0"/>
      <w:marRight w:val="0"/>
      <w:marTop w:val="0"/>
      <w:marBottom w:val="0"/>
      <w:divBdr>
        <w:top w:val="none" w:sz="0" w:space="0" w:color="auto"/>
        <w:left w:val="none" w:sz="0" w:space="0" w:color="auto"/>
        <w:bottom w:val="none" w:sz="0" w:space="0" w:color="auto"/>
        <w:right w:val="none" w:sz="0" w:space="0" w:color="auto"/>
      </w:divBdr>
    </w:div>
    <w:div w:id="972248820">
      <w:bodyDiv w:val="1"/>
      <w:marLeft w:val="0"/>
      <w:marRight w:val="0"/>
      <w:marTop w:val="0"/>
      <w:marBottom w:val="0"/>
      <w:divBdr>
        <w:top w:val="none" w:sz="0" w:space="0" w:color="auto"/>
        <w:left w:val="none" w:sz="0" w:space="0" w:color="auto"/>
        <w:bottom w:val="none" w:sz="0" w:space="0" w:color="auto"/>
        <w:right w:val="none" w:sz="0" w:space="0" w:color="auto"/>
      </w:divBdr>
    </w:div>
    <w:div w:id="977145927">
      <w:bodyDiv w:val="1"/>
      <w:marLeft w:val="0"/>
      <w:marRight w:val="0"/>
      <w:marTop w:val="0"/>
      <w:marBottom w:val="0"/>
      <w:divBdr>
        <w:top w:val="none" w:sz="0" w:space="0" w:color="auto"/>
        <w:left w:val="none" w:sz="0" w:space="0" w:color="auto"/>
        <w:bottom w:val="none" w:sz="0" w:space="0" w:color="auto"/>
        <w:right w:val="none" w:sz="0" w:space="0" w:color="auto"/>
      </w:divBdr>
    </w:div>
    <w:div w:id="986468827">
      <w:bodyDiv w:val="1"/>
      <w:marLeft w:val="0"/>
      <w:marRight w:val="0"/>
      <w:marTop w:val="0"/>
      <w:marBottom w:val="0"/>
      <w:divBdr>
        <w:top w:val="none" w:sz="0" w:space="0" w:color="auto"/>
        <w:left w:val="none" w:sz="0" w:space="0" w:color="auto"/>
        <w:bottom w:val="none" w:sz="0" w:space="0" w:color="auto"/>
        <w:right w:val="none" w:sz="0" w:space="0" w:color="auto"/>
      </w:divBdr>
    </w:div>
    <w:div w:id="988941785">
      <w:bodyDiv w:val="1"/>
      <w:marLeft w:val="0"/>
      <w:marRight w:val="0"/>
      <w:marTop w:val="0"/>
      <w:marBottom w:val="0"/>
      <w:divBdr>
        <w:top w:val="none" w:sz="0" w:space="0" w:color="auto"/>
        <w:left w:val="none" w:sz="0" w:space="0" w:color="auto"/>
        <w:bottom w:val="none" w:sz="0" w:space="0" w:color="auto"/>
        <w:right w:val="none" w:sz="0" w:space="0" w:color="auto"/>
      </w:divBdr>
    </w:div>
    <w:div w:id="991953948">
      <w:bodyDiv w:val="1"/>
      <w:marLeft w:val="0"/>
      <w:marRight w:val="0"/>
      <w:marTop w:val="0"/>
      <w:marBottom w:val="0"/>
      <w:divBdr>
        <w:top w:val="none" w:sz="0" w:space="0" w:color="auto"/>
        <w:left w:val="none" w:sz="0" w:space="0" w:color="auto"/>
        <w:bottom w:val="none" w:sz="0" w:space="0" w:color="auto"/>
        <w:right w:val="none" w:sz="0" w:space="0" w:color="auto"/>
      </w:divBdr>
    </w:div>
    <w:div w:id="997272848">
      <w:bodyDiv w:val="1"/>
      <w:marLeft w:val="0"/>
      <w:marRight w:val="0"/>
      <w:marTop w:val="0"/>
      <w:marBottom w:val="0"/>
      <w:divBdr>
        <w:top w:val="none" w:sz="0" w:space="0" w:color="auto"/>
        <w:left w:val="none" w:sz="0" w:space="0" w:color="auto"/>
        <w:bottom w:val="none" w:sz="0" w:space="0" w:color="auto"/>
        <w:right w:val="none" w:sz="0" w:space="0" w:color="auto"/>
      </w:divBdr>
    </w:div>
    <w:div w:id="1015380874">
      <w:bodyDiv w:val="1"/>
      <w:marLeft w:val="0"/>
      <w:marRight w:val="0"/>
      <w:marTop w:val="0"/>
      <w:marBottom w:val="0"/>
      <w:divBdr>
        <w:top w:val="none" w:sz="0" w:space="0" w:color="auto"/>
        <w:left w:val="none" w:sz="0" w:space="0" w:color="auto"/>
        <w:bottom w:val="none" w:sz="0" w:space="0" w:color="auto"/>
        <w:right w:val="none" w:sz="0" w:space="0" w:color="auto"/>
      </w:divBdr>
    </w:div>
    <w:div w:id="1016227340">
      <w:bodyDiv w:val="1"/>
      <w:marLeft w:val="0"/>
      <w:marRight w:val="0"/>
      <w:marTop w:val="0"/>
      <w:marBottom w:val="0"/>
      <w:divBdr>
        <w:top w:val="none" w:sz="0" w:space="0" w:color="auto"/>
        <w:left w:val="none" w:sz="0" w:space="0" w:color="auto"/>
        <w:bottom w:val="none" w:sz="0" w:space="0" w:color="auto"/>
        <w:right w:val="none" w:sz="0" w:space="0" w:color="auto"/>
      </w:divBdr>
    </w:div>
    <w:div w:id="1050810218">
      <w:bodyDiv w:val="1"/>
      <w:marLeft w:val="0"/>
      <w:marRight w:val="0"/>
      <w:marTop w:val="0"/>
      <w:marBottom w:val="0"/>
      <w:divBdr>
        <w:top w:val="none" w:sz="0" w:space="0" w:color="auto"/>
        <w:left w:val="none" w:sz="0" w:space="0" w:color="auto"/>
        <w:bottom w:val="none" w:sz="0" w:space="0" w:color="auto"/>
        <w:right w:val="none" w:sz="0" w:space="0" w:color="auto"/>
      </w:divBdr>
    </w:div>
    <w:div w:id="1058359370">
      <w:bodyDiv w:val="1"/>
      <w:marLeft w:val="0"/>
      <w:marRight w:val="0"/>
      <w:marTop w:val="0"/>
      <w:marBottom w:val="0"/>
      <w:divBdr>
        <w:top w:val="none" w:sz="0" w:space="0" w:color="auto"/>
        <w:left w:val="none" w:sz="0" w:space="0" w:color="auto"/>
        <w:bottom w:val="none" w:sz="0" w:space="0" w:color="auto"/>
        <w:right w:val="none" w:sz="0" w:space="0" w:color="auto"/>
      </w:divBdr>
    </w:div>
    <w:div w:id="1060903575">
      <w:bodyDiv w:val="1"/>
      <w:marLeft w:val="0"/>
      <w:marRight w:val="0"/>
      <w:marTop w:val="0"/>
      <w:marBottom w:val="0"/>
      <w:divBdr>
        <w:top w:val="none" w:sz="0" w:space="0" w:color="auto"/>
        <w:left w:val="none" w:sz="0" w:space="0" w:color="auto"/>
        <w:bottom w:val="none" w:sz="0" w:space="0" w:color="auto"/>
        <w:right w:val="none" w:sz="0" w:space="0" w:color="auto"/>
      </w:divBdr>
    </w:div>
    <w:div w:id="1064454024">
      <w:bodyDiv w:val="1"/>
      <w:marLeft w:val="0"/>
      <w:marRight w:val="0"/>
      <w:marTop w:val="0"/>
      <w:marBottom w:val="0"/>
      <w:divBdr>
        <w:top w:val="none" w:sz="0" w:space="0" w:color="auto"/>
        <w:left w:val="none" w:sz="0" w:space="0" w:color="auto"/>
        <w:bottom w:val="none" w:sz="0" w:space="0" w:color="auto"/>
        <w:right w:val="none" w:sz="0" w:space="0" w:color="auto"/>
      </w:divBdr>
    </w:div>
    <w:div w:id="1064527937">
      <w:bodyDiv w:val="1"/>
      <w:marLeft w:val="0"/>
      <w:marRight w:val="0"/>
      <w:marTop w:val="0"/>
      <w:marBottom w:val="0"/>
      <w:divBdr>
        <w:top w:val="none" w:sz="0" w:space="0" w:color="auto"/>
        <w:left w:val="none" w:sz="0" w:space="0" w:color="auto"/>
        <w:bottom w:val="none" w:sz="0" w:space="0" w:color="auto"/>
        <w:right w:val="none" w:sz="0" w:space="0" w:color="auto"/>
      </w:divBdr>
    </w:div>
    <w:div w:id="1065840892">
      <w:bodyDiv w:val="1"/>
      <w:marLeft w:val="0"/>
      <w:marRight w:val="0"/>
      <w:marTop w:val="0"/>
      <w:marBottom w:val="0"/>
      <w:divBdr>
        <w:top w:val="none" w:sz="0" w:space="0" w:color="auto"/>
        <w:left w:val="none" w:sz="0" w:space="0" w:color="auto"/>
        <w:bottom w:val="none" w:sz="0" w:space="0" w:color="auto"/>
        <w:right w:val="none" w:sz="0" w:space="0" w:color="auto"/>
      </w:divBdr>
    </w:div>
    <w:div w:id="1067998281">
      <w:bodyDiv w:val="1"/>
      <w:marLeft w:val="0"/>
      <w:marRight w:val="0"/>
      <w:marTop w:val="0"/>
      <w:marBottom w:val="0"/>
      <w:divBdr>
        <w:top w:val="none" w:sz="0" w:space="0" w:color="auto"/>
        <w:left w:val="none" w:sz="0" w:space="0" w:color="auto"/>
        <w:bottom w:val="none" w:sz="0" w:space="0" w:color="auto"/>
        <w:right w:val="none" w:sz="0" w:space="0" w:color="auto"/>
      </w:divBdr>
    </w:div>
    <w:div w:id="1097168820">
      <w:bodyDiv w:val="1"/>
      <w:marLeft w:val="0"/>
      <w:marRight w:val="0"/>
      <w:marTop w:val="0"/>
      <w:marBottom w:val="0"/>
      <w:divBdr>
        <w:top w:val="none" w:sz="0" w:space="0" w:color="auto"/>
        <w:left w:val="none" w:sz="0" w:space="0" w:color="auto"/>
        <w:bottom w:val="none" w:sz="0" w:space="0" w:color="auto"/>
        <w:right w:val="none" w:sz="0" w:space="0" w:color="auto"/>
      </w:divBdr>
    </w:div>
    <w:div w:id="1103233788">
      <w:bodyDiv w:val="1"/>
      <w:marLeft w:val="0"/>
      <w:marRight w:val="0"/>
      <w:marTop w:val="0"/>
      <w:marBottom w:val="0"/>
      <w:divBdr>
        <w:top w:val="none" w:sz="0" w:space="0" w:color="auto"/>
        <w:left w:val="none" w:sz="0" w:space="0" w:color="auto"/>
        <w:bottom w:val="none" w:sz="0" w:space="0" w:color="auto"/>
        <w:right w:val="none" w:sz="0" w:space="0" w:color="auto"/>
      </w:divBdr>
    </w:div>
    <w:div w:id="1119035180">
      <w:bodyDiv w:val="1"/>
      <w:marLeft w:val="0"/>
      <w:marRight w:val="0"/>
      <w:marTop w:val="0"/>
      <w:marBottom w:val="0"/>
      <w:divBdr>
        <w:top w:val="none" w:sz="0" w:space="0" w:color="auto"/>
        <w:left w:val="none" w:sz="0" w:space="0" w:color="auto"/>
        <w:bottom w:val="none" w:sz="0" w:space="0" w:color="auto"/>
        <w:right w:val="none" w:sz="0" w:space="0" w:color="auto"/>
      </w:divBdr>
    </w:div>
    <w:div w:id="1140729153">
      <w:bodyDiv w:val="1"/>
      <w:marLeft w:val="0"/>
      <w:marRight w:val="0"/>
      <w:marTop w:val="0"/>
      <w:marBottom w:val="0"/>
      <w:divBdr>
        <w:top w:val="none" w:sz="0" w:space="0" w:color="auto"/>
        <w:left w:val="none" w:sz="0" w:space="0" w:color="auto"/>
        <w:bottom w:val="none" w:sz="0" w:space="0" w:color="auto"/>
        <w:right w:val="none" w:sz="0" w:space="0" w:color="auto"/>
      </w:divBdr>
    </w:div>
    <w:div w:id="1148934080">
      <w:bodyDiv w:val="1"/>
      <w:marLeft w:val="0"/>
      <w:marRight w:val="0"/>
      <w:marTop w:val="0"/>
      <w:marBottom w:val="0"/>
      <w:divBdr>
        <w:top w:val="none" w:sz="0" w:space="0" w:color="auto"/>
        <w:left w:val="none" w:sz="0" w:space="0" w:color="auto"/>
        <w:bottom w:val="none" w:sz="0" w:space="0" w:color="auto"/>
        <w:right w:val="none" w:sz="0" w:space="0" w:color="auto"/>
      </w:divBdr>
    </w:div>
    <w:div w:id="1176922770">
      <w:bodyDiv w:val="1"/>
      <w:marLeft w:val="0"/>
      <w:marRight w:val="0"/>
      <w:marTop w:val="0"/>
      <w:marBottom w:val="0"/>
      <w:divBdr>
        <w:top w:val="none" w:sz="0" w:space="0" w:color="auto"/>
        <w:left w:val="none" w:sz="0" w:space="0" w:color="auto"/>
        <w:bottom w:val="none" w:sz="0" w:space="0" w:color="auto"/>
        <w:right w:val="none" w:sz="0" w:space="0" w:color="auto"/>
      </w:divBdr>
    </w:div>
    <w:div w:id="1185631138">
      <w:bodyDiv w:val="1"/>
      <w:marLeft w:val="0"/>
      <w:marRight w:val="0"/>
      <w:marTop w:val="0"/>
      <w:marBottom w:val="0"/>
      <w:divBdr>
        <w:top w:val="none" w:sz="0" w:space="0" w:color="auto"/>
        <w:left w:val="none" w:sz="0" w:space="0" w:color="auto"/>
        <w:bottom w:val="none" w:sz="0" w:space="0" w:color="auto"/>
        <w:right w:val="none" w:sz="0" w:space="0" w:color="auto"/>
      </w:divBdr>
    </w:div>
    <w:div w:id="1201865311">
      <w:bodyDiv w:val="1"/>
      <w:marLeft w:val="0"/>
      <w:marRight w:val="0"/>
      <w:marTop w:val="0"/>
      <w:marBottom w:val="0"/>
      <w:divBdr>
        <w:top w:val="none" w:sz="0" w:space="0" w:color="auto"/>
        <w:left w:val="none" w:sz="0" w:space="0" w:color="auto"/>
        <w:bottom w:val="none" w:sz="0" w:space="0" w:color="auto"/>
        <w:right w:val="none" w:sz="0" w:space="0" w:color="auto"/>
      </w:divBdr>
    </w:div>
    <w:div w:id="1212691191">
      <w:bodyDiv w:val="1"/>
      <w:marLeft w:val="0"/>
      <w:marRight w:val="0"/>
      <w:marTop w:val="0"/>
      <w:marBottom w:val="0"/>
      <w:divBdr>
        <w:top w:val="none" w:sz="0" w:space="0" w:color="auto"/>
        <w:left w:val="none" w:sz="0" w:space="0" w:color="auto"/>
        <w:bottom w:val="none" w:sz="0" w:space="0" w:color="auto"/>
        <w:right w:val="none" w:sz="0" w:space="0" w:color="auto"/>
      </w:divBdr>
    </w:div>
    <w:div w:id="1234588380">
      <w:bodyDiv w:val="1"/>
      <w:marLeft w:val="0"/>
      <w:marRight w:val="0"/>
      <w:marTop w:val="0"/>
      <w:marBottom w:val="0"/>
      <w:divBdr>
        <w:top w:val="none" w:sz="0" w:space="0" w:color="auto"/>
        <w:left w:val="none" w:sz="0" w:space="0" w:color="auto"/>
        <w:bottom w:val="none" w:sz="0" w:space="0" w:color="auto"/>
        <w:right w:val="none" w:sz="0" w:space="0" w:color="auto"/>
      </w:divBdr>
    </w:div>
    <w:div w:id="1243102990">
      <w:bodyDiv w:val="1"/>
      <w:marLeft w:val="0"/>
      <w:marRight w:val="0"/>
      <w:marTop w:val="0"/>
      <w:marBottom w:val="0"/>
      <w:divBdr>
        <w:top w:val="none" w:sz="0" w:space="0" w:color="auto"/>
        <w:left w:val="none" w:sz="0" w:space="0" w:color="auto"/>
        <w:bottom w:val="none" w:sz="0" w:space="0" w:color="auto"/>
        <w:right w:val="none" w:sz="0" w:space="0" w:color="auto"/>
      </w:divBdr>
    </w:div>
    <w:div w:id="1243176019">
      <w:bodyDiv w:val="1"/>
      <w:marLeft w:val="0"/>
      <w:marRight w:val="0"/>
      <w:marTop w:val="0"/>
      <w:marBottom w:val="0"/>
      <w:divBdr>
        <w:top w:val="none" w:sz="0" w:space="0" w:color="auto"/>
        <w:left w:val="none" w:sz="0" w:space="0" w:color="auto"/>
        <w:bottom w:val="none" w:sz="0" w:space="0" w:color="auto"/>
        <w:right w:val="none" w:sz="0" w:space="0" w:color="auto"/>
      </w:divBdr>
    </w:div>
    <w:div w:id="1255867090">
      <w:bodyDiv w:val="1"/>
      <w:marLeft w:val="0"/>
      <w:marRight w:val="0"/>
      <w:marTop w:val="0"/>
      <w:marBottom w:val="0"/>
      <w:divBdr>
        <w:top w:val="none" w:sz="0" w:space="0" w:color="auto"/>
        <w:left w:val="none" w:sz="0" w:space="0" w:color="auto"/>
        <w:bottom w:val="none" w:sz="0" w:space="0" w:color="auto"/>
        <w:right w:val="none" w:sz="0" w:space="0" w:color="auto"/>
      </w:divBdr>
    </w:div>
    <w:div w:id="1261790030">
      <w:bodyDiv w:val="1"/>
      <w:marLeft w:val="0"/>
      <w:marRight w:val="0"/>
      <w:marTop w:val="0"/>
      <w:marBottom w:val="0"/>
      <w:divBdr>
        <w:top w:val="none" w:sz="0" w:space="0" w:color="auto"/>
        <w:left w:val="none" w:sz="0" w:space="0" w:color="auto"/>
        <w:bottom w:val="none" w:sz="0" w:space="0" w:color="auto"/>
        <w:right w:val="none" w:sz="0" w:space="0" w:color="auto"/>
      </w:divBdr>
    </w:div>
    <w:div w:id="1288773961">
      <w:bodyDiv w:val="1"/>
      <w:marLeft w:val="0"/>
      <w:marRight w:val="0"/>
      <w:marTop w:val="0"/>
      <w:marBottom w:val="0"/>
      <w:divBdr>
        <w:top w:val="none" w:sz="0" w:space="0" w:color="auto"/>
        <w:left w:val="none" w:sz="0" w:space="0" w:color="auto"/>
        <w:bottom w:val="none" w:sz="0" w:space="0" w:color="auto"/>
        <w:right w:val="none" w:sz="0" w:space="0" w:color="auto"/>
      </w:divBdr>
    </w:div>
    <w:div w:id="1309168549">
      <w:bodyDiv w:val="1"/>
      <w:marLeft w:val="0"/>
      <w:marRight w:val="0"/>
      <w:marTop w:val="0"/>
      <w:marBottom w:val="0"/>
      <w:divBdr>
        <w:top w:val="none" w:sz="0" w:space="0" w:color="auto"/>
        <w:left w:val="none" w:sz="0" w:space="0" w:color="auto"/>
        <w:bottom w:val="none" w:sz="0" w:space="0" w:color="auto"/>
        <w:right w:val="none" w:sz="0" w:space="0" w:color="auto"/>
      </w:divBdr>
    </w:div>
    <w:div w:id="1310550544">
      <w:bodyDiv w:val="1"/>
      <w:marLeft w:val="0"/>
      <w:marRight w:val="0"/>
      <w:marTop w:val="0"/>
      <w:marBottom w:val="0"/>
      <w:divBdr>
        <w:top w:val="none" w:sz="0" w:space="0" w:color="auto"/>
        <w:left w:val="none" w:sz="0" w:space="0" w:color="auto"/>
        <w:bottom w:val="none" w:sz="0" w:space="0" w:color="auto"/>
        <w:right w:val="none" w:sz="0" w:space="0" w:color="auto"/>
      </w:divBdr>
    </w:div>
    <w:div w:id="1313869990">
      <w:bodyDiv w:val="1"/>
      <w:marLeft w:val="0"/>
      <w:marRight w:val="0"/>
      <w:marTop w:val="0"/>
      <w:marBottom w:val="0"/>
      <w:divBdr>
        <w:top w:val="none" w:sz="0" w:space="0" w:color="auto"/>
        <w:left w:val="none" w:sz="0" w:space="0" w:color="auto"/>
        <w:bottom w:val="none" w:sz="0" w:space="0" w:color="auto"/>
        <w:right w:val="none" w:sz="0" w:space="0" w:color="auto"/>
      </w:divBdr>
    </w:div>
    <w:div w:id="1318918605">
      <w:bodyDiv w:val="1"/>
      <w:marLeft w:val="0"/>
      <w:marRight w:val="0"/>
      <w:marTop w:val="0"/>
      <w:marBottom w:val="0"/>
      <w:divBdr>
        <w:top w:val="none" w:sz="0" w:space="0" w:color="auto"/>
        <w:left w:val="none" w:sz="0" w:space="0" w:color="auto"/>
        <w:bottom w:val="none" w:sz="0" w:space="0" w:color="auto"/>
        <w:right w:val="none" w:sz="0" w:space="0" w:color="auto"/>
      </w:divBdr>
    </w:div>
    <w:div w:id="1334265559">
      <w:bodyDiv w:val="1"/>
      <w:marLeft w:val="0"/>
      <w:marRight w:val="0"/>
      <w:marTop w:val="0"/>
      <w:marBottom w:val="0"/>
      <w:divBdr>
        <w:top w:val="none" w:sz="0" w:space="0" w:color="auto"/>
        <w:left w:val="none" w:sz="0" w:space="0" w:color="auto"/>
        <w:bottom w:val="none" w:sz="0" w:space="0" w:color="auto"/>
        <w:right w:val="none" w:sz="0" w:space="0" w:color="auto"/>
      </w:divBdr>
    </w:div>
    <w:div w:id="1338460530">
      <w:bodyDiv w:val="1"/>
      <w:marLeft w:val="0"/>
      <w:marRight w:val="0"/>
      <w:marTop w:val="0"/>
      <w:marBottom w:val="0"/>
      <w:divBdr>
        <w:top w:val="none" w:sz="0" w:space="0" w:color="auto"/>
        <w:left w:val="none" w:sz="0" w:space="0" w:color="auto"/>
        <w:bottom w:val="none" w:sz="0" w:space="0" w:color="auto"/>
        <w:right w:val="none" w:sz="0" w:space="0" w:color="auto"/>
      </w:divBdr>
    </w:div>
    <w:div w:id="1339041163">
      <w:bodyDiv w:val="1"/>
      <w:marLeft w:val="0"/>
      <w:marRight w:val="0"/>
      <w:marTop w:val="0"/>
      <w:marBottom w:val="0"/>
      <w:divBdr>
        <w:top w:val="none" w:sz="0" w:space="0" w:color="auto"/>
        <w:left w:val="none" w:sz="0" w:space="0" w:color="auto"/>
        <w:bottom w:val="none" w:sz="0" w:space="0" w:color="auto"/>
        <w:right w:val="none" w:sz="0" w:space="0" w:color="auto"/>
      </w:divBdr>
    </w:div>
    <w:div w:id="1357535146">
      <w:bodyDiv w:val="1"/>
      <w:marLeft w:val="0"/>
      <w:marRight w:val="0"/>
      <w:marTop w:val="0"/>
      <w:marBottom w:val="0"/>
      <w:divBdr>
        <w:top w:val="none" w:sz="0" w:space="0" w:color="auto"/>
        <w:left w:val="none" w:sz="0" w:space="0" w:color="auto"/>
        <w:bottom w:val="none" w:sz="0" w:space="0" w:color="auto"/>
        <w:right w:val="none" w:sz="0" w:space="0" w:color="auto"/>
      </w:divBdr>
    </w:div>
    <w:div w:id="1379353384">
      <w:bodyDiv w:val="1"/>
      <w:marLeft w:val="0"/>
      <w:marRight w:val="0"/>
      <w:marTop w:val="0"/>
      <w:marBottom w:val="0"/>
      <w:divBdr>
        <w:top w:val="none" w:sz="0" w:space="0" w:color="auto"/>
        <w:left w:val="none" w:sz="0" w:space="0" w:color="auto"/>
        <w:bottom w:val="none" w:sz="0" w:space="0" w:color="auto"/>
        <w:right w:val="none" w:sz="0" w:space="0" w:color="auto"/>
      </w:divBdr>
    </w:div>
    <w:div w:id="1380127636">
      <w:bodyDiv w:val="1"/>
      <w:marLeft w:val="0"/>
      <w:marRight w:val="0"/>
      <w:marTop w:val="0"/>
      <w:marBottom w:val="0"/>
      <w:divBdr>
        <w:top w:val="none" w:sz="0" w:space="0" w:color="auto"/>
        <w:left w:val="none" w:sz="0" w:space="0" w:color="auto"/>
        <w:bottom w:val="none" w:sz="0" w:space="0" w:color="auto"/>
        <w:right w:val="none" w:sz="0" w:space="0" w:color="auto"/>
      </w:divBdr>
    </w:div>
    <w:div w:id="1389963433">
      <w:bodyDiv w:val="1"/>
      <w:marLeft w:val="0"/>
      <w:marRight w:val="0"/>
      <w:marTop w:val="0"/>
      <w:marBottom w:val="0"/>
      <w:divBdr>
        <w:top w:val="none" w:sz="0" w:space="0" w:color="auto"/>
        <w:left w:val="none" w:sz="0" w:space="0" w:color="auto"/>
        <w:bottom w:val="none" w:sz="0" w:space="0" w:color="auto"/>
        <w:right w:val="none" w:sz="0" w:space="0" w:color="auto"/>
      </w:divBdr>
    </w:div>
    <w:div w:id="1404764832">
      <w:bodyDiv w:val="1"/>
      <w:marLeft w:val="0"/>
      <w:marRight w:val="0"/>
      <w:marTop w:val="0"/>
      <w:marBottom w:val="0"/>
      <w:divBdr>
        <w:top w:val="none" w:sz="0" w:space="0" w:color="auto"/>
        <w:left w:val="none" w:sz="0" w:space="0" w:color="auto"/>
        <w:bottom w:val="none" w:sz="0" w:space="0" w:color="auto"/>
        <w:right w:val="none" w:sz="0" w:space="0" w:color="auto"/>
      </w:divBdr>
    </w:div>
    <w:div w:id="1424911403">
      <w:bodyDiv w:val="1"/>
      <w:marLeft w:val="0"/>
      <w:marRight w:val="0"/>
      <w:marTop w:val="0"/>
      <w:marBottom w:val="0"/>
      <w:divBdr>
        <w:top w:val="none" w:sz="0" w:space="0" w:color="auto"/>
        <w:left w:val="none" w:sz="0" w:space="0" w:color="auto"/>
        <w:bottom w:val="none" w:sz="0" w:space="0" w:color="auto"/>
        <w:right w:val="none" w:sz="0" w:space="0" w:color="auto"/>
      </w:divBdr>
    </w:div>
    <w:div w:id="1443452176">
      <w:bodyDiv w:val="1"/>
      <w:marLeft w:val="0"/>
      <w:marRight w:val="0"/>
      <w:marTop w:val="0"/>
      <w:marBottom w:val="0"/>
      <w:divBdr>
        <w:top w:val="none" w:sz="0" w:space="0" w:color="auto"/>
        <w:left w:val="none" w:sz="0" w:space="0" w:color="auto"/>
        <w:bottom w:val="none" w:sz="0" w:space="0" w:color="auto"/>
        <w:right w:val="none" w:sz="0" w:space="0" w:color="auto"/>
      </w:divBdr>
    </w:div>
    <w:div w:id="1462571067">
      <w:bodyDiv w:val="1"/>
      <w:marLeft w:val="0"/>
      <w:marRight w:val="0"/>
      <w:marTop w:val="0"/>
      <w:marBottom w:val="0"/>
      <w:divBdr>
        <w:top w:val="none" w:sz="0" w:space="0" w:color="auto"/>
        <w:left w:val="none" w:sz="0" w:space="0" w:color="auto"/>
        <w:bottom w:val="none" w:sz="0" w:space="0" w:color="auto"/>
        <w:right w:val="none" w:sz="0" w:space="0" w:color="auto"/>
      </w:divBdr>
    </w:div>
    <w:div w:id="1477333905">
      <w:bodyDiv w:val="1"/>
      <w:marLeft w:val="0"/>
      <w:marRight w:val="0"/>
      <w:marTop w:val="0"/>
      <w:marBottom w:val="0"/>
      <w:divBdr>
        <w:top w:val="none" w:sz="0" w:space="0" w:color="auto"/>
        <w:left w:val="none" w:sz="0" w:space="0" w:color="auto"/>
        <w:bottom w:val="none" w:sz="0" w:space="0" w:color="auto"/>
        <w:right w:val="none" w:sz="0" w:space="0" w:color="auto"/>
      </w:divBdr>
    </w:div>
    <w:div w:id="1485463764">
      <w:bodyDiv w:val="1"/>
      <w:marLeft w:val="0"/>
      <w:marRight w:val="0"/>
      <w:marTop w:val="0"/>
      <w:marBottom w:val="0"/>
      <w:divBdr>
        <w:top w:val="none" w:sz="0" w:space="0" w:color="auto"/>
        <w:left w:val="none" w:sz="0" w:space="0" w:color="auto"/>
        <w:bottom w:val="none" w:sz="0" w:space="0" w:color="auto"/>
        <w:right w:val="none" w:sz="0" w:space="0" w:color="auto"/>
      </w:divBdr>
    </w:div>
    <w:div w:id="1492212054">
      <w:bodyDiv w:val="1"/>
      <w:marLeft w:val="0"/>
      <w:marRight w:val="0"/>
      <w:marTop w:val="0"/>
      <w:marBottom w:val="0"/>
      <w:divBdr>
        <w:top w:val="none" w:sz="0" w:space="0" w:color="auto"/>
        <w:left w:val="none" w:sz="0" w:space="0" w:color="auto"/>
        <w:bottom w:val="none" w:sz="0" w:space="0" w:color="auto"/>
        <w:right w:val="none" w:sz="0" w:space="0" w:color="auto"/>
      </w:divBdr>
    </w:div>
    <w:div w:id="1521621635">
      <w:bodyDiv w:val="1"/>
      <w:marLeft w:val="0"/>
      <w:marRight w:val="0"/>
      <w:marTop w:val="0"/>
      <w:marBottom w:val="0"/>
      <w:divBdr>
        <w:top w:val="none" w:sz="0" w:space="0" w:color="auto"/>
        <w:left w:val="none" w:sz="0" w:space="0" w:color="auto"/>
        <w:bottom w:val="none" w:sz="0" w:space="0" w:color="auto"/>
        <w:right w:val="none" w:sz="0" w:space="0" w:color="auto"/>
      </w:divBdr>
    </w:div>
    <w:div w:id="1535192220">
      <w:bodyDiv w:val="1"/>
      <w:marLeft w:val="0"/>
      <w:marRight w:val="0"/>
      <w:marTop w:val="0"/>
      <w:marBottom w:val="0"/>
      <w:divBdr>
        <w:top w:val="none" w:sz="0" w:space="0" w:color="auto"/>
        <w:left w:val="none" w:sz="0" w:space="0" w:color="auto"/>
        <w:bottom w:val="none" w:sz="0" w:space="0" w:color="auto"/>
        <w:right w:val="none" w:sz="0" w:space="0" w:color="auto"/>
      </w:divBdr>
    </w:div>
    <w:div w:id="1538741331">
      <w:bodyDiv w:val="1"/>
      <w:marLeft w:val="0"/>
      <w:marRight w:val="0"/>
      <w:marTop w:val="0"/>
      <w:marBottom w:val="0"/>
      <w:divBdr>
        <w:top w:val="none" w:sz="0" w:space="0" w:color="auto"/>
        <w:left w:val="none" w:sz="0" w:space="0" w:color="auto"/>
        <w:bottom w:val="none" w:sz="0" w:space="0" w:color="auto"/>
        <w:right w:val="none" w:sz="0" w:space="0" w:color="auto"/>
      </w:divBdr>
    </w:div>
    <w:div w:id="1539313580">
      <w:bodyDiv w:val="1"/>
      <w:marLeft w:val="0"/>
      <w:marRight w:val="0"/>
      <w:marTop w:val="0"/>
      <w:marBottom w:val="0"/>
      <w:divBdr>
        <w:top w:val="none" w:sz="0" w:space="0" w:color="auto"/>
        <w:left w:val="none" w:sz="0" w:space="0" w:color="auto"/>
        <w:bottom w:val="none" w:sz="0" w:space="0" w:color="auto"/>
        <w:right w:val="none" w:sz="0" w:space="0" w:color="auto"/>
      </w:divBdr>
    </w:div>
    <w:div w:id="1541358726">
      <w:bodyDiv w:val="1"/>
      <w:marLeft w:val="0"/>
      <w:marRight w:val="0"/>
      <w:marTop w:val="0"/>
      <w:marBottom w:val="0"/>
      <w:divBdr>
        <w:top w:val="none" w:sz="0" w:space="0" w:color="auto"/>
        <w:left w:val="none" w:sz="0" w:space="0" w:color="auto"/>
        <w:bottom w:val="none" w:sz="0" w:space="0" w:color="auto"/>
        <w:right w:val="none" w:sz="0" w:space="0" w:color="auto"/>
      </w:divBdr>
    </w:div>
    <w:div w:id="1556547633">
      <w:bodyDiv w:val="1"/>
      <w:marLeft w:val="0"/>
      <w:marRight w:val="0"/>
      <w:marTop w:val="0"/>
      <w:marBottom w:val="0"/>
      <w:divBdr>
        <w:top w:val="none" w:sz="0" w:space="0" w:color="auto"/>
        <w:left w:val="none" w:sz="0" w:space="0" w:color="auto"/>
        <w:bottom w:val="none" w:sz="0" w:space="0" w:color="auto"/>
        <w:right w:val="none" w:sz="0" w:space="0" w:color="auto"/>
      </w:divBdr>
    </w:div>
    <w:div w:id="1562406757">
      <w:bodyDiv w:val="1"/>
      <w:marLeft w:val="0"/>
      <w:marRight w:val="0"/>
      <w:marTop w:val="0"/>
      <w:marBottom w:val="0"/>
      <w:divBdr>
        <w:top w:val="none" w:sz="0" w:space="0" w:color="auto"/>
        <w:left w:val="none" w:sz="0" w:space="0" w:color="auto"/>
        <w:bottom w:val="none" w:sz="0" w:space="0" w:color="auto"/>
        <w:right w:val="none" w:sz="0" w:space="0" w:color="auto"/>
      </w:divBdr>
    </w:div>
    <w:div w:id="1563826945">
      <w:bodyDiv w:val="1"/>
      <w:marLeft w:val="0"/>
      <w:marRight w:val="0"/>
      <w:marTop w:val="0"/>
      <w:marBottom w:val="0"/>
      <w:divBdr>
        <w:top w:val="none" w:sz="0" w:space="0" w:color="auto"/>
        <w:left w:val="none" w:sz="0" w:space="0" w:color="auto"/>
        <w:bottom w:val="none" w:sz="0" w:space="0" w:color="auto"/>
        <w:right w:val="none" w:sz="0" w:space="0" w:color="auto"/>
      </w:divBdr>
    </w:div>
    <w:div w:id="1579052591">
      <w:bodyDiv w:val="1"/>
      <w:marLeft w:val="0"/>
      <w:marRight w:val="0"/>
      <w:marTop w:val="0"/>
      <w:marBottom w:val="0"/>
      <w:divBdr>
        <w:top w:val="none" w:sz="0" w:space="0" w:color="auto"/>
        <w:left w:val="none" w:sz="0" w:space="0" w:color="auto"/>
        <w:bottom w:val="none" w:sz="0" w:space="0" w:color="auto"/>
        <w:right w:val="none" w:sz="0" w:space="0" w:color="auto"/>
      </w:divBdr>
    </w:div>
    <w:div w:id="1591045902">
      <w:bodyDiv w:val="1"/>
      <w:marLeft w:val="0"/>
      <w:marRight w:val="0"/>
      <w:marTop w:val="0"/>
      <w:marBottom w:val="0"/>
      <w:divBdr>
        <w:top w:val="none" w:sz="0" w:space="0" w:color="auto"/>
        <w:left w:val="none" w:sz="0" w:space="0" w:color="auto"/>
        <w:bottom w:val="none" w:sz="0" w:space="0" w:color="auto"/>
        <w:right w:val="none" w:sz="0" w:space="0" w:color="auto"/>
      </w:divBdr>
    </w:div>
    <w:div w:id="1598250455">
      <w:bodyDiv w:val="1"/>
      <w:marLeft w:val="0"/>
      <w:marRight w:val="0"/>
      <w:marTop w:val="0"/>
      <w:marBottom w:val="0"/>
      <w:divBdr>
        <w:top w:val="none" w:sz="0" w:space="0" w:color="auto"/>
        <w:left w:val="none" w:sz="0" w:space="0" w:color="auto"/>
        <w:bottom w:val="none" w:sz="0" w:space="0" w:color="auto"/>
        <w:right w:val="none" w:sz="0" w:space="0" w:color="auto"/>
      </w:divBdr>
    </w:div>
    <w:div w:id="1614172749">
      <w:bodyDiv w:val="1"/>
      <w:marLeft w:val="0"/>
      <w:marRight w:val="0"/>
      <w:marTop w:val="0"/>
      <w:marBottom w:val="0"/>
      <w:divBdr>
        <w:top w:val="none" w:sz="0" w:space="0" w:color="auto"/>
        <w:left w:val="none" w:sz="0" w:space="0" w:color="auto"/>
        <w:bottom w:val="none" w:sz="0" w:space="0" w:color="auto"/>
        <w:right w:val="none" w:sz="0" w:space="0" w:color="auto"/>
      </w:divBdr>
    </w:div>
    <w:div w:id="1636370205">
      <w:bodyDiv w:val="1"/>
      <w:marLeft w:val="0"/>
      <w:marRight w:val="0"/>
      <w:marTop w:val="0"/>
      <w:marBottom w:val="0"/>
      <w:divBdr>
        <w:top w:val="none" w:sz="0" w:space="0" w:color="auto"/>
        <w:left w:val="none" w:sz="0" w:space="0" w:color="auto"/>
        <w:bottom w:val="none" w:sz="0" w:space="0" w:color="auto"/>
        <w:right w:val="none" w:sz="0" w:space="0" w:color="auto"/>
      </w:divBdr>
    </w:div>
    <w:div w:id="1642996802">
      <w:bodyDiv w:val="1"/>
      <w:marLeft w:val="0"/>
      <w:marRight w:val="0"/>
      <w:marTop w:val="0"/>
      <w:marBottom w:val="0"/>
      <w:divBdr>
        <w:top w:val="none" w:sz="0" w:space="0" w:color="auto"/>
        <w:left w:val="none" w:sz="0" w:space="0" w:color="auto"/>
        <w:bottom w:val="none" w:sz="0" w:space="0" w:color="auto"/>
        <w:right w:val="none" w:sz="0" w:space="0" w:color="auto"/>
      </w:divBdr>
    </w:div>
    <w:div w:id="1653287361">
      <w:bodyDiv w:val="1"/>
      <w:marLeft w:val="0"/>
      <w:marRight w:val="0"/>
      <w:marTop w:val="0"/>
      <w:marBottom w:val="0"/>
      <w:divBdr>
        <w:top w:val="none" w:sz="0" w:space="0" w:color="auto"/>
        <w:left w:val="none" w:sz="0" w:space="0" w:color="auto"/>
        <w:bottom w:val="none" w:sz="0" w:space="0" w:color="auto"/>
        <w:right w:val="none" w:sz="0" w:space="0" w:color="auto"/>
      </w:divBdr>
    </w:div>
    <w:div w:id="1657031627">
      <w:bodyDiv w:val="1"/>
      <w:marLeft w:val="0"/>
      <w:marRight w:val="0"/>
      <w:marTop w:val="0"/>
      <w:marBottom w:val="0"/>
      <w:divBdr>
        <w:top w:val="none" w:sz="0" w:space="0" w:color="auto"/>
        <w:left w:val="none" w:sz="0" w:space="0" w:color="auto"/>
        <w:bottom w:val="none" w:sz="0" w:space="0" w:color="auto"/>
        <w:right w:val="none" w:sz="0" w:space="0" w:color="auto"/>
      </w:divBdr>
    </w:div>
    <w:div w:id="1661539314">
      <w:bodyDiv w:val="1"/>
      <w:marLeft w:val="0"/>
      <w:marRight w:val="0"/>
      <w:marTop w:val="0"/>
      <w:marBottom w:val="0"/>
      <w:divBdr>
        <w:top w:val="none" w:sz="0" w:space="0" w:color="auto"/>
        <w:left w:val="none" w:sz="0" w:space="0" w:color="auto"/>
        <w:bottom w:val="none" w:sz="0" w:space="0" w:color="auto"/>
        <w:right w:val="none" w:sz="0" w:space="0" w:color="auto"/>
      </w:divBdr>
    </w:div>
    <w:div w:id="1664046579">
      <w:bodyDiv w:val="1"/>
      <w:marLeft w:val="0"/>
      <w:marRight w:val="0"/>
      <w:marTop w:val="0"/>
      <w:marBottom w:val="0"/>
      <w:divBdr>
        <w:top w:val="none" w:sz="0" w:space="0" w:color="auto"/>
        <w:left w:val="none" w:sz="0" w:space="0" w:color="auto"/>
        <w:bottom w:val="none" w:sz="0" w:space="0" w:color="auto"/>
        <w:right w:val="none" w:sz="0" w:space="0" w:color="auto"/>
      </w:divBdr>
    </w:div>
    <w:div w:id="1671592453">
      <w:bodyDiv w:val="1"/>
      <w:marLeft w:val="0"/>
      <w:marRight w:val="0"/>
      <w:marTop w:val="0"/>
      <w:marBottom w:val="0"/>
      <w:divBdr>
        <w:top w:val="none" w:sz="0" w:space="0" w:color="auto"/>
        <w:left w:val="none" w:sz="0" w:space="0" w:color="auto"/>
        <w:bottom w:val="none" w:sz="0" w:space="0" w:color="auto"/>
        <w:right w:val="none" w:sz="0" w:space="0" w:color="auto"/>
      </w:divBdr>
    </w:div>
    <w:div w:id="1671985579">
      <w:bodyDiv w:val="1"/>
      <w:marLeft w:val="0"/>
      <w:marRight w:val="0"/>
      <w:marTop w:val="0"/>
      <w:marBottom w:val="0"/>
      <w:divBdr>
        <w:top w:val="none" w:sz="0" w:space="0" w:color="auto"/>
        <w:left w:val="none" w:sz="0" w:space="0" w:color="auto"/>
        <w:bottom w:val="none" w:sz="0" w:space="0" w:color="auto"/>
        <w:right w:val="none" w:sz="0" w:space="0" w:color="auto"/>
      </w:divBdr>
    </w:div>
    <w:div w:id="1672680807">
      <w:bodyDiv w:val="1"/>
      <w:marLeft w:val="0"/>
      <w:marRight w:val="0"/>
      <w:marTop w:val="0"/>
      <w:marBottom w:val="0"/>
      <w:divBdr>
        <w:top w:val="none" w:sz="0" w:space="0" w:color="auto"/>
        <w:left w:val="none" w:sz="0" w:space="0" w:color="auto"/>
        <w:bottom w:val="none" w:sz="0" w:space="0" w:color="auto"/>
        <w:right w:val="none" w:sz="0" w:space="0" w:color="auto"/>
      </w:divBdr>
    </w:div>
    <w:div w:id="1677348031">
      <w:bodyDiv w:val="1"/>
      <w:marLeft w:val="0"/>
      <w:marRight w:val="0"/>
      <w:marTop w:val="0"/>
      <w:marBottom w:val="0"/>
      <w:divBdr>
        <w:top w:val="none" w:sz="0" w:space="0" w:color="auto"/>
        <w:left w:val="none" w:sz="0" w:space="0" w:color="auto"/>
        <w:bottom w:val="none" w:sz="0" w:space="0" w:color="auto"/>
        <w:right w:val="none" w:sz="0" w:space="0" w:color="auto"/>
      </w:divBdr>
    </w:div>
    <w:div w:id="1683048033">
      <w:bodyDiv w:val="1"/>
      <w:marLeft w:val="0"/>
      <w:marRight w:val="0"/>
      <w:marTop w:val="0"/>
      <w:marBottom w:val="0"/>
      <w:divBdr>
        <w:top w:val="none" w:sz="0" w:space="0" w:color="auto"/>
        <w:left w:val="none" w:sz="0" w:space="0" w:color="auto"/>
        <w:bottom w:val="none" w:sz="0" w:space="0" w:color="auto"/>
        <w:right w:val="none" w:sz="0" w:space="0" w:color="auto"/>
      </w:divBdr>
    </w:div>
    <w:div w:id="1686597029">
      <w:bodyDiv w:val="1"/>
      <w:marLeft w:val="0"/>
      <w:marRight w:val="0"/>
      <w:marTop w:val="0"/>
      <w:marBottom w:val="0"/>
      <w:divBdr>
        <w:top w:val="none" w:sz="0" w:space="0" w:color="auto"/>
        <w:left w:val="none" w:sz="0" w:space="0" w:color="auto"/>
        <w:bottom w:val="none" w:sz="0" w:space="0" w:color="auto"/>
        <w:right w:val="none" w:sz="0" w:space="0" w:color="auto"/>
      </w:divBdr>
    </w:div>
    <w:div w:id="1702974756">
      <w:bodyDiv w:val="1"/>
      <w:marLeft w:val="0"/>
      <w:marRight w:val="0"/>
      <w:marTop w:val="0"/>
      <w:marBottom w:val="0"/>
      <w:divBdr>
        <w:top w:val="none" w:sz="0" w:space="0" w:color="auto"/>
        <w:left w:val="none" w:sz="0" w:space="0" w:color="auto"/>
        <w:bottom w:val="none" w:sz="0" w:space="0" w:color="auto"/>
        <w:right w:val="none" w:sz="0" w:space="0" w:color="auto"/>
      </w:divBdr>
    </w:div>
    <w:div w:id="1709140890">
      <w:bodyDiv w:val="1"/>
      <w:marLeft w:val="0"/>
      <w:marRight w:val="0"/>
      <w:marTop w:val="0"/>
      <w:marBottom w:val="0"/>
      <w:divBdr>
        <w:top w:val="none" w:sz="0" w:space="0" w:color="auto"/>
        <w:left w:val="none" w:sz="0" w:space="0" w:color="auto"/>
        <w:bottom w:val="none" w:sz="0" w:space="0" w:color="auto"/>
        <w:right w:val="none" w:sz="0" w:space="0" w:color="auto"/>
      </w:divBdr>
    </w:div>
    <w:div w:id="1720779579">
      <w:bodyDiv w:val="1"/>
      <w:marLeft w:val="0"/>
      <w:marRight w:val="0"/>
      <w:marTop w:val="0"/>
      <w:marBottom w:val="0"/>
      <w:divBdr>
        <w:top w:val="none" w:sz="0" w:space="0" w:color="auto"/>
        <w:left w:val="none" w:sz="0" w:space="0" w:color="auto"/>
        <w:bottom w:val="none" w:sz="0" w:space="0" w:color="auto"/>
        <w:right w:val="none" w:sz="0" w:space="0" w:color="auto"/>
      </w:divBdr>
    </w:div>
    <w:div w:id="1731074148">
      <w:bodyDiv w:val="1"/>
      <w:marLeft w:val="0"/>
      <w:marRight w:val="0"/>
      <w:marTop w:val="0"/>
      <w:marBottom w:val="0"/>
      <w:divBdr>
        <w:top w:val="none" w:sz="0" w:space="0" w:color="auto"/>
        <w:left w:val="none" w:sz="0" w:space="0" w:color="auto"/>
        <w:bottom w:val="none" w:sz="0" w:space="0" w:color="auto"/>
        <w:right w:val="none" w:sz="0" w:space="0" w:color="auto"/>
      </w:divBdr>
    </w:div>
    <w:div w:id="1766149685">
      <w:bodyDiv w:val="1"/>
      <w:marLeft w:val="0"/>
      <w:marRight w:val="0"/>
      <w:marTop w:val="0"/>
      <w:marBottom w:val="0"/>
      <w:divBdr>
        <w:top w:val="none" w:sz="0" w:space="0" w:color="auto"/>
        <w:left w:val="none" w:sz="0" w:space="0" w:color="auto"/>
        <w:bottom w:val="none" w:sz="0" w:space="0" w:color="auto"/>
        <w:right w:val="none" w:sz="0" w:space="0" w:color="auto"/>
      </w:divBdr>
    </w:div>
    <w:div w:id="1774282997">
      <w:bodyDiv w:val="1"/>
      <w:marLeft w:val="0"/>
      <w:marRight w:val="0"/>
      <w:marTop w:val="0"/>
      <w:marBottom w:val="0"/>
      <w:divBdr>
        <w:top w:val="none" w:sz="0" w:space="0" w:color="auto"/>
        <w:left w:val="none" w:sz="0" w:space="0" w:color="auto"/>
        <w:bottom w:val="none" w:sz="0" w:space="0" w:color="auto"/>
        <w:right w:val="none" w:sz="0" w:space="0" w:color="auto"/>
      </w:divBdr>
    </w:div>
    <w:div w:id="1783568213">
      <w:bodyDiv w:val="1"/>
      <w:marLeft w:val="0"/>
      <w:marRight w:val="0"/>
      <w:marTop w:val="0"/>
      <w:marBottom w:val="0"/>
      <w:divBdr>
        <w:top w:val="none" w:sz="0" w:space="0" w:color="auto"/>
        <w:left w:val="none" w:sz="0" w:space="0" w:color="auto"/>
        <w:bottom w:val="none" w:sz="0" w:space="0" w:color="auto"/>
        <w:right w:val="none" w:sz="0" w:space="0" w:color="auto"/>
      </w:divBdr>
    </w:div>
    <w:div w:id="1805276015">
      <w:bodyDiv w:val="1"/>
      <w:marLeft w:val="0"/>
      <w:marRight w:val="0"/>
      <w:marTop w:val="0"/>
      <w:marBottom w:val="0"/>
      <w:divBdr>
        <w:top w:val="none" w:sz="0" w:space="0" w:color="auto"/>
        <w:left w:val="none" w:sz="0" w:space="0" w:color="auto"/>
        <w:bottom w:val="none" w:sz="0" w:space="0" w:color="auto"/>
        <w:right w:val="none" w:sz="0" w:space="0" w:color="auto"/>
      </w:divBdr>
    </w:div>
    <w:div w:id="1809470201">
      <w:bodyDiv w:val="1"/>
      <w:marLeft w:val="0"/>
      <w:marRight w:val="0"/>
      <w:marTop w:val="0"/>
      <w:marBottom w:val="0"/>
      <w:divBdr>
        <w:top w:val="none" w:sz="0" w:space="0" w:color="auto"/>
        <w:left w:val="none" w:sz="0" w:space="0" w:color="auto"/>
        <w:bottom w:val="none" w:sz="0" w:space="0" w:color="auto"/>
        <w:right w:val="none" w:sz="0" w:space="0" w:color="auto"/>
      </w:divBdr>
    </w:div>
    <w:div w:id="1815950330">
      <w:bodyDiv w:val="1"/>
      <w:marLeft w:val="0"/>
      <w:marRight w:val="0"/>
      <w:marTop w:val="0"/>
      <w:marBottom w:val="0"/>
      <w:divBdr>
        <w:top w:val="none" w:sz="0" w:space="0" w:color="auto"/>
        <w:left w:val="none" w:sz="0" w:space="0" w:color="auto"/>
        <w:bottom w:val="none" w:sz="0" w:space="0" w:color="auto"/>
        <w:right w:val="none" w:sz="0" w:space="0" w:color="auto"/>
      </w:divBdr>
    </w:div>
    <w:div w:id="1824347920">
      <w:bodyDiv w:val="1"/>
      <w:marLeft w:val="0"/>
      <w:marRight w:val="0"/>
      <w:marTop w:val="0"/>
      <w:marBottom w:val="0"/>
      <w:divBdr>
        <w:top w:val="none" w:sz="0" w:space="0" w:color="auto"/>
        <w:left w:val="none" w:sz="0" w:space="0" w:color="auto"/>
        <w:bottom w:val="none" w:sz="0" w:space="0" w:color="auto"/>
        <w:right w:val="none" w:sz="0" w:space="0" w:color="auto"/>
      </w:divBdr>
    </w:div>
    <w:div w:id="1827355454">
      <w:bodyDiv w:val="1"/>
      <w:marLeft w:val="0"/>
      <w:marRight w:val="0"/>
      <w:marTop w:val="0"/>
      <w:marBottom w:val="0"/>
      <w:divBdr>
        <w:top w:val="none" w:sz="0" w:space="0" w:color="auto"/>
        <w:left w:val="none" w:sz="0" w:space="0" w:color="auto"/>
        <w:bottom w:val="none" w:sz="0" w:space="0" w:color="auto"/>
        <w:right w:val="none" w:sz="0" w:space="0" w:color="auto"/>
      </w:divBdr>
    </w:div>
    <w:div w:id="1833643524">
      <w:bodyDiv w:val="1"/>
      <w:marLeft w:val="0"/>
      <w:marRight w:val="0"/>
      <w:marTop w:val="0"/>
      <w:marBottom w:val="0"/>
      <w:divBdr>
        <w:top w:val="none" w:sz="0" w:space="0" w:color="auto"/>
        <w:left w:val="none" w:sz="0" w:space="0" w:color="auto"/>
        <w:bottom w:val="none" w:sz="0" w:space="0" w:color="auto"/>
        <w:right w:val="none" w:sz="0" w:space="0" w:color="auto"/>
      </w:divBdr>
    </w:div>
    <w:div w:id="1839467617">
      <w:bodyDiv w:val="1"/>
      <w:marLeft w:val="0"/>
      <w:marRight w:val="0"/>
      <w:marTop w:val="0"/>
      <w:marBottom w:val="0"/>
      <w:divBdr>
        <w:top w:val="none" w:sz="0" w:space="0" w:color="auto"/>
        <w:left w:val="none" w:sz="0" w:space="0" w:color="auto"/>
        <w:bottom w:val="none" w:sz="0" w:space="0" w:color="auto"/>
        <w:right w:val="none" w:sz="0" w:space="0" w:color="auto"/>
      </w:divBdr>
    </w:div>
    <w:div w:id="1861040640">
      <w:bodyDiv w:val="1"/>
      <w:marLeft w:val="0"/>
      <w:marRight w:val="0"/>
      <w:marTop w:val="0"/>
      <w:marBottom w:val="0"/>
      <w:divBdr>
        <w:top w:val="none" w:sz="0" w:space="0" w:color="auto"/>
        <w:left w:val="none" w:sz="0" w:space="0" w:color="auto"/>
        <w:bottom w:val="none" w:sz="0" w:space="0" w:color="auto"/>
        <w:right w:val="none" w:sz="0" w:space="0" w:color="auto"/>
      </w:divBdr>
    </w:div>
    <w:div w:id="1883664468">
      <w:bodyDiv w:val="1"/>
      <w:marLeft w:val="0"/>
      <w:marRight w:val="0"/>
      <w:marTop w:val="0"/>
      <w:marBottom w:val="0"/>
      <w:divBdr>
        <w:top w:val="none" w:sz="0" w:space="0" w:color="auto"/>
        <w:left w:val="none" w:sz="0" w:space="0" w:color="auto"/>
        <w:bottom w:val="none" w:sz="0" w:space="0" w:color="auto"/>
        <w:right w:val="none" w:sz="0" w:space="0" w:color="auto"/>
      </w:divBdr>
    </w:div>
    <w:div w:id="1887519990">
      <w:bodyDiv w:val="1"/>
      <w:marLeft w:val="0"/>
      <w:marRight w:val="0"/>
      <w:marTop w:val="0"/>
      <w:marBottom w:val="0"/>
      <w:divBdr>
        <w:top w:val="none" w:sz="0" w:space="0" w:color="auto"/>
        <w:left w:val="none" w:sz="0" w:space="0" w:color="auto"/>
        <w:bottom w:val="none" w:sz="0" w:space="0" w:color="auto"/>
        <w:right w:val="none" w:sz="0" w:space="0" w:color="auto"/>
      </w:divBdr>
    </w:div>
    <w:div w:id="1895971027">
      <w:bodyDiv w:val="1"/>
      <w:marLeft w:val="0"/>
      <w:marRight w:val="0"/>
      <w:marTop w:val="0"/>
      <w:marBottom w:val="0"/>
      <w:divBdr>
        <w:top w:val="none" w:sz="0" w:space="0" w:color="auto"/>
        <w:left w:val="none" w:sz="0" w:space="0" w:color="auto"/>
        <w:bottom w:val="none" w:sz="0" w:space="0" w:color="auto"/>
        <w:right w:val="none" w:sz="0" w:space="0" w:color="auto"/>
      </w:divBdr>
    </w:div>
    <w:div w:id="1917980176">
      <w:bodyDiv w:val="1"/>
      <w:marLeft w:val="0"/>
      <w:marRight w:val="0"/>
      <w:marTop w:val="0"/>
      <w:marBottom w:val="0"/>
      <w:divBdr>
        <w:top w:val="none" w:sz="0" w:space="0" w:color="auto"/>
        <w:left w:val="none" w:sz="0" w:space="0" w:color="auto"/>
        <w:bottom w:val="none" w:sz="0" w:space="0" w:color="auto"/>
        <w:right w:val="none" w:sz="0" w:space="0" w:color="auto"/>
      </w:divBdr>
    </w:div>
    <w:div w:id="1926264090">
      <w:bodyDiv w:val="1"/>
      <w:marLeft w:val="0"/>
      <w:marRight w:val="0"/>
      <w:marTop w:val="0"/>
      <w:marBottom w:val="0"/>
      <w:divBdr>
        <w:top w:val="none" w:sz="0" w:space="0" w:color="auto"/>
        <w:left w:val="none" w:sz="0" w:space="0" w:color="auto"/>
        <w:bottom w:val="none" w:sz="0" w:space="0" w:color="auto"/>
        <w:right w:val="none" w:sz="0" w:space="0" w:color="auto"/>
      </w:divBdr>
    </w:div>
    <w:div w:id="1932735149">
      <w:bodyDiv w:val="1"/>
      <w:marLeft w:val="0"/>
      <w:marRight w:val="0"/>
      <w:marTop w:val="0"/>
      <w:marBottom w:val="0"/>
      <w:divBdr>
        <w:top w:val="none" w:sz="0" w:space="0" w:color="auto"/>
        <w:left w:val="none" w:sz="0" w:space="0" w:color="auto"/>
        <w:bottom w:val="none" w:sz="0" w:space="0" w:color="auto"/>
        <w:right w:val="none" w:sz="0" w:space="0" w:color="auto"/>
      </w:divBdr>
    </w:div>
    <w:div w:id="1946309216">
      <w:bodyDiv w:val="1"/>
      <w:marLeft w:val="0"/>
      <w:marRight w:val="0"/>
      <w:marTop w:val="0"/>
      <w:marBottom w:val="0"/>
      <w:divBdr>
        <w:top w:val="none" w:sz="0" w:space="0" w:color="auto"/>
        <w:left w:val="none" w:sz="0" w:space="0" w:color="auto"/>
        <w:bottom w:val="none" w:sz="0" w:space="0" w:color="auto"/>
        <w:right w:val="none" w:sz="0" w:space="0" w:color="auto"/>
      </w:divBdr>
    </w:div>
    <w:div w:id="1958488359">
      <w:bodyDiv w:val="1"/>
      <w:marLeft w:val="0"/>
      <w:marRight w:val="0"/>
      <w:marTop w:val="0"/>
      <w:marBottom w:val="0"/>
      <w:divBdr>
        <w:top w:val="none" w:sz="0" w:space="0" w:color="auto"/>
        <w:left w:val="none" w:sz="0" w:space="0" w:color="auto"/>
        <w:bottom w:val="none" w:sz="0" w:space="0" w:color="auto"/>
        <w:right w:val="none" w:sz="0" w:space="0" w:color="auto"/>
      </w:divBdr>
    </w:div>
    <w:div w:id="1983844032">
      <w:bodyDiv w:val="1"/>
      <w:marLeft w:val="0"/>
      <w:marRight w:val="0"/>
      <w:marTop w:val="0"/>
      <w:marBottom w:val="0"/>
      <w:divBdr>
        <w:top w:val="none" w:sz="0" w:space="0" w:color="auto"/>
        <w:left w:val="none" w:sz="0" w:space="0" w:color="auto"/>
        <w:bottom w:val="none" w:sz="0" w:space="0" w:color="auto"/>
        <w:right w:val="none" w:sz="0" w:space="0" w:color="auto"/>
      </w:divBdr>
    </w:div>
    <w:div w:id="1984238944">
      <w:bodyDiv w:val="1"/>
      <w:marLeft w:val="0"/>
      <w:marRight w:val="0"/>
      <w:marTop w:val="0"/>
      <w:marBottom w:val="0"/>
      <w:divBdr>
        <w:top w:val="none" w:sz="0" w:space="0" w:color="auto"/>
        <w:left w:val="none" w:sz="0" w:space="0" w:color="auto"/>
        <w:bottom w:val="none" w:sz="0" w:space="0" w:color="auto"/>
        <w:right w:val="none" w:sz="0" w:space="0" w:color="auto"/>
      </w:divBdr>
    </w:div>
    <w:div w:id="1986274072">
      <w:bodyDiv w:val="1"/>
      <w:marLeft w:val="0"/>
      <w:marRight w:val="0"/>
      <w:marTop w:val="0"/>
      <w:marBottom w:val="0"/>
      <w:divBdr>
        <w:top w:val="none" w:sz="0" w:space="0" w:color="auto"/>
        <w:left w:val="none" w:sz="0" w:space="0" w:color="auto"/>
        <w:bottom w:val="none" w:sz="0" w:space="0" w:color="auto"/>
        <w:right w:val="none" w:sz="0" w:space="0" w:color="auto"/>
      </w:divBdr>
    </w:div>
    <w:div w:id="1987196164">
      <w:bodyDiv w:val="1"/>
      <w:marLeft w:val="0"/>
      <w:marRight w:val="0"/>
      <w:marTop w:val="0"/>
      <w:marBottom w:val="0"/>
      <w:divBdr>
        <w:top w:val="none" w:sz="0" w:space="0" w:color="auto"/>
        <w:left w:val="none" w:sz="0" w:space="0" w:color="auto"/>
        <w:bottom w:val="none" w:sz="0" w:space="0" w:color="auto"/>
        <w:right w:val="none" w:sz="0" w:space="0" w:color="auto"/>
      </w:divBdr>
    </w:div>
    <w:div w:id="2000377413">
      <w:bodyDiv w:val="1"/>
      <w:marLeft w:val="0"/>
      <w:marRight w:val="0"/>
      <w:marTop w:val="0"/>
      <w:marBottom w:val="0"/>
      <w:divBdr>
        <w:top w:val="none" w:sz="0" w:space="0" w:color="auto"/>
        <w:left w:val="none" w:sz="0" w:space="0" w:color="auto"/>
        <w:bottom w:val="none" w:sz="0" w:space="0" w:color="auto"/>
        <w:right w:val="none" w:sz="0" w:space="0" w:color="auto"/>
      </w:divBdr>
    </w:div>
    <w:div w:id="2010936825">
      <w:bodyDiv w:val="1"/>
      <w:marLeft w:val="0"/>
      <w:marRight w:val="0"/>
      <w:marTop w:val="0"/>
      <w:marBottom w:val="0"/>
      <w:divBdr>
        <w:top w:val="none" w:sz="0" w:space="0" w:color="auto"/>
        <w:left w:val="none" w:sz="0" w:space="0" w:color="auto"/>
        <w:bottom w:val="none" w:sz="0" w:space="0" w:color="auto"/>
        <w:right w:val="none" w:sz="0" w:space="0" w:color="auto"/>
      </w:divBdr>
    </w:div>
    <w:div w:id="2035691563">
      <w:bodyDiv w:val="1"/>
      <w:marLeft w:val="0"/>
      <w:marRight w:val="0"/>
      <w:marTop w:val="0"/>
      <w:marBottom w:val="0"/>
      <w:divBdr>
        <w:top w:val="none" w:sz="0" w:space="0" w:color="auto"/>
        <w:left w:val="none" w:sz="0" w:space="0" w:color="auto"/>
        <w:bottom w:val="none" w:sz="0" w:space="0" w:color="auto"/>
        <w:right w:val="none" w:sz="0" w:space="0" w:color="auto"/>
      </w:divBdr>
    </w:div>
    <w:div w:id="2039161397">
      <w:bodyDiv w:val="1"/>
      <w:marLeft w:val="0"/>
      <w:marRight w:val="0"/>
      <w:marTop w:val="0"/>
      <w:marBottom w:val="0"/>
      <w:divBdr>
        <w:top w:val="none" w:sz="0" w:space="0" w:color="auto"/>
        <w:left w:val="none" w:sz="0" w:space="0" w:color="auto"/>
        <w:bottom w:val="none" w:sz="0" w:space="0" w:color="auto"/>
        <w:right w:val="none" w:sz="0" w:space="0" w:color="auto"/>
      </w:divBdr>
    </w:div>
    <w:div w:id="2045210064">
      <w:bodyDiv w:val="1"/>
      <w:marLeft w:val="0"/>
      <w:marRight w:val="0"/>
      <w:marTop w:val="0"/>
      <w:marBottom w:val="0"/>
      <w:divBdr>
        <w:top w:val="none" w:sz="0" w:space="0" w:color="auto"/>
        <w:left w:val="none" w:sz="0" w:space="0" w:color="auto"/>
        <w:bottom w:val="none" w:sz="0" w:space="0" w:color="auto"/>
        <w:right w:val="none" w:sz="0" w:space="0" w:color="auto"/>
      </w:divBdr>
    </w:div>
    <w:div w:id="2064597091">
      <w:bodyDiv w:val="1"/>
      <w:marLeft w:val="0"/>
      <w:marRight w:val="0"/>
      <w:marTop w:val="0"/>
      <w:marBottom w:val="0"/>
      <w:divBdr>
        <w:top w:val="none" w:sz="0" w:space="0" w:color="auto"/>
        <w:left w:val="none" w:sz="0" w:space="0" w:color="auto"/>
        <w:bottom w:val="none" w:sz="0" w:space="0" w:color="auto"/>
        <w:right w:val="none" w:sz="0" w:space="0" w:color="auto"/>
      </w:divBdr>
    </w:div>
    <w:div w:id="2070032017">
      <w:bodyDiv w:val="1"/>
      <w:marLeft w:val="0"/>
      <w:marRight w:val="0"/>
      <w:marTop w:val="0"/>
      <w:marBottom w:val="0"/>
      <w:divBdr>
        <w:top w:val="none" w:sz="0" w:space="0" w:color="auto"/>
        <w:left w:val="none" w:sz="0" w:space="0" w:color="auto"/>
        <w:bottom w:val="none" w:sz="0" w:space="0" w:color="auto"/>
        <w:right w:val="none" w:sz="0" w:space="0" w:color="auto"/>
      </w:divBdr>
    </w:div>
    <w:div w:id="2075002438">
      <w:bodyDiv w:val="1"/>
      <w:marLeft w:val="0"/>
      <w:marRight w:val="0"/>
      <w:marTop w:val="0"/>
      <w:marBottom w:val="0"/>
      <w:divBdr>
        <w:top w:val="none" w:sz="0" w:space="0" w:color="auto"/>
        <w:left w:val="none" w:sz="0" w:space="0" w:color="auto"/>
        <w:bottom w:val="none" w:sz="0" w:space="0" w:color="auto"/>
        <w:right w:val="none" w:sz="0" w:space="0" w:color="auto"/>
      </w:divBdr>
    </w:div>
    <w:div w:id="2101825811">
      <w:bodyDiv w:val="1"/>
      <w:marLeft w:val="0"/>
      <w:marRight w:val="0"/>
      <w:marTop w:val="0"/>
      <w:marBottom w:val="0"/>
      <w:divBdr>
        <w:top w:val="none" w:sz="0" w:space="0" w:color="auto"/>
        <w:left w:val="none" w:sz="0" w:space="0" w:color="auto"/>
        <w:bottom w:val="none" w:sz="0" w:space="0" w:color="auto"/>
        <w:right w:val="none" w:sz="0" w:space="0" w:color="auto"/>
      </w:divBdr>
    </w:div>
    <w:div w:id="2106882663">
      <w:bodyDiv w:val="1"/>
      <w:marLeft w:val="0"/>
      <w:marRight w:val="0"/>
      <w:marTop w:val="0"/>
      <w:marBottom w:val="0"/>
      <w:divBdr>
        <w:top w:val="none" w:sz="0" w:space="0" w:color="auto"/>
        <w:left w:val="none" w:sz="0" w:space="0" w:color="auto"/>
        <w:bottom w:val="none" w:sz="0" w:space="0" w:color="auto"/>
        <w:right w:val="none" w:sz="0" w:space="0" w:color="auto"/>
      </w:divBdr>
    </w:div>
    <w:div w:id="2115518320">
      <w:bodyDiv w:val="1"/>
      <w:marLeft w:val="0"/>
      <w:marRight w:val="0"/>
      <w:marTop w:val="0"/>
      <w:marBottom w:val="0"/>
      <w:divBdr>
        <w:top w:val="none" w:sz="0" w:space="0" w:color="auto"/>
        <w:left w:val="none" w:sz="0" w:space="0" w:color="auto"/>
        <w:bottom w:val="none" w:sz="0" w:space="0" w:color="auto"/>
        <w:right w:val="none" w:sz="0" w:space="0" w:color="auto"/>
      </w:divBdr>
    </w:div>
    <w:div w:id="2130272076">
      <w:bodyDiv w:val="1"/>
      <w:marLeft w:val="0"/>
      <w:marRight w:val="0"/>
      <w:marTop w:val="0"/>
      <w:marBottom w:val="0"/>
      <w:divBdr>
        <w:top w:val="none" w:sz="0" w:space="0" w:color="auto"/>
        <w:left w:val="none" w:sz="0" w:space="0" w:color="auto"/>
        <w:bottom w:val="none" w:sz="0" w:space="0" w:color="auto"/>
        <w:right w:val="none" w:sz="0" w:space="0" w:color="auto"/>
      </w:divBdr>
    </w:div>
    <w:div w:id="214265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ZW"/>
              <a:t>Observed</a:t>
            </a:r>
            <a:r>
              <a:rPr lang="en-ZW" baseline="0"/>
              <a:t> rats weights (g) during oral toxicity studies</a:t>
            </a:r>
            <a:endParaRPr lang="en-ZW"/>
          </a:p>
        </c:rich>
      </c:tx>
      <c:overlay val="0"/>
      <c:spPr>
        <a:noFill/>
        <a:ln>
          <a:noFill/>
        </a:ln>
        <a:effectLst/>
      </c:spPr>
    </c:title>
    <c:autoTitleDeleted val="0"/>
    <c:plotArea>
      <c:layout/>
      <c:barChart>
        <c:barDir val="col"/>
        <c:grouping val="clustered"/>
        <c:varyColors val="0"/>
        <c:ser>
          <c:idx val="0"/>
          <c:order val="0"/>
          <c:tx>
            <c:strRef>
              <c:f>Sheet1!$A$2</c:f>
              <c:strCache>
                <c:ptCount val="1"/>
                <c:pt idx="0">
                  <c:v>Initial weight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Sheet1!$B$1:$G$1</c:f>
              <c:strCache>
                <c:ptCount val="6"/>
                <c:pt idx="1">
                  <c:v>250mg/kg</c:v>
                </c:pt>
                <c:pt idx="2">
                  <c:v>500mg/kg</c:v>
                </c:pt>
                <c:pt idx="3">
                  <c:v>1000mg/kg</c:v>
                </c:pt>
                <c:pt idx="4">
                  <c:v>2000mg/kg</c:v>
                </c:pt>
                <c:pt idx="5">
                  <c:v>Distilled Water</c:v>
                </c:pt>
              </c:strCache>
            </c:strRef>
          </c:cat>
          <c:val>
            <c:numRef>
              <c:f>Sheet1!$B$2:$G$2</c:f>
              <c:numCache>
                <c:formatCode>General</c:formatCode>
                <c:ptCount val="6"/>
                <c:pt idx="1">
                  <c:v>185</c:v>
                </c:pt>
                <c:pt idx="2">
                  <c:v>190</c:v>
                </c:pt>
                <c:pt idx="3">
                  <c:v>195</c:v>
                </c:pt>
                <c:pt idx="4">
                  <c:v>200</c:v>
                </c:pt>
                <c:pt idx="5">
                  <c:v>210</c:v>
                </c:pt>
              </c:numCache>
            </c:numRef>
          </c:val>
          <c:extLst>
            <c:ext xmlns:c16="http://schemas.microsoft.com/office/drawing/2014/chart" uri="{C3380CC4-5D6E-409C-BE32-E72D297353CC}">
              <c16:uniqueId val="{00000000-7645-4BB4-B281-01E8FB6C500E}"/>
            </c:ext>
          </c:extLst>
        </c:ser>
        <c:ser>
          <c:idx val="1"/>
          <c:order val="1"/>
          <c:tx>
            <c:strRef>
              <c:f>Sheet1!$A$3</c:f>
              <c:strCache>
                <c:ptCount val="1"/>
                <c:pt idx="0">
                  <c:v>Rat's weight day 7</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Sheet1!$B$1:$G$1</c:f>
              <c:strCache>
                <c:ptCount val="6"/>
                <c:pt idx="1">
                  <c:v>250mg/kg</c:v>
                </c:pt>
                <c:pt idx="2">
                  <c:v>500mg/kg</c:v>
                </c:pt>
                <c:pt idx="3">
                  <c:v>1000mg/kg</c:v>
                </c:pt>
                <c:pt idx="4">
                  <c:v>2000mg/kg</c:v>
                </c:pt>
                <c:pt idx="5">
                  <c:v>Distilled Water</c:v>
                </c:pt>
              </c:strCache>
            </c:strRef>
          </c:cat>
          <c:val>
            <c:numRef>
              <c:f>Sheet1!$B$3:$G$3</c:f>
              <c:numCache>
                <c:formatCode>General</c:formatCode>
                <c:ptCount val="6"/>
                <c:pt idx="1">
                  <c:v>200</c:v>
                </c:pt>
                <c:pt idx="2">
                  <c:v>200</c:v>
                </c:pt>
                <c:pt idx="3">
                  <c:v>205</c:v>
                </c:pt>
                <c:pt idx="4">
                  <c:v>210</c:v>
                </c:pt>
                <c:pt idx="5">
                  <c:v>220</c:v>
                </c:pt>
              </c:numCache>
            </c:numRef>
          </c:val>
          <c:extLst>
            <c:ext xmlns:c16="http://schemas.microsoft.com/office/drawing/2014/chart" uri="{C3380CC4-5D6E-409C-BE32-E72D297353CC}">
              <c16:uniqueId val="{00000001-7645-4BB4-B281-01E8FB6C500E}"/>
            </c:ext>
          </c:extLst>
        </c:ser>
        <c:ser>
          <c:idx val="2"/>
          <c:order val="2"/>
          <c:tx>
            <c:strRef>
              <c:f>Sheet1!$A$4</c:f>
              <c:strCache>
                <c:ptCount val="1"/>
                <c:pt idx="0">
                  <c:v>Rat's weight day 14</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Sheet1!$B$1:$G$1</c:f>
              <c:strCache>
                <c:ptCount val="6"/>
                <c:pt idx="1">
                  <c:v>250mg/kg</c:v>
                </c:pt>
                <c:pt idx="2">
                  <c:v>500mg/kg</c:v>
                </c:pt>
                <c:pt idx="3">
                  <c:v>1000mg/kg</c:v>
                </c:pt>
                <c:pt idx="4">
                  <c:v>2000mg/kg</c:v>
                </c:pt>
                <c:pt idx="5">
                  <c:v>Distilled Water</c:v>
                </c:pt>
              </c:strCache>
            </c:strRef>
          </c:cat>
          <c:val>
            <c:numRef>
              <c:f>Sheet1!$B$4:$G$4</c:f>
              <c:numCache>
                <c:formatCode>General</c:formatCode>
                <c:ptCount val="6"/>
                <c:pt idx="1">
                  <c:v>210</c:v>
                </c:pt>
                <c:pt idx="2">
                  <c:v>210</c:v>
                </c:pt>
                <c:pt idx="3">
                  <c:v>215</c:v>
                </c:pt>
                <c:pt idx="4">
                  <c:v>220</c:v>
                </c:pt>
                <c:pt idx="5">
                  <c:v>230</c:v>
                </c:pt>
              </c:numCache>
            </c:numRef>
          </c:val>
          <c:extLst>
            <c:ext xmlns:c16="http://schemas.microsoft.com/office/drawing/2014/chart" uri="{C3380CC4-5D6E-409C-BE32-E72D297353CC}">
              <c16:uniqueId val="{00000002-7645-4BB4-B281-01E8FB6C500E}"/>
            </c:ext>
          </c:extLst>
        </c:ser>
        <c:ser>
          <c:idx val="3"/>
          <c:order val="3"/>
          <c:tx>
            <c:strRef>
              <c:f>Sheet1!$A$5</c:f>
              <c:strCache>
                <c:ptCount val="1"/>
                <c:pt idx="0">
                  <c:v>Rat's weight day 21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Sheet1!$B$1:$G$1</c:f>
              <c:strCache>
                <c:ptCount val="6"/>
                <c:pt idx="1">
                  <c:v>250mg/kg</c:v>
                </c:pt>
                <c:pt idx="2">
                  <c:v>500mg/kg</c:v>
                </c:pt>
                <c:pt idx="3">
                  <c:v>1000mg/kg</c:v>
                </c:pt>
                <c:pt idx="4">
                  <c:v>2000mg/kg</c:v>
                </c:pt>
                <c:pt idx="5">
                  <c:v>Distilled Water</c:v>
                </c:pt>
              </c:strCache>
            </c:strRef>
          </c:cat>
          <c:val>
            <c:numRef>
              <c:f>Sheet1!$B$5:$G$5</c:f>
              <c:numCache>
                <c:formatCode>General</c:formatCode>
                <c:ptCount val="6"/>
                <c:pt idx="1">
                  <c:v>230</c:v>
                </c:pt>
                <c:pt idx="2">
                  <c:v>230</c:v>
                </c:pt>
                <c:pt idx="3">
                  <c:v>235</c:v>
                </c:pt>
                <c:pt idx="4">
                  <c:v>240</c:v>
                </c:pt>
                <c:pt idx="5">
                  <c:v>245</c:v>
                </c:pt>
              </c:numCache>
            </c:numRef>
          </c:val>
          <c:extLst>
            <c:ext xmlns:c16="http://schemas.microsoft.com/office/drawing/2014/chart" uri="{C3380CC4-5D6E-409C-BE32-E72D297353CC}">
              <c16:uniqueId val="{00000003-7645-4BB4-B281-01E8FB6C500E}"/>
            </c:ext>
          </c:extLst>
        </c:ser>
        <c:dLbls>
          <c:showLegendKey val="0"/>
          <c:showVal val="0"/>
          <c:showCatName val="0"/>
          <c:showSerName val="0"/>
          <c:showPercent val="0"/>
          <c:showBubbleSize val="0"/>
        </c:dLbls>
        <c:gapWidth val="100"/>
        <c:overlap val="-24"/>
        <c:axId val="501569384"/>
        <c:axId val="501567816"/>
      </c:barChart>
      <c:catAx>
        <c:axId val="50156938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1567816"/>
        <c:crosses val="autoZero"/>
        <c:auto val="1"/>
        <c:lblAlgn val="ctr"/>
        <c:lblOffset val="100"/>
        <c:noMultiLvlLbl val="0"/>
      </c:catAx>
      <c:valAx>
        <c:axId val="501567816"/>
        <c:scaling>
          <c:orientation val="minMax"/>
          <c:min val="150"/>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1569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Kar14</b:Tag>
    <b:SourceType>JournalArticle</b:SourceType>
    <b:Guid>{E5A0BCF4-DAD9-4A78-B26F-658380DB17EF}</b:Guid>
    <b:Author>
      <b:Author>
        <b:NameList>
          <b:Person>
            <b:Last>Kariuki</b:Last>
            <b:First>S</b:First>
          </b:Person>
        </b:NameList>
      </b:Author>
    </b:Author>
    <b:Title>Herbal medicines and their role in managing respiratory infections in East Africa.</b:Title>
    <b:JournalName>African Journal of Traditional, Complementary and Alternative Medicines</b:JournalName>
    <b:Year>2014</b:Year>
    <b:Pages>14-19</b:Pages>
    <b:Volume>11</b:Volume>
    <b:Issue>5</b:Issue>
    <b:RefOrder>7</b:RefOrder>
  </b:Source>
  <b:Source>
    <b:Tag>Ber01</b:Tag>
    <b:SourceType>JournalArticle</b:SourceType>
    <b:Guid>{1FD2C88E-9AAE-41CA-A7B8-1C820B0258B6}</b:Guid>
    <b:Author>
      <b:Author>
        <b:NameList>
          <b:Person>
            <b:Last>Berger</b:Last>
            <b:First>G</b:First>
          </b:Person>
          <b:Person>
            <b:Last>Berger</b:Last>
            <b:First>S</b:First>
          </b:Person>
          <b:Person>
            <b:Last>Cnaan</b:Last>
            <b:First>A</b:First>
          </b:Person>
        </b:NameList>
      </b:Author>
    </b:Author>
    <b:Title>The chronically infected tonsil: A possible focus of infection?  </b:Title>
    <b:JournalName>Archives of Otolaryngology-Head &amp; Neck Surgery</b:JournalName>
    <b:Year>2001</b:Year>
    <b:Pages>546-550</b:Pages>
    <b:Volume>127</b:Volume>
    <b:Issue>5</b:Issue>
    <b:RefOrder>20</b:RefOrder>
  </b:Source>
  <b:Source>
    <b:Tag>Sof93</b:Tag>
    <b:SourceType>Book</b:SourceType>
    <b:Guid>{E6FACA12-3E0F-427C-80E1-C764D437EA5C}</b:Guid>
    <b:Title>Medicinal plants and traditional medicine in Africa. 2nd ed. </b:Title>
    <b:Year>1993</b:Year>
    <b:City>Ibadan</b:City>
    <b:Publisher>Spectrum Books Ltd.</b:Publisher>
    <b:Author>
      <b:Author>
        <b:NameList>
          <b:Person>
            <b:Last>Sofowora</b:Last>
            <b:First>A</b:First>
          </b:Person>
        </b:NameList>
      </b:Author>
    </b:Author>
    <b:RefOrder>26</b:RefOrder>
  </b:Source>
  <b:Source>
    <b:Tag>KAA20</b:Tag>
    <b:SourceType>JournalArticle</b:SourceType>
    <b:Guid>{1DC31EC6-391F-4CE1-BB64-E5E8D74E7763}</b:Guid>
    <b:Author>
      <b:Author>
        <b:NameList>
          <b:Person>
            <b:Last>Akinyede</b:Last>
            <b:First>K</b:First>
          </b:Person>
          <b:Person>
            <b:Last>Olajide</b:Last>
            <b:First>O</b:First>
          </b:Person>
          <b:Person>
            <b:Last>Ounbawo</b:Last>
            <b:First>S</b:First>
          </b:Person>
        </b:NameList>
      </b:Author>
    </b:Author>
    <b:Title>Phytochemcal screenng and antimcrobial activity of aqueous and ethanolic leaf extracts of Carpobrotus edulis</b:Title>
    <b:Year>2020</b:Year>
    <b:Pages>39-45</b:Pages>
    <b:JournalName>African journal of biomedical research</b:JournalName>
    <b:Volume>1</b:Volume>
    <b:Issue>23</b:Issue>
    <b:RefOrder>1</b:RefOrder>
  </b:Source>
  <b:Source>
    <b:Tag>JCD17</b:Tag>
    <b:SourceType>JournalArticle</b:SourceType>
    <b:Guid>{6F82564D-0078-43BC-84C9-EE82E7ED3975}</b:Guid>
    <b:Title>Herbal formulation and its potential in the treatment of tonsillitis: A review.</b:Title>
    <b:Year>2017</b:Year>
    <b:Pages>40-45</b:Pages>
    <b:Author>
      <b:Author>
        <b:NameList>
          <b:Person>
            <b:Last>Research</b:Last>
            <b:First>J,</b:First>
            <b:Middle>C, D.</b:Middle>
          </b:Person>
        </b:NameList>
      </b:Author>
    </b:Author>
    <b:JournalName>Journal of Chemical and Pharmaceutical Research</b:JournalName>
    <b:Volume>6</b:Volume>
    <b:Issue>9</b:Issue>
    <b:RefOrder>3</b:RefOrder>
  </b:Source>
  <b:Source>
    <b:Tag>Sch22</b:Tag>
    <b:SourceType>JournalArticle</b:SourceType>
    <b:Guid>{4FADAD1B-A975-4AB8-88EB-F9EE082C2E59}</b:Guid>
    <b:Title>Herbal interventions in streptococcal infections: Clinical perspectives and evidence.</b:Title>
    <b:JournalName>Phytomedicine</b:JournalName>
    <b:Year>2022</b:Year>
    <b:Pages>154-224</b:Pages>
    <b:Issue>102</b:Issue>
    <b:URL>https://doi.org/10.1016</b:URL>
    <b:Author>
      <b:Author>
        <b:NameList>
          <b:Person>
            <b:Last>Schneider</b:Last>
            <b:First>H</b:First>
          </b:Person>
          <b:Person>
            <b:Last>Dienemann</b:Last>
            <b:First>T</b:First>
          </b:Person>
          <b:Person>
            <b:Last>Rohdewald</b:Last>
            <b:First>P</b:First>
          </b:Person>
          <b:Person>
            <b:Last>Schwartz</b:Last>
            <b:First>S.</b:First>
          </b:Person>
        </b:NameList>
      </b:Author>
    </b:Author>
    <b:RefOrder>4</b:RefOrder>
  </b:Source>
  <b:Source>
    <b:Tag>Bis01</b:Tag>
    <b:SourceType>JournalArticle</b:SourceType>
    <b:Guid>{14FC9B47-CA01-4DA3-93AC-DCEF67921F74}</b:Guid>
    <b:Title>Acute pharyngitis</b:Title>
    <b:JournalName>The New England Journal of Medicine,</b:JournalName>
    <b:Year>2001</b:Year>
    <b:Pages>205–211</b:Pages>
    <b:Volume>344</b:Volume>
    <b:Issue>3</b:Issue>
    <b:DOI>https://doi.org/10.1056/NEJM200101183440308&gt;</b:DOI>
    <b:Author>
      <b:Author>
        <b:NameList>
          <b:Person>
            <b:Last>Bisno</b:Last>
            <b:First>A</b:First>
          </b:Person>
        </b:NameList>
      </b:Author>
    </b:Author>
    <b:RefOrder>5</b:RefOrder>
  </b:Source>
  <b:Source>
    <b:Tag>13S12</b:Tag>
    <b:SourceType>JournalArticle</b:SourceType>
    <b:Guid>{CE079EB3-D4E4-4DE6-9CED-1C87D2294464}</b:Guid>
    <b:Author>
      <b:Author>
        <b:NameList>
          <b:Person>
            <b:Last>Shulman</b:Last>
            <b:First>S</b:First>
          </b:Person>
          <b:Person>
            <b:Last>Bisno</b:Last>
            <b:First>A,</b:First>
            <b:Middle>L</b:Middle>
          </b:Person>
          <b:Person>
            <b:Last>Clegg</b:Last>
            <b:First>H,</b:First>
            <b:Middle>W</b:Middle>
          </b:Person>
          <b:Person>
            <b:Last>Gerber</b:Last>
            <b:First>M,</b:First>
            <b:Middle>A</b:Middle>
          </b:Person>
          <b:Person>
            <b:Last>Kaplan</b:Last>
            <b:First>E,</b:First>
            <b:Middle>L</b:Middle>
          </b:Person>
          <b:Person>
            <b:Last>Lee</b:Last>
            <b:First>G</b:First>
          </b:Person>
          <b:Person>
            <b:Last>Martin</b:Last>
            <b:First>J,</b:First>
            <b:Middle>M</b:Middle>
          </b:Person>
          <b:Person>
            <b:Last>Van Beneden</b:Last>
            <b:First>C</b:First>
          </b:Person>
        </b:NameList>
      </b:Author>
    </b:Author>
    <b:Title>Clinical practice guideline for the diagnosis and management of group A streptococcal pharyngitis</b:Title>
    <b:JournalName>Clinical infectious diseases</b:JournalName>
    <b:Year>2012</b:Year>
    <b:Pages>1279-1282</b:Pages>
    <b:Volume>55</b:Volume>
    <b:Issue>10</b:Issue>
    <b:RefOrder>6</b:RefOrder>
  </b:Source>
  <b:Source>
    <b:Tag>Jaa12</b:Tag>
    <b:SourceType>BookSection</b:SourceType>
    <b:Guid>{54E3291A-B079-42D7-A9BC-668B2F2B216A}</b:Guid>
    <b:Title>Phenolics and flavonoids compounds, phenylanine ammonia lyase and antioxidant activity responses to elevated CO₂ in Labisia pumila (Myrisinaceae). Molecules.</b:Title>
    <b:Year>2012</b:Year>
    <b:Pages>6331-6347</b:Pages>
    <b:Volume>6</b:Volume>
    <b:Issue>17</b:Issue>
    <b:DOI>doi: 10.3390/molecules17066331.</b:DOI>
    <b:Author>
      <b:Author>
        <b:NameList>
          <b:Person>
            <b:Last>Jaafar</b:Last>
            <b:First>H,</b:First>
            <b:Middle>Z</b:Middle>
          </b:Person>
          <b:Person>
            <b:Last>Ibrahim</b:Last>
            <b:First>M,</b:First>
            <b:Middle>H</b:Middle>
          </b:Person>
          <b:Person>
            <b:Last>E</b:Last>
            <b:First>Karimi</b:First>
          </b:Person>
        </b:NameList>
      </b:Author>
    </b:Author>
    <b:BookTitle>Molecules</b:BookTitle>
    <b:RefOrder>2</b:RefOrder>
  </b:Source>
  <b:Source>
    <b:Tag>Pic19</b:Tag>
    <b:SourceType>Report</b:SourceType>
    <b:Guid>{15DDD859-BFF3-414A-8121-D490E0E64B49}</b:Guid>
    <b:Author>
      <b:Author>
        <b:NameList>
          <b:Person>
            <b:Last>Pichichero</b:Last>
            <b:First>M,</b:First>
            <b:Middle>E</b:Middle>
          </b:Person>
        </b:NameList>
      </b:Author>
    </b:Author>
    <b:Title>Group A streptococcal tonsillopharyngitis in children: Clinical features and treatment</b:Title>
    <b:Year>2019</b:Year>
    <b:Publisher>Pichichero M E</b:Publisher>
    <b:City>Luwanga</b:City>
    <b:RefOrder>8</b:RefOrder>
  </b:Source>
  <b:Source>
    <b:Tag>Yil13</b:Tag>
    <b:SourceType>JournalArticle</b:SourceType>
    <b:Guid>{5F7FB2FC-592F-4049-80A6-C96378907209}</b:Guid>
    <b:Title>Environmental factors in recurrent tonsillitis: air pollution and allergic sensitization</b:Title>
    <b:Year>2013</b:Year>
    <b:Author>
      <b:Author>
        <b:NameList>
          <b:Person>
            <b:Last>Yildirim</b:Last>
            <b:First>Y,</b:First>
            <b:Middle>S</b:Middle>
          </b:Person>
          <b:Person>
            <b:Last>Karslioglu</b:Last>
            <b:First>Y</b:First>
          </b:Person>
          <b:Person>
            <b:Last>Yildirim</b:Last>
            <b:First>M.</b:First>
          </b:Person>
        </b:NameList>
      </b:Author>
    </b:Author>
    <b:JournalName>International Journal of Pediatric Otorhinolaryngology,</b:JournalName>
    <b:Pages>561-564</b:Pages>
    <b:Volume>77</b:Volume>
    <b:Issue>4</b:Issue>
    <b:RefOrder>9</b:RefOrder>
  </b:Source>
  <b:Source>
    <b:Tag>Bal06</b:Tag>
    <b:SourceType>JournalArticle</b:SourceType>
    <b:Guid>{95AE9862-25E7-446E-9899-81E8EB43BA35}</b:Guid>
    <b:Title>Phenolic compounds in plants and agri-industrial by-products: Antioxidant activity, occurrence, and potential uses</b:Title>
    <b:JournalName>Food Chemistry,</b:JournalName>
    <b:Year>2006</b:Year>
    <b:Pages>191-203</b:Pages>
    <b:Volume>99</b:Volume>
    <b:Issue>1</b:Issue>
    <b:DOI>&lt;https://doi.org/10.1016/j.foodchem</b:DOI>
    <b:Author>
      <b:Author>
        <b:NameList>
          <b:Person>
            <b:Last>Balasundram</b:Last>
            <b:First>N</b:First>
          </b:Person>
          <b:Person>
            <b:Last>Sundram</b:Last>
            <b:First>K</b:First>
          </b:Person>
          <b:Person>
            <b:Last>Samman</b:Last>
            <b:First>S</b:First>
          </b:Person>
        </b:NameList>
      </b:Author>
    </b:Author>
    <b:RefOrder>10</b:RefOrder>
  </b:Source>
  <b:Source>
    <b:Tag>Kum17</b:Tag>
    <b:SourceType>JournalArticle</b:SourceType>
    <b:Guid>{EFD714D1-2089-4480-ABDC-4D64C4F9935B}</b:Guid>
    <b:Author>
      <b:Author>
        <b:NameList>
          <b:Person>
            <b:Last>Kumar</b:Last>
            <b:First>S</b:First>
          </b:Person>
          <b:Person>
            <b:Last>Pandey</b:Last>
            <b:First>A,</b:First>
            <b:Middle>K</b:Middle>
          </b:Person>
        </b:NameList>
      </b:Author>
    </b:Author>
    <b:Title>Chemistry and biological activities of flavonoids: An overview</b:Title>
    <b:JournalName>The Scientific World Journal</b:JournalName>
    <b:Year>2017</b:Year>
    <b:Pages>23-45</b:Pages>
    <b:Volume>1</b:Volume>
    <b:Issue>1</b:Issue>
    <b:DOI>&lt;https://doi.org/10.1155/2013/16275</b:DOI>
    <b:RefOrder>11</b:RefOrder>
  </b:Source>
  <b:Source>
    <b:Tag>Sca91</b:Tag>
    <b:SourceType>JournalArticle</b:SourceType>
    <b:Guid>{0445AD18-D84D-4E86-9171-ED4748531CCD}</b:Guid>
    <b:Title>Antimicrobial properties of tannins</b:Title>
    <b:JournalName>Phytochemistry</b:JournalName>
    <b:Year>1991</b:Year>
    <b:Pages>3875–3883</b:Pages>
    <b:Volume>30</b:Volume>
    <b:Issue>12</b:Issue>
    <b:DOI>https://doi.org/10.1016/0031-9422(91)83426-L&gt;</b:DOI>
    <b:Author>
      <b:Author>
        <b:NameList>
          <b:Person>
            <b:Last>Scalbert</b:Last>
            <b:First>A</b:First>
          </b:Person>
        </b:NameList>
      </b:Author>
    </b:Author>
    <b:RefOrder>12</b:RefOrder>
  </b:Source>
  <b:Source>
    <b:Tag>Mak07</b:Tag>
    <b:SourceType>JournalArticle</b:SourceType>
    <b:Guid>{5895EFCB-7D80-4C00-A9B6-AB89E5ED691B}</b:Guid>
    <b:Author>
      <b:Author>
        <b:NameList>
          <b:Person>
            <b:Last>Makkar</b:Last>
            <b:First>H,</b:First>
            <b:Middle>P, S</b:Middle>
          </b:Person>
          <b:Person>
            <b:Last>Francis</b:Last>
            <b:First>G</b:First>
          </b:Person>
          <b:Person>
            <b:Last>Becker</b:Last>
            <b:First>K</b:First>
          </b:Person>
        </b:NameList>
      </b:Author>
    </b:Author>
    <b:Title>Bioactivity of phytochemicals in some lesser-known plants and their effects and potential applications in livestock and aquaculture production systems</b:Title>
    <b:JournalName>Animal</b:JournalName>
    <b:Year>2007</b:Year>
    <b:Pages>1371-1391</b:Pages>
    <b:Volume>1</b:Volume>
    <b:Issue>9</b:Issue>
    <b:RefOrder>13</b:RefOrder>
  </b:Source>
  <b:Source>
    <b:Tag>Rio05</b:Tag>
    <b:SourceType>JournalArticle</b:SourceType>
    <b:Guid>{AF1960C0-3625-4C2E-A202-49B17D59073E}</b:Guid>
    <b:Title>Medicinal plants and antimicrobial activity</b:Title>
    <b:JournalName>Journal of Ethnopharmacology</b:JournalName>
    <b:Year>2005</b:Year>
    <b:Pages>80-84</b:Pages>
    <b:Volume>100</b:Volume>
    <b:Issue>1-2</b:Issue>
    <b:DOI>&lt;https://doi.org/10.1016/j.jep.2005.04.025</b:DOI>
    <b:Author>
      <b:Author>
        <b:NameList>
          <b:Person>
            <b:Last>Rios</b:Last>
            <b:First>J,</b:First>
            <b:Middle>L</b:Middle>
          </b:Person>
          <b:Person>
            <b:Last>Recio</b:Last>
            <b:First>M,</b:First>
            <b:Middle>C</b:Middle>
          </b:Person>
        </b:NameList>
      </b:Author>
    </b:Author>
    <b:RefOrder>14</b:RefOrder>
  </b:Source>
  <b:Source>
    <b:Tag>Cao18</b:Tag>
    <b:SourceType>JournalArticle</b:SourceType>
    <b:Guid>{75E1178B-F4F4-4666-B970-0EB83DFD04F6}</b:Guid>
    <b:Author>
      <b:Author>
        <b:NameList>
          <b:Person>
            <b:Last>Cao</b:Last>
            <b:First>Y</b:First>
          </b:Person>
          <b:Person>
            <b:Last>Wu</b:Last>
            <b:First>Y</b:First>
          </b:Person>
          <b:Person>
            <b:Last>Zhang</b:Last>
            <b:First>H</b:First>
          </b:Person>
          <b:Person>
            <b:Last>Chen</b:Last>
            <b:First>Y</b:First>
          </b:Person>
          <b:Person>
            <b:Last>Chen</b:Last>
            <b:First>Y</b:First>
          </b:Person>
          <b:Person>
            <b:Last>Wang</b:Last>
            <b:First>S.</b:First>
          </b:Person>
        </b:NameList>
      </b:Author>
    </b:Author>
    <b:Title>Antibacterial mechanism of plant flavonoids against Gram-positive bacteria: A review</b:Title>
    <b:JournalName>Phytotherapy Research</b:JournalName>
    <b:Year>2018</b:Year>
    <b:Pages>468-485</b:Pages>
    <b:Volume>32</b:Volume>
    <b:Issue>3</b:Issue>
    <b:RefOrder>15</b:RefOrder>
  </b:Source>
  <b:Source>
    <b:Tag>Bro07</b:Tag>
    <b:SourceType>JournalArticle</b:SourceType>
    <b:Guid>{96297052-308E-4F97-A589-D448FD82D877}</b:Guid>
    <b:Author>
      <b:Author>
        <b:NameList>
          <b:Person>
            <b:Last>Brook</b:Last>
            <b:First>I</b:First>
          </b:Person>
        </b:NameList>
      </b:Author>
    </b:Author>
    <b:Title>Microbiology and management of tonsillitis</b:Title>
    <b:JournalName>American Journal of Therapeutics</b:JournalName>
    <b:Year>2007</b:Year>
    <b:Pages>341-350</b:Pages>
    <b:Volume>14</b:Volume>
    <b:Issue>4</b:Issue>
    <b:RefOrder>16</b:RefOrder>
  </b:Source>
  <b:Source>
    <b:Tag>Gil11</b:Tag>
    <b:SourceType>JournalArticle</b:SourceType>
    <b:Guid>{21EC64B7-1811-4B2F-B3A7-E96D9F7B46AC}</b:Guid>
    <b:Author>
      <b:Author>
        <b:NameList>
          <b:Person>
            <b:Last>Gillespie</b:Last>
            <b:First>M,</b:First>
            <b:Middle>B</b:Middle>
          </b:Person>
          <b:Person>
            <b:Last>Abouyared</b:Last>
            <b:First>M</b:First>
          </b:Person>
          <b:Person>
            <b:Last>Allen</b:Last>
            <b:First>G,</b:First>
            <b:Middle>C</b:Middle>
          </b:Person>
        </b:NameList>
      </b:Author>
    </b:Author>
    <b:Title>Impact of inflammation on the tonsil transcriptome</b:Title>
    <b:JournalName>Otolaryngology–Head and Neck Surgery</b:JournalName>
    <b:Year>2011</b:Year>
    <b:Pages>702-707</b:Pages>
    <b:Volume>144</b:Volume>
    <b:Issue>5</b:Issue>
    <b:RefOrder>17</b:RefOrder>
  </b:Source>
  <b:Source>
    <b:Tag>Kle07</b:Tag>
    <b:SourceType>JournalArticle</b:SourceType>
    <b:Guid>{3FBB5A77-4EF1-412B-AED9-0EEB14E12E39}</b:Guid>
    <b:Author>
      <b:Author>
        <b:NameList>
          <b:Person>
            <b:Last>Klemens</b:Last>
            <b:First>C</b:First>
          </b:Person>
          <b:Person>
            <b:Last>Bockmuhl</b:Last>
            <b:First>U</b:First>
          </b:Person>
          <b:Person>
            <b:Last>Stupp H</b:Last>
            <b:First>F</b:First>
          </b:Person>
        </b:NameList>
      </b:Author>
    </b:Author>
    <b:Title>Cytokine expression in tonsils of patients with tonsillar hypertrophy and recurrent tonsillitis</b:Title>
    <b:JournalName>HNO</b:JournalName>
    <b:Year>2007</b:Year>
    <b:Pages>190-195</b:Pages>
    <b:Volume>55</b:Volume>
    <b:Issue>3</b:Issue>
    <b:RefOrder>18</b:RefOrder>
  </b:Source>
  <b:Source>
    <b:Tag>Joh01</b:Tag>
    <b:SourceType>JournalArticle</b:SourceType>
    <b:Guid>{07C1B26B-D9C0-4003-A022-C2D199524C87}</b:Guid>
    <b:Author>
      <b:Author>
        <b:NameList>
          <b:Person>
            <b:Last>Johansson</b:Last>
            <b:First>L</b:First>
          </b:Person>
          <b:Person>
            <b:Last>Soderstrom</b:Last>
            <b:First>T</b:First>
          </b:Person>
          <b:Person>
            <b:Last>Hermansson</b:Last>
            <b:First>A</b:First>
          </b:Person>
        </b:NameList>
      </b:Author>
    </b:Author>
    <b:Title>Cytokines in tonsils in patients with tonsillar disease</b:Title>
    <b:JournalName>Acta Oto Laryngologica</b:JournalName>
    <b:Year>2001</b:Year>
    <b:Pages>275-280</b:Pages>
    <b:Volume>121</b:Volume>
    <b:RefOrder>19</b:RefOrder>
  </b:Source>
  <b:Source>
    <b:Tag>Ale24</b:Tag>
    <b:SourceType>JournalArticle</b:SourceType>
    <b:Guid>{5B36C5A0-1189-4010-960E-CC09B944D0B5}</b:Guid>
    <b:Author>
      <b:Author>
        <b:NameList>
          <b:Person>
            <b:Last>Alemu</b:Last>
            <b:First>M</b:First>
          </b:Person>
          <b:Person>
            <b:Last>Lulekal</b:Last>
            <b:First>E</b:First>
          </b:Person>
          <b:Person>
            <b:Last>Asfaw</b:Last>
            <b:First>Z</b:First>
          </b:Person>
          <b:Person>
            <b:Last>Warkineh</b:Last>
            <b:First>B</b:First>
          </b:Person>
          <b:Person>
            <b:Last>Debella</b:Last>
            <b:First>A</b:First>
          </b:Person>
          <b:Person>
            <b:Last>Abebe</b:Last>
            <b:First>A</b:First>
          </b:Person>
          <b:Person>
            <b:Last>Degu</b:Last>
            <b:First>S</b:First>
          </b:Person>
          <b:Person>
            <b:Last>Debebe</b:Last>
            <b:First>E</b:First>
          </b:Person>
        </b:NameList>
      </b:Author>
    </b:Author>
    <b:Title>Antibacterial activity and phytochemical screening of traditional medicinal plants most preferred for treating infectious diseases in Habru District, North Wollo Zone</b:Title>
    <b:Year>2024</b:Year>
    <b:JournalName>Journal</b:JournalName>
    <b:Pages>129-135</b:Pages>
    <b:Volume>19</b:Volume>
    <b:Issue>3</b:Issue>
    <b:RefOrder>21</b:RefOrder>
  </b:Source>
  <b:Source>
    <b:Tag>Keb21</b:Tag>
    <b:SourceType>JournalArticle</b:SourceType>
    <b:Guid>{1EF28320-B51B-4FCD-AA30-2DE20F65B7AA}</b:Guid>
    <b:Author>
      <b:Author>
        <b:NameList>
          <b:Person>
            <b:Last>Kebede</b:Last>
            <b:First>T</b:First>
          </b:Person>
          <b:Person>
            <b:Last>Gadisa</b:Last>
            <b:First>E</b:First>
          </b:Person>
          <b:Person>
            <b:Last>Tufa</b:Last>
            <b:First>A</b:First>
          </b:Person>
        </b:NameList>
      </b:Author>
    </b:Author>
    <b:Title>Antimicrobial activities evaluation and phytochemical screening of some selected medicinal plants: A possible alternative in the treatment of multidrug-resistant microbes.</b:Title>
    <b:JournalName>PLoS One</b:JournalName>
    <b:Year>2021</b:Year>
    <b:Pages>43</b:Pages>
    <b:Volume>16</b:Volume>
    <b:Issue>3</b:Issue>
    <b:RefOrder>22</b:RefOrder>
  </b:Source>
  <b:Source>
    <b:Tag>Hon05</b:Tag>
    <b:SourceType>JournalArticle</b:SourceType>
    <b:Guid>{08347C0A-AEFC-4C64-A90D-69AE4C01A41F}</b:Guid>
    <b:Author>
      <b:Author>
        <b:NameList>
          <b:Person>
            <b:Last>Hongzhen</b:Last>
            <b:First>Lian</b:First>
          </b:Person>
          <b:Person>
            <b:Last>Danli</b:Last>
            <b:First>Li</b:First>
          </b:Person>
          <b:Person>
            <b:Last>Xiaoxian</b:Last>
            <b:First>Wu</b:First>
          </b:Person>
          <b:Person>
            <b:Last>Liching</b:Last>
            <b:First>Tian</b:First>
          </b:Person>
        </b:NameList>
      </b:Author>
    </b:Author>
    <b:Title>Determination of phenolic preservatives in gelatin and vacant capsules for medicine use by ion-suppression reversed-phase high performance liquid chromatography</b:Title>
    <b:JournalName>Journal of Pharmaceutical and Biomedical Analysis</b:JournalName>
    <b:Year>2005</b:Year>
    <b:Pages>369-372</b:Pages>
    <b:Volume>37</b:Volume>
    <b:Issue>2</b:Issue>
    <b:RefOrder>23</b:RefOrder>
  </b:Source>
  <b:Source>
    <b:Tag>Rai23</b:Tag>
    <b:SourceType>JournalArticle</b:SourceType>
    <b:Guid>{B88D3072-E7AD-4455-92C2-336DC73875FB}</b:Guid>
    <b:Title>Characterization of saponins from the leaves and stem bark of Jatropha curcas L. for surface-active properties</b:Title>
    <b:JournalName>Heliyon</b:JournalName>
    <b:Year>2023</b:Year>
    <b:Volume>9</b:Volume>
    <b:Issue>5</b:Issue>
    <b:DOI>doi: 10.1016</b:DOI>
    <b:Author>
      <b:Author>
        <b:NameList>
          <b:Person>
            <b:Last>Rai</b:Last>
            <b:First>S</b:First>
          </b:Person>
          <b:Person>
            <b:Last>Kafle</b:Last>
            <b:First>A</b:First>
          </b:Person>
          <b:Person>
            <b:Last>Devkota</b:Last>
            <b:First>H,</b:First>
            <b:Middle>P</b:Middle>
          </b:Person>
          <b:Person>
            <b:Last>Bhattarai</b:Last>
            <b:First>A</b:First>
          </b:Person>
        </b:NameList>
      </b:Author>
    </b:Author>
    <b:RefOrder>24</b:RefOrder>
  </b:Source>
  <b:Source>
    <b:Tag>Har98</b:Tag>
    <b:SourceType>BookSection</b:SourceType>
    <b:Guid>{5AEFF5B9-BEF2-400B-8230-EAFE1AB2782C}</b:Guid>
    <b:Title>Phytochemical methods</b:Title>
    <b:Year>1998</b:Year>
    <b:Pages>567-598</b:Pages>
    <b:City>London</b:City>
    <b:Publisher>Chapman and Hall</b:Publisher>
    <b:BookTitle>A guide to modern techniques of plant analysis 3rd ed</b:BookTitle>
    <b:Author>
      <b:Author>
        <b:NameList>
          <b:Person>
            <b:Last>Harborne</b:Last>
            <b:First>J,</b:First>
            <b:Middle>B</b:Middle>
          </b:Person>
        </b:NameList>
      </b:Author>
    </b:Author>
    <b:RefOrder>25</b:RefOrder>
  </b:Source>
  <b:Source>
    <b:Tag>Elf96</b:Tag>
    <b:SourceType>JournalArticle</b:SourceType>
    <b:Guid>{960A7F27-0ADB-4B49-AC33-D0B2F3A2E1AA}</b:Guid>
    <b:Title>Effect of Luffa aegyptiaca (seeds) and Carissa edulis (leaves) extracts on blood glucose level of normal and streptozotocin diabetic rats.</b:Title>
    <b:Year>1996</b:Year>
    <b:Author>
      <b:Author>
        <b:NameList>
          <b:Person>
            <b:Last>Elfiky</b:Last>
            <b:First>F,</b:First>
            <b:Middle>K</b:Middle>
          </b:Person>
          <b:Person>
            <b:Last>Aboukaram</b:Last>
            <b:First>M,</b:First>
            <b:Middle>A</b:Middle>
          </b:Person>
          <b:Person>
            <b:Last>Afify</b:Last>
            <b:First>E,</b:First>
            <b:Middle>A</b:Middle>
          </b:Person>
        </b:NameList>
      </b:Author>
    </b:Author>
    <b:JournalName>Journal of Ethnopharmacology</b:JournalName>
    <b:Pages>43-47</b:Pages>
    <b:Volume>50</b:Volume>
    <b:Issue>1</b:Issue>
    <b:RefOrder>27</b:RefOrder>
  </b:Source>
  <b:Source>
    <b:Tag>Mur23</b:Tag>
    <b:SourceType>JournalArticle</b:SourceType>
    <b:Guid>{745798F6-0CA0-48AE-9E57-BCC634129DCC}</b:Guid>
    <b:Author>
      <b:Author>
        <b:NameList>
          <b:Person>
            <b:Last>Muruthi</b:Last>
            <b:First>C,</b:First>
            <b:Middle>W</b:Middle>
          </b:Person>
          <b:Person>
            <b:Last>Ngugi</b:Last>
            <b:First>M,</b:First>
            <b:Middle>P</b:Middle>
          </b:Person>
          <b:Person>
            <b:Last>Runo</b:Last>
            <b:First>S,</b:First>
            <b:Middle>M</b:Middle>
          </b:Person>
          <b:Person>
            <b:Last>Mwitari</b:Last>
            <b:First>P,</b:First>
            <b:Middle>G</b:Middle>
          </b:Person>
        </b:NameList>
      </b:Author>
    </b:Author>
    <b:Title>In Vitro Antiproliferative Effects and Phytochemical Characterization of Carissa edulis ((Forssk) Vahl) and Pappea capensis (Eckyl and Zeyh).</b:Title>
    <b:JournalName>Extracts. J Evid Based Integr Med</b:JournalName>
    <b:Year>2023</b:Year>
    <b:Pages>25-28</b:Pages>
    <b:Volume>1</b:Volume>
    <b:Issue>1</b:Issue>
    <b:RefOrder>28</b:RefOrder>
  </b:Source>
  <b:Source>
    <b:Tag>Chi24</b:Tag>
    <b:SourceType>JournalArticle</b:SourceType>
    <b:Guid>{19AE2DB7-FEF9-4415-BB78-8091E474C505}</b:Guid>
    <b:Author>
      <b:Author>
        <b:NameList>
          <b:Person>
            <b:Last>Chifamba</b:Last>
            <b:First>J</b:First>
          </b:Person>
          <b:Person>
            <b:Last>Addae</b:Last>
            <b:First>A,</b:First>
            <b:Middle>J</b:Middle>
          </b:Person>
          <b:Person>
            <b:Last>Zengeni</b:Last>
            <b:First>S</b:First>
          </b:Person>
          <b:Person>
            <b:Last>Pomerai</b:Last>
            <b:First>M</b:First>
          </b:Person>
          <b:Person>
            <b:Last>N</b:Last>
            <b:First>Kurebgaseka</b:First>
          </b:Person>
        </b:NameList>
      </b:Author>
    </b:Author>
    <b:Title>Lyophilised Aloe Excelsa Fractions, Photo-Protection and Actinic Damage Retardation Claims Substantiation</b:Title>
    <b:JournalName>Journal of Complementary and Alternative Medical Research</b:JournalName>
    <b:Year>2024</b:Year>
    <b:Pages>37-52</b:Pages>
    <b:Volume>25</b:Volume>
    <b:Issue>5</b:Issue>
    <b:RefOrder>29</b:RefOrder>
  </b:Source>
  <b:Source>
    <b:Tag>OEC24</b:Tag>
    <b:SourceType>JournalArticle</b:SourceType>
    <b:Guid>{3CB1C9FF-DBE4-47B9-809A-94DC2E614794}</b:Guid>
    <b:Author>
      <b:Author>
        <b:NameList>
          <b:Person>
            <b:Last>O</b:Last>
            <b:First>E,</b:First>
            <b:Middle>C, D</b:Middle>
          </b:Person>
        </b:NameList>
      </b:Author>
    </b:Author>
    <b:Title>https://www.oecd-ilibrary.org/environment/test-no-425-acute-oral-toxicity-up-and-down-procedure</b:Title>
    <b:JournalName>OECD</b:JournalName>
    <b:Year>2024</b:Year>
    <b:Pages>1</b:Pages>
    <b:Volume>1</b:Volume>
    <b:Issue>1</b:Issue>
    <b:URL>https://www.oecd-ilibrary.org/environment/test-no-425-acute-oral-toxicity-up-and-down-procedure</b:URL>
    <b:RefOrder>30</b:RefOrder>
  </b:Source>
</b:Sources>
</file>

<file path=customXml/itemProps1.xml><?xml version="1.0" encoding="utf-8"?>
<ds:datastoreItem xmlns:ds="http://schemas.openxmlformats.org/officeDocument/2006/customXml" ds:itemID="{C9CD6671-0C98-4AB4-A9B3-F4750A7A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6164</Words>
  <Characters>35139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Kudxiey</dc:creator>
  <cp:lastModifiedBy>SDI 1084</cp:lastModifiedBy>
  <cp:revision>10</cp:revision>
  <cp:lastPrinted>2025-06-18T05:29:00Z</cp:lastPrinted>
  <dcterms:created xsi:type="dcterms:W3CDTF">2025-06-17T18:22:00Z</dcterms:created>
  <dcterms:modified xsi:type="dcterms:W3CDTF">2025-06-18T13:01:00Z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040b64de445b4769975335ac286b2a01</vt:lpwstr>
  </property>
</Properties>
</file>