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62301" w14:textId="57F4D792" w:rsidR="00FE267F" w:rsidRDefault="00D6657E" w:rsidP="00D6657E">
      <w:pPr>
        <w:jc w:val="center"/>
        <w:rPr>
          <w:rFonts w:ascii="Times New Roman" w:hAnsi="Times New Roman" w:cs="Times New Roman"/>
          <w:b/>
          <w:bCs/>
          <w:sz w:val="24"/>
          <w:szCs w:val="24"/>
        </w:rPr>
      </w:pPr>
      <w:r>
        <w:rPr>
          <w:rFonts w:ascii="Times New Roman" w:hAnsi="Times New Roman" w:cs="Times New Roman"/>
          <w:b/>
          <w:bCs/>
          <w:sz w:val="24"/>
          <w:szCs w:val="24"/>
        </w:rPr>
        <w:t xml:space="preserve">EVALUATING THE </w:t>
      </w:r>
      <w:r w:rsidRPr="002E547D">
        <w:rPr>
          <w:rFonts w:ascii="Times New Roman" w:hAnsi="Times New Roman" w:cs="Times New Roman"/>
          <w:b/>
          <w:bCs/>
          <w:sz w:val="24"/>
          <w:szCs w:val="24"/>
        </w:rPr>
        <w:t>ELASTIC MODULUS OF CONCRETE</w:t>
      </w:r>
      <w:r>
        <w:rPr>
          <w:rFonts w:ascii="Times New Roman" w:hAnsi="Times New Roman" w:cs="Times New Roman"/>
          <w:b/>
          <w:bCs/>
          <w:sz w:val="24"/>
          <w:szCs w:val="24"/>
        </w:rPr>
        <w:t xml:space="preserve"> MODIFIED WITH</w:t>
      </w:r>
      <w:r w:rsidRPr="002E547D">
        <w:rPr>
          <w:rFonts w:ascii="Times New Roman" w:hAnsi="Times New Roman" w:cs="Times New Roman"/>
          <w:b/>
          <w:bCs/>
          <w:sz w:val="24"/>
          <w:szCs w:val="24"/>
        </w:rPr>
        <w:t xml:space="preserve"> COCONUT SHELL ASH </w:t>
      </w:r>
    </w:p>
    <w:p w14:paraId="3150822F" w14:textId="168573D1" w:rsidR="00AA3965" w:rsidRDefault="00AA3965" w:rsidP="00D6657E">
      <w:pPr>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03E56456" w14:textId="43F67AD0" w:rsidR="00AA3965" w:rsidRDefault="009C0FEC" w:rsidP="009C0FEC">
      <w:pPr>
        <w:jc w:val="both"/>
        <w:rPr>
          <w:rFonts w:ascii="Times New Roman" w:hAnsi="Times New Roman" w:cs="Times New Roman"/>
          <w:sz w:val="24"/>
          <w:szCs w:val="24"/>
        </w:rPr>
      </w:pPr>
      <w:r w:rsidRPr="009C0FEC">
        <w:rPr>
          <w:rFonts w:ascii="Times New Roman" w:hAnsi="Times New Roman" w:cs="Times New Roman"/>
          <w:sz w:val="24"/>
          <w:szCs w:val="24"/>
        </w:rPr>
        <w:t xml:space="preserve">This study </w:t>
      </w:r>
      <w:r w:rsidR="00117B77">
        <w:rPr>
          <w:rFonts w:ascii="Times New Roman" w:hAnsi="Times New Roman" w:cs="Times New Roman"/>
          <w:sz w:val="24"/>
          <w:szCs w:val="24"/>
        </w:rPr>
        <w:t>investigates</w:t>
      </w:r>
      <w:r w:rsidRPr="009C0FEC">
        <w:rPr>
          <w:rFonts w:ascii="Times New Roman" w:hAnsi="Times New Roman" w:cs="Times New Roman"/>
          <w:sz w:val="24"/>
          <w:szCs w:val="24"/>
        </w:rPr>
        <w:t xml:space="preserve"> the potential of coconut shell ash (CSA), an agricultural waste product, as a supplementary cementitious material (SCM) for sustainable concrete production. CSA, obtained from calcined coconut shells and rich in reactive silica, alumina, and iron oxides, was used to replace ordinary Portland cement (OPC) at 0%, 10%, 20%, and 30% by weight. A total of 224 concrete cubes were prepared using a 1:2:4 mix ratio and a constant water-to-cement ratio of 0.5, and were tested over 14 curing periods ranging from 3 to 91 days. Workability was measured using slump tests, while the elastic modulus was estimated based on compressive strength using the ACI 318-14 formula. Findings revealed that increasing CSA content led to reduced slump, indicating lower workability due to the ash’s porous and high-surface-area characteristics. However, the mix containing 10% CSA demonstrated an enhanced elastic modulus, peaking at 19.34 </w:t>
      </w:r>
      <w:proofErr w:type="spellStart"/>
      <w:r w:rsidRPr="009C0FEC">
        <w:rPr>
          <w:rFonts w:ascii="Times New Roman" w:hAnsi="Times New Roman" w:cs="Times New Roman"/>
          <w:sz w:val="24"/>
          <w:szCs w:val="24"/>
        </w:rPr>
        <w:t>GPa</w:t>
      </w:r>
      <w:proofErr w:type="spellEnd"/>
      <w:r w:rsidRPr="009C0FEC">
        <w:rPr>
          <w:rFonts w:ascii="Times New Roman" w:hAnsi="Times New Roman" w:cs="Times New Roman"/>
          <w:sz w:val="24"/>
          <w:szCs w:val="24"/>
        </w:rPr>
        <w:t xml:space="preserve"> on day 28</w:t>
      </w:r>
      <w:r w:rsidR="00117B77">
        <w:rPr>
          <w:rFonts w:ascii="Times New Roman" w:hAnsi="Times New Roman" w:cs="Times New Roman"/>
          <w:sz w:val="24"/>
          <w:szCs w:val="24"/>
        </w:rPr>
        <w:t xml:space="preserve">, </w:t>
      </w:r>
      <w:r w:rsidRPr="009C0FEC">
        <w:rPr>
          <w:rFonts w:ascii="Times New Roman" w:hAnsi="Times New Roman" w:cs="Times New Roman"/>
          <w:sz w:val="24"/>
          <w:szCs w:val="24"/>
        </w:rPr>
        <w:t>surpassing the control. This improvement is attributed to CSA’s pozzolanic activity, which promotes additional calcium silicate hydrate (C-S-H) formation, thereby densifying</w:t>
      </w:r>
      <w:bookmarkStart w:id="0" w:name="_GoBack"/>
      <w:bookmarkEnd w:id="0"/>
      <w:r w:rsidRPr="009C0FEC">
        <w:rPr>
          <w:rFonts w:ascii="Times New Roman" w:hAnsi="Times New Roman" w:cs="Times New Roman"/>
          <w:sz w:val="24"/>
          <w:szCs w:val="24"/>
        </w:rPr>
        <w:t xml:space="preserve"> the concrete matrix. Higher replacement levels (20–30%) resulted in performance decline due to cement dilution. The study concludes that 10% CSA substitution offers an optimal balance between mechanical performance and sustainability in concrete</w:t>
      </w:r>
      <w:r w:rsidR="00117B77">
        <w:rPr>
          <w:rFonts w:ascii="Times New Roman" w:hAnsi="Times New Roman" w:cs="Times New Roman"/>
          <w:sz w:val="24"/>
          <w:szCs w:val="24"/>
        </w:rPr>
        <w:t>.</w:t>
      </w:r>
    </w:p>
    <w:p w14:paraId="5AAF9BC6" w14:textId="5DA91DCB" w:rsidR="00117B77" w:rsidRPr="00117B77" w:rsidRDefault="00117B77" w:rsidP="009C0FEC">
      <w:pPr>
        <w:jc w:val="both"/>
        <w:rPr>
          <w:rFonts w:ascii="Times New Roman" w:hAnsi="Times New Roman" w:cs="Times New Roman"/>
          <w:b/>
          <w:bCs/>
          <w:i/>
          <w:iCs/>
          <w:sz w:val="24"/>
          <w:szCs w:val="24"/>
        </w:rPr>
      </w:pPr>
      <w:r w:rsidRPr="00117B77">
        <w:rPr>
          <w:rFonts w:ascii="Times New Roman" w:hAnsi="Times New Roman" w:cs="Times New Roman"/>
          <w:b/>
          <w:bCs/>
          <w:i/>
          <w:iCs/>
          <w:sz w:val="24"/>
          <w:szCs w:val="24"/>
        </w:rPr>
        <w:t>Keywords; Elastic modulus, Concrete, Coconut Shell Ash, Compressive strength, Slump, Workability</w:t>
      </w:r>
    </w:p>
    <w:p w14:paraId="15BBC979" w14:textId="12EE8154" w:rsidR="00AA3965" w:rsidRPr="007B516B" w:rsidRDefault="00AA3965" w:rsidP="007B516B">
      <w:pPr>
        <w:pStyle w:val="ListParagraph"/>
        <w:numPr>
          <w:ilvl w:val="0"/>
          <w:numId w:val="2"/>
        </w:numPr>
        <w:ind w:hanging="720"/>
        <w:rPr>
          <w:rFonts w:ascii="Times New Roman" w:hAnsi="Times New Roman" w:cs="Times New Roman"/>
          <w:b/>
          <w:bCs/>
          <w:sz w:val="24"/>
          <w:szCs w:val="24"/>
        </w:rPr>
      </w:pPr>
      <w:r w:rsidRPr="007B516B">
        <w:rPr>
          <w:rFonts w:ascii="Times New Roman" w:hAnsi="Times New Roman" w:cs="Times New Roman"/>
          <w:b/>
          <w:bCs/>
          <w:sz w:val="24"/>
          <w:szCs w:val="24"/>
        </w:rPr>
        <w:t>Introduction</w:t>
      </w:r>
    </w:p>
    <w:p w14:paraId="74DE53DF" w14:textId="265FDD49" w:rsidR="00963619" w:rsidRPr="00963619" w:rsidRDefault="00963619" w:rsidP="00963619">
      <w:pPr>
        <w:spacing w:line="480" w:lineRule="auto"/>
        <w:jc w:val="both"/>
        <w:rPr>
          <w:rFonts w:ascii="Times New Roman" w:hAnsi="Times New Roman" w:cs="Times New Roman"/>
          <w:sz w:val="24"/>
          <w:szCs w:val="24"/>
        </w:rPr>
      </w:pPr>
      <w:r w:rsidRPr="00963619">
        <w:rPr>
          <w:rFonts w:ascii="Times New Roman" w:hAnsi="Times New Roman" w:cs="Times New Roman"/>
          <w:sz w:val="24"/>
          <w:szCs w:val="24"/>
        </w:rPr>
        <w:t>The growing emphasis on sustainable construction has led to extensive research into the use of agricultural waste materials as supplementary cementitious materials (SCMs). Among these alternatives, coconut shell ash (CSA)</w:t>
      </w:r>
      <w:r>
        <w:rPr>
          <w:rFonts w:ascii="Times New Roman" w:hAnsi="Times New Roman" w:cs="Times New Roman"/>
          <w:sz w:val="24"/>
          <w:szCs w:val="24"/>
        </w:rPr>
        <w:t xml:space="preserve">, </w:t>
      </w:r>
      <w:r w:rsidRPr="00963619">
        <w:rPr>
          <w:rFonts w:ascii="Times New Roman" w:hAnsi="Times New Roman" w:cs="Times New Roman"/>
          <w:sz w:val="24"/>
          <w:szCs w:val="24"/>
        </w:rPr>
        <w:t>produced through the controlled burning of coconut shells</w:t>
      </w:r>
      <w:r>
        <w:rPr>
          <w:rFonts w:ascii="Times New Roman" w:hAnsi="Times New Roman" w:cs="Times New Roman"/>
          <w:sz w:val="24"/>
          <w:szCs w:val="24"/>
        </w:rPr>
        <w:t xml:space="preserve">, </w:t>
      </w:r>
      <w:r w:rsidRPr="00963619">
        <w:rPr>
          <w:rFonts w:ascii="Times New Roman" w:hAnsi="Times New Roman" w:cs="Times New Roman"/>
          <w:sz w:val="24"/>
          <w:szCs w:val="24"/>
        </w:rPr>
        <w:t>has emerged as a promising candidate due to its pozzolanic activity and its ability to improve concrete performance while minimizing environmental impacts (Bheel et al., 2021).</w:t>
      </w:r>
    </w:p>
    <w:p w14:paraId="2D8E0910" w14:textId="77777777" w:rsidR="00963619" w:rsidRPr="00963619" w:rsidRDefault="00963619" w:rsidP="00963619">
      <w:pPr>
        <w:spacing w:line="480" w:lineRule="auto"/>
        <w:jc w:val="both"/>
        <w:rPr>
          <w:rFonts w:ascii="Times New Roman" w:hAnsi="Times New Roman" w:cs="Times New Roman"/>
          <w:sz w:val="24"/>
          <w:szCs w:val="24"/>
        </w:rPr>
      </w:pPr>
      <w:r w:rsidRPr="00963619">
        <w:rPr>
          <w:rFonts w:ascii="Times New Roman" w:hAnsi="Times New Roman" w:cs="Times New Roman"/>
          <w:sz w:val="24"/>
          <w:szCs w:val="24"/>
        </w:rPr>
        <w:t xml:space="preserve">CSA contains high levels of reactive silica, alumina, and iron oxides, which facilitate secondary hydration reactions when blended with ordinary Portland cement (OPC). These reactions enhance the formation of calcium silicate hydrate (C-S-H), which improves the density and durability of the concrete matrix (Shanmuga Priya &amp; Padmanaban, 2024). Studies indicate that substituting up to 10% of OPC with CSA can yield increases in compressive, </w:t>
      </w:r>
      <w:r w:rsidRPr="00963619">
        <w:rPr>
          <w:rFonts w:ascii="Times New Roman" w:hAnsi="Times New Roman" w:cs="Times New Roman"/>
          <w:sz w:val="24"/>
          <w:szCs w:val="24"/>
        </w:rPr>
        <w:lastRenderedPageBreak/>
        <w:t>tensile, and flexural strengths by approximately 12%, 10%, and 9%, respectively, over conventional mixes (Pooja et al., 2025).</w:t>
      </w:r>
    </w:p>
    <w:p w14:paraId="083FCE5B" w14:textId="77777777" w:rsidR="00963619" w:rsidRPr="00963619" w:rsidRDefault="00963619" w:rsidP="00963619">
      <w:pPr>
        <w:spacing w:line="480" w:lineRule="auto"/>
        <w:jc w:val="both"/>
        <w:rPr>
          <w:rFonts w:ascii="Times New Roman" w:hAnsi="Times New Roman" w:cs="Times New Roman"/>
          <w:sz w:val="24"/>
          <w:szCs w:val="24"/>
        </w:rPr>
      </w:pPr>
      <w:r w:rsidRPr="00963619">
        <w:rPr>
          <w:rFonts w:ascii="Times New Roman" w:hAnsi="Times New Roman" w:cs="Times New Roman"/>
          <w:sz w:val="24"/>
          <w:szCs w:val="24"/>
        </w:rPr>
        <w:t>One key mechanical property influenced by CSA incorporation is the elastic modulus (MOE), which governs a concrete structure's stiffness and resistance to deformation. Research confirms that optimal levels of CSA enhance MOE, thereby improving structural performance and load-carrying capacity (Bheel et al., 2021).</w:t>
      </w:r>
    </w:p>
    <w:p w14:paraId="2506E589" w14:textId="77777777" w:rsidR="00963619" w:rsidRDefault="00963619" w:rsidP="00963619">
      <w:pPr>
        <w:spacing w:line="480" w:lineRule="auto"/>
        <w:jc w:val="both"/>
        <w:rPr>
          <w:rFonts w:ascii="Times New Roman" w:hAnsi="Times New Roman" w:cs="Times New Roman"/>
          <w:sz w:val="24"/>
          <w:szCs w:val="24"/>
        </w:rPr>
      </w:pPr>
      <w:r w:rsidRPr="00963619">
        <w:rPr>
          <w:rFonts w:ascii="Times New Roman" w:hAnsi="Times New Roman" w:cs="Times New Roman"/>
          <w:sz w:val="24"/>
          <w:szCs w:val="24"/>
        </w:rPr>
        <w:t>In addition to mechanical improvements, CSA use offers clear environmental benefits. Given that cement production is a major contributor to CO₂ emissions, partially replacing cement with CSA helps lower the carbon footprint of concrete. For instance, Pooja et al. (2025) found that a 15–20% CSA substitution could cut the embodied carbon content of concrete by around 15%, supporting sustainability goals.</w:t>
      </w:r>
    </w:p>
    <w:p w14:paraId="11993084" w14:textId="7ED9A50C" w:rsidR="007B516B" w:rsidRDefault="007B516B" w:rsidP="00963619">
      <w:pPr>
        <w:spacing w:line="480" w:lineRule="auto"/>
        <w:jc w:val="both"/>
        <w:rPr>
          <w:rFonts w:ascii="Times New Roman" w:hAnsi="Times New Roman" w:cs="Times New Roman"/>
          <w:sz w:val="24"/>
          <w:szCs w:val="24"/>
        </w:rPr>
      </w:pPr>
      <w:r w:rsidRPr="007B516B">
        <w:rPr>
          <w:rFonts w:ascii="Times New Roman" w:hAnsi="Times New Roman" w:cs="Times New Roman"/>
          <w:sz w:val="24"/>
          <w:szCs w:val="24"/>
        </w:rPr>
        <w:t>Bheel</w:t>
      </w:r>
      <w:r>
        <w:rPr>
          <w:rFonts w:ascii="Times New Roman" w:hAnsi="Times New Roman" w:cs="Times New Roman"/>
          <w:sz w:val="24"/>
          <w:szCs w:val="24"/>
        </w:rPr>
        <w:t xml:space="preserve"> et al. </w:t>
      </w:r>
      <w:r w:rsidRPr="007B516B">
        <w:rPr>
          <w:rFonts w:ascii="Times New Roman" w:hAnsi="Times New Roman" w:cs="Times New Roman"/>
          <w:sz w:val="24"/>
          <w:szCs w:val="24"/>
        </w:rPr>
        <w:t>(2020) observed that substituting up to 10% of OPC with CSA resulted in approximately a 10% increase in the MOE compared to conventional concrete. This enhancement is primarily attributed to the pozzolanic reaction between the silica-rich CSA and calcium hydroxide produced during cement hydration, leading to additional calcium silicate hydrate (C-S-H) gel formation that densifies the concrete matrix and improves stiffness</w:t>
      </w:r>
      <w:r>
        <w:rPr>
          <w:rFonts w:ascii="Times New Roman" w:hAnsi="Times New Roman" w:cs="Times New Roman"/>
          <w:sz w:val="24"/>
          <w:szCs w:val="24"/>
        </w:rPr>
        <w:t xml:space="preserve">. </w:t>
      </w:r>
      <w:r w:rsidRPr="007B516B">
        <w:rPr>
          <w:rFonts w:ascii="Times New Roman" w:hAnsi="Times New Roman" w:cs="Times New Roman"/>
          <w:sz w:val="24"/>
          <w:szCs w:val="24"/>
        </w:rPr>
        <w:t xml:space="preserve">Further research by </w:t>
      </w:r>
      <w:proofErr w:type="spellStart"/>
      <w:r w:rsidRPr="007B516B">
        <w:rPr>
          <w:rFonts w:ascii="Times New Roman" w:hAnsi="Times New Roman" w:cs="Times New Roman"/>
          <w:sz w:val="24"/>
          <w:szCs w:val="24"/>
        </w:rPr>
        <w:t>Mahro</w:t>
      </w:r>
      <w:proofErr w:type="spellEnd"/>
      <w:r>
        <w:rPr>
          <w:rFonts w:ascii="Times New Roman" w:hAnsi="Times New Roman" w:cs="Times New Roman"/>
          <w:sz w:val="24"/>
          <w:szCs w:val="24"/>
        </w:rPr>
        <w:t xml:space="preserve"> et al. </w:t>
      </w:r>
      <w:r w:rsidRPr="007B516B">
        <w:rPr>
          <w:rFonts w:ascii="Times New Roman" w:hAnsi="Times New Roman" w:cs="Times New Roman"/>
          <w:sz w:val="24"/>
          <w:szCs w:val="24"/>
        </w:rPr>
        <w:t>(2020)</w:t>
      </w:r>
      <w:r>
        <w:rPr>
          <w:rFonts w:ascii="Times New Roman" w:hAnsi="Times New Roman" w:cs="Times New Roman"/>
          <w:sz w:val="24"/>
          <w:szCs w:val="24"/>
        </w:rPr>
        <w:t>,</w:t>
      </w:r>
      <w:r w:rsidRPr="007B516B">
        <w:rPr>
          <w:rFonts w:ascii="Times New Roman" w:hAnsi="Times New Roman" w:cs="Times New Roman"/>
          <w:sz w:val="24"/>
          <w:szCs w:val="24"/>
        </w:rPr>
        <w:t xml:space="preserve"> indicated that incorporating CSA alongside other additives, such as sisal fibers, can synergistically enhance mechanical properties, including the MOE. Their findings revealed a 7% increase in MOE with a 3% addition of sisal fibers to CSA-modified concrete, highlighting the combined effects of hybrid additives on concrete performance</w:t>
      </w:r>
      <w:r>
        <w:rPr>
          <w:rFonts w:ascii="Times New Roman" w:hAnsi="Times New Roman" w:cs="Times New Roman"/>
          <w:sz w:val="24"/>
          <w:szCs w:val="24"/>
        </w:rPr>
        <w:t>.</w:t>
      </w:r>
    </w:p>
    <w:p w14:paraId="034A7CD4" w14:textId="31017CBB" w:rsidR="007B516B" w:rsidRPr="00963619" w:rsidRDefault="007B516B" w:rsidP="00963619">
      <w:pPr>
        <w:spacing w:line="480" w:lineRule="auto"/>
        <w:jc w:val="both"/>
        <w:rPr>
          <w:rFonts w:ascii="Times New Roman" w:hAnsi="Times New Roman" w:cs="Times New Roman"/>
          <w:sz w:val="24"/>
          <w:szCs w:val="24"/>
        </w:rPr>
      </w:pPr>
      <w:r w:rsidRPr="007B516B">
        <w:rPr>
          <w:rFonts w:ascii="Times New Roman" w:hAnsi="Times New Roman" w:cs="Times New Roman"/>
          <w:sz w:val="24"/>
          <w:szCs w:val="24"/>
        </w:rPr>
        <w:t xml:space="preserve">The extent of improvement in MOE is influenced by several factors, including the percentage of cement replacement with CSA, particle fineness, and curing duration. While a 10% replacement level appears optimal, higher percentages may lead to a decline in MOE due to </w:t>
      </w:r>
      <w:r w:rsidRPr="007B516B">
        <w:rPr>
          <w:rFonts w:ascii="Times New Roman" w:hAnsi="Times New Roman" w:cs="Times New Roman"/>
          <w:sz w:val="24"/>
          <w:szCs w:val="24"/>
        </w:rPr>
        <w:lastRenderedPageBreak/>
        <w:t>dilution effects and reduced availability of calcium hydroxide for pozzolanic activity. Moreover, the fineness of CSA significantly affects its reactivity; finer particles provide increased surface area, facilitating enhanced pozzolanic reactions and improved microstructural bonding.</w:t>
      </w:r>
      <w:r>
        <w:rPr>
          <w:rFonts w:ascii="Times New Roman" w:hAnsi="Times New Roman" w:cs="Times New Roman"/>
          <w:sz w:val="24"/>
          <w:szCs w:val="24"/>
        </w:rPr>
        <w:t xml:space="preserve"> </w:t>
      </w:r>
      <w:r w:rsidRPr="007B516B">
        <w:rPr>
          <w:rFonts w:ascii="Times New Roman" w:hAnsi="Times New Roman" w:cs="Times New Roman"/>
          <w:sz w:val="24"/>
          <w:szCs w:val="24"/>
        </w:rPr>
        <w:t xml:space="preserve">In a study by </w:t>
      </w:r>
      <w:proofErr w:type="spellStart"/>
      <w:r w:rsidRPr="007B516B">
        <w:rPr>
          <w:rFonts w:ascii="Times New Roman" w:hAnsi="Times New Roman" w:cs="Times New Roman"/>
          <w:sz w:val="24"/>
          <w:szCs w:val="24"/>
        </w:rPr>
        <w:t>Kumator</w:t>
      </w:r>
      <w:proofErr w:type="spellEnd"/>
      <w:r w:rsidRPr="007B516B">
        <w:rPr>
          <w:rFonts w:ascii="Times New Roman" w:hAnsi="Times New Roman" w:cs="Times New Roman"/>
          <w:sz w:val="24"/>
          <w:szCs w:val="24"/>
        </w:rPr>
        <w:t xml:space="preserve"> </w:t>
      </w:r>
      <w:proofErr w:type="spellStart"/>
      <w:r w:rsidRPr="007B516B">
        <w:rPr>
          <w:rFonts w:ascii="Times New Roman" w:hAnsi="Times New Roman" w:cs="Times New Roman"/>
          <w:sz w:val="24"/>
          <w:szCs w:val="24"/>
        </w:rPr>
        <w:t>Taku</w:t>
      </w:r>
      <w:proofErr w:type="spellEnd"/>
      <w:r w:rsidRPr="007B516B">
        <w:rPr>
          <w:rFonts w:ascii="Times New Roman" w:hAnsi="Times New Roman" w:cs="Times New Roman"/>
          <w:sz w:val="24"/>
          <w:szCs w:val="24"/>
        </w:rPr>
        <w:t xml:space="preserve"> (2019), nanoindentation tests on cement paste with 15% CSA replacement demonstrated improved nanomechanical properties, including increased elastic modulus and hardness, due to the formation of additional C-S-H phases and reduced porosity. Similarly, </w:t>
      </w:r>
      <w:proofErr w:type="spellStart"/>
      <w:r w:rsidRPr="007B516B">
        <w:rPr>
          <w:rFonts w:ascii="Times New Roman" w:hAnsi="Times New Roman" w:cs="Times New Roman"/>
          <w:sz w:val="24"/>
          <w:szCs w:val="24"/>
        </w:rPr>
        <w:t>Barveen</w:t>
      </w:r>
      <w:proofErr w:type="spellEnd"/>
      <w:r w:rsidRPr="007B516B">
        <w:rPr>
          <w:rFonts w:ascii="Times New Roman" w:hAnsi="Times New Roman" w:cs="Times New Roman"/>
          <w:sz w:val="24"/>
          <w:szCs w:val="24"/>
        </w:rPr>
        <w:t xml:space="preserve"> (2018) reported that the modulus of elasticity of concrete increased with the level of CSA substitution and the age of curing, attributing this to the efficient pore-filling ability of CSA particles due to their fineness.</w:t>
      </w:r>
    </w:p>
    <w:p w14:paraId="6DDAAB37" w14:textId="77777777" w:rsidR="00963619" w:rsidRPr="00963619" w:rsidRDefault="00963619" w:rsidP="00963619">
      <w:pPr>
        <w:spacing w:line="480" w:lineRule="auto"/>
        <w:jc w:val="both"/>
        <w:rPr>
          <w:rFonts w:ascii="Times New Roman" w:hAnsi="Times New Roman" w:cs="Times New Roman"/>
          <w:sz w:val="24"/>
          <w:szCs w:val="24"/>
        </w:rPr>
      </w:pPr>
      <w:r w:rsidRPr="00963619">
        <w:rPr>
          <w:rFonts w:ascii="Times New Roman" w:hAnsi="Times New Roman" w:cs="Times New Roman"/>
          <w:sz w:val="24"/>
          <w:szCs w:val="24"/>
        </w:rPr>
        <w:t>Furthermore, optimization and statistical studies, including those employing Bayesian methodologies, have validated the feasibility of CSA as a cement replacement without compromising performance when used within optimal thresholds. Replacement rates in the 10–15% range are generally effective in achieving both mechanical enhancement and environmental sustainability (Shanmuga Priya &amp; Padmanaban, 2024).</w:t>
      </w:r>
    </w:p>
    <w:p w14:paraId="00003F6C" w14:textId="29C89469" w:rsidR="00963619" w:rsidRDefault="007B516B" w:rsidP="00963619">
      <w:pPr>
        <w:spacing w:line="480" w:lineRule="auto"/>
        <w:jc w:val="both"/>
        <w:rPr>
          <w:rFonts w:ascii="Times New Roman" w:hAnsi="Times New Roman" w:cs="Times New Roman"/>
          <w:sz w:val="24"/>
          <w:szCs w:val="24"/>
        </w:rPr>
      </w:pPr>
      <w:r>
        <w:rPr>
          <w:rFonts w:ascii="Times New Roman" w:hAnsi="Times New Roman" w:cs="Times New Roman"/>
          <w:sz w:val="24"/>
          <w:szCs w:val="24"/>
        </w:rPr>
        <w:t>Overall</w:t>
      </w:r>
      <w:r w:rsidR="00963619" w:rsidRPr="00963619">
        <w:rPr>
          <w:rFonts w:ascii="Times New Roman" w:hAnsi="Times New Roman" w:cs="Times New Roman"/>
          <w:sz w:val="24"/>
          <w:szCs w:val="24"/>
        </w:rPr>
        <w:t>, incorporating CSA into concrete as an SCM offers a sustainable and efficient means of improving structural performance</w:t>
      </w:r>
      <w:r w:rsidR="00963619">
        <w:rPr>
          <w:rFonts w:ascii="Times New Roman" w:hAnsi="Times New Roman" w:cs="Times New Roman"/>
          <w:sz w:val="24"/>
          <w:szCs w:val="24"/>
        </w:rPr>
        <w:t xml:space="preserve">, </w:t>
      </w:r>
      <w:r w:rsidR="00963619" w:rsidRPr="00963619">
        <w:rPr>
          <w:rFonts w:ascii="Times New Roman" w:hAnsi="Times New Roman" w:cs="Times New Roman"/>
          <w:sz w:val="24"/>
          <w:szCs w:val="24"/>
        </w:rPr>
        <w:t>particularly the elastic modulus</w:t>
      </w:r>
      <w:r w:rsidR="00963619">
        <w:rPr>
          <w:rFonts w:ascii="Times New Roman" w:hAnsi="Times New Roman" w:cs="Times New Roman"/>
          <w:sz w:val="24"/>
          <w:szCs w:val="24"/>
        </w:rPr>
        <w:t xml:space="preserve">, </w:t>
      </w:r>
      <w:r w:rsidR="00963619" w:rsidRPr="00963619">
        <w:rPr>
          <w:rFonts w:ascii="Times New Roman" w:hAnsi="Times New Roman" w:cs="Times New Roman"/>
          <w:sz w:val="24"/>
          <w:szCs w:val="24"/>
        </w:rPr>
        <w:t>while reducing dependence on conventional cement and advancing eco-friendly construction practices.</w:t>
      </w:r>
    </w:p>
    <w:p w14:paraId="7E0C1CE9" w14:textId="0BC3C754" w:rsidR="007B516B" w:rsidRDefault="007B516B" w:rsidP="007B516B">
      <w:pPr>
        <w:pStyle w:val="ListParagraph"/>
        <w:numPr>
          <w:ilvl w:val="0"/>
          <w:numId w:val="2"/>
        </w:numPr>
        <w:spacing w:line="240" w:lineRule="auto"/>
        <w:ind w:left="567" w:hanging="567"/>
        <w:jc w:val="both"/>
        <w:rPr>
          <w:rFonts w:ascii="Times New Roman" w:hAnsi="Times New Roman" w:cs="Times New Roman"/>
          <w:b/>
          <w:bCs/>
          <w:sz w:val="24"/>
          <w:szCs w:val="24"/>
        </w:rPr>
      </w:pPr>
      <w:r w:rsidRPr="007B516B">
        <w:rPr>
          <w:rFonts w:ascii="Times New Roman" w:hAnsi="Times New Roman" w:cs="Times New Roman"/>
          <w:b/>
          <w:bCs/>
          <w:sz w:val="24"/>
          <w:szCs w:val="24"/>
        </w:rPr>
        <w:t>Materials and Methods</w:t>
      </w:r>
    </w:p>
    <w:p w14:paraId="283A6EF6" w14:textId="0E15281D" w:rsidR="007B516B" w:rsidRDefault="007B516B" w:rsidP="0084008F">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t>Materials</w:t>
      </w:r>
      <w:r w:rsidR="0084008F">
        <w:rPr>
          <w:rFonts w:ascii="Times New Roman" w:hAnsi="Times New Roman" w:cs="Times New Roman"/>
          <w:b/>
          <w:bCs/>
          <w:sz w:val="24"/>
          <w:szCs w:val="24"/>
        </w:rPr>
        <w:t xml:space="preserve"> and Characterization</w:t>
      </w:r>
    </w:p>
    <w:p w14:paraId="0795DC1C" w14:textId="3633A1EA" w:rsidR="007B516B" w:rsidRPr="0084008F" w:rsidRDefault="0084008F" w:rsidP="0084008F">
      <w:pPr>
        <w:spacing w:line="240" w:lineRule="auto"/>
        <w:ind w:left="567" w:hanging="567"/>
        <w:jc w:val="both"/>
        <w:rPr>
          <w:rFonts w:ascii="Times New Roman" w:hAnsi="Times New Roman" w:cs="Times New Roman"/>
          <w:b/>
          <w:bCs/>
          <w:sz w:val="24"/>
          <w:szCs w:val="24"/>
        </w:rPr>
      </w:pPr>
      <w:r w:rsidRPr="0084008F">
        <w:rPr>
          <w:rFonts w:ascii="Times New Roman" w:hAnsi="Times New Roman" w:cs="Times New Roman"/>
          <w:b/>
          <w:bCs/>
          <w:sz w:val="24"/>
          <w:szCs w:val="24"/>
        </w:rPr>
        <w:t>i.</w:t>
      </w:r>
      <w:r w:rsidRPr="0084008F">
        <w:rPr>
          <w:rFonts w:ascii="Times New Roman" w:hAnsi="Times New Roman" w:cs="Times New Roman"/>
          <w:b/>
          <w:bCs/>
          <w:sz w:val="24"/>
          <w:szCs w:val="24"/>
        </w:rPr>
        <w:tab/>
        <w:t>Coconut Shell Ash</w:t>
      </w:r>
    </w:p>
    <w:p w14:paraId="6341E6CE" w14:textId="6A722CD4" w:rsidR="0084008F" w:rsidRDefault="0084008F" w:rsidP="0084008F">
      <w:pPr>
        <w:spacing w:line="480" w:lineRule="auto"/>
        <w:jc w:val="both"/>
        <w:rPr>
          <w:rFonts w:ascii="Times New Roman" w:hAnsi="Times New Roman" w:cs="Times New Roman"/>
          <w:sz w:val="24"/>
          <w:szCs w:val="24"/>
        </w:rPr>
      </w:pPr>
      <w:r w:rsidRPr="0084008F">
        <w:rPr>
          <w:rFonts w:ascii="Times New Roman" w:hAnsi="Times New Roman" w:cs="Times New Roman"/>
          <w:sz w:val="24"/>
          <w:szCs w:val="24"/>
        </w:rPr>
        <w:t xml:space="preserve">Dry coconut shells were collected from local agricultural sources, oil mills, and food processing outlets in Onne Village, Eleme LGA, Rivers State, Nigeria. The shells were sun-dried, pulverized, and incinerated in a graphite crucible using a diesel-powered furnace at temperatures ranging between 1200 °C and 1400 °C for two hours. After combustion, the ash was left to cool naturally within the crucible to prevent charcoal formation. The cooled </w:t>
      </w:r>
      <w:r w:rsidRPr="0084008F">
        <w:rPr>
          <w:rFonts w:ascii="Times New Roman" w:hAnsi="Times New Roman" w:cs="Times New Roman"/>
          <w:sz w:val="24"/>
          <w:szCs w:val="24"/>
        </w:rPr>
        <w:lastRenderedPageBreak/>
        <w:t xml:space="preserve">residue was sieved through a 75 µm (No. 200) sieve, and the fraction passing was used as the final CSA. X-ray fluorescence (XRF) analysis revealed the oxide composition as: </w:t>
      </w:r>
      <w:proofErr w:type="spellStart"/>
      <w:r w:rsidRPr="0084008F">
        <w:rPr>
          <w:rFonts w:ascii="Times New Roman" w:hAnsi="Times New Roman" w:cs="Times New Roman"/>
          <w:sz w:val="24"/>
          <w:szCs w:val="24"/>
        </w:rPr>
        <w:t>SiO</w:t>
      </w:r>
      <w:proofErr w:type="spellEnd"/>
      <w:r w:rsidRPr="0084008F">
        <w:rPr>
          <w:rFonts w:ascii="Times New Roman" w:hAnsi="Times New Roman" w:cs="Times New Roman"/>
          <w:sz w:val="24"/>
          <w:szCs w:val="24"/>
        </w:rPr>
        <w:t xml:space="preserve">₂ (37.91%), </w:t>
      </w:r>
      <w:proofErr w:type="spellStart"/>
      <w:r w:rsidRPr="0084008F">
        <w:rPr>
          <w:rFonts w:ascii="Times New Roman" w:hAnsi="Times New Roman" w:cs="Times New Roman"/>
          <w:sz w:val="24"/>
          <w:szCs w:val="24"/>
        </w:rPr>
        <w:t>Al₂O</w:t>
      </w:r>
      <w:proofErr w:type="spellEnd"/>
      <w:r w:rsidRPr="0084008F">
        <w:rPr>
          <w:rFonts w:ascii="Times New Roman" w:hAnsi="Times New Roman" w:cs="Times New Roman"/>
          <w:sz w:val="24"/>
          <w:szCs w:val="24"/>
        </w:rPr>
        <w:t xml:space="preserve">₃ (24.13%), </w:t>
      </w:r>
      <w:proofErr w:type="spellStart"/>
      <w:r w:rsidRPr="0084008F">
        <w:rPr>
          <w:rFonts w:ascii="Times New Roman" w:hAnsi="Times New Roman" w:cs="Times New Roman"/>
          <w:sz w:val="24"/>
          <w:szCs w:val="24"/>
        </w:rPr>
        <w:t>Fe₂O</w:t>
      </w:r>
      <w:proofErr w:type="spellEnd"/>
      <w:r w:rsidRPr="0084008F">
        <w:rPr>
          <w:rFonts w:ascii="Times New Roman" w:hAnsi="Times New Roman" w:cs="Times New Roman"/>
          <w:sz w:val="24"/>
          <w:szCs w:val="24"/>
        </w:rPr>
        <w:t>₃ (15.41%), with a Loss on Ignition (LOI) of 11.93% and SO₃ content of 0.72%</w:t>
      </w:r>
      <w:r>
        <w:rPr>
          <w:rFonts w:ascii="Times New Roman" w:hAnsi="Times New Roman" w:cs="Times New Roman"/>
          <w:sz w:val="24"/>
          <w:szCs w:val="24"/>
        </w:rPr>
        <w:t>.</w:t>
      </w:r>
    </w:p>
    <w:p w14:paraId="4F10F189" w14:textId="7D368314" w:rsidR="0084008F" w:rsidRDefault="0084008F" w:rsidP="006E1535">
      <w:pPr>
        <w:spacing w:line="240" w:lineRule="auto"/>
        <w:jc w:val="both"/>
        <w:rPr>
          <w:rFonts w:ascii="Times New Roman" w:hAnsi="Times New Roman" w:cs="Times New Roman"/>
          <w:b/>
          <w:bCs/>
          <w:sz w:val="24"/>
          <w:szCs w:val="24"/>
        </w:rPr>
      </w:pPr>
      <w:r w:rsidRPr="0084008F">
        <w:rPr>
          <w:rFonts w:ascii="Times New Roman" w:hAnsi="Times New Roman" w:cs="Times New Roman"/>
          <w:b/>
          <w:bCs/>
          <w:sz w:val="24"/>
          <w:szCs w:val="24"/>
        </w:rPr>
        <w:t>ii</w:t>
      </w:r>
      <w:r w:rsidRPr="0084008F">
        <w:rPr>
          <w:rFonts w:ascii="Times New Roman" w:hAnsi="Times New Roman" w:cs="Times New Roman"/>
          <w:b/>
          <w:bCs/>
          <w:sz w:val="24"/>
          <w:szCs w:val="24"/>
        </w:rPr>
        <w:tab/>
        <w:t>Fine Aggregate (Sand)</w:t>
      </w:r>
    </w:p>
    <w:p w14:paraId="2BC6C82B" w14:textId="12466B48" w:rsidR="0084008F" w:rsidRDefault="005F6ACE" w:rsidP="0084008F">
      <w:pPr>
        <w:spacing w:line="480" w:lineRule="auto"/>
        <w:jc w:val="both"/>
        <w:rPr>
          <w:rFonts w:ascii="Times New Roman" w:hAnsi="Times New Roman" w:cs="Times New Roman"/>
          <w:sz w:val="24"/>
          <w:szCs w:val="24"/>
        </w:rPr>
      </w:pPr>
      <w:r w:rsidRPr="005F6ACE">
        <w:rPr>
          <w:rFonts w:ascii="Times New Roman" w:hAnsi="Times New Roman" w:cs="Times New Roman"/>
          <w:sz w:val="24"/>
          <w:szCs w:val="24"/>
        </w:rPr>
        <w:t>Fine aggregate used in this study was dredged from the Federal Ocean Terminal (FOT) area and washed at the PRODECO batching plant, Onne, Rivers State. Particle sizes ranged from 0.074 mm to 4.76 mm, and gradation analysis classified it as uniformly graded per ASTM D2487 (2011). The average bulk density was measured at 1666.67 kg/m³, which falls within the acceptable range of 1200–1750 kg/m³ specified by BS 812 Part 2 and ASTM C29M for normal weight concrete</w:t>
      </w:r>
      <w:r>
        <w:rPr>
          <w:rFonts w:ascii="Times New Roman" w:hAnsi="Times New Roman" w:cs="Times New Roman"/>
          <w:sz w:val="24"/>
          <w:szCs w:val="24"/>
        </w:rPr>
        <w:t>.</w:t>
      </w:r>
    </w:p>
    <w:p w14:paraId="1AA702F9" w14:textId="69DC2942" w:rsidR="005F6ACE" w:rsidRDefault="005F6ACE" w:rsidP="006E1535">
      <w:pPr>
        <w:spacing w:line="240" w:lineRule="auto"/>
        <w:jc w:val="both"/>
        <w:rPr>
          <w:rFonts w:ascii="Times New Roman" w:hAnsi="Times New Roman" w:cs="Times New Roman"/>
          <w:b/>
          <w:bCs/>
          <w:sz w:val="24"/>
          <w:szCs w:val="24"/>
        </w:rPr>
      </w:pPr>
      <w:r w:rsidRPr="005F6ACE">
        <w:rPr>
          <w:rFonts w:ascii="Times New Roman" w:hAnsi="Times New Roman" w:cs="Times New Roman"/>
          <w:b/>
          <w:bCs/>
          <w:sz w:val="24"/>
          <w:szCs w:val="24"/>
        </w:rPr>
        <w:t>iii</w:t>
      </w:r>
      <w:r w:rsidRPr="005F6ACE">
        <w:rPr>
          <w:rFonts w:ascii="Times New Roman" w:hAnsi="Times New Roman" w:cs="Times New Roman"/>
          <w:b/>
          <w:bCs/>
          <w:sz w:val="24"/>
          <w:szCs w:val="24"/>
        </w:rPr>
        <w:tab/>
        <w:t>Coarse Aggregates</w:t>
      </w:r>
    </w:p>
    <w:p w14:paraId="15EDCBF0" w14:textId="281F9FEE" w:rsidR="005F6ACE" w:rsidRDefault="006E1535" w:rsidP="0084008F">
      <w:pPr>
        <w:spacing w:line="480" w:lineRule="auto"/>
        <w:jc w:val="both"/>
        <w:rPr>
          <w:rFonts w:ascii="Times New Roman" w:hAnsi="Times New Roman" w:cs="Times New Roman"/>
          <w:sz w:val="24"/>
          <w:szCs w:val="24"/>
        </w:rPr>
      </w:pPr>
      <w:r w:rsidRPr="006E1535">
        <w:rPr>
          <w:rFonts w:ascii="Times New Roman" w:hAnsi="Times New Roman" w:cs="Times New Roman"/>
          <w:sz w:val="24"/>
          <w:szCs w:val="24"/>
        </w:rPr>
        <w:t>Granite chippings of two nominal sizes</w:t>
      </w:r>
      <w:r>
        <w:rPr>
          <w:rFonts w:ascii="Times New Roman" w:hAnsi="Times New Roman" w:cs="Times New Roman"/>
          <w:sz w:val="24"/>
          <w:szCs w:val="24"/>
        </w:rPr>
        <w:t xml:space="preserve">, </w:t>
      </w:r>
      <w:r w:rsidRPr="006E1535">
        <w:rPr>
          <w:rFonts w:ascii="Times New Roman" w:hAnsi="Times New Roman" w:cs="Times New Roman"/>
          <w:sz w:val="24"/>
          <w:szCs w:val="24"/>
        </w:rPr>
        <w:t>5–15 mm and 15–22 mm</w:t>
      </w:r>
      <w:r>
        <w:rPr>
          <w:rFonts w:ascii="Times New Roman" w:hAnsi="Times New Roman" w:cs="Times New Roman"/>
          <w:sz w:val="24"/>
          <w:szCs w:val="24"/>
        </w:rPr>
        <w:t xml:space="preserve">, </w:t>
      </w:r>
      <w:r w:rsidRPr="006E1535">
        <w:rPr>
          <w:rFonts w:ascii="Times New Roman" w:hAnsi="Times New Roman" w:cs="Times New Roman"/>
          <w:sz w:val="24"/>
          <w:szCs w:val="24"/>
        </w:rPr>
        <w:t xml:space="preserve">were sourced from the INTELS quarry in </w:t>
      </w:r>
      <w:proofErr w:type="spellStart"/>
      <w:r w:rsidRPr="006E1535">
        <w:rPr>
          <w:rFonts w:ascii="Times New Roman" w:hAnsi="Times New Roman" w:cs="Times New Roman"/>
          <w:sz w:val="24"/>
          <w:szCs w:val="24"/>
        </w:rPr>
        <w:t>Akamkpa</w:t>
      </w:r>
      <w:proofErr w:type="spellEnd"/>
      <w:r w:rsidRPr="006E1535">
        <w:rPr>
          <w:rFonts w:ascii="Times New Roman" w:hAnsi="Times New Roman" w:cs="Times New Roman"/>
          <w:sz w:val="24"/>
          <w:szCs w:val="24"/>
        </w:rPr>
        <w:t>, Cross River State. Particle size analysis revealed ranges of 1.19–12.7 mm for the 5–15 mm aggregate and 2.36–20 mm for the 15–22 mm aggregate. Both sizes exhibited dense gradation. Bulk density values were 1552.33 kg/m³ and 1543.67 kg/m³ for the smaller and larger aggregates, respectively</w:t>
      </w:r>
      <w:r>
        <w:rPr>
          <w:rFonts w:ascii="Times New Roman" w:hAnsi="Times New Roman" w:cs="Times New Roman"/>
          <w:sz w:val="24"/>
          <w:szCs w:val="24"/>
        </w:rPr>
        <w:t xml:space="preserve">, </w:t>
      </w:r>
      <w:r w:rsidRPr="006E1535">
        <w:rPr>
          <w:rFonts w:ascii="Times New Roman" w:hAnsi="Times New Roman" w:cs="Times New Roman"/>
          <w:sz w:val="24"/>
          <w:szCs w:val="24"/>
        </w:rPr>
        <w:t>complying with BS 812 Part 2 and ASTM C29M specifications for normal weight concrete.</w:t>
      </w:r>
    </w:p>
    <w:p w14:paraId="284AF4DF" w14:textId="35A1B19C" w:rsidR="006E1535" w:rsidRDefault="006E1535" w:rsidP="006E1535">
      <w:pPr>
        <w:spacing w:line="240" w:lineRule="auto"/>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sidRPr="006E1535">
        <w:rPr>
          <w:rFonts w:ascii="Times New Roman" w:hAnsi="Times New Roman" w:cs="Times New Roman"/>
          <w:b/>
          <w:bCs/>
          <w:sz w:val="24"/>
          <w:szCs w:val="24"/>
        </w:rPr>
        <w:t>Cement</w:t>
      </w:r>
    </w:p>
    <w:p w14:paraId="5F2B04EE" w14:textId="4B423277" w:rsidR="006E1535" w:rsidRDefault="006E1535" w:rsidP="0084008F">
      <w:pPr>
        <w:spacing w:line="480" w:lineRule="auto"/>
        <w:jc w:val="both"/>
        <w:rPr>
          <w:rFonts w:ascii="Times New Roman" w:hAnsi="Times New Roman" w:cs="Times New Roman"/>
          <w:sz w:val="24"/>
          <w:szCs w:val="24"/>
        </w:rPr>
      </w:pPr>
      <w:r w:rsidRPr="006E1535">
        <w:rPr>
          <w:rFonts w:ascii="Times New Roman" w:hAnsi="Times New Roman" w:cs="Times New Roman"/>
          <w:sz w:val="24"/>
          <w:szCs w:val="24"/>
        </w:rPr>
        <w:t>Dangote 42.5R grade ordinary Portland cement (OPC), conforming to the standards of BS EN 197-1:2000, was used as the primary binder. The cement was procured locally within Nigeria</w:t>
      </w:r>
    </w:p>
    <w:p w14:paraId="7190219A" w14:textId="77777777" w:rsidR="009C6E87" w:rsidRDefault="009C6E87" w:rsidP="006E1535">
      <w:pPr>
        <w:spacing w:line="240" w:lineRule="auto"/>
        <w:jc w:val="both"/>
        <w:rPr>
          <w:rFonts w:ascii="Times New Roman" w:hAnsi="Times New Roman" w:cs="Times New Roman"/>
          <w:sz w:val="24"/>
          <w:szCs w:val="24"/>
        </w:rPr>
      </w:pPr>
    </w:p>
    <w:p w14:paraId="416617BE" w14:textId="77777777" w:rsidR="009C6E87" w:rsidRDefault="009C6E87" w:rsidP="006E1535">
      <w:pPr>
        <w:spacing w:line="240" w:lineRule="auto"/>
        <w:jc w:val="both"/>
        <w:rPr>
          <w:rFonts w:ascii="Times New Roman" w:hAnsi="Times New Roman" w:cs="Times New Roman"/>
          <w:sz w:val="24"/>
          <w:szCs w:val="24"/>
        </w:rPr>
      </w:pPr>
    </w:p>
    <w:p w14:paraId="04A9A52D" w14:textId="77777777" w:rsidR="009C6E87" w:rsidRDefault="009C6E87" w:rsidP="006E1535">
      <w:pPr>
        <w:spacing w:line="240" w:lineRule="auto"/>
        <w:jc w:val="both"/>
        <w:rPr>
          <w:rFonts w:ascii="Times New Roman" w:hAnsi="Times New Roman" w:cs="Times New Roman"/>
          <w:sz w:val="24"/>
          <w:szCs w:val="24"/>
        </w:rPr>
      </w:pPr>
    </w:p>
    <w:p w14:paraId="460FA4DA" w14:textId="4B030A90" w:rsidR="006E1535" w:rsidRDefault="006E1535" w:rsidP="006E1535">
      <w:pPr>
        <w:spacing w:line="24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v</w:t>
      </w:r>
      <w:r>
        <w:rPr>
          <w:rFonts w:ascii="Times New Roman" w:hAnsi="Times New Roman" w:cs="Times New Roman"/>
          <w:sz w:val="24"/>
          <w:szCs w:val="24"/>
        </w:rPr>
        <w:tab/>
      </w:r>
      <w:r w:rsidRPr="006E1535">
        <w:rPr>
          <w:rFonts w:ascii="Times New Roman" w:hAnsi="Times New Roman" w:cs="Times New Roman"/>
          <w:b/>
          <w:bCs/>
          <w:sz w:val="24"/>
          <w:szCs w:val="24"/>
        </w:rPr>
        <w:t>Water</w:t>
      </w:r>
    </w:p>
    <w:p w14:paraId="449F26EE" w14:textId="3D634256" w:rsidR="006E1535" w:rsidRDefault="006E1535" w:rsidP="0084008F">
      <w:pPr>
        <w:spacing w:line="480" w:lineRule="auto"/>
        <w:jc w:val="both"/>
        <w:rPr>
          <w:rFonts w:ascii="Times New Roman" w:hAnsi="Times New Roman" w:cs="Times New Roman"/>
          <w:sz w:val="24"/>
          <w:szCs w:val="24"/>
        </w:rPr>
      </w:pPr>
      <w:r w:rsidRPr="006E1535">
        <w:rPr>
          <w:rFonts w:ascii="Times New Roman" w:hAnsi="Times New Roman" w:cs="Times New Roman"/>
          <w:sz w:val="24"/>
          <w:szCs w:val="24"/>
        </w:rPr>
        <w:t>Clean, potable water obtained from the INTELS water treatment plant at FOT, Onne, was used throughout the study for both mixing and curing processes. The water met standard requirements for use in concrete production</w:t>
      </w:r>
      <w:r>
        <w:rPr>
          <w:rFonts w:ascii="Times New Roman" w:hAnsi="Times New Roman" w:cs="Times New Roman"/>
          <w:sz w:val="24"/>
          <w:szCs w:val="24"/>
        </w:rPr>
        <w:t>.</w:t>
      </w:r>
    </w:p>
    <w:p w14:paraId="29E92061" w14:textId="2A600C91" w:rsidR="006E1535" w:rsidRDefault="006E1535" w:rsidP="00CB30AA">
      <w:pPr>
        <w:spacing w:line="240" w:lineRule="auto"/>
        <w:jc w:val="both"/>
        <w:rPr>
          <w:rFonts w:ascii="Times New Roman" w:hAnsi="Times New Roman" w:cs="Times New Roman"/>
          <w:b/>
          <w:bCs/>
          <w:sz w:val="24"/>
          <w:szCs w:val="24"/>
        </w:rPr>
      </w:pPr>
      <w:r w:rsidRPr="006E1535">
        <w:rPr>
          <w:rFonts w:ascii="Times New Roman" w:hAnsi="Times New Roman" w:cs="Times New Roman"/>
          <w:b/>
          <w:bCs/>
          <w:sz w:val="24"/>
          <w:szCs w:val="24"/>
        </w:rPr>
        <w:t>2.2</w:t>
      </w:r>
      <w:r w:rsidRPr="006E1535">
        <w:rPr>
          <w:rFonts w:ascii="Times New Roman" w:hAnsi="Times New Roman" w:cs="Times New Roman"/>
          <w:b/>
          <w:bCs/>
          <w:sz w:val="24"/>
          <w:szCs w:val="24"/>
        </w:rPr>
        <w:tab/>
        <w:t>Methods</w:t>
      </w:r>
    </w:p>
    <w:p w14:paraId="350C0333" w14:textId="5B6B6406" w:rsidR="00CB30AA" w:rsidRPr="00DC368D" w:rsidRDefault="00CB30AA" w:rsidP="00CB30AA">
      <w:pPr>
        <w:tabs>
          <w:tab w:val="left" w:pos="1785"/>
        </w:tabs>
        <w:spacing w:line="240" w:lineRule="auto"/>
        <w:ind w:left="720" w:hanging="720"/>
        <w:jc w:val="both"/>
        <w:rPr>
          <w:rFonts w:ascii="Times New Roman" w:hAnsi="Times New Roman" w:cs="Times New Roman"/>
          <w:b/>
          <w:bCs/>
          <w:sz w:val="24"/>
          <w:szCs w:val="24"/>
        </w:rPr>
      </w:pPr>
      <w:r w:rsidRPr="00DC368D">
        <w:rPr>
          <w:rFonts w:ascii="Times New Roman" w:hAnsi="Times New Roman" w:cs="Times New Roman"/>
          <w:b/>
          <w:bCs/>
          <w:sz w:val="24"/>
          <w:szCs w:val="24"/>
        </w:rPr>
        <w:t>2.2.1</w:t>
      </w:r>
      <w:r w:rsidRPr="00DC368D">
        <w:rPr>
          <w:rFonts w:ascii="Times New Roman" w:hAnsi="Times New Roman" w:cs="Times New Roman"/>
          <w:b/>
          <w:bCs/>
          <w:sz w:val="24"/>
          <w:szCs w:val="24"/>
        </w:rPr>
        <w:tab/>
      </w:r>
      <w:r>
        <w:rPr>
          <w:rFonts w:ascii="Times New Roman" w:hAnsi="Times New Roman" w:cs="Times New Roman"/>
          <w:b/>
          <w:bCs/>
          <w:sz w:val="24"/>
          <w:szCs w:val="24"/>
        </w:rPr>
        <w:t xml:space="preserve">CSA-Concrete Mix </w:t>
      </w:r>
      <w:r w:rsidRPr="00DC368D">
        <w:rPr>
          <w:rFonts w:ascii="Times New Roman" w:hAnsi="Times New Roman" w:cs="Times New Roman"/>
          <w:b/>
          <w:bCs/>
          <w:sz w:val="24"/>
          <w:szCs w:val="24"/>
        </w:rPr>
        <w:t>Proportioning</w:t>
      </w:r>
      <w:r>
        <w:rPr>
          <w:rFonts w:ascii="Times New Roman" w:hAnsi="Times New Roman" w:cs="Times New Roman"/>
          <w:b/>
          <w:bCs/>
          <w:sz w:val="24"/>
          <w:szCs w:val="24"/>
        </w:rPr>
        <w:t xml:space="preserve"> and Production</w:t>
      </w:r>
    </w:p>
    <w:p w14:paraId="28E39644" w14:textId="0E9346DD" w:rsidR="00CB30AA" w:rsidRDefault="00CB30AA" w:rsidP="00CB30AA">
      <w:pPr>
        <w:spacing w:line="480" w:lineRule="auto"/>
        <w:ind w:hanging="11"/>
        <w:jc w:val="both"/>
        <w:rPr>
          <w:rFonts w:ascii="Times New Roman" w:hAnsi="Times New Roman" w:cs="Times New Roman"/>
          <w:sz w:val="24"/>
          <w:szCs w:val="24"/>
        </w:rPr>
      </w:pPr>
      <w:r w:rsidRPr="00CB30AA">
        <w:rPr>
          <w:rFonts w:ascii="Times New Roman" w:hAnsi="Times New Roman" w:cs="Times New Roman"/>
          <w:sz w:val="24"/>
          <w:szCs w:val="24"/>
        </w:rPr>
        <w:t>A standard concrete mix ratio of 1:2:4 (cement: sand: coarse aggregate) was used for all batches, maintaining a fixed water-to-cement (W/C) ratio of 0.5. Ordinary Portland cement was partially substituted with CSA at replacement rates of 0%, 10%, 20%, and 30%. Before mixing, the moisture content of the sand was determined to ensure precise adjustment of the mixing water. To enhance aggregate gradation, the coarse aggregates were combined in a 2:1 ratio</w:t>
      </w:r>
      <w:r>
        <w:rPr>
          <w:rFonts w:ascii="Times New Roman" w:hAnsi="Times New Roman" w:cs="Times New Roman"/>
          <w:sz w:val="24"/>
          <w:szCs w:val="24"/>
        </w:rPr>
        <w:t xml:space="preserve">, </w:t>
      </w:r>
      <w:r w:rsidRPr="00CB30AA">
        <w:rPr>
          <w:rFonts w:ascii="Times New Roman" w:hAnsi="Times New Roman" w:cs="Times New Roman"/>
          <w:sz w:val="24"/>
          <w:szCs w:val="24"/>
        </w:rPr>
        <w:t>two parts of 5–15 mm chippings to one part of 15–22 mm chippings. Concrete specimens were cured and tested at 14 different intervals: 3, 7, 14, 21, 28, 35, 42, 49, 56, 63, 70, 77, 84, and 91 days. A total of 224 specimens were cast, with four samples prepared for each level of CSA replacement, including the control mix (0% CSA). Table 1 details the mix proportions of the CSA-blended cement samples, while Figure 1 shows the CSA-blended concrete in cube molds</w:t>
      </w:r>
      <w:r>
        <w:rPr>
          <w:rFonts w:ascii="Times New Roman" w:hAnsi="Times New Roman" w:cs="Times New Roman"/>
          <w:sz w:val="24"/>
          <w:szCs w:val="24"/>
        </w:rPr>
        <w:t>.</w:t>
      </w:r>
    </w:p>
    <w:p w14:paraId="3E088745" w14:textId="77777777" w:rsidR="00CB30AA" w:rsidRDefault="00CB30AA" w:rsidP="00CB30A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Table 1: Mix proportioning of CSA-cement concrete sample for a cube size of 150 x 150 x 150mm.</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90"/>
        <w:gridCol w:w="990"/>
        <w:gridCol w:w="950"/>
        <w:gridCol w:w="765"/>
        <w:gridCol w:w="844"/>
        <w:gridCol w:w="746"/>
        <w:gridCol w:w="773"/>
        <w:gridCol w:w="898"/>
        <w:gridCol w:w="1190"/>
        <w:gridCol w:w="1070"/>
      </w:tblGrid>
      <w:tr w:rsidR="00CB30AA" w14:paraId="280CD83E" w14:textId="77777777" w:rsidTr="00666312">
        <w:tc>
          <w:tcPr>
            <w:tcW w:w="790" w:type="dxa"/>
            <w:tcBorders>
              <w:top w:val="single" w:sz="4" w:space="0" w:color="auto"/>
              <w:bottom w:val="single" w:sz="4" w:space="0" w:color="auto"/>
            </w:tcBorders>
          </w:tcPr>
          <w:p w14:paraId="683A305D"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S/No</w:t>
            </w:r>
          </w:p>
        </w:tc>
        <w:tc>
          <w:tcPr>
            <w:tcW w:w="990" w:type="dxa"/>
            <w:tcBorders>
              <w:top w:val="single" w:sz="4" w:space="0" w:color="auto"/>
              <w:bottom w:val="single" w:sz="4" w:space="0" w:color="auto"/>
            </w:tcBorders>
          </w:tcPr>
          <w:p w14:paraId="1B5E58DF"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MIX</w:t>
            </w:r>
          </w:p>
          <w:p w14:paraId="0D842ADF"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LABEL</w:t>
            </w:r>
          </w:p>
          <w:p w14:paraId="226D67E8" w14:textId="77777777" w:rsidR="00CB30AA" w:rsidRPr="00200B89" w:rsidRDefault="00CB30AA" w:rsidP="00666312">
            <w:pPr>
              <w:jc w:val="both"/>
              <w:rPr>
                <w:rFonts w:ascii="Times New Roman" w:hAnsi="Times New Roman" w:cs="Times New Roman"/>
                <w:sz w:val="24"/>
                <w:szCs w:val="24"/>
              </w:rPr>
            </w:pPr>
          </w:p>
        </w:tc>
        <w:tc>
          <w:tcPr>
            <w:tcW w:w="950" w:type="dxa"/>
            <w:tcBorders>
              <w:top w:val="single" w:sz="4" w:space="0" w:color="auto"/>
              <w:bottom w:val="single" w:sz="4" w:space="0" w:color="auto"/>
            </w:tcBorders>
          </w:tcPr>
          <w:p w14:paraId="5A380047"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MIX</w:t>
            </w:r>
          </w:p>
          <w:p w14:paraId="316F8B32"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RATIO</w:t>
            </w:r>
          </w:p>
        </w:tc>
        <w:tc>
          <w:tcPr>
            <w:tcW w:w="765" w:type="dxa"/>
            <w:tcBorders>
              <w:top w:val="single" w:sz="4" w:space="0" w:color="auto"/>
              <w:bottom w:val="single" w:sz="4" w:space="0" w:color="auto"/>
            </w:tcBorders>
          </w:tcPr>
          <w:p w14:paraId="1F3BCA1E" w14:textId="77777777" w:rsidR="00CB30AA" w:rsidRPr="00200B89" w:rsidRDefault="00CB30AA" w:rsidP="00666312">
            <w:pPr>
              <w:jc w:val="both"/>
              <w:rPr>
                <w:rFonts w:ascii="Times New Roman" w:hAnsi="Times New Roman" w:cs="Times New Roman"/>
                <w:sz w:val="24"/>
                <w:szCs w:val="24"/>
              </w:rPr>
            </w:pPr>
          </w:p>
          <w:p w14:paraId="53C5A947"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W/C</w:t>
            </w:r>
          </w:p>
        </w:tc>
        <w:tc>
          <w:tcPr>
            <w:tcW w:w="844" w:type="dxa"/>
            <w:tcBorders>
              <w:top w:val="single" w:sz="4" w:space="0" w:color="auto"/>
              <w:bottom w:val="single" w:sz="4" w:space="0" w:color="auto"/>
            </w:tcBorders>
          </w:tcPr>
          <w:p w14:paraId="60FBF477"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 REPL</w:t>
            </w:r>
          </w:p>
          <w:p w14:paraId="3CDE53BF"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Of CSA</w:t>
            </w:r>
          </w:p>
        </w:tc>
        <w:tc>
          <w:tcPr>
            <w:tcW w:w="746" w:type="dxa"/>
            <w:tcBorders>
              <w:top w:val="single" w:sz="4" w:space="0" w:color="auto"/>
              <w:bottom w:val="single" w:sz="4" w:space="0" w:color="auto"/>
            </w:tcBorders>
          </w:tcPr>
          <w:p w14:paraId="383F8A0C"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WT OF PC</w:t>
            </w:r>
          </w:p>
          <w:p w14:paraId="789FC905"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(kg)</w:t>
            </w:r>
          </w:p>
        </w:tc>
        <w:tc>
          <w:tcPr>
            <w:tcW w:w="773" w:type="dxa"/>
            <w:tcBorders>
              <w:top w:val="single" w:sz="4" w:space="0" w:color="auto"/>
              <w:bottom w:val="single" w:sz="4" w:space="0" w:color="auto"/>
            </w:tcBorders>
          </w:tcPr>
          <w:p w14:paraId="24EFBCC7"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WT OF CSA</w:t>
            </w:r>
          </w:p>
          <w:p w14:paraId="1C29F0CB"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(kg)</w:t>
            </w:r>
          </w:p>
        </w:tc>
        <w:tc>
          <w:tcPr>
            <w:tcW w:w="898" w:type="dxa"/>
            <w:tcBorders>
              <w:top w:val="single" w:sz="4" w:space="0" w:color="auto"/>
              <w:bottom w:val="single" w:sz="4" w:space="0" w:color="auto"/>
            </w:tcBorders>
          </w:tcPr>
          <w:p w14:paraId="10074EB3"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 xml:space="preserve">WTOF SAND </w:t>
            </w:r>
          </w:p>
          <w:p w14:paraId="0362F04A" w14:textId="77777777" w:rsidR="00CB30AA" w:rsidRPr="00200B89" w:rsidRDefault="00CB30AA" w:rsidP="00666312">
            <w:pPr>
              <w:jc w:val="both"/>
              <w:rPr>
                <w:rFonts w:ascii="Times New Roman" w:hAnsi="Times New Roman" w:cs="Times New Roman"/>
                <w:sz w:val="24"/>
                <w:szCs w:val="24"/>
              </w:rPr>
            </w:pPr>
          </w:p>
          <w:p w14:paraId="05A8F066"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(kg)</w:t>
            </w:r>
          </w:p>
        </w:tc>
        <w:tc>
          <w:tcPr>
            <w:tcW w:w="1190" w:type="dxa"/>
            <w:tcBorders>
              <w:top w:val="single" w:sz="4" w:space="0" w:color="auto"/>
              <w:bottom w:val="single" w:sz="4" w:space="0" w:color="auto"/>
            </w:tcBorders>
          </w:tcPr>
          <w:p w14:paraId="3D1B1E4B"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 xml:space="preserve">WT OF </w:t>
            </w:r>
          </w:p>
          <w:p w14:paraId="546607A6"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GRAVEL</w:t>
            </w:r>
          </w:p>
          <w:p w14:paraId="6940546D" w14:textId="77777777" w:rsidR="00CB30AA" w:rsidRPr="00200B89" w:rsidRDefault="00CB30AA" w:rsidP="00666312">
            <w:pPr>
              <w:jc w:val="both"/>
              <w:rPr>
                <w:rFonts w:ascii="Times New Roman" w:hAnsi="Times New Roman" w:cs="Times New Roman"/>
                <w:sz w:val="24"/>
                <w:szCs w:val="24"/>
              </w:rPr>
            </w:pPr>
          </w:p>
          <w:p w14:paraId="63F3D3BB"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(kg)</w:t>
            </w:r>
          </w:p>
        </w:tc>
        <w:tc>
          <w:tcPr>
            <w:tcW w:w="1070" w:type="dxa"/>
            <w:tcBorders>
              <w:top w:val="single" w:sz="4" w:space="0" w:color="auto"/>
              <w:bottom w:val="single" w:sz="4" w:space="0" w:color="auto"/>
            </w:tcBorders>
          </w:tcPr>
          <w:p w14:paraId="1C0E899F"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 xml:space="preserve">WT </w:t>
            </w:r>
          </w:p>
          <w:p w14:paraId="74C266AF"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 xml:space="preserve">OF </w:t>
            </w:r>
          </w:p>
          <w:p w14:paraId="60EA442E"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WATER</w:t>
            </w:r>
          </w:p>
          <w:p w14:paraId="16467540" w14:textId="77777777" w:rsidR="00CB30AA" w:rsidRPr="00200B89" w:rsidRDefault="00CB30AA" w:rsidP="00666312">
            <w:pPr>
              <w:jc w:val="both"/>
              <w:rPr>
                <w:rFonts w:ascii="Times New Roman" w:hAnsi="Times New Roman" w:cs="Times New Roman"/>
                <w:sz w:val="24"/>
                <w:szCs w:val="24"/>
              </w:rPr>
            </w:pPr>
            <w:r w:rsidRPr="00200B89">
              <w:rPr>
                <w:rFonts w:ascii="Times New Roman" w:hAnsi="Times New Roman" w:cs="Times New Roman"/>
                <w:sz w:val="24"/>
                <w:szCs w:val="24"/>
              </w:rPr>
              <w:t xml:space="preserve">(kg) </w:t>
            </w:r>
          </w:p>
        </w:tc>
      </w:tr>
      <w:tr w:rsidR="00CB30AA" w14:paraId="5C0FB379" w14:textId="77777777" w:rsidTr="00666312">
        <w:tc>
          <w:tcPr>
            <w:tcW w:w="790" w:type="dxa"/>
            <w:tcBorders>
              <w:top w:val="single" w:sz="4" w:space="0" w:color="auto"/>
            </w:tcBorders>
          </w:tcPr>
          <w:p w14:paraId="0FD07AA6"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auto"/>
            </w:tcBorders>
          </w:tcPr>
          <w:p w14:paraId="4BFDE7A7"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A</w:t>
            </w:r>
          </w:p>
        </w:tc>
        <w:tc>
          <w:tcPr>
            <w:tcW w:w="950" w:type="dxa"/>
            <w:vMerge w:val="restart"/>
            <w:tcBorders>
              <w:top w:val="single" w:sz="4" w:space="0" w:color="auto"/>
            </w:tcBorders>
          </w:tcPr>
          <w:p w14:paraId="66ACD818" w14:textId="77777777" w:rsidR="00CB30AA" w:rsidRDefault="00CB30AA" w:rsidP="00666312">
            <w:pPr>
              <w:spacing w:line="480" w:lineRule="auto"/>
              <w:jc w:val="both"/>
              <w:rPr>
                <w:rFonts w:ascii="Times New Roman" w:hAnsi="Times New Roman" w:cs="Times New Roman"/>
                <w:sz w:val="24"/>
                <w:szCs w:val="24"/>
              </w:rPr>
            </w:pPr>
          </w:p>
          <w:p w14:paraId="0FEAF62D" w14:textId="77777777" w:rsidR="00CB30AA" w:rsidRDefault="00CB30AA" w:rsidP="00666312">
            <w:pPr>
              <w:spacing w:line="480" w:lineRule="auto"/>
              <w:jc w:val="both"/>
              <w:rPr>
                <w:rFonts w:ascii="Times New Roman" w:hAnsi="Times New Roman" w:cs="Times New Roman"/>
                <w:sz w:val="24"/>
                <w:szCs w:val="24"/>
              </w:rPr>
            </w:pPr>
          </w:p>
          <w:p w14:paraId="43F2CD93"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765" w:type="dxa"/>
            <w:vMerge w:val="restart"/>
            <w:tcBorders>
              <w:top w:val="single" w:sz="4" w:space="0" w:color="auto"/>
            </w:tcBorders>
          </w:tcPr>
          <w:p w14:paraId="54C56734" w14:textId="77777777" w:rsidR="00CB30AA" w:rsidRDefault="00CB30AA" w:rsidP="00666312">
            <w:pPr>
              <w:spacing w:line="480" w:lineRule="auto"/>
              <w:jc w:val="both"/>
              <w:rPr>
                <w:rFonts w:ascii="Times New Roman" w:hAnsi="Times New Roman" w:cs="Times New Roman"/>
                <w:sz w:val="24"/>
                <w:szCs w:val="24"/>
              </w:rPr>
            </w:pPr>
          </w:p>
          <w:p w14:paraId="341517D3" w14:textId="77777777" w:rsidR="00CB30AA" w:rsidRDefault="00CB30AA" w:rsidP="00666312">
            <w:pPr>
              <w:spacing w:line="480" w:lineRule="auto"/>
              <w:jc w:val="both"/>
              <w:rPr>
                <w:rFonts w:ascii="Times New Roman" w:hAnsi="Times New Roman" w:cs="Times New Roman"/>
                <w:sz w:val="24"/>
                <w:szCs w:val="24"/>
              </w:rPr>
            </w:pPr>
          </w:p>
          <w:p w14:paraId="283FBCA4"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844" w:type="dxa"/>
            <w:tcBorders>
              <w:top w:val="single" w:sz="4" w:space="0" w:color="auto"/>
            </w:tcBorders>
          </w:tcPr>
          <w:p w14:paraId="3034A1E4"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46" w:type="dxa"/>
            <w:tcBorders>
              <w:top w:val="single" w:sz="4" w:space="0" w:color="auto"/>
            </w:tcBorders>
          </w:tcPr>
          <w:p w14:paraId="6E337826"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1.66</w:t>
            </w:r>
          </w:p>
        </w:tc>
        <w:tc>
          <w:tcPr>
            <w:tcW w:w="773" w:type="dxa"/>
            <w:tcBorders>
              <w:top w:val="single" w:sz="4" w:space="0" w:color="auto"/>
            </w:tcBorders>
          </w:tcPr>
          <w:p w14:paraId="47953F38"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898" w:type="dxa"/>
            <w:tcBorders>
              <w:top w:val="single" w:sz="4" w:space="0" w:color="auto"/>
            </w:tcBorders>
          </w:tcPr>
          <w:p w14:paraId="43A71319"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3.32</w:t>
            </w:r>
          </w:p>
        </w:tc>
        <w:tc>
          <w:tcPr>
            <w:tcW w:w="1190" w:type="dxa"/>
            <w:tcBorders>
              <w:top w:val="single" w:sz="4" w:space="0" w:color="auto"/>
            </w:tcBorders>
          </w:tcPr>
          <w:p w14:paraId="7B94720E"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6.65</w:t>
            </w:r>
          </w:p>
        </w:tc>
        <w:tc>
          <w:tcPr>
            <w:tcW w:w="1070" w:type="dxa"/>
            <w:tcBorders>
              <w:top w:val="single" w:sz="4" w:space="0" w:color="auto"/>
            </w:tcBorders>
          </w:tcPr>
          <w:p w14:paraId="08E88A56"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0.83</w:t>
            </w:r>
          </w:p>
        </w:tc>
      </w:tr>
      <w:tr w:rsidR="00CB30AA" w14:paraId="7F30D164" w14:textId="77777777" w:rsidTr="00666312">
        <w:tc>
          <w:tcPr>
            <w:tcW w:w="790" w:type="dxa"/>
          </w:tcPr>
          <w:p w14:paraId="61650591"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7B9378FE"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B</w:t>
            </w:r>
          </w:p>
        </w:tc>
        <w:tc>
          <w:tcPr>
            <w:tcW w:w="950" w:type="dxa"/>
            <w:vMerge/>
          </w:tcPr>
          <w:p w14:paraId="6395A900" w14:textId="77777777" w:rsidR="00CB30AA" w:rsidRPr="00200B89" w:rsidRDefault="00CB30AA" w:rsidP="00666312">
            <w:pPr>
              <w:spacing w:line="480" w:lineRule="auto"/>
              <w:jc w:val="both"/>
              <w:rPr>
                <w:rFonts w:ascii="Times New Roman" w:hAnsi="Times New Roman" w:cs="Times New Roman"/>
                <w:sz w:val="24"/>
                <w:szCs w:val="24"/>
              </w:rPr>
            </w:pPr>
          </w:p>
        </w:tc>
        <w:tc>
          <w:tcPr>
            <w:tcW w:w="765" w:type="dxa"/>
            <w:vMerge/>
          </w:tcPr>
          <w:p w14:paraId="7F81413C" w14:textId="77777777" w:rsidR="00CB30AA" w:rsidRPr="00200B89" w:rsidRDefault="00CB30AA" w:rsidP="00666312">
            <w:pPr>
              <w:spacing w:line="480" w:lineRule="auto"/>
              <w:jc w:val="both"/>
              <w:rPr>
                <w:rFonts w:ascii="Times New Roman" w:hAnsi="Times New Roman" w:cs="Times New Roman"/>
                <w:sz w:val="24"/>
                <w:szCs w:val="24"/>
              </w:rPr>
            </w:pPr>
          </w:p>
        </w:tc>
        <w:tc>
          <w:tcPr>
            <w:tcW w:w="844" w:type="dxa"/>
          </w:tcPr>
          <w:p w14:paraId="1CB08BA4"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46" w:type="dxa"/>
          </w:tcPr>
          <w:p w14:paraId="3BE9DB56"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1.48</w:t>
            </w:r>
          </w:p>
        </w:tc>
        <w:tc>
          <w:tcPr>
            <w:tcW w:w="773" w:type="dxa"/>
          </w:tcPr>
          <w:p w14:paraId="15903408"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0.15</w:t>
            </w:r>
          </w:p>
        </w:tc>
        <w:tc>
          <w:tcPr>
            <w:tcW w:w="898" w:type="dxa"/>
          </w:tcPr>
          <w:p w14:paraId="5828DCD0"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3.32</w:t>
            </w:r>
          </w:p>
        </w:tc>
        <w:tc>
          <w:tcPr>
            <w:tcW w:w="1190" w:type="dxa"/>
          </w:tcPr>
          <w:p w14:paraId="32AC0376"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6.65</w:t>
            </w:r>
          </w:p>
        </w:tc>
        <w:tc>
          <w:tcPr>
            <w:tcW w:w="1070" w:type="dxa"/>
          </w:tcPr>
          <w:p w14:paraId="0C0D8EED"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0.83</w:t>
            </w:r>
          </w:p>
        </w:tc>
      </w:tr>
      <w:tr w:rsidR="00CB30AA" w14:paraId="227D7126" w14:textId="77777777" w:rsidTr="00666312">
        <w:tc>
          <w:tcPr>
            <w:tcW w:w="790" w:type="dxa"/>
          </w:tcPr>
          <w:p w14:paraId="0EDDEB7B"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0" w:type="dxa"/>
          </w:tcPr>
          <w:p w14:paraId="729F94CA"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C</w:t>
            </w:r>
          </w:p>
        </w:tc>
        <w:tc>
          <w:tcPr>
            <w:tcW w:w="950" w:type="dxa"/>
            <w:vMerge/>
          </w:tcPr>
          <w:p w14:paraId="6F1BF1AE" w14:textId="77777777" w:rsidR="00CB30AA" w:rsidRPr="00200B89" w:rsidRDefault="00CB30AA" w:rsidP="00666312">
            <w:pPr>
              <w:spacing w:line="480" w:lineRule="auto"/>
              <w:jc w:val="both"/>
              <w:rPr>
                <w:rFonts w:ascii="Times New Roman" w:hAnsi="Times New Roman" w:cs="Times New Roman"/>
                <w:sz w:val="24"/>
                <w:szCs w:val="24"/>
              </w:rPr>
            </w:pPr>
          </w:p>
        </w:tc>
        <w:tc>
          <w:tcPr>
            <w:tcW w:w="765" w:type="dxa"/>
            <w:vMerge/>
          </w:tcPr>
          <w:p w14:paraId="1E139A6C" w14:textId="77777777" w:rsidR="00CB30AA" w:rsidRPr="00200B89" w:rsidRDefault="00CB30AA" w:rsidP="00666312">
            <w:pPr>
              <w:spacing w:line="480" w:lineRule="auto"/>
              <w:jc w:val="both"/>
              <w:rPr>
                <w:rFonts w:ascii="Times New Roman" w:hAnsi="Times New Roman" w:cs="Times New Roman"/>
                <w:sz w:val="24"/>
                <w:szCs w:val="24"/>
              </w:rPr>
            </w:pPr>
          </w:p>
        </w:tc>
        <w:tc>
          <w:tcPr>
            <w:tcW w:w="844" w:type="dxa"/>
          </w:tcPr>
          <w:p w14:paraId="7117DE99" w14:textId="77777777" w:rsidR="00CB30AA"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746" w:type="dxa"/>
          </w:tcPr>
          <w:p w14:paraId="3BC38AB8" w14:textId="77777777" w:rsidR="00CB30AA"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1.36</w:t>
            </w:r>
          </w:p>
        </w:tc>
        <w:tc>
          <w:tcPr>
            <w:tcW w:w="773" w:type="dxa"/>
          </w:tcPr>
          <w:p w14:paraId="57AD877D" w14:textId="77777777" w:rsidR="00CB30AA"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0.27</w:t>
            </w:r>
          </w:p>
        </w:tc>
        <w:tc>
          <w:tcPr>
            <w:tcW w:w="898" w:type="dxa"/>
          </w:tcPr>
          <w:p w14:paraId="3733ADAA"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3.32</w:t>
            </w:r>
          </w:p>
        </w:tc>
        <w:tc>
          <w:tcPr>
            <w:tcW w:w="1190" w:type="dxa"/>
          </w:tcPr>
          <w:p w14:paraId="549A11C6"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6.65</w:t>
            </w:r>
          </w:p>
        </w:tc>
        <w:tc>
          <w:tcPr>
            <w:tcW w:w="1070" w:type="dxa"/>
          </w:tcPr>
          <w:p w14:paraId="35A8A98E"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0.83</w:t>
            </w:r>
          </w:p>
        </w:tc>
      </w:tr>
      <w:tr w:rsidR="00CB30AA" w14:paraId="543511BE" w14:textId="77777777" w:rsidTr="00666312">
        <w:tc>
          <w:tcPr>
            <w:tcW w:w="790" w:type="dxa"/>
          </w:tcPr>
          <w:p w14:paraId="416A7A00"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0" w:type="dxa"/>
          </w:tcPr>
          <w:p w14:paraId="2CD71882"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D</w:t>
            </w:r>
          </w:p>
        </w:tc>
        <w:tc>
          <w:tcPr>
            <w:tcW w:w="950" w:type="dxa"/>
            <w:vMerge/>
          </w:tcPr>
          <w:p w14:paraId="52D40A24" w14:textId="77777777" w:rsidR="00CB30AA" w:rsidRPr="00200B89" w:rsidRDefault="00CB30AA" w:rsidP="00666312">
            <w:pPr>
              <w:spacing w:line="480" w:lineRule="auto"/>
              <w:jc w:val="both"/>
              <w:rPr>
                <w:rFonts w:ascii="Times New Roman" w:hAnsi="Times New Roman" w:cs="Times New Roman"/>
                <w:sz w:val="24"/>
                <w:szCs w:val="24"/>
              </w:rPr>
            </w:pPr>
          </w:p>
        </w:tc>
        <w:tc>
          <w:tcPr>
            <w:tcW w:w="765" w:type="dxa"/>
            <w:vMerge/>
          </w:tcPr>
          <w:p w14:paraId="2B95FBE5" w14:textId="77777777" w:rsidR="00CB30AA" w:rsidRPr="00200B89" w:rsidRDefault="00CB30AA" w:rsidP="00666312">
            <w:pPr>
              <w:spacing w:line="480" w:lineRule="auto"/>
              <w:jc w:val="both"/>
              <w:rPr>
                <w:rFonts w:ascii="Times New Roman" w:hAnsi="Times New Roman" w:cs="Times New Roman"/>
                <w:sz w:val="24"/>
                <w:szCs w:val="24"/>
              </w:rPr>
            </w:pPr>
          </w:p>
        </w:tc>
        <w:tc>
          <w:tcPr>
            <w:tcW w:w="844" w:type="dxa"/>
          </w:tcPr>
          <w:p w14:paraId="33ED3A7D" w14:textId="77777777" w:rsidR="00CB30AA"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746" w:type="dxa"/>
          </w:tcPr>
          <w:p w14:paraId="2EE98D07" w14:textId="77777777" w:rsidR="00CB30AA"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1.16</w:t>
            </w:r>
          </w:p>
        </w:tc>
        <w:tc>
          <w:tcPr>
            <w:tcW w:w="773" w:type="dxa"/>
          </w:tcPr>
          <w:p w14:paraId="50D4012F" w14:textId="77777777" w:rsidR="00CB30AA"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0.35</w:t>
            </w:r>
          </w:p>
        </w:tc>
        <w:tc>
          <w:tcPr>
            <w:tcW w:w="898" w:type="dxa"/>
          </w:tcPr>
          <w:p w14:paraId="703E5864"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3.32</w:t>
            </w:r>
          </w:p>
        </w:tc>
        <w:tc>
          <w:tcPr>
            <w:tcW w:w="1190" w:type="dxa"/>
          </w:tcPr>
          <w:p w14:paraId="22D1D8E2"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6.65</w:t>
            </w:r>
          </w:p>
        </w:tc>
        <w:tc>
          <w:tcPr>
            <w:tcW w:w="1070" w:type="dxa"/>
          </w:tcPr>
          <w:p w14:paraId="677A26F2" w14:textId="77777777" w:rsidR="00CB30AA" w:rsidRPr="00200B89" w:rsidRDefault="00CB30AA" w:rsidP="00666312">
            <w:pPr>
              <w:spacing w:line="480" w:lineRule="auto"/>
              <w:jc w:val="both"/>
              <w:rPr>
                <w:rFonts w:ascii="Times New Roman" w:hAnsi="Times New Roman" w:cs="Times New Roman"/>
                <w:sz w:val="24"/>
                <w:szCs w:val="24"/>
              </w:rPr>
            </w:pPr>
            <w:r>
              <w:rPr>
                <w:rFonts w:ascii="Times New Roman" w:hAnsi="Times New Roman" w:cs="Times New Roman"/>
                <w:sz w:val="24"/>
                <w:szCs w:val="24"/>
              </w:rPr>
              <w:t>0.83</w:t>
            </w:r>
          </w:p>
        </w:tc>
      </w:tr>
    </w:tbl>
    <w:p w14:paraId="38082AFE" w14:textId="77777777" w:rsidR="006E1535" w:rsidRDefault="006E1535" w:rsidP="0084008F">
      <w:pPr>
        <w:spacing w:line="480" w:lineRule="auto"/>
        <w:jc w:val="both"/>
        <w:rPr>
          <w:rFonts w:ascii="Times New Roman" w:hAnsi="Times New Roman" w:cs="Times New Roman"/>
          <w:b/>
          <w:bCs/>
          <w:sz w:val="24"/>
          <w:szCs w:val="24"/>
        </w:rPr>
      </w:pPr>
    </w:p>
    <w:p w14:paraId="2852032F" w14:textId="77777777" w:rsidR="00CB30AA" w:rsidRDefault="00CB30AA" w:rsidP="00CB30AA">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6F9D063" wp14:editId="428F91BC">
            <wp:extent cx="4952876" cy="2568539"/>
            <wp:effectExtent l="0" t="0" r="635" b="3810"/>
            <wp:docPr id="1730904577" name="Picture 173090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8940" cy="2571684"/>
                    </a:xfrm>
                    <a:prstGeom prst="rect">
                      <a:avLst/>
                    </a:prstGeom>
                    <a:noFill/>
                  </pic:spPr>
                </pic:pic>
              </a:graphicData>
            </a:graphic>
          </wp:inline>
        </w:drawing>
      </w:r>
    </w:p>
    <w:p w14:paraId="6D50FCA9" w14:textId="77777777" w:rsidR="00CB30AA" w:rsidRDefault="00CB30AA" w:rsidP="00CB30A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Figure 1. Casting of cube samples</w:t>
      </w:r>
    </w:p>
    <w:p w14:paraId="219B86A1" w14:textId="0E8ED94C" w:rsidR="00CB30AA" w:rsidRDefault="00CB30AA" w:rsidP="00CB30AA">
      <w:pPr>
        <w:spacing w:line="240" w:lineRule="auto"/>
        <w:ind w:hanging="11"/>
        <w:jc w:val="both"/>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2.2.2</w:t>
      </w:r>
      <w:r>
        <w:rPr>
          <w:rFonts w:ascii="Times New Roman" w:eastAsiaTheme="minorEastAsia" w:hAnsi="Times New Roman" w:cs="Times New Roman"/>
          <w:b/>
          <w:bCs/>
          <w:iCs/>
          <w:sz w:val="24"/>
          <w:szCs w:val="24"/>
        </w:rPr>
        <w:tab/>
      </w:r>
      <w:r w:rsidRPr="002600FA">
        <w:rPr>
          <w:rFonts w:ascii="Times New Roman" w:hAnsi="Times New Roman" w:cs="Times New Roman"/>
          <w:b/>
          <w:sz w:val="24"/>
          <w:szCs w:val="24"/>
        </w:rPr>
        <w:t>Slump test</w:t>
      </w:r>
      <w:r w:rsidR="0091323D">
        <w:rPr>
          <w:rFonts w:ascii="Times New Roman" w:hAnsi="Times New Roman" w:cs="Times New Roman"/>
          <w:b/>
          <w:sz w:val="24"/>
          <w:szCs w:val="24"/>
        </w:rPr>
        <w:t xml:space="preserve"> of CSA-Cement Concrete</w:t>
      </w:r>
    </w:p>
    <w:p w14:paraId="6688961E" w14:textId="006ED405" w:rsidR="00CB30AA" w:rsidRDefault="0091323D" w:rsidP="00CB30AA">
      <w:pPr>
        <w:spacing w:line="480" w:lineRule="auto"/>
        <w:jc w:val="both"/>
        <w:rPr>
          <w:rFonts w:ascii="Times New Roman" w:hAnsi="Times New Roman" w:cs="Times New Roman"/>
          <w:sz w:val="24"/>
          <w:szCs w:val="24"/>
        </w:rPr>
      </w:pPr>
      <w:r w:rsidRPr="0091323D">
        <w:rPr>
          <w:rFonts w:ascii="Times New Roman" w:hAnsi="Times New Roman" w:cs="Times New Roman"/>
          <w:sz w:val="24"/>
          <w:szCs w:val="24"/>
        </w:rPr>
        <w:t>The slump test was conducted in accordance with ASTM C134. A steel slump cone with a height of 30 cm, a bottom diameter of 20 cm, and a top diameter of 10 cm, equipped with a handle, was used for the procedure. Fresh concrete was placed into the cone in three equal layers, each about 7.5 cm thick. Each layer was compacted by rodding 25 times using a steel tamping rod measuring 16 mm in diameter and 60 cm in length. After the cone was filled, leveled, and compacted, it was lifted vertically to allow the concrete to settle under its own weight. The upturned cone was placed beside the slumped concrete, and a straight edge was laid across the top. The vertical drop from the underside of the straight edge to the highest point of the concrete was measured with a ruler, accurate to the nearest 5 mm. This vertical measurement, known as the slump, represents the difference between the original cone height (H) and the final height of the slumped concrete (h), as shown in Equation (1)</w:t>
      </w:r>
      <w:r w:rsidR="00CB30AA" w:rsidRPr="004E516D">
        <w:rPr>
          <w:rFonts w:ascii="Times New Roman" w:hAnsi="Times New Roman" w:cs="Times New Roman"/>
          <w:sz w:val="24"/>
          <w:szCs w:val="24"/>
        </w:rPr>
        <w:t>.</w:t>
      </w:r>
      <w:r w:rsidRPr="0091323D">
        <w:rPr>
          <w:rFonts w:ascii="Times New Roman" w:hAnsi="Times New Roman" w:cs="Times New Roman"/>
          <w:sz w:val="24"/>
          <w:szCs w:val="24"/>
        </w:rPr>
        <w:t xml:space="preserve"> </w:t>
      </w:r>
      <w:r>
        <w:rPr>
          <w:rFonts w:ascii="Times New Roman" w:hAnsi="Times New Roman" w:cs="Times New Roman"/>
          <w:sz w:val="24"/>
          <w:szCs w:val="24"/>
        </w:rPr>
        <w:t>Figure 2 illustrates the procedures for conducting a slump test.</w:t>
      </w:r>
    </w:p>
    <w:p w14:paraId="493C3765" w14:textId="3FC64554" w:rsidR="00CB30AA" w:rsidRPr="008E704D" w:rsidRDefault="00CB30AA" w:rsidP="0091323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H – </w:t>
      </w:r>
      <w:proofErr w:type="gramStart"/>
      <w:r>
        <w:rPr>
          <w:rFonts w:ascii="Times New Roman" w:hAnsi="Times New Roman" w:cs="Times New Roman"/>
          <w:sz w:val="24"/>
          <w:szCs w:val="24"/>
        </w:rPr>
        <w:t>h  =</w:t>
      </w:r>
      <w:proofErr w:type="gramEnd"/>
      <w:r>
        <w:rPr>
          <w:rFonts w:ascii="Times New Roman" w:hAnsi="Times New Roman" w:cs="Times New Roman"/>
          <w:sz w:val="24"/>
          <w:szCs w:val="24"/>
        </w:rPr>
        <w:t xml:space="preserve">  Slump                                                                                        (1)</w:t>
      </w:r>
    </w:p>
    <w:p w14:paraId="262603F8" w14:textId="77777777" w:rsidR="00CB30AA" w:rsidRDefault="00CB30AA" w:rsidP="00CB30AA">
      <w:pPr>
        <w:tabs>
          <w:tab w:val="left" w:pos="1785"/>
        </w:tabs>
        <w:spacing w:line="240" w:lineRule="auto"/>
        <w:jc w:val="center"/>
        <w:rPr>
          <w:rFonts w:ascii="Times New Roman" w:hAnsi="Times New Roman" w:cs="Times New Roman"/>
          <w:sz w:val="24"/>
          <w:szCs w:val="24"/>
        </w:rPr>
      </w:pPr>
      <w:r w:rsidRPr="002600FA">
        <w:rPr>
          <w:rFonts w:ascii="Times New Roman" w:hAnsi="Times New Roman" w:cs="Times New Roman"/>
          <w:noProof/>
        </w:rPr>
        <w:lastRenderedPageBreak/>
        <w:drawing>
          <wp:inline distT="0" distB="0" distL="0" distR="0" wp14:anchorId="2983F882" wp14:editId="46E152EA">
            <wp:extent cx="3650040" cy="1836000"/>
            <wp:effectExtent l="0" t="0" r="7620" b="0"/>
            <wp:docPr id="1538842355" name="Content Placeholder 3" descr="A group of men in hardhats and safety vests&#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8842355" name="Content Placeholder 3" descr="A group of men in hardhats and safety vests&#10;&#10;Description automatically generated"/>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7228" cy="1864766"/>
                    </a:xfrm>
                    <a:prstGeom prst="rect">
                      <a:avLst/>
                    </a:prstGeom>
                  </pic:spPr>
                </pic:pic>
              </a:graphicData>
            </a:graphic>
          </wp:inline>
        </w:drawing>
      </w:r>
    </w:p>
    <w:p w14:paraId="7B8E975F" w14:textId="345E8A1F" w:rsidR="00CB30AA" w:rsidRDefault="00CB30AA" w:rsidP="0091323D">
      <w:pPr>
        <w:spacing w:line="480" w:lineRule="auto"/>
        <w:jc w:val="center"/>
        <w:rPr>
          <w:rFonts w:ascii="Times New Roman" w:hAnsi="Times New Roman" w:cs="Times New Roman"/>
          <w:b/>
          <w:bCs/>
          <w:sz w:val="24"/>
          <w:szCs w:val="24"/>
        </w:rPr>
      </w:pPr>
      <w:r w:rsidRPr="004E516D">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4E516D">
        <w:rPr>
          <w:rFonts w:ascii="Times New Roman" w:hAnsi="Times New Roman" w:cs="Times New Roman"/>
          <w:b/>
          <w:bCs/>
          <w:sz w:val="24"/>
          <w:szCs w:val="24"/>
        </w:rPr>
        <w:t>.  Slump test being carried out in the laboratory</w:t>
      </w:r>
    </w:p>
    <w:p w14:paraId="203EDF34" w14:textId="56CF5F9F" w:rsidR="0091323D" w:rsidRDefault="0091323D" w:rsidP="0091323D">
      <w:pPr>
        <w:spacing w:line="240" w:lineRule="auto"/>
        <w:ind w:hanging="11"/>
        <w:jc w:val="both"/>
        <w:rPr>
          <w:rFonts w:ascii="Times New Roman" w:eastAsiaTheme="minorEastAsia" w:hAnsi="Times New Roman" w:cs="Times New Roman"/>
          <w:b/>
          <w:bCs/>
          <w:iCs/>
          <w:sz w:val="24"/>
          <w:szCs w:val="24"/>
        </w:rPr>
      </w:pPr>
      <w:r w:rsidRPr="0021018B">
        <w:rPr>
          <w:rFonts w:ascii="Times New Roman" w:eastAsiaTheme="minorEastAsia" w:hAnsi="Times New Roman" w:cs="Times New Roman"/>
          <w:b/>
          <w:bCs/>
          <w:iCs/>
          <w:sz w:val="24"/>
          <w:szCs w:val="24"/>
        </w:rPr>
        <w:t>2.2.</w:t>
      </w:r>
      <w:r>
        <w:rPr>
          <w:rFonts w:ascii="Times New Roman" w:eastAsiaTheme="minorEastAsia" w:hAnsi="Times New Roman" w:cs="Times New Roman"/>
          <w:b/>
          <w:bCs/>
          <w:iCs/>
          <w:sz w:val="24"/>
          <w:szCs w:val="24"/>
        </w:rPr>
        <w:t>3</w:t>
      </w:r>
      <w:r w:rsidRPr="0021018B">
        <w:rPr>
          <w:rFonts w:ascii="Times New Roman" w:eastAsiaTheme="minorEastAsia" w:hAnsi="Times New Roman" w:cs="Times New Roman"/>
          <w:b/>
          <w:bCs/>
          <w:iCs/>
          <w:sz w:val="24"/>
          <w:szCs w:val="24"/>
        </w:rPr>
        <w:tab/>
        <w:t>Elastic Modulus Determination of CSA</w:t>
      </w:r>
      <w:r>
        <w:rPr>
          <w:rFonts w:ascii="Times New Roman" w:eastAsiaTheme="minorEastAsia" w:hAnsi="Times New Roman" w:cs="Times New Roman"/>
          <w:b/>
          <w:bCs/>
          <w:iCs/>
          <w:sz w:val="24"/>
          <w:szCs w:val="24"/>
        </w:rPr>
        <w:t>-</w:t>
      </w:r>
      <w:r w:rsidRPr="0021018B">
        <w:rPr>
          <w:rFonts w:ascii="Times New Roman" w:eastAsiaTheme="minorEastAsia" w:hAnsi="Times New Roman" w:cs="Times New Roman"/>
          <w:b/>
          <w:bCs/>
          <w:iCs/>
          <w:sz w:val="24"/>
          <w:szCs w:val="24"/>
        </w:rPr>
        <w:t>Cement Concrete</w:t>
      </w:r>
    </w:p>
    <w:p w14:paraId="68F49C32" w14:textId="21D48573" w:rsidR="0091323D" w:rsidRDefault="0091323D" w:rsidP="0091323D">
      <w:pPr>
        <w:spacing w:line="480" w:lineRule="auto"/>
        <w:jc w:val="both"/>
        <w:rPr>
          <w:rFonts w:ascii="Times New Roman" w:hAnsi="Times New Roman" w:cs="Times New Roman"/>
          <w:sz w:val="24"/>
          <w:szCs w:val="24"/>
        </w:rPr>
      </w:pPr>
      <w:r w:rsidRPr="0091323D">
        <w:rPr>
          <w:rFonts w:ascii="Times New Roman" w:hAnsi="Times New Roman" w:cs="Times New Roman"/>
          <w:bCs/>
          <w:sz w:val="24"/>
          <w:szCs w:val="24"/>
        </w:rPr>
        <w:t>The elastic modulus of the coconut shell ash (CSA) blended cement concrete in this study was determined using the compressive strength of concrete specimens containing varying levels of CSA as a partial substitute for Portland cement. An empirical formula from ACI 318-14, which is applicable to concrete with a unit weight between 1440 and 2560 kg/m³, was used to establish the relationship between compressive strength and elastic modulus. This relationship is expressed in Equation (2)</w:t>
      </w:r>
      <w:r w:rsidRPr="00031448">
        <w:rPr>
          <w:rFonts w:ascii="Times New Roman" w:hAnsi="Times New Roman" w:cs="Times New Roman"/>
          <w:bCs/>
          <w:sz w:val="24"/>
          <w:szCs w:val="24"/>
        </w:rPr>
        <w:t>.</w:t>
      </w:r>
      <w:r w:rsidRPr="0091323D">
        <w:rPr>
          <w:rFonts w:ascii="Times New Roman" w:hAnsi="Times New Roman" w:cs="Times New Roman"/>
          <w:sz w:val="24"/>
          <w:szCs w:val="24"/>
        </w:rPr>
        <w:t xml:space="preserve"> The compressive strength of the hardened concrete was evaluated in accordance with BS 1239-3 (2019). During testing, each specimen was carefully positioned in the compression testing machine to ensure proper alignment. The loading was applied automatically, and the rate of load application was closely monitored for accuracy. The failure load displayed by the machine was recorded, and the corresponding compressive strength was calculated and noted. The results were then compared against standard specifications before being documented and analyzed for further interpretation. Figure </w:t>
      </w:r>
      <w:r>
        <w:rPr>
          <w:rFonts w:ascii="Times New Roman" w:hAnsi="Times New Roman" w:cs="Times New Roman"/>
          <w:sz w:val="24"/>
          <w:szCs w:val="24"/>
        </w:rPr>
        <w:t>3</w:t>
      </w:r>
      <w:r w:rsidRPr="0091323D">
        <w:rPr>
          <w:rFonts w:ascii="Times New Roman" w:hAnsi="Times New Roman" w:cs="Times New Roman"/>
          <w:sz w:val="24"/>
          <w:szCs w:val="24"/>
        </w:rPr>
        <w:t xml:space="preserve"> illustrates the procedure used for conducting the compressive strength test on the concrete specimens</w:t>
      </w:r>
      <w:r>
        <w:rPr>
          <w:rFonts w:ascii="Times New Roman" w:hAnsi="Times New Roman" w:cs="Times New Roman"/>
          <w:sz w:val="24"/>
          <w:szCs w:val="24"/>
        </w:rPr>
        <w:t xml:space="preserve">. </w:t>
      </w:r>
    </w:p>
    <w:p w14:paraId="1A4938ED" w14:textId="77777777" w:rsidR="0091323D" w:rsidRDefault="00B07AFE" w:rsidP="0091323D">
      <w:pPr>
        <w:spacing w:line="480" w:lineRule="auto"/>
        <w:ind w:left="720" w:firstLine="720"/>
        <w:jc w:val="both"/>
        <w:rPr>
          <w:rFonts w:ascii="Times New Roman" w:eastAsiaTheme="minorEastAsia" w:hAnsi="Times New Roman" w:cs="Times New Roman"/>
          <w:bCs/>
          <w:sz w:val="24"/>
          <w:szCs w:val="24"/>
        </w:rPr>
      </w:p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xml:space="preserve"> = 4700 * </m:t>
        </m:r>
        <m:rad>
          <m:radPr>
            <m:degHide m:val="1"/>
            <m:ctrlPr>
              <w:rPr>
                <w:rFonts w:ascii="Cambria Math" w:eastAsiaTheme="minorEastAsia" w:hAnsi="Cambria Math" w:cs="Times New Roman"/>
                <w:bCs/>
                <w:i/>
                <w:sz w:val="24"/>
                <w:szCs w:val="24"/>
              </w:rPr>
            </m:ctrlPr>
          </m:radPr>
          <m:deg/>
          <m:e>
            <m:sSubSup>
              <m:sSubSupPr>
                <m:ctrlPr>
                  <w:rPr>
                    <w:rFonts w:ascii="Cambria Math" w:eastAsiaTheme="minorEastAsia" w:hAnsi="Cambria Math" w:cs="Times New Roman"/>
                    <w:bCs/>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up>
                <m:r>
                  <w:rPr>
                    <w:rFonts w:ascii="Cambria Math" w:eastAsiaTheme="minorEastAsia" w:hAnsi="Cambria Math" w:cs="Times New Roman"/>
                    <w:sz w:val="24"/>
                    <w:szCs w:val="24"/>
                  </w:rPr>
                  <m:t>'</m:t>
                </m:r>
              </m:sup>
            </m:sSubSup>
          </m:e>
        </m:rad>
      </m:oMath>
      <w:r w:rsidR="0091323D">
        <w:rPr>
          <w:rFonts w:ascii="Times New Roman" w:eastAsiaTheme="minorEastAsia" w:hAnsi="Times New Roman" w:cs="Times New Roman"/>
          <w:bCs/>
          <w:sz w:val="24"/>
          <w:szCs w:val="24"/>
        </w:rPr>
        <w:t xml:space="preserve">                                              </w:t>
      </w:r>
      <w:r w:rsidR="0091323D">
        <w:rPr>
          <w:rFonts w:ascii="Times New Roman" w:eastAsiaTheme="minorEastAsia" w:hAnsi="Times New Roman" w:cs="Times New Roman"/>
          <w:bCs/>
          <w:sz w:val="24"/>
          <w:szCs w:val="24"/>
        </w:rPr>
        <w:tab/>
      </w:r>
      <w:r w:rsidR="0091323D">
        <w:rPr>
          <w:rFonts w:ascii="Times New Roman" w:eastAsiaTheme="minorEastAsia" w:hAnsi="Times New Roman" w:cs="Times New Roman"/>
          <w:bCs/>
          <w:sz w:val="24"/>
          <w:szCs w:val="24"/>
        </w:rPr>
        <w:tab/>
      </w:r>
      <w:r w:rsidR="0091323D">
        <w:rPr>
          <w:rFonts w:ascii="Times New Roman" w:eastAsiaTheme="minorEastAsia" w:hAnsi="Times New Roman" w:cs="Times New Roman"/>
          <w:bCs/>
          <w:sz w:val="24"/>
          <w:szCs w:val="24"/>
        </w:rPr>
        <w:tab/>
        <w:t>(2)</w:t>
      </w:r>
    </w:p>
    <w:p w14:paraId="061993A0" w14:textId="43C5A77A" w:rsidR="0091323D" w:rsidRDefault="0091323D" w:rsidP="0091323D">
      <w:pPr>
        <w:spacing w:line="48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Where;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bCs/>
          <w:sz w:val="24"/>
          <w:szCs w:val="24"/>
        </w:rPr>
        <w:t xml:space="preserve"> = Elastic modulus in GPa; </w:t>
      </w:r>
      <m:oMath>
        <m:sSubSup>
          <m:sSubSupPr>
            <m:ctrlPr>
              <w:rPr>
                <w:rFonts w:ascii="Cambria Math" w:eastAsiaTheme="minorEastAsia" w:hAnsi="Cambria Math" w:cs="Times New Roman"/>
                <w:bCs/>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up>
            <m:r>
              <w:rPr>
                <w:rFonts w:ascii="Cambria Math" w:eastAsiaTheme="minorEastAsia" w:hAnsi="Cambria Math" w:cs="Times New Roman"/>
                <w:sz w:val="24"/>
                <w:szCs w:val="24"/>
              </w:rPr>
              <m:t>'</m:t>
            </m:r>
          </m:sup>
        </m:sSubSup>
      </m:oMath>
      <w:r>
        <w:rPr>
          <w:rFonts w:ascii="Times New Roman" w:eastAsiaTheme="minorEastAsia" w:hAnsi="Times New Roman" w:cs="Times New Roman"/>
          <w:bCs/>
          <w:sz w:val="24"/>
          <w:szCs w:val="24"/>
        </w:rPr>
        <w:t xml:space="preserve"> = Compressive strength of CSA concrete (MPa)</w:t>
      </w:r>
    </w:p>
    <w:p w14:paraId="3F6D2463" w14:textId="77777777" w:rsidR="0091323D" w:rsidRDefault="0091323D" w:rsidP="0091323D">
      <w:pPr>
        <w:tabs>
          <w:tab w:val="left" w:pos="1785"/>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C418A3" wp14:editId="76F1F10A">
            <wp:extent cx="4096359" cy="2343150"/>
            <wp:effectExtent l="0" t="0" r="0" b="0"/>
            <wp:docPr id="1730904578" name="Picture 173090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3357" cy="2347153"/>
                    </a:xfrm>
                    <a:prstGeom prst="rect">
                      <a:avLst/>
                    </a:prstGeom>
                    <a:noFill/>
                  </pic:spPr>
                </pic:pic>
              </a:graphicData>
            </a:graphic>
          </wp:inline>
        </w:drawing>
      </w:r>
    </w:p>
    <w:p w14:paraId="5919CC6B" w14:textId="294F54A6" w:rsidR="0091323D" w:rsidRPr="00FA46AC" w:rsidRDefault="0091323D" w:rsidP="0091323D">
      <w:pPr>
        <w:tabs>
          <w:tab w:val="left" w:pos="1785"/>
        </w:tabs>
        <w:spacing w:line="240" w:lineRule="auto"/>
        <w:jc w:val="center"/>
        <w:rPr>
          <w:rFonts w:ascii="Times New Roman" w:hAnsi="Times New Roman" w:cs="Times New Roman"/>
          <w:b/>
          <w:bCs/>
          <w:sz w:val="24"/>
          <w:szCs w:val="24"/>
        </w:rPr>
      </w:pPr>
      <w:r w:rsidRPr="00FA46AC">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FA46AC">
        <w:rPr>
          <w:rFonts w:ascii="Times New Roman" w:hAnsi="Times New Roman" w:cs="Times New Roman"/>
          <w:b/>
          <w:bCs/>
          <w:sz w:val="24"/>
          <w:szCs w:val="24"/>
        </w:rPr>
        <w:t>. Compressive Strength testing</w:t>
      </w:r>
      <w:r>
        <w:rPr>
          <w:rFonts w:ascii="Times New Roman" w:hAnsi="Times New Roman" w:cs="Times New Roman"/>
          <w:b/>
          <w:bCs/>
          <w:sz w:val="24"/>
          <w:szCs w:val="24"/>
        </w:rPr>
        <w:t xml:space="preserve"> of CSA-Cement Concrete</w:t>
      </w:r>
      <w:r w:rsidRPr="00FA46AC">
        <w:rPr>
          <w:rFonts w:ascii="Times New Roman" w:hAnsi="Times New Roman" w:cs="Times New Roman"/>
          <w:b/>
          <w:bCs/>
          <w:sz w:val="24"/>
          <w:szCs w:val="24"/>
        </w:rPr>
        <w:t>.</w:t>
      </w:r>
    </w:p>
    <w:p w14:paraId="4D49B8AF" w14:textId="77777777" w:rsidR="0091323D" w:rsidRDefault="0091323D" w:rsidP="0091323D">
      <w:pPr>
        <w:spacing w:line="480" w:lineRule="auto"/>
        <w:rPr>
          <w:rFonts w:ascii="Times New Roman" w:hAnsi="Times New Roman" w:cs="Times New Roman"/>
          <w:b/>
          <w:bCs/>
          <w:sz w:val="24"/>
          <w:szCs w:val="24"/>
        </w:rPr>
      </w:pPr>
    </w:p>
    <w:p w14:paraId="52001783" w14:textId="40763F6B" w:rsidR="0091323D" w:rsidRDefault="0091323D" w:rsidP="0091323D">
      <w:pPr>
        <w:pStyle w:val="ListParagraph"/>
        <w:numPr>
          <w:ilvl w:val="0"/>
          <w:numId w:val="2"/>
        </w:numPr>
        <w:spacing w:line="240" w:lineRule="auto"/>
        <w:ind w:hanging="720"/>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18FB8E2B" w14:textId="7D0B300F" w:rsidR="0091323D" w:rsidRDefault="0091323D" w:rsidP="0091323D">
      <w:pPr>
        <w:spacing w:line="480" w:lineRule="auto"/>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Slump of CSA-Cement Concrete</w:t>
      </w:r>
    </w:p>
    <w:p w14:paraId="039E86FC" w14:textId="64847654" w:rsidR="0091323D" w:rsidRDefault="006214FF" w:rsidP="00F07F9D">
      <w:pPr>
        <w:spacing w:line="480" w:lineRule="auto"/>
        <w:jc w:val="both"/>
        <w:rPr>
          <w:rFonts w:ascii="Times New Roman" w:hAnsi="Times New Roman" w:cs="Times New Roman"/>
          <w:sz w:val="24"/>
          <w:szCs w:val="24"/>
        </w:rPr>
      </w:pPr>
      <w:r w:rsidRPr="006214FF">
        <w:rPr>
          <w:rFonts w:ascii="Times New Roman" w:hAnsi="Times New Roman" w:cs="Times New Roman"/>
          <w:sz w:val="24"/>
          <w:szCs w:val="24"/>
        </w:rPr>
        <w:t>Figure 4 presents the results of the slump test for concrete incorporating varying proportions of coconut shell ash (CSA) as a partial replacement for ordinary Portland cement (OPC). The results reveal a consistent decrease in slump values with increasing CSA content. Specifically, the slump value dropped from 120 mm for the control mix (0% CSA) to 50 mm at 30% CSA replacement, representing a 58.3% reduction in workability</w:t>
      </w:r>
      <w:r w:rsidR="00F07F9D">
        <w:rPr>
          <w:rFonts w:ascii="Times New Roman" w:hAnsi="Times New Roman" w:cs="Times New Roman"/>
          <w:sz w:val="24"/>
          <w:szCs w:val="24"/>
        </w:rPr>
        <w:t xml:space="preserve">. </w:t>
      </w:r>
    </w:p>
    <w:p w14:paraId="6E13A134" w14:textId="59FDD71C" w:rsidR="006214FF" w:rsidRDefault="006214FF" w:rsidP="00F07F9D">
      <w:pPr>
        <w:spacing w:line="480" w:lineRule="auto"/>
        <w:jc w:val="both"/>
        <w:rPr>
          <w:rFonts w:ascii="Times New Roman" w:hAnsi="Times New Roman" w:cs="Times New Roman"/>
          <w:sz w:val="24"/>
          <w:szCs w:val="24"/>
        </w:rPr>
      </w:pPr>
      <w:r w:rsidRPr="006214FF">
        <w:rPr>
          <w:rFonts w:ascii="Times New Roman" w:hAnsi="Times New Roman" w:cs="Times New Roman"/>
          <w:sz w:val="24"/>
          <w:szCs w:val="24"/>
        </w:rPr>
        <w:t>The slump test is a standardized procedure for assessing the consistency or workability of fresh concrete. It provides a quick measure of the ease with which concrete can be mixed, handled, placed, and finished without segregation (BS EN 12350-2:2019; ASTM C143/C143M-20, 2020)</w:t>
      </w:r>
      <w:r>
        <w:rPr>
          <w:rFonts w:ascii="Times New Roman" w:hAnsi="Times New Roman" w:cs="Times New Roman"/>
          <w:sz w:val="24"/>
          <w:szCs w:val="24"/>
        </w:rPr>
        <w:t xml:space="preserve">. </w:t>
      </w:r>
      <w:r w:rsidRPr="006214FF">
        <w:rPr>
          <w:rFonts w:ascii="Times New Roman" w:hAnsi="Times New Roman" w:cs="Times New Roman"/>
          <w:sz w:val="24"/>
          <w:szCs w:val="24"/>
        </w:rPr>
        <w:t>The observed reduction in slump with increasing CSA content can be attributed to several key material characteristics of CSA. Coconut shell ash typically exhibits a porous and irregular texture, which contributes to increased water absorption during mixing. As a result, less free water is available for lubricating the mix, reducing its workability (</w:t>
      </w:r>
      <w:proofErr w:type="spellStart"/>
      <w:r w:rsidRPr="006214FF">
        <w:rPr>
          <w:rFonts w:ascii="Times New Roman" w:hAnsi="Times New Roman" w:cs="Times New Roman"/>
          <w:sz w:val="24"/>
          <w:szCs w:val="24"/>
        </w:rPr>
        <w:t>Olutoge</w:t>
      </w:r>
      <w:proofErr w:type="spellEnd"/>
      <w:r w:rsidRPr="006214FF">
        <w:rPr>
          <w:rFonts w:ascii="Times New Roman" w:hAnsi="Times New Roman" w:cs="Times New Roman"/>
          <w:sz w:val="24"/>
          <w:szCs w:val="24"/>
        </w:rPr>
        <w:t xml:space="preserve">, 2010). Additionally, CSA particles generally have a higher surface area compared to OPC, thereby increasing the water demand of the mix (Shetty, 2005). Neville </w:t>
      </w:r>
      <w:r w:rsidRPr="006214FF">
        <w:rPr>
          <w:rFonts w:ascii="Times New Roman" w:hAnsi="Times New Roman" w:cs="Times New Roman"/>
          <w:sz w:val="24"/>
          <w:szCs w:val="24"/>
        </w:rPr>
        <w:lastRenderedPageBreak/>
        <w:t xml:space="preserve">(2011) also emphasized that the introduction of supplementary cementitious materials (SCMs) like CSA alters the physical and chemical environment of the cement matrix, potentially affecting the fluidity and </w:t>
      </w:r>
      <w:proofErr w:type="spellStart"/>
      <w:r w:rsidRPr="006214FF">
        <w:rPr>
          <w:rFonts w:ascii="Times New Roman" w:hAnsi="Times New Roman" w:cs="Times New Roman"/>
          <w:sz w:val="24"/>
          <w:szCs w:val="24"/>
        </w:rPr>
        <w:t>compactibility</w:t>
      </w:r>
      <w:proofErr w:type="spellEnd"/>
      <w:r w:rsidRPr="006214FF">
        <w:rPr>
          <w:rFonts w:ascii="Times New Roman" w:hAnsi="Times New Roman" w:cs="Times New Roman"/>
          <w:sz w:val="24"/>
          <w:szCs w:val="24"/>
        </w:rPr>
        <w:t xml:space="preserve"> of fresh concrete</w:t>
      </w:r>
      <w:r>
        <w:rPr>
          <w:rFonts w:ascii="Times New Roman" w:hAnsi="Times New Roman" w:cs="Times New Roman"/>
          <w:sz w:val="24"/>
          <w:szCs w:val="24"/>
        </w:rPr>
        <w:t>.</w:t>
      </w:r>
    </w:p>
    <w:p w14:paraId="72DB5B11" w14:textId="6CFF54C3" w:rsidR="006214FF" w:rsidRDefault="006214FF" w:rsidP="00F07F9D">
      <w:pPr>
        <w:spacing w:line="480" w:lineRule="auto"/>
        <w:jc w:val="both"/>
        <w:rPr>
          <w:rFonts w:ascii="Times New Roman" w:hAnsi="Times New Roman" w:cs="Times New Roman"/>
          <w:sz w:val="24"/>
          <w:szCs w:val="24"/>
        </w:rPr>
      </w:pPr>
      <w:r w:rsidRPr="006214FF">
        <w:rPr>
          <w:rFonts w:ascii="Times New Roman" w:hAnsi="Times New Roman" w:cs="Times New Roman"/>
          <w:sz w:val="24"/>
          <w:szCs w:val="24"/>
        </w:rPr>
        <w:t xml:space="preserve">Similar trends have been reported in prior studies. </w:t>
      </w:r>
      <w:proofErr w:type="spellStart"/>
      <w:r w:rsidRPr="006214FF">
        <w:rPr>
          <w:rFonts w:ascii="Times New Roman" w:hAnsi="Times New Roman" w:cs="Times New Roman"/>
          <w:sz w:val="24"/>
          <w:szCs w:val="24"/>
        </w:rPr>
        <w:t>Olutoge</w:t>
      </w:r>
      <w:proofErr w:type="spellEnd"/>
      <w:r w:rsidRPr="006214FF">
        <w:rPr>
          <w:rFonts w:ascii="Times New Roman" w:hAnsi="Times New Roman" w:cs="Times New Roman"/>
          <w:sz w:val="24"/>
          <w:szCs w:val="24"/>
        </w:rPr>
        <w:t xml:space="preserve"> (2010) found that increasing CSA content led to reduced slump values, highlighting the ash’s high absorption capacity and its tendency to stiffen fresh mixes. In alignment with this, Shetty (2005) and Neville (2011) noted that SCMs with fine and absorptive characteristics tend to diminish concrete workability unless compensatory measures</w:t>
      </w:r>
      <w:r>
        <w:rPr>
          <w:rFonts w:ascii="Times New Roman" w:hAnsi="Times New Roman" w:cs="Times New Roman"/>
          <w:sz w:val="24"/>
          <w:szCs w:val="24"/>
        </w:rPr>
        <w:t xml:space="preserve">, </w:t>
      </w:r>
      <w:r w:rsidRPr="006214FF">
        <w:rPr>
          <w:rFonts w:ascii="Times New Roman" w:hAnsi="Times New Roman" w:cs="Times New Roman"/>
          <w:sz w:val="24"/>
          <w:szCs w:val="24"/>
        </w:rPr>
        <w:t>such as adjusting the water-to-cement ratio or incorporating plasticizers</w:t>
      </w:r>
      <w:r>
        <w:rPr>
          <w:rFonts w:ascii="Times New Roman" w:hAnsi="Times New Roman" w:cs="Times New Roman"/>
          <w:sz w:val="24"/>
          <w:szCs w:val="24"/>
        </w:rPr>
        <w:t xml:space="preserve">, </w:t>
      </w:r>
      <w:r w:rsidRPr="006214FF">
        <w:rPr>
          <w:rFonts w:ascii="Times New Roman" w:hAnsi="Times New Roman" w:cs="Times New Roman"/>
          <w:sz w:val="24"/>
          <w:szCs w:val="24"/>
        </w:rPr>
        <w:t>are implemented</w:t>
      </w:r>
      <w:r>
        <w:rPr>
          <w:rFonts w:ascii="Times New Roman" w:hAnsi="Times New Roman" w:cs="Times New Roman"/>
          <w:sz w:val="24"/>
          <w:szCs w:val="24"/>
        </w:rPr>
        <w:t>.</w:t>
      </w:r>
    </w:p>
    <w:p w14:paraId="7F5B0089" w14:textId="542D0361" w:rsidR="006214FF" w:rsidRDefault="006214FF" w:rsidP="00F07F9D">
      <w:pPr>
        <w:spacing w:line="480" w:lineRule="auto"/>
        <w:jc w:val="both"/>
        <w:rPr>
          <w:rFonts w:ascii="Times New Roman" w:hAnsi="Times New Roman" w:cs="Times New Roman"/>
          <w:sz w:val="24"/>
          <w:szCs w:val="24"/>
        </w:rPr>
      </w:pPr>
      <w:r w:rsidRPr="006214FF">
        <w:rPr>
          <w:rFonts w:ascii="Times New Roman" w:hAnsi="Times New Roman" w:cs="Times New Roman"/>
          <w:sz w:val="24"/>
          <w:szCs w:val="24"/>
        </w:rPr>
        <w:t xml:space="preserve">International standards offer guidance for acceptable slump ranges depending on the structural element and method of placement. According to ACI 211.1 (1991), recommended slump values range from 25 mm to 100 mm for various construction applications, with higher slumps allowed for manually placed or heavily reinforced elements. The British Standard BS EN 206:2013 further classifies slump into workability classes from S1 (10–40 mm) to S5 (&gt;220 mm), while Nigeria’s NIS 444-1:2003 conforms with these global standards by establishing similar criteria for fresh concrete </w:t>
      </w:r>
      <w:proofErr w:type="spellStart"/>
      <w:r w:rsidRPr="006214FF">
        <w:rPr>
          <w:rFonts w:ascii="Times New Roman" w:hAnsi="Times New Roman" w:cs="Times New Roman"/>
          <w:sz w:val="24"/>
          <w:szCs w:val="24"/>
        </w:rPr>
        <w:t>behaviour</w:t>
      </w:r>
      <w:proofErr w:type="spellEnd"/>
      <w:r>
        <w:rPr>
          <w:rFonts w:ascii="Times New Roman" w:hAnsi="Times New Roman" w:cs="Times New Roman"/>
          <w:sz w:val="24"/>
          <w:szCs w:val="24"/>
        </w:rPr>
        <w:t>.</w:t>
      </w:r>
    </w:p>
    <w:p w14:paraId="16038EC4" w14:textId="4B79A9A2" w:rsidR="006214FF" w:rsidRDefault="006214FF" w:rsidP="00F07F9D">
      <w:pPr>
        <w:spacing w:line="480" w:lineRule="auto"/>
        <w:jc w:val="both"/>
        <w:rPr>
          <w:rFonts w:ascii="Times New Roman" w:hAnsi="Times New Roman" w:cs="Times New Roman"/>
          <w:sz w:val="24"/>
          <w:szCs w:val="24"/>
        </w:rPr>
      </w:pPr>
      <w:r w:rsidRPr="006214FF">
        <w:rPr>
          <w:rFonts w:ascii="Times New Roman" w:hAnsi="Times New Roman" w:cs="Times New Roman"/>
          <w:sz w:val="24"/>
          <w:szCs w:val="24"/>
        </w:rPr>
        <w:t>The reduction in slump caused by CSA replacement has practical implications for construction. Lower slump values can make concrete more difficult to place and compact, especially in complex formworks or heavily reinforced sections. To counteract this, mix designs may require optimization through the use of water-reducing admixtures or slight increases in water content</w:t>
      </w:r>
      <w:r>
        <w:rPr>
          <w:rFonts w:ascii="Times New Roman" w:hAnsi="Times New Roman" w:cs="Times New Roman"/>
          <w:sz w:val="24"/>
          <w:szCs w:val="24"/>
        </w:rPr>
        <w:t xml:space="preserve">, </w:t>
      </w:r>
      <w:r w:rsidRPr="006214FF">
        <w:rPr>
          <w:rFonts w:ascii="Times New Roman" w:hAnsi="Times New Roman" w:cs="Times New Roman"/>
          <w:sz w:val="24"/>
          <w:szCs w:val="24"/>
        </w:rPr>
        <w:t>ensuring, however, that such adjustments do not compromise strength or durability. Incorporating plasticizers or superplasticizers can be especially effective in maintaining workability without increasing the water-to-cement ratio (Neville, 2011).</w:t>
      </w:r>
    </w:p>
    <w:p w14:paraId="2ACBD731" w14:textId="24A077AE" w:rsidR="00F07F9D" w:rsidRDefault="00F07F9D" w:rsidP="006214FF">
      <w:pPr>
        <w:spacing w:line="240" w:lineRule="auto"/>
        <w:jc w:val="center"/>
        <w:rPr>
          <w:rFonts w:ascii="Times New Roman" w:hAnsi="Times New Roman" w:cs="Times New Roman"/>
          <w:b/>
          <w:bCs/>
          <w:sz w:val="24"/>
          <w:szCs w:val="24"/>
        </w:rPr>
      </w:pPr>
      <w:r>
        <w:rPr>
          <w:noProof/>
        </w:rPr>
        <w:lastRenderedPageBreak/>
        <w:drawing>
          <wp:inline distT="0" distB="0" distL="0" distR="0" wp14:anchorId="3B1C0399" wp14:editId="3603ABE3">
            <wp:extent cx="4572000" cy="2743200"/>
            <wp:effectExtent l="0" t="0" r="0" b="0"/>
            <wp:docPr id="402678725" name="Chart 1">
              <a:extLst xmlns:a="http://schemas.openxmlformats.org/drawingml/2006/main">
                <a:ext uri="{FF2B5EF4-FFF2-40B4-BE49-F238E27FC236}">
                  <a16:creationId xmlns:a16="http://schemas.microsoft.com/office/drawing/2014/main" id="{303EA47D-50D4-0835-5E6C-29E9F0179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E23B23" w14:textId="051E5275" w:rsidR="006214FF" w:rsidRDefault="006214FF" w:rsidP="006214F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4. Slump of CSA-Cement Concrete</w:t>
      </w:r>
    </w:p>
    <w:p w14:paraId="5DDFFBB8" w14:textId="77777777" w:rsidR="006214FF" w:rsidRDefault="006214FF" w:rsidP="006214FF">
      <w:pPr>
        <w:spacing w:line="240" w:lineRule="auto"/>
        <w:jc w:val="center"/>
        <w:rPr>
          <w:rFonts w:ascii="Times New Roman" w:hAnsi="Times New Roman" w:cs="Times New Roman"/>
          <w:b/>
          <w:bCs/>
          <w:sz w:val="24"/>
          <w:szCs w:val="24"/>
        </w:rPr>
      </w:pPr>
    </w:p>
    <w:p w14:paraId="503CEC68" w14:textId="77777777" w:rsidR="006214FF" w:rsidRDefault="006214FF" w:rsidP="006214FF">
      <w:pPr>
        <w:spacing w:line="240" w:lineRule="auto"/>
        <w:rPr>
          <w:rFonts w:ascii="Times New Roman" w:hAnsi="Times New Roman" w:cs="Times New Roman"/>
          <w:b/>
          <w:bCs/>
          <w:sz w:val="24"/>
          <w:szCs w:val="24"/>
        </w:rPr>
      </w:pPr>
    </w:p>
    <w:p w14:paraId="179F3FF2" w14:textId="4098ED66" w:rsidR="006214FF" w:rsidRDefault="006214FF" w:rsidP="00FC50C4">
      <w:pPr>
        <w:spacing w:line="240" w:lineRule="auto"/>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Elastic Modulus of CSA-Cement Concrete</w:t>
      </w:r>
    </w:p>
    <w:p w14:paraId="7B6AF8BF" w14:textId="15B1522E" w:rsidR="00FC50C4" w:rsidRDefault="00F913FD" w:rsidP="00FC50C4">
      <w:pPr>
        <w:spacing w:line="480" w:lineRule="auto"/>
        <w:jc w:val="both"/>
        <w:rPr>
          <w:rFonts w:ascii="Times New Roman" w:hAnsi="Times New Roman" w:cs="Times New Roman"/>
          <w:sz w:val="24"/>
          <w:szCs w:val="24"/>
        </w:rPr>
      </w:pPr>
      <w:r w:rsidRPr="00F913FD">
        <w:rPr>
          <w:rFonts w:ascii="Times New Roman" w:hAnsi="Times New Roman" w:cs="Times New Roman"/>
          <w:sz w:val="24"/>
          <w:szCs w:val="24"/>
        </w:rPr>
        <w:t xml:space="preserve">Figure 5 illustrates the elastic modulus trends of concrete incorporating varying levels of coconut shell ash (CSA) as partial replacement for ordinary Portland cement (OPC), measured at different curing durations from 3 to 91 days. At an early age of 3 days, the control mix (0% CSA) exhibited the highest elastic modulus of 12.04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while the values for 10%, 20%, and 30% CSA replacements were slightly lower at 11.39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10.91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and 10.58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respectively. This trend generally continued across subsequent curing days; however, exceptions were observed at 7, 14, and 28 days, where the 10% CSA mix outperformed the control, attaining elastic modulus values of 14.78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17.05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and 19.34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respectively. By the end of the 91-day curing period, the control concrete exhibited a significantly higher elastic modulus of 28.07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compared to 19.77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(10% CSA), 17.61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(20% CSA), and 17.01 </w:t>
      </w:r>
      <w:proofErr w:type="spellStart"/>
      <w:r w:rsidRPr="00F913FD">
        <w:rPr>
          <w:rFonts w:ascii="Times New Roman" w:hAnsi="Times New Roman" w:cs="Times New Roman"/>
          <w:sz w:val="24"/>
          <w:szCs w:val="24"/>
        </w:rPr>
        <w:t>GPa</w:t>
      </w:r>
      <w:proofErr w:type="spellEnd"/>
      <w:r w:rsidRPr="00F913FD">
        <w:rPr>
          <w:rFonts w:ascii="Times New Roman" w:hAnsi="Times New Roman" w:cs="Times New Roman"/>
          <w:sz w:val="24"/>
          <w:szCs w:val="24"/>
        </w:rPr>
        <w:t xml:space="preserve"> (30% CSA).</w:t>
      </w:r>
    </w:p>
    <w:p w14:paraId="7B8B05D4" w14:textId="36071CDE" w:rsidR="00F913FD" w:rsidRDefault="00F913FD" w:rsidP="00FC50C4">
      <w:pPr>
        <w:spacing w:line="480" w:lineRule="auto"/>
        <w:jc w:val="both"/>
        <w:rPr>
          <w:rFonts w:ascii="Times New Roman" w:hAnsi="Times New Roman" w:cs="Times New Roman"/>
          <w:sz w:val="24"/>
          <w:szCs w:val="24"/>
        </w:rPr>
      </w:pPr>
      <w:r w:rsidRPr="00F913FD">
        <w:rPr>
          <w:rFonts w:ascii="Times New Roman" w:hAnsi="Times New Roman" w:cs="Times New Roman"/>
          <w:sz w:val="24"/>
          <w:szCs w:val="24"/>
        </w:rPr>
        <w:t xml:space="preserve">The observed reduction in the elastic modulus with increasing CSA content, particularly at higher replacement levels (20% and 30%), can be attributed to CSA’s porous and irregular morphology, which tends to increase water demand and reduce particle packing density. </w:t>
      </w:r>
      <w:r w:rsidRPr="00F913FD">
        <w:rPr>
          <w:rFonts w:ascii="Times New Roman" w:hAnsi="Times New Roman" w:cs="Times New Roman"/>
          <w:sz w:val="24"/>
          <w:szCs w:val="24"/>
        </w:rPr>
        <w:lastRenderedPageBreak/>
        <w:t>These physical characteristics lead to higher total porosity and, consequently, reduced stiffness (Neville, 2011). However, the superior performance of the 10% CSA concrete at certain curing stages (7–28 days) suggests the activation of pozzolanic reactions. During this period, reactive silica present in CSA reacts with calcium hydroxide released during cement hydration, forming additional calcium silicate hydrate (C–S–H), which improves the microstructure and enhances the stiffness of the concrete (</w:t>
      </w:r>
      <w:proofErr w:type="spellStart"/>
      <w:r w:rsidRPr="00F913FD">
        <w:rPr>
          <w:rFonts w:ascii="Times New Roman" w:hAnsi="Times New Roman" w:cs="Times New Roman"/>
          <w:sz w:val="24"/>
          <w:szCs w:val="24"/>
        </w:rPr>
        <w:t>Olutoge</w:t>
      </w:r>
      <w:proofErr w:type="spellEnd"/>
      <w:r w:rsidRPr="00F913FD">
        <w:rPr>
          <w:rFonts w:ascii="Times New Roman" w:hAnsi="Times New Roman" w:cs="Times New Roman"/>
          <w:sz w:val="24"/>
          <w:szCs w:val="24"/>
        </w:rPr>
        <w:t>, 2010).</w:t>
      </w:r>
    </w:p>
    <w:p w14:paraId="6208956B" w14:textId="69BB356C" w:rsidR="00F913FD" w:rsidRDefault="00F913FD" w:rsidP="00FC50C4">
      <w:pPr>
        <w:spacing w:line="480" w:lineRule="auto"/>
        <w:jc w:val="both"/>
        <w:rPr>
          <w:rFonts w:ascii="Times New Roman" w:hAnsi="Times New Roman" w:cs="Times New Roman"/>
          <w:sz w:val="24"/>
          <w:szCs w:val="24"/>
        </w:rPr>
      </w:pPr>
      <w:r w:rsidRPr="00F913FD">
        <w:rPr>
          <w:rFonts w:ascii="Times New Roman" w:hAnsi="Times New Roman" w:cs="Times New Roman"/>
          <w:sz w:val="24"/>
          <w:szCs w:val="24"/>
        </w:rPr>
        <w:t>This performance trend aligns with findings from recent studies on sustainable concrete. Pacheco-</w:t>
      </w:r>
      <w:proofErr w:type="spellStart"/>
      <w:r w:rsidRPr="00F913FD">
        <w:rPr>
          <w:rFonts w:ascii="Times New Roman" w:hAnsi="Times New Roman" w:cs="Times New Roman"/>
          <w:sz w:val="24"/>
          <w:szCs w:val="24"/>
        </w:rPr>
        <w:t>Torgal</w:t>
      </w:r>
      <w:proofErr w:type="spellEnd"/>
      <w:r>
        <w:rPr>
          <w:rFonts w:ascii="Times New Roman" w:hAnsi="Times New Roman" w:cs="Times New Roman"/>
          <w:sz w:val="24"/>
          <w:szCs w:val="24"/>
        </w:rPr>
        <w:t xml:space="preserve"> et al. </w:t>
      </w:r>
      <w:r w:rsidRPr="00F913FD">
        <w:rPr>
          <w:rFonts w:ascii="Times New Roman" w:hAnsi="Times New Roman" w:cs="Times New Roman"/>
          <w:sz w:val="24"/>
          <w:szCs w:val="24"/>
        </w:rPr>
        <w:t>(2019) reported that partial replacement of OPC with agro-waste materials like CSA can enhance specific mechanical properties, including stiffness, due to both filler effects and secondary hydration. However, exceeding an optimal replacement level (often around 10–15%) may lead to underperformance due to dilution of the binder system and lower availability of calcium hydroxide to support pozzolanic reaction</w:t>
      </w:r>
      <w:r w:rsidR="00003221">
        <w:rPr>
          <w:rFonts w:ascii="Times New Roman" w:hAnsi="Times New Roman" w:cs="Times New Roman"/>
          <w:sz w:val="24"/>
          <w:szCs w:val="24"/>
        </w:rPr>
        <w:t>.</w:t>
      </w:r>
    </w:p>
    <w:p w14:paraId="0CC9E1A4" w14:textId="5EE2E12E" w:rsidR="00003221" w:rsidRDefault="00003221" w:rsidP="00FC50C4">
      <w:pPr>
        <w:spacing w:line="480" w:lineRule="auto"/>
        <w:jc w:val="both"/>
        <w:rPr>
          <w:rFonts w:ascii="Times New Roman" w:hAnsi="Times New Roman" w:cs="Times New Roman"/>
          <w:sz w:val="24"/>
          <w:szCs w:val="24"/>
        </w:rPr>
      </w:pPr>
      <w:r w:rsidRPr="00003221">
        <w:rPr>
          <w:rFonts w:ascii="Times New Roman" w:hAnsi="Times New Roman" w:cs="Times New Roman"/>
          <w:sz w:val="24"/>
          <w:szCs w:val="24"/>
        </w:rPr>
        <w:t>In conclusion, while the overall trend shows decreasing elastic modulus with increasing CSA content, a 10% replacement level appears to offer mechanical benefits during intermediate curing stages. This supports the use of CSA as a sustainable cement replacement material, offering environmental advantages without substantial compromise on structural performance. Further optimization studies could help identify the optimal blend ratio for maximizing both mechanical and durability attributes</w:t>
      </w:r>
      <w:r>
        <w:rPr>
          <w:rFonts w:ascii="Times New Roman" w:hAnsi="Times New Roman" w:cs="Times New Roman"/>
          <w:sz w:val="24"/>
          <w:szCs w:val="24"/>
        </w:rPr>
        <w:t>.</w:t>
      </w:r>
    </w:p>
    <w:p w14:paraId="09FD00B1" w14:textId="58BBFD5C" w:rsidR="006214FF" w:rsidRDefault="00FC50C4" w:rsidP="006214FF">
      <w:pPr>
        <w:spacing w:line="480" w:lineRule="auto"/>
        <w:rPr>
          <w:rFonts w:ascii="Times New Roman" w:hAnsi="Times New Roman" w:cs="Times New Roman"/>
          <w:b/>
          <w:bCs/>
          <w:sz w:val="24"/>
          <w:szCs w:val="24"/>
        </w:rPr>
      </w:pPr>
      <w:r>
        <w:rPr>
          <w:noProof/>
        </w:rPr>
        <w:lastRenderedPageBreak/>
        <w:drawing>
          <wp:inline distT="0" distB="0" distL="0" distR="0" wp14:anchorId="3EF39ED8" wp14:editId="6A235BE7">
            <wp:extent cx="5731510" cy="3684905"/>
            <wp:effectExtent l="0" t="0" r="2540" b="10795"/>
            <wp:docPr id="1033240781" name="Chart 1">
              <a:extLst xmlns:a="http://schemas.openxmlformats.org/drawingml/2006/main">
                <a:ext uri="{FF2B5EF4-FFF2-40B4-BE49-F238E27FC236}">
                  <a16:creationId xmlns:a16="http://schemas.microsoft.com/office/drawing/2014/main" id="{993F3F16-DF1B-507D-717C-A5B14BA6A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D5C0FD" w14:textId="2C1EACCF" w:rsidR="00003221" w:rsidRDefault="00003221" w:rsidP="0000322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5. Elastic Modulus of CSA-Cement Concrete for Different Concrete Ages</w:t>
      </w:r>
    </w:p>
    <w:p w14:paraId="17C23BFC" w14:textId="77777777" w:rsidR="00003221" w:rsidRDefault="00003221" w:rsidP="00003221">
      <w:pPr>
        <w:spacing w:line="480" w:lineRule="auto"/>
        <w:rPr>
          <w:rFonts w:ascii="Times New Roman" w:hAnsi="Times New Roman" w:cs="Times New Roman"/>
          <w:b/>
          <w:bCs/>
          <w:sz w:val="24"/>
          <w:szCs w:val="24"/>
        </w:rPr>
      </w:pPr>
    </w:p>
    <w:p w14:paraId="0BF9C768" w14:textId="5B603CC3" w:rsidR="00003221" w:rsidRDefault="00003221" w:rsidP="00003221">
      <w:pPr>
        <w:spacing w:line="480" w:lineRule="auto"/>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t>Conclusions</w:t>
      </w:r>
    </w:p>
    <w:p w14:paraId="464A12A4" w14:textId="2E57A6F6" w:rsidR="00003221" w:rsidRDefault="00003221" w:rsidP="00003221">
      <w:pPr>
        <w:spacing w:line="480" w:lineRule="auto"/>
        <w:jc w:val="both"/>
        <w:rPr>
          <w:rFonts w:ascii="Times New Roman" w:hAnsi="Times New Roman" w:cs="Times New Roman"/>
          <w:sz w:val="24"/>
          <w:szCs w:val="24"/>
        </w:rPr>
      </w:pPr>
      <w:r>
        <w:rPr>
          <w:rFonts w:ascii="Times New Roman" w:hAnsi="Times New Roman" w:cs="Times New Roman"/>
          <w:sz w:val="24"/>
          <w:szCs w:val="24"/>
        </w:rPr>
        <w:t>The following conclusion are hereby put forward from the results and discussion of this study;</w:t>
      </w:r>
    </w:p>
    <w:p w14:paraId="5CDB7416" w14:textId="065C13D0" w:rsidR="00003221" w:rsidRDefault="00003221" w:rsidP="00003221">
      <w:pPr>
        <w:pStyle w:val="ListParagraph"/>
        <w:numPr>
          <w:ilvl w:val="0"/>
          <w:numId w:val="3"/>
        </w:numPr>
        <w:spacing w:line="480" w:lineRule="auto"/>
        <w:jc w:val="both"/>
        <w:rPr>
          <w:rFonts w:ascii="Times New Roman" w:hAnsi="Times New Roman" w:cs="Times New Roman"/>
          <w:sz w:val="24"/>
          <w:szCs w:val="24"/>
        </w:rPr>
      </w:pPr>
      <w:r w:rsidRPr="00003221">
        <w:rPr>
          <w:rFonts w:ascii="Times New Roman" w:hAnsi="Times New Roman" w:cs="Times New Roman"/>
          <w:sz w:val="24"/>
          <w:szCs w:val="24"/>
        </w:rPr>
        <w:t>Increasing coconut shell ash (CSA) content in concrete consistently reduces slump, indicating lower workability.</w:t>
      </w:r>
      <w:r>
        <w:rPr>
          <w:rFonts w:ascii="Times New Roman" w:hAnsi="Times New Roman" w:cs="Times New Roman"/>
          <w:sz w:val="24"/>
          <w:szCs w:val="24"/>
        </w:rPr>
        <w:t xml:space="preserve"> </w:t>
      </w:r>
      <w:r w:rsidRPr="00003221">
        <w:rPr>
          <w:rFonts w:ascii="Times New Roman" w:hAnsi="Times New Roman" w:cs="Times New Roman"/>
          <w:sz w:val="24"/>
          <w:szCs w:val="24"/>
        </w:rPr>
        <w:t>This reduction, reaching 58.3% at 30% CSA, is due to CSA’s high-water absorption and surface area.</w:t>
      </w:r>
      <w:r>
        <w:rPr>
          <w:rFonts w:ascii="Times New Roman" w:hAnsi="Times New Roman" w:cs="Times New Roman"/>
          <w:sz w:val="24"/>
          <w:szCs w:val="24"/>
        </w:rPr>
        <w:t xml:space="preserve"> </w:t>
      </w:r>
      <w:r w:rsidRPr="00003221">
        <w:rPr>
          <w:rFonts w:ascii="Times New Roman" w:hAnsi="Times New Roman" w:cs="Times New Roman"/>
          <w:sz w:val="24"/>
          <w:szCs w:val="24"/>
        </w:rPr>
        <w:t xml:space="preserve">Such </w:t>
      </w:r>
      <w:proofErr w:type="spellStart"/>
      <w:r w:rsidRPr="00003221">
        <w:rPr>
          <w:rFonts w:ascii="Times New Roman" w:hAnsi="Times New Roman" w:cs="Times New Roman"/>
          <w:sz w:val="24"/>
          <w:szCs w:val="24"/>
        </w:rPr>
        <w:t>behaviour</w:t>
      </w:r>
      <w:proofErr w:type="spellEnd"/>
      <w:r w:rsidRPr="00003221">
        <w:rPr>
          <w:rFonts w:ascii="Times New Roman" w:hAnsi="Times New Roman" w:cs="Times New Roman"/>
          <w:sz w:val="24"/>
          <w:szCs w:val="24"/>
        </w:rPr>
        <w:t xml:space="preserve"> aligns with established studies and standards on supplementary cementitious materials.</w:t>
      </w:r>
      <w:r>
        <w:rPr>
          <w:rFonts w:ascii="Times New Roman" w:hAnsi="Times New Roman" w:cs="Times New Roman"/>
          <w:sz w:val="24"/>
          <w:szCs w:val="24"/>
        </w:rPr>
        <w:t xml:space="preserve"> </w:t>
      </w:r>
      <w:r w:rsidRPr="00003221">
        <w:rPr>
          <w:rFonts w:ascii="Times New Roman" w:hAnsi="Times New Roman" w:cs="Times New Roman"/>
          <w:sz w:val="24"/>
          <w:szCs w:val="24"/>
        </w:rPr>
        <w:t>Workability losses can be mitigated using admixtures or slight mix design adjustments.</w:t>
      </w:r>
    </w:p>
    <w:p w14:paraId="208D14C6" w14:textId="41C446C3" w:rsidR="00003221" w:rsidRDefault="00003221" w:rsidP="00003221">
      <w:pPr>
        <w:pStyle w:val="ListParagraph"/>
        <w:numPr>
          <w:ilvl w:val="0"/>
          <w:numId w:val="3"/>
        </w:numPr>
        <w:spacing w:line="480" w:lineRule="auto"/>
        <w:jc w:val="both"/>
        <w:rPr>
          <w:rFonts w:ascii="Times New Roman" w:hAnsi="Times New Roman" w:cs="Times New Roman"/>
          <w:sz w:val="24"/>
          <w:szCs w:val="24"/>
        </w:rPr>
      </w:pPr>
      <w:r w:rsidRPr="00003221">
        <w:rPr>
          <w:rFonts w:ascii="Times New Roman" w:hAnsi="Times New Roman" w:cs="Times New Roman"/>
          <w:sz w:val="24"/>
          <w:szCs w:val="24"/>
        </w:rPr>
        <w:t xml:space="preserve">The elastic modulus of CSA-cement concrete generally decreased with increasing CSA content due to higher porosity and reduced stiffness; however, a 10% CSA </w:t>
      </w:r>
      <w:r w:rsidRPr="00003221">
        <w:rPr>
          <w:rFonts w:ascii="Times New Roman" w:hAnsi="Times New Roman" w:cs="Times New Roman"/>
          <w:sz w:val="24"/>
          <w:szCs w:val="24"/>
        </w:rPr>
        <w:lastRenderedPageBreak/>
        <w:t>replacement showed improved performance at 7–28 days, likely from pozzolanic activity enhancing C–S–H formation.</w:t>
      </w:r>
    </w:p>
    <w:p w14:paraId="458C0C9D" w14:textId="5DAB4C6E" w:rsidR="00003221" w:rsidRDefault="00003221" w:rsidP="00003221">
      <w:pPr>
        <w:pStyle w:val="ListParagraph"/>
        <w:numPr>
          <w:ilvl w:val="0"/>
          <w:numId w:val="3"/>
        </w:numPr>
        <w:spacing w:line="480" w:lineRule="auto"/>
        <w:jc w:val="both"/>
        <w:rPr>
          <w:rFonts w:ascii="Times New Roman" w:hAnsi="Times New Roman" w:cs="Times New Roman"/>
          <w:sz w:val="24"/>
          <w:szCs w:val="24"/>
        </w:rPr>
      </w:pPr>
      <w:r w:rsidRPr="00003221">
        <w:rPr>
          <w:rFonts w:ascii="Times New Roman" w:hAnsi="Times New Roman" w:cs="Times New Roman"/>
          <w:sz w:val="24"/>
          <w:szCs w:val="24"/>
        </w:rPr>
        <w:t>Although high CSA contents (20–30%) compromised stiffness, the 10% replacement level demonstrated a balance between sustainability and mechanical performance, highlighting its potential as an optimal blend for durable, eco-friendly concrete</w:t>
      </w:r>
      <w:r>
        <w:rPr>
          <w:rFonts w:ascii="Times New Roman" w:hAnsi="Times New Roman" w:cs="Times New Roman"/>
          <w:sz w:val="24"/>
          <w:szCs w:val="24"/>
        </w:rPr>
        <w:t>.</w:t>
      </w:r>
    </w:p>
    <w:p w14:paraId="1408ACC9" w14:textId="77777777" w:rsidR="0065469F" w:rsidRDefault="0065469F" w:rsidP="0065469F">
      <w:pPr>
        <w:pStyle w:val="ListParagraph"/>
        <w:spacing w:line="480" w:lineRule="auto"/>
        <w:ind w:left="1080"/>
        <w:jc w:val="both"/>
        <w:rPr>
          <w:rFonts w:ascii="Times New Roman" w:hAnsi="Times New Roman" w:cs="Times New Roman"/>
          <w:sz w:val="24"/>
          <w:szCs w:val="24"/>
        </w:rPr>
      </w:pPr>
    </w:p>
    <w:p w14:paraId="05B8BAE6" w14:textId="6ADEB6C7" w:rsidR="00003221" w:rsidRDefault="00003221" w:rsidP="00003221">
      <w:pPr>
        <w:pStyle w:val="ListParagraph"/>
        <w:spacing w:line="240" w:lineRule="auto"/>
        <w:ind w:left="1080"/>
        <w:jc w:val="center"/>
        <w:rPr>
          <w:rFonts w:ascii="Times New Roman" w:hAnsi="Times New Roman" w:cs="Times New Roman"/>
          <w:b/>
          <w:bCs/>
          <w:sz w:val="24"/>
          <w:szCs w:val="24"/>
        </w:rPr>
      </w:pPr>
      <w:r w:rsidRPr="00003221">
        <w:rPr>
          <w:rFonts w:ascii="Times New Roman" w:hAnsi="Times New Roman" w:cs="Times New Roman"/>
          <w:b/>
          <w:bCs/>
          <w:sz w:val="24"/>
          <w:szCs w:val="24"/>
        </w:rPr>
        <w:t>REFERENCES</w:t>
      </w:r>
    </w:p>
    <w:p w14:paraId="40F43ECC"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ACI Committee 211.1. (1991). </w:t>
      </w:r>
      <w:r w:rsidRPr="0065469F">
        <w:rPr>
          <w:rFonts w:ascii="Times New Roman" w:hAnsi="Times New Roman" w:cs="Times New Roman"/>
          <w:i/>
          <w:iCs/>
          <w:sz w:val="24"/>
          <w:szCs w:val="24"/>
        </w:rPr>
        <w:t>Standard practice for selecting proportions for normal, heavyweight, and mass concrete</w:t>
      </w:r>
      <w:r w:rsidRPr="0065469F">
        <w:rPr>
          <w:rFonts w:ascii="Times New Roman" w:hAnsi="Times New Roman" w:cs="Times New Roman"/>
          <w:sz w:val="24"/>
          <w:szCs w:val="24"/>
        </w:rPr>
        <w:t xml:space="preserve"> (ACI 211.1-91). American Concrete Institute.</w:t>
      </w:r>
    </w:p>
    <w:p w14:paraId="7519FEFC"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ACI Committee 318. (2014). </w:t>
      </w:r>
      <w:r w:rsidRPr="0065469F">
        <w:rPr>
          <w:rFonts w:ascii="Times New Roman" w:hAnsi="Times New Roman" w:cs="Times New Roman"/>
          <w:i/>
          <w:iCs/>
          <w:sz w:val="24"/>
          <w:szCs w:val="24"/>
        </w:rPr>
        <w:t>Building code requirements for structural concrete and commentary (ACI 318-14)</w:t>
      </w:r>
      <w:r w:rsidRPr="0065469F">
        <w:rPr>
          <w:rFonts w:ascii="Times New Roman" w:hAnsi="Times New Roman" w:cs="Times New Roman"/>
          <w:sz w:val="24"/>
          <w:szCs w:val="24"/>
        </w:rPr>
        <w:t>. American Concrete Institute.</w:t>
      </w:r>
    </w:p>
    <w:p w14:paraId="0157F273"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ASTM C143/C143M-20. (2020). </w:t>
      </w:r>
      <w:r w:rsidRPr="0065469F">
        <w:rPr>
          <w:rFonts w:ascii="Times New Roman" w:hAnsi="Times New Roman" w:cs="Times New Roman"/>
          <w:i/>
          <w:iCs/>
          <w:sz w:val="24"/>
          <w:szCs w:val="24"/>
        </w:rPr>
        <w:t>Standard test method for slump of hydraulic-cement concrete</w:t>
      </w:r>
      <w:r w:rsidRPr="0065469F">
        <w:rPr>
          <w:rFonts w:ascii="Times New Roman" w:hAnsi="Times New Roman" w:cs="Times New Roman"/>
          <w:sz w:val="24"/>
          <w:szCs w:val="24"/>
        </w:rPr>
        <w:t>. ASTM International. https://www.astm.org/c0143_c0143m-20.html</w:t>
      </w:r>
    </w:p>
    <w:p w14:paraId="25FCE4A5" w14:textId="77777777" w:rsidR="00003221" w:rsidRDefault="00003221" w:rsidP="0065469F">
      <w:pPr>
        <w:pStyle w:val="ListParagraph"/>
        <w:numPr>
          <w:ilvl w:val="0"/>
          <w:numId w:val="4"/>
        </w:numPr>
        <w:jc w:val="both"/>
      </w:pPr>
      <w:proofErr w:type="spellStart"/>
      <w:r w:rsidRPr="0065469F">
        <w:rPr>
          <w:rFonts w:ascii="Times New Roman" w:hAnsi="Times New Roman" w:cs="Times New Roman"/>
          <w:sz w:val="24"/>
          <w:szCs w:val="24"/>
        </w:rPr>
        <w:t>Barveen</w:t>
      </w:r>
      <w:proofErr w:type="spellEnd"/>
      <w:r w:rsidRPr="0065469F">
        <w:rPr>
          <w:rFonts w:ascii="Times New Roman" w:hAnsi="Times New Roman" w:cs="Times New Roman"/>
          <w:sz w:val="24"/>
          <w:szCs w:val="24"/>
        </w:rPr>
        <w:t xml:space="preserve">, S. (2018). </w:t>
      </w:r>
      <w:r w:rsidRPr="0065469F">
        <w:rPr>
          <w:rFonts w:ascii="Times New Roman" w:hAnsi="Times New Roman" w:cs="Times New Roman"/>
          <w:i/>
          <w:iCs/>
          <w:sz w:val="24"/>
          <w:szCs w:val="24"/>
        </w:rPr>
        <w:t>Coconut shell ash as cementitious material in concrete: A review</w:t>
      </w:r>
      <w:r w:rsidRPr="0065469F">
        <w:rPr>
          <w:rFonts w:ascii="Times New Roman" w:hAnsi="Times New Roman" w:cs="Times New Roman"/>
          <w:sz w:val="24"/>
          <w:szCs w:val="24"/>
        </w:rPr>
        <w:t xml:space="preserve">. Retrieved from </w:t>
      </w:r>
      <w:hyperlink r:id="rId12" w:tgtFrame="_new" w:history="1">
        <w:r w:rsidRPr="0065469F">
          <w:rPr>
            <w:rStyle w:val="Hyperlink"/>
            <w:rFonts w:ascii="Times New Roman" w:hAnsi="Times New Roman" w:cs="Times New Roman"/>
            <w:sz w:val="24"/>
            <w:szCs w:val="24"/>
          </w:rPr>
          <w:t>https://www.scribd.com/document/597465949/03</w:t>
        </w:r>
      </w:hyperlink>
    </w:p>
    <w:p w14:paraId="71DC50A0"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Bheel, N., </w:t>
      </w:r>
      <w:proofErr w:type="spellStart"/>
      <w:r w:rsidRPr="0065469F">
        <w:rPr>
          <w:rFonts w:ascii="Times New Roman" w:hAnsi="Times New Roman" w:cs="Times New Roman"/>
          <w:sz w:val="24"/>
          <w:szCs w:val="24"/>
        </w:rPr>
        <w:t>Mahro</w:t>
      </w:r>
      <w:proofErr w:type="spellEnd"/>
      <w:r w:rsidRPr="0065469F">
        <w:rPr>
          <w:rFonts w:ascii="Times New Roman" w:hAnsi="Times New Roman" w:cs="Times New Roman"/>
          <w:sz w:val="24"/>
          <w:szCs w:val="24"/>
        </w:rPr>
        <w:t xml:space="preserve">, M., &amp; Adesina, A. (2020). </w:t>
      </w:r>
      <w:r w:rsidRPr="0065469F">
        <w:rPr>
          <w:rFonts w:ascii="Times New Roman" w:hAnsi="Times New Roman" w:cs="Times New Roman"/>
          <w:i/>
          <w:iCs/>
          <w:sz w:val="24"/>
          <w:szCs w:val="24"/>
        </w:rPr>
        <w:t>Modulus and strength of concretes with alternative materials</w:t>
      </w:r>
      <w:r w:rsidRPr="0065469F">
        <w:rPr>
          <w:rFonts w:ascii="Times New Roman" w:hAnsi="Times New Roman" w:cs="Times New Roman"/>
          <w:sz w:val="24"/>
          <w:szCs w:val="24"/>
        </w:rPr>
        <w:t xml:space="preserve">. Retrieved from </w:t>
      </w:r>
      <w:hyperlink r:id="rId13" w:tgtFrame="_new" w:history="1">
        <w:r w:rsidRPr="0065469F">
          <w:rPr>
            <w:rStyle w:val="Hyperlink"/>
            <w:rFonts w:ascii="Times New Roman" w:hAnsi="Times New Roman" w:cs="Times New Roman"/>
            <w:sz w:val="24"/>
            <w:szCs w:val="24"/>
          </w:rPr>
          <w:t>https://pmc.ncbi.nlm.nih.gov/articles/PMC7579585/</w:t>
        </w:r>
      </w:hyperlink>
      <w:r w:rsidRPr="0065469F">
        <w:rPr>
          <w:rFonts w:ascii="Times New Roman" w:hAnsi="Times New Roman" w:cs="Times New Roman"/>
          <w:sz w:val="24"/>
          <w:szCs w:val="24"/>
        </w:rPr>
        <w:t xml:space="preserve"> </w:t>
      </w:r>
    </w:p>
    <w:p w14:paraId="2C0E08CB"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Bheel, N., Mangi, S. A., &amp; Meghwar, S. L. (2021). Coconut shell ash as cementitious material in concrete: A review. </w:t>
      </w:r>
      <w:proofErr w:type="spellStart"/>
      <w:r w:rsidRPr="0065469F">
        <w:rPr>
          <w:rFonts w:ascii="Times New Roman" w:hAnsi="Times New Roman" w:cs="Times New Roman"/>
          <w:i/>
          <w:iCs/>
          <w:sz w:val="24"/>
          <w:szCs w:val="24"/>
        </w:rPr>
        <w:t>Jurnal</w:t>
      </w:r>
      <w:proofErr w:type="spellEnd"/>
      <w:r w:rsidRPr="0065469F">
        <w:rPr>
          <w:rFonts w:ascii="Times New Roman" w:hAnsi="Times New Roman" w:cs="Times New Roman"/>
          <w:i/>
          <w:iCs/>
          <w:sz w:val="24"/>
          <w:szCs w:val="24"/>
        </w:rPr>
        <w:t xml:space="preserve"> </w:t>
      </w:r>
      <w:proofErr w:type="spellStart"/>
      <w:r w:rsidRPr="0065469F">
        <w:rPr>
          <w:rFonts w:ascii="Times New Roman" w:hAnsi="Times New Roman" w:cs="Times New Roman"/>
          <w:i/>
          <w:iCs/>
          <w:sz w:val="24"/>
          <w:szCs w:val="24"/>
        </w:rPr>
        <w:t>Kejuruteraan</w:t>
      </w:r>
      <w:proofErr w:type="spellEnd"/>
      <w:r w:rsidRPr="0065469F">
        <w:rPr>
          <w:rFonts w:ascii="Times New Roman" w:hAnsi="Times New Roman" w:cs="Times New Roman"/>
          <w:sz w:val="24"/>
          <w:szCs w:val="24"/>
        </w:rPr>
        <w:t>, 33(1), 27–38. https://journalarticle.ukm.my/16471</w:t>
      </w:r>
    </w:p>
    <w:p w14:paraId="31741CF4"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British Standards Institution. (2013). </w:t>
      </w:r>
      <w:r w:rsidRPr="0065469F">
        <w:rPr>
          <w:rFonts w:ascii="Times New Roman" w:hAnsi="Times New Roman" w:cs="Times New Roman"/>
          <w:i/>
          <w:iCs/>
          <w:sz w:val="24"/>
          <w:szCs w:val="24"/>
        </w:rPr>
        <w:t>BS EN 206:2013. Concrete – Specification, performance, production and conformity</w:t>
      </w:r>
      <w:r w:rsidRPr="0065469F">
        <w:rPr>
          <w:rFonts w:ascii="Times New Roman" w:hAnsi="Times New Roman" w:cs="Times New Roman"/>
          <w:sz w:val="24"/>
          <w:szCs w:val="24"/>
        </w:rPr>
        <w:t>. https://shop.bsigroup.com</w:t>
      </w:r>
    </w:p>
    <w:p w14:paraId="4E8781E0"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British Standards Institution. (2019). </w:t>
      </w:r>
      <w:r w:rsidRPr="0065469F">
        <w:rPr>
          <w:rFonts w:ascii="Times New Roman" w:hAnsi="Times New Roman" w:cs="Times New Roman"/>
          <w:i/>
          <w:iCs/>
          <w:sz w:val="24"/>
          <w:szCs w:val="24"/>
        </w:rPr>
        <w:t>BS EN 12350-2:2019. Testing fresh concrete – Part 2: Slump test</w:t>
      </w:r>
      <w:r w:rsidRPr="0065469F">
        <w:rPr>
          <w:rFonts w:ascii="Times New Roman" w:hAnsi="Times New Roman" w:cs="Times New Roman"/>
          <w:sz w:val="24"/>
          <w:szCs w:val="24"/>
        </w:rPr>
        <w:t>. https://shop.bsigroup.com</w:t>
      </w:r>
    </w:p>
    <w:p w14:paraId="3F8E41EC"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Canadian Standards Association. (2014). </w:t>
      </w:r>
      <w:r w:rsidRPr="0065469F">
        <w:rPr>
          <w:rFonts w:ascii="Times New Roman" w:hAnsi="Times New Roman" w:cs="Times New Roman"/>
          <w:i/>
          <w:iCs/>
          <w:sz w:val="24"/>
          <w:szCs w:val="24"/>
        </w:rPr>
        <w:t>Design of concrete structures (CSA A23.3-14)</w:t>
      </w:r>
      <w:r w:rsidRPr="0065469F">
        <w:rPr>
          <w:rFonts w:ascii="Times New Roman" w:hAnsi="Times New Roman" w:cs="Times New Roman"/>
          <w:sz w:val="24"/>
          <w:szCs w:val="24"/>
        </w:rPr>
        <w:t>. CSA Group.</w:t>
      </w:r>
    </w:p>
    <w:p w14:paraId="4F83C284"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proofErr w:type="spellStart"/>
      <w:r w:rsidRPr="0065469F">
        <w:rPr>
          <w:rFonts w:ascii="Times New Roman" w:hAnsi="Times New Roman" w:cs="Times New Roman"/>
          <w:sz w:val="24"/>
          <w:szCs w:val="24"/>
        </w:rPr>
        <w:t>Kumator</w:t>
      </w:r>
      <w:proofErr w:type="spellEnd"/>
      <w:r w:rsidRPr="0065469F">
        <w:rPr>
          <w:rFonts w:ascii="Times New Roman" w:hAnsi="Times New Roman" w:cs="Times New Roman"/>
          <w:sz w:val="24"/>
          <w:szCs w:val="24"/>
        </w:rPr>
        <w:t xml:space="preserve">, T. (2019). </w:t>
      </w:r>
      <w:r w:rsidRPr="0065469F">
        <w:rPr>
          <w:rFonts w:ascii="Times New Roman" w:hAnsi="Times New Roman" w:cs="Times New Roman"/>
          <w:i/>
          <w:iCs/>
          <w:sz w:val="24"/>
          <w:szCs w:val="24"/>
        </w:rPr>
        <w:t>Nanomechanical properties of coconut shell ash blended cement mortar</w:t>
      </w:r>
      <w:r w:rsidRPr="0065469F">
        <w:rPr>
          <w:rFonts w:ascii="Times New Roman" w:hAnsi="Times New Roman" w:cs="Times New Roman"/>
          <w:sz w:val="24"/>
          <w:szCs w:val="24"/>
        </w:rPr>
        <w:t xml:space="preserve">. Retrieved from </w:t>
      </w:r>
      <w:hyperlink r:id="rId14" w:tgtFrame="_new" w:history="1">
        <w:r w:rsidRPr="0065469F">
          <w:rPr>
            <w:rStyle w:val="Hyperlink"/>
            <w:rFonts w:ascii="Times New Roman" w:hAnsi="Times New Roman" w:cs="Times New Roman"/>
            <w:sz w:val="24"/>
            <w:szCs w:val="24"/>
          </w:rPr>
          <w:t>https://www.academia.edu/40513175/NANOMECHANICAL_PROPERTIES_OF_COCONUT_SHELL_ASH_BLENDED_CEMENT_MORTAR</w:t>
        </w:r>
      </w:hyperlink>
      <w:r w:rsidRPr="0065469F">
        <w:rPr>
          <w:rFonts w:ascii="Times New Roman" w:hAnsi="Times New Roman" w:cs="Times New Roman"/>
          <w:sz w:val="24"/>
          <w:szCs w:val="24"/>
        </w:rPr>
        <w:t xml:space="preserve"> </w:t>
      </w:r>
    </w:p>
    <w:p w14:paraId="0CCA1C3F"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proofErr w:type="spellStart"/>
      <w:r w:rsidRPr="0065469F">
        <w:rPr>
          <w:rFonts w:ascii="Times New Roman" w:hAnsi="Times New Roman" w:cs="Times New Roman"/>
          <w:sz w:val="24"/>
          <w:szCs w:val="24"/>
        </w:rPr>
        <w:t>Mahro</w:t>
      </w:r>
      <w:proofErr w:type="spellEnd"/>
      <w:r w:rsidRPr="0065469F">
        <w:rPr>
          <w:rFonts w:ascii="Times New Roman" w:hAnsi="Times New Roman" w:cs="Times New Roman"/>
          <w:sz w:val="24"/>
          <w:szCs w:val="24"/>
        </w:rPr>
        <w:t xml:space="preserve">, M., Bheel, N., &amp; Adesina, A. (2020). </w:t>
      </w:r>
      <w:r w:rsidRPr="0065469F">
        <w:rPr>
          <w:rFonts w:ascii="Times New Roman" w:hAnsi="Times New Roman" w:cs="Times New Roman"/>
          <w:i/>
          <w:iCs/>
          <w:sz w:val="24"/>
          <w:szCs w:val="24"/>
        </w:rPr>
        <w:t>Concrete reinforced with sisal fibers (SSF): Overview of mechanical and physical properties</w:t>
      </w:r>
      <w:r w:rsidRPr="0065469F">
        <w:rPr>
          <w:rFonts w:ascii="Times New Roman" w:hAnsi="Times New Roman" w:cs="Times New Roman"/>
          <w:sz w:val="24"/>
          <w:szCs w:val="24"/>
        </w:rPr>
        <w:t xml:space="preserve">. Retrieved from </w:t>
      </w:r>
      <w:hyperlink r:id="rId15" w:tgtFrame="_new" w:history="1">
        <w:r w:rsidRPr="0065469F">
          <w:rPr>
            <w:rStyle w:val="Hyperlink"/>
            <w:rFonts w:ascii="Times New Roman" w:hAnsi="Times New Roman" w:cs="Times New Roman"/>
            <w:sz w:val="24"/>
            <w:szCs w:val="24"/>
          </w:rPr>
          <w:t>https://www.mdpi.com/2073-4352/12/7/952</w:t>
        </w:r>
      </w:hyperlink>
    </w:p>
    <w:p w14:paraId="40AA4BA4"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Neville, A. M. (2011). </w:t>
      </w:r>
      <w:r w:rsidRPr="0065469F">
        <w:rPr>
          <w:rFonts w:ascii="Times New Roman" w:hAnsi="Times New Roman" w:cs="Times New Roman"/>
          <w:i/>
          <w:iCs/>
          <w:sz w:val="24"/>
          <w:szCs w:val="24"/>
        </w:rPr>
        <w:t>Properties of concrete</w:t>
      </w:r>
      <w:r w:rsidRPr="0065469F">
        <w:rPr>
          <w:rFonts w:ascii="Times New Roman" w:hAnsi="Times New Roman" w:cs="Times New Roman"/>
          <w:sz w:val="24"/>
          <w:szCs w:val="24"/>
        </w:rPr>
        <w:t xml:space="preserve"> (5th ed.). Pearson Education Limited.</w:t>
      </w:r>
    </w:p>
    <w:p w14:paraId="6024B99A"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Neville, A. M. (2011). </w:t>
      </w:r>
      <w:r w:rsidRPr="0065469F">
        <w:rPr>
          <w:rFonts w:ascii="Times New Roman" w:hAnsi="Times New Roman" w:cs="Times New Roman"/>
          <w:i/>
          <w:iCs/>
          <w:sz w:val="24"/>
          <w:szCs w:val="24"/>
        </w:rPr>
        <w:t>Properties of concrete</w:t>
      </w:r>
      <w:r w:rsidRPr="0065469F">
        <w:rPr>
          <w:rFonts w:ascii="Times New Roman" w:hAnsi="Times New Roman" w:cs="Times New Roman"/>
          <w:sz w:val="24"/>
          <w:szCs w:val="24"/>
        </w:rPr>
        <w:t xml:space="preserve"> (5th ed.). Pearson Education Limited.</w:t>
      </w:r>
    </w:p>
    <w:p w14:paraId="7BF13FC7"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Nigerian Industrial Standards (NIS 444-1:2003). (2003). </w:t>
      </w:r>
      <w:r w:rsidRPr="0065469F">
        <w:rPr>
          <w:rFonts w:ascii="Times New Roman" w:hAnsi="Times New Roman" w:cs="Times New Roman"/>
          <w:i/>
          <w:iCs/>
          <w:sz w:val="24"/>
          <w:szCs w:val="24"/>
        </w:rPr>
        <w:t>Cement – Part 1: Composition, specifications and conformity criteria for common cements</w:t>
      </w:r>
      <w:r w:rsidRPr="0065469F">
        <w:rPr>
          <w:rFonts w:ascii="Times New Roman" w:hAnsi="Times New Roman" w:cs="Times New Roman"/>
          <w:sz w:val="24"/>
          <w:szCs w:val="24"/>
        </w:rPr>
        <w:t xml:space="preserve">. Standards </w:t>
      </w:r>
      <w:proofErr w:type="spellStart"/>
      <w:r w:rsidRPr="0065469F">
        <w:rPr>
          <w:rFonts w:ascii="Times New Roman" w:hAnsi="Times New Roman" w:cs="Times New Roman"/>
          <w:sz w:val="24"/>
          <w:szCs w:val="24"/>
        </w:rPr>
        <w:t>Organisation</w:t>
      </w:r>
      <w:proofErr w:type="spellEnd"/>
      <w:r w:rsidRPr="0065469F">
        <w:rPr>
          <w:rFonts w:ascii="Times New Roman" w:hAnsi="Times New Roman" w:cs="Times New Roman"/>
          <w:sz w:val="24"/>
          <w:szCs w:val="24"/>
        </w:rPr>
        <w:t xml:space="preserve"> of Nigeria.</w:t>
      </w:r>
    </w:p>
    <w:p w14:paraId="7128B8A4"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proofErr w:type="spellStart"/>
      <w:r w:rsidRPr="0065469F">
        <w:rPr>
          <w:rFonts w:ascii="Times New Roman" w:hAnsi="Times New Roman" w:cs="Times New Roman"/>
          <w:sz w:val="24"/>
          <w:szCs w:val="24"/>
        </w:rPr>
        <w:lastRenderedPageBreak/>
        <w:t>Olutoge</w:t>
      </w:r>
      <w:proofErr w:type="spellEnd"/>
      <w:r w:rsidRPr="0065469F">
        <w:rPr>
          <w:rFonts w:ascii="Times New Roman" w:hAnsi="Times New Roman" w:cs="Times New Roman"/>
          <w:sz w:val="24"/>
          <w:szCs w:val="24"/>
        </w:rPr>
        <w:t xml:space="preserve">, F. A. (2010). Investigations on sawdust and palm kernel shells as aggregate replacement. </w:t>
      </w:r>
      <w:r w:rsidRPr="0065469F">
        <w:rPr>
          <w:rFonts w:ascii="Times New Roman" w:hAnsi="Times New Roman" w:cs="Times New Roman"/>
          <w:i/>
          <w:iCs/>
          <w:sz w:val="24"/>
          <w:szCs w:val="24"/>
        </w:rPr>
        <w:t>ARPN Journal of Engineering and Applied Sciences, 5</w:t>
      </w:r>
      <w:r w:rsidRPr="0065469F">
        <w:rPr>
          <w:rFonts w:ascii="Times New Roman" w:hAnsi="Times New Roman" w:cs="Times New Roman"/>
          <w:sz w:val="24"/>
          <w:szCs w:val="24"/>
        </w:rPr>
        <w:t>(4), 7–13. http://www.arpnjournals.org/jeas/research_papers/rp_2010/jeas_0410_245.pdf</w:t>
      </w:r>
    </w:p>
    <w:p w14:paraId="42405574"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proofErr w:type="spellStart"/>
      <w:r w:rsidRPr="0065469F">
        <w:rPr>
          <w:rFonts w:ascii="Times New Roman" w:hAnsi="Times New Roman" w:cs="Times New Roman"/>
          <w:sz w:val="24"/>
          <w:szCs w:val="24"/>
        </w:rPr>
        <w:t>Olutoge</w:t>
      </w:r>
      <w:proofErr w:type="spellEnd"/>
      <w:r w:rsidRPr="0065469F">
        <w:rPr>
          <w:rFonts w:ascii="Times New Roman" w:hAnsi="Times New Roman" w:cs="Times New Roman"/>
          <w:sz w:val="24"/>
          <w:szCs w:val="24"/>
        </w:rPr>
        <w:t xml:space="preserve">, F. A. (2010). Investigations on sawdust and palm kernel shells as aggregate replacement. </w:t>
      </w:r>
      <w:r w:rsidRPr="0065469F">
        <w:rPr>
          <w:rFonts w:ascii="Times New Roman" w:hAnsi="Times New Roman" w:cs="Times New Roman"/>
          <w:i/>
          <w:iCs/>
          <w:sz w:val="24"/>
          <w:szCs w:val="24"/>
        </w:rPr>
        <w:t>ARPN Journal of Engineering and Applied Sciences, 5</w:t>
      </w:r>
      <w:r w:rsidRPr="0065469F">
        <w:rPr>
          <w:rFonts w:ascii="Times New Roman" w:hAnsi="Times New Roman" w:cs="Times New Roman"/>
          <w:sz w:val="24"/>
          <w:szCs w:val="24"/>
        </w:rPr>
        <w:t>(4), 7–13. http://www.arpnjournals.org/jeas/research_papers/rp_2010/jeas_0410_245.pdf</w:t>
      </w:r>
    </w:p>
    <w:p w14:paraId="391B0FF1"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Pacheco-</w:t>
      </w:r>
      <w:proofErr w:type="spellStart"/>
      <w:r w:rsidRPr="0065469F">
        <w:rPr>
          <w:rFonts w:ascii="Times New Roman" w:hAnsi="Times New Roman" w:cs="Times New Roman"/>
          <w:sz w:val="24"/>
          <w:szCs w:val="24"/>
        </w:rPr>
        <w:t>Torgal</w:t>
      </w:r>
      <w:proofErr w:type="spellEnd"/>
      <w:r w:rsidRPr="0065469F">
        <w:rPr>
          <w:rFonts w:ascii="Times New Roman" w:hAnsi="Times New Roman" w:cs="Times New Roman"/>
          <w:sz w:val="24"/>
          <w:szCs w:val="24"/>
        </w:rPr>
        <w:t>, F., Jalali, S., &amp; Silva, N. F. (2019). Sustainable concretes for structural applications. In F. Pacheco-</w:t>
      </w:r>
      <w:proofErr w:type="spellStart"/>
      <w:r w:rsidRPr="0065469F">
        <w:rPr>
          <w:rFonts w:ascii="Times New Roman" w:hAnsi="Times New Roman" w:cs="Times New Roman"/>
          <w:sz w:val="24"/>
          <w:szCs w:val="24"/>
        </w:rPr>
        <w:t>Torgal</w:t>
      </w:r>
      <w:proofErr w:type="spellEnd"/>
      <w:r w:rsidRPr="0065469F">
        <w:rPr>
          <w:rFonts w:ascii="Times New Roman" w:hAnsi="Times New Roman" w:cs="Times New Roman"/>
          <w:sz w:val="24"/>
          <w:szCs w:val="24"/>
        </w:rPr>
        <w:t xml:space="preserve">, S. Jalali, &amp; N. F. Silva (Eds.), </w:t>
      </w:r>
      <w:r w:rsidRPr="0065469F">
        <w:rPr>
          <w:rFonts w:ascii="Times New Roman" w:hAnsi="Times New Roman" w:cs="Times New Roman"/>
          <w:i/>
          <w:iCs/>
          <w:sz w:val="24"/>
          <w:szCs w:val="24"/>
        </w:rPr>
        <w:t>Sustainable construction materials and technologies</w:t>
      </w:r>
      <w:r w:rsidRPr="0065469F">
        <w:rPr>
          <w:rFonts w:ascii="Times New Roman" w:hAnsi="Times New Roman" w:cs="Times New Roman"/>
          <w:sz w:val="24"/>
          <w:szCs w:val="24"/>
        </w:rPr>
        <w:t xml:space="preserve"> (pp. 273–282). Springer. https://doi.org/10.1007/978-3-030-33256-3_24</w:t>
      </w:r>
    </w:p>
    <w:p w14:paraId="5E3F715B"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Pooja, D., Lakshmi, T. S., &amp; </w:t>
      </w:r>
      <w:proofErr w:type="spellStart"/>
      <w:r w:rsidRPr="0065469F">
        <w:rPr>
          <w:rFonts w:ascii="Times New Roman" w:hAnsi="Times New Roman" w:cs="Times New Roman"/>
          <w:sz w:val="24"/>
          <w:szCs w:val="24"/>
        </w:rPr>
        <w:t>Sivasubramani</w:t>
      </w:r>
      <w:proofErr w:type="spellEnd"/>
      <w:r w:rsidRPr="0065469F">
        <w:rPr>
          <w:rFonts w:ascii="Times New Roman" w:hAnsi="Times New Roman" w:cs="Times New Roman"/>
          <w:sz w:val="24"/>
          <w:szCs w:val="24"/>
        </w:rPr>
        <w:t xml:space="preserve">, P. A. (2025). Bayesian statistics for sustainable cementitious systems with a partial replacement of coconut shell ash as a cement material. </w:t>
      </w:r>
      <w:r w:rsidRPr="0065469F">
        <w:rPr>
          <w:rFonts w:ascii="Times New Roman" w:hAnsi="Times New Roman" w:cs="Times New Roman"/>
          <w:i/>
          <w:iCs/>
          <w:sz w:val="24"/>
          <w:szCs w:val="24"/>
        </w:rPr>
        <w:t>Turkish Journal of Engineering</w:t>
      </w:r>
      <w:r w:rsidRPr="0065469F">
        <w:rPr>
          <w:rFonts w:ascii="Times New Roman" w:hAnsi="Times New Roman" w:cs="Times New Roman"/>
          <w:sz w:val="24"/>
          <w:szCs w:val="24"/>
        </w:rPr>
        <w:t xml:space="preserve">, 9(3), 447–459. </w:t>
      </w:r>
      <w:hyperlink r:id="rId16" w:tgtFrame="_new" w:history="1">
        <w:r w:rsidRPr="0065469F">
          <w:rPr>
            <w:rStyle w:val="Hyperlink"/>
            <w:rFonts w:ascii="Times New Roman" w:hAnsi="Times New Roman" w:cs="Times New Roman"/>
            <w:sz w:val="24"/>
            <w:szCs w:val="24"/>
          </w:rPr>
          <w:t>https://pubmed.ncbi.nlm.nih.gov/32970258</w:t>
        </w:r>
      </w:hyperlink>
    </w:p>
    <w:p w14:paraId="42ECA3F9"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Shanmuga Priya, S., &amp; Padmanaban, I. (2024). Effect of coconut shell ash as an additive on the properties of green concrete. </w:t>
      </w:r>
      <w:r w:rsidRPr="0065469F">
        <w:rPr>
          <w:rFonts w:ascii="Times New Roman" w:hAnsi="Times New Roman" w:cs="Times New Roman"/>
          <w:i/>
          <w:iCs/>
          <w:sz w:val="24"/>
          <w:szCs w:val="24"/>
        </w:rPr>
        <w:t>Global NEST Journal</w:t>
      </w:r>
      <w:r w:rsidRPr="0065469F">
        <w:rPr>
          <w:rFonts w:ascii="Times New Roman" w:hAnsi="Times New Roman" w:cs="Times New Roman"/>
          <w:sz w:val="24"/>
          <w:szCs w:val="24"/>
        </w:rPr>
        <w:t xml:space="preserve">, 26(1), 1–9. </w:t>
      </w:r>
      <w:hyperlink r:id="rId17" w:tgtFrame="_new" w:history="1">
        <w:r w:rsidRPr="0065469F">
          <w:rPr>
            <w:rStyle w:val="Hyperlink"/>
            <w:rFonts w:ascii="Times New Roman" w:hAnsi="Times New Roman" w:cs="Times New Roman"/>
            <w:sz w:val="24"/>
            <w:szCs w:val="24"/>
          </w:rPr>
          <w:t>https://www.sciencedirect.com/science/article/pii/S0950061823026958</w:t>
        </w:r>
      </w:hyperlink>
    </w:p>
    <w:p w14:paraId="0B5B613A"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Shetty, M. S. (2005). </w:t>
      </w:r>
      <w:r w:rsidRPr="0065469F">
        <w:rPr>
          <w:rFonts w:ascii="Times New Roman" w:hAnsi="Times New Roman" w:cs="Times New Roman"/>
          <w:i/>
          <w:iCs/>
          <w:sz w:val="24"/>
          <w:szCs w:val="24"/>
        </w:rPr>
        <w:t>Concrete technology: Theory and practice</w:t>
      </w:r>
      <w:r w:rsidRPr="0065469F">
        <w:rPr>
          <w:rFonts w:ascii="Times New Roman" w:hAnsi="Times New Roman" w:cs="Times New Roman"/>
          <w:sz w:val="24"/>
          <w:szCs w:val="24"/>
        </w:rPr>
        <w:t xml:space="preserve"> (Revised ed.). S. Chand Publishing.</w:t>
      </w:r>
    </w:p>
    <w:p w14:paraId="4BAD9269" w14:textId="77777777" w:rsidR="00003221" w:rsidRPr="0065469F" w:rsidRDefault="00003221" w:rsidP="0065469F">
      <w:pPr>
        <w:pStyle w:val="ListParagraph"/>
        <w:numPr>
          <w:ilvl w:val="0"/>
          <w:numId w:val="4"/>
        </w:numPr>
        <w:jc w:val="both"/>
        <w:rPr>
          <w:rFonts w:ascii="Times New Roman" w:hAnsi="Times New Roman" w:cs="Times New Roman"/>
          <w:sz w:val="24"/>
          <w:szCs w:val="24"/>
        </w:rPr>
      </w:pPr>
      <w:r w:rsidRPr="0065469F">
        <w:rPr>
          <w:rFonts w:ascii="Times New Roman" w:hAnsi="Times New Roman" w:cs="Times New Roman"/>
          <w:sz w:val="24"/>
          <w:szCs w:val="24"/>
        </w:rPr>
        <w:t xml:space="preserve">Standards </w:t>
      </w:r>
      <w:proofErr w:type="spellStart"/>
      <w:r w:rsidRPr="0065469F">
        <w:rPr>
          <w:rFonts w:ascii="Times New Roman" w:hAnsi="Times New Roman" w:cs="Times New Roman"/>
          <w:sz w:val="24"/>
          <w:szCs w:val="24"/>
        </w:rPr>
        <w:t>Organisation</w:t>
      </w:r>
      <w:proofErr w:type="spellEnd"/>
      <w:r w:rsidRPr="0065469F">
        <w:rPr>
          <w:rFonts w:ascii="Times New Roman" w:hAnsi="Times New Roman" w:cs="Times New Roman"/>
          <w:sz w:val="24"/>
          <w:szCs w:val="24"/>
        </w:rPr>
        <w:t xml:space="preserve"> of Nigeria. (2003). </w:t>
      </w:r>
      <w:r w:rsidRPr="0065469F">
        <w:rPr>
          <w:rFonts w:ascii="Times New Roman" w:hAnsi="Times New Roman" w:cs="Times New Roman"/>
          <w:i/>
          <w:iCs/>
          <w:sz w:val="24"/>
          <w:szCs w:val="24"/>
        </w:rPr>
        <w:t>Nigerian Industrial Standard NIS 444-1:2003: Cement – Part 1: Composition, specifications and conformity criteria for common cements</w:t>
      </w:r>
      <w:r w:rsidRPr="0065469F">
        <w:rPr>
          <w:rFonts w:ascii="Times New Roman" w:hAnsi="Times New Roman" w:cs="Times New Roman"/>
          <w:sz w:val="24"/>
          <w:szCs w:val="24"/>
        </w:rPr>
        <w:t>. SON.</w:t>
      </w:r>
    </w:p>
    <w:p w14:paraId="707A5378" w14:textId="77777777" w:rsidR="00003221" w:rsidRPr="00003221" w:rsidRDefault="00003221" w:rsidP="00003221">
      <w:pPr>
        <w:spacing w:line="480" w:lineRule="auto"/>
        <w:rPr>
          <w:rFonts w:ascii="Times New Roman" w:hAnsi="Times New Roman" w:cs="Times New Roman"/>
          <w:b/>
          <w:bCs/>
          <w:sz w:val="24"/>
          <w:szCs w:val="24"/>
        </w:rPr>
      </w:pPr>
    </w:p>
    <w:p w14:paraId="4AB9ECF5" w14:textId="77777777" w:rsidR="00003221" w:rsidRPr="00003221" w:rsidRDefault="00003221" w:rsidP="00003221">
      <w:pPr>
        <w:spacing w:line="480" w:lineRule="auto"/>
        <w:rPr>
          <w:rFonts w:ascii="Times New Roman" w:hAnsi="Times New Roman" w:cs="Times New Roman"/>
          <w:sz w:val="24"/>
          <w:szCs w:val="24"/>
        </w:rPr>
      </w:pPr>
    </w:p>
    <w:sectPr w:rsidR="00003221" w:rsidRPr="0000322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B607D" w14:textId="77777777" w:rsidR="00B07AFE" w:rsidRDefault="00B07AFE" w:rsidP="0026531E">
      <w:pPr>
        <w:spacing w:after="0" w:line="240" w:lineRule="auto"/>
      </w:pPr>
      <w:r>
        <w:separator/>
      </w:r>
    </w:p>
  </w:endnote>
  <w:endnote w:type="continuationSeparator" w:id="0">
    <w:p w14:paraId="75B83093" w14:textId="77777777" w:rsidR="00B07AFE" w:rsidRDefault="00B07AFE" w:rsidP="00265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D6382" w14:textId="77777777" w:rsidR="0026531E" w:rsidRDefault="002653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80652" w14:textId="77777777" w:rsidR="0026531E" w:rsidRDefault="002653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DA3D1" w14:textId="77777777" w:rsidR="0026531E" w:rsidRDefault="00265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6E198" w14:textId="77777777" w:rsidR="00B07AFE" w:rsidRDefault="00B07AFE" w:rsidP="0026531E">
      <w:pPr>
        <w:spacing w:after="0" w:line="240" w:lineRule="auto"/>
      </w:pPr>
      <w:r>
        <w:separator/>
      </w:r>
    </w:p>
  </w:footnote>
  <w:footnote w:type="continuationSeparator" w:id="0">
    <w:p w14:paraId="3059A5F0" w14:textId="77777777" w:rsidR="00B07AFE" w:rsidRDefault="00B07AFE" w:rsidP="00265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FB6F7" w14:textId="596E8A38" w:rsidR="0026531E" w:rsidRDefault="0026531E">
    <w:pPr>
      <w:pStyle w:val="Header"/>
    </w:pPr>
    <w:r>
      <w:rPr>
        <w:noProof/>
      </w:rPr>
      <w:pict w14:anchorId="04CD7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422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DE1E6" w14:textId="2B760AC0" w:rsidR="0026531E" w:rsidRDefault="0026531E">
    <w:pPr>
      <w:pStyle w:val="Header"/>
    </w:pPr>
    <w:r>
      <w:rPr>
        <w:noProof/>
      </w:rPr>
      <w:pict w14:anchorId="06595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422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2E6C" w14:textId="55E44756" w:rsidR="0026531E" w:rsidRDefault="0026531E">
    <w:pPr>
      <w:pStyle w:val="Header"/>
    </w:pPr>
    <w:r>
      <w:rPr>
        <w:noProof/>
      </w:rPr>
      <w:pict w14:anchorId="43F2D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422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63CEB"/>
    <w:multiLevelType w:val="hybridMultilevel"/>
    <w:tmpl w:val="FC6A25B6"/>
    <w:lvl w:ilvl="0" w:tplc="9D38ED1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55A25A6"/>
    <w:multiLevelType w:val="hybridMultilevel"/>
    <w:tmpl w:val="113EF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9C0281"/>
    <w:multiLevelType w:val="hybridMultilevel"/>
    <w:tmpl w:val="740C74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ED50B05"/>
    <w:multiLevelType w:val="multilevel"/>
    <w:tmpl w:val="E90611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65A8"/>
    <w:rsid w:val="00003221"/>
    <w:rsid w:val="000239BD"/>
    <w:rsid w:val="00117B77"/>
    <w:rsid w:val="001C3D67"/>
    <w:rsid w:val="00247FA9"/>
    <w:rsid w:val="0026531E"/>
    <w:rsid w:val="00430355"/>
    <w:rsid w:val="005F6ACE"/>
    <w:rsid w:val="006214FF"/>
    <w:rsid w:val="0065469F"/>
    <w:rsid w:val="006E1535"/>
    <w:rsid w:val="007965A8"/>
    <w:rsid w:val="007B516B"/>
    <w:rsid w:val="0084008F"/>
    <w:rsid w:val="00840786"/>
    <w:rsid w:val="0091323D"/>
    <w:rsid w:val="00963619"/>
    <w:rsid w:val="009940D8"/>
    <w:rsid w:val="009C0FEC"/>
    <w:rsid w:val="009C6E87"/>
    <w:rsid w:val="00A82A13"/>
    <w:rsid w:val="00AA3965"/>
    <w:rsid w:val="00AA64CA"/>
    <w:rsid w:val="00B07AFE"/>
    <w:rsid w:val="00B54C79"/>
    <w:rsid w:val="00B729EE"/>
    <w:rsid w:val="00BD6FD8"/>
    <w:rsid w:val="00CB30AA"/>
    <w:rsid w:val="00D6657E"/>
    <w:rsid w:val="00EB3104"/>
    <w:rsid w:val="00ED7FC5"/>
    <w:rsid w:val="00F07F9D"/>
    <w:rsid w:val="00F913FD"/>
    <w:rsid w:val="00FC50C4"/>
    <w:rsid w:val="00FE2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2D0E9D"/>
  <w15:docId w15:val="{95862CB8-B9EB-41E9-95FA-E05859D2B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65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65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65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65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65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65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65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65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65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5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65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65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65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65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65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65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65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65A8"/>
    <w:rPr>
      <w:rFonts w:eastAsiaTheme="majorEastAsia" w:cstheme="majorBidi"/>
      <w:color w:val="272727" w:themeColor="text1" w:themeTint="D8"/>
    </w:rPr>
  </w:style>
  <w:style w:type="paragraph" w:styleId="Title">
    <w:name w:val="Title"/>
    <w:basedOn w:val="Normal"/>
    <w:next w:val="Normal"/>
    <w:link w:val="TitleChar"/>
    <w:uiPriority w:val="10"/>
    <w:qFormat/>
    <w:rsid w:val="00796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65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65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65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65A8"/>
    <w:pPr>
      <w:spacing w:before="160"/>
      <w:jc w:val="center"/>
    </w:pPr>
    <w:rPr>
      <w:i/>
      <w:iCs/>
      <w:color w:val="404040" w:themeColor="text1" w:themeTint="BF"/>
    </w:rPr>
  </w:style>
  <w:style w:type="character" w:customStyle="1" w:styleId="QuoteChar">
    <w:name w:val="Quote Char"/>
    <w:basedOn w:val="DefaultParagraphFont"/>
    <w:link w:val="Quote"/>
    <w:uiPriority w:val="29"/>
    <w:rsid w:val="007965A8"/>
    <w:rPr>
      <w:i/>
      <w:iCs/>
      <w:color w:val="404040" w:themeColor="text1" w:themeTint="BF"/>
    </w:rPr>
  </w:style>
  <w:style w:type="paragraph" w:styleId="ListParagraph">
    <w:name w:val="List Paragraph"/>
    <w:basedOn w:val="Normal"/>
    <w:uiPriority w:val="34"/>
    <w:qFormat/>
    <w:rsid w:val="007965A8"/>
    <w:pPr>
      <w:ind w:left="720"/>
      <w:contextualSpacing/>
    </w:pPr>
  </w:style>
  <w:style w:type="character" w:styleId="IntenseEmphasis">
    <w:name w:val="Intense Emphasis"/>
    <w:basedOn w:val="DefaultParagraphFont"/>
    <w:uiPriority w:val="21"/>
    <w:qFormat/>
    <w:rsid w:val="007965A8"/>
    <w:rPr>
      <w:i/>
      <w:iCs/>
      <w:color w:val="2F5496" w:themeColor="accent1" w:themeShade="BF"/>
    </w:rPr>
  </w:style>
  <w:style w:type="paragraph" w:styleId="IntenseQuote">
    <w:name w:val="Intense Quote"/>
    <w:basedOn w:val="Normal"/>
    <w:next w:val="Normal"/>
    <w:link w:val="IntenseQuoteChar"/>
    <w:uiPriority w:val="30"/>
    <w:qFormat/>
    <w:rsid w:val="007965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65A8"/>
    <w:rPr>
      <w:i/>
      <w:iCs/>
      <w:color w:val="2F5496" w:themeColor="accent1" w:themeShade="BF"/>
    </w:rPr>
  </w:style>
  <w:style w:type="character" w:styleId="IntenseReference">
    <w:name w:val="Intense Reference"/>
    <w:basedOn w:val="DefaultParagraphFont"/>
    <w:uiPriority w:val="32"/>
    <w:qFormat/>
    <w:rsid w:val="007965A8"/>
    <w:rPr>
      <w:b/>
      <w:bCs/>
      <w:smallCaps/>
      <w:color w:val="2F5496" w:themeColor="accent1" w:themeShade="BF"/>
      <w:spacing w:val="5"/>
    </w:rPr>
  </w:style>
  <w:style w:type="table" w:styleId="TableGrid">
    <w:name w:val="Table Grid"/>
    <w:basedOn w:val="TableNormal"/>
    <w:uiPriority w:val="39"/>
    <w:rsid w:val="00CB30AA"/>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221"/>
    <w:rPr>
      <w:color w:val="0563C1" w:themeColor="hyperlink"/>
      <w:u w:val="single"/>
    </w:rPr>
  </w:style>
  <w:style w:type="paragraph" w:styleId="BalloonText">
    <w:name w:val="Balloon Text"/>
    <w:basedOn w:val="Normal"/>
    <w:link w:val="BalloonTextChar"/>
    <w:uiPriority w:val="99"/>
    <w:semiHidden/>
    <w:unhideWhenUsed/>
    <w:rsid w:val="009C6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E87"/>
    <w:rPr>
      <w:rFonts w:ascii="Tahoma" w:hAnsi="Tahoma" w:cs="Tahoma"/>
      <w:sz w:val="16"/>
      <w:szCs w:val="16"/>
    </w:rPr>
  </w:style>
  <w:style w:type="paragraph" w:styleId="Header">
    <w:name w:val="header"/>
    <w:basedOn w:val="Normal"/>
    <w:link w:val="HeaderChar"/>
    <w:uiPriority w:val="99"/>
    <w:unhideWhenUsed/>
    <w:rsid w:val="00265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31E"/>
  </w:style>
  <w:style w:type="paragraph" w:styleId="Footer">
    <w:name w:val="footer"/>
    <w:basedOn w:val="Normal"/>
    <w:link w:val="FooterChar"/>
    <w:uiPriority w:val="99"/>
    <w:unhideWhenUsed/>
    <w:rsid w:val="002653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mc.ncbi.nlm.nih.gov/articles/PMC7579585/"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scribd.com/document/597465949/03" TargetMode="External"/><Relationship Id="rId17" Type="http://schemas.openxmlformats.org/officeDocument/2006/relationships/hyperlink" Target="https://www.sciencedirect.com/science/article/pii/S095006182302695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ubmed.ncbi.nlm.nih.gov/3297025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dpi.com/2073-4352/12/7/952" TargetMode="Externa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cademia.edu/40513175/NANOMECHANICAL_PROPERTIES_OF_COCONUT_SHELL_ASH_BLENDED_CEMENT_MORTAR" TargetMode="Externa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thony\Downloads\disetation%20data%20CURR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thony\Downloads\disetation%20data%20CURR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Sheet2!$Q$5</c:f>
              <c:strCache>
                <c:ptCount val="1"/>
                <c:pt idx="0">
                  <c:v>Slump (mm)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Sheet2!$P$6:$P$9</c:f>
              <c:numCache>
                <c:formatCode>General</c:formatCode>
                <c:ptCount val="4"/>
                <c:pt idx="0">
                  <c:v>0</c:v>
                </c:pt>
                <c:pt idx="1">
                  <c:v>10</c:v>
                </c:pt>
                <c:pt idx="2">
                  <c:v>20</c:v>
                </c:pt>
                <c:pt idx="3">
                  <c:v>30</c:v>
                </c:pt>
              </c:numCache>
            </c:numRef>
          </c:xVal>
          <c:yVal>
            <c:numRef>
              <c:f>Sheet2!$Q$6:$Q$9</c:f>
              <c:numCache>
                <c:formatCode>General</c:formatCode>
                <c:ptCount val="4"/>
                <c:pt idx="0">
                  <c:v>120</c:v>
                </c:pt>
                <c:pt idx="1">
                  <c:v>100</c:v>
                </c:pt>
                <c:pt idx="2">
                  <c:v>90</c:v>
                </c:pt>
                <c:pt idx="3">
                  <c:v>50</c:v>
                </c:pt>
              </c:numCache>
            </c:numRef>
          </c:yVal>
          <c:smooth val="1"/>
          <c:extLst>
            <c:ext xmlns:c16="http://schemas.microsoft.com/office/drawing/2014/chart" uri="{C3380CC4-5D6E-409C-BE32-E72D297353CC}">
              <c16:uniqueId val="{00000000-0B4F-4417-A337-5B91190E7CBA}"/>
            </c:ext>
          </c:extLst>
        </c:ser>
        <c:dLbls>
          <c:showLegendKey val="0"/>
          <c:showVal val="0"/>
          <c:showCatName val="0"/>
          <c:showSerName val="0"/>
          <c:showPercent val="0"/>
          <c:showBubbleSize val="0"/>
        </c:dLbls>
        <c:axId val="245209728"/>
        <c:axId val="245229056"/>
      </c:scatterChart>
      <c:valAx>
        <c:axId val="245209728"/>
        <c:scaling>
          <c:orientation val="minMax"/>
          <c:max val="3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CSA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229056"/>
        <c:crosses val="autoZero"/>
        <c:crossBetween val="midCat"/>
      </c:valAx>
      <c:valAx>
        <c:axId val="245229056"/>
        <c:scaling>
          <c:orientation val="minMax"/>
          <c:min val="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Slump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2097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Sheet2!$Q$12:$Q$13</c:f>
              <c:strCache>
                <c:ptCount val="2"/>
                <c:pt idx="0">
                  <c:v>CSA (%)</c:v>
                </c:pt>
                <c:pt idx="1">
                  <c:v>0</c:v>
                </c:pt>
              </c:strCache>
            </c:strRef>
          </c:tx>
          <c:spPr>
            <a:solidFill>
              <a:schemeClr val="accent1"/>
            </a:solidFill>
            <a:ln>
              <a:noFill/>
            </a:ln>
            <a:effectLst/>
          </c:spPr>
          <c:invertIfNegative val="0"/>
          <c:cat>
            <c:numRef>
              <c:f>Sheet2!$P$14:$P$26</c:f>
              <c:numCache>
                <c:formatCode>General</c:formatCode>
                <c:ptCount val="13"/>
                <c:pt idx="0">
                  <c:v>3</c:v>
                </c:pt>
                <c:pt idx="1">
                  <c:v>7</c:v>
                </c:pt>
                <c:pt idx="2">
                  <c:v>14</c:v>
                </c:pt>
                <c:pt idx="3">
                  <c:v>28</c:v>
                </c:pt>
                <c:pt idx="4">
                  <c:v>35</c:v>
                </c:pt>
                <c:pt idx="5">
                  <c:v>42</c:v>
                </c:pt>
                <c:pt idx="6">
                  <c:v>49</c:v>
                </c:pt>
                <c:pt idx="7">
                  <c:v>56</c:v>
                </c:pt>
                <c:pt idx="8">
                  <c:v>63</c:v>
                </c:pt>
                <c:pt idx="9">
                  <c:v>70</c:v>
                </c:pt>
                <c:pt idx="10">
                  <c:v>77</c:v>
                </c:pt>
                <c:pt idx="11">
                  <c:v>84</c:v>
                </c:pt>
                <c:pt idx="12">
                  <c:v>91</c:v>
                </c:pt>
              </c:numCache>
            </c:numRef>
          </c:cat>
          <c:val>
            <c:numRef>
              <c:f>Sheet2!$Q$14:$Q$26</c:f>
              <c:numCache>
                <c:formatCode>0.00</c:formatCode>
                <c:ptCount val="13"/>
                <c:pt idx="0">
                  <c:v>12.04286702600352</c:v>
                </c:pt>
                <c:pt idx="1">
                  <c:v>14.210346833378011</c:v>
                </c:pt>
                <c:pt idx="2">
                  <c:v>16.412312099706753</c:v>
                </c:pt>
                <c:pt idx="3">
                  <c:v>18.695431473033025</c:v>
                </c:pt>
                <c:pt idx="4">
                  <c:v>19.695431473033025</c:v>
                </c:pt>
                <c:pt idx="5">
                  <c:v>20.695431473033025</c:v>
                </c:pt>
                <c:pt idx="6">
                  <c:v>21.850840396411385</c:v>
                </c:pt>
                <c:pt idx="7">
                  <c:v>22.779248842607053</c:v>
                </c:pt>
                <c:pt idx="8">
                  <c:v>23.836695043818327</c:v>
                </c:pt>
                <c:pt idx="9">
                  <c:v>24.836695043818327</c:v>
                </c:pt>
                <c:pt idx="10">
                  <c:v>25.90701705825753</c:v>
                </c:pt>
                <c:pt idx="11">
                  <c:v>26.920961756572623</c:v>
                </c:pt>
                <c:pt idx="12">
                  <c:v>28.071841628818085</c:v>
                </c:pt>
              </c:numCache>
            </c:numRef>
          </c:val>
          <c:extLst>
            <c:ext xmlns:c16="http://schemas.microsoft.com/office/drawing/2014/chart" uri="{C3380CC4-5D6E-409C-BE32-E72D297353CC}">
              <c16:uniqueId val="{00000000-E6F6-4CBC-9A12-DC136C172C8F}"/>
            </c:ext>
          </c:extLst>
        </c:ser>
        <c:ser>
          <c:idx val="1"/>
          <c:order val="1"/>
          <c:tx>
            <c:strRef>
              <c:f>Sheet2!$R$12:$R$13</c:f>
              <c:strCache>
                <c:ptCount val="2"/>
                <c:pt idx="0">
                  <c:v>CSA (%)</c:v>
                </c:pt>
                <c:pt idx="1">
                  <c:v>10</c:v>
                </c:pt>
              </c:strCache>
            </c:strRef>
          </c:tx>
          <c:spPr>
            <a:solidFill>
              <a:schemeClr val="accent2"/>
            </a:solidFill>
            <a:ln>
              <a:noFill/>
            </a:ln>
            <a:effectLst/>
          </c:spPr>
          <c:invertIfNegative val="0"/>
          <c:cat>
            <c:numRef>
              <c:f>Sheet2!$P$14:$P$26</c:f>
              <c:numCache>
                <c:formatCode>General</c:formatCode>
                <c:ptCount val="13"/>
                <c:pt idx="0">
                  <c:v>3</c:v>
                </c:pt>
                <c:pt idx="1">
                  <c:v>7</c:v>
                </c:pt>
                <c:pt idx="2">
                  <c:v>14</c:v>
                </c:pt>
                <c:pt idx="3">
                  <c:v>28</c:v>
                </c:pt>
                <c:pt idx="4">
                  <c:v>35</c:v>
                </c:pt>
                <c:pt idx="5">
                  <c:v>42</c:v>
                </c:pt>
                <c:pt idx="6">
                  <c:v>49</c:v>
                </c:pt>
                <c:pt idx="7">
                  <c:v>56</c:v>
                </c:pt>
                <c:pt idx="8">
                  <c:v>63</c:v>
                </c:pt>
                <c:pt idx="9">
                  <c:v>70</c:v>
                </c:pt>
                <c:pt idx="10">
                  <c:v>77</c:v>
                </c:pt>
                <c:pt idx="11">
                  <c:v>84</c:v>
                </c:pt>
                <c:pt idx="12">
                  <c:v>91</c:v>
                </c:pt>
              </c:numCache>
            </c:numRef>
          </c:cat>
          <c:val>
            <c:numRef>
              <c:f>Sheet2!$R$14:$R$26</c:f>
              <c:numCache>
                <c:formatCode>0.00</c:formatCode>
                <c:ptCount val="13"/>
                <c:pt idx="0">
                  <c:v>11.385325025559251</c:v>
                </c:pt>
                <c:pt idx="1">
                  <c:v>14.777835772198484</c:v>
                </c:pt>
                <c:pt idx="2">
                  <c:v>17.054655041923809</c:v>
                </c:pt>
                <c:pt idx="3">
                  <c:v>19.33690808426584</c:v>
                </c:pt>
                <c:pt idx="4">
                  <c:v>19.246538934173174</c:v>
                </c:pt>
                <c:pt idx="5">
                  <c:v>19.246538934173174</c:v>
                </c:pt>
                <c:pt idx="6">
                  <c:v>19.246538934173174</c:v>
                </c:pt>
                <c:pt idx="7">
                  <c:v>19.246538934173174</c:v>
                </c:pt>
                <c:pt idx="8">
                  <c:v>19.246538934173174</c:v>
                </c:pt>
                <c:pt idx="9">
                  <c:v>19.390318879793128</c:v>
                </c:pt>
                <c:pt idx="10">
                  <c:v>19.533670079444413</c:v>
                </c:pt>
                <c:pt idx="11">
                  <c:v>19.759200362984011</c:v>
                </c:pt>
                <c:pt idx="12">
                  <c:v>19.77310594550465</c:v>
                </c:pt>
              </c:numCache>
            </c:numRef>
          </c:val>
          <c:extLst>
            <c:ext xmlns:c16="http://schemas.microsoft.com/office/drawing/2014/chart" uri="{C3380CC4-5D6E-409C-BE32-E72D297353CC}">
              <c16:uniqueId val="{00000001-E6F6-4CBC-9A12-DC136C172C8F}"/>
            </c:ext>
          </c:extLst>
        </c:ser>
        <c:ser>
          <c:idx val="2"/>
          <c:order val="2"/>
          <c:tx>
            <c:strRef>
              <c:f>Sheet2!$S$12:$S$13</c:f>
              <c:strCache>
                <c:ptCount val="2"/>
                <c:pt idx="0">
                  <c:v>CSA (%)</c:v>
                </c:pt>
                <c:pt idx="1">
                  <c:v>20</c:v>
                </c:pt>
              </c:strCache>
            </c:strRef>
          </c:tx>
          <c:spPr>
            <a:solidFill>
              <a:schemeClr val="accent3"/>
            </a:solidFill>
            <a:ln>
              <a:noFill/>
            </a:ln>
            <a:effectLst/>
          </c:spPr>
          <c:invertIfNegative val="0"/>
          <c:cat>
            <c:numRef>
              <c:f>Sheet2!$P$14:$P$26</c:f>
              <c:numCache>
                <c:formatCode>General</c:formatCode>
                <c:ptCount val="13"/>
                <c:pt idx="0">
                  <c:v>3</c:v>
                </c:pt>
                <c:pt idx="1">
                  <c:v>7</c:v>
                </c:pt>
                <c:pt idx="2">
                  <c:v>14</c:v>
                </c:pt>
                <c:pt idx="3">
                  <c:v>28</c:v>
                </c:pt>
                <c:pt idx="4">
                  <c:v>35</c:v>
                </c:pt>
                <c:pt idx="5">
                  <c:v>42</c:v>
                </c:pt>
                <c:pt idx="6">
                  <c:v>49</c:v>
                </c:pt>
                <c:pt idx="7">
                  <c:v>56</c:v>
                </c:pt>
                <c:pt idx="8">
                  <c:v>63</c:v>
                </c:pt>
                <c:pt idx="9">
                  <c:v>70</c:v>
                </c:pt>
                <c:pt idx="10">
                  <c:v>77</c:v>
                </c:pt>
                <c:pt idx="11">
                  <c:v>84</c:v>
                </c:pt>
                <c:pt idx="12">
                  <c:v>91</c:v>
                </c:pt>
              </c:numCache>
            </c:numRef>
          </c:cat>
          <c:val>
            <c:numRef>
              <c:f>Sheet2!$S$14:$S$26</c:f>
              <c:numCache>
                <c:formatCode>0.00</c:formatCode>
                <c:ptCount val="13"/>
                <c:pt idx="0">
                  <c:v>10.91241621508431</c:v>
                </c:pt>
                <c:pt idx="1">
                  <c:v>13.930141706809083</c:v>
                </c:pt>
                <c:pt idx="2">
                  <c:v>16.336525545241575</c:v>
                </c:pt>
                <c:pt idx="3">
                  <c:v>17.452801772125625</c:v>
                </c:pt>
                <c:pt idx="4">
                  <c:v>17.452801772125625</c:v>
                </c:pt>
                <c:pt idx="5">
                  <c:v>17.452801772125625</c:v>
                </c:pt>
                <c:pt idx="6">
                  <c:v>17.452801772125625</c:v>
                </c:pt>
                <c:pt idx="7">
                  <c:v>17.452801772125625</c:v>
                </c:pt>
                <c:pt idx="8">
                  <c:v>17.613322490391859</c:v>
                </c:pt>
                <c:pt idx="9">
                  <c:v>17.638103874785141</c:v>
                </c:pt>
                <c:pt idx="10">
                  <c:v>17.487392912567781</c:v>
                </c:pt>
                <c:pt idx="11">
                  <c:v>17.645568562576745</c:v>
                </c:pt>
                <c:pt idx="12">
                  <c:v>17.6148172267918</c:v>
                </c:pt>
              </c:numCache>
            </c:numRef>
          </c:val>
          <c:extLst>
            <c:ext xmlns:c16="http://schemas.microsoft.com/office/drawing/2014/chart" uri="{C3380CC4-5D6E-409C-BE32-E72D297353CC}">
              <c16:uniqueId val="{00000002-E6F6-4CBC-9A12-DC136C172C8F}"/>
            </c:ext>
          </c:extLst>
        </c:ser>
        <c:ser>
          <c:idx val="3"/>
          <c:order val="3"/>
          <c:tx>
            <c:strRef>
              <c:f>Sheet2!$T$12:$T$13</c:f>
              <c:strCache>
                <c:ptCount val="2"/>
                <c:pt idx="0">
                  <c:v>CSA (%)</c:v>
                </c:pt>
                <c:pt idx="1">
                  <c:v>30</c:v>
                </c:pt>
              </c:strCache>
            </c:strRef>
          </c:tx>
          <c:spPr>
            <a:solidFill>
              <a:schemeClr val="accent4"/>
            </a:solidFill>
            <a:ln>
              <a:noFill/>
            </a:ln>
            <a:effectLst/>
          </c:spPr>
          <c:invertIfNegative val="0"/>
          <c:cat>
            <c:numRef>
              <c:f>Sheet2!$P$14:$P$26</c:f>
              <c:numCache>
                <c:formatCode>General</c:formatCode>
                <c:ptCount val="13"/>
                <c:pt idx="0">
                  <c:v>3</c:v>
                </c:pt>
                <c:pt idx="1">
                  <c:v>7</c:v>
                </c:pt>
                <c:pt idx="2">
                  <c:v>14</c:v>
                </c:pt>
                <c:pt idx="3">
                  <c:v>28</c:v>
                </c:pt>
                <c:pt idx="4">
                  <c:v>35</c:v>
                </c:pt>
                <c:pt idx="5">
                  <c:v>42</c:v>
                </c:pt>
                <c:pt idx="6">
                  <c:v>49</c:v>
                </c:pt>
                <c:pt idx="7">
                  <c:v>56</c:v>
                </c:pt>
                <c:pt idx="8">
                  <c:v>63</c:v>
                </c:pt>
                <c:pt idx="9">
                  <c:v>70</c:v>
                </c:pt>
                <c:pt idx="10">
                  <c:v>77</c:v>
                </c:pt>
                <c:pt idx="11">
                  <c:v>84</c:v>
                </c:pt>
                <c:pt idx="12">
                  <c:v>91</c:v>
                </c:pt>
              </c:numCache>
            </c:numRef>
          </c:cat>
          <c:val>
            <c:numRef>
              <c:f>Sheet2!$T$14:$T$26</c:f>
              <c:numCache>
                <c:formatCode>0.00</c:formatCode>
                <c:ptCount val="13"/>
                <c:pt idx="0">
                  <c:v>10.584584679791215</c:v>
                </c:pt>
                <c:pt idx="1">
                  <c:v>13.568995670943167</c:v>
                </c:pt>
                <c:pt idx="2">
                  <c:v>15.529457646504738</c:v>
                </c:pt>
                <c:pt idx="3">
                  <c:v>16.477921366753556</c:v>
                </c:pt>
                <c:pt idx="4">
                  <c:v>16.477921366753556</c:v>
                </c:pt>
                <c:pt idx="5">
                  <c:v>16.477921366753556</c:v>
                </c:pt>
                <c:pt idx="6">
                  <c:v>16.477921366753556</c:v>
                </c:pt>
                <c:pt idx="7">
                  <c:v>16.477921366753556</c:v>
                </c:pt>
                <c:pt idx="8">
                  <c:v>16.477921366753556</c:v>
                </c:pt>
                <c:pt idx="9">
                  <c:v>16.477921366753556</c:v>
                </c:pt>
                <c:pt idx="10">
                  <c:v>16.477921366753556</c:v>
                </c:pt>
                <c:pt idx="11">
                  <c:v>17.00788460433802</c:v>
                </c:pt>
                <c:pt idx="12">
                  <c:v>17.00788460433802</c:v>
                </c:pt>
              </c:numCache>
            </c:numRef>
          </c:val>
          <c:extLst>
            <c:ext xmlns:c16="http://schemas.microsoft.com/office/drawing/2014/chart" uri="{C3380CC4-5D6E-409C-BE32-E72D297353CC}">
              <c16:uniqueId val="{00000003-E6F6-4CBC-9A12-DC136C172C8F}"/>
            </c:ext>
          </c:extLst>
        </c:ser>
        <c:dLbls>
          <c:showLegendKey val="0"/>
          <c:showVal val="0"/>
          <c:showCatName val="0"/>
          <c:showSerName val="0"/>
          <c:showPercent val="0"/>
          <c:showBubbleSize val="0"/>
        </c:dLbls>
        <c:gapWidth val="219"/>
        <c:overlap val="-27"/>
        <c:axId val="162330112"/>
        <c:axId val="162332032"/>
      </c:barChart>
      <c:catAx>
        <c:axId val="162330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CSA-Cement Concrete Age (days)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332032"/>
        <c:crosses val="autoZero"/>
        <c:auto val="1"/>
        <c:lblAlgn val="ctr"/>
        <c:lblOffset val="100"/>
        <c:noMultiLvlLbl val="0"/>
      </c:catAx>
      <c:valAx>
        <c:axId val="162332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Elastic Modulus (GPa)</a:t>
                </a:r>
              </a:p>
            </c:rich>
          </c:tx>
          <c:layout>
            <c:manualLayout>
              <c:xMode val="edge"/>
              <c:yMode val="edge"/>
              <c:x val="4.5581406477789535E-2"/>
              <c:y val="0.2131442346948694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330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14</Pages>
  <Words>3508</Words>
  <Characters>20000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dc:creator>
  <cp:keywords/>
  <dc:description/>
  <cp:lastModifiedBy>SDI 1084</cp:lastModifiedBy>
  <cp:revision>15</cp:revision>
  <dcterms:created xsi:type="dcterms:W3CDTF">2025-06-03T13:09:00Z</dcterms:created>
  <dcterms:modified xsi:type="dcterms:W3CDTF">2025-06-06T11:12:00Z</dcterms:modified>
</cp:coreProperties>
</file>