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93F9A" w14:textId="77777777" w:rsidR="008512D4" w:rsidRDefault="00630AE1" w:rsidP="003650BC">
      <w:pPr>
        <w:spacing w:line="360" w:lineRule="auto"/>
        <w:jc w:val="center"/>
        <w:rPr>
          <w:b/>
          <w:sz w:val="40"/>
          <w:szCs w:val="24"/>
        </w:rPr>
      </w:pPr>
      <w:r w:rsidRPr="003650BC">
        <w:rPr>
          <w:b/>
          <w:sz w:val="40"/>
          <w:szCs w:val="24"/>
        </w:rPr>
        <w:t>Balancing Encryption Laws and National Security: Challenges for Data and Energy Sector Collaboration Across Borders</w:t>
      </w:r>
    </w:p>
    <w:p w14:paraId="7CF8E871" w14:textId="77777777" w:rsidR="0023203A" w:rsidRDefault="0023203A" w:rsidP="0023203A">
      <w:pPr>
        <w:spacing w:line="360" w:lineRule="auto"/>
        <w:rPr>
          <w:sz w:val="40"/>
          <w:szCs w:val="24"/>
        </w:rPr>
      </w:pPr>
    </w:p>
    <w:p w14:paraId="43A9E3F7" w14:textId="77777777" w:rsidR="008512D4" w:rsidRPr="003650BC" w:rsidRDefault="00A46BBB" w:rsidP="003650BC">
      <w:pPr>
        <w:spacing w:line="360" w:lineRule="auto"/>
        <w:rPr>
          <w:b/>
          <w:sz w:val="24"/>
          <w:szCs w:val="24"/>
        </w:rPr>
      </w:pPr>
      <w:r w:rsidRPr="003650BC">
        <w:rPr>
          <w:b/>
          <w:sz w:val="24"/>
          <w:szCs w:val="24"/>
        </w:rPr>
        <w:t>Abstract</w:t>
      </w:r>
    </w:p>
    <w:p w14:paraId="679B5F95" w14:textId="77777777" w:rsidR="00A46BBB" w:rsidRPr="003650BC" w:rsidRDefault="00A46BBB" w:rsidP="003650BC">
      <w:pPr>
        <w:pStyle w:val="NormalWeb"/>
        <w:spacing w:line="360" w:lineRule="auto"/>
        <w:jc w:val="both"/>
        <w:rPr>
          <w:rFonts w:ascii="Arial" w:hAnsi="Arial" w:cs="Arial"/>
        </w:rPr>
      </w:pPr>
      <w:r w:rsidRPr="003650BC">
        <w:rPr>
          <w:rFonts w:ascii="Arial" w:hAnsi="Arial" w:cs="Arial"/>
        </w:rPr>
        <w:t xml:space="preserve">This study </w:t>
      </w:r>
      <w:r w:rsidR="004A3BB5">
        <w:rPr>
          <w:rFonts w:ascii="Arial" w:hAnsi="Arial" w:cs="Arial"/>
        </w:rPr>
        <w:t>examines the intersection of encryption governance and cross-border collaboration in the energy sector, employing a multidimensional</w:t>
      </w:r>
      <w:r w:rsidRPr="003650BC">
        <w:rPr>
          <w:rFonts w:ascii="Arial" w:hAnsi="Arial" w:cs="Arial"/>
        </w:rPr>
        <w:t xml:space="preserve"> quantitative approach. Employing publicly available datasets</w:t>
      </w:r>
      <w:r w:rsidR="004A3BB5">
        <w:rPr>
          <w:rFonts w:ascii="Arial" w:hAnsi="Arial" w:cs="Arial"/>
        </w:rPr>
        <w:t xml:space="preserve"> </w:t>
      </w:r>
      <w:r w:rsidRPr="003650BC">
        <w:rPr>
          <w:rFonts w:ascii="Arial" w:hAnsi="Arial" w:cs="Arial"/>
        </w:rPr>
        <w:t>including the ITU Global Cybersecurity Index, the World Economic Forum’s Global Risks Report, the Belfer National Cyber Power Index, and ENISA’s Threat Landscape Reports</w:t>
      </w:r>
      <w:r w:rsidR="004A3BB5">
        <w:rPr>
          <w:rFonts w:ascii="Arial" w:hAnsi="Arial" w:cs="Arial"/>
        </w:rPr>
        <w:t>, four statistical methods were applied: Principal Component Analysis, Ordinal Logistic Regression, Multiple Linear Regression, and ARIMA time-series modelling</w:t>
      </w:r>
      <w:r w:rsidRPr="003650BC">
        <w:rPr>
          <w:rFonts w:ascii="Arial" w:hAnsi="Arial" w:cs="Arial"/>
        </w:rPr>
        <w:t xml:space="preserve">. Results indicate that countries with harmonized encryption policies, such as Germany and the United Kingdom, demonstrate higher collaboration indices (0.90), </w:t>
      </w:r>
      <w:r w:rsidR="004A3BB5">
        <w:rPr>
          <w:rFonts w:ascii="Arial" w:hAnsi="Arial" w:cs="Arial"/>
        </w:rPr>
        <w:t xml:space="preserve">whereas countries with fragmented jurisdictions, like Russia, exhibit lower indices </w:t>
      </w:r>
      <w:r w:rsidRPr="003650BC">
        <w:rPr>
          <w:rFonts w:ascii="Arial" w:hAnsi="Arial" w:cs="Arial"/>
        </w:rPr>
        <w:t xml:space="preserve">(0.60). Similarly, </w:t>
      </w:r>
      <w:r w:rsidR="004A3BB5">
        <w:rPr>
          <w:rFonts w:ascii="Arial" w:hAnsi="Arial" w:cs="Arial"/>
        </w:rPr>
        <w:t xml:space="preserve">the adoption of advanced encryption </w:t>
      </w:r>
      <w:r w:rsidRPr="003650BC">
        <w:rPr>
          <w:rFonts w:ascii="Arial" w:hAnsi="Arial" w:cs="Arial"/>
        </w:rPr>
        <w:t>significantly reduces cyber incidents (β = –0.720, p &lt; .001). Surveillance-heavy regimes, conversely, raise trust deficits (β = 0.526, p &lt; .001). The study recommends that international regulatory coalitions harmonize encryption standards, national governments adopt transparent</w:t>
      </w:r>
      <w:r w:rsidR="004A3BB5">
        <w:rPr>
          <w:rFonts w:ascii="Arial" w:hAnsi="Arial" w:cs="Arial"/>
        </w:rPr>
        <w:t xml:space="preserve"> and lawful access mechanisms, and energy firms implement adaptive, jurisdiction-sensitive compliance architectures that integrate</w:t>
      </w:r>
      <w:r w:rsidRPr="003650BC">
        <w:rPr>
          <w:rFonts w:ascii="Arial" w:hAnsi="Arial" w:cs="Arial"/>
        </w:rPr>
        <w:t xml:space="preserve"> advanced encryption technologies.</w:t>
      </w:r>
    </w:p>
    <w:p w14:paraId="4EAEC3B3" w14:textId="77777777" w:rsidR="00A46BBB" w:rsidRPr="003650BC" w:rsidRDefault="00A46BBB" w:rsidP="003650BC">
      <w:pPr>
        <w:pStyle w:val="NormalWeb"/>
        <w:spacing w:line="360" w:lineRule="auto"/>
        <w:rPr>
          <w:rFonts w:ascii="Arial" w:hAnsi="Arial" w:cs="Arial"/>
          <w:b/>
        </w:rPr>
      </w:pPr>
      <w:r w:rsidRPr="003650BC">
        <w:rPr>
          <w:rStyle w:val="Strong"/>
          <w:rFonts w:ascii="Arial" w:hAnsi="Arial" w:cs="Arial"/>
        </w:rPr>
        <w:t>Keywords:</w:t>
      </w:r>
      <w:r w:rsidRPr="003650BC">
        <w:rPr>
          <w:rFonts w:ascii="Arial" w:hAnsi="Arial" w:cs="Arial"/>
          <w:b/>
        </w:rPr>
        <w:t xml:space="preserve"> Encryption governance, cross-border collaboration, energy sector, national security, ARIMA modeling.</w:t>
      </w:r>
    </w:p>
    <w:p w14:paraId="21968B70" w14:textId="77777777" w:rsidR="008512D4" w:rsidRPr="003650BC" w:rsidRDefault="008512D4" w:rsidP="003650BC">
      <w:pPr>
        <w:spacing w:line="360" w:lineRule="auto"/>
        <w:rPr>
          <w:sz w:val="24"/>
          <w:szCs w:val="24"/>
        </w:rPr>
      </w:pPr>
    </w:p>
    <w:p w14:paraId="27700043" w14:textId="77777777" w:rsidR="008512D4" w:rsidRPr="003650BC" w:rsidRDefault="003650BC" w:rsidP="003650BC">
      <w:pPr>
        <w:spacing w:line="360" w:lineRule="auto"/>
        <w:rPr>
          <w:sz w:val="24"/>
          <w:szCs w:val="24"/>
        </w:rPr>
      </w:pPr>
      <w:r w:rsidRPr="003650BC">
        <w:rPr>
          <w:b/>
          <w:sz w:val="24"/>
          <w:szCs w:val="24"/>
        </w:rPr>
        <w:t xml:space="preserve">1. </w:t>
      </w:r>
      <w:r w:rsidR="00630AE1" w:rsidRPr="003650BC">
        <w:rPr>
          <w:b/>
          <w:sz w:val="24"/>
          <w:szCs w:val="24"/>
        </w:rPr>
        <w:t>Introduction</w:t>
      </w:r>
    </w:p>
    <w:p w14:paraId="0EC6C324" w14:textId="77777777" w:rsidR="008512D4" w:rsidRPr="003650BC" w:rsidRDefault="00630AE1" w:rsidP="003650BC">
      <w:pPr>
        <w:spacing w:before="240" w:after="240" w:line="360" w:lineRule="auto"/>
        <w:rPr>
          <w:sz w:val="24"/>
          <w:szCs w:val="24"/>
        </w:rPr>
      </w:pPr>
      <w:r w:rsidRPr="003650BC">
        <w:rPr>
          <w:sz w:val="24"/>
          <w:szCs w:val="24"/>
        </w:rPr>
        <w:t xml:space="preserve">In an increasingly digitized and interconnected world, the secure flow of data across national boundaries is </w:t>
      </w:r>
      <w:r w:rsidR="004A3BB5">
        <w:rPr>
          <w:sz w:val="24"/>
          <w:szCs w:val="24"/>
        </w:rPr>
        <w:t xml:space="preserve">essential to global collaboration, particularly in critical sectors </w:t>
      </w:r>
      <w:r w:rsidR="004A3BB5">
        <w:rPr>
          <w:sz w:val="24"/>
          <w:szCs w:val="24"/>
        </w:rPr>
        <w:lastRenderedPageBreak/>
        <w:t>such as</w:t>
      </w:r>
      <w:r w:rsidRPr="003650BC">
        <w:rPr>
          <w:sz w:val="24"/>
          <w:szCs w:val="24"/>
        </w:rPr>
        <w:t xml:space="preserve"> energy. However, this necessity is under mounting strain from conflicting national interests, divergent encryption laws, and escalating cybersecurity threats. According to </w:t>
      </w:r>
      <w:proofErr w:type="spellStart"/>
      <w:r w:rsidRPr="003650BC">
        <w:rPr>
          <w:sz w:val="24"/>
          <w:szCs w:val="24"/>
        </w:rPr>
        <w:t>Katkuri</w:t>
      </w:r>
      <w:proofErr w:type="spellEnd"/>
      <w:r w:rsidRPr="003650BC">
        <w:rPr>
          <w:sz w:val="24"/>
          <w:szCs w:val="24"/>
        </w:rPr>
        <w:t xml:space="preserve"> (2024), the essential role of encryption in safeguarding infrastructure and individual privacy frequently clashes with national security imperatives, which often demand surveillance capabilities and lawful access to encrypted data. This ongoing tension presents a strategic challenge for multinational energy and data firms seeking to maintain operational efficiency while complying with a proliferating and fragmented network of regulatory constraints.</w:t>
      </w:r>
    </w:p>
    <w:p w14:paraId="7A38E36A" w14:textId="77777777" w:rsidR="008512D4" w:rsidRPr="003650BC" w:rsidRDefault="00630AE1" w:rsidP="003650BC">
      <w:pPr>
        <w:spacing w:before="240" w:after="240" w:line="360" w:lineRule="auto"/>
        <w:rPr>
          <w:sz w:val="24"/>
          <w:szCs w:val="24"/>
        </w:rPr>
      </w:pPr>
      <w:r w:rsidRPr="003650BC">
        <w:rPr>
          <w:sz w:val="24"/>
          <w:szCs w:val="24"/>
        </w:rPr>
        <w:t>According to Henderson et al. (2025), the U.S. Department of Justice significantly expands governmental control over the export and access of sensitive personal and governmental data. This regulation classifies nations such as China and Russia as “countries of concern,” restricting data transfers with these jurisdictions unless stringent compliance measures are satisfied. Simultaneously,</w:t>
      </w:r>
      <w:hyperlink r:id="rId7">
        <w:r w:rsidRPr="003650BC">
          <w:rPr>
            <w:sz w:val="24"/>
            <w:szCs w:val="24"/>
          </w:rPr>
          <w:t xml:space="preserve"> </w:t>
        </w:r>
      </w:hyperlink>
      <w:r w:rsidRPr="003650BC">
        <w:rPr>
          <w:sz w:val="24"/>
          <w:szCs w:val="24"/>
        </w:rPr>
        <w:t xml:space="preserve">Sek (2024) outlines China’s Data Protection Regulatory Framework, which mandates state-approved security assessments for outbound data transmissions, reinforcing sovereignty-centric data governance models that oppose liberal, interoperable data systems. These conflicting legal structures </w:t>
      </w:r>
      <w:r w:rsidR="004A3BB5">
        <w:rPr>
          <w:sz w:val="24"/>
          <w:szCs w:val="24"/>
        </w:rPr>
        <w:t>hinder cooperation in highly digitized and data-driven sectors,</w:t>
      </w:r>
      <w:r w:rsidRPr="003650BC">
        <w:rPr>
          <w:sz w:val="24"/>
          <w:szCs w:val="24"/>
        </w:rPr>
        <w:t xml:space="preserve"> such as energy, where cloud-based platforms and global operations are foundational. </w:t>
      </w:r>
    </w:p>
    <w:p w14:paraId="73794135" w14:textId="77777777" w:rsidR="008512D4" w:rsidRPr="003650BC" w:rsidRDefault="00630AE1" w:rsidP="003650BC">
      <w:pPr>
        <w:spacing w:before="240" w:after="240" w:line="360" w:lineRule="auto"/>
        <w:rPr>
          <w:sz w:val="24"/>
          <w:szCs w:val="24"/>
        </w:rPr>
      </w:pPr>
      <w:r w:rsidRPr="003650BC">
        <w:rPr>
          <w:sz w:val="24"/>
          <w:szCs w:val="24"/>
        </w:rPr>
        <w:t xml:space="preserve">The escalation in cyberattacks against energy infrastructure exacerbates these challenges; Dareen and Vallari (2024) </w:t>
      </w:r>
      <w:r w:rsidR="004A3BB5">
        <w:rPr>
          <w:sz w:val="24"/>
          <w:szCs w:val="24"/>
        </w:rPr>
        <w:t>report</w:t>
      </w:r>
      <w:r w:rsidRPr="003650BC">
        <w:rPr>
          <w:sz w:val="24"/>
          <w:szCs w:val="24"/>
        </w:rPr>
        <w:t xml:space="preserve"> a 70% increase in cyber incidents targeting U.S. utilities, while</w:t>
      </w:r>
      <w:hyperlink r:id="rId8">
        <w:r w:rsidRPr="003650BC">
          <w:rPr>
            <w:sz w:val="24"/>
            <w:szCs w:val="24"/>
          </w:rPr>
          <w:t xml:space="preserve"> </w:t>
        </w:r>
      </w:hyperlink>
      <w:proofErr w:type="spellStart"/>
      <w:r w:rsidRPr="003650BC">
        <w:rPr>
          <w:sz w:val="24"/>
          <w:szCs w:val="24"/>
        </w:rPr>
        <w:t>Eurelectric</w:t>
      </w:r>
      <w:proofErr w:type="spellEnd"/>
      <w:r w:rsidRPr="003650BC">
        <w:rPr>
          <w:sz w:val="24"/>
          <w:szCs w:val="24"/>
        </w:rPr>
        <w:t xml:space="preserve"> (2024) recorded 48 successful attacks on critical European energy assets in 2022, a figure that doubled from the prior year. Tamanna (2025) confirmed that the energy sector accounted for 11% of all global cyber incidents in 2023. Further compounding the problem,</w:t>
      </w:r>
      <w:hyperlink r:id="rId9">
        <w:r w:rsidRPr="003650BC">
          <w:rPr>
            <w:sz w:val="24"/>
            <w:szCs w:val="24"/>
          </w:rPr>
          <w:t xml:space="preserve"> </w:t>
        </w:r>
      </w:hyperlink>
      <w:r w:rsidRPr="003650BC">
        <w:rPr>
          <w:sz w:val="24"/>
          <w:szCs w:val="24"/>
        </w:rPr>
        <w:t>Cyber Security Intelligence (2025) noted an 80% increase in ransomware attacks in 2024 alone. Even decentralized systems</w:t>
      </w:r>
      <w:r w:rsidR="004A3BB5">
        <w:rPr>
          <w:sz w:val="24"/>
          <w:szCs w:val="24"/>
        </w:rPr>
        <w:t>, such as solar infrastructure, are increasingly threatened; Ribeiro (2024) warned of rising attacks on operational technologies that manage</w:t>
      </w:r>
      <w:r w:rsidRPr="003650BC">
        <w:rPr>
          <w:sz w:val="24"/>
          <w:szCs w:val="24"/>
        </w:rPr>
        <w:t xml:space="preserve"> solar panel systems. These data confirm the necessity of robust encryption systems to secure energy data and sustain trust in international information transfers.</w:t>
      </w:r>
    </w:p>
    <w:p w14:paraId="0DC77715" w14:textId="77777777" w:rsidR="008512D4" w:rsidRPr="003650BC" w:rsidRDefault="00630AE1" w:rsidP="003650BC">
      <w:pPr>
        <w:spacing w:before="240" w:after="240" w:line="360" w:lineRule="auto"/>
        <w:rPr>
          <w:sz w:val="24"/>
          <w:szCs w:val="24"/>
        </w:rPr>
      </w:pPr>
      <w:r w:rsidRPr="003650BC">
        <w:rPr>
          <w:sz w:val="24"/>
          <w:szCs w:val="24"/>
        </w:rPr>
        <w:lastRenderedPageBreak/>
        <w:t xml:space="preserve">However, encryption has also become a focal point of geopolitical contention. Governments argue that absolute encryption impedes criminal investigations and counterterrorism efforts, leading to efforts for "lawful access" to encrypted platforms. According to Davies (2025), a French proposal introduced in March 2025 sought to insert silent “ghost” participants into encrypted chats as part of anti-drug enforcement measures. Although </w:t>
      </w:r>
      <w:r w:rsidR="004A3BB5">
        <w:rPr>
          <w:sz w:val="24"/>
          <w:szCs w:val="24"/>
        </w:rPr>
        <w:t>the National Assembly ultimately rejected this initiative</w:t>
      </w:r>
      <w:r w:rsidRPr="003650BC">
        <w:rPr>
          <w:sz w:val="24"/>
          <w:szCs w:val="24"/>
        </w:rPr>
        <w:t xml:space="preserve"> </w:t>
      </w:r>
      <w:r w:rsidR="004A3BB5">
        <w:rPr>
          <w:sz w:val="24"/>
          <w:szCs w:val="24"/>
        </w:rPr>
        <w:t xml:space="preserve">due to concerns over civil liberties, it underscored the intensifying pressure to compromise on </w:t>
      </w:r>
      <w:r w:rsidRPr="003650BC">
        <w:rPr>
          <w:sz w:val="24"/>
          <w:szCs w:val="24"/>
        </w:rPr>
        <w:t xml:space="preserve">end-to-end encryption standards. In a similar vein, the United Kingdom’s Online Safety Act (2023-2024) includes provisions that could compel technology companies to scan encrypted messages for prohibited content (GOV.UK, 2023). This has been opposed by companies such as Apple, which argue that such obligations undermine </w:t>
      </w:r>
      <w:r w:rsidR="004A3BB5">
        <w:rPr>
          <w:sz w:val="24"/>
          <w:szCs w:val="24"/>
        </w:rPr>
        <w:t xml:space="preserve">the integrity of encryption </w:t>
      </w:r>
      <w:r w:rsidRPr="003650BC">
        <w:rPr>
          <w:sz w:val="24"/>
          <w:szCs w:val="24"/>
        </w:rPr>
        <w:t>and user trust (Chan, 2023).</w:t>
      </w:r>
    </w:p>
    <w:p w14:paraId="3830189A" w14:textId="77777777" w:rsidR="008512D4" w:rsidRPr="003650BC" w:rsidRDefault="00630AE1" w:rsidP="003650BC">
      <w:pPr>
        <w:spacing w:before="240" w:after="240" w:line="360" w:lineRule="auto"/>
        <w:rPr>
          <w:sz w:val="24"/>
          <w:szCs w:val="24"/>
        </w:rPr>
      </w:pPr>
      <w:r w:rsidRPr="003650BC">
        <w:rPr>
          <w:sz w:val="24"/>
          <w:szCs w:val="24"/>
        </w:rPr>
        <w:t xml:space="preserve">Adding to these tensions is the </w:t>
      </w:r>
      <w:r w:rsidR="004A3BB5">
        <w:rPr>
          <w:sz w:val="24"/>
          <w:szCs w:val="24"/>
        </w:rPr>
        <w:t>growing emphasis on</w:t>
      </w:r>
      <w:r w:rsidRPr="003650BC">
        <w:rPr>
          <w:sz w:val="24"/>
          <w:szCs w:val="24"/>
        </w:rPr>
        <w:t xml:space="preserve"> data sovereignty. OECD (2023) reported that nearly 100 countries had enacted data localization laws by early 2023, measures that raised data management costs for international firms by 15% to 55%. These national laws complicate compliance and introduce a patchwork of regulatory frameworks. As </w:t>
      </w:r>
      <w:proofErr w:type="spellStart"/>
      <w:r w:rsidRPr="003650BC">
        <w:rPr>
          <w:sz w:val="24"/>
          <w:szCs w:val="24"/>
        </w:rPr>
        <w:t>Mondaq</w:t>
      </w:r>
      <w:proofErr w:type="spellEnd"/>
      <w:r w:rsidRPr="003650BC">
        <w:rPr>
          <w:sz w:val="24"/>
          <w:szCs w:val="24"/>
        </w:rPr>
        <w:t xml:space="preserve"> (2025) explains, Nigeria’s Data Protection and the GAID directive impose rigorous conditions for international data flows, echoing China's restrictive stance. In contrast, the extraterritorial provisions of the U.S. CLOUD Act </w:t>
      </w:r>
      <w:r w:rsidR="004A3BB5">
        <w:rPr>
          <w:sz w:val="24"/>
          <w:szCs w:val="24"/>
        </w:rPr>
        <w:t>allow American authorities to access data stored by U.S. companies regardless of their</w:t>
      </w:r>
      <w:r w:rsidRPr="003650BC">
        <w:rPr>
          <w:sz w:val="24"/>
          <w:szCs w:val="24"/>
        </w:rPr>
        <w:t xml:space="preserve"> geographic location (</w:t>
      </w:r>
      <w:proofErr w:type="spellStart"/>
      <w:r w:rsidRPr="003650BC">
        <w:rPr>
          <w:sz w:val="24"/>
          <w:szCs w:val="24"/>
        </w:rPr>
        <w:t>Kiteworks</w:t>
      </w:r>
      <w:proofErr w:type="spellEnd"/>
      <w:r w:rsidRPr="003650BC">
        <w:rPr>
          <w:sz w:val="24"/>
          <w:szCs w:val="24"/>
        </w:rPr>
        <w:t xml:space="preserve">, 2023). </w:t>
      </w:r>
      <w:proofErr w:type="gramStart"/>
      <w:r w:rsidRPr="003650BC">
        <w:rPr>
          <w:sz w:val="24"/>
          <w:szCs w:val="24"/>
        </w:rPr>
        <w:t>This dynamic challenges</w:t>
      </w:r>
      <w:proofErr w:type="gramEnd"/>
      <w:r w:rsidRPr="003650BC">
        <w:rPr>
          <w:sz w:val="24"/>
          <w:szCs w:val="24"/>
        </w:rPr>
        <w:t xml:space="preserve"> </w:t>
      </w:r>
      <w:r w:rsidR="004A3BB5">
        <w:rPr>
          <w:sz w:val="24"/>
          <w:szCs w:val="24"/>
        </w:rPr>
        <w:t xml:space="preserve">the sovereignty principles of other nations </w:t>
      </w:r>
      <w:r w:rsidRPr="003650BC">
        <w:rPr>
          <w:sz w:val="24"/>
          <w:szCs w:val="24"/>
        </w:rPr>
        <w:t>and weakens trust in transnational data cooperation.</w:t>
      </w:r>
    </w:p>
    <w:p w14:paraId="282C99B9" w14:textId="77777777" w:rsidR="008512D4" w:rsidRPr="003650BC" w:rsidRDefault="00630AE1" w:rsidP="003650BC">
      <w:pPr>
        <w:spacing w:before="240" w:after="240" w:line="360" w:lineRule="auto"/>
        <w:rPr>
          <w:sz w:val="24"/>
          <w:szCs w:val="24"/>
        </w:rPr>
      </w:pPr>
      <w:r w:rsidRPr="003650BC">
        <w:rPr>
          <w:sz w:val="24"/>
          <w:szCs w:val="24"/>
        </w:rPr>
        <w:t xml:space="preserve">Operational risk is further heightened by vulnerabilities in the energy sector’s digital supply chain. According to </w:t>
      </w:r>
      <w:proofErr w:type="spellStart"/>
      <w:r w:rsidRPr="003650BC">
        <w:rPr>
          <w:sz w:val="24"/>
          <w:szCs w:val="24"/>
        </w:rPr>
        <w:t>SecurityScorecard</w:t>
      </w:r>
      <w:proofErr w:type="spellEnd"/>
      <w:r w:rsidRPr="003650BC">
        <w:rPr>
          <w:sz w:val="24"/>
          <w:szCs w:val="24"/>
        </w:rPr>
        <w:t xml:space="preserve"> (2024)</w:t>
      </w:r>
      <w:r w:rsidR="004A3BB5">
        <w:rPr>
          <w:sz w:val="24"/>
          <w:szCs w:val="24"/>
        </w:rPr>
        <w:t>,</w:t>
      </w:r>
      <w:r w:rsidRPr="003650BC">
        <w:rPr>
          <w:sz w:val="24"/>
          <w:szCs w:val="24"/>
        </w:rPr>
        <w:t xml:space="preserve"> 67% of data breaches in the energy industry originated from third-party software vendors.</w:t>
      </w:r>
      <w:hyperlink r:id="rId10">
        <w:r w:rsidRPr="003650BC">
          <w:rPr>
            <w:sz w:val="24"/>
            <w:szCs w:val="24"/>
          </w:rPr>
          <w:t xml:space="preserve"> </w:t>
        </w:r>
      </w:hyperlink>
      <w:r w:rsidRPr="003650BC">
        <w:rPr>
          <w:sz w:val="24"/>
          <w:szCs w:val="24"/>
        </w:rPr>
        <w:t>IBM (2024) reported that the average cost of a data breach in the sector reached $6.3 million, substantially above the global average of $4.88 million. These economic and security pressures reinforce the case for harmonized and secure encryption practices across international jurisdictions.</w:t>
      </w:r>
    </w:p>
    <w:p w14:paraId="52121683" w14:textId="77777777" w:rsidR="008512D4" w:rsidRPr="003650BC" w:rsidRDefault="00630AE1" w:rsidP="003650BC">
      <w:pPr>
        <w:spacing w:before="240" w:after="240" w:line="360" w:lineRule="auto"/>
        <w:rPr>
          <w:sz w:val="24"/>
          <w:szCs w:val="24"/>
        </w:rPr>
      </w:pPr>
      <w:r w:rsidRPr="003650BC">
        <w:rPr>
          <w:sz w:val="24"/>
          <w:szCs w:val="24"/>
        </w:rPr>
        <w:lastRenderedPageBreak/>
        <w:t xml:space="preserve">Governments and regulatory bodies are responding with legislative and technological initiatives. ENTSOE-E (2024) </w:t>
      </w:r>
      <w:r w:rsidR="004A3BB5">
        <w:rPr>
          <w:sz w:val="24"/>
          <w:szCs w:val="24"/>
        </w:rPr>
        <w:t>notes that the EU has established a cohesive regulatory framework for protecting cross-border electricity infrastructure</w:t>
      </w:r>
      <w:r w:rsidRPr="003650BC">
        <w:rPr>
          <w:sz w:val="24"/>
          <w:szCs w:val="24"/>
        </w:rPr>
        <w:t xml:space="preserve">, aiming to standardize cybersecurity practices among member states. Similarly, Nigeria’s regulatory progress </w:t>
      </w:r>
      <w:r w:rsidR="004A3BB5">
        <w:rPr>
          <w:sz w:val="24"/>
          <w:szCs w:val="24"/>
        </w:rPr>
        <w:t>has been marked by</w:t>
      </w:r>
      <w:r w:rsidRPr="003650BC">
        <w:rPr>
          <w:sz w:val="24"/>
          <w:szCs w:val="24"/>
        </w:rPr>
        <w:t xml:space="preserve"> updated directives focused on secure data governance. Technological advances offer complementary solutions (Alex-</w:t>
      </w:r>
      <w:proofErr w:type="spellStart"/>
      <w:r w:rsidRPr="003650BC">
        <w:rPr>
          <w:sz w:val="24"/>
          <w:szCs w:val="24"/>
        </w:rPr>
        <w:t>Adedipe</w:t>
      </w:r>
      <w:proofErr w:type="spellEnd"/>
      <w:r w:rsidRPr="003650BC">
        <w:rPr>
          <w:sz w:val="24"/>
          <w:szCs w:val="24"/>
        </w:rPr>
        <w:t xml:space="preserve">, 2025). Aquina et al. (2025) </w:t>
      </w:r>
      <w:r w:rsidR="004A3BB5">
        <w:rPr>
          <w:sz w:val="24"/>
          <w:szCs w:val="24"/>
        </w:rPr>
        <w:t>explore</w:t>
      </w:r>
      <w:r w:rsidRPr="003650BC">
        <w:rPr>
          <w:sz w:val="24"/>
          <w:szCs w:val="24"/>
        </w:rPr>
        <w:t xml:space="preserve"> the use of quantum key distribution (QKD) for securing energy data transfers, pointing toward a transition to future-proof cryptographic systems. Echoing this direction, </w:t>
      </w:r>
      <w:r w:rsidR="004A3BB5">
        <w:rPr>
          <w:sz w:val="24"/>
          <w:szCs w:val="24"/>
        </w:rPr>
        <w:t xml:space="preserve">the </w:t>
      </w:r>
      <w:r w:rsidRPr="003650BC">
        <w:rPr>
          <w:sz w:val="24"/>
          <w:szCs w:val="24"/>
        </w:rPr>
        <w:t>UK’s National Cyber Security Centre urged infrastructure entities to begin adopting quantum-resistant encryption by 2035 (</w:t>
      </w:r>
      <w:proofErr w:type="spellStart"/>
      <w:r w:rsidRPr="003650BC">
        <w:rPr>
          <w:sz w:val="24"/>
          <w:szCs w:val="24"/>
        </w:rPr>
        <w:t>Toulas</w:t>
      </w:r>
      <w:proofErr w:type="spellEnd"/>
      <w:r w:rsidRPr="003650BC">
        <w:rPr>
          <w:sz w:val="24"/>
          <w:szCs w:val="24"/>
        </w:rPr>
        <w:t>, 2025). To facilitate this transition, NIST (2024)</w:t>
      </w:r>
      <w:hyperlink r:id="rId11">
        <w:r w:rsidRPr="003650BC">
          <w:rPr>
            <w:sz w:val="24"/>
            <w:szCs w:val="24"/>
          </w:rPr>
          <w:t xml:space="preserve"> </w:t>
        </w:r>
      </w:hyperlink>
      <w:r w:rsidRPr="003650BC">
        <w:rPr>
          <w:sz w:val="24"/>
          <w:szCs w:val="24"/>
        </w:rPr>
        <w:t>released the first finalized standards for post-quantum cryptography.</w:t>
      </w:r>
    </w:p>
    <w:p w14:paraId="1AF6844C" w14:textId="77777777" w:rsidR="008512D4" w:rsidRPr="003650BC" w:rsidRDefault="00630AE1" w:rsidP="003650BC">
      <w:pPr>
        <w:spacing w:before="240" w:after="240" w:line="360" w:lineRule="auto"/>
        <w:rPr>
          <w:b/>
          <w:sz w:val="24"/>
          <w:szCs w:val="24"/>
        </w:rPr>
      </w:pPr>
      <w:r w:rsidRPr="003650BC">
        <w:rPr>
          <w:sz w:val="24"/>
          <w:szCs w:val="24"/>
        </w:rPr>
        <w:t xml:space="preserve">These intersecting developments </w:t>
      </w:r>
      <w:r w:rsidR="004A3BB5">
        <w:rPr>
          <w:sz w:val="24"/>
          <w:szCs w:val="24"/>
        </w:rPr>
        <w:t>highlight the complexity of balancing encryption governance with national interests, economic needs, and technological capabilities</w:t>
      </w:r>
      <w:r w:rsidRPr="003650BC">
        <w:rPr>
          <w:sz w:val="24"/>
          <w:szCs w:val="24"/>
        </w:rPr>
        <w:t xml:space="preserve">. The energy sector, given its digital intensity and global interdependence, offers a pertinent case through which to explore the operational, legal, and strategic implications of encryption regulation in the twenty-first century. This research aims to explore how conflicting encryption laws across national borders impact </w:t>
      </w:r>
      <w:r w:rsidR="00BD1015">
        <w:rPr>
          <w:sz w:val="24"/>
          <w:szCs w:val="24"/>
        </w:rPr>
        <w:t>data sharing and collaboration in the energy sector, while critically examining the tension between securing national interests and enabling safe and</w:t>
      </w:r>
      <w:r w:rsidRPr="003650BC">
        <w:rPr>
          <w:sz w:val="24"/>
          <w:szCs w:val="24"/>
        </w:rPr>
        <w:t xml:space="preserve"> efficient cross-border cooperation. The study seeks to offer balanced, practical insights that can guide policy and technology decisions at the intersection of cybersecurity, governance, and infrastructure, by achieving the following objectives:</w:t>
      </w:r>
    </w:p>
    <w:p w14:paraId="7E3E0FE1" w14:textId="77777777" w:rsidR="004A3BB5" w:rsidRDefault="00630AE1" w:rsidP="00F87581">
      <w:pPr>
        <w:numPr>
          <w:ilvl w:val="0"/>
          <w:numId w:val="1"/>
        </w:numPr>
        <w:spacing w:before="240" w:line="360" w:lineRule="auto"/>
        <w:rPr>
          <w:sz w:val="24"/>
          <w:szCs w:val="24"/>
        </w:rPr>
      </w:pPr>
      <w:r w:rsidRPr="004A3BB5">
        <w:rPr>
          <w:sz w:val="24"/>
          <w:szCs w:val="24"/>
        </w:rPr>
        <w:t>Examines the legal and policy frameworks governing data encryption across key regions and analyses how these influence international energy sector collaborations.</w:t>
      </w:r>
    </w:p>
    <w:p w14:paraId="2DF41463" w14:textId="77777777" w:rsidR="008512D4" w:rsidRPr="004A3BB5" w:rsidRDefault="00630AE1" w:rsidP="00F87581">
      <w:pPr>
        <w:numPr>
          <w:ilvl w:val="0"/>
          <w:numId w:val="1"/>
        </w:numPr>
        <w:spacing w:before="240" w:line="360" w:lineRule="auto"/>
        <w:rPr>
          <w:sz w:val="24"/>
          <w:szCs w:val="24"/>
        </w:rPr>
      </w:pPr>
      <w:r w:rsidRPr="004A3BB5">
        <w:rPr>
          <w:sz w:val="24"/>
          <w:szCs w:val="24"/>
        </w:rPr>
        <w:t xml:space="preserve">Investigates the practical challenges faced by multinational energy and data firms in complying with divergent encryption mandates while maintaining operational </w:t>
      </w:r>
      <w:r w:rsidRPr="004A3BB5">
        <w:rPr>
          <w:sz w:val="24"/>
          <w:szCs w:val="24"/>
        </w:rPr>
        <w:lastRenderedPageBreak/>
        <w:t>security and transparency.</w:t>
      </w:r>
      <w:r w:rsidRPr="004A3BB5">
        <w:rPr>
          <w:sz w:val="24"/>
          <w:szCs w:val="24"/>
        </w:rPr>
        <w:br/>
      </w:r>
    </w:p>
    <w:p w14:paraId="07BEF84E" w14:textId="77777777" w:rsidR="004A3BB5" w:rsidRDefault="00630AE1" w:rsidP="00C76A99">
      <w:pPr>
        <w:numPr>
          <w:ilvl w:val="0"/>
          <w:numId w:val="1"/>
        </w:numPr>
        <w:spacing w:after="240" w:line="360" w:lineRule="auto"/>
        <w:rPr>
          <w:sz w:val="24"/>
          <w:szCs w:val="24"/>
        </w:rPr>
      </w:pPr>
      <w:r w:rsidRPr="004A3BB5">
        <w:rPr>
          <w:sz w:val="24"/>
          <w:szCs w:val="24"/>
        </w:rPr>
        <w:t>Assesses the extent to which national security concerns shape encryption-related regulations, and how this affects trust, risk management, and diplomatic cooperation among cross-border stakeholders.</w:t>
      </w:r>
    </w:p>
    <w:p w14:paraId="44486FC0" w14:textId="77777777" w:rsidR="008512D4" w:rsidRPr="004A3BB5" w:rsidRDefault="00630AE1" w:rsidP="00C76A99">
      <w:pPr>
        <w:numPr>
          <w:ilvl w:val="0"/>
          <w:numId w:val="1"/>
        </w:numPr>
        <w:spacing w:after="240" w:line="360" w:lineRule="auto"/>
        <w:rPr>
          <w:sz w:val="24"/>
          <w:szCs w:val="24"/>
        </w:rPr>
      </w:pPr>
      <w:r w:rsidRPr="004A3BB5">
        <w:rPr>
          <w:sz w:val="24"/>
          <w:szCs w:val="24"/>
        </w:rPr>
        <w:t>Explores the emerging role of advanced encryption technologies in bridging the divide between security enforcement and data privacy, particularly within critical energy infrastructure.</w:t>
      </w:r>
    </w:p>
    <w:p w14:paraId="29F3E10F" w14:textId="77777777" w:rsidR="008512D4" w:rsidRPr="003650BC" w:rsidRDefault="003650BC" w:rsidP="003650BC">
      <w:pPr>
        <w:pStyle w:val="Heading2"/>
        <w:keepNext w:val="0"/>
        <w:keepLines w:val="0"/>
        <w:spacing w:after="80" w:line="360" w:lineRule="auto"/>
        <w:jc w:val="both"/>
        <w:rPr>
          <w:b/>
          <w:sz w:val="24"/>
          <w:szCs w:val="24"/>
        </w:rPr>
      </w:pPr>
      <w:bookmarkStart w:id="0" w:name="_sttkt4hb7dd9" w:colFirst="0" w:colLast="0"/>
      <w:bookmarkEnd w:id="0"/>
      <w:r w:rsidRPr="003650BC">
        <w:rPr>
          <w:b/>
          <w:sz w:val="24"/>
          <w:szCs w:val="24"/>
        </w:rPr>
        <w:t xml:space="preserve">2. </w:t>
      </w:r>
      <w:r w:rsidR="00630AE1" w:rsidRPr="003650BC">
        <w:rPr>
          <w:b/>
          <w:sz w:val="24"/>
          <w:szCs w:val="24"/>
        </w:rPr>
        <w:t xml:space="preserve">Literature Review </w:t>
      </w:r>
    </w:p>
    <w:p w14:paraId="0C0DBACB" w14:textId="77777777" w:rsidR="008512D4" w:rsidRPr="003650BC" w:rsidRDefault="00630AE1" w:rsidP="003650BC">
      <w:pPr>
        <w:spacing w:before="240" w:after="240" w:line="360" w:lineRule="auto"/>
        <w:jc w:val="both"/>
        <w:rPr>
          <w:sz w:val="24"/>
          <w:szCs w:val="24"/>
        </w:rPr>
      </w:pPr>
      <w:bookmarkStart w:id="1" w:name="_fqf041hq3pgo" w:colFirst="0" w:colLast="0"/>
      <w:bookmarkEnd w:id="1"/>
      <w:r w:rsidRPr="003650BC">
        <w:rPr>
          <w:sz w:val="24"/>
          <w:szCs w:val="24"/>
        </w:rPr>
        <w:t>Encryption constitutes a foundational element of contemporary cybersecurity, having evolved from elementary tools such as the Caesar cipher and the Spartan scytale into sophisticated cryptographic systems that anchor modern digital infrastructures (Hagen et al., 2025). While its core objective</w:t>
      </w:r>
      <w:r w:rsidR="004A3BB5">
        <w:rPr>
          <w:sz w:val="24"/>
          <w:szCs w:val="24"/>
        </w:rPr>
        <w:t xml:space="preserve"> </w:t>
      </w:r>
      <w:r w:rsidR="00190F55">
        <w:rPr>
          <w:sz w:val="24"/>
          <w:szCs w:val="24"/>
        </w:rPr>
        <w:t>of securing sensitive communication remains constant, its scope and complexity have expanded significantly due to technological advancements</w:t>
      </w:r>
      <w:r w:rsidRPr="003650BC">
        <w:rPr>
          <w:sz w:val="24"/>
          <w:szCs w:val="24"/>
        </w:rPr>
        <w:t>, global internet penetration, and increased cross-border data flows (Datta, 2022; Kolo, 2025). The emergence of digital cryptography, particularly public-key infrastructures like RSA and symmetric systems such as the Advanced Encryption Standard (AES), marked transformative milestones in the protection of data confidentiality, integrity, and availability</w:t>
      </w:r>
      <w:r w:rsidR="004A3BB5">
        <w:rPr>
          <w:sz w:val="24"/>
          <w:szCs w:val="24"/>
        </w:rPr>
        <w:t xml:space="preserve"> </w:t>
      </w:r>
      <w:r w:rsidRPr="003650BC">
        <w:rPr>
          <w:sz w:val="24"/>
          <w:szCs w:val="24"/>
        </w:rPr>
        <w:t xml:space="preserve">the three core dimensions of the information security model known as the CIA triad (Ketha, 2023; Salami, 2025). Encryption facilitates confidentiality by converting plaintext into ciphertext, upholds integrity through the use of cryptographic hashes and digital signatures, and contributes to availability by mitigating system disruptions resulting from data breaches (Xing, 2023; </w:t>
      </w:r>
      <w:proofErr w:type="spellStart"/>
      <w:r w:rsidRPr="003650BC">
        <w:rPr>
          <w:sz w:val="24"/>
          <w:szCs w:val="24"/>
        </w:rPr>
        <w:t>Ogunmolu</w:t>
      </w:r>
      <w:proofErr w:type="spellEnd"/>
      <w:r w:rsidRPr="003650BC">
        <w:rPr>
          <w:sz w:val="24"/>
          <w:szCs w:val="24"/>
        </w:rPr>
        <w:t>, 2025).</w:t>
      </w:r>
    </w:p>
    <w:p w14:paraId="05C3B605" w14:textId="77777777" w:rsidR="008512D4" w:rsidRPr="003650BC" w:rsidRDefault="00630AE1" w:rsidP="003650BC">
      <w:pPr>
        <w:spacing w:before="240" w:after="240" w:line="360" w:lineRule="auto"/>
        <w:jc w:val="both"/>
        <w:rPr>
          <w:sz w:val="24"/>
          <w:szCs w:val="24"/>
        </w:rPr>
      </w:pPr>
      <w:r w:rsidRPr="003650BC">
        <w:rPr>
          <w:sz w:val="24"/>
          <w:szCs w:val="24"/>
        </w:rPr>
        <w:t xml:space="preserve">According to Azad and </w:t>
      </w:r>
      <w:proofErr w:type="spellStart"/>
      <w:r w:rsidRPr="003650BC">
        <w:rPr>
          <w:sz w:val="24"/>
          <w:szCs w:val="24"/>
        </w:rPr>
        <w:t>Siraparapu</w:t>
      </w:r>
      <w:proofErr w:type="spellEnd"/>
      <w:r w:rsidRPr="003650BC">
        <w:rPr>
          <w:sz w:val="24"/>
          <w:szCs w:val="24"/>
        </w:rPr>
        <w:t xml:space="preserve"> (2024), encryption now operates not merely as a technical function but as a pivotal instrument in ensuring digital trust and sustaining uninterrupted operations, particularly in critical infrastructures such as energy and data ecosystems. </w:t>
      </w:r>
      <w:r w:rsidR="00190F55">
        <w:rPr>
          <w:sz w:val="24"/>
          <w:szCs w:val="24"/>
        </w:rPr>
        <w:t>Sixty-two percent of organizations worldwide have adopted enterprise-wide encryption strategies, with substantial uptake in</w:t>
      </w:r>
      <w:r w:rsidRPr="003650BC">
        <w:rPr>
          <w:sz w:val="24"/>
          <w:szCs w:val="24"/>
        </w:rPr>
        <w:t xml:space="preserve"> the energy, public, and manufacturing sectors (Entrust, 2022). </w:t>
      </w:r>
      <w:proofErr w:type="spellStart"/>
      <w:r w:rsidRPr="003650BC">
        <w:rPr>
          <w:sz w:val="24"/>
          <w:szCs w:val="24"/>
        </w:rPr>
        <w:t>Pliatsios</w:t>
      </w:r>
      <w:proofErr w:type="spellEnd"/>
      <w:r w:rsidRPr="003650BC">
        <w:rPr>
          <w:sz w:val="24"/>
          <w:szCs w:val="24"/>
        </w:rPr>
        <w:t xml:space="preserve"> et al. (2020) </w:t>
      </w:r>
      <w:r w:rsidR="00190F55">
        <w:rPr>
          <w:sz w:val="24"/>
          <w:szCs w:val="24"/>
        </w:rPr>
        <w:t xml:space="preserve">argue that this adoption trend aligns with </w:t>
      </w:r>
      <w:r w:rsidR="00190F55">
        <w:rPr>
          <w:sz w:val="24"/>
          <w:szCs w:val="24"/>
        </w:rPr>
        <w:lastRenderedPageBreak/>
        <w:t>the widespread integration of Supervisory Control and Data Acquisition (SCADA) systems and other operational technologies within industrial frameworks, where encryption serves as a deterrent</w:t>
      </w:r>
      <w:r w:rsidRPr="003650BC">
        <w:rPr>
          <w:sz w:val="24"/>
          <w:szCs w:val="24"/>
        </w:rPr>
        <w:t xml:space="preserve"> against malicious exploitation. Furthermore, IBM (2024) affirms that organizations with extensive encryption infrastructures report an average cost reduction of $232,000 per incident, underscoring the tangible financial benefits of comprehensive cybersecurity postures.</w:t>
      </w:r>
    </w:p>
    <w:p w14:paraId="402AA11A" w14:textId="77777777" w:rsidR="008512D4" w:rsidRPr="003650BC" w:rsidRDefault="00630AE1" w:rsidP="003650BC">
      <w:pPr>
        <w:spacing w:before="240" w:after="240" w:line="360" w:lineRule="auto"/>
        <w:jc w:val="both"/>
        <w:rPr>
          <w:sz w:val="24"/>
          <w:szCs w:val="24"/>
        </w:rPr>
      </w:pPr>
      <w:r w:rsidRPr="003650BC">
        <w:rPr>
          <w:sz w:val="24"/>
          <w:szCs w:val="24"/>
        </w:rPr>
        <w:t xml:space="preserve">End-to-end encryption (E2EE) has become essential in protecting distributed and cloud-based systems, particularly in global energy infrastructures where data </w:t>
      </w:r>
      <w:proofErr w:type="gramStart"/>
      <w:r w:rsidRPr="003650BC">
        <w:rPr>
          <w:sz w:val="24"/>
          <w:szCs w:val="24"/>
        </w:rPr>
        <w:t>traverses</w:t>
      </w:r>
      <w:proofErr w:type="gramEnd"/>
      <w:r w:rsidRPr="003650BC">
        <w:rPr>
          <w:sz w:val="24"/>
          <w:szCs w:val="24"/>
        </w:rPr>
        <w:t xml:space="preserve"> multiple jurisdictions (Akpabio et al., 2025; Kolo et al., 2025). E2EE ensures that data remains encrypted throughout transmission, rendering it inaccessible to unauthorized intermediaries, including service providers (Nookala et al., 2019; </w:t>
      </w:r>
      <w:proofErr w:type="spellStart"/>
      <w:r w:rsidRPr="003650BC">
        <w:rPr>
          <w:sz w:val="24"/>
          <w:szCs w:val="24"/>
        </w:rPr>
        <w:t>Ogunmolu</w:t>
      </w:r>
      <w:proofErr w:type="spellEnd"/>
      <w:r w:rsidRPr="003650BC">
        <w:rPr>
          <w:sz w:val="24"/>
          <w:szCs w:val="24"/>
        </w:rPr>
        <w:t xml:space="preserve">, 2025). However, this security strength has </w:t>
      </w:r>
      <w:proofErr w:type="spellStart"/>
      <w:r w:rsidRPr="003650BC">
        <w:rPr>
          <w:sz w:val="24"/>
          <w:szCs w:val="24"/>
        </w:rPr>
        <w:t>catalyzed</w:t>
      </w:r>
      <w:proofErr w:type="spellEnd"/>
      <w:r w:rsidRPr="003650BC">
        <w:rPr>
          <w:sz w:val="24"/>
          <w:szCs w:val="24"/>
        </w:rPr>
        <w:t xml:space="preserve"> political and regulatory contention. According to </w:t>
      </w:r>
      <w:proofErr w:type="spellStart"/>
      <w:r w:rsidRPr="003650BC">
        <w:rPr>
          <w:sz w:val="24"/>
          <w:szCs w:val="24"/>
        </w:rPr>
        <w:t>Maadallah</w:t>
      </w:r>
      <w:proofErr w:type="spellEnd"/>
      <w:r w:rsidRPr="003650BC">
        <w:rPr>
          <w:sz w:val="24"/>
          <w:szCs w:val="24"/>
        </w:rPr>
        <w:t xml:space="preserve"> et al. (2025)</w:t>
      </w:r>
      <w:r w:rsidR="00190F55">
        <w:rPr>
          <w:sz w:val="24"/>
          <w:szCs w:val="24"/>
        </w:rPr>
        <w:t xml:space="preserve">, E2EE impedes lawful surveillance and national </w:t>
      </w:r>
      <w:proofErr w:type="spellStart"/>
      <w:r w:rsidR="00190F55">
        <w:rPr>
          <w:sz w:val="24"/>
          <w:szCs w:val="24"/>
        </w:rPr>
        <w:t>defense</w:t>
      </w:r>
      <w:proofErr w:type="spellEnd"/>
      <w:r w:rsidR="00190F55">
        <w:rPr>
          <w:sz w:val="24"/>
          <w:szCs w:val="24"/>
        </w:rPr>
        <w:t xml:space="preserve"> capabilities, advocating for built-in access mechanisms that</w:t>
      </w:r>
      <w:r w:rsidRPr="003650BC">
        <w:rPr>
          <w:sz w:val="24"/>
          <w:szCs w:val="24"/>
        </w:rPr>
        <w:t xml:space="preserve"> may undermine encryption’s structural resilience. </w:t>
      </w:r>
      <w:r w:rsidR="00190F55">
        <w:rPr>
          <w:sz w:val="24"/>
          <w:szCs w:val="24"/>
        </w:rPr>
        <w:t>Given</w:t>
      </w:r>
      <w:r w:rsidRPr="003650BC">
        <w:rPr>
          <w:sz w:val="24"/>
          <w:szCs w:val="24"/>
        </w:rPr>
        <w:t xml:space="preserve"> this, encryption functions not only as a technological safeguard but as a socio-political instrument framing issues of digital sovereignty, regulatory autonomy, and the geopolitics of transnational data cooperation (Fratini, 2025; Ejiofor et al., 2025).</w:t>
      </w:r>
    </w:p>
    <w:p w14:paraId="3E7340A1" w14:textId="77777777" w:rsidR="008512D4" w:rsidRPr="003650BC" w:rsidRDefault="00630AE1" w:rsidP="003650BC">
      <w:pPr>
        <w:pStyle w:val="Heading3"/>
        <w:keepNext w:val="0"/>
        <w:keepLines w:val="0"/>
        <w:spacing w:before="280" w:line="360" w:lineRule="auto"/>
        <w:jc w:val="both"/>
        <w:rPr>
          <w:sz w:val="24"/>
          <w:szCs w:val="24"/>
        </w:rPr>
      </w:pPr>
      <w:bookmarkStart w:id="2" w:name="_fsaojml53vcr" w:colFirst="0" w:colLast="0"/>
      <w:bookmarkEnd w:id="2"/>
      <w:r w:rsidRPr="003650BC">
        <w:rPr>
          <w:b/>
          <w:color w:val="000000"/>
          <w:sz w:val="24"/>
          <w:szCs w:val="24"/>
        </w:rPr>
        <w:t>National Security and the Push for Lawful Access</w:t>
      </w:r>
    </w:p>
    <w:p w14:paraId="668346B0" w14:textId="77777777" w:rsidR="008512D4" w:rsidRPr="003650BC" w:rsidRDefault="00630AE1" w:rsidP="003650BC">
      <w:pPr>
        <w:spacing w:before="240" w:after="240" w:line="360" w:lineRule="auto"/>
        <w:rPr>
          <w:sz w:val="24"/>
          <w:szCs w:val="24"/>
        </w:rPr>
      </w:pPr>
      <w:r w:rsidRPr="003650BC">
        <w:rPr>
          <w:sz w:val="24"/>
          <w:szCs w:val="24"/>
        </w:rPr>
        <w:t xml:space="preserve">Governmental initiatives to secure lawful access to encrypted communications have intensified in recent years, driven by heightened national security imperatives, including counterterrorism, </w:t>
      </w:r>
      <w:r w:rsidR="00190F55">
        <w:rPr>
          <w:sz w:val="24"/>
          <w:szCs w:val="24"/>
        </w:rPr>
        <w:t>the prevention of cyber-enabled crime</w:t>
      </w:r>
      <w:r w:rsidRPr="003650BC">
        <w:rPr>
          <w:sz w:val="24"/>
          <w:szCs w:val="24"/>
        </w:rPr>
        <w:t xml:space="preserve">, child protection, and the disruption of transnational criminal networks. Law enforcement agencies contend that end-to-end encryption (E2EE) facilitates “going dark” scenarios, wherein malicious actors communicate with impunity, evading surveillance and impeding legal investigations (Fratini, 2025; </w:t>
      </w:r>
      <w:proofErr w:type="spellStart"/>
      <w:r w:rsidRPr="003650BC">
        <w:rPr>
          <w:sz w:val="24"/>
          <w:szCs w:val="24"/>
        </w:rPr>
        <w:t>Oyekunle</w:t>
      </w:r>
      <w:proofErr w:type="spellEnd"/>
      <w:r w:rsidRPr="003650BC">
        <w:rPr>
          <w:sz w:val="24"/>
          <w:szCs w:val="24"/>
        </w:rPr>
        <w:t xml:space="preserve"> et al., 2025). Encrypted platforms are increasingly employed for coordinating attacks, laundering illicit funds, and concealing criminal activity, thereby necessitating legislative interventions to facilitate lawful access (Henderson et al., 2025; </w:t>
      </w:r>
      <w:proofErr w:type="spellStart"/>
      <w:r w:rsidRPr="003650BC">
        <w:rPr>
          <w:sz w:val="24"/>
          <w:szCs w:val="24"/>
        </w:rPr>
        <w:t>Adesokan</w:t>
      </w:r>
      <w:proofErr w:type="spellEnd"/>
      <w:r w:rsidRPr="003650BC">
        <w:rPr>
          <w:sz w:val="24"/>
          <w:szCs w:val="24"/>
        </w:rPr>
        <w:t xml:space="preserve">-Imran et al., 2025). This position is reinforced by </w:t>
      </w:r>
      <w:proofErr w:type="spellStart"/>
      <w:r w:rsidRPr="003650BC">
        <w:rPr>
          <w:sz w:val="24"/>
          <w:szCs w:val="24"/>
        </w:rPr>
        <w:lastRenderedPageBreak/>
        <w:t>Katkuri</w:t>
      </w:r>
      <w:proofErr w:type="spellEnd"/>
      <w:r w:rsidRPr="003650BC">
        <w:rPr>
          <w:sz w:val="24"/>
          <w:szCs w:val="24"/>
        </w:rPr>
        <w:t xml:space="preserve"> (2024), which argues that widespread encryption significantly restricts the availability of actionable digital evidence critical for national security operations.</w:t>
      </w:r>
    </w:p>
    <w:p w14:paraId="553BC4D9" w14:textId="77777777" w:rsidR="008512D4" w:rsidRPr="003650BC" w:rsidRDefault="00630AE1" w:rsidP="003650BC">
      <w:pPr>
        <w:spacing w:before="240" w:after="240" w:line="360" w:lineRule="auto"/>
        <w:rPr>
          <w:sz w:val="24"/>
          <w:szCs w:val="24"/>
        </w:rPr>
      </w:pPr>
      <w:r w:rsidRPr="003650BC">
        <w:rPr>
          <w:sz w:val="24"/>
          <w:szCs w:val="24"/>
        </w:rPr>
        <w:t xml:space="preserve">These tensions echo the historical “Crypto Wars” of the 1990s, during which governments attempted to regulate encryption through measures such as key escrow frameworks (Anderson, 2021; Salami et al., 2025). According to Murphy (2020), the contemporary iteration of this conflict </w:t>
      </w:r>
      <w:proofErr w:type="spellStart"/>
      <w:r w:rsidRPr="003650BC">
        <w:rPr>
          <w:sz w:val="24"/>
          <w:szCs w:val="24"/>
        </w:rPr>
        <w:t>centers</w:t>
      </w:r>
      <w:proofErr w:type="spellEnd"/>
      <w:r w:rsidRPr="003650BC">
        <w:rPr>
          <w:sz w:val="24"/>
          <w:szCs w:val="24"/>
        </w:rPr>
        <w:t xml:space="preserve"> on state demands for mandatory decryption capabilities or company-enforced backdoors. Members of the Five Eyes intelligence alliance argue that such access mechanisms are indispensable for public safety and crime deterrence (</w:t>
      </w:r>
      <w:proofErr w:type="spellStart"/>
      <w:r w:rsidRPr="003650BC">
        <w:rPr>
          <w:sz w:val="24"/>
          <w:szCs w:val="24"/>
        </w:rPr>
        <w:t>MilitarySphere</w:t>
      </w:r>
      <w:proofErr w:type="spellEnd"/>
      <w:r w:rsidRPr="003650BC">
        <w:rPr>
          <w:sz w:val="24"/>
          <w:szCs w:val="24"/>
        </w:rPr>
        <w:t>, 2024). However, Jimmy (2024) contends that technology firms, digital rights organizations, and cybersecurity professionals uniformly caution that any intentional weakening of encryption introduces structural vulnerabilities that adversaries can exploit.</w:t>
      </w:r>
    </w:p>
    <w:p w14:paraId="70FB9CC9" w14:textId="77777777" w:rsidR="008512D4" w:rsidRPr="003650BC" w:rsidRDefault="00630AE1" w:rsidP="003650BC">
      <w:pPr>
        <w:spacing w:before="240" w:after="240" w:line="360" w:lineRule="auto"/>
        <w:rPr>
          <w:sz w:val="24"/>
          <w:szCs w:val="24"/>
        </w:rPr>
      </w:pPr>
      <w:r w:rsidRPr="003650BC">
        <w:rPr>
          <w:sz w:val="24"/>
          <w:szCs w:val="24"/>
        </w:rPr>
        <w:t xml:space="preserve">This debate gained renewed prominence with France’s 2025 “Ghost Protocol” proposal, which aimed to allow government agents </w:t>
      </w:r>
      <w:r w:rsidR="00190F55">
        <w:rPr>
          <w:sz w:val="24"/>
          <w:szCs w:val="24"/>
        </w:rPr>
        <w:t>to infiltrate encrypted group communications silently</w:t>
      </w:r>
      <w:r w:rsidRPr="003650BC">
        <w:rPr>
          <w:sz w:val="24"/>
          <w:szCs w:val="24"/>
        </w:rPr>
        <w:t xml:space="preserve">. Although intended to combat drug trafficking and terrorism, the proposal drew condemnation from civil society and cybersecurity </w:t>
      </w:r>
      <w:proofErr w:type="gramStart"/>
      <w:r w:rsidRPr="003650BC">
        <w:rPr>
          <w:sz w:val="24"/>
          <w:szCs w:val="24"/>
        </w:rPr>
        <w:t>communities  (</w:t>
      </w:r>
      <w:proofErr w:type="gramEnd"/>
      <w:r w:rsidRPr="003650BC">
        <w:rPr>
          <w:sz w:val="24"/>
          <w:szCs w:val="24"/>
        </w:rPr>
        <w:t xml:space="preserve">Davies, 2025; </w:t>
      </w:r>
      <w:proofErr w:type="spellStart"/>
      <w:r w:rsidRPr="003650BC">
        <w:rPr>
          <w:sz w:val="24"/>
          <w:szCs w:val="24"/>
        </w:rPr>
        <w:t>Adesokan</w:t>
      </w:r>
      <w:proofErr w:type="spellEnd"/>
      <w:r w:rsidRPr="003650BC">
        <w:rPr>
          <w:sz w:val="24"/>
          <w:szCs w:val="24"/>
        </w:rPr>
        <w:t>-Imran et al., 2025). This measure fundamentally undermined encryption integrity, and the French National Assembly ultimately rejected the legislation following widespread opposition (Mullin, 2025).</w:t>
      </w:r>
    </w:p>
    <w:p w14:paraId="7FBAB0B2" w14:textId="77777777" w:rsidR="008512D4" w:rsidRPr="003650BC" w:rsidRDefault="00630AE1" w:rsidP="003650BC">
      <w:pPr>
        <w:spacing w:before="240" w:after="240" w:line="360" w:lineRule="auto"/>
        <w:rPr>
          <w:sz w:val="24"/>
          <w:szCs w:val="24"/>
        </w:rPr>
      </w:pPr>
      <w:r w:rsidRPr="003650BC">
        <w:rPr>
          <w:sz w:val="24"/>
          <w:szCs w:val="24"/>
        </w:rPr>
        <w:t>A similar conflict arose in the United Kingdom, where the</w:t>
      </w:r>
      <w:hyperlink r:id="rId12">
        <w:r w:rsidRPr="003650BC">
          <w:rPr>
            <w:sz w:val="24"/>
            <w:szCs w:val="24"/>
          </w:rPr>
          <w:t xml:space="preserve"> </w:t>
        </w:r>
      </w:hyperlink>
      <w:r w:rsidRPr="003650BC">
        <w:rPr>
          <w:sz w:val="24"/>
          <w:szCs w:val="24"/>
        </w:rPr>
        <w:t xml:space="preserve">Online Safety Act (2023-2024) includes provisions requiring service providers to monitor encrypted content (GOV.UK, 2023). Apple responded by </w:t>
      </w:r>
      <w:r w:rsidR="00190F55">
        <w:rPr>
          <w:sz w:val="24"/>
          <w:szCs w:val="24"/>
        </w:rPr>
        <w:t>turning off its Advanced Data Protection service for UK users, citing that compliance would compromise</w:t>
      </w:r>
      <w:r w:rsidRPr="003650BC">
        <w:rPr>
          <w:sz w:val="24"/>
          <w:szCs w:val="24"/>
        </w:rPr>
        <w:t xml:space="preserve"> global data security standards (Chan, 2023). Meanwhile, the extraterritorial provisions of the</w:t>
      </w:r>
      <w:hyperlink r:id="rId13">
        <w:r w:rsidRPr="003650BC">
          <w:rPr>
            <w:sz w:val="24"/>
            <w:szCs w:val="24"/>
          </w:rPr>
          <w:t xml:space="preserve"> </w:t>
        </w:r>
      </w:hyperlink>
      <w:r w:rsidRPr="003650BC">
        <w:rPr>
          <w:sz w:val="24"/>
          <w:szCs w:val="24"/>
        </w:rPr>
        <w:t xml:space="preserve">U.S. CLOUD Act allow American authorities to access data stored internationally by U.S.-based entities, raising concerns about jurisdictional overreach and incompatibility with non-U.S. data protection regimes, including the </w:t>
      </w:r>
      <w:proofErr w:type="gramStart"/>
      <w:r w:rsidRPr="003650BC">
        <w:rPr>
          <w:sz w:val="24"/>
          <w:szCs w:val="24"/>
        </w:rPr>
        <w:t>GDPR  (</w:t>
      </w:r>
      <w:proofErr w:type="spellStart"/>
      <w:proofErr w:type="gramEnd"/>
      <w:r w:rsidRPr="003650BC">
        <w:rPr>
          <w:sz w:val="24"/>
          <w:szCs w:val="24"/>
        </w:rPr>
        <w:t>Kiteworks</w:t>
      </w:r>
      <w:proofErr w:type="spellEnd"/>
      <w:r w:rsidRPr="003650BC">
        <w:rPr>
          <w:sz w:val="24"/>
          <w:szCs w:val="24"/>
        </w:rPr>
        <w:t xml:space="preserve">, 2023). Such mandates complicate multinational compliance and challenge </w:t>
      </w:r>
      <w:r w:rsidR="00190F55">
        <w:rPr>
          <w:sz w:val="24"/>
          <w:szCs w:val="24"/>
        </w:rPr>
        <w:t>the principles of digital sovereignty</w:t>
      </w:r>
      <w:r w:rsidRPr="003650BC">
        <w:rPr>
          <w:sz w:val="24"/>
          <w:szCs w:val="24"/>
        </w:rPr>
        <w:t>.</w:t>
      </w:r>
    </w:p>
    <w:p w14:paraId="3819893C" w14:textId="77777777" w:rsidR="008512D4" w:rsidRPr="003650BC" w:rsidRDefault="00190F55" w:rsidP="003650BC">
      <w:pPr>
        <w:spacing w:before="240" w:after="240" w:line="360" w:lineRule="auto"/>
        <w:rPr>
          <w:sz w:val="24"/>
          <w:szCs w:val="24"/>
        </w:rPr>
      </w:pPr>
      <w:r>
        <w:rPr>
          <w:sz w:val="24"/>
          <w:szCs w:val="24"/>
        </w:rPr>
        <w:lastRenderedPageBreak/>
        <w:t>According to Wolford (2018), cybersecurity experts and firms such as Proton and Meta assert that any engineered backdoor, regardless of its intended purpose</w:t>
      </w:r>
      <w:r w:rsidR="00630AE1" w:rsidRPr="003650BC">
        <w:rPr>
          <w:sz w:val="24"/>
          <w:szCs w:val="24"/>
        </w:rPr>
        <w:t>, introduces exploitable vulnerabilities. Thus, while the state's responsibility to ensure public safety is undisputed, balancing this duty with the imperative to preserve secure encryption remains a contentious and unresolved policy dilemma.</w:t>
      </w:r>
    </w:p>
    <w:p w14:paraId="46B2A447" w14:textId="77777777" w:rsidR="008512D4" w:rsidRPr="003650BC" w:rsidRDefault="00630AE1" w:rsidP="003650BC">
      <w:pPr>
        <w:pStyle w:val="Heading3"/>
        <w:keepNext w:val="0"/>
        <w:keepLines w:val="0"/>
        <w:spacing w:before="280" w:line="360" w:lineRule="auto"/>
        <w:jc w:val="both"/>
        <w:rPr>
          <w:b/>
          <w:color w:val="000000"/>
          <w:sz w:val="24"/>
          <w:szCs w:val="24"/>
        </w:rPr>
      </w:pPr>
      <w:bookmarkStart w:id="3" w:name="_p59vmrtbi2jw" w:colFirst="0" w:colLast="0"/>
      <w:bookmarkEnd w:id="3"/>
      <w:r w:rsidRPr="003650BC">
        <w:rPr>
          <w:b/>
          <w:color w:val="000000"/>
          <w:sz w:val="24"/>
          <w:szCs w:val="24"/>
        </w:rPr>
        <w:t>Divergence in Global Encryption and Data Governance Laws</w:t>
      </w:r>
    </w:p>
    <w:p w14:paraId="4E551DB2" w14:textId="77777777" w:rsidR="008512D4" w:rsidRPr="003650BC" w:rsidRDefault="00630AE1" w:rsidP="003650BC">
      <w:pPr>
        <w:spacing w:before="240" w:after="240" w:line="360" w:lineRule="auto"/>
        <w:jc w:val="both"/>
        <w:rPr>
          <w:sz w:val="24"/>
          <w:szCs w:val="24"/>
        </w:rPr>
      </w:pPr>
      <w:r w:rsidRPr="003650BC">
        <w:rPr>
          <w:sz w:val="24"/>
          <w:szCs w:val="24"/>
        </w:rPr>
        <w:t>The fragmentation of international data governance frameworks has generated acute operational and legal challenges for multinational firms, particularly those operating in data-intensive and security-sensitive sectors such as energy (</w:t>
      </w:r>
      <w:proofErr w:type="spellStart"/>
      <w:r w:rsidRPr="003650BC">
        <w:rPr>
          <w:sz w:val="24"/>
          <w:szCs w:val="24"/>
        </w:rPr>
        <w:t>Sindiramutty</w:t>
      </w:r>
      <w:proofErr w:type="spellEnd"/>
      <w:r w:rsidRPr="003650BC">
        <w:rPr>
          <w:sz w:val="24"/>
          <w:szCs w:val="24"/>
        </w:rPr>
        <w:t xml:space="preserve"> et al., 2024; </w:t>
      </w:r>
      <w:proofErr w:type="spellStart"/>
      <w:r w:rsidRPr="003650BC">
        <w:rPr>
          <w:sz w:val="24"/>
          <w:szCs w:val="24"/>
        </w:rPr>
        <w:t>Olutimehin</w:t>
      </w:r>
      <w:proofErr w:type="spellEnd"/>
      <w:r w:rsidRPr="003650BC">
        <w:rPr>
          <w:sz w:val="24"/>
          <w:szCs w:val="24"/>
        </w:rPr>
        <w:t xml:space="preserve"> et al., 2025). This disjunction stems from the increasing entanglement of national security imperatives and sovereignty claims with regulatory design, resulting in a complex landscape of often incompatible obligations (Marcucci et al., 2023; Salako et al., 2025). A prominent example is the</w:t>
      </w:r>
      <w:hyperlink r:id="rId14">
        <w:r w:rsidRPr="003650BC">
          <w:rPr>
            <w:sz w:val="24"/>
            <w:szCs w:val="24"/>
          </w:rPr>
          <w:t xml:space="preserve"> </w:t>
        </w:r>
      </w:hyperlink>
      <w:r w:rsidRPr="003650BC">
        <w:rPr>
          <w:sz w:val="24"/>
          <w:szCs w:val="24"/>
        </w:rPr>
        <w:t xml:space="preserve">U.S. Department of </w:t>
      </w:r>
      <w:r w:rsidR="00190F55">
        <w:rPr>
          <w:sz w:val="24"/>
          <w:szCs w:val="24"/>
        </w:rPr>
        <w:t>Justice's</w:t>
      </w:r>
      <w:r w:rsidRPr="003650BC">
        <w:rPr>
          <w:sz w:val="24"/>
          <w:szCs w:val="24"/>
        </w:rPr>
        <w:t xml:space="preserve"> final rule on Cross-Border Data Transfers, which extends federal oversight over data transactions with states designated as “countries of concern,” including China and Russia (Henderson et al., 2025; Obioha-Val et al., 2025). This regulation imposes strict licensing protocols and compliance verification processes, thereby framing transnational data movement as a strategic national security issue, and while this policy aims to prevent adversarial exploitation, it also amplifies regulatory burdens and fuels techno-nationalist sentiment, potentially stifling global cooperation (Lynn &amp; Salzman, 2023; </w:t>
      </w:r>
      <w:proofErr w:type="spellStart"/>
      <w:r w:rsidRPr="003650BC">
        <w:rPr>
          <w:sz w:val="24"/>
          <w:szCs w:val="24"/>
        </w:rPr>
        <w:t>Tiwo</w:t>
      </w:r>
      <w:proofErr w:type="spellEnd"/>
      <w:r w:rsidRPr="003650BC">
        <w:rPr>
          <w:sz w:val="24"/>
          <w:szCs w:val="24"/>
        </w:rPr>
        <w:t xml:space="preserve"> et al., 2025).</w:t>
      </w:r>
    </w:p>
    <w:p w14:paraId="326110B4" w14:textId="77777777" w:rsidR="008512D4" w:rsidRPr="003650BC" w:rsidRDefault="00630AE1" w:rsidP="003650BC">
      <w:pPr>
        <w:spacing w:before="240" w:after="240" w:line="360" w:lineRule="auto"/>
        <w:jc w:val="both"/>
        <w:rPr>
          <w:sz w:val="24"/>
          <w:szCs w:val="24"/>
        </w:rPr>
      </w:pPr>
      <w:r w:rsidRPr="003650BC">
        <w:rPr>
          <w:sz w:val="24"/>
          <w:szCs w:val="24"/>
        </w:rPr>
        <w:t xml:space="preserve">By contrast, the European Union’s General Data Protection Regulation advances a rights-based model that prioritizes individual data privacy over national control (Friedl, 2025; Kolade et al., 2025). It restricts data transfers to jurisdictions lacking “adequate protection,” thereby introducing additional legal complexity for non-EU entities attempting to engage with European markets. </w:t>
      </w:r>
      <w:r w:rsidR="00190F55">
        <w:rPr>
          <w:sz w:val="24"/>
          <w:szCs w:val="24"/>
        </w:rPr>
        <w:t xml:space="preserve">The European Commission (2024) notes that the EU’s 2024 Network Code on Cybersecurity complements the GDPR by establishing transnational cybersecurity standards for energy infrastructure, thereby </w:t>
      </w:r>
      <w:r w:rsidRPr="003650BC">
        <w:rPr>
          <w:sz w:val="24"/>
          <w:szCs w:val="24"/>
        </w:rPr>
        <w:t xml:space="preserve">indirectly shaping encryption norms in critical sectors. However, the subjectivity inherent in assessing </w:t>
      </w:r>
      <w:r w:rsidRPr="003650BC">
        <w:rPr>
          <w:sz w:val="24"/>
          <w:szCs w:val="24"/>
        </w:rPr>
        <w:lastRenderedPageBreak/>
        <w:t xml:space="preserve">“adequate protection” introduces interpretive variability, complicating compliance for external firms (Ahmad et al., 2023; </w:t>
      </w:r>
      <w:proofErr w:type="spellStart"/>
      <w:r w:rsidRPr="003650BC">
        <w:rPr>
          <w:sz w:val="24"/>
          <w:szCs w:val="24"/>
        </w:rPr>
        <w:t>Metibemu</w:t>
      </w:r>
      <w:proofErr w:type="spellEnd"/>
      <w:r w:rsidRPr="003650BC">
        <w:rPr>
          <w:sz w:val="24"/>
          <w:szCs w:val="24"/>
        </w:rPr>
        <w:t xml:space="preserve"> et al., 2025).</w:t>
      </w:r>
    </w:p>
    <w:p w14:paraId="50CA9777" w14:textId="77777777" w:rsidR="008512D4" w:rsidRPr="003650BC" w:rsidRDefault="00630AE1" w:rsidP="003650BC">
      <w:pPr>
        <w:spacing w:before="240" w:after="240" w:line="360" w:lineRule="auto"/>
        <w:jc w:val="both"/>
        <w:rPr>
          <w:sz w:val="24"/>
          <w:szCs w:val="24"/>
        </w:rPr>
      </w:pPr>
      <w:r w:rsidRPr="003650BC">
        <w:rPr>
          <w:sz w:val="24"/>
          <w:szCs w:val="24"/>
        </w:rPr>
        <w:t>China, in stark contrast, adopts a sovereignty-centric approach; its Data Protection Regulatory Framework</w:t>
      </w:r>
      <w:r w:rsidR="00BD1015">
        <w:rPr>
          <w:sz w:val="24"/>
          <w:szCs w:val="24"/>
        </w:rPr>
        <w:t>,</w:t>
      </w:r>
      <w:r w:rsidRPr="003650BC">
        <w:rPr>
          <w:sz w:val="24"/>
          <w:szCs w:val="24"/>
        </w:rPr>
        <w:t xml:space="preserve"> which includes the 2024 Network Data Security Management Regulations, requires national security assessments and administrative permissions for outbound data transfers (</w:t>
      </w:r>
      <w:proofErr w:type="spellStart"/>
      <w:r w:rsidRPr="003650BC">
        <w:rPr>
          <w:sz w:val="24"/>
          <w:szCs w:val="24"/>
        </w:rPr>
        <w:t>Borgogno</w:t>
      </w:r>
      <w:proofErr w:type="spellEnd"/>
      <w:r w:rsidRPr="003650BC">
        <w:rPr>
          <w:sz w:val="24"/>
          <w:szCs w:val="24"/>
        </w:rPr>
        <w:t xml:space="preserve"> &amp; </w:t>
      </w:r>
      <w:proofErr w:type="spellStart"/>
      <w:r w:rsidRPr="003650BC">
        <w:rPr>
          <w:sz w:val="24"/>
          <w:szCs w:val="24"/>
        </w:rPr>
        <w:t>Zangrandi</w:t>
      </w:r>
      <w:proofErr w:type="spellEnd"/>
      <w:r w:rsidRPr="003650BC">
        <w:rPr>
          <w:sz w:val="24"/>
          <w:szCs w:val="24"/>
        </w:rPr>
        <w:t xml:space="preserve">, 2024). This model reasserts state control over digital information and erects significant barriers for foreign enterprises. Nigeria’s NDPA and the GAID Directive reflect a hybrid regulatory posture, seeking </w:t>
      </w:r>
      <w:r w:rsidR="00190F55">
        <w:rPr>
          <w:sz w:val="24"/>
          <w:szCs w:val="24"/>
        </w:rPr>
        <w:t>to achieve interoperability with global standards while maintaining</w:t>
      </w:r>
      <w:r w:rsidRPr="003650BC">
        <w:rPr>
          <w:sz w:val="24"/>
          <w:szCs w:val="24"/>
        </w:rPr>
        <w:t xml:space="preserve"> domestic oversight </w:t>
      </w:r>
      <w:r w:rsidR="00190F55">
        <w:rPr>
          <w:sz w:val="24"/>
          <w:szCs w:val="24"/>
        </w:rPr>
        <w:t>(</w:t>
      </w:r>
      <w:proofErr w:type="spellStart"/>
      <w:r w:rsidRPr="003650BC">
        <w:rPr>
          <w:sz w:val="24"/>
          <w:szCs w:val="24"/>
        </w:rPr>
        <w:t>Mondaq</w:t>
      </w:r>
      <w:proofErr w:type="spellEnd"/>
      <w:r w:rsidR="00BD1015">
        <w:rPr>
          <w:sz w:val="24"/>
          <w:szCs w:val="24"/>
        </w:rPr>
        <w:t xml:space="preserve">, </w:t>
      </w:r>
      <w:r w:rsidRPr="003650BC">
        <w:rPr>
          <w:sz w:val="24"/>
          <w:szCs w:val="24"/>
        </w:rPr>
        <w:t xml:space="preserve">2025). Sun et al. (2021) </w:t>
      </w:r>
      <w:r w:rsidR="00190F55">
        <w:rPr>
          <w:sz w:val="24"/>
          <w:szCs w:val="24"/>
        </w:rPr>
        <w:t>contend</w:t>
      </w:r>
      <w:r w:rsidRPr="003650BC">
        <w:rPr>
          <w:sz w:val="24"/>
          <w:szCs w:val="24"/>
        </w:rPr>
        <w:t xml:space="preserve"> that institutional capacity constraints continue to hinder consistent enforcement</w:t>
      </w:r>
      <w:r w:rsidR="00BD1015">
        <w:rPr>
          <w:sz w:val="24"/>
          <w:szCs w:val="24"/>
        </w:rPr>
        <w:t xml:space="preserve"> in such emerging jurisdictions</w:t>
      </w:r>
      <w:r w:rsidRPr="003650BC">
        <w:rPr>
          <w:sz w:val="24"/>
          <w:szCs w:val="24"/>
        </w:rPr>
        <w:t>.</w:t>
      </w:r>
    </w:p>
    <w:p w14:paraId="0721946A" w14:textId="77777777" w:rsidR="008512D4" w:rsidRPr="003650BC" w:rsidRDefault="00630AE1" w:rsidP="003650BC">
      <w:pPr>
        <w:spacing w:before="240" w:after="240" w:line="360" w:lineRule="auto"/>
        <w:jc w:val="both"/>
        <w:rPr>
          <w:sz w:val="24"/>
          <w:szCs w:val="24"/>
        </w:rPr>
      </w:pPr>
      <w:r w:rsidRPr="003650BC">
        <w:rPr>
          <w:sz w:val="24"/>
          <w:szCs w:val="24"/>
        </w:rPr>
        <w:t>Further compounding these challenges is the U.S. CLOUD Act, which grants U.S. authorities extraterritorial access to data held by American firms abroad, frequently in tension with national data sovereignty laws. OECD (2023) has identified over 100 data localization laws across 40 jurisdictions, collectively raising compliance costs by 15–55%. For globally integrated sectors like energy, this regulatory incoherence results in operational stagnation, erodes trust among stakeholders, and disrupts the cross-border data flows critical to managing complex infrastructure systems.</w:t>
      </w:r>
    </w:p>
    <w:p w14:paraId="2E47545E" w14:textId="77777777" w:rsidR="008512D4" w:rsidRPr="003650BC" w:rsidRDefault="00630AE1" w:rsidP="003650BC">
      <w:pPr>
        <w:pStyle w:val="Heading3"/>
        <w:keepNext w:val="0"/>
        <w:keepLines w:val="0"/>
        <w:spacing w:before="280" w:line="360" w:lineRule="auto"/>
        <w:jc w:val="both"/>
        <w:rPr>
          <w:b/>
          <w:color w:val="000000"/>
          <w:sz w:val="24"/>
          <w:szCs w:val="24"/>
        </w:rPr>
      </w:pPr>
      <w:bookmarkStart w:id="4" w:name="_607yjzdbqhi2" w:colFirst="0" w:colLast="0"/>
      <w:bookmarkEnd w:id="4"/>
      <w:r w:rsidRPr="003650BC">
        <w:rPr>
          <w:b/>
          <w:color w:val="000000"/>
          <w:sz w:val="24"/>
          <w:szCs w:val="24"/>
        </w:rPr>
        <w:t>Cybersecurity Threats to the Energy Sector</w:t>
      </w:r>
    </w:p>
    <w:p w14:paraId="017C53EC" w14:textId="77777777" w:rsidR="008512D4" w:rsidRPr="003650BC" w:rsidRDefault="00630AE1" w:rsidP="003650BC">
      <w:pPr>
        <w:spacing w:before="240" w:after="240" w:line="360" w:lineRule="auto"/>
        <w:jc w:val="both"/>
        <w:rPr>
          <w:sz w:val="24"/>
          <w:szCs w:val="24"/>
        </w:rPr>
      </w:pPr>
      <w:r w:rsidRPr="003650BC">
        <w:rPr>
          <w:sz w:val="24"/>
          <w:szCs w:val="24"/>
        </w:rPr>
        <w:t>The digital transformation of the energy sector has significantly heightened its vulnerability to cyber threats, rendering cybersecurity not merely an operational necessity but a strategic imperative. According to Fonseca (2024), the integration of Operational Technology (OT) systems</w:t>
      </w:r>
      <w:r w:rsidR="004A3BB5">
        <w:rPr>
          <w:sz w:val="24"/>
          <w:szCs w:val="24"/>
        </w:rPr>
        <w:t xml:space="preserve"> </w:t>
      </w:r>
      <w:r w:rsidRPr="003650BC">
        <w:rPr>
          <w:sz w:val="24"/>
          <w:szCs w:val="24"/>
        </w:rPr>
        <w:t>such as Supervisory Control and Data Acquisition (SCADA)</w:t>
      </w:r>
      <w:r w:rsidR="004A3BB5">
        <w:rPr>
          <w:sz w:val="24"/>
          <w:szCs w:val="24"/>
        </w:rPr>
        <w:t xml:space="preserve"> </w:t>
      </w:r>
      <w:r w:rsidRPr="003650BC">
        <w:rPr>
          <w:sz w:val="24"/>
          <w:szCs w:val="24"/>
        </w:rPr>
        <w:t xml:space="preserve">with Information Technology (IT) networks has eroded the traditional isolation that once shielded critical infrastructure. This convergence, further complicated by the proliferation of smart grids, solar arrays, and Internet of Things (IoT) devices, has expanded the attack surface across energy infrastructures (Negi, 2024; Balogun et al., 2025). The FBI has issued explicit advisories about the susceptibility of OT environments, particularly those </w:t>
      </w:r>
      <w:r w:rsidRPr="003650BC">
        <w:rPr>
          <w:sz w:val="24"/>
          <w:szCs w:val="24"/>
        </w:rPr>
        <w:lastRenderedPageBreak/>
        <w:t>governing solar operations, emphasizing the escalating risks to national energy assets (Ribeiro, 2024).</w:t>
      </w:r>
    </w:p>
    <w:p w14:paraId="19AC39F0" w14:textId="77777777" w:rsidR="008512D4" w:rsidRPr="003650BC" w:rsidRDefault="00630AE1" w:rsidP="003650BC">
      <w:pPr>
        <w:spacing w:before="240" w:after="240" w:line="360" w:lineRule="auto"/>
        <w:jc w:val="both"/>
        <w:rPr>
          <w:sz w:val="24"/>
          <w:szCs w:val="24"/>
        </w:rPr>
      </w:pPr>
      <w:r w:rsidRPr="003650BC">
        <w:rPr>
          <w:sz w:val="24"/>
          <w:szCs w:val="24"/>
        </w:rPr>
        <w:t>Empirical evidence substantiates these concerns. Vallari (2024) recorded a 70% surge in cyberattacks targeting U.S. utility firms between 2023 and 2024. Concurrently,</w:t>
      </w:r>
      <w:hyperlink r:id="rId15">
        <w:r w:rsidRPr="003650BC">
          <w:rPr>
            <w:sz w:val="24"/>
            <w:szCs w:val="24"/>
          </w:rPr>
          <w:t xml:space="preserve"> </w:t>
        </w:r>
      </w:hyperlink>
      <w:proofErr w:type="spellStart"/>
      <w:r w:rsidRPr="003650BC">
        <w:rPr>
          <w:sz w:val="24"/>
          <w:szCs w:val="24"/>
        </w:rPr>
        <w:t>Eurelectric</w:t>
      </w:r>
      <w:proofErr w:type="spellEnd"/>
      <w:r w:rsidRPr="003650BC">
        <w:rPr>
          <w:sz w:val="24"/>
          <w:szCs w:val="24"/>
        </w:rPr>
        <w:t xml:space="preserve"> (2024) reported 48 successful cyber intrusions into European energy systems in 2022, doubling the prior year’s figure. Ransomware has emerged as a dominant threat vector;</w:t>
      </w:r>
      <w:hyperlink r:id="rId16">
        <w:r w:rsidRPr="003650BC">
          <w:rPr>
            <w:sz w:val="24"/>
            <w:szCs w:val="24"/>
          </w:rPr>
          <w:t xml:space="preserve"> </w:t>
        </w:r>
      </w:hyperlink>
      <w:r w:rsidRPr="003650BC">
        <w:rPr>
          <w:sz w:val="24"/>
          <w:szCs w:val="24"/>
        </w:rPr>
        <w:t>Cyber Security Intelligence (2025) observed an 80% increase in ransomware campaigns in 2024 alone, many of which inflicted extensive operational and financial damage. IBM ((2024) found that the average breach cost in the energy sector reached $6.3 million, substantially higher than the global average.</w:t>
      </w:r>
    </w:p>
    <w:p w14:paraId="7F375E50" w14:textId="77777777" w:rsidR="008512D4" w:rsidRPr="003650BC" w:rsidRDefault="00630AE1" w:rsidP="003650BC">
      <w:pPr>
        <w:spacing w:before="240" w:after="240" w:line="360" w:lineRule="auto"/>
        <w:jc w:val="both"/>
        <w:rPr>
          <w:sz w:val="24"/>
          <w:szCs w:val="24"/>
        </w:rPr>
      </w:pPr>
      <w:r w:rsidRPr="003650BC">
        <w:rPr>
          <w:sz w:val="24"/>
          <w:szCs w:val="24"/>
        </w:rPr>
        <w:t xml:space="preserve">A substantial proportion of these breaches originate from third-party service providers. </w:t>
      </w:r>
      <w:proofErr w:type="spellStart"/>
      <w:r w:rsidRPr="003650BC">
        <w:rPr>
          <w:sz w:val="24"/>
          <w:szCs w:val="24"/>
        </w:rPr>
        <w:t>SecurityScorecard</w:t>
      </w:r>
      <w:proofErr w:type="spellEnd"/>
      <w:r w:rsidRPr="003650BC">
        <w:rPr>
          <w:sz w:val="24"/>
          <w:szCs w:val="24"/>
        </w:rPr>
        <w:t xml:space="preserve"> (2024) revealed that 67% of energy-sector cyber incidents stemmed from supply chain software vulnerabilities. These findings highlight the critical risk posed by insufficient vendor oversight and underscore the complexities of cybersecurity governance within multinational supply chains spanning divergent legal frameworks.</w:t>
      </w:r>
    </w:p>
    <w:p w14:paraId="0A2A1C43" w14:textId="77777777" w:rsidR="008512D4" w:rsidRPr="003650BC" w:rsidRDefault="00630AE1" w:rsidP="003650BC">
      <w:pPr>
        <w:spacing w:before="240" w:after="240" w:line="360" w:lineRule="auto"/>
        <w:jc w:val="both"/>
        <w:rPr>
          <w:sz w:val="24"/>
          <w:szCs w:val="24"/>
        </w:rPr>
      </w:pPr>
      <w:r w:rsidRPr="003650BC">
        <w:rPr>
          <w:sz w:val="24"/>
          <w:szCs w:val="24"/>
        </w:rPr>
        <w:t xml:space="preserve">Encryption serves as a pivotal safeguard in this environment, preserving the confidentiality and integrity of telemetry data, control signals, and system logs transmitted across hybrid cloud infrastructures and transnational borders. However, according to </w:t>
      </w:r>
      <w:proofErr w:type="spellStart"/>
      <w:r w:rsidRPr="003650BC">
        <w:rPr>
          <w:sz w:val="24"/>
          <w:szCs w:val="24"/>
        </w:rPr>
        <w:t>Katkuri</w:t>
      </w:r>
      <w:proofErr w:type="spellEnd"/>
      <w:r w:rsidRPr="003650BC">
        <w:rPr>
          <w:sz w:val="24"/>
          <w:szCs w:val="24"/>
        </w:rPr>
        <w:t xml:space="preserve"> (2024), encryption alone is insufficient; national regulatory regimes often require mechanisms for government access, creating tension between legal mandates and technical resilience. As the second objective of this research contends, energy firms must adopt adaptive security architectures that combine robust encryption with continuous threat monitoring, third-party risk mitigation, and context-sensitive policy alignment. Regulatory compliance must be augmented by strategic encryption deployment, calibrated to the operational realities and jurisdictional variances intrinsic to the global energy sector (Shandilya et al., 2024; Alao et al., 2024)</w:t>
      </w:r>
    </w:p>
    <w:p w14:paraId="0C8AF582" w14:textId="77777777" w:rsidR="008512D4" w:rsidRPr="003650BC" w:rsidRDefault="00630AE1" w:rsidP="003650BC">
      <w:pPr>
        <w:pStyle w:val="Heading3"/>
        <w:keepNext w:val="0"/>
        <w:keepLines w:val="0"/>
        <w:spacing w:before="280" w:line="360" w:lineRule="auto"/>
        <w:jc w:val="both"/>
        <w:rPr>
          <w:sz w:val="24"/>
          <w:szCs w:val="24"/>
        </w:rPr>
      </w:pPr>
      <w:bookmarkStart w:id="5" w:name="_w3fva2797aq3" w:colFirst="0" w:colLast="0"/>
      <w:bookmarkEnd w:id="5"/>
      <w:r w:rsidRPr="003650BC">
        <w:rPr>
          <w:b/>
          <w:color w:val="000000"/>
          <w:sz w:val="24"/>
          <w:szCs w:val="24"/>
        </w:rPr>
        <w:t>The Impact of Fragmented Encryption Laws on Cross-Border Collaboration</w:t>
      </w:r>
    </w:p>
    <w:p w14:paraId="49F9346C" w14:textId="77777777" w:rsidR="008512D4" w:rsidRPr="003650BC" w:rsidRDefault="00630AE1" w:rsidP="003650BC">
      <w:pPr>
        <w:spacing w:before="240" w:after="240" w:line="360" w:lineRule="auto"/>
        <w:jc w:val="both"/>
        <w:rPr>
          <w:sz w:val="24"/>
          <w:szCs w:val="24"/>
        </w:rPr>
      </w:pPr>
      <w:r w:rsidRPr="003650BC">
        <w:rPr>
          <w:sz w:val="24"/>
          <w:szCs w:val="24"/>
        </w:rPr>
        <w:lastRenderedPageBreak/>
        <w:t xml:space="preserve">The proliferation of divergent national encryption and data governance regulations poses substantial impediments to cross-border collaboration, particularly for multinational enterprises operating in critical sectors such as energy. According to </w:t>
      </w:r>
      <w:proofErr w:type="spellStart"/>
      <w:r w:rsidRPr="003650BC">
        <w:rPr>
          <w:sz w:val="24"/>
          <w:szCs w:val="24"/>
        </w:rPr>
        <w:t>Compagnucci</w:t>
      </w:r>
      <w:proofErr w:type="spellEnd"/>
      <w:r w:rsidRPr="003650BC">
        <w:rPr>
          <w:sz w:val="24"/>
          <w:szCs w:val="24"/>
        </w:rPr>
        <w:t xml:space="preserve"> and Fenwick (2024), these legal inconsistencies manifest through burdensome licensing requirements, conflicting jurisdictional mandates, and prescriptive infrastructure obligations that disrupt global data workflows and operational continuity. Firms managing telemetry and diagnostics across dispersed energy assets</w:t>
      </w:r>
      <w:r w:rsidR="004A3BB5">
        <w:rPr>
          <w:sz w:val="24"/>
          <w:szCs w:val="24"/>
        </w:rPr>
        <w:t xml:space="preserve"> </w:t>
      </w:r>
      <w:r w:rsidRPr="003650BC">
        <w:rPr>
          <w:sz w:val="24"/>
          <w:szCs w:val="24"/>
        </w:rPr>
        <w:t>such as wind farms, smart grids, and distributed sensors</w:t>
      </w:r>
      <w:r w:rsidR="004A3BB5">
        <w:rPr>
          <w:sz w:val="24"/>
          <w:szCs w:val="24"/>
        </w:rPr>
        <w:t xml:space="preserve"> </w:t>
      </w:r>
      <w:r w:rsidRPr="003650BC">
        <w:rPr>
          <w:sz w:val="24"/>
          <w:szCs w:val="24"/>
        </w:rPr>
        <w:t>must navigate incompatible encryption standards and retention policies, often resulting in delays or service disruptions when jurisdictions impose contradictory conditions or mandate governmental access to encrypted data (Saxena et al., 2024; Balogun et al., 2025).</w:t>
      </w:r>
    </w:p>
    <w:p w14:paraId="785CF5E9" w14:textId="77777777" w:rsidR="008512D4" w:rsidRPr="003650BC" w:rsidRDefault="00630AE1" w:rsidP="003650BC">
      <w:pPr>
        <w:spacing w:before="240" w:after="240" w:line="360" w:lineRule="auto"/>
        <w:jc w:val="both"/>
        <w:rPr>
          <w:sz w:val="24"/>
          <w:szCs w:val="24"/>
        </w:rPr>
      </w:pPr>
      <w:r w:rsidRPr="003650BC">
        <w:rPr>
          <w:sz w:val="24"/>
          <w:szCs w:val="24"/>
        </w:rPr>
        <w:t xml:space="preserve">Data localization mandates, in particular, represent a prominent source of friction. OECD (2023) has reported </w:t>
      </w:r>
      <w:r w:rsidR="00190F55">
        <w:rPr>
          <w:sz w:val="24"/>
          <w:szCs w:val="24"/>
        </w:rPr>
        <w:t xml:space="preserve">that </w:t>
      </w:r>
      <w:r w:rsidRPr="003650BC">
        <w:rPr>
          <w:sz w:val="24"/>
          <w:szCs w:val="24"/>
        </w:rPr>
        <w:t xml:space="preserve">such policies can elevate operational costs by 15% to 55%, primarily due to duplicative infrastructure investments and constrained real-time data exchange. These requirements are especially detrimental to critical functionalities such as predictive maintenance, remote diagnostics, and coordinated cyber threat detection, all of which rely on continuous, unrestricted data sharing across borders. </w:t>
      </w:r>
      <w:proofErr w:type="spellStart"/>
      <w:r w:rsidRPr="003650BC">
        <w:rPr>
          <w:sz w:val="24"/>
          <w:szCs w:val="24"/>
        </w:rPr>
        <w:t>Mondaq</w:t>
      </w:r>
      <w:proofErr w:type="spellEnd"/>
      <w:r w:rsidRPr="003650BC">
        <w:rPr>
          <w:sz w:val="24"/>
          <w:szCs w:val="24"/>
        </w:rPr>
        <w:t xml:space="preserve"> (2025) highlights that Nigeria’s NDPA</w:t>
      </w:r>
      <w:hyperlink r:id="rId17">
        <w:r w:rsidRPr="003650BC">
          <w:rPr>
            <w:sz w:val="24"/>
            <w:szCs w:val="24"/>
          </w:rPr>
          <w:t xml:space="preserve"> </w:t>
        </w:r>
      </w:hyperlink>
      <w:r w:rsidRPr="003650BC">
        <w:rPr>
          <w:sz w:val="24"/>
          <w:szCs w:val="24"/>
        </w:rPr>
        <w:t>and the</w:t>
      </w:r>
      <w:hyperlink r:id="rId18">
        <w:r w:rsidRPr="003650BC">
          <w:rPr>
            <w:sz w:val="24"/>
            <w:szCs w:val="24"/>
          </w:rPr>
          <w:t xml:space="preserve"> GAID Directiv</w:t>
        </w:r>
      </w:hyperlink>
      <w:r w:rsidRPr="003650BC">
        <w:rPr>
          <w:sz w:val="24"/>
          <w:szCs w:val="24"/>
        </w:rPr>
        <w:t>e impose rigorous safeguards and adequacy assessments for outbound transfers, often in direct conflict with the U.S. Department of Justice final rule on Cross-Border Data Transfers, which restricts exchanges with designated “countries of concern.” This legal incongruence creates compliance ambiguity for U.S.-based firms operating in foreign jurisdictions (Henderson et al., 2025).</w:t>
      </w:r>
    </w:p>
    <w:p w14:paraId="2152F451" w14:textId="77777777" w:rsidR="008512D4" w:rsidRPr="003650BC" w:rsidRDefault="00630AE1" w:rsidP="003650BC">
      <w:pPr>
        <w:spacing w:before="240" w:after="240" w:line="360" w:lineRule="auto"/>
        <w:jc w:val="both"/>
        <w:rPr>
          <w:sz w:val="24"/>
          <w:szCs w:val="24"/>
        </w:rPr>
      </w:pPr>
      <w:r w:rsidRPr="003650BC">
        <w:rPr>
          <w:sz w:val="24"/>
          <w:szCs w:val="24"/>
        </w:rPr>
        <w:t>The European Commission (2023) introduced EU-</w:t>
      </w:r>
      <w:proofErr w:type="gramStart"/>
      <w:r w:rsidRPr="003650BC">
        <w:rPr>
          <w:sz w:val="24"/>
          <w:szCs w:val="24"/>
        </w:rPr>
        <w:t>U.S</w:t>
      </w:r>
      <w:proofErr w:type="gramEnd"/>
      <w:r w:rsidRPr="003650BC">
        <w:rPr>
          <w:sz w:val="24"/>
          <w:szCs w:val="24"/>
        </w:rPr>
        <w:t xml:space="preserve"> Data Privacy Framework as a successor to the invalidated Privacy Shield, exemplifying the persistent legal instability surrounding transatlantic data flows. Although intended to harmonize with the GDPR, GDPR (2018) contends that </w:t>
      </w:r>
      <w:proofErr w:type="spellStart"/>
      <w:r w:rsidRPr="003650BC">
        <w:rPr>
          <w:sz w:val="24"/>
          <w:szCs w:val="24"/>
        </w:rPr>
        <w:t>skepticism</w:t>
      </w:r>
      <w:proofErr w:type="spellEnd"/>
      <w:r w:rsidRPr="003650BC">
        <w:rPr>
          <w:sz w:val="24"/>
          <w:szCs w:val="24"/>
        </w:rPr>
        <w:t xml:space="preserve"> remains regarding its durability under judicial review, especially in light of U.S. surveillance prerogatives enshrined in statutes like the CLOUD Act. As a result, many firms rely on Standard Contractual Clauses (SCCs) to navigate these legal uncertainties</w:t>
      </w:r>
      <w:r w:rsidR="004A3BB5">
        <w:rPr>
          <w:sz w:val="24"/>
          <w:szCs w:val="24"/>
        </w:rPr>
        <w:t xml:space="preserve"> </w:t>
      </w:r>
      <w:r w:rsidRPr="003650BC">
        <w:rPr>
          <w:sz w:val="24"/>
          <w:szCs w:val="24"/>
        </w:rPr>
        <w:t xml:space="preserve">a workaround that is both administratively burdensome </w:t>
      </w:r>
      <w:r w:rsidRPr="003650BC">
        <w:rPr>
          <w:sz w:val="24"/>
          <w:szCs w:val="24"/>
        </w:rPr>
        <w:lastRenderedPageBreak/>
        <w:t>and insufficient in resolving fundamental jurisdictional conflicts (European Commission, 2021).</w:t>
      </w:r>
    </w:p>
    <w:p w14:paraId="067386E5" w14:textId="77777777" w:rsidR="008512D4" w:rsidRPr="003650BC" w:rsidRDefault="00630AE1" w:rsidP="003650BC">
      <w:pPr>
        <w:spacing w:before="240" w:after="240" w:line="360" w:lineRule="auto"/>
        <w:jc w:val="both"/>
        <w:rPr>
          <w:sz w:val="24"/>
          <w:szCs w:val="24"/>
        </w:rPr>
      </w:pPr>
      <w:r w:rsidRPr="003650BC">
        <w:rPr>
          <w:sz w:val="24"/>
          <w:szCs w:val="24"/>
        </w:rPr>
        <w:t xml:space="preserve">The macroeconomic ramifications of this regulatory fragmentation are considerable. </w:t>
      </w:r>
      <w:proofErr w:type="spellStart"/>
      <w:r w:rsidRPr="003650BC">
        <w:rPr>
          <w:sz w:val="24"/>
          <w:szCs w:val="24"/>
        </w:rPr>
        <w:t>DigWatch</w:t>
      </w:r>
      <w:proofErr w:type="spellEnd"/>
      <w:r w:rsidRPr="003650BC">
        <w:rPr>
          <w:sz w:val="24"/>
          <w:szCs w:val="24"/>
        </w:rPr>
        <w:t xml:space="preserve"> (2025) estimates that harmonizing secure data flows could raise global GDP by 1.77% and increase international trade by 3.6%. The absence of a coherent international encryption governance framework not only compounds compliance complexity but also escalates geopolitical tensions, ultimately jeopardizing the secure and efficient transmission of critical information across borders.</w:t>
      </w:r>
    </w:p>
    <w:p w14:paraId="190AACE6" w14:textId="77777777" w:rsidR="00A46BBB" w:rsidRPr="003650BC" w:rsidRDefault="003650BC" w:rsidP="003650BC">
      <w:pPr>
        <w:spacing w:before="100" w:beforeAutospacing="1" w:after="100" w:afterAutospacing="1" w:line="360" w:lineRule="auto"/>
        <w:rPr>
          <w:rFonts w:eastAsia="Times New Roman"/>
          <w:sz w:val="24"/>
          <w:szCs w:val="24"/>
        </w:rPr>
      </w:pPr>
      <w:r w:rsidRPr="003650BC">
        <w:rPr>
          <w:rFonts w:eastAsia="Times New Roman"/>
          <w:b/>
          <w:bCs/>
          <w:sz w:val="24"/>
          <w:szCs w:val="24"/>
        </w:rPr>
        <w:t xml:space="preserve">3. </w:t>
      </w:r>
      <w:r w:rsidR="00A46BBB" w:rsidRPr="003650BC">
        <w:rPr>
          <w:rFonts w:eastAsia="Times New Roman"/>
          <w:b/>
          <w:bCs/>
          <w:sz w:val="24"/>
          <w:szCs w:val="24"/>
        </w:rPr>
        <w:t>Methodology</w:t>
      </w:r>
    </w:p>
    <w:p w14:paraId="4997C5C0"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This study adopted a structured, multi-method quantitative approach grounded in publicly available, open-access data to evaluate the intersection of encryption regulation and cross-border energy sector collaboration. The analysis spans four dimensions aligned with the study’s objectives, each operationalized using one unique dataset and one robust quantitative technique.</w:t>
      </w:r>
    </w:p>
    <w:p w14:paraId="5E8A3A8E"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b/>
          <w:bCs/>
          <w:sz w:val="24"/>
          <w:szCs w:val="24"/>
        </w:rPr>
        <w:t>Encryption Law and Cross-Border Collaboration</w:t>
      </w:r>
    </w:p>
    <w:p w14:paraId="77F53153"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To </w:t>
      </w:r>
      <w:proofErr w:type="spellStart"/>
      <w:r w:rsidRPr="003650BC">
        <w:rPr>
          <w:rFonts w:eastAsia="Times New Roman"/>
          <w:sz w:val="24"/>
          <w:szCs w:val="24"/>
        </w:rPr>
        <w:t>analyze</w:t>
      </w:r>
      <w:proofErr w:type="spellEnd"/>
      <w:r w:rsidRPr="003650BC">
        <w:rPr>
          <w:rFonts w:eastAsia="Times New Roman"/>
          <w:sz w:val="24"/>
          <w:szCs w:val="24"/>
        </w:rPr>
        <w:t xml:space="preserve"> the influence of encryption policy frameworks on international energy cooperation, country-level cybersecurity indicators were extracted from the </w:t>
      </w:r>
      <w:r w:rsidRPr="003650BC">
        <w:rPr>
          <w:rFonts w:eastAsia="Times New Roman"/>
          <w:b/>
          <w:bCs/>
          <w:sz w:val="24"/>
          <w:szCs w:val="24"/>
        </w:rPr>
        <w:t>ITU Global Cybersecurity Index (GCI)</w:t>
      </w:r>
      <w:r w:rsidRPr="003650BC">
        <w:rPr>
          <w:rFonts w:eastAsia="Times New Roman"/>
          <w:sz w:val="24"/>
          <w:szCs w:val="24"/>
        </w:rPr>
        <w:t>. Five dimensions</w:t>
      </w:r>
      <w:r w:rsidR="004A3BB5">
        <w:rPr>
          <w:rFonts w:eastAsia="Times New Roman"/>
          <w:sz w:val="24"/>
          <w:szCs w:val="24"/>
        </w:rPr>
        <w:t xml:space="preserve"> </w:t>
      </w:r>
      <w:r w:rsidRPr="003650BC">
        <w:rPr>
          <w:rFonts w:eastAsia="Times New Roman"/>
          <w:sz w:val="24"/>
          <w:szCs w:val="24"/>
        </w:rPr>
        <w:t>legal measures (LM), technical measures (TM), organizational measures (OM), capacity development (CD), and cooperation (CO)</w:t>
      </w:r>
      <w:r w:rsidR="004A3BB5">
        <w:rPr>
          <w:rFonts w:eastAsia="Times New Roman"/>
          <w:sz w:val="24"/>
          <w:szCs w:val="24"/>
        </w:rPr>
        <w:t xml:space="preserve"> </w:t>
      </w:r>
      <w:r w:rsidRPr="003650BC">
        <w:rPr>
          <w:rFonts w:eastAsia="Times New Roman"/>
          <w:sz w:val="24"/>
          <w:szCs w:val="24"/>
        </w:rPr>
        <w:t xml:space="preserve">were subjected to </w:t>
      </w:r>
      <w:r w:rsidRPr="003650BC">
        <w:rPr>
          <w:rFonts w:eastAsia="Times New Roman"/>
          <w:b/>
          <w:bCs/>
          <w:sz w:val="24"/>
          <w:szCs w:val="24"/>
        </w:rPr>
        <w:t>Principal Component Analysis (PCA)</w:t>
      </w:r>
      <w:r w:rsidRPr="003650BC">
        <w:rPr>
          <w:rFonts w:eastAsia="Times New Roman"/>
          <w:sz w:val="24"/>
          <w:szCs w:val="24"/>
        </w:rPr>
        <w:t xml:space="preserve"> to derive latent constructs of regulatory maturity and cooperation readiness. The principal components PC</w:t>
      </w:r>
      <w:r w:rsidRPr="003650BC">
        <w:rPr>
          <w:rFonts w:eastAsia="Times New Roman"/>
          <w:sz w:val="24"/>
          <w:szCs w:val="24"/>
          <w:vertAlign w:val="subscript"/>
        </w:rPr>
        <w:t>1</w:t>
      </w:r>
      <w:r w:rsidRPr="003650BC">
        <w:rPr>
          <w:rFonts w:eastAsia="Times New Roman"/>
          <w:sz w:val="24"/>
          <w:szCs w:val="24"/>
        </w:rPr>
        <w:t>​ and PC</w:t>
      </w:r>
      <w:r w:rsidRPr="003650BC">
        <w:rPr>
          <w:rFonts w:eastAsia="Times New Roman"/>
          <w:sz w:val="24"/>
          <w:szCs w:val="24"/>
          <w:vertAlign w:val="subscript"/>
        </w:rPr>
        <w:t>2</w:t>
      </w:r>
      <w:r w:rsidRPr="003650BC">
        <w:rPr>
          <w:rFonts w:eastAsia="Times New Roman"/>
          <w:sz w:val="24"/>
          <w:szCs w:val="24"/>
        </w:rPr>
        <w:t>​ were obtained by solving:</w:t>
      </w:r>
    </w:p>
    <w:p w14:paraId="147231E5" w14:textId="77777777" w:rsidR="00A46BBB" w:rsidRPr="003650BC" w:rsidRDefault="00A46BBB" w:rsidP="003650BC">
      <w:pPr>
        <w:spacing w:line="360" w:lineRule="auto"/>
        <w:ind w:left="3600" w:firstLine="720"/>
        <w:rPr>
          <w:rFonts w:eastAsia="Times New Roman"/>
          <w:sz w:val="24"/>
          <w:szCs w:val="24"/>
        </w:rPr>
      </w:pPr>
      <m:oMath>
        <m:r>
          <w:rPr>
            <w:rFonts w:ascii="Cambria Math" w:eastAsia="Times New Roman" w:hAnsi="Cambria Math"/>
            <w:sz w:val="24"/>
            <w:szCs w:val="24"/>
          </w:rPr>
          <m:t>Z=XW</m:t>
        </m:r>
      </m:oMath>
      <w:r w:rsidRPr="003650BC">
        <w:rPr>
          <w:rFonts w:eastAsia="Times New Roman"/>
          <w:sz w:val="24"/>
          <w:szCs w:val="24"/>
        </w:rPr>
        <w:t xml:space="preserve"> </w:t>
      </w:r>
    </w:p>
    <w:p w14:paraId="7BF0D1AA" w14:textId="77777777" w:rsidR="00A46BBB" w:rsidRPr="003650BC" w:rsidRDefault="00A46BBB" w:rsidP="003650BC">
      <w:pPr>
        <w:spacing w:line="360" w:lineRule="auto"/>
        <w:rPr>
          <w:rFonts w:eastAsia="Times New Roman"/>
          <w:sz w:val="24"/>
          <w:szCs w:val="24"/>
        </w:rPr>
      </w:pPr>
      <w:r w:rsidRPr="003650BC">
        <w:rPr>
          <w:rFonts w:eastAsia="Times New Roman"/>
          <w:sz w:val="24"/>
          <w:szCs w:val="24"/>
        </w:rPr>
        <w:t xml:space="preserve">Where Z is the matrix of principal components, X the standardized data matrix, and W the eigenvectors of the covariance matrix </w:t>
      </w:r>
      <m:oMath>
        <m:r>
          <w:rPr>
            <w:rFonts w:ascii="Cambria Math" w:eastAsia="Times New Roman" w:hAnsi="Cambria Math"/>
            <w:sz w:val="24"/>
            <w:szCs w:val="24"/>
          </w:rPr>
          <m:t>Σ=</m:t>
        </m:r>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n-1</m:t>
            </m:r>
          </m:den>
        </m:f>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T</m:t>
            </m:r>
          </m:sup>
        </m:sSup>
        <m:r>
          <w:rPr>
            <w:rFonts w:ascii="Cambria Math" w:eastAsia="Times New Roman" w:hAnsi="Cambria Math"/>
            <w:sz w:val="24"/>
            <w:szCs w:val="24"/>
          </w:rPr>
          <m:t>X</m:t>
        </m:r>
      </m:oMath>
      <w:r w:rsidRPr="003650BC">
        <w:rPr>
          <w:rFonts w:eastAsia="Times New Roman"/>
          <w:sz w:val="24"/>
          <w:szCs w:val="24"/>
        </w:rPr>
        <w:t>. Correlation analysis was used to compare PC</w:t>
      </w:r>
      <w:r w:rsidRPr="003650BC">
        <w:rPr>
          <w:rFonts w:eastAsia="Times New Roman"/>
          <w:sz w:val="24"/>
          <w:szCs w:val="24"/>
          <w:vertAlign w:val="subscript"/>
        </w:rPr>
        <w:t>1</w:t>
      </w:r>
      <w:r w:rsidRPr="003650BC">
        <w:rPr>
          <w:rFonts w:eastAsia="Times New Roman"/>
          <w:sz w:val="24"/>
          <w:szCs w:val="24"/>
        </w:rPr>
        <w:t>​ and PC</w:t>
      </w:r>
      <w:r w:rsidRPr="003650BC">
        <w:rPr>
          <w:rFonts w:eastAsia="Times New Roman"/>
          <w:sz w:val="24"/>
          <w:szCs w:val="24"/>
          <w:vertAlign w:val="subscript"/>
        </w:rPr>
        <w:t>2</w:t>
      </w:r>
      <w:r w:rsidRPr="003650BC">
        <w:rPr>
          <w:rFonts w:eastAsia="Times New Roman"/>
          <w:sz w:val="24"/>
          <w:szCs w:val="24"/>
        </w:rPr>
        <w:t>​ with a derived Cross-Border Collaboration Index CCI, computed as:</w:t>
      </w:r>
    </w:p>
    <w:p w14:paraId="60A85ECB" w14:textId="77777777" w:rsidR="00A46BBB" w:rsidRPr="003650BC" w:rsidRDefault="00A46BBB" w:rsidP="003650BC">
      <w:pPr>
        <w:spacing w:line="360" w:lineRule="auto"/>
        <w:rPr>
          <w:rFonts w:eastAsia="Times New Roman"/>
          <w:sz w:val="24"/>
          <w:szCs w:val="24"/>
        </w:rPr>
      </w:pPr>
      <m:oMathPara>
        <m:oMath>
          <m:r>
            <w:rPr>
              <w:rFonts w:ascii="Cambria Math" w:eastAsia="Times New Roman" w:hAnsi="Cambria Math"/>
              <w:sz w:val="24"/>
              <w:szCs w:val="24"/>
            </w:rPr>
            <w:lastRenderedPageBreak/>
            <m:t>CCI=</m:t>
          </m:r>
          <m:f>
            <m:fPr>
              <m:ctrlPr>
                <w:rPr>
                  <w:rFonts w:ascii="Cambria Math" w:eastAsia="Times New Roman" w:hAnsi="Cambria Math"/>
                  <w:i/>
                  <w:sz w:val="24"/>
                  <w:szCs w:val="24"/>
                  <w:lang w:val="en-US"/>
                </w:rPr>
              </m:ctrlPr>
            </m:fPr>
            <m:num>
              <m:nary>
                <m:naryPr>
                  <m:chr m:val="∑"/>
                  <m:limLoc m:val="subSup"/>
                  <m:ctrlPr>
                    <w:rPr>
                      <w:rFonts w:ascii="Cambria Math" w:eastAsia="Times New Roman" w:hAnsi="Cambria Math"/>
                      <w:i/>
                      <w:sz w:val="24"/>
                      <w:szCs w:val="24"/>
                    </w:rPr>
                  </m:ctrlPr>
                </m:naryPr>
                <m:sub>
                  <m:r>
                    <w:rPr>
                      <w:rFonts w:ascii="Cambria Math" w:eastAsia="Times New Roman" w:hAnsi="Cambria Math"/>
                      <w:sz w:val="24"/>
                      <w:szCs w:val="24"/>
                    </w:rPr>
                    <m:t>i=1</m:t>
                  </m:r>
                </m:sub>
                <m:sup>
                  <m:r>
                    <w:rPr>
                      <w:rFonts w:ascii="Cambria Math" w:eastAsia="Times New Roman" w:hAnsi="Cambria Math"/>
                      <w:sz w:val="24"/>
                      <w:szCs w:val="24"/>
                    </w:rPr>
                    <m:t>n</m:t>
                  </m:r>
                </m:sup>
                <m:e>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i</m:t>
                      </m:r>
                    </m:sub>
                  </m:sSub>
                </m:e>
              </m:nary>
            </m:num>
            <m:den>
              <m:r>
                <w:rPr>
                  <w:rFonts w:ascii="Cambria Math" w:eastAsia="Times New Roman" w:hAnsi="Cambria Math"/>
                  <w:sz w:val="24"/>
                  <w:szCs w:val="24"/>
                </w:rPr>
                <m:t>n</m:t>
              </m:r>
            </m:den>
          </m:f>
          <m:r>
            <w:rPr>
              <w:rFonts w:ascii="Cambria Math" w:eastAsia="Times New Roman" w:hAnsi="Cambria Math"/>
              <w:sz w:val="24"/>
              <w:szCs w:val="24"/>
            </w:rPr>
            <m:t xml:space="preserve">​​ </m:t>
          </m:r>
        </m:oMath>
      </m:oMathPara>
    </w:p>
    <w:p w14:paraId="36496B49"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where Pi​ represents participation scores in multinational energy projects.</w:t>
      </w:r>
    </w:p>
    <w:p w14:paraId="39A5ABAF"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b/>
          <w:bCs/>
          <w:sz w:val="24"/>
          <w:szCs w:val="24"/>
        </w:rPr>
        <w:t>Compliance Challenges in the Energy Sector</w:t>
      </w:r>
    </w:p>
    <w:p w14:paraId="23B81C16"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Data on organizational compliance challenges were sourced from the </w:t>
      </w:r>
      <w:r w:rsidRPr="003650BC">
        <w:rPr>
          <w:rFonts w:eastAsia="Times New Roman"/>
          <w:b/>
          <w:bCs/>
          <w:sz w:val="24"/>
          <w:szCs w:val="24"/>
        </w:rPr>
        <w:t>World Economic Forum’s Global Risks Report (2024, energy sector subset)</w:t>
      </w:r>
      <w:r w:rsidRPr="003650BC">
        <w:rPr>
          <w:rFonts w:eastAsia="Times New Roman"/>
          <w:sz w:val="24"/>
          <w:szCs w:val="24"/>
        </w:rPr>
        <w:t xml:space="preserve">, capturing firm-level responses on compliance burden, regulatory fragmentation, jurisdictional overlap, and international exposure. An </w:t>
      </w:r>
      <w:r w:rsidRPr="003650BC">
        <w:rPr>
          <w:rFonts w:eastAsia="Times New Roman"/>
          <w:b/>
          <w:bCs/>
          <w:sz w:val="24"/>
          <w:szCs w:val="24"/>
        </w:rPr>
        <w:t>Ordinal Logistic Regression</w:t>
      </w:r>
      <w:r w:rsidRPr="003650BC">
        <w:rPr>
          <w:rFonts w:eastAsia="Times New Roman"/>
          <w:sz w:val="24"/>
          <w:szCs w:val="24"/>
        </w:rPr>
        <w:t xml:space="preserve"> model was employed to estimate the probability of firms experiencing low, moderate, or high compliance burdens</w:t>
      </w:r>
      <w:r w:rsidR="00190F55">
        <w:rPr>
          <w:rFonts w:eastAsia="Times New Roman"/>
          <w:sz w:val="24"/>
          <w:szCs w:val="24"/>
        </w:rPr>
        <w:t>,</w:t>
      </w:r>
      <w:r w:rsidRPr="003650BC">
        <w:rPr>
          <w:rFonts w:eastAsia="Times New Roman"/>
          <w:sz w:val="24"/>
          <w:szCs w:val="24"/>
        </w:rPr>
        <w:t xml:space="preserve"> Y, </w:t>
      </w:r>
      <w:proofErr w:type="spellStart"/>
      <w:r w:rsidRPr="003650BC">
        <w:rPr>
          <w:rFonts w:eastAsia="Times New Roman"/>
          <w:sz w:val="24"/>
          <w:szCs w:val="24"/>
        </w:rPr>
        <w:t>modeled</w:t>
      </w:r>
      <w:proofErr w:type="spellEnd"/>
      <w:r w:rsidRPr="003650BC">
        <w:rPr>
          <w:rFonts w:eastAsia="Times New Roman"/>
          <w:sz w:val="24"/>
          <w:szCs w:val="24"/>
        </w:rPr>
        <w:t xml:space="preserve"> as:</w:t>
      </w:r>
    </w:p>
    <w:p w14:paraId="691A44B7" w14:textId="77777777" w:rsidR="00A46BBB" w:rsidRPr="003650BC" w:rsidRDefault="00A46BBB" w:rsidP="003650BC">
      <w:pPr>
        <w:spacing w:before="100" w:beforeAutospacing="1" w:after="100" w:afterAutospacing="1" w:line="360" w:lineRule="auto"/>
        <w:rPr>
          <w:rFonts w:eastAsia="Times New Roman"/>
          <w:sz w:val="24"/>
          <w:szCs w:val="24"/>
        </w:rPr>
      </w:pPr>
      <m:oMathPara>
        <m:oMath>
          <m:r>
            <m:rPr>
              <m:sty m:val="p"/>
            </m:rPr>
            <w:rPr>
              <w:rStyle w:val="mop"/>
              <w:rFonts w:ascii="Cambria Math" w:hAnsi="Cambria Math"/>
              <w:sz w:val="24"/>
              <w:szCs w:val="24"/>
            </w:rPr>
            <m:t>log</m:t>
          </m:r>
          <m:d>
            <m:dPr>
              <m:ctrlPr>
                <w:rPr>
                  <w:rStyle w:val="delimsizing"/>
                  <w:rFonts w:ascii="Cambria Math" w:hAnsi="Cambria Math"/>
                  <w:sz w:val="24"/>
                  <w:szCs w:val="24"/>
                </w:rPr>
              </m:ctrlPr>
            </m:dPr>
            <m:e>
              <m:f>
                <m:fPr>
                  <m:ctrlPr>
                    <w:rPr>
                      <w:rStyle w:val="mord"/>
                      <w:rFonts w:ascii="Cambria Math" w:hAnsi="Cambria Math"/>
                      <w:sz w:val="24"/>
                      <w:szCs w:val="24"/>
                    </w:rPr>
                  </m:ctrlPr>
                </m:fPr>
                <m:num>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&gt;</m:t>
                      </m:r>
                      <m:r>
                        <m:rPr>
                          <m:sty m:val="p"/>
                        </m:rPr>
                        <w:rPr>
                          <w:rStyle w:val="mord"/>
                          <w:rFonts w:ascii="Cambria Math" w:hAnsi="Cambria Math"/>
                          <w:sz w:val="24"/>
                          <w:szCs w:val="24"/>
                        </w:rPr>
                        <m:t>j</m:t>
                      </m:r>
                      <m:ctrlPr>
                        <w:rPr>
                          <w:rStyle w:val="mclose"/>
                          <w:rFonts w:ascii="Cambria Math" w:hAnsi="Cambria Math"/>
                          <w:sz w:val="24"/>
                          <w:szCs w:val="24"/>
                        </w:rPr>
                      </m:ctrlPr>
                    </m:e>
                  </m:d>
                </m:num>
                <m:den>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j</m:t>
                      </m:r>
                      <m:ctrlPr>
                        <w:rPr>
                          <w:rStyle w:val="mclose"/>
                          <w:rFonts w:ascii="Cambria Math" w:hAnsi="Cambria Math"/>
                          <w:sz w:val="24"/>
                          <w:szCs w:val="24"/>
                        </w:rPr>
                      </m:ctrlPr>
                    </m:e>
                  </m:d>
                </m:den>
              </m:f>
              <m:r>
                <m:rPr>
                  <m:sty m:val="p"/>
                </m:rPr>
                <w:rPr>
                  <w:rStyle w:val="vlist-s"/>
                  <w:rFonts w:ascii="Cambria Math" w:hAnsi="Cambria Math"/>
                  <w:sz w:val="24"/>
                  <w:szCs w:val="24"/>
                </w:rPr>
                <m:t>​</m:t>
              </m:r>
            </m:e>
          </m:d>
          <m:r>
            <m:rPr>
              <m:sty m:val="p"/>
            </m:rPr>
            <w:rPr>
              <w:rStyle w:val="mrel"/>
              <w:rFonts w:ascii="Cambria Math" w:hAnsi="Cambria Math"/>
              <w:sz w:val="24"/>
              <w:szCs w:val="24"/>
            </w:rPr>
            <m:t>=</m:t>
          </m:r>
          <m:sSubSup>
            <m:sSubSupPr>
              <m:ctrlPr>
                <w:rPr>
                  <w:rStyle w:val="mord"/>
                  <w:rFonts w:ascii="Cambria Math" w:hAnsi="Cambria Math"/>
                  <w:i/>
                  <w:sz w:val="24"/>
                  <w:szCs w:val="24"/>
                </w:rPr>
              </m:ctrlPr>
            </m:sSubSupPr>
            <m:e>
              <m:r>
                <m:rPr>
                  <m:sty m:val="p"/>
                </m:rPr>
                <w:rPr>
                  <w:rStyle w:val="mord"/>
                  <w:rFonts w:ascii="Cambria Math" w:hAnsi="Cambria Math"/>
                  <w:sz w:val="24"/>
                  <w:szCs w:val="24"/>
                </w:rPr>
                <m:t>β</m:t>
              </m:r>
              <m:ctrlPr>
                <w:rPr>
                  <w:rStyle w:val="mord"/>
                  <w:rFonts w:ascii="Cambria Math" w:hAnsi="Cambria Math"/>
                  <w:sz w:val="24"/>
                  <w:szCs w:val="24"/>
                </w:rPr>
              </m:ctrlPr>
            </m:e>
            <m:sub>
              <m:r>
                <m:rPr>
                  <m:sty m:val="p"/>
                </m:rPr>
                <w:rPr>
                  <w:rStyle w:val="mord"/>
                  <w:rFonts w:ascii="Cambria Math" w:hAnsi="Cambria Math"/>
                  <w:sz w:val="24"/>
                  <w:szCs w:val="24"/>
                </w:rPr>
                <m:t>0</m:t>
              </m:r>
              <m:ctrlPr>
                <w:rPr>
                  <w:rStyle w:val="mord"/>
                  <w:rFonts w:ascii="Cambria Math" w:hAnsi="Cambria Math"/>
                  <w:sz w:val="24"/>
                  <w:szCs w:val="24"/>
                </w:rPr>
              </m:ctrlPr>
            </m:sub>
            <m:sup>
              <m:d>
                <m:dPr>
                  <m:ctrlPr>
                    <w:rPr>
                      <w:rStyle w:val="mopen"/>
                      <w:rFonts w:ascii="Cambria Math" w:hAnsi="Cambria Math"/>
                      <w:sz w:val="24"/>
                      <w:szCs w:val="24"/>
                    </w:rPr>
                  </m:ctrlPr>
                </m:dPr>
                <m:e>
                  <m:r>
                    <m:rPr>
                      <m:sty m:val="p"/>
                    </m:rPr>
                    <w:rPr>
                      <w:rStyle w:val="mord"/>
                      <w:rFonts w:ascii="Cambria Math" w:hAnsi="Cambria Math"/>
                      <w:sz w:val="24"/>
                      <w:szCs w:val="24"/>
                    </w:rPr>
                    <m:t>j</m:t>
                  </m:r>
                  <m:ctrlPr>
                    <w:rPr>
                      <w:rStyle w:val="mclose"/>
                      <w:rFonts w:ascii="Cambria Math" w:hAnsi="Cambria Math"/>
                      <w:sz w:val="24"/>
                      <w:szCs w:val="24"/>
                    </w:rPr>
                  </m:ctrlPr>
                </m:e>
              </m:d>
            </m:sup>
          </m:sSubSup>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ord"/>
              <w:rFonts w:ascii="Cambria Math" w:hAnsi="Cambria Math"/>
              <w:sz w:val="24"/>
              <w:szCs w:val="24"/>
            </w:rPr>
            <m:t>R</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r>
            <m:rPr>
              <m:sty m:val="p"/>
            </m:rPr>
            <w:rPr>
              <w:rStyle w:val="mord"/>
              <w:rFonts w:ascii="Cambria Math" w:hAnsi="Cambria Math"/>
              <w:sz w:val="24"/>
              <w:szCs w:val="24"/>
            </w:rPr>
            <m:t>J</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r>
            <m:rPr>
              <m:sty m:val="p"/>
            </m:rPr>
            <w:rPr>
              <w:rStyle w:val="mord"/>
              <w:rFonts w:ascii="Cambria Math" w:hAnsi="Cambria Math"/>
              <w:sz w:val="24"/>
              <w:szCs w:val="24"/>
            </w:rPr>
            <m:t>I</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4</m:t>
              </m:r>
            </m:sub>
          </m:sSub>
          <m:r>
            <m:rPr>
              <m:sty m:val="p"/>
            </m:rPr>
            <w:rPr>
              <w:rStyle w:val="vlist-s"/>
              <w:rFonts w:ascii="Cambria Math" w:hAnsi="Cambria Math"/>
              <w:sz w:val="24"/>
              <w:szCs w:val="24"/>
            </w:rPr>
            <m:t>​</m:t>
          </m:r>
          <m:r>
            <m:rPr>
              <m:sty m:val="p"/>
            </m:rPr>
            <w:rPr>
              <w:rStyle w:val="mord"/>
              <w:rFonts w:ascii="Cambria Math" w:hAnsi="Cambria Math"/>
              <w:sz w:val="24"/>
              <w:szCs w:val="24"/>
            </w:rPr>
            <m:t>F</m:t>
          </m:r>
        </m:oMath>
      </m:oMathPara>
    </w:p>
    <w:p w14:paraId="2FCB20AF"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Where R is the Regulatory Fragmentation Score, J is Jurisdictional Overlap, I </w:t>
      </w:r>
      <w:proofErr w:type="gramStart"/>
      <w:r w:rsidRPr="003650BC">
        <w:rPr>
          <w:rFonts w:eastAsia="Times New Roman"/>
          <w:sz w:val="24"/>
          <w:szCs w:val="24"/>
        </w:rPr>
        <w:t>is</w:t>
      </w:r>
      <w:proofErr w:type="gramEnd"/>
      <w:r w:rsidRPr="003650BC">
        <w:rPr>
          <w:rFonts w:eastAsia="Times New Roman"/>
          <w:sz w:val="24"/>
          <w:szCs w:val="24"/>
        </w:rPr>
        <w:t xml:space="preserve"> International Exposure, and F is Firm Size. The thresholds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β</m:t>
            </m:r>
          </m:e>
          <m:sub>
            <m:r>
              <w:rPr>
                <w:rFonts w:ascii="Cambria Math" w:eastAsia="Times New Roman" w:hAnsi="Cambria Math"/>
                <w:sz w:val="24"/>
                <w:szCs w:val="24"/>
              </w:rPr>
              <m:t>0</m:t>
            </m:r>
          </m:sub>
          <m:sup>
            <m:r>
              <w:rPr>
                <w:rFonts w:ascii="Cambria Math" w:eastAsia="Times New Roman" w:hAnsi="Cambria Math"/>
                <w:sz w:val="24"/>
                <w:szCs w:val="24"/>
              </w:rPr>
              <m:t>j</m:t>
            </m:r>
          </m:sup>
        </m:sSubSup>
      </m:oMath>
      <w:r w:rsidRPr="003650BC">
        <w:rPr>
          <w:rFonts w:eastAsia="Times New Roman"/>
          <w:sz w:val="24"/>
          <w:szCs w:val="24"/>
        </w:rPr>
        <w:t>​ define the boundaries between ordinal levels.</w:t>
      </w:r>
    </w:p>
    <w:p w14:paraId="1EB1AB40"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b/>
          <w:bCs/>
          <w:sz w:val="24"/>
          <w:szCs w:val="24"/>
        </w:rPr>
        <w:t>National Security and Trust Deficits</w:t>
      </w:r>
    </w:p>
    <w:p w14:paraId="21036947"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The impact of national surveillance policy on international trust was evaluated using the </w:t>
      </w:r>
      <w:r w:rsidRPr="003650BC">
        <w:rPr>
          <w:rFonts w:eastAsia="Times New Roman"/>
          <w:b/>
          <w:bCs/>
          <w:sz w:val="24"/>
          <w:szCs w:val="24"/>
        </w:rPr>
        <w:t>Belfer National Cyber Power Index (NCPI)</w:t>
      </w:r>
      <w:r w:rsidRPr="003650BC">
        <w:rPr>
          <w:rFonts w:eastAsia="Times New Roman"/>
          <w:sz w:val="24"/>
          <w:szCs w:val="24"/>
        </w:rPr>
        <w:t xml:space="preserve"> for surveillance capability and policy restrictiveness scores. The </w:t>
      </w:r>
      <w:r w:rsidRPr="003650BC">
        <w:rPr>
          <w:rFonts w:eastAsia="Times New Roman"/>
          <w:b/>
          <w:bCs/>
          <w:sz w:val="24"/>
          <w:szCs w:val="24"/>
        </w:rPr>
        <w:t>Trust Deficit Score (TDS)</w:t>
      </w:r>
      <w:r w:rsidRPr="003650BC">
        <w:rPr>
          <w:rFonts w:eastAsia="Times New Roman"/>
          <w:sz w:val="24"/>
          <w:szCs w:val="24"/>
        </w:rPr>
        <w:t xml:space="preserve"> was computed using scaled inverse cooperation metrics from the UN E-Government Survey. A </w:t>
      </w:r>
      <w:r w:rsidRPr="003650BC">
        <w:rPr>
          <w:rFonts w:eastAsia="Times New Roman"/>
          <w:b/>
          <w:bCs/>
          <w:sz w:val="24"/>
          <w:szCs w:val="24"/>
        </w:rPr>
        <w:t>Multiple Linear Regression</w:t>
      </w:r>
      <w:r w:rsidRPr="003650BC">
        <w:rPr>
          <w:rFonts w:eastAsia="Times New Roman"/>
          <w:sz w:val="24"/>
          <w:szCs w:val="24"/>
        </w:rPr>
        <w:t xml:space="preserve"> model was estimated as follows:</w:t>
      </w:r>
    </w:p>
    <w:p w14:paraId="1AEA9705" w14:textId="77777777" w:rsidR="00A46BBB" w:rsidRPr="003650BC" w:rsidRDefault="00000000" w:rsidP="003650BC">
      <w:pPr>
        <w:spacing w:before="100" w:beforeAutospacing="1" w:after="100" w:afterAutospacing="1" w:line="360" w:lineRule="auto"/>
        <w:rPr>
          <w:rFonts w:eastAsia="Times New Roman"/>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TDS</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rel"/>
              <w:rFonts w:ascii="Cambria Math" w:hAnsi="Cambria Math"/>
              <w:sz w:val="24"/>
              <w:szCs w:val="24"/>
            </w:rPr>
            <m:t>=</m:t>
          </m:r>
          <m:r>
            <m:rPr>
              <m:sty m:val="p"/>
            </m:rPr>
            <w:rPr>
              <w:rStyle w:val="mord"/>
              <w:rFonts w:ascii="Cambria Math" w:hAnsi="Cambria Math"/>
              <w:sz w:val="24"/>
              <w:szCs w:val="24"/>
            </w:rPr>
            <m:t>α</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S</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P</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GDP</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4</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D</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5</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A</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ϵ</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oMath>
      </m:oMathPara>
    </w:p>
    <w:p w14:paraId="34B06692"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Where S represents Surveillance Capability, PPP Policy Restrictiveness, GDPGDPGDP national economic capacity, DDD Diplomatic Treaties, and A Regional Alignments</w:t>
      </w:r>
      <w:r w:rsidR="00190F55">
        <w:rPr>
          <w:rFonts w:eastAsia="Times New Roman"/>
          <w:sz w:val="24"/>
          <w:szCs w:val="24"/>
        </w:rPr>
        <w:t xml:space="preserve">, </w:t>
      </w:r>
      <w:r w:rsidR="00190F55">
        <w:rPr>
          <w:rFonts w:eastAsia="Times New Roman"/>
          <w:sz w:val="24"/>
          <w:szCs w:val="24"/>
        </w:rPr>
        <w:lastRenderedPageBreak/>
        <w:t>variance</w:t>
      </w:r>
      <w:r w:rsidRPr="003650BC">
        <w:rPr>
          <w:rFonts w:eastAsia="Times New Roman"/>
          <w:sz w:val="24"/>
          <w:szCs w:val="24"/>
        </w:rPr>
        <w:t xml:space="preserve"> inflation factor (VIF) analysis ensured multicollinearity thresholds were within acceptable limits.</w:t>
      </w:r>
    </w:p>
    <w:p w14:paraId="6E5BBB04"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b/>
          <w:bCs/>
          <w:sz w:val="24"/>
          <w:szCs w:val="24"/>
        </w:rPr>
        <w:t>Encryption Adoption and Cybersecurity Outcomes</w:t>
      </w:r>
    </w:p>
    <w:p w14:paraId="50226956"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To assess the influence of advanced encryption adoption on </w:t>
      </w:r>
      <w:r w:rsidR="00190F55">
        <w:rPr>
          <w:rFonts w:eastAsia="Times New Roman"/>
          <w:sz w:val="24"/>
          <w:szCs w:val="24"/>
        </w:rPr>
        <w:t>reducing cyber incidents</w:t>
      </w:r>
      <w:r w:rsidRPr="003650BC">
        <w:rPr>
          <w:rFonts w:eastAsia="Times New Roman"/>
          <w:sz w:val="24"/>
          <w:szCs w:val="24"/>
        </w:rPr>
        <w:t xml:space="preserve">, longitudinal data from the </w:t>
      </w:r>
      <w:r w:rsidRPr="003650BC">
        <w:rPr>
          <w:rFonts w:eastAsia="Times New Roman"/>
          <w:b/>
          <w:bCs/>
          <w:sz w:val="24"/>
          <w:szCs w:val="24"/>
        </w:rPr>
        <w:t>ENISA Threat Landscape Reports (2015–2024)</w:t>
      </w:r>
      <w:r w:rsidRPr="003650BC">
        <w:rPr>
          <w:rFonts w:eastAsia="Times New Roman"/>
          <w:sz w:val="24"/>
          <w:szCs w:val="24"/>
        </w:rPr>
        <w:t xml:space="preserve"> were employed. Encryption adoption rates and cyber incident frequencies within critical infrastructure were </w:t>
      </w:r>
      <w:proofErr w:type="spellStart"/>
      <w:r w:rsidRPr="003650BC">
        <w:rPr>
          <w:rFonts w:eastAsia="Times New Roman"/>
          <w:sz w:val="24"/>
          <w:szCs w:val="24"/>
        </w:rPr>
        <w:t>modeled</w:t>
      </w:r>
      <w:proofErr w:type="spellEnd"/>
      <w:r w:rsidRPr="003650BC">
        <w:rPr>
          <w:rFonts w:eastAsia="Times New Roman"/>
          <w:sz w:val="24"/>
          <w:szCs w:val="24"/>
        </w:rPr>
        <w:t xml:space="preserve"> using a </w:t>
      </w:r>
      <w:r w:rsidRPr="003650BC">
        <w:rPr>
          <w:rFonts w:eastAsia="Times New Roman"/>
          <w:b/>
          <w:bCs/>
          <w:sz w:val="24"/>
          <w:szCs w:val="24"/>
        </w:rPr>
        <w:t>Time Series ARIMA (1,1,1) with exogenous variables (ARIMAX)</w:t>
      </w:r>
      <w:r w:rsidRPr="003650BC">
        <w:rPr>
          <w:rFonts w:eastAsia="Times New Roman"/>
          <w:sz w:val="24"/>
          <w:szCs w:val="24"/>
        </w:rPr>
        <w:t xml:space="preserve"> framework:</w:t>
      </w:r>
    </w:p>
    <w:p w14:paraId="532FDCD6" w14:textId="77777777" w:rsidR="00A46BBB" w:rsidRPr="003650BC" w:rsidRDefault="00000000" w:rsidP="003650BC">
      <w:pPr>
        <w:spacing w:before="100" w:beforeAutospacing="1" w:after="100" w:afterAutospacing="1" w:line="360" w:lineRule="auto"/>
        <w:rPr>
          <w:rFonts w:eastAsia="Times New Roman"/>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y</m:t>
              </m:r>
            </m:e>
            <m:sub>
              <m:r>
                <m:rPr>
                  <m:sty m:val="p"/>
                </m:rPr>
                <w:rPr>
                  <w:rStyle w:val="mord"/>
                  <w:rFonts w:ascii="Cambria Math" w:hAnsi="Cambria Math"/>
                  <w:sz w:val="24"/>
                  <w:szCs w:val="24"/>
                </w:rPr>
                <m:t>t</m:t>
              </m:r>
            </m:sub>
          </m:sSub>
          <m:r>
            <m:rPr>
              <m:sty m:val="b"/>
            </m:rPr>
            <w:rPr>
              <w:rStyle w:val="vlist-s"/>
              <w:rFonts w:ascii="Cambria Math" w:hAnsi="Cambria Math"/>
              <w:sz w:val="24"/>
              <w:szCs w:val="24"/>
            </w:rPr>
            <m:t>​</m:t>
          </m:r>
          <m:r>
            <m:rPr>
              <m:sty m:val="p"/>
            </m:rPr>
            <w:rPr>
              <w:rStyle w:val="mrel"/>
              <w:rFonts w:ascii="Cambria Math" w:hAnsi="Cambria Math"/>
              <w:sz w:val="24"/>
              <w:szCs w:val="24"/>
            </w:rPr>
            <m:t>=</m:t>
          </m:r>
          <m:r>
            <m:rPr>
              <m:sty m:val="p"/>
            </m:rPr>
            <w:rPr>
              <w:rStyle w:val="mord"/>
              <w:rFonts w:ascii="Cambria Math" w:hAnsi="Cambria Math"/>
              <w:sz w:val="24"/>
              <w:szCs w:val="24"/>
            </w:rPr>
            <m:t>μ</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ϕ</m:t>
              </m:r>
            </m:e>
            <m:sub>
              <m:r>
                <m:rPr>
                  <m:sty m:val="p"/>
                </m:rPr>
                <w:rPr>
                  <w:rStyle w:val="mord"/>
                  <w:rFonts w:ascii="Cambria Math" w:hAnsi="Cambria Math"/>
                  <w:sz w:val="24"/>
                  <w:szCs w:val="24"/>
                </w:rPr>
                <m:t>1</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y</m:t>
              </m:r>
            </m:e>
            <m:sub>
              <m:r>
                <m:rPr>
                  <m:sty m:val="p"/>
                </m:rPr>
                <w:rPr>
                  <w:rStyle w:val="mord"/>
                  <w:rFonts w:ascii="Cambria Math" w:hAnsi="Cambria Math"/>
                  <w:sz w:val="24"/>
                  <w:szCs w:val="24"/>
                </w:rPr>
                <m:t>t</m:t>
              </m:r>
              <m:r>
                <m:rPr>
                  <m:sty m:val="p"/>
                </m:rPr>
                <w:rPr>
                  <w:rStyle w:val="mbin"/>
                  <w:rFonts w:ascii="Cambria Math" w:hAnsi="Cambria Math"/>
                  <w:sz w:val="24"/>
                  <w:szCs w:val="24"/>
                </w:rPr>
                <m:t>-</m:t>
              </m:r>
              <m:r>
                <m:rPr>
                  <m:sty m:val="p"/>
                </m:rPr>
                <w:rPr>
                  <w:rStyle w:val="mord"/>
                  <w:rFonts w:ascii="Cambria Math" w:hAnsi="Cambria Math"/>
                  <w:sz w:val="24"/>
                  <w:szCs w:val="24"/>
                </w:rPr>
                <m:t>1</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θ</m:t>
              </m:r>
            </m:e>
            <m:sub>
              <m:r>
                <m:rPr>
                  <m:sty m:val="p"/>
                </m:rPr>
                <w:rPr>
                  <w:rStyle w:val="mord"/>
                  <w:rFonts w:ascii="Cambria Math" w:hAnsi="Cambria Math"/>
                  <w:sz w:val="24"/>
                  <w:szCs w:val="24"/>
                </w:rPr>
                <m:t>1</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ϵ</m:t>
              </m:r>
            </m:e>
            <m:sub>
              <m:r>
                <m:rPr>
                  <m:sty m:val="p"/>
                </m:rPr>
                <w:rPr>
                  <w:rStyle w:val="mord"/>
                  <w:rFonts w:ascii="Cambria Math" w:hAnsi="Cambria Math"/>
                  <w:sz w:val="24"/>
                  <w:szCs w:val="24"/>
                </w:rPr>
                <m:t>t</m:t>
              </m:r>
              <m:r>
                <m:rPr>
                  <m:sty m:val="p"/>
                </m:rPr>
                <w:rPr>
                  <w:rStyle w:val="mbin"/>
                  <w:rFonts w:ascii="Cambria Math" w:hAnsi="Cambria Math"/>
                  <w:sz w:val="24"/>
                  <w:szCs w:val="24"/>
                </w:rPr>
                <m:t>-</m:t>
              </m:r>
              <m:r>
                <m:rPr>
                  <m:sty m:val="p"/>
                </m:rPr>
                <w:rPr>
                  <w:rStyle w:val="mord"/>
                  <w:rFonts w:ascii="Cambria Math" w:hAnsi="Cambria Math"/>
                  <w:sz w:val="24"/>
                  <w:szCs w:val="24"/>
                </w:rPr>
                <m:t>1</m:t>
              </m:r>
            </m:sub>
          </m:sSub>
          <m:r>
            <m:rPr>
              <m:sty m:val="b"/>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γ</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t</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ϵ</m:t>
              </m:r>
            </m:e>
            <m:sub>
              <m:r>
                <m:rPr>
                  <m:sty m:val="p"/>
                </m:rPr>
                <w:rPr>
                  <w:rStyle w:val="mord"/>
                  <w:rFonts w:ascii="Cambria Math" w:hAnsi="Cambria Math"/>
                  <w:sz w:val="24"/>
                  <w:szCs w:val="24"/>
                </w:rPr>
                <m:t>t</m:t>
              </m:r>
            </m:sub>
          </m:sSub>
          <m:r>
            <m:rPr>
              <m:sty m:val="b"/>
            </m:rPr>
            <w:rPr>
              <w:rStyle w:val="vlist-s"/>
              <w:rFonts w:ascii="Cambria Math" w:hAnsi="Cambria Math"/>
              <w:sz w:val="24"/>
              <w:szCs w:val="24"/>
            </w:rPr>
            <m:t>​</m:t>
          </m:r>
        </m:oMath>
      </m:oMathPara>
    </w:p>
    <w:p w14:paraId="6E37DA5A"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Where </w:t>
      </w:r>
      <w:proofErr w:type="spellStart"/>
      <w:r w:rsidRPr="003650BC">
        <w:rPr>
          <w:rFonts w:eastAsia="Times New Roman"/>
          <w:sz w:val="24"/>
          <w:szCs w:val="24"/>
        </w:rPr>
        <w:t>y</w:t>
      </w:r>
      <w:r w:rsidRPr="003650BC">
        <w:rPr>
          <w:rFonts w:eastAsia="Times New Roman"/>
          <w:sz w:val="24"/>
          <w:szCs w:val="24"/>
          <w:vertAlign w:val="subscript"/>
        </w:rPr>
        <w:t>t</w:t>
      </w:r>
      <w:proofErr w:type="spellEnd"/>
      <w:r w:rsidRPr="003650BC">
        <w:rPr>
          <w:rFonts w:eastAsia="Times New Roman"/>
          <w:sz w:val="24"/>
          <w:szCs w:val="24"/>
        </w:rPr>
        <w:t xml:space="preserve">​ is the incident count, </w:t>
      </w:r>
      <w:proofErr w:type="spellStart"/>
      <w:r w:rsidRPr="003650BC">
        <w:rPr>
          <w:rFonts w:eastAsia="Times New Roman"/>
          <w:sz w:val="24"/>
          <w:szCs w:val="24"/>
        </w:rPr>
        <w:t>x</w:t>
      </w:r>
      <w:r w:rsidRPr="003650BC">
        <w:rPr>
          <w:rFonts w:eastAsia="Times New Roman"/>
          <w:sz w:val="24"/>
          <w:szCs w:val="24"/>
          <w:vertAlign w:val="subscript"/>
        </w:rPr>
        <w:t>t</w:t>
      </w:r>
      <w:proofErr w:type="spellEnd"/>
      <w:r w:rsidRPr="003650BC">
        <w:rPr>
          <w:rFonts w:eastAsia="Times New Roman"/>
          <w:sz w:val="24"/>
          <w:szCs w:val="24"/>
        </w:rPr>
        <w:t>​ is the encryption adoption rate, ϕ</w:t>
      </w:r>
      <w:r w:rsidRPr="003650BC">
        <w:rPr>
          <w:rFonts w:eastAsia="Times New Roman"/>
          <w:sz w:val="24"/>
          <w:szCs w:val="24"/>
          <w:vertAlign w:val="subscript"/>
        </w:rPr>
        <w:t>1</w:t>
      </w:r>
      <w:r w:rsidRPr="003650BC">
        <w:rPr>
          <w:rFonts w:eastAsia="Times New Roman"/>
          <w:sz w:val="24"/>
          <w:szCs w:val="24"/>
        </w:rPr>
        <w:t>​ and θ</w:t>
      </w:r>
      <w:r w:rsidRPr="003650BC">
        <w:rPr>
          <w:rFonts w:eastAsia="Times New Roman"/>
          <w:sz w:val="24"/>
          <w:szCs w:val="24"/>
          <w:vertAlign w:val="subscript"/>
        </w:rPr>
        <w:t>1</w:t>
      </w:r>
      <w:r w:rsidRPr="003650BC">
        <w:rPr>
          <w:rFonts w:eastAsia="Times New Roman"/>
          <w:sz w:val="24"/>
          <w:szCs w:val="24"/>
        </w:rPr>
        <w:t>​ are the autoregressive and moving average parameters, respectively, and γ measures the impact of encryption adoption on incident mitigation.</w:t>
      </w:r>
    </w:p>
    <w:p w14:paraId="6FC09C03" w14:textId="77777777" w:rsidR="008512D4" w:rsidRPr="003650BC" w:rsidRDefault="003650BC" w:rsidP="003650BC">
      <w:pPr>
        <w:spacing w:line="360" w:lineRule="auto"/>
        <w:jc w:val="both"/>
        <w:rPr>
          <w:b/>
          <w:sz w:val="24"/>
          <w:szCs w:val="24"/>
        </w:rPr>
      </w:pPr>
      <w:r w:rsidRPr="003650BC">
        <w:rPr>
          <w:b/>
          <w:sz w:val="24"/>
          <w:szCs w:val="24"/>
        </w:rPr>
        <w:t xml:space="preserve">4. </w:t>
      </w:r>
      <w:r w:rsidR="00630AE1" w:rsidRPr="003650BC">
        <w:rPr>
          <w:b/>
          <w:sz w:val="24"/>
          <w:szCs w:val="24"/>
        </w:rPr>
        <w:t>Result</w:t>
      </w:r>
      <w:r w:rsidRPr="003650BC">
        <w:rPr>
          <w:b/>
          <w:sz w:val="24"/>
          <w:szCs w:val="24"/>
        </w:rPr>
        <w:t>s and Discussion</w:t>
      </w:r>
    </w:p>
    <w:p w14:paraId="4B2E1FE4" w14:textId="77777777" w:rsidR="008512D4" w:rsidRPr="003650BC" w:rsidRDefault="00630AE1" w:rsidP="003650BC">
      <w:pPr>
        <w:spacing w:before="160" w:after="160" w:line="360" w:lineRule="auto"/>
        <w:rPr>
          <w:b/>
          <w:sz w:val="24"/>
          <w:szCs w:val="24"/>
        </w:rPr>
      </w:pPr>
      <w:r w:rsidRPr="003650BC">
        <w:rPr>
          <w:b/>
          <w:sz w:val="24"/>
          <w:szCs w:val="24"/>
        </w:rPr>
        <w:t>Balancing Encryption Laws and National Security: Impact on Cross-Border Energy Collaboration</w:t>
      </w:r>
    </w:p>
    <w:p w14:paraId="438A50F5" w14:textId="77777777" w:rsidR="008512D4" w:rsidRPr="003650BC" w:rsidRDefault="00630AE1" w:rsidP="003650BC">
      <w:pPr>
        <w:spacing w:before="160" w:after="160" w:line="360" w:lineRule="auto"/>
        <w:rPr>
          <w:sz w:val="24"/>
          <w:szCs w:val="24"/>
        </w:rPr>
      </w:pPr>
      <w:r w:rsidRPr="003650BC">
        <w:rPr>
          <w:sz w:val="24"/>
          <w:szCs w:val="24"/>
        </w:rPr>
        <w:t>The ability of nations to effectively manage data security while facilitating international cooperation has become increasingly critical. For the energy sector</w:t>
      </w:r>
      <w:r w:rsidR="00190F55">
        <w:rPr>
          <w:sz w:val="24"/>
          <w:szCs w:val="24"/>
        </w:rPr>
        <w:t>, a data-intensive and globally integrated industry,</w:t>
      </w:r>
      <w:r w:rsidR="004A3BB5">
        <w:rPr>
          <w:sz w:val="24"/>
          <w:szCs w:val="24"/>
        </w:rPr>
        <w:t xml:space="preserve"> </w:t>
      </w:r>
      <w:r w:rsidRPr="003650BC">
        <w:rPr>
          <w:sz w:val="24"/>
          <w:szCs w:val="24"/>
        </w:rPr>
        <w:t>encryption laws form a pivotal nexus between operational functionality and national regulatory imperatives. This report presents a focused analysis of how diverse legal and policy frameworks governing encryption influence international collaboration in the energy sector, providing evidence-backed insights relevant to policymakers and infrastructure stakeholders.</w:t>
      </w:r>
    </w:p>
    <w:p w14:paraId="2C50ACC2" w14:textId="77777777" w:rsidR="008512D4" w:rsidRPr="003650BC" w:rsidRDefault="00630AE1" w:rsidP="003650BC">
      <w:pPr>
        <w:spacing w:before="160" w:after="160" w:line="360" w:lineRule="auto"/>
        <w:rPr>
          <w:sz w:val="24"/>
          <w:szCs w:val="24"/>
        </w:rPr>
      </w:pPr>
      <w:r w:rsidRPr="003650BC">
        <w:rPr>
          <w:sz w:val="24"/>
          <w:szCs w:val="24"/>
        </w:rPr>
        <w:t xml:space="preserve">The analysis utilized global cybersecurity regulatory maturity indicators to examine </w:t>
      </w:r>
      <w:r w:rsidR="00190F55">
        <w:rPr>
          <w:sz w:val="24"/>
          <w:szCs w:val="24"/>
        </w:rPr>
        <w:t>the relationships between cross-border energy collaboration and cybersecurity regulatory maturity</w:t>
      </w:r>
      <w:r w:rsidRPr="003650BC">
        <w:rPr>
          <w:sz w:val="24"/>
          <w:szCs w:val="24"/>
        </w:rPr>
        <w:t xml:space="preserve">. Countries with strong legal, organizational, and cooperative cybersecurity dimensions exhibited higher levels of energy-related international partnerships. As illustrated in Table 1, nations such as Germany, the United Kingdom, and the United </w:t>
      </w:r>
      <w:r w:rsidRPr="003650BC">
        <w:rPr>
          <w:sz w:val="24"/>
          <w:szCs w:val="24"/>
        </w:rPr>
        <w:lastRenderedPageBreak/>
        <w:t>States demonstrated high scores in both regulatory maturity and cooperation readiness, correlating with elevated cross-border collaboration indices.</w:t>
      </w:r>
    </w:p>
    <w:p w14:paraId="2E005B94" w14:textId="77777777" w:rsidR="008512D4" w:rsidRPr="003650BC" w:rsidRDefault="00630AE1" w:rsidP="003650BC">
      <w:pPr>
        <w:spacing w:before="160" w:after="160" w:line="360" w:lineRule="auto"/>
        <w:rPr>
          <w:sz w:val="24"/>
          <w:szCs w:val="24"/>
        </w:rPr>
      </w:pPr>
      <w:r w:rsidRPr="003650BC">
        <w:rPr>
          <w:b/>
          <w:sz w:val="24"/>
          <w:szCs w:val="24"/>
        </w:rPr>
        <w:t xml:space="preserve">Table 1: </w:t>
      </w:r>
      <w:r w:rsidRPr="003650BC">
        <w:rPr>
          <w:sz w:val="24"/>
          <w:szCs w:val="24"/>
        </w:rPr>
        <w:t>Scores for Encryption Regulation and Energy Collaboration</w:t>
      </w:r>
    </w:p>
    <w:tbl>
      <w:tblPr>
        <w:tblStyle w:val="TableGrid"/>
        <w:tblW w:w="8566" w:type="dxa"/>
        <w:tblLayout w:type="fixed"/>
        <w:tblLook w:val="0600" w:firstRow="0" w:lastRow="0" w:firstColumn="0" w:lastColumn="0" w:noHBand="1" w:noVBand="1"/>
      </w:tblPr>
      <w:tblGrid>
        <w:gridCol w:w="1975"/>
        <w:gridCol w:w="1499"/>
        <w:gridCol w:w="2320"/>
        <w:gridCol w:w="2772"/>
      </w:tblGrid>
      <w:tr w:rsidR="008512D4" w:rsidRPr="003650BC" w14:paraId="248355A4" w14:textId="77777777" w:rsidTr="0049431C">
        <w:trPr>
          <w:trHeight w:val="235"/>
        </w:trPr>
        <w:tc>
          <w:tcPr>
            <w:tcW w:w="1975" w:type="dxa"/>
          </w:tcPr>
          <w:p w14:paraId="5EC61315" w14:textId="77777777" w:rsidR="008512D4" w:rsidRPr="003650BC" w:rsidRDefault="00630AE1" w:rsidP="003650BC">
            <w:pPr>
              <w:spacing w:line="360" w:lineRule="auto"/>
              <w:jc w:val="center"/>
              <w:rPr>
                <w:sz w:val="24"/>
                <w:szCs w:val="24"/>
              </w:rPr>
            </w:pPr>
            <w:r w:rsidRPr="003650BC">
              <w:rPr>
                <w:b/>
                <w:sz w:val="24"/>
                <w:szCs w:val="24"/>
              </w:rPr>
              <w:t>Country</w:t>
            </w:r>
          </w:p>
        </w:tc>
        <w:tc>
          <w:tcPr>
            <w:tcW w:w="1499" w:type="dxa"/>
          </w:tcPr>
          <w:p w14:paraId="6FD6F00E" w14:textId="77777777" w:rsidR="008512D4" w:rsidRPr="003650BC" w:rsidRDefault="00630AE1" w:rsidP="003650BC">
            <w:pPr>
              <w:spacing w:line="360" w:lineRule="auto"/>
              <w:jc w:val="center"/>
              <w:rPr>
                <w:sz w:val="24"/>
                <w:szCs w:val="24"/>
              </w:rPr>
            </w:pPr>
            <w:r w:rsidRPr="003650BC">
              <w:rPr>
                <w:b/>
                <w:sz w:val="24"/>
                <w:szCs w:val="24"/>
              </w:rPr>
              <w:t>Regulatory Maturity</w:t>
            </w:r>
          </w:p>
        </w:tc>
        <w:tc>
          <w:tcPr>
            <w:tcW w:w="2320" w:type="dxa"/>
          </w:tcPr>
          <w:p w14:paraId="23C44AB7" w14:textId="77777777" w:rsidR="008512D4" w:rsidRPr="003650BC" w:rsidRDefault="00630AE1" w:rsidP="003650BC">
            <w:pPr>
              <w:spacing w:line="360" w:lineRule="auto"/>
              <w:jc w:val="center"/>
              <w:rPr>
                <w:sz w:val="24"/>
                <w:szCs w:val="24"/>
              </w:rPr>
            </w:pPr>
            <w:r w:rsidRPr="003650BC">
              <w:rPr>
                <w:b/>
                <w:sz w:val="24"/>
                <w:szCs w:val="24"/>
              </w:rPr>
              <w:t>Cooperation Readiness</w:t>
            </w:r>
          </w:p>
        </w:tc>
        <w:tc>
          <w:tcPr>
            <w:tcW w:w="2772" w:type="dxa"/>
          </w:tcPr>
          <w:p w14:paraId="3C730B3F" w14:textId="77777777" w:rsidR="008512D4" w:rsidRPr="003650BC" w:rsidRDefault="00630AE1" w:rsidP="003650BC">
            <w:pPr>
              <w:spacing w:line="360" w:lineRule="auto"/>
              <w:jc w:val="center"/>
              <w:rPr>
                <w:sz w:val="24"/>
                <w:szCs w:val="24"/>
              </w:rPr>
            </w:pPr>
            <w:r w:rsidRPr="003650BC">
              <w:rPr>
                <w:b/>
                <w:sz w:val="24"/>
                <w:szCs w:val="24"/>
              </w:rPr>
              <w:t>Energy Collaboration Index</w:t>
            </w:r>
          </w:p>
        </w:tc>
      </w:tr>
      <w:tr w:rsidR="008512D4" w:rsidRPr="003650BC" w14:paraId="62FB5C52" w14:textId="77777777" w:rsidTr="0049431C">
        <w:trPr>
          <w:trHeight w:val="235"/>
        </w:trPr>
        <w:tc>
          <w:tcPr>
            <w:tcW w:w="1975" w:type="dxa"/>
          </w:tcPr>
          <w:p w14:paraId="5D7941AE" w14:textId="77777777" w:rsidR="008512D4" w:rsidRPr="003650BC" w:rsidRDefault="00630AE1" w:rsidP="003650BC">
            <w:pPr>
              <w:spacing w:line="360" w:lineRule="auto"/>
              <w:rPr>
                <w:sz w:val="24"/>
                <w:szCs w:val="24"/>
              </w:rPr>
            </w:pPr>
            <w:r w:rsidRPr="003650BC">
              <w:rPr>
                <w:sz w:val="24"/>
                <w:szCs w:val="24"/>
              </w:rPr>
              <w:t>Germany</w:t>
            </w:r>
          </w:p>
        </w:tc>
        <w:tc>
          <w:tcPr>
            <w:tcW w:w="1499" w:type="dxa"/>
          </w:tcPr>
          <w:p w14:paraId="0FD98688" w14:textId="77777777" w:rsidR="008512D4" w:rsidRPr="003650BC" w:rsidRDefault="00630AE1" w:rsidP="003650BC">
            <w:pPr>
              <w:spacing w:line="360" w:lineRule="auto"/>
              <w:rPr>
                <w:sz w:val="24"/>
                <w:szCs w:val="24"/>
              </w:rPr>
            </w:pPr>
            <w:r w:rsidRPr="003650BC">
              <w:rPr>
                <w:sz w:val="24"/>
                <w:szCs w:val="24"/>
              </w:rPr>
              <w:t>0.85</w:t>
            </w:r>
          </w:p>
        </w:tc>
        <w:tc>
          <w:tcPr>
            <w:tcW w:w="2320" w:type="dxa"/>
          </w:tcPr>
          <w:p w14:paraId="270ACC7A" w14:textId="77777777" w:rsidR="008512D4" w:rsidRPr="003650BC" w:rsidRDefault="00630AE1" w:rsidP="003650BC">
            <w:pPr>
              <w:spacing w:line="360" w:lineRule="auto"/>
              <w:rPr>
                <w:sz w:val="24"/>
                <w:szCs w:val="24"/>
              </w:rPr>
            </w:pPr>
            <w:r w:rsidRPr="003650BC">
              <w:rPr>
                <w:sz w:val="24"/>
                <w:szCs w:val="24"/>
              </w:rPr>
              <w:t>0.80</w:t>
            </w:r>
          </w:p>
        </w:tc>
        <w:tc>
          <w:tcPr>
            <w:tcW w:w="2772" w:type="dxa"/>
          </w:tcPr>
          <w:p w14:paraId="64531938" w14:textId="77777777" w:rsidR="008512D4" w:rsidRPr="003650BC" w:rsidRDefault="00630AE1" w:rsidP="003650BC">
            <w:pPr>
              <w:spacing w:line="360" w:lineRule="auto"/>
              <w:rPr>
                <w:sz w:val="24"/>
                <w:szCs w:val="24"/>
              </w:rPr>
            </w:pPr>
            <w:r w:rsidRPr="003650BC">
              <w:rPr>
                <w:sz w:val="24"/>
                <w:szCs w:val="24"/>
              </w:rPr>
              <w:t>0.90</w:t>
            </w:r>
          </w:p>
        </w:tc>
      </w:tr>
      <w:tr w:rsidR="008512D4" w:rsidRPr="003650BC" w14:paraId="0ACC5E2E" w14:textId="77777777" w:rsidTr="0049431C">
        <w:trPr>
          <w:trHeight w:val="235"/>
        </w:trPr>
        <w:tc>
          <w:tcPr>
            <w:tcW w:w="1975" w:type="dxa"/>
          </w:tcPr>
          <w:p w14:paraId="6011B3F7" w14:textId="77777777" w:rsidR="008512D4" w:rsidRPr="003650BC" w:rsidRDefault="00630AE1" w:rsidP="003650BC">
            <w:pPr>
              <w:spacing w:line="360" w:lineRule="auto"/>
              <w:rPr>
                <w:sz w:val="24"/>
                <w:szCs w:val="24"/>
              </w:rPr>
            </w:pPr>
            <w:r w:rsidRPr="003650BC">
              <w:rPr>
                <w:sz w:val="24"/>
                <w:szCs w:val="24"/>
              </w:rPr>
              <w:t>UK</w:t>
            </w:r>
          </w:p>
        </w:tc>
        <w:tc>
          <w:tcPr>
            <w:tcW w:w="1499" w:type="dxa"/>
          </w:tcPr>
          <w:p w14:paraId="22320670" w14:textId="77777777" w:rsidR="008512D4" w:rsidRPr="003650BC" w:rsidRDefault="00630AE1" w:rsidP="003650BC">
            <w:pPr>
              <w:spacing w:line="360" w:lineRule="auto"/>
              <w:rPr>
                <w:sz w:val="24"/>
                <w:szCs w:val="24"/>
              </w:rPr>
            </w:pPr>
            <w:r w:rsidRPr="003650BC">
              <w:rPr>
                <w:sz w:val="24"/>
                <w:szCs w:val="24"/>
              </w:rPr>
              <w:t>0.80</w:t>
            </w:r>
          </w:p>
        </w:tc>
        <w:tc>
          <w:tcPr>
            <w:tcW w:w="2320" w:type="dxa"/>
          </w:tcPr>
          <w:p w14:paraId="742DCC41" w14:textId="77777777" w:rsidR="008512D4" w:rsidRPr="003650BC" w:rsidRDefault="00630AE1" w:rsidP="003650BC">
            <w:pPr>
              <w:spacing w:line="360" w:lineRule="auto"/>
              <w:rPr>
                <w:sz w:val="24"/>
                <w:szCs w:val="24"/>
              </w:rPr>
            </w:pPr>
            <w:r w:rsidRPr="003650BC">
              <w:rPr>
                <w:sz w:val="24"/>
                <w:szCs w:val="24"/>
              </w:rPr>
              <w:t>0.85</w:t>
            </w:r>
          </w:p>
        </w:tc>
        <w:tc>
          <w:tcPr>
            <w:tcW w:w="2772" w:type="dxa"/>
          </w:tcPr>
          <w:p w14:paraId="1C01C417" w14:textId="77777777" w:rsidR="008512D4" w:rsidRPr="003650BC" w:rsidRDefault="00630AE1" w:rsidP="003650BC">
            <w:pPr>
              <w:spacing w:line="360" w:lineRule="auto"/>
              <w:rPr>
                <w:sz w:val="24"/>
                <w:szCs w:val="24"/>
              </w:rPr>
            </w:pPr>
            <w:r w:rsidRPr="003650BC">
              <w:rPr>
                <w:sz w:val="24"/>
                <w:szCs w:val="24"/>
              </w:rPr>
              <w:t>0.90</w:t>
            </w:r>
          </w:p>
        </w:tc>
      </w:tr>
      <w:tr w:rsidR="008512D4" w:rsidRPr="003650BC" w14:paraId="7974B3D7" w14:textId="77777777" w:rsidTr="0049431C">
        <w:trPr>
          <w:trHeight w:val="235"/>
        </w:trPr>
        <w:tc>
          <w:tcPr>
            <w:tcW w:w="1975" w:type="dxa"/>
          </w:tcPr>
          <w:p w14:paraId="5D45CA8C" w14:textId="77777777" w:rsidR="008512D4" w:rsidRPr="003650BC" w:rsidRDefault="00630AE1" w:rsidP="003650BC">
            <w:pPr>
              <w:spacing w:line="360" w:lineRule="auto"/>
              <w:rPr>
                <w:sz w:val="24"/>
                <w:szCs w:val="24"/>
              </w:rPr>
            </w:pPr>
            <w:r w:rsidRPr="003650BC">
              <w:rPr>
                <w:sz w:val="24"/>
                <w:szCs w:val="24"/>
              </w:rPr>
              <w:t>USA</w:t>
            </w:r>
          </w:p>
        </w:tc>
        <w:tc>
          <w:tcPr>
            <w:tcW w:w="1499" w:type="dxa"/>
          </w:tcPr>
          <w:p w14:paraId="597853C5" w14:textId="77777777" w:rsidR="008512D4" w:rsidRPr="003650BC" w:rsidRDefault="00630AE1" w:rsidP="003650BC">
            <w:pPr>
              <w:spacing w:line="360" w:lineRule="auto"/>
              <w:rPr>
                <w:sz w:val="24"/>
                <w:szCs w:val="24"/>
              </w:rPr>
            </w:pPr>
            <w:r w:rsidRPr="003650BC">
              <w:rPr>
                <w:sz w:val="24"/>
                <w:szCs w:val="24"/>
              </w:rPr>
              <w:t>0.85</w:t>
            </w:r>
          </w:p>
        </w:tc>
        <w:tc>
          <w:tcPr>
            <w:tcW w:w="2320" w:type="dxa"/>
          </w:tcPr>
          <w:p w14:paraId="78329085" w14:textId="77777777" w:rsidR="008512D4" w:rsidRPr="003650BC" w:rsidRDefault="00630AE1" w:rsidP="003650BC">
            <w:pPr>
              <w:spacing w:line="360" w:lineRule="auto"/>
              <w:rPr>
                <w:sz w:val="24"/>
                <w:szCs w:val="24"/>
              </w:rPr>
            </w:pPr>
            <w:r w:rsidRPr="003650BC">
              <w:rPr>
                <w:sz w:val="24"/>
                <w:szCs w:val="24"/>
              </w:rPr>
              <w:t>0.70</w:t>
            </w:r>
          </w:p>
        </w:tc>
        <w:tc>
          <w:tcPr>
            <w:tcW w:w="2772" w:type="dxa"/>
          </w:tcPr>
          <w:p w14:paraId="46DF23FE" w14:textId="77777777" w:rsidR="008512D4" w:rsidRPr="003650BC" w:rsidRDefault="00630AE1" w:rsidP="003650BC">
            <w:pPr>
              <w:spacing w:line="360" w:lineRule="auto"/>
              <w:rPr>
                <w:sz w:val="24"/>
                <w:szCs w:val="24"/>
              </w:rPr>
            </w:pPr>
            <w:r w:rsidRPr="003650BC">
              <w:rPr>
                <w:sz w:val="24"/>
                <w:szCs w:val="24"/>
              </w:rPr>
              <w:t>0.85</w:t>
            </w:r>
          </w:p>
        </w:tc>
      </w:tr>
      <w:tr w:rsidR="008512D4" w:rsidRPr="003650BC" w14:paraId="0739BF77" w14:textId="77777777" w:rsidTr="0049431C">
        <w:trPr>
          <w:trHeight w:val="235"/>
        </w:trPr>
        <w:tc>
          <w:tcPr>
            <w:tcW w:w="1975" w:type="dxa"/>
          </w:tcPr>
          <w:p w14:paraId="0D2446E1" w14:textId="77777777" w:rsidR="008512D4" w:rsidRPr="003650BC" w:rsidRDefault="00630AE1" w:rsidP="003650BC">
            <w:pPr>
              <w:spacing w:line="360" w:lineRule="auto"/>
              <w:rPr>
                <w:sz w:val="24"/>
                <w:szCs w:val="24"/>
              </w:rPr>
            </w:pPr>
            <w:r w:rsidRPr="003650BC">
              <w:rPr>
                <w:sz w:val="24"/>
                <w:szCs w:val="24"/>
              </w:rPr>
              <w:t>France</w:t>
            </w:r>
          </w:p>
        </w:tc>
        <w:tc>
          <w:tcPr>
            <w:tcW w:w="1499" w:type="dxa"/>
          </w:tcPr>
          <w:p w14:paraId="43BFDE4F" w14:textId="77777777" w:rsidR="008512D4" w:rsidRPr="003650BC" w:rsidRDefault="00630AE1" w:rsidP="003650BC">
            <w:pPr>
              <w:spacing w:line="360" w:lineRule="auto"/>
              <w:rPr>
                <w:sz w:val="24"/>
                <w:szCs w:val="24"/>
              </w:rPr>
            </w:pPr>
            <w:r w:rsidRPr="003650BC">
              <w:rPr>
                <w:sz w:val="24"/>
                <w:szCs w:val="24"/>
              </w:rPr>
              <w:t>0.80</w:t>
            </w:r>
          </w:p>
        </w:tc>
        <w:tc>
          <w:tcPr>
            <w:tcW w:w="2320" w:type="dxa"/>
          </w:tcPr>
          <w:p w14:paraId="32C05BDC" w14:textId="77777777" w:rsidR="008512D4" w:rsidRPr="003650BC" w:rsidRDefault="00630AE1" w:rsidP="003650BC">
            <w:pPr>
              <w:spacing w:line="360" w:lineRule="auto"/>
              <w:rPr>
                <w:sz w:val="24"/>
                <w:szCs w:val="24"/>
              </w:rPr>
            </w:pPr>
            <w:r w:rsidRPr="003650BC">
              <w:rPr>
                <w:sz w:val="24"/>
                <w:szCs w:val="24"/>
              </w:rPr>
              <w:t>0.75</w:t>
            </w:r>
          </w:p>
        </w:tc>
        <w:tc>
          <w:tcPr>
            <w:tcW w:w="2772" w:type="dxa"/>
          </w:tcPr>
          <w:p w14:paraId="1890D4A0" w14:textId="77777777" w:rsidR="008512D4" w:rsidRPr="003650BC" w:rsidRDefault="00630AE1" w:rsidP="003650BC">
            <w:pPr>
              <w:spacing w:line="360" w:lineRule="auto"/>
              <w:rPr>
                <w:sz w:val="24"/>
                <w:szCs w:val="24"/>
              </w:rPr>
            </w:pPr>
            <w:r w:rsidRPr="003650BC">
              <w:rPr>
                <w:sz w:val="24"/>
                <w:szCs w:val="24"/>
              </w:rPr>
              <w:t>0.88</w:t>
            </w:r>
          </w:p>
        </w:tc>
      </w:tr>
      <w:tr w:rsidR="008512D4" w:rsidRPr="003650BC" w14:paraId="0EC4D245" w14:textId="77777777" w:rsidTr="0049431C">
        <w:trPr>
          <w:trHeight w:val="235"/>
        </w:trPr>
        <w:tc>
          <w:tcPr>
            <w:tcW w:w="1975" w:type="dxa"/>
          </w:tcPr>
          <w:p w14:paraId="4D72FAB1" w14:textId="77777777" w:rsidR="008512D4" w:rsidRPr="003650BC" w:rsidRDefault="00630AE1" w:rsidP="003650BC">
            <w:pPr>
              <w:spacing w:line="360" w:lineRule="auto"/>
              <w:rPr>
                <w:sz w:val="24"/>
                <w:szCs w:val="24"/>
              </w:rPr>
            </w:pPr>
            <w:r w:rsidRPr="003650BC">
              <w:rPr>
                <w:sz w:val="24"/>
                <w:szCs w:val="24"/>
              </w:rPr>
              <w:t>India</w:t>
            </w:r>
          </w:p>
        </w:tc>
        <w:tc>
          <w:tcPr>
            <w:tcW w:w="1499" w:type="dxa"/>
          </w:tcPr>
          <w:p w14:paraId="4F08368F" w14:textId="77777777" w:rsidR="008512D4" w:rsidRPr="003650BC" w:rsidRDefault="00630AE1" w:rsidP="003650BC">
            <w:pPr>
              <w:spacing w:line="360" w:lineRule="auto"/>
              <w:rPr>
                <w:sz w:val="24"/>
                <w:szCs w:val="24"/>
              </w:rPr>
            </w:pPr>
            <w:r w:rsidRPr="003650BC">
              <w:rPr>
                <w:sz w:val="24"/>
                <w:szCs w:val="24"/>
              </w:rPr>
              <w:t>0.75</w:t>
            </w:r>
          </w:p>
        </w:tc>
        <w:tc>
          <w:tcPr>
            <w:tcW w:w="2320" w:type="dxa"/>
          </w:tcPr>
          <w:p w14:paraId="0921F920" w14:textId="77777777" w:rsidR="008512D4" w:rsidRPr="003650BC" w:rsidRDefault="00630AE1" w:rsidP="003650BC">
            <w:pPr>
              <w:spacing w:line="360" w:lineRule="auto"/>
              <w:rPr>
                <w:sz w:val="24"/>
                <w:szCs w:val="24"/>
              </w:rPr>
            </w:pPr>
            <w:r w:rsidRPr="003650BC">
              <w:rPr>
                <w:sz w:val="24"/>
                <w:szCs w:val="24"/>
              </w:rPr>
              <w:t>0.70</w:t>
            </w:r>
          </w:p>
        </w:tc>
        <w:tc>
          <w:tcPr>
            <w:tcW w:w="2772" w:type="dxa"/>
          </w:tcPr>
          <w:p w14:paraId="775EE6AF" w14:textId="77777777" w:rsidR="008512D4" w:rsidRPr="003650BC" w:rsidRDefault="00630AE1" w:rsidP="003650BC">
            <w:pPr>
              <w:spacing w:line="360" w:lineRule="auto"/>
              <w:rPr>
                <w:sz w:val="24"/>
                <w:szCs w:val="24"/>
              </w:rPr>
            </w:pPr>
            <w:r w:rsidRPr="003650BC">
              <w:rPr>
                <w:sz w:val="24"/>
                <w:szCs w:val="24"/>
              </w:rPr>
              <w:t>0.80</w:t>
            </w:r>
          </w:p>
        </w:tc>
      </w:tr>
      <w:tr w:rsidR="008512D4" w:rsidRPr="003650BC" w14:paraId="7B115A60" w14:textId="77777777" w:rsidTr="0049431C">
        <w:trPr>
          <w:trHeight w:val="235"/>
        </w:trPr>
        <w:tc>
          <w:tcPr>
            <w:tcW w:w="1975" w:type="dxa"/>
          </w:tcPr>
          <w:p w14:paraId="2FC35CEF" w14:textId="77777777" w:rsidR="008512D4" w:rsidRPr="003650BC" w:rsidRDefault="00630AE1" w:rsidP="003650BC">
            <w:pPr>
              <w:spacing w:line="360" w:lineRule="auto"/>
              <w:rPr>
                <w:sz w:val="24"/>
                <w:szCs w:val="24"/>
              </w:rPr>
            </w:pPr>
            <w:r w:rsidRPr="003650BC">
              <w:rPr>
                <w:sz w:val="24"/>
                <w:szCs w:val="24"/>
              </w:rPr>
              <w:t>Brazil</w:t>
            </w:r>
          </w:p>
        </w:tc>
        <w:tc>
          <w:tcPr>
            <w:tcW w:w="1499" w:type="dxa"/>
          </w:tcPr>
          <w:p w14:paraId="74D11BAE" w14:textId="77777777" w:rsidR="008512D4" w:rsidRPr="003650BC" w:rsidRDefault="00630AE1" w:rsidP="003650BC">
            <w:pPr>
              <w:spacing w:line="360" w:lineRule="auto"/>
              <w:rPr>
                <w:sz w:val="24"/>
                <w:szCs w:val="24"/>
              </w:rPr>
            </w:pPr>
            <w:r w:rsidRPr="003650BC">
              <w:rPr>
                <w:sz w:val="24"/>
                <w:szCs w:val="24"/>
              </w:rPr>
              <w:t>0.70</w:t>
            </w:r>
          </w:p>
        </w:tc>
        <w:tc>
          <w:tcPr>
            <w:tcW w:w="2320" w:type="dxa"/>
          </w:tcPr>
          <w:p w14:paraId="151FE0C5" w14:textId="77777777" w:rsidR="008512D4" w:rsidRPr="003650BC" w:rsidRDefault="00630AE1" w:rsidP="003650BC">
            <w:pPr>
              <w:spacing w:line="360" w:lineRule="auto"/>
              <w:rPr>
                <w:sz w:val="24"/>
                <w:szCs w:val="24"/>
              </w:rPr>
            </w:pPr>
            <w:r w:rsidRPr="003650BC">
              <w:rPr>
                <w:sz w:val="24"/>
                <w:szCs w:val="24"/>
              </w:rPr>
              <w:t>0.65</w:t>
            </w:r>
          </w:p>
        </w:tc>
        <w:tc>
          <w:tcPr>
            <w:tcW w:w="2772" w:type="dxa"/>
          </w:tcPr>
          <w:p w14:paraId="02FE911B" w14:textId="77777777" w:rsidR="008512D4" w:rsidRPr="003650BC" w:rsidRDefault="00630AE1" w:rsidP="003650BC">
            <w:pPr>
              <w:spacing w:line="360" w:lineRule="auto"/>
              <w:rPr>
                <w:sz w:val="24"/>
                <w:szCs w:val="24"/>
              </w:rPr>
            </w:pPr>
            <w:r w:rsidRPr="003650BC">
              <w:rPr>
                <w:sz w:val="24"/>
                <w:szCs w:val="24"/>
              </w:rPr>
              <w:t>0.75</w:t>
            </w:r>
          </w:p>
        </w:tc>
      </w:tr>
      <w:tr w:rsidR="008512D4" w:rsidRPr="003650BC" w14:paraId="17AC8846" w14:textId="77777777" w:rsidTr="0049431C">
        <w:trPr>
          <w:trHeight w:val="235"/>
        </w:trPr>
        <w:tc>
          <w:tcPr>
            <w:tcW w:w="1975" w:type="dxa"/>
          </w:tcPr>
          <w:p w14:paraId="63C4FD1A" w14:textId="77777777" w:rsidR="008512D4" w:rsidRPr="003650BC" w:rsidRDefault="00630AE1" w:rsidP="003650BC">
            <w:pPr>
              <w:spacing w:line="360" w:lineRule="auto"/>
              <w:rPr>
                <w:sz w:val="24"/>
                <w:szCs w:val="24"/>
              </w:rPr>
            </w:pPr>
            <w:r w:rsidRPr="003650BC">
              <w:rPr>
                <w:sz w:val="24"/>
                <w:szCs w:val="24"/>
              </w:rPr>
              <w:t>China</w:t>
            </w:r>
          </w:p>
        </w:tc>
        <w:tc>
          <w:tcPr>
            <w:tcW w:w="1499" w:type="dxa"/>
          </w:tcPr>
          <w:p w14:paraId="172EB254" w14:textId="77777777" w:rsidR="008512D4" w:rsidRPr="003650BC" w:rsidRDefault="00630AE1" w:rsidP="003650BC">
            <w:pPr>
              <w:spacing w:line="360" w:lineRule="auto"/>
              <w:rPr>
                <w:sz w:val="24"/>
                <w:szCs w:val="24"/>
              </w:rPr>
            </w:pPr>
            <w:r w:rsidRPr="003650BC">
              <w:rPr>
                <w:sz w:val="24"/>
                <w:szCs w:val="24"/>
              </w:rPr>
              <w:t>0.75</w:t>
            </w:r>
          </w:p>
        </w:tc>
        <w:tc>
          <w:tcPr>
            <w:tcW w:w="2320" w:type="dxa"/>
          </w:tcPr>
          <w:p w14:paraId="757BF8DC" w14:textId="77777777" w:rsidR="008512D4" w:rsidRPr="003650BC" w:rsidRDefault="00630AE1" w:rsidP="003650BC">
            <w:pPr>
              <w:spacing w:line="360" w:lineRule="auto"/>
              <w:rPr>
                <w:sz w:val="24"/>
                <w:szCs w:val="24"/>
              </w:rPr>
            </w:pPr>
            <w:r w:rsidRPr="003650BC">
              <w:rPr>
                <w:sz w:val="24"/>
                <w:szCs w:val="24"/>
              </w:rPr>
              <w:t>0.60</w:t>
            </w:r>
          </w:p>
        </w:tc>
        <w:tc>
          <w:tcPr>
            <w:tcW w:w="2772" w:type="dxa"/>
          </w:tcPr>
          <w:p w14:paraId="3007008A" w14:textId="77777777" w:rsidR="008512D4" w:rsidRPr="003650BC" w:rsidRDefault="00630AE1" w:rsidP="003650BC">
            <w:pPr>
              <w:spacing w:line="360" w:lineRule="auto"/>
              <w:rPr>
                <w:sz w:val="24"/>
                <w:szCs w:val="24"/>
              </w:rPr>
            </w:pPr>
            <w:r w:rsidRPr="003650BC">
              <w:rPr>
                <w:sz w:val="24"/>
                <w:szCs w:val="24"/>
              </w:rPr>
              <w:t>0.70</w:t>
            </w:r>
          </w:p>
        </w:tc>
      </w:tr>
      <w:tr w:rsidR="008512D4" w:rsidRPr="003650BC" w14:paraId="41C7BE26" w14:textId="77777777" w:rsidTr="0049431C">
        <w:trPr>
          <w:trHeight w:val="235"/>
        </w:trPr>
        <w:tc>
          <w:tcPr>
            <w:tcW w:w="1975" w:type="dxa"/>
          </w:tcPr>
          <w:p w14:paraId="50F4AC9C" w14:textId="77777777" w:rsidR="008512D4" w:rsidRPr="003650BC" w:rsidRDefault="00630AE1" w:rsidP="003650BC">
            <w:pPr>
              <w:spacing w:line="360" w:lineRule="auto"/>
              <w:rPr>
                <w:sz w:val="24"/>
                <w:szCs w:val="24"/>
              </w:rPr>
            </w:pPr>
            <w:r w:rsidRPr="003650BC">
              <w:rPr>
                <w:sz w:val="24"/>
                <w:szCs w:val="24"/>
              </w:rPr>
              <w:t>South Africa</w:t>
            </w:r>
          </w:p>
        </w:tc>
        <w:tc>
          <w:tcPr>
            <w:tcW w:w="1499" w:type="dxa"/>
          </w:tcPr>
          <w:p w14:paraId="558ECBF0" w14:textId="77777777" w:rsidR="008512D4" w:rsidRPr="003650BC" w:rsidRDefault="00630AE1" w:rsidP="003650BC">
            <w:pPr>
              <w:spacing w:line="360" w:lineRule="auto"/>
              <w:rPr>
                <w:sz w:val="24"/>
                <w:szCs w:val="24"/>
              </w:rPr>
            </w:pPr>
            <w:r w:rsidRPr="003650BC">
              <w:rPr>
                <w:sz w:val="24"/>
                <w:szCs w:val="24"/>
              </w:rPr>
              <w:t>0.65</w:t>
            </w:r>
          </w:p>
        </w:tc>
        <w:tc>
          <w:tcPr>
            <w:tcW w:w="2320" w:type="dxa"/>
          </w:tcPr>
          <w:p w14:paraId="6232AC46" w14:textId="77777777" w:rsidR="008512D4" w:rsidRPr="003650BC" w:rsidRDefault="00630AE1" w:rsidP="003650BC">
            <w:pPr>
              <w:spacing w:line="360" w:lineRule="auto"/>
              <w:rPr>
                <w:sz w:val="24"/>
                <w:szCs w:val="24"/>
              </w:rPr>
            </w:pPr>
            <w:r w:rsidRPr="003650BC">
              <w:rPr>
                <w:sz w:val="24"/>
                <w:szCs w:val="24"/>
              </w:rPr>
              <w:t>0.60</w:t>
            </w:r>
          </w:p>
        </w:tc>
        <w:tc>
          <w:tcPr>
            <w:tcW w:w="2772" w:type="dxa"/>
          </w:tcPr>
          <w:p w14:paraId="4D07DD75" w14:textId="77777777" w:rsidR="008512D4" w:rsidRPr="003650BC" w:rsidRDefault="00630AE1" w:rsidP="003650BC">
            <w:pPr>
              <w:spacing w:line="360" w:lineRule="auto"/>
              <w:rPr>
                <w:sz w:val="24"/>
                <w:szCs w:val="24"/>
              </w:rPr>
            </w:pPr>
            <w:r w:rsidRPr="003650BC">
              <w:rPr>
                <w:sz w:val="24"/>
                <w:szCs w:val="24"/>
              </w:rPr>
              <w:t>0.70</w:t>
            </w:r>
          </w:p>
        </w:tc>
      </w:tr>
      <w:tr w:rsidR="008512D4" w:rsidRPr="003650BC" w14:paraId="2F1DCEFE" w14:textId="77777777" w:rsidTr="0049431C">
        <w:trPr>
          <w:trHeight w:val="235"/>
        </w:trPr>
        <w:tc>
          <w:tcPr>
            <w:tcW w:w="1975" w:type="dxa"/>
          </w:tcPr>
          <w:p w14:paraId="26D6A02F" w14:textId="77777777" w:rsidR="008512D4" w:rsidRPr="003650BC" w:rsidRDefault="00630AE1" w:rsidP="003650BC">
            <w:pPr>
              <w:spacing w:line="360" w:lineRule="auto"/>
              <w:rPr>
                <w:sz w:val="24"/>
                <w:szCs w:val="24"/>
              </w:rPr>
            </w:pPr>
            <w:r w:rsidRPr="003650BC">
              <w:rPr>
                <w:sz w:val="24"/>
                <w:szCs w:val="24"/>
              </w:rPr>
              <w:t>Nigeria</w:t>
            </w:r>
          </w:p>
        </w:tc>
        <w:tc>
          <w:tcPr>
            <w:tcW w:w="1499" w:type="dxa"/>
          </w:tcPr>
          <w:p w14:paraId="12CBDF87" w14:textId="77777777" w:rsidR="008512D4" w:rsidRPr="003650BC" w:rsidRDefault="00630AE1" w:rsidP="003650BC">
            <w:pPr>
              <w:spacing w:line="360" w:lineRule="auto"/>
              <w:rPr>
                <w:sz w:val="24"/>
                <w:szCs w:val="24"/>
              </w:rPr>
            </w:pPr>
            <w:r w:rsidRPr="003650BC">
              <w:rPr>
                <w:sz w:val="24"/>
                <w:szCs w:val="24"/>
              </w:rPr>
              <w:t>0.60</w:t>
            </w:r>
          </w:p>
        </w:tc>
        <w:tc>
          <w:tcPr>
            <w:tcW w:w="2320" w:type="dxa"/>
          </w:tcPr>
          <w:p w14:paraId="324AF737" w14:textId="77777777" w:rsidR="008512D4" w:rsidRPr="003650BC" w:rsidRDefault="00630AE1" w:rsidP="003650BC">
            <w:pPr>
              <w:spacing w:line="360" w:lineRule="auto"/>
              <w:rPr>
                <w:sz w:val="24"/>
                <w:szCs w:val="24"/>
              </w:rPr>
            </w:pPr>
            <w:r w:rsidRPr="003650BC">
              <w:rPr>
                <w:sz w:val="24"/>
                <w:szCs w:val="24"/>
              </w:rPr>
              <w:t>0.55</w:t>
            </w:r>
          </w:p>
        </w:tc>
        <w:tc>
          <w:tcPr>
            <w:tcW w:w="2772" w:type="dxa"/>
          </w:tcPr>
          <w:p w14:paraId="00FAC32A" w14:textId="77777777" w:rsidR="008512D4" w:rsidRPr="003650BC" w:rsidRDefault="00630AE1" w:rsidP="003650BC">
            <w:pPr>
              <w:spacing w:line="360" w:lineRule="auto"/>
              <w:rPr>
                <w:sz w:val="24"/>
                <w:szCs w:val="24"/>
              </w:rPr>
            </w:pPr>
            <w:r w:rsidRPr="003650BC">
              <w:rPr>
                <w:sz w:val="24"/>
                <w:szCs w:val="24"/>
              </w:rPr>
              <w:t>0.65</w:t>
            </w:r>
          </w:p>
        </w:tc>
      </w:tr>
      <w:tr w:rsidR="008512D4" w:rsidRPr="003650BC" w14:paraId="2D0605AA" w14:textId="77777777" w:rsidTr="0049431C">
        <w:trPr>
          <w:trHeight w:val="235"/>
        </w:trPr>
        <w:tc>
          <w:tcPr>
            <w:tcW w:w="1975" w:type="dxa"/>
          </w:tcPr>
          <w:p w14:paraId="259AAA9C" w14:textId="77777777" w:rsidR="008512D4" w:rsidRPr="003650BC" w:rsidRDefault="00630AE1" w:rsidP="003650BC">
            <w:pPr>
              <w:spacing w:line="360" w:lineRule="auto"/>
              <w:rPr>
                <w:sz w:val="24"/>
                <w:szCs w:val="24"/>
              </w:rPr>
            </w:pPr>
            <w:r w:rsidRPr="003650BC">
              <w:rPr>
                <w:sz w:val="24"/>
                <w:szCs w:val="24"/>
              </w:rPr>
              <w:t>Russia</w:t>
            </w:r>
          </w:p>
        </w:tc>
        <w:tc>
          <w:tcPr>
            <w:tcW w:w="1499" w:type="dxa"/>
          </w:tcPr>
          <w:p w14:paraId="398FFAD3" w14:textId="77777777" w:rsidR="008512D4" w:rsidRPr="003650BC" w:rsidRDefault="00630AE1" w:rsidP="003650BC">
            <w:pPr>
              <w:spacing w:line="360" w:lineRule="auto"/>
              <w:rPr>
                <w:sz w:val="24"/>
                <w:szCs w:val="24"/>
              </w:rPr>
            </w:pPr>
            <w:r w:rsidRPr="003650BC">
              <w:rPr>
                <w:sz w:val="24"/>
                <w:szCs w:val="24"/>
              </w:rPr>
              <w:t>0.65</w:t>
            </w:r>
          </w:p>
        </w:tc>
        <w:tc>
          <w:tcPr>
            <w:tcW w:w="2320" w:type="dxa"/>
          </w:tcPr>
          <w:p w14:paraId="6396522B" w14:textId="77777777" w:rsidR="008512D4" w:rsidRPr="003650BC" w:rsidRDefault="00630AE1" w:rsidP="003650BC">
            <w:pPr>
              <w:spacing w:line="360" w:lineRule="auto"/>
              <w:rPr>
                <w:sz w:val="24"/>
                <w:szCs w:val="24"/>
              </w:rPr>
            </w:pPr>
            <w:r w:rsidRPr="003650BC">
              <w:rPr>
                <w:sz w:val="24"/>
                <w:szCs w:val="24"/>
              </w:rPr>
              <w:t>0.50</w:t>
            </w:r>
          </w:p>
        </w:tc>
        <w:tc>
          <w:tcPr>
            <w:tcW w:w="2772" w:type="dxa"/>
          </w:tcPr>
          <w:p w14:paraId="18DB3828" w14:textId="77777777" w:rsidR="008512D4" w:rsidRPr="003650BC" w:rsidRDefault="00630AE1" w:rsidP="003650BC">
            <w:pPr>
              <w:spacing w:line="360" w:lineRule="auto"/>
              <w:rPr>
                <w:sz w:val="24"/>
                <w:szCs w:val="24"/>
              </w:rPr>
            </w:pPr>
            <w:r w:rsidRPr="003650BC">
              <w:rPr>
                <w:sz w:val="24"/>
                <w:szCs w:val="24"/>
              </w:rPr>
              <w:t>0.60</w:t>
            </w:r>
          </w:p>
        </w:tc>
      </w:tr>
    </w:tbl>
    <w:p w14:paraId="5B1407E6" w14:textId="77777777" w:rsidR="008512D4" w:rsidRPr="003650BC" w:rsidRDefault="00630AE1" w:rsidP="003650BC">
      <w:pPr>
        <w:spacing w:before="160" w:after="160" w:line="360" w:lineRule="auto"/>
        <w:rPr>
          <w:sz w:val="24"/>
          <w:szCs w:val="24"/>
        </w:rPr>
      </w:pPr>
      <w:r w:rsidRPr="003650BC">
        <w:rPr>
          <w:sz w:val="24"/>
          <w:szCs w:val="24"/>
        </w:rPr>
        <w:t xml:space="preserve">Visual representation further clarified these relationships. Figure 1 presents a radar chart comparing collaboration indices across countries, revealing the direct relationship between regulatory strength and cross-border engagement. Figure 2, using parallel coordinates, elucidates how countries with cohesive legal and cooperative frameworks experience better alignment across cybersecurity pillars and energy collaboration. In Figure 3, the bubble chart </w:t>
      </w:r>
      <w:r w:rsidR="00190F55">
        <w:rPr>
          <w:sz w:val="24"/>
          <w:szCs w:val="24"/>
        </w:rPr>
        <w:t xml:space="preserve">illustrates the spatial relationship between regulatory maturity and cooperation readiness, with the size of the bubbles </w:t>
      </w:r>
      <w:r w:rsidRPr="003650BC">
        <w:rPr>
          <w:sz w:val="24"/>
          <w:szCs w:val="24"/>
        </w:rPr>
        <w:t>indicating the extent of energy collaboration.</w:t>
      </w:r>
    </w:p>
    <w:p w14:paraId="2A7FE4CA" w14:textId="77777777" w:rsidR="008512D4" w:rsidRPr="003650BC" w:rsidRDefault="00630AE1" w:rsidP="003650BC">
      <w:pPr>
        <w:spacing w:before="160" w:after="160" w:line="360" w:lineRule="auto"/>
        <w:jc w:val="center"/>
        <w:rPr>
          <w:sz w:val="24"/>
          <w:szCs w:val="24"/>
        </w:rPr>
      </w:pPr>
      <w:r w:rsidRPr="003650BC">
        <w:rPr>
          <w:noProof/>
          <w:sz w:val="24"/>
          <w:szCs w:val="24"/>
          <w:lang w:val="en-US"/>
        </w:rPr>
        <w:lastRenderedPageBreak/>
        <w:drawing>
          <wp:inline distT="114300" distB="114300" distL="114300" distR="114300" wp14:anchorId="19EC18E9" wp14:editId="11845E37">
            <wp:extent cx="3674227" cy="367422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674227" cy="3674227"/>
                    </a:xfrm>
                    <a:prstGeom prst="rect">
                      <a:avLst/>
                    </a:prstGeom>
                    <a:ln/>
                  </pic:spPr>
                </pic:pic>
              </a:graphicData>
            </a:graphic>
          </wp:inline>
        </w:drawing>
      </w:r>
    </w:p>
    <w:p w14:paraId="0778D1E2"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1: </w:t>
      </w:r>
      <w:r w:rsidRPr="003650BC">
        <w:rPr>
          <w:sz w:val="24"/>
          <w:szCs w:val="24"/>
        </w:rPr>
        <w:t>Radar chart of energy collaboration across countries</w:t>
      </w:r>
    </w:p>
    <w:p w14:paraId="41187CEE"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1E1F26F8" wp14:editId="2C26BA68">
            <wp:extent cx="4781252" cy="2390626"/>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781252" cy="2390626"/>
                    </a:xfrm>
                    <a:prstGeom prst="rect">
                      <a:avLst/>
                    </a:prstGeom>
                    <a:ln/>
                  </pic:spPr>
                </pic:pic>
              </a:graphicData>
            </a:graphic>
          </wp:inline>
        </w:drawing>
      </w:r>
    </w:p>
    <w:p w14:paraId="637D8848"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2: </w:t>
      </w:r>
      <w:r w:rsidRPr="003650BC">
        <w:rPr>
          <w:sz w:val="24"/>
          <w:szCs w:val="24"/>
        </w:rPr>
        <w:t>Parallel coordinates for encryption regulation indicators</w:t>
      </w:r>
    </w:p>
    <w:p w14:paraId="61E2197B" w14:textId="77777777" w:rsidR="008512D4" w:rsidRPr="003650BC" w:rsidRDefault="00630AE1" w:rsidP="003650BC">
      <w:pPr>
        <w:spacing w:before="160" w:after="160" w:line="360" w:lineRule="auto"/>
        <w:jc w:val="center"/>
        <w:rPr>
          <w:sz w:val="24"/>
          <w:szCs w:val="24"/>
        </w:rPr>
      </w:pPr>
      <w:r w:rsidRPr="003650BC">
        <w:rPr>
          <w:noProof/>
          <w:sz w:val="24"/>
          <w:szCs w:val="24"/>
          <w:lang w:val="en-US"/>
        </w:rPr>
        <w:lastRenderedPageBreak/>
        <w:drawing>
          <wp:inline distT="114300" distB="114300" distL="114300" distR="114300" wp14:anchorId="64C9F81A" wp14:editId="333FF2DC">
            <wp:extent cx="5861417" cy="35168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861417" cy="3516850"/>
                    </a:xfrm>
                    <a:prstGeom prst="rect">
                      <a:avLst/>
                    </a:prstGeom>
                    <a:ln/>
                  </pic:spPr>
                </pic:pic>
              </a:graphicData>
            </a:graphic>
          </wp:inline>
        </w:drawing>
      </w:r>
    </w:p>
    <w:p w14:paraId="39F87008"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3: </w:t>
      </w:r>
      <w:r w:rsidRPr="003650BC">
        <w:rPr>
          <w:sz w:val="24"/>
          <w:szCs w:val="24"/>
        </w:rPr>
        <w:t>Bubble chart showing relationships between regulatory maturity, cooperation readiness, and energy collaboration</w:t>
      </w:r>
    </w:p>
    <w:p w14:paraId="0AEEAF69" w14:textId="77777777" w:rsidR="008512D4" w:rsidRPr="003650BC" w:rsidRDefault="00630AE1" w:rsidP="003650BC">
      <w:pPr>
        <w:spacing w:before="160" w:after="160" w:line="360" w:lineRule="auto"/>
        <w:rPr>
          <w:sz w:val="24"/>
          <w:szCs w:val="24"/>
        </w:rPr>
      </w:pPr>
      <w:r w:rsidRPr="003650BC">
        <w:rPr>
          <w:sz w:val="24"/>
          <w:szCs w:val="24"/>
        </w:rPr>
        <w:t xml:space="preserve">The analysis </w:t>
      </w:r>
      <w:r w:rsidR="00190F55">
        <w:rPr>
          <w:sz w:val="24"/>
          <w:szCs w:val="24"/>
        </w:rPr>
        <w:t>reveals a robust empirical connection between harmonized encryption governance and the success of</w:t>
      </w:r>
      <w:r w:rsidRPr="003650BC">
        <w:rPr>
          <w:sz w:val="24"/>
          <w:szCs w:val="24"/>
        </w:rPr>
        <w:t xml:space="preserve"> international energy partnerships. Countries with fragmented or sovereignty-focused frameworks, such as Russia and Nigeria, reported lower collaboration scores, reflecting barriers posed by regulatory dissonance. In contrast, mature systems in the EU and North America facilitate not only compliance but also strategic integration, emphasizing the need for standardization to support secure, cross-border infrastructure integration.</w:t>
      </w:r>
    </w:p>
    <w:p w14:paraId="01CC1415" w14:textId="77777777" w:rsidR="008512D4" w:rsidRPr="003650BC" w:rsidRDefault="00630AE1" w:rsidP="003650BC">
      <w:pPr>
        <w:spacing w:before="160" w:after="160" w:line="360" w:lineRule="auto"/>
        <w:rPr>
          <w:b/>
          <w:sz w:val="24"/>
          <w:szCs w:val="24"/>
        </w:rPr>
      </w:pPr>
      <w:r w:rsidRPr="003650BC">
        <w:rPr>
          <w:b/>
          <w:sz w:val="24"/>
          <w:szCs w:val="24"/>
        </w:rPr>
        <w:t xml:space="preserve">Practical Challenges in Encryption Compliance </w:t>
      </w:r>
      <w:r w:rsidR="00293C59">
        <w:rPr>
          <w:b/>
          <w:sz w:val="24"/>
          <w:szCs w:val="24"/>
        </w:rPr>
        <w:t>a</w:t>
      </w:r>
      <w:r w:rsidRPr="003650BC">
        <w:rPr>
          <w:b/>
          <w:sz w:val="24"/>
          <w:szCs w:val="24"/>
        </w:rPr>
        <w:t>cross Multinational Energy Firms</w:t>
      </w:r>
    </w:p>
    <w:p w14:paraId="0D2B214E" w14:textId="77777777" w:rsidR="008512D4" w:rsidRPr="003650BC" w:rsidRDefault="00630AE1" w:rsidP="003650BC">
      <w:pPr>
        <w:spacing w:before="160" w:after="160" w:line="360" w:lineRule="auto"/>
        <w:rPr>
          <w:sz w:val="24"/>
          <w:szCs w:val="24"/>
        </w:rPr>
      </w:pPr>
      <w:r w:rsidRPr="003650BC">
        <w:rPr>
          <w:sz w:val="24"/>
          <w:szCs w:val="24"/>
        </w:rPr>
        <w:t xml:space="preserve">The operational landscape for multinational energy and data </w:t>
      </w:r>
      <w:r w:rsidR="00190F55">
        <w:rPr>
          <w:sz w:val="24"/>
          <w:szCs w:val="24"/>
        </w:rPr>
        <w:t>companies is increasingly shaped by regulatory divergence related to encryption</w:t>
      </w:r>
      <w:r w:rsidRPr="003650BC">
        <w:rPr>
          <w:sz w:val="24"/>
          <w:szCs w:val="24"/>
        </w:rPr>
        <w:t xml:space="preserve">. As national frameworks </w:t>
      </w:r>
      <w:r w:rsidR="00190F55">
        <w:rPr>
          <w:sz w:val="24"/>
          <w:szCs w:val="24"/>
        </w:rPr>
        <w:t>proliferate and vary across jurisdictions, organizations face increasing challenges in aligning cybersecurity practices with legal mandates while maintaining</w:t>
      </w:r>
      <w:r w:rsidRPr="003650BC">
        <w:rPr>
          <w:sz w:val="24"/>
          <w:szCs w:val="24"/>
        </w:rPr>
        <w:t xml:space="preserve"> transparency and operational security. This report presents a simulation-based analysis of these </w:t>
      </w:r>
      <w:r w:rsidRPr="003650BC">
        <w:rPr>
          <w:sz w:val="24"/>
          <w:szCs w:val="24"/>
        </w:rPr>
        <w:lastRenderedPageBreak/>
        <w:t>compliance challenges and their predictors, drawing insights relevant to regulatory strategy and corporate governance.</w:t>
      </w:r>
    </w:p>
    <w:p w14:paraId="4AA95F3D" w14:textId="77777777" w:rsidR="008512D4" w:rsidRPr="003650BC" w:rsidRDefault="00630AE1" w:rsidP="003650BC">
      <w:pPr>
        <w:spacing w:before="160" w:after="160" w:line="360" w:lineRule="auto"/>
        <w:rPr>
          <w:sz w:val="24"/>
          <w:szCs w:val="24"/>
        </w:rPr>
      </w:pPr>
      <w:r w:rsidRPr="003650BC">
        <w:rPr>
          <w:sz w:val="24"/>
          <w:szCs w:val="24"/>
        </w:rPr>
        <w:t>The analysis reveals that regulatory fragmentation and jurisdictional overlap are positively associated with higher levels of perceived compliance burden among firms. Table 2 displays the estimated effects of each factor on the likelihood of a firm reporting low, moderate, or high compliance burdens. Larger firms, by contrast, report a mixed experience: while medium-sized entities exhibit greater flexibility, they also report higher sensitivity to regulatory complexity.</w:t>
      </w:r>
    </w:p>
    <w:p w14:paraId="5EB796F1" w14:textId="77777777" w:rsidR="008512D4" w:rsidRPr="003650BC" w:rsidRDefault="00630AE1" w:rsidP="003650BC">
      <w:pPr>
        <w:spacing w:before="160" w:after="160" w:line="360" w:lineRule="auto"/>
        <w:rPr>
          <w:sz w:val="24"/>
          <w:szCs w:val="24"/>
        </w:rPr>
      </w:pPr>
      <w:r w:rsidRPr="003650BC">
        <w:rPr>
          <w:b/>
          <w:sz w:val="24"/>
          <w:szCs w:val="24"/>
        </w:rPr>
        <w:t xml:space="preserve">Table 2: </w:t>
      </w:r>
      <w:r w:rsidRPr="003650BC">
        <w:rPr>
          <w:sz w:val="24"/>
          <w:szCs w:val="24"/>
        </w:rPr>
        <w:t>Simulated Coefficients of Multinomial Logistic Regression for Compliance Burden</w:t>
      </w:r>
    </w:p>
    <w:tbl>
      <w:tblPr>
        <w:tblStyle w:val="TableGrid"/>
        <w:tblW w:w="8691" w:type="dxa"/>
        <w:tblLayout w:type="fixed"/>
        <w:tblLook w:val="0600" w:firstRow="0" w:lastRow="0" w:firstColumn="0" w:lastColumn="0" w:noHBand="1" w:noVBand="1"/>
      </w:tblPr>
      <w:tblGrid>
        <w:gridCol w:w="4087"/>
        <w:gridCol w:w="1348"/>
        <w:gridCol w:w="1348"/>
        <w:gridCol w:w="1908"/>
      </w:tblGrid>
      <w:tr w:rsidR="008512D4" w:rsidRPr="003650BC" w14:paraId="0F7BDC78" w14:textId="77777777" w:rsidTr="000B1BF5">
        <w:trPr>
          <w:trHeight w:val="249"/>
        </w:trPr>
        <w:tc>
          <w:tcPr>
            <w:tcW w:w="4087" w:type="dxa"/>
          </w:tcPr>
          <w:p w14:paraId="44268CC4" w14:textId="77777777" w:rsidR="008512D4" w:rsidRPr="003650BC" w:rsidRDefault="00630AE1" w:rsidP="003650BC">
            <w:pPr>
              <w:spacing w:before="160" w:after="160" w:line="360" w:lineRule="auto"/>
              <w:jc w:val="center"/>
              <w:rPr>
                <w:sz w:val="24"/>
                <w:szCs w:val="24"/>
              </w:rPr>
            </w:pPr>
            <w:r w:rsidRPr="003650BC">
              <w:rPr>
                <w:b/>
                <w:sz w:val="24"/>
                <w:szCs w:val="24"/>
              </w:rPr>
              <w:t>Variable</w:t>
            </w:r>
          </w:p>
        </w:tc>
        <w:tc>
          <w:tcPr>
            <w:tcW w:w="1348" w:type="dxa"/>
          </w:tcPr>
          <w:p w14:paraId="15F326A7" w14:textId="77777777" w:rsidR="008512D4" w:rsidRPr="003650BC" w:rsidRDefault="00630AE1" w:rsidP="003650BC">
            <w:pPr>
              <w:spacing w:before="160" w:after="160" w:line="360" w:lineRule="auto"/>
              <w:jc w:val="center"/>
              <w:rPr>
                <w:sz w:val="24"/>
                <w:szCs w:val="24"/>
              </w:rPr>
            </w:pPr>
            <w:r w:rsidRPr="003650BC">
              <w:rPr>
                <w:b/>
                <w:sz w:val="24"/>
                <w:szCs w:val="24"/>
              </w:rPr>
              <w:t>High</w:t>
            </w:r>
          </w:p>
        </w:tc>
        <w:tc>
          <w:tcPr>
            <w:tcW w:w="1348" w:type="dxa"/>
          </w:tcPr>
          <w:p w14:paraId="2C1E9A47" w14:textId="77777777" w:rsidR="008512D4" w:rsidRPr="003650BC" w:rsidRDefault="00630AE1" w:rsidP="003650BC">
            <w:pPr>
              <w:spacing w:before="160" w:after="160" w:line="360" w:lineRule="auto"/>
              <w:jc w:val="center"/>
              <w:rPr>
                <w:sz w:val="24"/>
                <w:szCs w:val="24"/>
              </w:rPr>
            </w:pPr>
            <w:r w:rsidRPr="003650BC">
              <w:rPr>
                <w:b/>
                <w:sz w:val="24"/>
                <w:szCs w:val="24"/>
              </w:rPr>
              <w:t>Low</w:t>
            </w:r>
          </w:p>
        </w:tc>
        <w:tc>
          <w:tcPr>
            <w:tcW w:w="1908" w:type="dxa"/>
          </w:tcPr>
          <w:p w14:paraId="2D1165D1" w14:textId="77777777" w:rsidR="008512D4" w:rsidRPr="003650BC" w:rsidRDefault="00630AE1" w:rsidP="003650BC">
            <w:pPr>
              <w:spacing w:before="160" w:after="160" w:line="360" w:lineRule="auto"/>
              <w:jc w:val="center"/>
              <w:rPr>
                <w:sz w:val="24"/>
                <w:szCs w:val="24"/>
              </w:rPr>
            </w:pPr>
            <w:r w:rsidRPr="003650BC">
              <w:rPr>
                <w:b/>
                <w:sz w:val="24"/>
                <w:szCs w:val="24"/>
              </w:rPr>
              <w:t>Moderate</w:t>
            </w:r>
          </w:p>
        </w:tc>
      </w:tr>
      <w:tr w:rsidR="008512D4" w:rsidRPr="003650BC" w14:paraId="58C63AD5" w14:textId="77777777" w:rsidTr="000B1BF5">
        <w:trPr>
          <w:trHeight w:val="249"/>
        </w:trPr>
        <w:tc>
          <w:tcPr>
            <w:tcW w:w="4087" w:type="dxa"/>
          </w:tcPr>
          <w:p w14:paraId="1DC59D65" w14:textId="77777777" w:rsidR="008512D4" w:rsidRPr="003650BC" w:rsidRDefault="00630AE1" w:rsidP="003650BC">
            <w:pPr>
              <w:spacing w:before="160" w:after="160" w:line="360" w:lineRule="auto"/>
              <w:rPr>
                <w:sz w:val="24"/>
                <w:szCs w:val="24"/>
              </w:rPr>
            </w:pPr>
            <w:r w:rsidRPr="003650BC">
              <w:rPr>
                <w:sz w:val="24"/>
                <w:szCs w:val="24"/>
              </w:rPr>
              <w:t>Regulatory Fragmentation</w:t>
            </w:r>
          </w:p>
        </w:tc>
        <w:tc>
          <w:tcPr>
            <w:tcW w:w="1348" w:type="dxa"/>
          </w:tcPr>
          <w:p w14:paraId="4133EF34" w14:textId="77777777" w:rsidR="008512D4" w:rsidRPr="003650BC" w:rsidRDefault="00630AE1" w:rsidP="003650BC">
            <w:pPr>
              <w:spacing w:before="160" w:after="160" w:line="360" w:lineRule="auto"/>
              <w:rPr>
                <w:sz w:val="24"/>
                <w:szCs w:val="24"/>
              </w:rPr>
            </w:pPr>
            <w:r w:rsidRPr="003650BC">
              <w:rPr>
                <w:sz w:val="24"/>
                <w:szCs w:val="24"/>
              </w:rPr>
              <w:t>-0.095</w:t>
            </w:r>
          </w:p>
        </w:tc>
        <w:tc>
          <w:tcPr>
            <w:tcW w:w="1348" w:type="dxa"/>
          </w:tcPr>
          <w:p w14:paraId="006C6A9F" w14:textId="77777777" w:rsidR="008512D4" w:rsidRPr="003650BC" w:rsidRDefault="00630AE1" w:rsidP="003650BC">
            <w:pPr>
              <w:spacing w:before="160" w:after="160" w:line="360" w:lineRule="auto"/>
              <w:rPr>
                <w:sz w:val="24"/>
                <w:szCs w:val="24"/>
              </w:rPr>
            </w:pPr>
            <w:r w:rsidRPr="003650BC">
              <w:rPr>
                <w:sz w:val="24"/>
                <w:szCs w:val="24"/>
              </w:rPr>
              <w:t>0.029</w:t>
            </w:r>
          </w:p>
        </w:tc>
        <w:tc>
          <w:tcPr>
            <w:tcW w:w="1908" w:type="dxa"/>
          </w:tcPr>
          <w:p w14:paraId="5A43093C" w14:textId="77777777" w:rsidR="008512D4" w:rsidRPr="003650BC" w:rsidRDefault="00630AE1" w:rsidP="003650BC">
            <w:pPr>
              <w:spacing w:before="160" w:after="160" w:line="360" w:lineRule="auto"/>
              <w:rPr>
                <w:sz w:val="24"/>
                <w:szCs w:val="24"/>
              </w:rPr>
            </w:pPr>
            <w:r w:rsidRPr="003650BC">
              <w:rPr>
                <w:sz w:val="24"/>
                <w:szCs w:val="24"/>
              </w:rPr>
              <w:t>0.066</w:t>
            </w:r>
          </w:p>
        </w:tc>
      </w:tr>
      <w:tr w:rsidR="008512D4" w:rsidRPr="003650BC" w14:paraId="52B236A8" w14:textId="77777777" w:rsidTr="000B1BF5">
        <w:trPr>
          <w:trHeight w:val="249"/>
        </w:trPr>
        <w:tc>
          <w:tcPr>
            <w:tcW w:w="4087" w:type="dxa"/>
          </w:tcPr>
          <w:p w14:paraId="47CBE23B" w14:textId="77777777" w:rsidR="008512D4" w:rsidRPr="003650BC" w:rsidRDefault="00630AE1" w:rsidP="003650BC">
            <w:pPr>
              <w:spacing w:before="160" w:after="160" w:line="360" w:lineRule="auto"/>
              <w:rPr>
                <w:sz w:val="24"/>
                <w:szCs w:val="24"/>
              </w:rPr>
            </w:pPr>
            <w:r w:rsidRPr="003650BC">
              <w:rPr>
                <w:sz w:val="24"/>
                <w:szCs w:val="24"/>
              </w:rPr>
              <w:t>Jurisdictional Overlap</w:t>
            </w:r>
          </w:p>
        </w:tc>
        <w:tc>
          <w:tcPr>
            <w:tcW w:w="1348" w:type="dxa"/>
          </w:tcPr>
          <w:p w14:paraId="73B2DE00" w14:textId="77777777" w:rsidR="008512D4" w:rsidRPr="003650BC" w:rsidRDefault="00630AE1" w:rsidP="003650BC">
            <w:pPr>
              <w:spacing w:before="160" w:after="160" w:line="360" w:lineRule="auto"/>
              <w:rPr>
                <w:sz w:val="24"/>
                <w:szCs w:val="24"/>
              </w:rPr>
            </w:pPr>
            <w:r w:rsidRPr="003650BC">
              <w:rPr>
                <w:sz w:val="24"/>
                <w:szCs w:val="24"/>
              </w:rPr>
              <w:t>0.113</w:t>
            </w:r>
          </w:p>
        </w:tc>
        <w:tc>
          <w:tcPr>
            <w:tcW w:w="1348" w:type="dxa"/>
          </w:tcPr>
          <w:p w14:paraId="2FFBADC5" w14:textId="77777777" w:rsidR="008512D4" w:rsidRPr="003650BC" w:rsidRDefault="00630AE1" w:rsidP="003650BC">
            <w:pPr>
              <w:spacing w:before="160" w:after="160" w:line="360" w:lineRule="auto"/>
              <w:rPr>
                <w:sz w:val="24"/>
                <w:szCs w:val="24"/>
              </w:rPr>
            </w:pPr>
            <w:r w:rsidRPr="003650BC">
              <w:rPr>
                <w:sz w:val="24"/>
                <w:szCs w:val="24"/>
              </w:rPr>
              <w:t>0.021</w:t>
            </w:r>
          </w:p>
        </w:tc>
        <w:tc>
          <w:tcPr>
            <w:tcW w:w="1908" w:type="dxa"/>
          </w:tcPr>
          <w:p w14:paraId="65463D80" w14:textId="77777777" w:rsidR="008512D4" w:rsidRPr="003650BC" w:rsidRDefault="00630AE1" w:rsidP="003650BC">
            <w:pPr>
              <w:spacing w:before="160" w:after="160" w:line="360" w:lineRule="auto"/>
              <w:rPr>
                <w:sz w:val="24"/>
                <w:szCs w:val="24"/>
              </w:rPr>
            </w:pPr>
            <w:r w:rsidRPr="003650BC">
              <w:rPr>
                <w:sz w:val="24"/>
                <w:szCs w:val="24"/>
              </w:rPr>
              <w:t>-0.134</w:t>
            </w:r>
          </w:p>
        </w:tc>
      </w:tr>
      <w:tr w:rsidR="008512D4" w:rsidRPr="003650BC" w14:paraId="7D0E14E7" w14:textId="77777777" w:rsidTr="000B1BF5">
        <w:trPr>
          <w:trHeight w:val="249"/>
        </w:trPr>
        <w:tc>
          <w:tcPr>
            <w:tcW w:w="4087" w:type="dxa"/>
          </w:tcPr>
          <w:p w14:paraId="19E7BF19" w14:textId="77777777" w:rsidR="008512D4" w:rsidRPr="003650BC" w:rsidRDefault="00630AE1" w:rsidP="003650BC">
            <w:pPr>
              <w:spacing w:before="160" w:after="160" w:line="360" w:lineRule="auto"/>
              <w:rPr>
                <w:sz w:val="24"/>
                <w:szCs w:val="24"/>
              </w:rPr>
            </w:pPr>
            <w:r w:rsidRPr="003650BC">
              <w:rPr>
                <w:sz w:val="24"/>
                <w:szCs w:val="24"/>
              </w:rPr>
              <w:t>International Exposure</w:t>
            </w:r>
          </w:p>
        </w:tc>
        <w:tc>
          <w:tcPr>
            <w:tcW w:w="1348" w:type="dxa"/>
          </w:tcPr>
          <w:p w14:paraId="6A9AE36B" w14:textId="77777777" w:rsidR="008512D4" w:rsidRPr="003650BC" w:rsidRDefault="00630AE1" w:rsidP="003650BC">
            <w:pPr>
              <w:spacing w:before="160" w:after="160" w:line="360" w:lineRule="auto"/>
              <w:rPr>
                <w:sz w:val="24"/>
                <w:szCs w:val="24"/>
              </w:rPr>
            </w:pPr>
            <w:r w:rsidRPr="003650BC">
              <w:rPr>
                <w:sz w:val="24"/>
                <w:szCs w:val="24"/>
              </w:rPr>
              <w:t>-0.030</w:t>
            </w:r>
          </w:p>
        </w:tc>
        <w:tc>
          <w:tcPr>
            <w:tcW w:w="1348" w:type="dxa"/>
          </w:tcPr>
          <w:p w14:paraId="531368B2" w14:textId="77777777" w:rsidR="008512D4" w:rsidRPr="003650BC" w:rsidRDefault="00630AE1" w:rsidP="003650BC">
            <w:pPr>
              <w:spacing w:before="160" w:after="160" w:line="360" w:lineRule="auto"/>
              <w:rPr>
                <w:sz w:val="24"/>
                <w:szCs w:val="24"/>
              </w:rPr>
            </w:pPr>
            <w:r w:rsidRPr="003650BC">
              <w:rPr>
                <w:sz w:val="24"/>
                <w:szCs w:val="24"/>
              </w:rPr>
              <w:t>0.076</w:t>
            </w:r>
          </w:p>
        </w:tc>
        <w:tc>
          <w:tcPr>
            <w:tcW w:w="1908" w:type="dxa"/>
          </w:tcPr>
          <w:p w14:paraId="2AA452ED" w14:textId="77777777" w:rsidR="008512D4" w:rsidRPr="003650BC" w:rsidRDefault="00630AE1" w:rsidP="003650BC">
            <w:pPr>
              <w:spacing w:before="160" w:after="160" w:line="360" w:lineRule="auto"/>
              <w:rPr>
                <w:sz w:val="24"/>
                <w:szCs w:val="24"/>
              </w:rPr>
            </w:pPr>
            <w:r w:rsidRPr="003650BC">
              <w:rPr>
                <w:sz w:val="24"/>
                <w:szCs w:val="24"/>
              </w:rPr>
              <w:t>-0.046</w:t>
            </w:r>
          </w:p>
        </w:tc>
      </w:tr>
      <w:tr w:rsidR="008512D4" w:rsidRPr="003650BC" w14:paraId="4874CBF5" w14:textId="77777777" w:rsidTr="000B1BF5">
        <w:trPr>
          <w:trHeight w:val="249"/>
        </w:trPr>
        <w:tc>
          <w:tcPr>
            <w:tcW w:w="4087" w:type="dxa"/>
          </w:tcPr>
          <w:p w14:paraId="2044D4B6" w14:textId="77777777" w:rsidR="008512D4" w:rsidRPr="003650BC" w:rsidRDefault="00630AE1" w:rsidP="003650BC">
            <w:pPr>
              <w:spacing w:before="160" w:after="160" w:line="360" w:lineRule="auto"/>
              <w:rPr>
                <w:sz w:val="24"/>
                <w:szCs w:val="24"/>
              </w:rPr>
            </w:pPr>
            <w:r w:rsidRPr="003650BC">
              <w:rPr>
                <w:sz w:val="24"/>
                <w:szCs w:val="24"/>
              </w:rPr>
              <w:t>Firm Size (Medium)</w:t>
            </w:r>
          </w:p>
        </w:tc>
        <w:tc>
          <w:tcPr>
            <w:tcW w:w="1348" w:type="dxa"/>
          </w:tcPr>
          <w:p w14:paraId="0BA10816" w14:textId="77777777" w:rsidR="008512D4" w:rsidRPr="003650BC" w:rsidRDefault="00630AE1" w:rsidP="003650BC">
            <w:pPr>
              <w:spacing w:before="160" w:after="160" w:line="360" w:lineRule="auto"/>
              <w:rPr>
                <w:sz w:val="24"/>
                <w:szCs w:val="24"/>
              </w:rPr>
            </w:pPr>
            <w:r w:rsidRPr="003650BC">
              <w:rPr>
                <w:sz w:val="24"/>
                <w:szCs w:val="24"/>
              </w:rPr>
              <w:t>0.211</w:t>
            </w:r>
          </w:p>
        </w:tc>
        <w:tc>
          <w:tcPr>
            <w:tcW w:w="1348" w:type="dxa"/>
          </w:tcPr>
          <w:p w14:paraId="3BBFEFC9" w14:textId="77777777" w:rsidR="008512D4" w:rsidRPr="003650BC" w:rsidRDefault="00630AE1" w:rsidP="003650BC">
            <w:pPr>
              <w:spacing w:before="160" w:after="160" w:line="360" w:lineRule="auto"/>
              <w:rPr>
                <w:sz w:val="24"/>
                <w:szCs w:val="24"/>
              </w:rPr>
            </w:pPr>
            <w:r w:rsidRPr="003650BC">
              <w:rPr>
                <w:sz w:val="24"/>
                <w:szCs w:val="24"/>
              </w:rPr>
              <w:t>-0.544</w:t>
            </w:r>
          </w:p>
        </w:tc>
        <w:tc>
          <w:tcPr>
            <w:tcW w:w="1908" w:type="dxa"/>
          </w:tcPr>
          <w:p w14:paraId="4D5EC9E9" w14:textId="77777777" w:rsidR="008512D4" w:rsidRPr="003650BC" w:rsidRDefault="00630AE1" w:rsidP="003650BC">
            <w:pPr>
              <w:spacing w:before="160" w:after="160" w:line="360" w:lineRule="auto"/>
              <w:rPr>
                <w:sz w:val="24"/>
                <w:szCs w:val="24"/>
              </w:rPr>
            </w:pPr>
            <w:r w:rsidRPr="003650BC">
              <w:rPr>
                <w:sz w:val="24"/>
                <w:szCs w:val="24"/>
              </w:rPr>
              <w:t>0.333</w:t>
            </w:r>
          </w:p>
        </w:tc>
      </w:tr>
    </w:tbl>
    <w:p w14:paraId="43C14773" w14:textId="77777777" w:rsidR="008512D4" w:rsidRPr="003650BC" w:rsidRDefault="00630AE1" w:rsidP="003650BC">
      <w:pPr>
        <w:spacing w:before="160" w:after="160" w:line="360" w:lineRule="auto"/>
        <w:rPr>
          <w:sz w:val="24"/>
          <w:szCs w:val="24"/>
        </w:rPr>
      </w:pPr>
      <w:r w:rsidRPr="003650BC">
        <w:rPr>
          <w:sz w:val="24"/>
          <w:szCs w:val="24"/>
        </w:rPr>
        <w:t xml:space="preserve">Visual insights strengthen these findings. Figure 4 presents a radar chart delineating the magnitude of each predictor’s impact across compliance levels. Figure 5 offers a heatmap visualization, where </w:t>
      </w:r>
      <w:proofErr w:type="spellStart"/>
      <w:r w:rsidRPr="003650BC">
        <w:rPr>
          <w:sz w:val="24"/>
          <w:szCs w:val="24"/>
        </w:rPr>
        <w:t>color</w:t>
      </w:r>
      <w:proofErr w:type="spellEnd"/>
      <w:r w:rsidRPr="003650BC">
        <w:rPr>
          <w:sz w:val="24"/>
          <w:szCs w:val="24"/>
        </w:rPr>
        <w:t xml:space="preserve"> intensity corresponds to the strength and direction of each coefficient. The radar plot highlights the symmetrical influence of jurisdictional overlap and firm size across compliance categories. Meanwhile, the heatmap reveals a stark contrast between </w:t>
      </w:r>
      <w:r w:rsidR="00190F55">
        <w:rPr>
          <w:sz w:val="24"/>
          <w:szCs w:val="24"/>
        </w:rPr>
        <w:t>the sensitivity of medium-sized firms to regulatory fragmentation and that of</w:t>
      </w:r>
      <w:r w:rsidRPr="003650BC">
        <w:rPr>
          <w:sz w:val="24"/>
          <w:szCs w:val="24"/>
        </w:rPr>
        <w:t xml:space="preserve"> smaller or larger entities.</w:t>
      </w:r>
    </w:p>
    <w:p w14:paraId="68DEF19F" w14:textId="77777777" w:rsidR="008512D4" w:rsidRPr="003650BC" w:rsidRDefault="00630AE1" w:rsidP="003650BC">
      <w:pPr>
        <w:spacing w:before="160" w:after="160" w:line="360" w:lineRule="auto"/>
        <w:jc w:val="center"/>
        <w:rPr>
          <w:b/>
          <w:sz w:val="24"/>
          <w:szCs w:val="24"/>
        </w:rPr>
      </w:pPr>
      <w:r w:rsidRPr="003650BC">
        <w:rPr>
          <w:b/>
          <w:noProof/>
          <w:sz w:val="24"/>
          <w:szCs w:val="24"/>
          <w:lang w:val="en-US"/>
        </w:rPr>
        <w:lastRenderedPageBreak/>
        <w:drawing>
          <wp:inline distT="114300" distB="114300" distL="114300" distR="114300" wp14:anchorId="3754AD9A" wp14:editId="4694B1F4">
            <wp:extent cx="4325235" cy="432523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325235" cy="4325235"/>
                    </a:xfrm>
                    <a:prstGeom prst="rect">
                      <a:avLst/>
                    </a:prstGeom>
                    <a:ln/>
                  </pic:spPr>
                </pic:pic>
              </a:graphicData>
            </a:graphic>
          </wp:inline>
        </w:drawing>
      </w:r>
    </w:p>
    <w:p w14:paraId="4BE861B7"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4: </w:t>
      </w:r>
      <w:r w:rsidRPr="003650BC">
        <w:rPr>
          <w:sz w:val="24"/>
          <w:szCs w:val="24"/>
        </w:rPr>
        <w:t>Radar chart of coefficient effects by compliance level</w:t>
      </w:r>
    </w:p>
    <w:p w14:paraId="2CF9741C"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517BC2A5" wp14:editId="13E70817">
            <wp:extent cx="5323391" cy="3194034"/>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323391" cy="3194034"/>
                    </a:xfrm>
                    <a:prstGeom prst="rect">
                      <a:avLst/>
                    </a:prstGeom>
                    <a:ln/>
                  </pic:spPr>
                </pic:pic>
              </a:graphicData>
            </a:graphic>
          </wp:inline>
        </w:drawing>
      </w:r>
    </w:p>
    <w:p w14:paraId="78E82CB6" w14:textId="77777777" w:rsidR="008512D4" w:rsidRPr="003650BC" w:rsidRDefault="00630AE1" w:rsidP="003650BC">
      <w:pPr>
        <w:spacing w:before="160" w:after="160" w:line="360" w:lineRule="auto"/>
        <w:jc w:val="center"/>
        <w:rPr>
          <w:sz w:val="24"/>
          <w:szCs w:val="24"/>
        </w:rPr>
      </w:pPr>
      <w:r w:rsidRPr="003650BC">
        <w:rPr>
          <w:b/>
          <w:sz w:val="24"/>
          <w:szCs w:val="24"/>
        </w:rPr>
        <w:lastRenderedPageBreak/>
        <w:t xml:space="preserve">Figure 5: </w:t>
      </w:r>
      <w:r w:rsidRPr="003650BC">
        <w:rPr>
          <w:sz w:val="24"/>
          <w:szCs w:val="24"/>
        </w:rPr>
        <w:t>Heatmap of multinomial regression coefficients across compliance categories</w:t>
      </w:r>
    </w:p>
    <w:p w14:paraId="7E083A73" w14:textId="77777777" w:rsidR="008512D4" w:rsidRPr="003650BC" w:rsidRDefault="00630AE1" w:rsidP="003650BC">
      <w:pPr>
        <w:spacing w:before="160" w:after="160" w:line="360" w:lineRule="auto"/>
        <w:rPr>
          <w:sz w:val="24"/>
          <w:szCs w:val="24"/>
        </w:rPr>
      </w:pPr>
      <w:r w:rsidRPr="003650BC">
        <w:rPr>
          <w:sz w:val="24"/>
          <w:szCs w:val="24"/>
        </w:rPr>
        <w:t xml:space="preserve">Collectively, the findings underscore that divergent regulatory environments not only increase operational complexity but also disproportionately affect firms based on their international exposure and structural scale. This outcome </w:t>
      </w:r>
      <w:r w:rsidR="00190F55">
        <w:rPr>
          <w:sz w:val="24"/>
          <w:szCs w:val="24"/>
        </w:rPr>
        <w:t>highlights the need for scalable, context-sensitive compliance architectures that consider both legal diversity and operational scope within</w:t>
      </w:r>
      <w:r w:rsidRPr="003650BC">
        <w:rPr>
          <w:sz w:val="24"/>
          <w:szCs w:val="24"/>
        </w:rPr>
        <w:t xml:space="preserve"> the energy sector.</w:t>
      </w:r>
    </w:p>
    <w:p w14:paraId="1CB74331" w14:textId="77777777" w:rsidR="008512D4" w:rsidRPr="003650BC" w:rsidRDefault="00630AE1" w:rsidP="003650BC">
      <w:pPr>
        <w:spacing w:before="160" w:after="160" w:line="360" w:lineRule="auto"/>
        <w:rPr>
          <w:b/>
          <w:sz w:val="24"/>
          <w:szCs w:val="24"/>
        </w:rPr>
      </w:pPr>
      <w:r w:rsidRPr="003650BC">
        <w:rPr>
          <w:b/>
          <w:sz w:val="24"/>
          <w:szCs w:val="24"/>
        </w:rPr>
        <w:t>Encryption, National Security, and Trust Deficits in International Cooperation</w:t>
      </w:r>
    </w:p>
    <w:p w14:paraId="3D997A8E" w14:textId="77777777" w:rsidR="008512D4" w:rsidRPr="003650BC" w:rsidRDefault="00630AE1" w:rsidP="003650BC">
      <w:pPr>
        <w:spacing w:before="160" w:after="160" w:line="360" w:lineRule="auto"/>
        <w:rPr>
          <w:sz w:val="24"/>
          <w:szCs w:val="24"/>
        </w:rPr>
      </w:pPr>
      <w:r w:rsidRPr="003650BC">
        <w:rPr>
          <w:sz w:val="24"/>
          <w:szCs w:val="24"/>
        </w:rPr>
        <w:t xml:space="preserve">As nations expand their cybersecurity postures in response to escalating geopolitical tensions and cyber threats, surveillance capabilities and restrictive data governance policies have become central to national security strategies. However, these measures can </w:t>
      </w:r>
      <w:r w:rsidR="00190F55">
        <w:rPr>
          <w:sz w:val="24"/>
          <w:szCs w:val="24"/>
        </w:rPr>
        <w:t>erode international trust and strain diplomatic cooperation, especially in sectors that rely</w:t>
      </w:r>
      <w:r w:rsidRPr="003650BC">
        <w:rPr>
          <w:sz w:val="24"/>
          <w:szCs w:val="24"/>
        </w:rPr>
        <w:t xml:space="preserve"> on seamless cross-border data flow. This report </w:t>
      </w:r>
      <w:r w:rsidR="00190F55">
        <w:rPr>
          <w:sz w:val="24"/>
          <w:szCs w:val="24"/>
        </w:rPr>
        <w:t>examines how national surveillance and policy stances influence encryption-related regulations and their</w:t>
      </w:r>
      <w:r w:rsidRPr="003650BC">
        <w:rPr>
          <w:sz w:val="24"/>
          <w:szCs w:val="24"/>
        </w:rPr>
        <w:t xml:space="preserve"> implications for stakeholder trust and diplomatic engagement.</w:t>
      </w:r>
    </w:p>
    <w:p w14:paraId="43FF6590" w14:textId="77777777" w:rsidR="008512D4" w:rsidRPr="003650BC" w:rsidRDefault="00630AE1" w:rsidP="003650BC">
      <w:pPr>
        <w:spacing w:before="160" w:after="160" w:line="360" w:lineRule="auto"/>
        <w:rPr>
          <w:sz w:val="24"/>
          <w:szCs w:val="24"/>
        </w:rPr>
      </w:pPr>
      <w:r w:rsidRPr="003650BC">
        <w:rPr>
          <w:sz w:val="24"/>
          <w:szCs w:val="24"/>
        </w:rPr>
        <w:t xml:space="preserve">The regression analysis indicates that higher surveillance capabilities and more restrictive encryption policies are strongly associated with elevated trust deficit scores. Table 3 presents the estimated coefficients and statistical significance of each factor. Surveillance capability and policy restrictiveness each exert substantial positive effects on trust deficits, implying that nations with aggressive cyber </w:t>
      </w:r>
      <w:proofErr w:type="spellStart"/>
      <w:r w:rsidRPr="003650BC">
        <w:rPr>
          <w:sz w:val="24"/>
          <w:szCs w:val="24"/>
        </w:rPr>
        <w:t>defense</w:t>
      </w:r>
      <w:proofErr w:type="spellEnd"/>
      <w:r w:rsidRPr="003650BC">
        <w:rPr>
          <w:sz w:val="24"/>
          <w:szCs w:val="24"/>
        </w:rPr>
        <w:t xml:space="preserve"> or surveillance postures are perceived as less trustworthy within international digital alliances.</w:t>
      </w:r>
    </w:p>
    <w:p w14:paraId="37E82632" w14:textId="77777777" w:rsidR="008512D4" w:rsidRPr="003650BC" w:rsidRDefault="00630AE1" w:rsidP="003650BC">
      <w:pPr>
        <w:spacing w:before="160" w:after="160" w:line="360" w:lineRule="auto"/>
        <w:rPr>
          <w:sz w:val="24"/>
          <w:szCs w:val="24"/>
        </w:rPr>
      </w:pPr>
      <w:r w:rsidRPr="003650BC">
        <w:rPr>
          <w:b/>
          <w:sz w:val="24"/>
          <w:szCs w:val="24"/>
        </w:rPr>
        <w:t>Table 3</w:t>
      </w:r>
      <w:r w:rsidRPr="003650BC">
        <w:rPr>
          <w:sz w:val="24"/>
          <w:szCs w:val="24"/>
        </w:rPr>
        <w:t>: Coefficients of Multiple Linear Regression on Trust Deficit Score</w:t>
      </w:r>
    </w:p>
    <w:tbl>
      <w:tblPr>
        <w:tblStyle w:val="TableGrid"/>
        <w:tblW w:w="10242" w:type="dxa"/>
        <w:tblLayout w:type="fixed"/>
        <w:tblLook w:val="0600" w:firstRow="0" w:lastRow="0" w:firstColumn="0" w:lastColumn="0" w:noHBand="1" w:noVBand="1"/>
      </w:tblPr>
      <w:tblGrid>
        <w:gridCol w:w="2377"/>
        <w:gridCol w:w="1321"/>
        <w:gridCol w:w="1281"/>
        <w:gridCol w:w="863"/>
        <w:gridCol w:w="1002"/>
        <w:gridCol w:w="1699"/>
        <w:gridCol w:w="1699"/>
      </w:tblGrid>
      <w:tr w:rsidR="008512D4" w:rsidRPr="003650BC" w14:paraId="7446F526" w14:textId="77777777" w:rsidTr="003633D4">
        <w:trPr>
          <w:trHeight w:val="166"/>
        </w:trPr>
        <w:tc>
          <w:tcPr>
            <w:tcW w:w="2377" w:type="dxa"/>
          </w:tcPr>
          <w:p w14:paraId="600E20AE" w14:textId="77777777" w:rsidR="008512D4" w:rsidRPr="003650BC" w:rsidRDefault="00630AE1" w:rsidP="003650BC">
            <w:pPr>
              <w:spacing w:line="360" w:lineRule="auto"/>
              <w:jc w:val="center"/>
              <w:rPr>
                <w:sz w:val="24"/>
                <w:szCs w:val="24"/>
              </w:rPr>
            </w:pPr>
            <w:r w:rsidRPr="003650BC">
              <w:rPr>
                <w:b/>
                <w:sz w:val="24"/>
                <w:szCs w:val="24"/>
              </w:rPr>
              <w:t>Variable</w:t>
            </w:r>
          </w:p>
        </w:tc>
        <w:tc>
          <w:tcPr>
            <w:tcW w:w="1321" w:type="dxa"/>
          </w:tcPr>
          <w:p w14:paraId="1908AF38" w14:textId="77777777" w:rsidR="008512D4" w:rsidRPr="003650BC" w:rsidRDefault="00630AE1" w:rsidP="003650BC">
            <w:pPr>
              <w:spacing w:line="360" w:lineRule="auto"/>
              <w:jc w:val="center"/>
              <w:rPr>
                <w:sz w:val="24"/>
                <w:szCs w:val="24"/>
              </w:rPr>
            </w:pPr>
            <w:r w:rsidRPr="003650BC">
              <w:rPr>
                <w:b/>
                <w:sz w:val="24"/>
                <w:szCs w:val="24"/>
              </w:rPr>
              <w:t>Coefficient</w:t>
            </w:r>
          </w:p>
        </w:tc>
        <w:tc>
          <w:tcPr>
            <w:tcW w:w="1281" w:type="dxa"/>
          </w:tcPr>
          <w:p w14:paraId="7D36C26B" w14:textId="77777777" w:rsidR="008512D4" w:rsidRPr="003650BC" w:rsidRDefault="00630AE1" w:rsidP="003650BC">
            <w:pPr>
              <w:spacing w:line="360" w:lineRule="auto"/>
              <w:jc w:val="center"/>
              <w:rPr>
                <w:sz w:val="24"/>
                <w:szCs w:val="24"/>
              </w:rPr>
            </w:pPr>
            <w:r w:rsidRPr="003650BC">
              <w:rPr>
                <w:b/>
                <w:sz w:val="24"/>
                <w:szCs w:val="24"/>
              </w:rPr>
              <w:t>Std. Error</w:t>
            </w:r>
          </w:p>
        </w:tc>
        <w:tc>
          <w:tcPr>
            <w:tcW w:w="863" w:type="dxa"/>
          </w:tcPr>
          <w:p w14:paraId="38CD8339" w14:textId="77777777" w:rsidR="008512D4" w:rsidRPr="003650BC" w:rsidRDefault="00630AE1" w:rsidP="003650BC">
            <w:pPr>
              <w:spacing w:line="360" w:lineRule="auto"/>
              <w:jc w:val="center"/>
              <w:rPr>
                <w:sz w:val="24"/>
                <w:szCs w:val="24"/>
              </w:rPr>
            </w:pPr>
            <w:r w:rsidRPr="003650BC">
              <w:rPr>
                <w:b/>
                <w:sz w:val="24"/>
                <w:szCs w:val="24"/>
              </w:rPr>
              <w:t>t</w:t>
            </w:r>
          </w:p>
        </w:tc>
        <w:tc>
          <w:tcPr>
            <w:tcW w:w="1002" w:type="dxa"/>
          </w:tcPr>
          <w:p w14:paraId="3F300164" w14:textId="77777777" w:rsidR="008512D4" w:rsidRPr="003650BC" w:rsidRDefault="00630AE1" w:rsidP="003650BC">
            <w:pPr>
              <w:spacing w:line="360" w:lineRule="auto"/>
              <w:jc w:val="center"/>
              <w:rPr>
                <w:sz w:val="24"/>
                <w:szCs w:val="24"/>
              </w:rPr>
            </w:pPr>
            <w:r w:rsidRPr="003650BC">
              <w:rPr>
                <w:b/>
                <w:sz w:val="24"/>
                <w:szCs w:val="24"/>
              </w:rPr>
              <w:t>p-value</w:t>
            </w:r>
          </w:p>
        </w:tc>
        <w:tc>
          <w:tcPr>
            <w:tcW w:w="1699" w:type="dxa"/>
          </w:tcPr>
          <w:p w14:paraId="2FB23172" w14:textId="77777777" w:rsidR="008512D4" w:rsidRPr="003650BC" w:rsidRDefault="00630AE1" w:rsidP="003650BC">
            <w:pPr>
              <w:spacing w:line="360" w:lineRule="auto"/>
              <w:jc w:val="center"/>
              <w:rPr>
                <w:sz w:val="24"/>
                <w:szCs w:val="24"/>
              </w:rPr>
            </w:pPr>
            <w:r w:rsidRPr="003650BC">
              <w:rPr>
                <w:b/>
                <w:sz w:val="24"/>
                <w:szCs w:val="24"/>
              </w:rPr>
              <w:t>95% CI Lower</w:t>
            </w:r>
          </w:p>
        </w:tc>
        <w:tc>
          <w:tcPr>
            <w:tcW w:w="1699" w:type="dxa"/>
          </w:tcPr>
          <w:p w14:paraId="621FAD44" w14:textId="77777777" w:rsidR="008512D4" w:rsidRPr="003650BC" w:rsidRDefault="00630AE1" w:rsidP="003650BC">
            <w:pPr>
              <w:spacing w:line="360" w:lineRule="auto"/>
              <w:jc w:val="center"/>
              <w:rPr>
                <w:sz w:val="24"/>
                <w:szCs w:val="24"/>
              </w:rPr>
            </w:pPr>
            <w:r w:rsidRPr="003650BC">
              <w:rPr>
                <w:b/>
                <w:sz w:val="24"/>
                <w:szCs w:val="24"/>
              </w:rPr>
              <w:t>95% CI Upper</w:t>
            </w:r>
          </w:p>
        </w:tc>
      </w:tr>
      <w:tr w:rsidR="008512D4" w:rsidRPr="003650BC" w14:paraId="274EB95C" w14:textId="77777777" w:rsidTr="003633D4">
        <w:trPr>
          <w:trHeight w:val="166"/>
        </w:trPr>
        <w:tc>
          <w:tcPr>
            <w:tcW w:w="2377" w:type="dxa"/>
          </w:tcPr>
          <w:p w14:paraId="61379EC6" w14:textId="77777777" w:rsidR="008512D4" w:rsidRPr="003650BC" w:rsidRDefault="00630AE1" w:rsidP="003650BC">
            <w:pPr>
              <w:spacing w:line="360" w:lineRule="auto"/>
              <w:rPr>
                <w:sz w:val="24"/>
                <w:szCs w:val="24"/>
              </w:rPr>
            </w:pPr>
            <w:r w:rsidRPr="003650BC">
              <w:rPr>
                <w:sz w:val="24"/>
                <w:szCs w:val="24"/>
              </w:rPr>
              <w:t>Surveillance Capability</w:t>
            </w:r>
          </w:p>
        </w:tc>
        <w:tc>
          <w:tcPr>
            <w:tcW w:w="1321" w:type="dxa"/>
          </w:tcPr>
          <w:p w14:paraId="2DD30865" w14:textId="77777777" w:rsidR="008512D4" w:rsidRPr="003650BC" w:rsidRDefault="00630AE1" w:rsidP="003650BC">
            <w:pPr>
              <w:spacing w:line="360" w:lineRule="auto"/>
              <w:rPr>
                <w:sz w:val="24"/>
                <w:szCs w:val="24"/>
              </w:rPr>
            </w:pPr>
            <w:r w:rsidRPr="003650BC">
              <w:rPr>
                <w:sz w:val="24"/>
                <w:szCs w:val="24"/>
              </w:rPr>
              <w:t>0.526</w:t>
            </w:r>
          </w:p>
        </w:tc>
        <w:tc>
          <w:tcPr>
            <w:tcW w:w="1281" w:type="dxa"/>
          </w:tcPr>
          <w:p w14:paraId="13F5C4D7" w14:textId="77777777" w:rsidR="008512D4" w:rsidRPr="003650BC" w:rsidRDefault="00630AE1" w:rsidP="003650BC">
            <w:pPr>
              <w:spacing w:line="360" w:lineRule="auto"/>
              <w:rPr>
                <w:sz w:val="24"/>
                <w:szCs w:val="24"/>
              </w:rPr>
            </w:pPr>
            <w:r w:rsidRPr="003650BC">
              <w:rPr>
                <w:sz w:val="24"/>
                <w:szCs w:val="24"/>
              </w:rPr>
              <w:t>0.067</w:t>
            </w:r>
          </w:p>
        </w:tc>
        <w:tc>
          <w:tcPr>
            <w:tcW w:w="863" w:type="dxa"/>
          </w:tcPr>
          <w:p w14:paraId="568D1DC8" w14:textId="77777777" w:rsidR="008512D4" w:rsidRPr="003650BC" w:rsidRDefault="00630AE1" w:rsidP="003650BC">
            <w:pPr>
              <w:spacing w:line="360" w:lineRule="auto"/>
              <w:rPr>
                <w:sz w:val="24"/>
                <w:szCs w:val="24"/>
              </w:rPr>
            </w:pPr>
            <w:r w:rsidRPr="003650BC">
              <w:rPr>
                <w:sz w:val="24"/>
                <w:szCs w:val="24"/>
              </w:rPr>
              <w:t>7.813</w:t>
            </w:r>
          </w:p>
        </w:tc>
        <w:tc>
          <w:tcPr>
            <w:tcW w:w="1002" w:type="dxa"/>
          </w:tcPr>
          <w:p w14:paraId="7EBC6BE7" w14:textId="77777777" w:rsidR="008512D4" w:rsidRPr="003650BC" w:rsidRDefault="00630AE1" w:rsidP="003650BC">
            <w:pPr>
              <w:spacing w:line="360" w:lineRule="auto"/>
              <w:rPr>
                <w:sz w:val="24"/>
                <w:szCs w:val="24"/>
              </w:rPr>
            </w:pPr>
            <w:r w:rsidRPr="003650BC">
              <w:rPr>
                <w:sz w:val="24"/>
                <w:szCs w:val="24"/>
              </w:rPr>
              <w:t>&lt;.001</w:t>
            </w:r>
          </w:p>
        </w:tc>
        <w:tc>
          <w:tcPr>
            <w:tcW w:w="1699" w:type="dxa"/>
          </w:tcPr>
          <w:p w14:paraId="1D846C7D" w14:textId="77777777" w:rsidR="008512D4" w:rsidRPr="003650BC" w:rsidRDefault="00630AE1" w:rsidP="003650BC">
            <w:pPr>
              <w:spacing w:line="360" w:lineRule="auto"/>
              <w:rPr>
                <w:sz w:val="24"/>
                <w:szCs w:val="24"/>
              </w:rPr>
            </w:pPr>
            <w:r w:rsidRPr="003650BC">
              <w:rPr>
                <w:sz w:val="24"/>
                <w:szCs w:val="24"/>
              </w:rPr>
              <w:t>0.387</w:t>
            </w:r>
          </w:p>
        </w:tc>
        <w:tc>
          <w:tcPr>
            <w:tcW w:w="1699" w:type="dxa"/>
          </w:tcPr>
          <w:p w14:paraId="7C42BCB7" w14:textId="77777777" w:rsidR="008512D4" w:rsidRPr="003650BC" w:rsidRDefault="00630AE1" w:rsidP="003650BC">
            <w:pPr>
              <w:spacing w:line="360" w:lineRule="auto"/>
              <w:rPr>
                <w:sz w:val="24"/>
                <w:szCs w:val="24"/>
              </w:rPr>
            </w:pPr>
            <w:r w:rsidRPr="003650BC">
              <w:rPr>
                <w:sz w:val="24"/>
                <w:szCs w:val="24"/>
              </w:rPr>
              <w:t>0.665</w:t>
            </w:r>
          </w:p>
        </w:tc>
      </w:tr>
      <w:tr w:rsidR="008512D4" w:rsidRPr="003650BC" w14:paraId="41C2108E" w14:textId="77777777" w:rsidTr="003633D4">
        <w:trPr>
          <w:trHeight w:val="166"/>
        </w:trPr>
        <w:tc>
          <w:tcPr>
            <w:tcW w:w="2377" w:type="dxa"/>
          </w:tcPr>
          <w:p w14:paraId="1229C216" w14:textId="77777777" w:rsidR="008512D4" w:rsidRPr="003650BC" w:rsidRDefault="00630AE1" w:rsidP="003650BC">
            <w:pPr>
              <w:spacing w:line="360" w:lineRule="auto"/>
              <w:rPr>
                <w:sz w:val="24"/>
                <w:szCs w:val="24"/>
              </w:rPr>
            </w:pPr>
            <w:r w:rsidRPr="003650BC">
              <w:rPr>
                <w:sz w:val="24"/>
                <w:szCs w:val="24"/>
              </w:rPr>
              <w:t>Policy Restrictiveness</w:t>
            </w:r>
          </w:p>
        </w:tc>
        <w:tc>
          <w:tcPr>
            <w:tcW w:w="1321" w:type="dxa"/>
          </w:tcPr>
          <w:p w14:paraId="67077A4A" w14:textId="77777777" w:rsidR="008512D4" w:rsidRPr="003650BC" w:rsidRDefault="00630AE1" w:rsidP="003650BC">
            <w:pPr>
              <w:spacing w:line="360" w:lineRule="auto"/>
              <w:rPr>
                <w:sz w:val="24"/>
                <w:szCs w:val="24"/>
              </w:rPr>
            </w:pPr>
            <w:r w:rsidRPr="003650BC">
              <w:rPr>
                <w:sz w:val="24"/>
                <w:szCs w:val="24"/>
              </w:rPr>
              <w:t>0.504</w:t>
            </w:r>
          </w:p>
        </w:tc>
        <w:tc>
          <w:tcPr>
            <w:tcW w:w="1281" w:type="dxa"/>
          </w:tcPr>
          <w:p w14:paraId="24EB60D8" w14:textId="77777777" w:rsidR="008512D4" w:rsidRPr="003650BC" w:rsidRDefault="00630AE1" w:rsidP="003650BC">
            <w:pPr>
              <w:spacing w:line="360" w:lineRule="auto"/>
              <w:rPr>
                <w:sz w:val="24"/>
                <w:szCs w:val="24"/>
              </w:rPr>
            </w:pPr>
            <w:r w:rsidRPr="003650BC">
              <w:rPr>
                <w:sz w:val="24"/>
                <w:szCs w:val="24"/>
              </w:rPr>
              <w:t>0.058</w:t>
            </w:r>
          </w:p>
        </w:tc>
        <w:tc>
          <w:tcPr>
            <w:tcW w:w="863" w:type="dxa"/>
          </w:tcPr>
          <w:p w14:paraId="74EF10E3" w14:textId="77777777" w:rsidR="008512D4" w:rsidRPr="003650BC" w:rsidRDefault="00630AE1" w:rsidP="003650BC">
            <w:pPr>
              <w:spacing w:line="360" w:lineRule="auto"/>
              <w:rPr>
                <w:sz w:val="24"/>
                <w:szCs w:val="24"/>
              </w:rPr>
            </w:pPr>
            <w:r w:rsidRPr="003650BC">
              <w:rPr>
                <w:sz w:val="24"/>
                <w:szCs w:val="24"/>
              </w:rPr>
              <w:t>8.697</w:t>
            </w:r>
          </w:p>
        </w:tc>
        <w:tc>
          <w:tcPr>
            <w:tcW w:w="1002" w:type="dxa"/>
          </w:tcPr>
          <w:p w14:paraId="1267CD2D" w14:textId="77777777" w:rsidR="008512D4" w:rsidRPr="003650BC" w:rsidRDefault="00630AE1" w:rsidP="003650BC">
            <w:pPr>
              <w:spacing w:line="360" w:lineRule="auto"/>
              <w:rPr>
                <w:sz w:val="24"/>
                <w:szCs w:val="24"/>
              </w:rPr>
            </w:pPr>
            <w:r w:rsidRPr="003650BC">
              <w:rPr>
                <w:sz w:val="24"/>
                <w:szCs w:val="24"/>
              </w:rPr>
              <w:t>&lt;.001</w:t>
            </w:r>
          </w:p>
        </w:tc>
        <w:tc>
          <w:tcPr>
            <w:tcW w:w="1699" w:type="dxa"/>
          </w:tcPr>
          <w:p w14:paraId="333702CD" w14:textId="77777777" w:rsidR="008512D4" w:rsidRPr="003650BC" w:rsidRDefault="00630AE1" w:rsidP="003650BC">
            <w:pPr>
              <w:spacing w:line="360" w:lineRule="auto"/>
              <w:rPr>
                <w:sz w:val="24"/>
                <w:szCs w:val="24"/>
              </w:rPr>
            </w:pPr>
            <w:r w:rsidRPr="003650BC">
              <w:rPr>
                <w:sz w:val="24"/>
                <w:szCs w:val="24"/>
              </w:rPr>
              <w:t>0.385</w:t>
            </w:r>
          </w:p>
        </w:tc>
        <w:tc>
          <w:tcPr>
            <w:tcW w:w="1699" w:type="dxa"/>
          </w:tcPr>
          <w:p w14:paraId="607348F0" w14:textId="77777777" w:rsidR="008512D4" w:rsidRPr="003650BC" w:rsidRDefault="00630AE1" w:rsidP="003650BC">
            <w:pPr>
              <w:spacing w:line="360" w:lineRule="auto"/>
              <w:rPr>
                <w:sz w:val="24"/>
                <w:szCs w:val="24"/>
              </w:rPr>
            </w:pPr>
            <w:r w:rsidRPr="003650BC">
              <w:rPr>
                <w:sz w:val="24"/>
                <w:szCs w:val="24"/>
              </w:rPr>
              <w:t>0.624</w:t>
            </w:r>
          </w:p>
        </w:tc>
      </w:tr>
      <w:tr w:rsidR="008512D4" w:rsidRPr="003650BC" w14:paraId="41872658" w14:textId="77777777" w:rsidTr="003633D4">
        <w:trPr>
          <w:trHeight w:val="166"/>
        </w:trPr>
        <w:tc>
          <w:tcPr>
            <w:tcW w:w="2377" w:type="dxa"/>
          </w:tcPr>
          <w:p w14:paraId="4D01EA9B" w14:textId="77777777" w:rsidR="008512D4" w:rsidRPr="003650BC" w:rsidRDefault="00630AE1" w:rsidP="003650BC">
            <w:pPr>
              <w:spacing w:line="360" w:lineRule="auto"/>
              <w:rPr>
                <w:sz w:val="24"/>
                <w:szCs w:val="24"/>
              </w:rPr>
            </w:pPr>
            <w:r w:rsidRPr="003650BC">
              <w:rPr>
                <w:sz w:val="24"/>
                <w:szCs w:val="24"/>
              </w:rPr>
              <w:lastRenderedPageBreak/>
              <w:t>GDP</w:t>
            </w:r>
          </w:p>
        </w:tc>
        <w:tc>
          <w:tcPr>
            <w:tcW w:w="1321" w:type="dxa"/>
          </w:tcPr>
          <w:p w14:paraId="5D922009" w14:textId="77777777" w:rsidR="008512D4" w:rsidRPr="003650BC" w:rsidRDefault="00630AE1" w:rsidP="003650BC">
            <w:pPr>
              <w:spacing w:line="360" w:lineRule="auto"/>
              <w:rPr>
                <w:sz w:val="24"/>
                <w:szCs w:val="24"/>
              </w:rPr>
            </w:pPr>
            <w:r w:rsidRPr="003650BC">
              <w:rPr>
                <w:sz w:val="24"/>
                <w:szCs w:val="24"/>
              </w:rPr>
              <w:t>-0.333</w:t>
            </w:r>
          </w:p>
        </w:tc>
        <w:tc>
          <w:tcPr>
            <w:tcW w:w="1281" w:type="dxa"/>
          </w:tcPr>
          <w:p w14:paraId="49E3F068" w14:textId="77777777" w:rsidR="008512D4" w:rsidRPr="003650BC" w:rsidRDefault="00630AE1" w:rsidP="003650BC">
            <w:pPr>
              <w:spacing w:line="360" w:lineRule="auto"/>
              <w:rPr>
                <w:sz w:val="24"/>
                <w:szCs w:val="24"/>
              </w:rPr>
            </w:pPr>
            <w:r w:rsidRPr="003650BC">
              <w:rPr>
                <w:sz w:val="24"/>
                <w:szCs w:val="24"/>
              </w:rPr>
              <w:t>0.032</w:t>
            </w:r>
          </w:p>
        </w:tc>
        <w:tc>
          <w:tcPr>
            <w:tcW w:w="863" w:type="dxa"/>
          </w:tcPr>
          <w:p w14:paraId="488A9847" w14:textId="77777777" w:rsidR="008512D4" w:rsidRPr="003650BC" w:rsidRDefault="00630AE1" w:rsidP="003650BC">
            <w:pPr>
              <w:spacing w:line="360" w:lineRule="auto"/>
              <w:rPr>
                <w:sz w:val="24"/>
                <w:szCs w:val="24"/>
              </w:rPr>
            </w:pPr>
            <w:r w:rsidRPr="003650BC">
              <w:rPr>
                <w:sz w:val="24"/>
                <w:szCs w:val="24"/>
              </w:rPr>
              <w:t>-10.55</w:t>
            </w:r>
          </w:p>
        </w:tc>
        <w:tc>
          <w:tcPr>
            <w:tcW w:w="1002" w:type="dxa"/>
          </w:tcPr>
          <w:p w14:paraId="0800B51C" w14:textId="77777777" w:rsidR="008512D4" w:rsidRPr="003650BC" w:rsidRDefault="00630AE1" w:rsidP="003650BC">
            <w:pPr>
              <w:spacing w:line="360" w:lineRule="auto"/>
              <w:rPr>
                <w:sz w:val="24"/>
                <w:szCs w:val="24"/>
              </w:rPr>
            </w:pPr>
            <w:r w:rsidRPr="003650BC">
              <w:rPr>
                <w:sz w:val="24"/>
                <w:szCs w:val="24"/>
              </w:rPr>
              <w:t>&lt;.001</w:t>
            </w:r>
          </w:p>
        </w:tc>
        <w:tc>
          <w:tcPr>
            <w:tcW w:w="1699" w:type="dxa"/>
          </w:tcPr>
          <w:p w14:paraId="1E30BA6E" w14:textId="77777777" w:rsidR="008512D4" w:rsidRPr="003650BC" w:rsidRDefault="00630AE1" w:rsidP="003650BC">
            <w:pPr>
              <w:spacing w:line="360" w:lineRule="auto"/>
              <w:rPr>
                <w:sz w:val="24"/>
                <w:szCs w:val="24"/>
              </w:rPr>
            </w:pPr>
            <w:r w:rsidRPr="003650BC">
              <w:rPr>
                <w:sz w:val="24"/>
                <w:szCs w:val="24"/>
              </w:rPr>
              <w:t>-0.398</w:t>
            </w:r>
          </w:p>
        </w:tc>
        <w:tc>
          <w:tcPr>
            <w:tcW w:w="1699" w:type="dxa"/>
          </w:tcPr>
          <w:p w14:paraId="4E6CDDD5" w14:textId="77777777" w:rsidR="008512D4" w:rsidRPr="003650BC" w:rsidRDefault="00630AE1" w:rsidP="003650BC">
            <w:pPr>
              <w:spacing w:line="360" w:lineRule="auto"/>
              <w:rPr>
                <w:sz w:val="24"/>
                <w:szCs w:val="24"/>
              </w:rPr>
            </w:pPr>
            <w:r w:rsidRPr="003650BC">
              <w:rPr>
                <w:sz w:val="24"/>
                <w:szCs w:val="24"/>
              </w:rPr>
              <w:t>-0.268</w:t>
            </w:r>
          </w:p>
        </w:tc>
      </w:tr>
      <w:tr w:rsidR="008512D4" w:rsidRPr="003650BC" w14:paraId="2CF7AD58" w14:textId="77777777" w:rsidTr="003633D4">
        <w:trPr>
          <w:trHeight w:val="166"/>
        </w:trPr>
        <w:tc>
          <w:tcPr>
            <w:tcW w:w="2377" w:type="dxa"/>
          </w:tcPr>
          <w:p w14:paraId="78D6E25F" w14:textId="77777777" w:rsidR="008512D4" w:rsidRPr="003650BC" w:rsidRDefault="00630AE1" w:rsidP="003650BC">
            <w:pPr>
              <w:spacing w:line="360" w:lineRule="auto"/>
              <w:rPr>
                <w:sz w:val="24"/>
                <w:szCs w:val="24"/>
              </w:rPr>
            </w:pPr>
            <w:r w:rsidRPr="003650BC">
              <w:rPr>
                <w:sz w:val="24"/>
                <w:szCs w:val="24"/>
              </w:rPr>
              <w:t>Diplomatic Treaties</w:t>
            </w:r>
          </w:p>
        </w:tc>
        <w:tc>
          <w:tcPr>
            <w:tcW w:w="1321" w:type="dxa"/>
          </w:tcPr>
          <w:p w14:paraId="66B73FA2" w14:textId="77777777" w:rsidR="008512D4" w:rsidRPr="003650BC" w:rsidRDefault="00630AE1" w:rsidP="003650BC">
            <w:pPr>
              <w:spacing w:line="360" w:lineRule="auto"/>
              <w:rPr>
                <w:sz w:val="24"/>
                <w:szCs w:val="24"/>
              </w:rPr>
            </w:pPr>
            <w:r w:rsidRPr="003650BC">
              <w:rPr>
                <w:sz w:val="24"/>
                <w:szCs w:val="24"/>
              </w:rPr>
              <w:t>-0.054</w:t>
            </w:r>
          </w:p>
        </w:tc>
        <w:tc>
          <w:tcPr>
            <w:tcW w:w="1281" w:type="dxa"/>
          </w:tcPr>
          <w:p w14:paraId="1F112410" w14:textId="77777777" w:rsidR="008512D4" w:rsidRPr="003650BC" w:rsidRDefault="00630AE1" w:rsidP="003650BC">
            <w:pPr>
              <w:spacing w:line="360" w:lineRule="auto"/>
              <w:rPr>
                <w:sz w:val="24"/>
                <w:szCs w:val="24"/>
              </w:rPr>
            </w:pPr>
            <w:r w:rsidRPr="003650BC">
              <w:rPr>
                <w:sz w:val="24"/>
                <w:szCs w:val="24"/>
              </w:rPr>
              <w:t>0.006</w:t>
            </w:r>
          </w:p>
        </w:tc>
        <w:tc>
          <w:tcPr>
            <w:tcW w:w="863" w:type="dxa"/>
          </w:tcPr>
          <w:p w14:paraId="6FA1371A" w14:textId="77777777" w:rsidR="008512D4" w:rsidRPr="003650BC" w:rsidRDefault="00630AE1" w:rsidP="003650BC">
            <w:pPr>
              <w:spacing w:line="360" w:lineRule="auto"/>
              <w:rPr>
                <w:sz w:val="24"/>
                <w:szCs w:val="24"/>
              </w:rPr>
            </w:pPr>
            <w:r w:rsidRPr="003650BC">
              <w:rPr>
                <w:sz w:val="24"/>
                <w:szCs w:val="24"/>
              </w:rPr>
              <w:t>-8.948</w:t>
            </w:r>
          </w:p>
        </w:tc>
        <w:tc>
          <w:tcPr>
            <w:tcW w:w="1002" w:type="dxa"/>
          </w:tcPr>
          <w:p w14:paraId="16CBD09E" w14:textId="77777777" w:rsidR="008512D4" w:rsidRPr="003650BC" w:rsidRDefault="00630AE1" w:rsidP="003650BC">
            <w:pPr>
              <w:spacing w:line="360" w:lineRule="auto"/>
              <w:rPr>
                <w:sz w:val="24"/>
                <w:szCs w:val="24"/>
              </w:rPr>
            </w:pPr>
            <w:r w:rsidRPr="003650BC">
              <w:rPr>
                <w:sz w:val="24"/>
                <w:szCs w:val="24"/>
              </w:rPr>
              <w:t>&lt;.001</w:t>
            </w:r>
          </w:p>
        </w:tc>
        <w:tc>
          <w:tcPr>
            <w:tcW w:w="1699" w:type="dxa"/>
          </w:tcPr>
          <w:p w14:paraId="240EEDBB" w14:textId="77777777" w:rsidR="008512D4" w:rsidRPr="003650BC" w:rsidRDefault="00630AE1" w:rsidP="003650BC">
            <w:pPr>
              <w:spacing w:line="360" w:lineRule="auto"/>
              <w:rPr>
                <w:sz w:val="24"/>
                <w:szCs w:val="24"/>
              </w:rPr>
            </w:pPr>
            <w:r w:rsidRPr="003650BC">
              <w:rPr>
                <w:sz w:val="24"/>
                <w:szCs w:val="24"/>
              </w:rPr>
              <w:t>-0.067</w:t>
            </w:r>
          </w:p>
        </w:tc>
        <w:tc>
          <w:tcPr>
            <w:tcW w:w="1699" w:type="dxa"/>
          </w:tcPr>
          <w:p w14:paraId="6BC2D87A" w14:textId="77777777" w:rsidR="008512D4" w:rsidRPr="003650BC" w:rsidRDefault="00630AE1" w:rsidP="003650BC">
            <w:pPr>
              <w:spacing w:line="360" w:lineRule="auto"/>
              <w:rPr>
                <w:sz w:val="24"/>
                <w:szCs w:val="24"/>
              </w:rPr>
            </w:pPr>
            <w:r w:rsidRPr="003650BC">
              <w:rPr>
                <w:sz w:val="24"/>
                <w:szCs w:val="24"/>
              </w:rPr>
              <w:t>-0.042</w:t>
            </w:r>
          </w:p>
        </w:tc>
      </w:tr>
    </w:tbl>
    <w:p w14:paraId="34C1C789" w14:textId="77777777" w:rsidR="008512D4" w:rsidRPr="003650BC" w:rsidRDefault="00630AE1" w:rsidP="003650BC">
      <w:pPr>
        <w:spacing w:before="160" w:after="160" w:line="360" w:lineRule="auto"/>
        <w:rPr>
          <w:sz w:val="24"/>
          <w:szCs w:val="24"/>
        </w:rPr>
      </w:pPr>
      <w:r w:rsidRPr="003650BC">
        <w:rPr>
          <w:sz w:val="24"/>
          <w:szCs w:val="24"/>
        </w:rPr>
        <w:t>Figure 6 uses a coefficient dot plot to depict the central estimates and confidence intervals, emphasizing the clear divergence in influence across predictors. The visual positioning highlights how national security-</w:t>
      </w:r>
      <w:proofErr w:type="spellStart"/>
      <w:r w:rsidRPr="003650BC">
        <w:rPr>
          <w:sz w:val="24"/>
          <w:szCs w:val="24"/>
        </w:rPr>
        <w:t>centered</w:t>
      </w:r>
      <w:proofErr w:type="spellEnd"/>
      <w:r w:rsidRPr="003650BC">
        <w:rPr>
          <w:sz w:val="24"/>
          <w:szCs w:val="24"/>
        </w:rPr>
        <w:t xml:space="preserve"> variables positively correlate with international distrust. Figure 7, a violin plot, offers a comparative density view of the statistical strength of each variable, underscoring the dominance of policy restrictiveness and surveillance posture in shaping perceptions of trustworthiness.</w:t>
      </w:r>
    </w:p>
    <w:p w14:paraId="09109FF3"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212E0D29" wp14:editId="7EBB9736">
            <wp:extent cx="5683116" cy="340986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683116" cy="3409869"/>
                    </a:xfrm>
                    <a:prstGeom prst="rect">
                      <a:avLst/>
                    </a:prstGeom>
                    <a:ln/>
                  </pic:spPr>
                </pic:pic>
              </a:graphicData>
            </a:graphic>
          </wp:inline>
        </w:drawing>
      </w:r>
    </w:p>
    <w:p w14:paraId="5DD4E433"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6: </w:t>
      </w:r>
      <w:r w:rsidRPr="003650BC">
        <w:rPr>
          <w:sz w:val="24"/>
          <w:szCs w:val="24"/>
        </w:rPr>
        <w:t>Dot plot of coefficient effects on Trust Deficit Score</w:t>
      </w:r>
    </w:p>
    <w:p w14:paraId="4B4357D6" w14:textId="77777777" w:rsidR="008512D4" w:rsidRPr="003650BC" w:rsidRDefault="00630AE1" w:rsidP="003650BC">
      <w:pPr>
        <w:spacing w:before="160" w:after="160" w:line="360" w:lineRule="auto"/>
        <w:jc w:val="center"/>
        <w:rPr>
          <w:sz w:val="24"/>
          <w:szCs w:val="24"/>
        </w:rPr>
      </w:pPr>
      <w:r w:rsidRPr="003650BC">
        <w:rPr>
          <w:noProof/>
          <w:sz w:val="24"/>
          <w:szCs w:val="24"/>
          <w:lang w:val="en-US"/>
        </w:rPr>
        <w:lastRenderedPageBreak/>
        <w:drawing>
          <wp:inline distT="114300" distB="114300" distL="114300" distR="114300" wp14:anchorId="7DA4F118" wp14:editId="3BC216F0">
            <wp:extent cx="5694508" cy="284725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694508" cy="2847254"/>
                    </a:xfrm>
                    <a:prstGeom prst="rect">
                      <a:avLst/>
                    </a:prstGeom>
                    <a:ln/>
                  </pic:spPr>
                </pic:pic>
              </a:graphicData>
            </a:graphic>
          </wp:inline>
        </w:drawing>
      </w:r>
    </w:p>
    <w:p w14:paraId="718D8860" w14:textId="77777777" w:rsidR="008512D4" w:rsidRPr="003650BC" w:rsidRDefault="00630AE1" w:rsidP="003650BC">
      <w:pPr>
        <w:spacing w:before="160" w:after="160" w:line="360" w:lineRule="auto"/>
        <w:jc w:val="center"/>
        <w:rPr>
          <w:sz w:val="24"/>
          <w:szCs w:val="24"/>
        </w:rPr>
      </w:pPr>
      <w:r w:rsidRPr="003650BC">
        <w:rPr>
          <w:b/>
          <w:sz w:val="24"/>
          <w:szCs w:val="24"/>
        </w:rPr>
        <w:t>Figure 7:</w:t>
      </w:r>
      <w:r w:rsidRPr="003650BC">
        <w:rPr>
          <w:sz w:val="24"/>
          <w:szCs w:val="24"/>
        </w:rPr>
        <w:t xml:space="preserve"> Violin plot of variable impacts on Trust Deficit Score</w:t>
      </w:r>
    </w:p>
    <w:p w14:paraId="5DB5D0B2" w14:textId="77777777" w:rsidR="008512D4" w:rsidRPr="003650BC" w:rsidRDefault="00630AE1" w:rsidP="003650BC">
      <w:pPr>
        <w:spacing w:before="160" w:after="160" w:line="360" w:lineRule="auto"/>
        <w:rPr>
          <w:sz w:val="24"/>
          <w:szCs w:val="24"/>
        </w:rPr>
      </w:pPr>
      <w:r w:rsidRPr="003650BC">
        <w:rPr>
          <w:sz w:val="24"/>
          <w:szCs w:val="24"/>
        </w:rPr>
        <w:t>The results confirm that cyber power, when exercised through opaque or sovereignty-centric policies, can negatively affect risk perception and hinder cross-border cooperation. Conversely, higher GDP and diplomatic alignment correlate with lower trust deficits, suggesting that economic capacity and collaborative engagement remain vital in balancing security with international partnership potential.</w:t>
      </w:r>
    </w:p>
    <w:p w14:paraId="23142664" w14:textId="77777777" w:rsidR="008512D4" w:rsidRPr="003650BC" w:rsidRDefault="00630AE1" w:rsidP="003650BC">
      <w:pPr>
        <w:spacing w:before="160" w:after="160" w:line="360" w:lineRule="auto"/>
        <w:rPr>
          <w:b/>
          <w:sz w:val="24"/>
          <w:szCs w:val="24"/>
        </w:rPr>
      </w:pPr>
      <w:r w:rsidRPr="003650BC">
        <w:rPr>
          <w:b/>
          <w:sz w:val="24"/>
          <w:szCs w:val="24"/>
        </w:rPr>
        <w:t>Advanced Encryption Technologies and Cybersecurity in Critical Energy Infrastructure</w:t>
      </w:r>
    </w:p>
    <w:p w14:paraId="5711891E" w14:textId="77777777" w:rsidR="008512D4" w:rsidRPr="003650BC" w:rsidRDefault="00630AE1" w:rsidP="003650BC">
      <w:pPr>
        <w:spacing w:before="160" w:after="160" w:line="360" w:lineRule="auto"/>
        <w:rPr>
          <w:sz w:val="24"/>
          <w:szCs w:val="24"/>
        </w:rPr>
      </w:pPr>
      <w:r w:rsidRPr="003650BC">
        <w:rPr>
          <w:sz w:val="24"/>
          <w:szCs w:val="24"/>
        </w:rPr>
        <w:t xml:space="preserve">The transition toward advanced encryption technologies, such as post-quantum cryptography, is increasingly viewed as essential in safeguarding digital infrastructure against evolving cyber threats. For the energy sector, which is both digitally intensive and geopolitically sensitive, these technologies hold promise for reconciling security enforcement mandates with stringent privacy demands. This report </w:t>
      </w:r>
      <w:r w:rsidR="00190F55">
        <w:rPr>
          <w:sz w:val="24"/>
          <w:szCs w:val="24"/>
        </w:rPr>
        <w:t>assesses the predictive value of encryption adoption in mitigating cyber incidents</w:t>
      </w:r>
      <w:r w:rsidRPr="003650BC">
        <w:rPr>
          <w:sz w:val="24"/>
          <w:szCs w:val="24"/>
        </w:rPr>
        <w:t xml:space="preserve"> within critical European energy infrastructure.</w:t>
      </w:r>
    </w:p>
    <w:p w14:paraId="56C625FA" w14:textId="77777777" w:rsidR="008512D4" w:rsidRPr="003650BC" w:rsidRDefault="00630AE1" w:rsidP="003650BC">
      <w:pPr>
        <w:spacing w:before="160" w:after="160" w:line="360" w:lineRule="auto"/>
        <w:rPr>
          <w:sz w:val="24"/>
          <w:szCs w:val="24"/>
        </w:rPr>
      </w:pPr>
      <w:r w:rsidRPr="003650BC">
        <w:rPr>
          <w:sz w:val="24"/>
          <w:szCs w:val="24"/>
        </w:rPr>
        <w:t xml:space="preserve">Time-series </w:t>
      </w:r>
      <w:proofErr w:type="spellStart"/>
      <w:r w:rsidRPr="003650BC">
        <w:rPr>
          <w:sz w:val="24"/>
          <w:szCs w:val="24"/>
        </w:rPr>
        <w:t>modeling</w:t>
      </w:r>
      <w:proofErr w:type="spellEnd"/>
      <w:r w:rsidRPr="003650BC">
        <w:rPr>
          <w:sz w:val="24"/>
          <w:szCs w:val="24"/>
        </w:rPr>
        <w:t xml:space="preserve"> </w:t>
      </w:r>
      <w:r w:rsidR="00190F55">
        <w:rPr>
          <w:sz w:val="24"/>
          <w:szCs w:val="24"/>
        </w:rPr>
        <w:t>indicates a statistically significant inverse relationship between the adoption of encryption technology and the frequency of cyber incidents</w:t>
      </w:r>
      <w:r w:rsidRPr="003650BC">
        <w:rPr>
          <w:sz w:val="24"/>
          <w:szCs w:val="24"/>
        </w:rPr>
        <w:t xml:space="preserve">. As depicted in Table 4, the coefficient for encryption adoption rate is both negative and substantial, </w:t>
      </w:r>
      <w:r w:rsidRPr="003650BC">
        <w:rPr>
          <w:sz w:val="24"/>
          <w:szCs w:val="24"/>
        </w:rPr>
        <w:lastRenderedPageBreak/>
        <w:t>indicating that increased implementation of advanced cryptographic systems corresponds with a measurable decline in reported cybersecurity breaches.</w:t>
      </w:r>
    </w:p>
    <w:p w14:paraId="0AABDF1C" w14:textId="77777777" w:rsidR="008512D4" w:rsidRPr="003650BC" w:rsidRDefault="00630AE1" w:rsidP="003650BC">
      <w:pPr>
        <w:spacing w:before="160" w:after="160" w:line="360" w:lineRule="auto"/>
        <w:rPr>
          <w:sz w:val="24"/>
          <w:szCs w:val="24"/>
        </w:rPr>
      </w:pPr>
      <w:r w:rsidRPr="003650BC">
        <w:rPr>
          <w:b/>
          <w:sz w:val="24"/>
          <w:szCs w:val="24"/>
        </w:rPr>
        <w:t xml:space="preserve">Table 4: </w:t>
      </w:r>
      <w:r w:rsidRPr="003650BC">
        <w:rPr>
          <w:sz w:val="24"/>
          <w:szCs w:val="24"/>
        </w:rPr>
        <w:t>Simulated ARIMA Coefficients on Encryption Adoption and Cyber Incidents</w:t>
      </w:r>
    </w:p>
    <w:tbl>
      <w:tblPr>
        <w:tblStyle w:val="TableGrid"/>
        <w:tblW w:w="10184" w:type="dxa"/>
        <w:tblLayout w:type="fixed"/>
        <w:tblLook w:val="0600" w:firstRow="0" w:lastRow="0" w:firstColumn="0" w:lastColumn="0" w:noHBand="1" w:noVBand="1"/>
      </w:tblPr>
      <w:tblGrid>
        <w:gridCol w:w="1885"/>
        <w:gridCol w:w="1620"/>
        <w:gridCol w:w="1555"/>
        <w:gridCol w:w="840"/>
        <w:gridCol w:w="976"/>
        <w:gridCol w:w="1654"/>
        <w:gridCol w:w="1654"/>
      </w:tblGrid>
      <w:tr w:rsidR="008512D4" w:rsidRPr="003650BC" w14:paraId="53B15C46" w14:textId="77777777" w:rsidTr="00F43B91">
        <w:trPr>
          <w:trHeight w:val="232"/>
        </w:trPr>
        <w:tc>
          <w:tcPr>
            <w:tcW w:w="1885" w:type="dxa"/>
          </w:tcPr>
          <w:p w14:paraId="7E9AEF3D" w14:textId="77777777" w:rsidR="008512D4" w:rsidRPr="003650BC" w:rsidRDefault="00630AE1" w:rsidP="003650BC">
            <w:pPr>
              <w:spacing w:line="360" w:lineRule="auto"/>
              <w:jc w:val="center"/>
              <w:rPr>
                <w:sz w:val="24"/>
                <w:szCs w:val="24"/>
              </w:rPr>
            </w:pPr>
            <w:r w:rsidRPr="003650BC">
              <w:rPr>
                <w:b/>
                <w:sz w:val="24"/>
                <w:szCs w:val="24"/>
              </w:rPr>
              <w:t>Variable</w:t>
            </w:r>
          </w:p>
        </w:tc>
        <w:tc>
          <w:tcPr>
            <w:tcW w:w="1620" w:type="dxa"/>
          </w:tcPr>
          <w:p w14:paraId="18D8EE99" w14:textId="77777777" w:rsidR="008512D4" w:rsidRPr="003650BC" w:rsidRDefault="00630AE1" w:rsidP="003650BC">
            <w:pPr>
              <w:spacing w:line="360" w:lineRule="auto"/>
              <w:jc w:val="center"/>
              <w:rPr>
                <w:sz w:val="24"/>
                <w:szCs w:val="24"/>
              </w:rPr>
            </w:pPr>
            <w:r w:rsidRPr="003650BC">
              <w:rPr>
                <w:b/>
                <w:sz w:val="24"/>
                <w:szCs w:val="24"/>
              </w:rPr>
              <w:t>Coefficient</w:t>
            </w:r>
          </w:p>
        </w:tc>
        <w:tc>
          <w:tcPr>
            <w:tcW w:w="1555" w:type="dxa"/>
          </w:tcPr>
          <w:p w14:paraId="55462BBD" w14:textId="77777777" w:rsidR="008512D4" w:rsidRPr="003650BC" w:rsidRDefault="00630AE1" w:rsidP="003650BC">
            <w:pPr>
              <w:spacing w:line="360" w:lineRule="auto"/>
              <w:jc w:val="center"/>
              <w:rPr>
                <w:sz w:val="24"/>
                <w:szCs w:val="24"/>
              </w:rPr>
            </w:pPr>
            <w:r w:rsidRPr="003650BC">
              <w:rPr>
                <w:b/>
                <w:sz w:val="24"/>
                <w:szCs w:val="24"/>
              </w:rPr>
              <w:t>Std. Error</w:t>
            </w:r>
          </w:p>
        </w:tc>
        <w:tc>
          <w:tcPr>
            <w:tcW w:w="840" w:type="dxa"/>
          </w:tcPr>
          <w:p w14:paraId="0008C86E" w14:textId="77777777" w:rsidR="008512D4" w:rsidRPr="003650BC" w:rsidRDefault="00630AE1" w:rsidP="003650BC">
            <w:pPr>
              <w:spacing w:line="360" w:lineRule="auto"/>
              <w:jc w:val="center"/>
              <w:rPr>
                <w:sz w:val="24"/>
                <w:szCs w:val="24"/>
              </w:rPr>
            </w:pPr>
            <w:r w:rsidRPr="003650BC">
              <w:rPr>
                <w:b/>
                <w:sz w:val="24"/>
                <w:szCs w:val="24"/>
              </w:rPr>
              <w:t>z</w:t>
            </w:r>
          </w:p>
        </w:tc>
        <w:tc>
          <w:tcPr>
            <w:tcW w:w="976" w:type="dxa"/>
          </w:tcPr>
          <w:p w14:paraId="6BFDE479" w14:textId="77777777" w:rsidR="008512D4" w:rsidRPr="003650BC" w:rsidRDefault="00630AE1" w:rsidP="003650BC">
            <w:pPr>
              <w:spacing w:line="360" w:lineRule="auto"/>
              <w:jc w:val="center"/>
              <w:rPr>
                <w:sz w:val="24"/>
                <w:szCs w:val="24"/>
              </w:rPr>
            </w:pPr>
            <w:r w:rsidRPr="003650BC">
              <w:rPr>
                <w:b/>
                <w:sz w:val="24"/>
                <w:szCs w:val="24"/>
              </w:rPr>
              <w:t>p-value</w:t>
            </w:r>
          </w:p>
        </w:tc>
        <w:tc>
          <w:tcPr>
            <w:tcW w:w="1654" w:type="dxa"/>
          </w:tcPr>
          <w:p w14:paraId="0632DEDD" w14:textId="77777777" w:rsidR="008512D4" w:rsidRPr="003650BC" w:rsidRDefault="00630AE1" w:rsidP="003650BC">
            <w:pPr>
              <w:spacing w:line="360" w:lineRule="auto"/>
              <w:jc w:val="center"/>
              <w:rPr>
                <w:sz w:val="24"/>
                <w:szCs w:val="24"/>
              </w:rPr>
            </w:pPr>
            <w:r w:rsidRPr="003650BC">
              <w:rPr>
                <w:b/>
                <w:sz w:val="24"/>
                <w:szCs w:val="24"/>
              </w:rPr>
              <w:t>95% CI Lower</w:t>
            </w:r>
          </w:p>
        </w:tc>
        <w:tc>
          <w:tcPr>
            <w:tcW w:w="1654" w:type="dxa"/>
          </w:tcPr>
          <w:p w14:paraId="689C6A92" w14:textId="77777777" w:rsidR="008512D4" w:rsidRPr="003650BC" w:rsidRDefault="00630AE1" w:rsidP="003650BC">
            <w:pPr>
              <w:spacing w:line="360" w:lineRule="auto"/>
              <w:jc w:val="center"/>
              <w:rPr>
                <w:sz w:val="24"/>
                <w:szCs w:val="24"/>
              </w:rPr>
            </w:pPr>
            <w:r w:rsidRPr="003650BC">
              <w:rPr>
                <w:b/>
                <w:sz w:val="24"/>
                <w:szCs w:val="24"/>
              </w:rPr>
              <w:t>95% CI Upper</w:t>
            </w:r>
          </w:p>
        </w:tc>
      </w:tr>
      <w:tr w:rsidR="008512D4" w:rsidRPr="003650BC" w14:paraId="65251A38" w14:textId="77777777" w:rsidTr="00F43B91">
        <w:trPr>
          <w:trHeight w:val="232"/>
        </w:trPr>
        <w:tc>
          <w:tcPr>
            <w:tcW w:w="1885" w:type="dxa"/>
          </w:tcPr>
          <w:p w14:paraId="562DBF39" w14:textId="77777777" w:rsidR="008512D4" w:rsidRPr="003650BC" w:rsidRDefault="00630AE1" w:rsidP="003650BC">
            <w:pPr>
              <w:spacing w:line="360" w:lineRule="auto"/>
              <w:rPr>
                <w:sz w:val="24"/>
                <w:szCs w:val="24"/>
              </w:rPr>
            </w:pPr>
            <w:r w:rsidRPr="003650BC">
              <w:rPr>
                <w:sz w:val="24"/>
                <w:szCs w:val="24"/>
              </w:rPr>
              <w:t>Encryption Adoption Rate</w:t>
            </w:r>
          </w:p>
        </w:tc>
        <w:tc>
          <w:tcPr>
            <w:tcW w:w="1620" w:type="dxa"/>
          </w:tcPr>
          <w:p w14:paraId="340DC6B9" w14:textId="77777777" w:rsidR="008512D4" w:rsidRPr="003650BC" w:rsidRDefault="00630AE1" w:rsidP="003650BC">
            <w:pPr>
              <w:spacing w:line="360" w:lineRule="auto"/>
              <w:rPr>
                <w:sz w:val="24"/>
                <w:szCs w:val="24"/>
              </w:rPr>
            </w:pPr>
            <w:r w:rsidRPr="003650BC">
              <w:rPr>
                <w:sz w:val="24"/>
                <w:szCs w:val="24"/>
              </w:rPr>
              <w:t>-0.720</w:t>
            </w:r>
          </w:p>
        </w:tc>
        <w:tc>
          <w:tcPr>
            <w:tcW w:w="1555" w:type="dxa"/>
          </w:tcPr>
          <w:p w14:paraId="0F8D78F5" w14:textId="77777777" w:rsidR="008512D4" w:rsidRPr="003650BC" w:rsidRDefault="00630AE1" w:rsidP="003650BC">
            <w:pPr>
              <w:spacing w:line="360" w:lineRule="auto"/>
              <w:rPr>
                <w:sz w:val="24"/>
                <w:szCs w:val="24"/>
              </w:rPr>
            </w:pPr>
            <w:r w:rsidRPr="003650BC">
              <w:rPr>
                <w:sz w:val="24"/>
                <w:szCs w:val="24"/>
              </w:rPr>
              <w:t>0.145</w:t>
            </w:r>
          </w:p>
        </w:tc>
        <w:tc>
          <w:tcPr>
            <w:tcW w:w="840" w:type="dxa"/>
          </w:tcPr>
          <w:p w14:paraId="41660900" w14:textId="77777777" w:rsidR="008512D4" w:rsidRPr="003650BC" w:rsidRDefault="00630AE1" w:rsidP="003650BC">
            <w:pPr>
              <w:spacing w:line="360" w:lineRule="auto"/>
              <w:rPr>
                <w:sz w:val="24"/>
                <w:szCs w:val="24"/>
              </w:rPr>
            </w:pPr>
            <w:r w:rsidRPr="003650BC">
              <w:rPr>
                <w:sz w:val="24"/>
                <w:szCs w:val="24"/>
              </w:rPr>
              <w:t>-4.980</w:t>
            </w:r>
          </w:p>
        </w:tc>
        <w:tc>
          <w:tcPr>
            <w:tcW w:w="976" w:type="dxa"/>
          </w:tcPr>
          <w:p w14:paraId="02740F1C" w14:textId="77777777" w:rsidR="008512D4" w:rsidRPr="003650BC" w:rsidRDefault="00630AE1" w:rsidP="003650BC">
            <w:pPr>
              <w:spacing w:line="360" w:lineRule="auto"/>
              <w:rPr>
                <w:sz w:val="24"/>
                <w:szCs w:val="24"/>
              </w:rPr>
            </w:pPr>
            <w:r w:rsidRPr="003650BC">
              <w:rPr>
                <w:sz w:val="24"/>
                <w:szCs w:val="24"/>
              </w:rPr>
              <w:t>&lt;.001</w:t>
            </w:r>
          </w:p>
        </w:tc>
        <w:tc>
          <w:tcPr>
            <w:tcW w:w="1654" w:type="dxa"/>
          </w:tcPr>
          <w:p w14:paraId="39744AF0" w14:textId="77777777" w:rsidR="008512D4" w:rsidRPr="003650BC" w:rsidRDefault="00630AE1" w:rsidP="003650BC">
            <w:pPr>
              <w:spacing w:line="360" w:lineRule="auto"/>
              <w:rPr>
                <w:sz w:val="24"/>
                <w:szCs w:val="24"/>
              </w:rPr>
            </w:pPr>
            <w:r w:rsidRPr="003650BC">
              <w:rPr>
                <w:sz w:val="24"/>
                <w:szCs w:val="24"/>
              </w:rPr>
              <w:t>-1.003</w:t>
            </w:r>
          </w:p>
        </w:tc>
        <w:tc>
          <w:tcPr>
            <w:tcW w:w="1654" w:type="dxa"/>
          </w:tcPr>
          <w:p w14:paraId="3D6BA1A5" w14:textId="77777777" w:rsidR="008512D4" w:rsidRPr="003650BC" w:rsidRDefault="00630AE1" w:rsidP="003650BC">
            <w:pPr>
              <w:spacing w:line="360" w:lineRule="auto"/>
              <w:rPr>
                <w:sz w:val="24"/>
                <w:szCs w:val="24"/>
              </w:rPr>
            </w:pPr>
            <w:r w:rsidRPr="003650BC">
              <w:rPr>
                <w:sz w:val="24"/>
                <w:szCs w:val="24"/>
              </w:rPr>
              <w:t>-0.436</w:t>
            </w:r>
          </w:p>
        </w:tc>
      </w:tr>
      <w:tr w:rsidR="008512D4" w:rsidRPr="003650BC" w14:paraId="5BC42CBB" w14:textId="77777777" w:rsidTr="00F43B91">
        <w:trPr>
          <w:trHeight w:val="232"/>
        </w:trPr>
        <w:tc>
          <w:tcPr>
            <w:tcW w:w="1885" w:type="dxa"/>
          </w:tcPr>
          <w:p w14:paraId="5B6BCA08" w14:textId="77777777" w:rsidR="008512D4" w:rsidRPr="003650BC" w:rsidRDefault="00630AE1" w:rsidP="003650BC">
            <w:pPr>
              <w:spacing w:line="360" w:lineRule="auto"/>
              <w:rPr>
                <w:sz w:val="24"/>
                <w:szCs w:val="24"/>
              </w:rPr>
            </w:pPr>
            <w:proofErr w:type="gramStart"/>
            <w:r w:rsidRPr="003650BC">
              <w:rPr>
                <w:sz w:val="24"/>
                <w:szCs w:val="24"/>
              </w:rPr>
              <w:t>AR(</w:t>
            </w:r>
            <w:proofErr w:type="gramEnd"/>
            <w:r w:rsidRPr="003650BC">
              <w:rPr>
                <w:sz w:val="24"/>
                <w:szCs w:val="24"/>
              </w:rPr>
              <w:t>1)</w:t>
            </w:r>
          </w:p>
        </w:tc>
        <w:tc>
          <w:tcPr>
            <w:tcW w:w="1620" w:type="dxa"/>
          </w:tcPr>
          <w:p w14:paraId="51328021" w14:textId="77777777" w:rsidR="008512D4" w:rsidRPr="003650BC" w:rsidRDefault="00630AE1" w:rsidP="003650BC">
            <w:pPr>
              <w:spacing w:line="360" w:lineRule="auto"/>
              <w:rPr>
                <w:sz w:val="24"/>
                <w:szCs w:val="24"/>
              </w:rPr>
            </w:pPr>
            <w:r w:rsidRPr="003650BC">
              <w:rPr>
                <w:sz w:val="24"/>
                <w:szCs w:val="24"/>
              </w:rPr>
              <w:t>0.234</w:t>
            </w:r>
          </w:p>
        </w:tc>
        <w:tc>
          <w:tcPr>
            <w:tcW w:w="1555" w:type="dxa"/>
          </w:tcPr>
          <w:p w14:paraId="196A490F" w14:textId="77777777" w:rsidR="008512D4" w:rsidRPr="003650BC" w:rsidRDefault="00630AE1" w:rsidP="003650BC">
            <w:pPr>
              <w:spacing w:line="360" w:lineRule="auto"/>
              <w:rPr>
                <w:sz w:val="24"/>
                <w:szCs w:val="24"/>
              </w:rPr>
            </w:pPr>
            <w:r w:rsidRPr="003650BC">
              <w:rPr>
                <w:sz w:val="24"/>
                <w:szCs w:val="24"/>
              </w:rPr>
              <w:t>0.707</w:t>
            </w:r>
          </w:p>
        </w:tc>
        <w:tc>
          <w:tcPr>
            <w:tcW w:w="840" w:type="dxa"/>
          </w:tcPr>
          <w:p w14:paraId="1D817A7A" w14:textId="77777777" w:rsidR="008512D4" w:rsidRPr="003650BC" w:rsidRDefault="00630AE1" w:rsidP="003650BC">
            <w:pPr>
              <w:spacing w:line="360" w:lineRule="auto"/>
              <w:rPr>
                <w:sz w:val="24"/>
                <w:szCs w:val="24"/>
              </w:rPr>
            </w:pPr>
            <w:r w:rsidRPr="003650BC">
              <w:rPr>
                <w:sz w:val="24"/>
                <w:szCs w:val="24"/>
              </w:rPr>
              <w:t>0.331</w:t>
            </w:r>
          </w:p>
        </w:tc>
        <w:tc>
          <w:tcPr>
            <w:tcW w:w="976" w:type="dxa"/>
          </w:tcPr>
          <w:p w14:paraId="0B444C60" w14:textId="77777777" w:rsidR="008512D4" w:rsidRPr="003650BC" w:rsidRDefault="00630AE1" w:rsidP="003650BC">
            <w:pPr>
              <w:spacing w:line="360" w:lineRule="auto"/>
              <w:rPr>
                <w:sz w:val="24"/>
                <w:szCs w:val="24"/>
              </w:rPr>
            </w:pPr>
            <w:r w:rsidRPr="003650BC">
              <w:rPr>
                <w:sz w:val="24"/>
                <w:szCs w:val="24"/>
              </w:rPr>
              <w:t>0.740</w:t>
            </w:r>
          </w:p>
        </w:tc>
        <w:tc>
          <w:tcPr>
            <w:tcW w:w="1654" w:type="dxa"/>
          </w:tcPr>
          <w:p w14:paraId="5632BF3D" w14:textId="77777777" w:rsidR="008512D4" w:rsidRPr="003650BC" w:rsidRDefault="00630AE1" w:rsidP="003650BC">
            <w:pPr>
              <w:spacing w:line="360" w:lineRule="auto"/>
              <w:rPr>
                <w:sz w:val="24"/>
                <w:szCs w:val="24"/>
              </w:rPr>
            </w:pPr>
            <w:r w:rsidRPr="003650BC">
              <w:rPr>
                <w:sz w:val="24"/>
                <w:szCs w:val="24"/>
              </w:rPr>
              <w:t>-1.151</w:t>
            </w:r>
          </w:p>
        </w:tc>
        <w:tc>
          <w:tcPr>
            <w:tcW w:w="1654" w:type="dxa"/>
          </w:tcPr>
          <w:p w14:paraId="73DF621F" w14:textId="77777777" w:rsidR="008512D4" w:rsidRPr="003650BC" w:rsidRDefault="00630AE1" w:rsidP="003650BC">
            <w:pPr>
              <w:spacing w:line="360" w:lineRule="auto"/>
              <w:rPr>
                <w:sz w:val="24"/>
                <w:szCs w:val="24"/>
              </w:rPr>
            </w:pPr>
            <w:r w:rsidRPr="003650BC">
              <w:rPr>
                <w:sz w:val="24"/>
                <w:szCs w:val="24"/>
              </w:rPr>
              <w:t>1.620</w:t>
            </w:r>
          </w:p>
        </w:tc>
      </w:tr>
      <w:tr w:rsidR="008512D4" w:rsidRPr="003650BC" w14:paraId="33B959CE" w14:textId="77777777" w:rsidTr="00F43B91">
        <w:trPr>
          <w:trHeight w:val="232"/>
        </w:trPr>
        <w:tc>
          <w:tcPr>
            <w:tcW w:w="1885" w:type="dxa"/>
          </w:tcPr>
          <w:p w14:paraId="0FF4EA50" w14:textId="77777777" w:rsidR="008512D4" w:rsidRPr="003650BC" w:rsidRDefault="00630AE1" w:rsidP="003650BC">
            <w:pPr>
              <w:spacing w:line="360" w:lineRule="auto"/>
              <w:rPr>
                <w:sz w:val="24"/>
                <w:szCs w:val="24"/>
              </w:rPr>
            </w:pPr>
            <w:proofErr w:type="gramStart"/>
            <w:r w:rsidRPr="003650BC">
              <w:rPr>
                <w:sz w:val="24"/>
                <w:szCs w:val="24"/>
              </w:rPr>
              <w:t>MA(</w:t>
            </w:r>
            <w:proofErr w:type="gramEnd"/>
            <w:r w:rsidRPr="003650BC">
              <w:rPr>
                <w:sz w:val="24"/>
                <w:szCs w:val="24"/>
              </w:rPr>
              <w:t>1)</w:t>
            </w:r>
          </w:p>
        </w:tc>
        <w:tc>
          <w:tcPr>
            <w:tcW w:w="1620" w:type="dxa"/>
          </w:tcPr>
          <w:p w14:paraId="41CDB383" w14:textId="77777777" w:rsidR="008512D4" w:rsidRPr="003650BC" w:rsidRDefault="00630AE1" w:rsidP="003650BC">
            <w:pPr>
              <w:spacing w:line="360" w:lineRule="auto"/>
              <w:rPr>
                <w:sz w:val="24"/>
                <w:szCs w:val="24"/>
              </w:rPr>
            </w:pPr>
            <w:r w:rsidRPr="003650BC">
              <w:rPr>
                <w:sz w:val="24"/>
                <w:szCs w:val="24"/>
              </w:rPr>
              <w:t>-0.999</w:t>
            </w:r>
          </w:p>
        </w:tc>
        <w:tc>
          <w:tcPr>
            <w:tcW w:w="1555" w:type="dxa"/>
          </w:tcPr>
          <w:p w14:paraId="0B6C8820" w14:textId="77777777" w:rsidR="008512D4" w:rsidRPr="003650BC" w:rsidRDefault="00630AE1" w:rsidP="003650BC">
            <w:pPr>
              <w:spacing w:line="360" w:lineRule="auto"/>
              <w:rPr>
                <w:sz w:val="24"/>
                <w:szCs w:val="24"/>
              </w:rPr>
            </w:pPr>
            <w:r w:rsidRPr="003650BC">
              <w:rPr>
                <w:sz w:val="24"/>
                <w:szCs w:val="24"/>
              </w:rPr>
              <w:t>339.170</w:t>
            </w:r>
          </w:p>
        </w:tc>
        <w:tc>
          <w:tcPr>
            <w:tcW w:w="840" w:type="dxa"/>
          </w:tcPr>
          <w:p w14:paraId="5DAEFDCD" w14:textId="77777777" w:rsidR="008512D4" w:rsidRPr="003650BC" w:rsidRDefault="00630AE1" w:rsidP="003650BC">
            <w:pPr>
              <w:spacing w:line="360" w:lineRule="auto"/>
              <w:rPr>
                <w:sz w:val="24"/>
                <w:szCs w:val="24"/>
              </w:rPr>
            </w:pPr>
            <w:r w:rsidRPr="003650BC">
              <w:rPr>
                <w:sz w:val="24"/>
                <w:szCs w:val="24"/>
              </w:rPr>
              <w:t>-0.003</w:t>
            </w:r>
          </w:p>
        </w:tc>
        <w:tc>
          <w:tcPr>
            <w:tcW w:w="976" w:type="dxa"/>
          </w:tcPr>
          <w:p w14:paraId="1D4B9AEF" w14:textId="77777777" w:rsidR="008512D4" w:rsidRPr="003650BC" w:rsidRDefault="00630AE1" w:rsidP="003650BC">
            <w:pPr>
              <w:spacing w:line="360" w:lineRule="auto"/>
              <w:rPr>
                <w:sz w:val="24"/>
                <w:szCs w:val="24"/>
              </w:rPr>
            </w:pPr>
            <w:r w:rsidRPr="003650BC">
              <w:rPr>
                <w:sz w:val="24"/>
                <w:szCs w:val="24"/>
              </w:rPr>
              <w:t>0.998</w:t>
            </w:r>
          </w:p>
        </w:tc>
        <w:tc>
          <w:tcPr>
            <w:tcW w:w="1654" w:type="dxa"/>
          </w:tcPr>
          <w:p w14:paraId="78838728" w14:textId="77777777" w:rsidR="008512D4" w:rsidRPr="003650BC" w:rsidRDefault="00630AE1" w:rsidP="003650BC">
            <w:pPr>
              <w:spacing w:line="360" w:lineRule="auto"/>
              <w:rPr>
                <w:sz w:val="24"/>
                <w:szCs w:val="24"/>
              </w:rPr>
            </w:pPr>
            <w:r w:rsidRPr="003650BC">
              <w:rPr>
                <w:sz w:val="24"/>
                <w:szCs w:val="24"/>
              </w:rPr>
              <w:t>-665.760</w:t>
            </w:r>
          </w:p>
        </w:tc>
        <w:tc>
          <w:tcPr>
            <w:tcW w:w="1654" w:type="dxa"/>
          </w:tcPr>
          <w:p w14:paraId="68E4FC8B" w14:textId="77777777" w:rsidR="008512D4" w:rsidRPr="003650BC" w:rsidRDefault="00630AE1" w:rsidP="003650BC">
            <w:pPr>
              <w:spacing w:line="360" w:lineRule="auto"/>
              <w:rPr>
                <w:sz w:val="24"/>
                <w:szCs w:val="24"/>
              </w:rPr>
            </w:pPr>
            <w:r w:rsidRPr="003650BC">
              <w:rPr>
                <w:sz w:val="24"/>
                <w:szCs w:val="24"/>
              </w:rPr>
              <w:t>663.761</w:t>
            </w:r>
          </w:p>
        </w:tc>
      </w:tr>
    </w:tbl>
    <w:p w14:paraId="68B71098" w14:textId="77777777" w:rsidR="008512D4" w:rsidRPr="003650BC" w:rsidRDefault="00630AE1" w:rsidP="003650BC">
      <w:pPr>
        <w:spacing w:before="160" w:after="160" w:line="360" w:lineRule="auto"/>
        <w:rPr>
          <w:sz w:val="24"/>
          <w:szCs w:val="24"/>
        </w:rPr>
      </w:pPr>
      <w:r w:rsidRPr="003650BC">
        <w:rPr>
          <w:sz w:val="24"/>
          <w:szCs w:val="24"/>
        </w:rPr>
        <w:t xml:space="preserve">Visualization of the trends further substantiates this relationship. Figure 8 employs a slope graph to illustrate directional shifts in encryption adoption versus incident counts, revealing a consistent pattern of divergence over time. Figure 9, a dual-axis line chart, clearly </w:t>
      </w:r>
      <w:r w:rsidR="00190F55">
        <w:rPr>
          <w:sz w:val="24"/>
          <w:szCs w:val="24"/>
        </w:rPr>
        <w:t>illustrates the downward trajectory of incident reports alongside the increasing deployment of encryption</w:t>
      </w:r>
      <w:r w:rsidRPr="003650BC">
        <w:rPr>
          <w:sz w:val="24"/>
          <w:szCs w:val="24"/>
        </w:rPr>
        <w:t>. Figure 10 presents a waterfall chart that isolates the strength and direction of each ARIMA model coefficient, with encryption adoption showing the most impactful inverse correlation.</w:t>
      </w:r>
    </w:p>
    <w:p w14:paraId="5204927A"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1FF6BA59" wp14:editId="5757B4E8">
            <wp:extent cx="5016714" cy="3010029"/>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016714" cy="3010029"/>
                    </a:xfrm>
                    <a:prstGeom prst="rect">
                      <a:avLst/>
                    </a:prstGeom>
                    <a:ln/>
                  </pic:spPr>
                </pic:pic>
              </a:graphicData>
            </a:graphic>
          </wp:inline>
        </w:drawing>
      </w:r>
    </w:p>
    <w:p w14:paraId="14742472" w14:textId="77777777" w:rsidR="008512D4" w:rsidRPr="003650BC" w:rsidRDefault="00630AE1" w:rsidP="003650BC">
      <w:pPr>
        <w:spacing w:before="160" w:after="160" w:line="360" w:lineRule="auto"/>
        <w:jc w:val="center"/>
        <w:rPr>
          <w:sz w:val="24"/>
          <w:szCs w:val="24"/>
        </w:rPr>
      </w:pPr>
      <w:r w:rsidRPr="003650BC">
        <w:rPr>
          <w:b/>
          <w:sz w:val="24"/>
          <w:szCs w:val="24"/>
        </w:rPr>
        <w:lastRenderedPageBreak/>
        <w:t xml:space="preserve">Figure 8: </w:t>
      </w:r>
      <w:r w:rsidRPr="003650BC">
        <w:rPr>
          <w:sz w:val="24"/>
          <w:szCs w:val="24"/>
        </w:rPr>
        <w:t>Slope graph depicting encryption adoption and cyber incidents trends</w:t>
      </w:r>
    </w:p>
    <w:p w14:paraId="46A6DFE3"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5AC41A8C" wp14:editId="303B46C6">
            <wp:extent cx="5960043" cy="357427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960043" cy="3574278"/>
                    </a:xfrm>
                    <a:prstGeom prst="rect">
                      <a:avLst/>
                    </a:prstGeom>
                    <a:ln/>
                  </pic:spPr>
                </pic:pic>
              </a:graphicData>
            </a:graphic>
          </wp:inline>
        </w:drawing>
      </w:r>
    </w:p>
    <w:p w14:paraId="0AE7E355"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9: </w:t>
      </w:r>
      <w:r w:rsidRPr="003650BC">
        <w:rPr>
          <w:sz w:val="24"/>
          <w:szCs w:val="24"/>
        </w:rPr>
        <w:t>Dual-axis line chart of encryption rates and cyber incident frequency over time</w:t>
      </w:r>
    </w:p>
    <w:p w14:paraId="7D08DB83"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6D16F291" wp14:editId="2464A04F">
            <wp:extent cx="4881420" cy="2928852"/>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4881420" cy="2928852"/>
                    </a:xfrm>
                    <a:prstGeom prst="rect">
                      <a:avLst/>
                    </a:prstGeom>
                    <a:ln/>
                  </pic:spPr>
                </pic:pic>
              </a:graphicData>
            </a:graphic>
          </wp:inline>
        </w:drawing>
      </w:r>
    </w:p>
    <w:p w14:paraId="57DA342A"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10: </w:t>
      </w:r>
      <w:r w:rsidRPr="003650BC">
        <w:rPr>
          <w:sz w:val="24"/>
          <w:szCs w:val="24"/>
        </w:rPr>
        <w:t>Waterfall chart of ARIMA coefficient effects on cyber incident prediction</w:t>
      </w:r>
    </w:p>
    <w:p w14:paraId="69100799" w14:textId="77777777" w:rsidR="008512D4" w:rsidRPr="003650BC" w:rsidRDefault="00630AE1" w:rsidP="003650BC">
      <w:pPr>
        <w:spacing w:before="160" w:after="160" w:line="360" w:lineRule="auto"/>
        <w:rPr>
          <w:sz w:val="24"/>
          <w:szCs w:val="24"/>
        </w:rPr>
      </w:pPr>
      <w:r w:rsidRPr="003650BC">
        <w:rPr>
          <w:sz w:val="24"/>
          <w:szCs w:val="24"/>
        </w:rPr>
        <w:lastRenderedPageBreak/>
        <w:t xml:space="preserve">These findings </w:t>
      </w:r>
      <w:r w:rsidR="00190F55">
        <w:rPr>
          <w:sz w:val="24"/>
          <w:szCs w:val="24"/>
        </w:rPr>
        <w:t>confirm that the integration of advanced encryption technologies significantly contributes</w:t>
      </w:r>
      <w:r w:rsidRPr="003650BC">
        <w:rPr>
          <w:sz w:val="24"/>
          <w:szCs w:val="24"/>
        </w:rPr>
        <w:t xml:space="preserve"> to cybersecurity resilience in critical infrastructure. More importantly, they demonstrate the feasibility of a security architecture that bridges enforcement efficacy with privacy preservation, reinforcing encryption as a cornerstone of trust and operational continuity in transnational energy systems.</w:t>
      </w:r>
    </w:p>
    <w:p w14:paraId="27005858" w14:textId="77777777" w:rsidR="008512D4" w:rsidRPr="003650BC" w:rsidRDefault="00630AE1" w:rsidP="003650BC">
      <w:pPr>
        <w:spacing w:before="160" w:after="160" w:line="360" w:lineRule="auto"/>
        <w:rPr>
          <w:b/>
          <w:sz w:val="24"/>
          <w:szCs w:val="24"/>
        </w:rPr>
      </w:pPr>
      <w:r w:rsidRPr="003650BC">
        <w:rPr>
          <w:b/>
          <w:sz w:val="24"/>
          <w:szCs w:val="24"/>
        </w:rPr>
        <w:t>Discussion</w:t>
      </w:r>
    </w:p>
    <w:p w14:paraId="5349E0B0" w14:textId="77777777" w:rsidR="008512D4" w:rsidRPr="003650BC" w:rsidRDefault="00630AE1" w:rsidP="003650BC">
      <w:pPr>
        <w:spacing w:before="160" w:after="160" w:line="360" w:lineRule="auto"/>
        <w:rPr>
          <w:sz w:val="24"/>
          <w:szCs w:val="24"/>
        </w:rPr>
      </w:pPr>
      <w:r w:rsidRPr="003650BC">
        <w:rPr>
          <w:sz w:val="24"/>
          <w:szCs w:val="24"/>
        </w:rPr>
        <w:t xml:space="preserve">The findings of this study illuminate the intricate dynamics at the intersection of national encryption regulations, international cybersecurity strategies, and energy sector collaboration. The analysis reveals that countries with high regulatory maturity and cooperative cybersecurity frameworks, such as Germany, the United Kingdom, and the United States, consistently exhibit superior cross-border energy collaboration scores. This supports the argument advanced by </w:t>
      </w:r>
      <w:proofErr w:type="spellStart"/>
      <w:r w:rsidRPr="003650BC">
        <w:rPr>
          <w:sz w:val="24"/>
          <w:szCs w:val="24"/>
        </w:rPr>
        <w:t>Katkuri</w:t>
      </w:r>
      <w:proofErr w:type="spellEnd"/>
      <w:r w:rsidRPr="003650BC">
        <w:rPr>
          <w:sz w:val="24"/>
          <w:szCs w:val="24"/>
        </w:rPr>
        <w:t xml:space="preserve"> (2024) and Henderson et al. (2025), who assert that regulatory coherence enhances operational synergies in globally integrated sectors. Conversely, jurisdictions like Russia and Nigeria, characterized by sovereignty-centric or fragmented frameworks, are comparatively disadvantaged, as reflected in their lower collaboration indices (see Figure 1 and Figure 3). These disparities </w:t>
      </w:r>
      <w:r w:rsidR="00190F55">
        <w:rPr>
          <w:sz w:val="24"/>
          <w:szCs w:val="24"/>
        </w:rPr>
        <w:t>highlight the urgent need for harmonized encryption governance mechanisms that can ensure</w:t>
      </w:r>
      <w:r w:rsidRPr="003650BC">
        <w:rPr>
          <w:sz w:val="24"/>
          <w:szCs w:val="24"/>
        </w:rPr>
        <w:t xml:space="preserve"> secure and efficient digital exchanges in critical infrastructure ecosystems (OECD, 2023; </w:t>
      </w:r>
      <w:proofErr w:type="spellStart"/>
      <w:r w:rsidRPr="003650BC">
        <w:rPr>
          <w:sz w:val="24"/>
          <w:szCs w:val="24"/>
        </w:rPr>
        <w:t>Mondaq</w:t>
      </w:r>
      <w:proofErr w:type="spellEnd"/>
      <w:r w:rsidRPr="003650BC">
        <w:rPr>
          <w:sz w:val="24"/>
          <w:szCs w:val="24"/>
        </w:rPr>
        <w:t>, 2025).</w:t>
      </w:r>
    </w:p>
    <w:p w14:paraId="543DAD08" w14:textId="77777777" w:rsidR="008512D4" w:rsidRPr="003650BC" w:rsidRDefault="00630AE1" w:rsidP="003650BC">
      <w:pPr>
        <w:spacing w:before="160" w:after="160" w:line="360" w:lineRule="auto"/>
        <w:rPr>
          <w:sz w:val="24"/>
          <w:szCs w:val="24"/>
        </w:rPr>
      </w:pPr>
      <w:r w:rsidRPr="003650BC">
        <w:rPr>
          <w:sz w:val="24"/>
          <w:szCs w:val="24"/>
        </w:rPr>
        <w:t xml:space="preserve">The results further reinforce the assertion </w:t>
      </w:r>
      <w:r w:rsidR="00190F55">
        <w:rPr>
          <w:sz w:val="24"/>
          <w:szCs w:val="24"/>
        </w:rPr>
        <w:t xml:space="preserve">made by </w:t>
      </w:r>
      <w:proofErr w:type="spellStart"/>
      <w:r w:rsidR="00190F55">
        <w:rPr>
          <w:sz w:val="24"/>
          <w:szCs w:val="24"/>
        </w:rPr>
        <w:t>Sindiramutty</w:t>
      </w:r>
      <w:proofErr w:type="spellEnd"/>
      <w:r w:rsidR="00190F55">
        <w:rPr>
          <w:sz w:val="24"/>
          <w:szCs w:val="24"/>
        </w:rPr>
        <w:t xml:space="preserve"> et al. (2024) and </w:t>
      </w:r>
      <w:proofErr w:type="spellStart"/>
      <w:r w:rsidR="00190F55">
        <w:rPr>
          <w:sz w:val="24"/>
          <w:szCs w:val="24"/>
        </w:rPr>
        <w:t>Olutimehin</w:t>
      </w:r>
      <w:proofErr w:type="spellEnd"/>
      <w:r w:rsidR="00190F55">
        <w:rPr>
          <w:sz w:val="24"/>
          <w:szCs w:val="24"/>
        </w:rPr>
        <w:t xml:space="preserve"> et al. (2025) that divergent policy regimes pose substantial practical challenges for</w:t>
      </w:r>
      <w:r w:rsidRPr="003650BC">
        <w:rPr>
          <w:sz w:val="24"/>
          <w:szCs w:val="24"/>
        </w:rPr>
        <w:t xml:space="preserve"> multinational firms. The ordinal regression analysis highlights the disruptive influence of regulatory fragmentation and jurisdictional overlap on organizational compliance. Firms operating across multiple jurisdictions must reconcile complex, often contradictory legal demands that jeopardize transparency and operational consistency. As Table 2 shows, regulatory fragmentation exerts a multidimensional burden, particularly on medium-sized firms, which exhibit heightened sensitivity to jurisdictional conflicts. This pattern is vividly illustrated in </w:t>
      </w:r>
      <w:r w:rsidR="00190F55">
        <w:rPr>
          <w:sz w:val="24"/>
          <w:szCs w:val="24"/>
        </w:rPr>
        <w:t xml:space="preserve">Figures 4 and </w:t>
      </w:r>
      <w:r w:rsidRPr="003650BC">
        <w:rPr>
          <w:sz w:val="24"/>
          <w:szCs w:val="24"/>
        </w:rPr>
        <w:t xml:space="preserve">5, suggesting that institutional agility is not always proportional to firm size or maturity. The findings </w:t>
      </w:r>
      <w:r w:rsidR="00190F55">
        <w:rPr>
          <w:sz w:val="24"/>
          <w:szCs w:val="24"/>
        </w:rPr>
        <w:t xml:space="preserve">align with the views of Kolo et al. (2025) and Shandilya et al. (2024), who argue </w:t>
      </w:r>
      <w:r w:rsidR="00190F55">
        <w:rPr>
          <w:sz w:val="24"/>
          <w:szCs w:val="24"/>
        </w:rPr>
        <w:lastRenderedPageBreak/>
        <w:t>that regulatory diversity necessitates adaptive compliance frameworks</w:t>
      </w:r>
      <w:r w:rsidRPr="003650BC">
        <w:rPr>
          <w:sz w:val="24"/>
          <w:szCs w:val="24"/>
        </w:rPr>
        <w:t xml:space="preserve"> calibrated to accommodate both structural scale and international exposure.</w:t>
      </w:r>
    </w:p>
    <w:p w14:paraId="5D23F7BA" w14:textId="77777777" w:rsidR="008512D4" w:rsidRPr="003650BC" w:rsidRDefault="00630AE1" w:rsidP="003650BC">
      <w:pPr>
        <w:spacing w:before="160" w:after="160" w:line="360" w:lineRule="auto"/>
        <w:rPr>
          <w:sz w:val="24"/>
          <w:szCs w:val="24"/>
        </w:rPr>
      </w:pPr>
      <w:r w:rsidRPr="003650BC">
        <w:rPr>
          <w:sz w:val="24"/>
          <w:szCs w:val="24"/>
        </w:rPr>
        <w:t xml:space="preserve">Moreover, the study elucidates the strategic implications of national security postures on international trust dynamics. Surveillance capacity and policy restrictiveness are shown to significantly heighten trust deficit scores, indicating that cyber power, when pursued through opaque or extraterritorial data access mechanisms, can erode diplomatic confidence and risk alignment (Wolford, 2018; Fratini, 2025). As evidenced in Table 3 and Figure 6, countries with elevated surveillance capabilities are often viewed with suspicion, especially when such power is exercised without proportional transparency. This reinforces the contention of Ejiofor et al. (2025) that encryption functions not merely as a technical instrument but as a geopolitical symbol of regulatory intent. Interestingly, the regression model also reveals that GDP and the number of diplomatic treaties inversely correlate with trust deficits, supporting findings by Davies (2025) and </w:t>
      </w:r>
      <w:proofErr w:type="spellStart"/>
      <w:r w:rsidRPr="003650BC">
        <w:rPr>
          <w:sz w:val="24"/>
          <w:szCs w:val="24"/>
        </w:rPr>
        <w:t>Toulas</w:t>
      </w:r>
      <w:proofErr w:type="spellEnd"/>
      <w:r w:rsidRPr="003650BC">
        <w:rPr>
          <w:sz w:val="24"/>
          <w:szCs w:val="24"/>
        </w:rPr>
        <w:t xml:space="preserve"> (2025) that economic stature and collaborative openness act as counterbalances to surveillance-induced </w:t>
      </w:r>
      <w:proofErr w:type="spellStart"/>
      <w:r w:rsidRPr="003650BC">
        <w:rPr>
          <w:sz w:val="24"/>
          <w:szCs w:val="24"/>
        </w:rPr>
        <w:t>skepticism</w:t>
      </w:r>
      <w:proofErr w:type="spellEnd"/>
      <w:r w:rsidRPr="003650BC">
        <w:rPr>
          <w:sz w:val="24"/>
          <w:szCs w:val="24"/>
        </w:rPr>
        <w:t>. The violin plot presented in Figure 7 further accentuates the dominant predictive power of policy restrictiveness, underscoring its centrality in shaping international perceptions of cybersecurity credibility.</w:t>
      </w:r>
    </w:p>
    <w:p w14:paraId="47E38305" w14:textId="77777777" w:rsidR="008512D4" w:rsidRPr="003650BC" w:rsidRDefault="00630AE1" w:rsidP="003650BC">
      <w:pPr>
        <w:spacing w:before="160" w:after="160" w:line="360" w:lineRule="auto"/>
        <w:rPr>
          <w:sz w:val="24"/>
          <w:szCs w:val="24"/>
        </w:rPr>
      </w:pPr>
      <w:r w:rsidRPr="003650BC">
        <w:rPr>
          <w:sz w:val="24"/>
          <w:szCs w:val="24"/>
        </w:rPr>
        <w:t xml:space="preserve">The final dimension of the analysis provides robust empirical support for the transformative role of advanced encryption technologies in bolstering digital resilience. The ARIMA model confirms a strong negative correlation between </w:t>
      </w:r>
      <w:r w:rsidR="00190F55">
        <w:rPr>
          <w:sz w:val="24"/>
          <w:szCs w:val="24"/>
        </w:rPr>
        <w:t>the adoption rates of encryption and the frequencies of cyber incidents</w:t>
      </w:r>
      <w:r w:rsidRPr="003650BC">
        <w:rPr>
          <w:sz w:val="24"/>
          <w:szCs w:val="24"/>
        </w:rPr>
        <w:t xml:space="preserve">. As shown in Table 4, increases in the implementation of technologies such as post-quantum cryptography are statistically associated with declines in incident reports, affirming the position taken by Aquina et al. (2025) and NIST (2024) on the strategic value of cryptographic modernization. The slope graph in Figure 8 and the dual-axis trend in Figure 9 visualize the inverse temporal dynamics between encryption uptake and threat incidence, while Figure 10 isolates the magnitude of encryption adoption’s impact relative to autoregressive and moving average effects. These findings highlight the feasibility of a security paradigm that bridges the long-standing tension between enforcement mandates and data </w:t>
      </w:r>
      <w:r w:rsidRPr="003650BC">
        <w:rPr>
          <w:sz w:val="24"/>
          <w:szCs w:val="24"/>
        </w:rPr>
        <w:lastRenderedPageBreak/>
        <w:t>privacy, a proposition also endorsed by Alex-</w:t>
      </w:r>
      <w:proofErr w:type="spellStart"/>
      <w:r w:rsidRPr="003650BC">
        <w:rPr>
          <w:sz w:val="24"/>
          <w:szCs w:val="24"/>
        </w:rPr>
        <w:t>Adedipe</w:t>
      </w:r>
      <w:proofErr w:type="spellEnd"/>
      <w:r w:rsidRPr="003650BC">
        <w:rPr>
          <w:sz w:val="24"/>
          <w:szCs w:val="24"/>
        </w:rPr>
        <w:t xml:space="preserve"> (2025) and Shandilya et al. (2024). In a regulatory </w:t>
      </w:r>
      <w:r w:rsidR="00190F55">
        <w:rPr>
          <w:sz w:val="24"/>
          <w:szCs w:val="24"/>
        </w:rPr>
        <w:t>environment</w:t>
      </w:r>
      <w:r w:rsidRPr="003650BC">
        <w:rPr>
          <w:sz w:val="24"/>
          <w:szCs w:val="24"/>
        </w:rPr>
        <w:t xml:space="preserve"> </w:t>
      </w:r>
      <w:r w:rsidR="00190F55">
        <w:rPr>
          <w:sz w:val="24"/>
          <w:szCs w:val="24"/>
        </w:rPr>
        <w:t xml:space="preserve">marked by pervasive geopolitical uncertainty, advanced encryption emerges not only as a tool for </w:t>
      </w:r>
      <w:proofErr w:type="spellStart"/>
      <w:r w:rsidR="00190F55">
        <w:rPr>
          <w:sz w:val="24"/>
          <w:szCs w:val="24"/>
        </w:rPr>
        <w:t>defense</w:t>
      </w:r>
      <w:proofErr w:type="spellEnd"/>
      <w:r w:rsidR="00190F55">
        <w:rPr>
          <w:sz w:val="24"/>
          <w:szCs w:val="24"/>
        </w:rPr>
        <w:t xml:space="preserve"> but also </w:t>
      </w:r>
      <w:r w:rsidRPr="003650BC">
        <w:rPr>
          <w:sz w:val="24"/>
          <w:szCs w:val="24"/>
        </w:rPr>
        <w:t>as a linchpin for trust, interoperability, and strategic continuity in the energy sector.</w:t>
      </w:r>
    </w:p>
    <w:p w14:paraId="7E263898" w14:textId="77777777" w:rsidR="008512D4" w:rsidRPr="003650BC" w:rsidRDefault="003650BC" w:rsidP="003650BC">
      <w:pPr>
        <w:spacing w:before="160" w:after="160" w:line="360" w:lineRule="auto"/>
        <w:rPr>
          <w:b/>
          <w:sz w:val="24"/>
          <w:szCs w:val="24"/>
        </w:rPr>
      </w:pPr>
      <w:r w:rsidRPr="003650BC">
        <w:rPr>
          <w:b/>
          <w:sz w:val="24"/>
          <w:szCs w:val="24"/>
        </w:rPr>
        <w:t xml:space="preserve">5. </w:t>
      </w:r>
      <w:r w:rsidR="00630AE1" w:rsidRPr="003650BC">
        <w:rPr>
          <w:b/>
          <w:sz w:val="24"/>
          <w:szCs w:val="24"/>
        </w:rPr>
        <w:t>Conclusion and Recommendation</w:t>
      </w:r>
      <w:r w:rsidRPr="003650BC">
        <w:rPr>
          <w:b/>
          <w:sz w:val="24"/>
          <w:szCs w:val="24"/>
        </w:rPr>
        <w:t>s</w:t>
      </w:r>
    </w:p>
    <w:p w14:paraId="1B5620FF" w14:textId="77777777" w:rsidR="008512D4" w:rsidRPr="003650BC" w:rsidRDefault="00630AE1" w:rsidP="003650BC">
      <w:pPr>
        <w:spacing w:before="160" w:after="160" w:line="360" w:lineRule="auto"/>
        <w:rPr>
          <w:sz w:val="24"/>
          <w:szCs w:val="24"/>
        </w:rPr>
      </w:pPr>
      <w:r w:rsidRPr="003650BC">
        <w:rPr>
          <w:sz w:val="24"/>
          <w:szCs w:val="24"/>
        </w:rPr>
        <w:t>The findings of this study affirm that coherent encryption governance, when aligned with transparent cybersecurity policies and international cooperation mechanisms, significantly enhances cross-border collaboration and operational trust within the energy sector. Fragmented regulations, surveillance-heavy frameworks, and legal contradictions, however, disrupt this synergy, elevating risk and undermining stakeholder confidence. These outcomes necessitate pragmatic, evidence-based interventions. Therefore:</w:t>
      </w:r>
    </w:p>
    <w:p w14:paraId="523CA131" w14:textId="77777777" w:rsidR="003650BC" w:rsidRPr="003650BC" w:rsidRDefault="00630AE1" w:rsidP="003650BC">
      <w:pPr>
        <w:numPr>
          <w:ilvl w:val="0"/>
          <w:numId w:val="2"/>
        </w:numPr>
        <w:spacing w:before="160" w:line="360" w:lineRule="auto"/>
        <w:rPr>
          <w:sz w:val="24"/>
          <w:szCs w:val="24"/>
        </w:rPr>
      </w:pPr>
      <w:r w:rsidRPr="003650BC">
        <w:rPr>
          <w:sz w:val="24"/>
          <w:szCs w:val="24"/>
        </w:rPr>
        <w:t>International regulatory coalitions should prioritize harmonizing encryption standards through binding cybersecurity protocols to reduce jurisdictional conflicts and operational inefficiencies.</w:t>
      </w:r>
    </w:p>
    <w:p w14:paraId="7B00A45F" w14:textId="77777777" w:rsidR="003650BC" w:rsidRPr="003650BC" w:rsidRDefault="00630AE1" w:rsidP="003650BC">
      <w:pPr>
        <w:numPr>
          <w:ilvl w:val="0"/>
          <w:numId w:val="2"/>
        </w:numPr>
        <w:spacing w:before="160" w:line="360" w:lineRule="auto"/>
        <w:rPr>
          <w:sz w:val="24"/>
          <w:szCs w:val="24"/>
        </w:rPr>
      </w:pPr>
      <w:r w:rsidRPr="003650BC">
        <w:rPr>
          <w:sz w:val="24"/>
          <w:szCs w:val="24"/>
        </w:rPr>
        <w:t xml:space="preserve">National governments must develop context-sensitive policies that preserve encryption integrity while ensuring lawful access through transparent, </w:t>
      </w:r>
      <w:r w:rsidR="00190F55">
        <w:rPr>
          <w:sz w:val="24"/>
          <w:szCs w:val="24"/>
        </w:rPr>
        <w:t>judicially supervised</w:t>
      </w:r>
      <w:r w:rsidRPr="003650BC">
        <w:rPr>
          <w:sz w:val="24"/>
          <w:szCs w:val="24"/>
        </w:rPr>
        <w:t xml:space="preserve"> mechanisms.</w:t>
      </w:r>
    </w:p>
    <w:p w14:paraId="62AECCF7" w14:textId="77777777" w:rsidR="003650BC" w:rsidRPr="003650BC" w:rsidRDefault="00630AE1" w:rsidP="003650BC">
      <w:pPr>
        <w:numPr>
          <w:ilvl w:val="0"/>
          <w:numId w:val="2"/>
        </w:numPr>
        <w:spacing w:before="160" w:after="160" w:line="360" w:lineRule="auto"/>
        <w:rPr>
          <w:sz w:val="24"/>
          <w:szCs w:val="24"/>
        </w:rPr>
      </w:pPr>
      <w:r w:rsidRPr="003650BC">
        <w:rPr>
          <w:sz w:val="24"/>
          <w:szCs w:val="24"/>
        </w:rPr>
        <w:t>Energy firms should implement adaptive compliance architectures that integrate advanced encryption technologies, real-time threat detection, and jurisdiction-specific governance models</w:t>
      </w:r>
      <w:r w:rsidR="00190F55">
        <w:rPr>
          <w:sz w:val="24"/>
          <w:szCs w:val="24"/>
        </w:rPr>
        <w:t xml:space="preserve"> to ensure effective compliance</w:t>
      </w:r>
      <w:r w:rsidRPr="003650BC">
        <w:rPr>
          <w:sz w:val="24"/>
          <w:szCs w:val="24"/>
        </w:rPr>
        <w:t>.</w:t>
      </w:r>
    </w:p>
    <w:p w14:paraId="66FA14B1" w14:textId="77777777" w:rsidR="008512D4" w:rsidRPr="003650BC" w:rsidRDefault="00630AE1" w:rsidP="003650BC">
      <w:pPr>
        <w:numPr>
          <w:ilvl w:val="0"/>
          <w:numId w:val="2"/>
        </w:numPr>
        <w:spacing w:before="160" w:after="160" w:line="360" w:lineRule="auto"/>
        <w:rPr>
          <w:sz w:val="24"/>
          <w:szCs w:val="24"/>
        </w:rPr>
      </w:pPr>
      <w:r w:rsidRPr="003650BC">
        <w:rPr>
          <w:sz w:val="24"/>
          <w:szCs w:val="24"/>
        </w:rPr>
        <w:t xml:space="preserve">Global cybersecurity bodies, such as ENISA and the ITU, should support emerging economies in building institutional capacity </w:t>
      </w:r>
      <w:r w:rsidR="00190F55">
        <w:rPr>
          <w:sz w:val="24"/>
          <w:szCs w:val="24"/>
        </w:rPr>
        <w:t>to enforce interoperable encryption laws and facilitate</w:t>
      </w:r>
      <w:r w:rsidRPr="003650BC">
        <w:rPr>
          <w:sz w:val="24"/>
          <w:szCs w:val="24"/>
        </w:rPr>
        <w:t xml:space="preserve"> cross-border trust</w:t>
      </w:r>
      <w:r w:rsidR="00190F55">
        <w:rPr>
          <w:sz w:val="24"/>
          <w:szCs w:val="24"/>
        </w:rPr>
        <w:t xml:space="preserve"> and confidence</w:t>
      </w:r>
      <w:r w:rsidRPr="003650BC">
        <w:rPr>
          <w:sz w:val="24"/>
          <w:szCs w:val="24"/>
        </w:rPr>
        <w:t>.</w:t>
      </w:r>
    </w:p>
    <w:p w14:paraId="22F8B8E6" w14:textId="77777777" w:rsidR="008512D4" w:rsidRPr="003650BC" w:rsidRDefault="008512D4" w:rsidP="003650BC">
      <w:pPr>
        <w:spacing w:line="360" w:lineRule="auto"/>
        <w:rPr>
          <w:sz w:val="24"/>
          <w:szCs w:val="24"/>
        </w:rPr>
      </w:pPr>
    </w:p>
    <w:p w14:paraId="3ADA06ED" w14:textId="77777777" w:rsidR="008512D4" w:rsidRPr="003650BC" w:rsidRDefault="008512D4" w:rsidP="003650BC">
      <w:pPr>
        <w:spacing w:line="360" w:lineRule="auto"/>
        <w:rPr>
          <w:sz w:val="24"/>
          <w:szCs w:val="24"/>
        </w:rPr>
      </w:pPr>
    </w:p>
    <w:p w14:paraId="4274AF53" w14:textId="77777777" w:rsidR="004D5D23" w:rsidRPr="004D5D23" w:rsidRDefault="004D5D23" w:rsidP="004D5D23">
      <w:pPr>
        <w:spacing w:after="200"/>
        <w:jc w:val="both"/>
        <w:outlineLvl w:val="0"/>
        <w:rPr>
          <w:rFonts w:eastAsia="Times New Roman"/>
          <w:lang w:eastAsia="en-GB"/>
        </w:rPr>
      </w:pPr>
      <w:r w:rsidRPr="004D5D23">
        <w:rPr>
          <w:rFonts w:eastAsia="Times New Roman"/>
          <w:b/>
          <w:bCs/>
          <w:lang w:eastAsia="en-GB"/>
        </w:rPr>
        <w:t>COMPETING INTERESTS DISCLAIMER:</w:t>
      </w:r>
    </w:p>
    <w:p w14:paraId="1176E04B" w14:textId="77777777" w:rsidR="004D5D23" w:rsidRPr="004D5D23" w:rsidRDefault="004D5D23" w:rsidP="004D5D23">
      <w:pPr>
        <w:spacing w:after="200"/>
        <w:rPr>
          <w:rFonts w:ascii="Calibri" w:eastAsia="Times New Roman" w:hAnsi="Calibri" w:cs="Times New Roman"/>
          <w:lang w:eastAsia="en-GB"/>
        </w:rPr>
      </w:pPr>
      <w:r w:rsidRPr="004D5D23">
        <w:rPr>
          <w:rFonts w:ascii="Calibri" w:eastAsia="Times New Roman" w:hAnsi="Calibri" w:cs="Times New Roman"/>
          <w:lang w:eastAsia="en-GB"/>
        </w:rPr>
        <w:t>Authors have declared that they have no known competing financial interests OR non-financial interests OR personal relationships that could have appeared to influence the work reported in this paper.</w:t>
      </w:r>
    </w:p>
    <w:p w14:paraId="59E5D54D" w14:textId="77777777" w:rsidR="008512D4" w:rsidRPr="003650BC" w:rsidRDefault="00630AE1" w:rsidP="003650BC">
      <w:pPr>
        <w:pStyle w:val="Heading1"/>
        <w:keepNext w:val="0"/>
        <w:keepLines w:val="0"/>
        <w:spacing w:before="0" w:after="0" w:line="360" w:lineRule="auto"/>
        <w:jc w:val="center"/>
        <w:rPr>
          <w:b/>
          <w:sz w:val="24"/>
          <w:szCs w:val="24"/>
        </w:rPr>
      </w:pPr>
      <w:bookmarkStart w:id="6" w:name="_4jffud8l1qcw" w:colFirst="0" w:colLast="0"/>
      <w:bookmarkEnd w:id="6"/>
      <w:r w:rsidRPr="003650BC">
        <w:rPr>
          <w:b/>
          <w:sz w:val="24"/>
          <w:szCs w:val="24"/>
        </w:rPr>
        <w:lastRenderedPageBreak/>
        <w:t>References</w:t>
      </w:r>
    </w:p>
    <w:p w14:paraId="6134BF6A" w14:textId="77777777" w:rsidR="008512D4" w:rsidRPr="003650BC" w:rsidRDefault="00630AE1" w:rsidP="003650BC">
      <w:pPr>
        <w:spacing w:after="240"/>
        <w:ind w:left="900" w:hanging="900"/>
        <w:rPr>
          <w:sz w:val="24"/>
          <w:szCs w:val="24"/>
        </w:rPr>
      </w:pPr>
      <w:proofErr w:type="spellStart"/>
      <w:r w:rsidRPr="003650BC">
        <w:rPr>
          <w:sz w:val="24"/>
          <w:szCs w:val="24"/>
        </w:rPr>
        <w:t>Adesokan</w:t>
      </w:r>
      <w:proofErr w:type="spellEnd"/>
      <w:r w:rsidRPr="003650BC">
        <w:rPr>
          <w:sz w:val="24"/>
          <w:szCs w:val="24"/>
        </w:rPr>
        <w:t xml:space="preserve">-Imran, T. O., Popoola, A. D., Ejiofor, V. O., Salako, A. O., &amp; </w:t>
      </w:r>
      <w:proofErr w:type="spellStart"/>
      <w:r w:rsidRPr="003650BC">
        <w:rPr>
          <w:sz w:val="24"/>
          <w:szCs w:val="24"/>
        </w:rPr>
        <w:t>Onyenaucheya</w:t>
      </w:r>
      <w:proofErr w:type="spellEnd"/>
      <w:r w:rsidRPr="003650BC">
        <w:rPr>
          <w:sz w:val="24"/>
          <w:szCs w:val="24"/>
        </w:rPr>
        <w:t xml:space="preserve">, O. S. (2025). Predictive Cybersecurity Risk </w:t>
      </w:r>
      <w:proofErr w:type="spellStart"/>
      <w:r w:rsidRPr="003650BC">
        <w:rPr>
          <w:sz w:val="24"/>
          <w:szCs w:val="24"/>
        </w:rPr>
        <w:t>Modeling</w:t>
      </w:r>
      <w:proofErr w:type="spellEnd"/>
      <w:r w:rsidRPr="003650BC">
        <w:rPr>
          <w:sz w:val="24"/>
          <w:szCs w:val="24"/>
        </w:rPr>
        <w:t xml:space="preserve"> in Healthcare by Leveraging AI and Machine Learning for Proactive Threat Detection.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(4), 144–165. </w:t>
      </w:r>
      <w:hyperlink r:id="rId29">
        <w:r w:rsidRPr="003650BC">
          <w:rPr>
            <w:color w:val="1155CC"/>
            <w:sz w:val="24"/>
            <w:szCs w:val="24"/>
            <w:u w:val="single"/>
          </w:rPr>
          <w:t>https://doi.org/10.9734/jerr/2025/v27i41463</w:t>
        </w:r>
      </w:hyperlink>
      <w:r w:rsidRPr="003650BC">
        <w:rPr>
          <w:sz w:val="24"/>
          <w:szCs w:val="24"/>
        </w:rPr>
        <w:t xml:space="preserve"> </w:t>
      </w:r>
    </w:p>
    <w:p w14:paraId="3FA03A8C" w14:textId="77777777" w:rsidR="008512D4" w:rsidRPr="003650BC" w:rsidRDefault="00630AE1" w:rsidP="003650BC">
      <w:pPr>
        <w:spacing w:after="240"/>
        <w:ind w:left="900" w:hanging="900"/>
        <w:rPr>
          <w:sz w:val="24"/>
          <w:szCs w:val="24"/>
        </w:rPr>
      </w:pPr>
      <w:proofErr w:type="spellStart"/>
      <w:r w:rsidRPr="003650BC">
        <w:rPr>
          <w:sz w:val="24"/>
          <w:szCs w:val="24"/>
        </w:rPr>
        <w:t>Adesokan</w:t>
      </w:r>
      <w:proofErr w:type="spellEnd"/>
      <w:r w:rsidRPr="003650BC">
        <w:rPr>
          <w:sz w:val="24"/>
          <w:szCs w:val="24"/>
        </w:rPr>
        <w:t xml:space="preserve">-Imran, T. O., Popoola, A. D., Kolo, F. H. O., Ejiofor, V. O., &amp; Salami, I. A. (2025). Cybersecurity Risk Stratification Framework Using Multilevel Clustering: An Automated Threat Attribution and Categorization Approach for Cross-industry Cybersecurity.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(4), 241–263. </w:t>
      </w:r>
      <w:hyperlink r:id="rId30">
        <w:r w:rsidRPr="003650BC">
          <w:rPr>
            <w:color w:val="1155CC"/>
            <w:sz w:val="24"/>
            <w:szCs w:val="24"/>
            <w:u w:val="single"/>
          </w:rPr>
          <w:t>https://doi.org/10.9734/jerr/2025/v27i41469</w:t>
        </w:r>
      </w:hyperlink>
      <w:r w:rsidRPr="003650BC">
        <w:rPr>
          <w:sz w:val="24"/>
          <w:szCs w:val="24"/>
        </w:rPr>
        <w:t xml:space="preserve"> </w:t>
      </w:r>
    </w:p>
    <w:p w14:paraId="00F2DC10" w14:textId="77777777" w:rsidR="008512D4" w:rsidRPr="003650BC" w:rsidRDefault="00630AE1" w:rsidP="003650BC">
      <w:pPr>
        <w:spacing w:after="240"/>
        <w:ind w:left="900" w:hanging="900"/>
        <w:rPr>
          <w:sz w:val="24"/>
          <w:szCs w:val="24"/>
        </w:rPr>
      </w:pPr>
      <w:r w:rsidRPr="003650BC">
        <w:rPr>
          <w:sz w:val="24"/>
          <w:szCs w:val="24"/>
        </w:rPr>
        <w:t xml:space="preserve">Ahmad, N., Haque, S., &amp; Islam, M. A. (2023). Modern slavery disclosure regulations in the global supply Chain: A world-systems perspective. </w:t>
      </w:r>
      <w:r w:rsidRPr="003650BC">
        <w:rPr>
          <w:i/>
          <w:sz w:val="24"/>
          <w:szCs w:val="24"/>
        </w:rPr>
        <w:t>Critical Perspectives on Accounting</w:t>
      </w:r>
      <w:r w:rsidRPr="003650BC">
        <w:rPr>
          <w:sz w:val="24"/>
          <w:szCs w:val="24"/>
        </w:rPr>
        <w:t xml:space="preserve">, </w:t>
      </w:r>
      <w:r w:rsidRPr="003650BC">
        <w:rPr>
          <w:i/>
          <w:sz w:val="24"/>
          <w:szCs w:val="24"/>
        </w:rPr>
        <w:t>99</w:t>
      </w:r>
      <w:r w:rsidRPr="003650BC">
        <w:rPr>
          <w:sz w:val="24"/>
          <w:szCs w:val="24"/>
        </w:rPr>
        <w:t xml:space="preserve">, 102677. </w:t>
      </w:r>
      <w:hyperlink r:id="rId31">
        <w:r w:rsidRPr="003650BC">
          <w:rPr>
            <w:color w:val="1155CC"/>
            <w:sz w:val="24"/>
            <w:szCs w:val="24"/>
            <w:u w:val="single"/>
          </w:rPr>
          <w:t>https://doi.org/10.1016/j.cpa.2023.102677</w:t>
        </w:r>
      </w:hyperlink>
      <w:r w:rsidRPr="003650BC">
        <w:rPr>
          <w:sz w:val="24"/>
          <w:szCs w:val="24"/>
        </w:rPr>
        <w:t xml:space="preserve"> </w:t>
      </w:r>
    </w:p>
    <w:p w14:paraId="7FF1050F" w14:textId="77777777" w:rsidR="008512D4" w:rsidRPr="003650BC" w:rsidRDefault="00630AE1" w:rsidP="003650BC">
      <w:pPr>
        <w:spacing w:after="240"/>
        <w:ind w:left="900" w:hanging="900"/>
        <w:rPr>
          <w:sz w:val="24"/>
          <w:szCs w:val="24"/>
        </w:rPr>
      </w:pPr>
      <w:r w:rsidRPr="003650BC">
        <w:rPr>
          <w:sz w:val="24"/>
          <w:szCs w:val="24"/>
        </w:rPr>
        <w:t xml:space="preserve">Akpabio, E., Narad, S., &amp; Mollay, M. H. (2025). Fortifying the Cloud. </w:t>
      </w:r>
      <w:r w:rsidRPr="003650BC">
        <w:rPr>
          <w:i/>
          <w:sz w:val="24"/>
          <w:szCs w:val="24"/>
        </w:rPr>
        <w:t>Advances in Computational Intelligence and Robotics Book Series</w:t>
      </w:r>
      <w:r w:rsidRPr="003650BC">
        <w:rPr>
          <w:sz w:val="24"/>
          <w:szCs w:val="24"/>
        </w:rPr>
        <w:t xml:space="preserve">, 53–78. </w:t>
      </w:r>
      <w:hyperlink r:id="rId32">
        <w:r w:rsidRPr="003650BC">
          <w:rPr>
            <w:color w:val="1155CC"/>
            <w:sz w:val="24"/>
            <w:szCs w:val="24"/>
            <w:u w:val="single"/>
          </w:rPr>
          <w:t>https://doi.org/10.4018/979-8-3373-0781-7.ch003</w:t>
        </w:r>
      </w:hyperlink>
      <w:r w:rsidRPr="003650BC">
        <w:rPr>
          <w:sz w:val="24"/>
          <w:szCs w:val="24"/>
        </w:rPr>
        <w:t xml:space="preserve"> </w:t>
      </w:r>
    </w:p>
    <w:p w14:paraId="5C5C19F1" w14:textId="77777777" w:rsidR="008512D4" w:rsidRPr="003650BC" w:rsidRDefault="00630AE1" w:rsidP="003650BC">
      <w:pPr>
        <w:spacing w:after="240"/>
        <w:ind w:left="900" w:hanging="900"/>
        <w:rPr>
          <w:sz w:val="24"/>
          <w:szCs w:val="24"/>
        </w:rPr>
      </w:pPr>
      <w:r w:rsidRPr="003650BC">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3650BC">
        <w:rPr>
          <w:i/>
          <w:sz w:val="24"/>
          <w:szCs w:val="24"/>
        </w:rPr>
        <w:t>Asian Journal of Economics</w:t>
      </w:r>
      <w:r w:rsidR="00190F55">
        <w:rPr>
          <w:i/>
          <w:sz w:val="24"/>
          <w:szCs w:val="24"/>
        </w:rPr>
        <w:t>,</w:t>
      </w:r>
      <w:r w:rsidRPr="003650BC">
        <w:rPr>
          <w:i/>
          <w:sz w:val="24"/>
          <w:szCs w:val="24"/>
        </w:rPr>
        <w:t xml:space="preserve"> Business and Accounting</w:t>
      </w:r>
      <w:r w:rsidRPr="003650BC">
        <w:rPr>
          <w:sz w:val="24"/>
          <w:szCs w:val="24"/>
        </w:rPr>
        <w:t xml:space="preserve">, </w:t>
      </w:r>
      <w:r w:rsidRPr="003650BC">
        <w:rPr>
          <w:i/>
          <w:sz w:val="24"/>
          <w:szCs w:val="24"/>
        </w:rPr>
        <w:t>24</w:t>
      </w:r>
      <w:r w:rsidRPr="003650BC">
        <w:rPr>
          <w:sz w:val="24"/>
          <w:szCs w:val="24"/>
        </w:rPr>
        <w:t xml:space="preserve">(11), 47–73. </w:t>
      </w:r>
      <w:hyperlink r:id="rId33">
        <w:r w:rsidRPr="003650BC">
          <w:rPr>
            <w:color w:val="1155CC"/>
            <w:sz w:val="24"/>
            <w:szCs w:val="24"/>
            <w:u w:val="single"/>
          </w:rPr>
          <w:t>https://doi.org/10.9734/ajeba/2024/v24i111542</w:t>
        </w:r>
      </w:hyperlink>
      <w:r w:rsidRPr="003650BC">
        <w:rPr>
          <w:sz w:val="24"/>
          <w:szCs w:val="24"/>
        </w:rPr>
        <w:t xml:space="preserve"> </w:t>
      </w:r>
    </w:p>
    <w:p w14:paraId="545C23EB" w14:textId="77777777" w:rsidR="008512D4" w:rsidRPr="003650BC" w:rsidRDefault="00630AE1" w:rsidP="003650BC">
      <w:pPr>
        <w:spacing w:after="240"/>
        <w:ind w:left="900" w:hanging="900"/>
        <w:rPr>
          <w:sz w:val="24"/>
          <w:szCs w:val="24"/>
        </w:rPr>
      </w:pPr>
      <w:r w:rsidRPr="003650BC">
        <w:rPr>
          <w:sz w:val="24"/>
          <w:szCs w:val="24"/>
        </w:rPr>
        <w:t>Alex-</w:t>
      </w:r>
      <w:proofErr w:type="spellStart"/>
      <w:r w:rsidRPr="003650BC">
        <w:rPr>
          <w:sz w:val="24"/>
          <w:szCs w:val="24"/>
        </w:rPr>
        <w:t>Adedipe</w:t>
      </w:r>
      <w:proofErr w:type="spellEnd"/>
      <w:r w:rsidRPr="003650BC">
        <w:rPr>
          <w:sz w:val="24"/>
          <w:szCs w:val="24"/>
        </w:rPr>
        <w:t xml:space="preserve">, A. (2025). </w:t>
      </w:r>
      <w:r w:rsidRPr="003650BC">
        <w:rPr>
          <w:i/>
          <w:sz w:val="24"/>
          <w:szCs w:val="24"/>
        </w:rPr>
        <w:t>Regulatory Update: NDPC Issues General Application and Implementation Directive (GAID): Practical Compliance Considerations for Data Controllers and Processors | A Leading Commercial &amp; Dispute Resolution Law Firm in Nigeria</w:t>
      </w:r>
      <w:r w:rsidRPr="003650BC">
        <w:rPr>
          <w:sz w:val="24"/>
          <w:szCs w:val="24"/>
        </w:rPr>
        <w:t xml:space="preserve">. A Leading Commercial &amp; Dispute Resolution Law Firm in Nigeria |. </w:t>
      </w:r>
      <w:hyperlink r:id="rId34">
        <w:r w:rsidRPr="003650BC">
          <w:rPr>
            <w:color w:val="1155CC"/>
            <w:sz w:val="24"/>
            <w:szCs w:val="24"/>
            <w:u w:val="single"/>
          </w:rPr>
          <w:t>https://www.doa-law.com/ndpc-gaid/</w:t>
        </w:r>
      </w:hyperlink>
      <w:r w:rsidRPr="003650BC">
        <w:rPr>
          <w:sz w:val="24"/>
          <w:szCs w:val="24"/>
        </w:rPr>
        <w:t xml:space="preserve"> </w:t>
      </w:r>
    </w:p>
    <w:p w14:paraId="6DDAC164" w14:textId="77777777" w:rsidR="008512D4" w:rsidRPr="003650BC" w:rsidRDefault="00630AE1" w:rsidP="003650BC">
      <w:pPr>
        <w:spacing w:after="240"/>
        <w:ind w:left="900" w:hanging="900"/>
        <w:rPr>
          <w:sz w:val="24"/>
          <w:szCs w:val="24"/>
        </w:rPr>
      </w:pPr>
      <w:r w:rsidRPr="003650BC">
        <w:rPr>
          <w:sz w:val="24"/>
          <w:szCs w:val="24"/>
        </w:rPr>
        <w:t>Anderson, P. D. (2021). Review of Crypto Wars</w:t>
      </w:r>
      <w:r w:rsidR="004A3BB5">
        <w:rPr>
          <w:sz w:val="24"/>
          <w:szCs w:val="24"/>
        </w:rPr>
        <w:t xml:space="preserve"> </w:t>
      </w:r>
      <w:proofErr w:type="gramStart"/>
      <w:r w:rsidRPr="003650BC">
        <w:rPr>
          <w:sz w:val="24"/>
          <w:szCs w:val="24"/>
        </w:rPr>
        <w:t>The</w:t>
      </w:r>
      <w:proofErr w:type="gramEnd"/>
      <w:r w:rsidRPr="003650BC">
        <w:rPr>
          <w:sz w:val="24"/>
          <w:szCs w:val="24"/>
        </w:rPr>
        <w:t xml:space="preserve"> Fight for Privacy in the Digital Age: </w:t>
      </w:r>
      <w:proofErr w:type="gramStart"/>
      <w:r w:rsidRPr="003650BC">
        <w:rPr>
          <w:sz w:val="24"/>
          <w:szCs w:val="24"/>
        </w:rPr>
        <w:t>a</w:t>
      </w:r>
      <w:proofErr w:type="gramEnd"/>
      <w:r w:rsidRPr="003650BC">
        <w:rPr>
          <w:sz w:val="24"/>
          <w:szCs w:val="24"/>
        </w:rPr>
        <w:t xml:space="preserve"> Political History of Digital Encryption. </w:t>
      </w:r>
      <w:proofErr w:type="spellStart"/>
      <w:r w:rsidRPr="003650BC">
        <w:rPr>
          <w:i/>
          <w:sz w:val="24"/>
          <w:szCs w:val="24"/>
        </w:rPr>
        <w:t>Cryptologia</w:t>
      </w:r>
      <w:proofErr w:type="spellEnd"/>
      <w:r w:rsidRPr="003650BC">
        <w:rPr>
          <w:sz w:val="24"/>
          <w:szCs w:val="24"/>
        </w:rPr>
        <w:t xml:space="preserve">, </w:t>
      </w:r>
      <w:r w:rsidRPr="003650BC">
        <w:rPr>
          <w:i/>
          <w:sz w:val="24"/>
          <w:szCs w:val="24"/>
        </w:rPr>
        <w:t>47</w:t>
      </w:r>
      <w:r w:rsidRPr="003650BC">
        <w:rPr>
          <w:sz w:val="24"/>
          <w:szCs w:val="24"/>
        </w:rPr>
        <w:t xml:space="preserve">(3), 1–14. </w:t>
      </w:r>
      <w:hyperlink r:id="rId35">
        <w:r w:rsidRPr="003650BC">
          <w:rPr>
            <w:color w:val="1155CC"/>
            <w:sz w:val="24"/>
            <w:szCs w:val="24"/>
            <w:u w:val="single"/>
          </w:rPr>
          <w:t>https://doi.org/10.1080/01611194.2021.2002977</w:t>
        </w:r>
      </w:hyperlink>
      <w:r w:rsidRPr="003650BC">
        <w:rPr>
          <w:sz w:val="24"/>
          <w:szCs w:val="24"/>
        </w:rPr>
        <w:t xml:space="preserve"> </w:t>
      </w:r>
    </w:p>
    <w:p w14:paraId="7C39FD0E" w14:textId="77777777" w:rsidR="008512D4" w:rsidRPr="003650BC" w:rsidRDefault="00630AE1" w:rsidP="003650BC">
      <w:pPr>
        <w:spacing w:after="240"/>
        <w:ind w:left="900" w:hanging="900"/>
        <w:rPr>
          <w:sz w:val="24"/>
          <w:szCs w:val="24"/>
        </w:rPr>
      </w:pPr>
      <w:r w:rsidRPr="003650BC">
        <w:rPr>
          <w:sz w:val="24"/>
          <w:szCs w:val="24"/>
        </w:rPr>
        <w:t xml:space="preserve">Aquina, N., </w:t>
      </w:r>
      <w:proofErr w:type="spellStart"/>
      <w:r w:rsidRPr="003650BC">
        <w:rPr>
          <w:sz w:val="24"/>
          <w:szCs w:val="24"/>
        </w:rPr>
        <w:t>Cimoli</w:t>
      </w:r>
      <w:proofErr w:type="spellEnd"/>
      <w:r w:rsidRPr="003650BC">
        <w:rPr>
          <w:sz w:val="24"/>
          <w:szCs w:val="24"/>
        </w:rPr>
        <w:t xml:space="preserve">, B., Das, S., </w:t>
      </w:r>
      <w:proofErr w:type="spellStart"/>
      <w:r w:rsidRPr="003650BC">
        <w:rPr>
          <w:sz w:val="24"/>
          <w:szCs w:val="24"/>
        </w:rPr>
        <w:t>Hövelmanns</w:t>
      </w:r>
      <w:proofErr w:type="spellEnd"/>
      <w:r w:rsidRPr="003650BC">
        <w:rPr>
          <w:sz w:val="24"/>
          <w:szCs w:val="24"/>
        </w:rPr>
        <w:t>, K., Weber, F. J., Okonkwo, C., Rommel, S., Škorić, B., Monroy, I. T., &amp; Verschoor, S. (2025). A critical analysis of deployed use cases for quantum key distribution and comparison with post-</w:t>
      </w:r>
      <w:r w:rsidRPr="003650BC">
        <w:rPr>
          <w:sz w:val="24"/>
          <w:szCs w:val="24"/>
        </w:rPr>
        <w:lastRenderedPageBreak/>
        <w:t xml:space="preserve">quantum cryptography. </w:t>
      </w:r>
      <w:r w:rsidRPr="003650BC">
        <w:rPr>
          <w:i/>
          <w:sz w:val="24"/>
          <w:szCs w:val="24"/>
        </w:rPr>
        <w:t>EPJ Quantum Technology</w:t>
      </w:r>
      <w:r w:rsidRPr="003650BC">
        <w:rPr>
          <w:sz w:val="24"/>
          <w:szCs w:val="24"/>
        </w:rPr>
        <w:t xml:space="preserve">, </w:t>
      </w:r>
      <w:r w:rsidRPr="003650BC">
        <w:rPr>
          <w:i/>
          <w:sz w:val="24"/>
          <w:szCs w:val="24"/>
        </w:rPr>
        <w:t>12</w:t>
      </w:r>
      <w:r w:rsidRPr="003650BC">
        <w:rPr>
          <w:sz w:val="24"/>
          <w:szCs w:val="24"/>
        </w:rPr>
        <w:t xml:space="preserve">(1). </w:t>
      </w:r>
      <w:hyperlink r:id="rId36">
        <w:r w:rsidRPr="003650BC">
          <w:rPr>
            <w:color w:val="1155CC"/>
            <w:sz w:val="24"/>
            <w:szCs w:val="24"/>
            <w:u w:val="single"/>
          </w:rPr>
          <w:t>https://doi.org/10.1140/epjqt/s40507-025-00350-5</w:t>
        </w:r>
      </w:hyperlink>
      <w:r w:rsidRPr="003650BC">
        <w:rPr>
          <w:sz w:val="24"/>
          <w:szCs w:val="24"/>
        </w:rPr>
        <w:t xml:space="preserve"> </w:t>
      </w:r>
    </w:p>
    <w:p w14:paraId="57ADF94C" w14:textId="77777777" w:rsidR="008512D4" w:rsidRPr="003650BC" w:rsidRDefault="00630AE1" w:rsidP="003650BC">
      <w:pPr>
        <w:spacing w:after="240"/>
        <w:ind w:left="900" w:hanging="900"/>
        <w:rPr>
          <w:sz w:val="24"/>
          <w:szCs w:val="24"/>
        </w:rPr>
      </w:pPr>
      <w:r w:rsidRPr="003650BC">
        <w:rPr>
          <w:sz w:val="24"/>
          <w:szCs w:val="24"/>
        </w:rPr>
        <w:t xml:space="preserve">Azad, K., &amp; </w:t>
      </w:r>
      <w:proofErr w:type="spellStart"/>
      <w:r w:rsidRPr="003650BC">
        <w:rPr>
          <w:sz w:val="24"/>
          <w:szCs w:val="24"/>
        </w:rPr>
        <w:t>Siraparapu</w:t>
      </w:r>
      <w:proofErr w:type="spellEnd"/>
      <w:r w:rsidRPr="003650BC">
        <w:rPr>
          <w:sz w:val="24"/>
          <w:szCs w:val="24"/>
        </w:rPr>
        <w:t xml:space="preserve">, S. R. (2024). Securing the </w:t>
      </w:r>
      <w:proofErr w:type="spellStart"/>
      <w:r w:rsidRPr="003650BC">
        <w:rPr>
          <w:sz w:val="24"/>
          <w:szCs w:val="24"/>
        </w:rPr>
        <w:t>Iot</w:t>
      </w:r>
      <w:proofErr w:type="spellEnd"/>
      <w:r w:rsidRPr="003650BC">
        <w:rPr>
          <w:sz w:val="24"/>
          <w:szCs w:val="24"/>
        </w:rPr>
        <w:t xml:space="preserve"> Landscape: A Comprehensive Review of Secure Systems in the Digital Era. </w:t>
      </w:r>
      <w:r w:rsidRPr="003650BC">
        <w:rPr>
          <w:i/>
          <w:sz w:val="24"/>
          <w:szCs w:val="24"/>
        </w:rPr>
        <w:t>E-Prime - Advances in Electrical Engineering, Electronics and Energy Volume 10, December 2024, 100798</w:t>
      </w:r>
      <w:r w:rsidRPr="003650BC">
        <w:rPr>
          <w:sz w:val="24"/>
          <w:szCs w:val="24"/>
        </w:rPr>
        <w:t xml:space="preserve">. </w:t>
      </w:r>
      <w:hyperlink r:id="rId37">
        <w:r w:rsidRPr="003650BC">
          <w:rPr>
            <w:color w:val="1155CC"/>
            <w:sz w:val="24"/>
            <w:szCs w:val="24"/>
            <w:u w:val="single"/>
          </w:rPr>
          <w:t>https://doi.org/10.2139/ssrn.4883320</w:t>
        </w:r>
      </w:hyperlink>
      <w:r w:rsidRPr="003650BC">
        <w:rPr>
          <w:sz w:val="24"/>
          <w:szCs w:val="24"/>
        </w:rPr>
        <w:t xml:space="preserve"> </w:t>
      </w:r>
    </w:p>
    <w:p w14:paraId="4841B226" w14:textId="77777777" w:rsidR="008512D4" w:rsidRPr="003650BC" w:rsidRDefault="00630AE1" w:rsidP="003650BC">
      <w:pPr>
        <w:spacing w:after="240"/>
        <w:ind w:left="900" w:hanging="900"/>
        <w:rPr>
          <w:sz w:val="24"/>
          <w:szCs w:val="24"/>
        </w:rPr>
      </w:pPr>
      <w:r w:rsidRPr="003650BC">
        <w:rPr>
          <w:sz w:val="24"/>
          <w:szCs w:val="24"/>
        </w:rPr>
        <w:t xml:space="preserve">Balogun, A. Y., Alao, A. I., &amp; Olaniyi, O. O. (2025). Disinformation in the digital era: The role of deepfakes, artificial intelligence, and open-source intelligence in shaping public trust and policy responses. </w:t>
      </w:r>
      <w:r w:rsidRPr="003650BC">
        <w:rPr>
          <w:i/>
          <w:sz w:val="24"/>
          <w:szCs w:val="24"/>
        </w:rPr>
        <w:t>Computer Science &amp; IT Research Journal</w:t>
      </w:r>
      <w:r w:rsidRPr="003650BC">
        <w:rPr>
          <w:sz w:val="24"/>
          <w:szCs w:val="24"/>
        </w:rPr>
        <w:t xml:space="preserve">, </w:t>
      </w:r>
      <w:r w:rsidRPr="003650BC">
        <w:rPr>
          <w:i/>
          <w:sz w:val="24"/>
          <w:szCs w:val="24"/>
        </w:rPr>
        <w:t>6</w:t>
      </w:r>
      <w:r w:rsidRPr="003650BC">
        <w:rPr>
          <w:sz w:val="24"/>
          <w:szCs w:val="24"/>
        </w:rPr>
        <w:t xml:space="preserve">(2), 28–48. </w:t>
      </w:r>
      <w:hyperlink r:id="rId38">
        <w:r w:rsidRPr="003650BC">
          <w:rPr>
            <w:color w:val="1155CC"/>
            <w:sz w:val="24"/>
            <w:szCs w:val="24"/>
            <w:u w:val="single"/>
          </w:rPr>
          <w:t>https://doi.org/10.51594/csitrj.v6i2.1824</w:t>
        </w:r>
      </w:hyperlink>
      <w:r w:rsidRPr="003650BC">
        <w:rPr>
          <w:sz w:val="24"/>
          <w:szCs w:val="24"/>
        </w:rPr>
        <w:t xml:space="preserve"> </w:t>
      </w:r>
    </w:p>
    <w:p w14:paraId="1B5C37F8" w14:textId="77777777" w:rsidR="008512D4" w:rsidRPr="003650BC" w:rsidRDefault="00630AE1" w:rsidP="003650BC">
      <w:pPr>
        <w:spacing w:after="240"/>
        <w:ind w:left="900" w:hanging="900"/>
        <w:rPr>
          <w:sz w:val="24"/>
          <w:szCs w:val="24"/>
        </w:rPr>
      </w:pPr>
      <w:r w:rsidRPr="003650BC">
        <w:rPr>
          <w:sz w:val="24"/>
          <w:szCs w:val="24"/>
        </w:rPr>
        <w:t xml:space="preserve">Balogun, A. Y., Olaniyi, O. O., Olisa, A. O., Gbadebo, M. O., &amp; </w:t>
      </w:r>
      <w:proofErr w:type="spellStart"/>
      <w:r w:rsidRPr="003650BC">
        <w:rPr>
          <w:sz w:val="24"/>
          <w:szCs w:val="24"/>
        </w:rPr>
        <w:t>Chinye</w:t>
      </w:r>
      <w:proofErr w:type="spellEnd"/>
      <w:r w:rsidRPr="003650BC">
        <w:rPr>
          <w:sz w:val="24"/>
          <w:szCs w:val="24"/>
        </w:rPr>
        <w:t xml:space="preserve">, N. C. (2025). Enhancing Incident Response Strategies in U.S. Healthcare Cybersecurity.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(2), 114–135. </w:t>
      </w:r>
      <w:hyperlink r:id="rId39">
        <w:r w:rsidRPr="003650BC">
          <w:rPr>
            <w:color w:val="1155CC"/>
            <w:sz w:val="24"/>
            <w:szCs w:val="24"/>
            <w:u w:val="single"/>
          </w:rPr>
          <w:t>https://doi.org/10.9734/jerr/2025/v27i21399</w:t>
        </w:r>
      </w:hyperlink>
      <w:r w:rsidRPr="003650BC">
        <w:rPr>
          <w:sz w:val="24"/>
          <w:szCs w:val="24"/>
        </w:rPr>
        <w:t xml:space="preserve"> </w:t>
      </w:r>
    </w:p>
    <w:p w14:paraId="3BDBE89B" w14:textId="77777777" w:rsidR="008512D4" w:rsidRPr="003650BC" w:rsidRDefault="00630AE1" w:rsidP="003650BC">
      <w:pPr>
        <w:spacing w:after="240"/>
        <w:ind w:left="900" w:hanging="900"/>
        <w:rPr>
          <w:sz w:val="24"/>
          <w:szCs w:val="24"/>
        </w:rPr>
      </w:pPr>
      <w:proofErr w:type="spellStart"/>
      <w:r w:rsidRPr="003650BC">
        <w:rPr>
          <w:sz w:val="24"/>
          <w:szCs w:val="24"/>
        </w:rPr>
        <w:t>Borgogno</w:t>
      </w:r>
      <w:proofErr w:type="spellEnd"/>
      <w:r w:rsidRPr="003650BC">
        <w:rPr>
          <w:sz w:val="24"/>
          <w:szCs w:val="24"/>
        </w:rPr>
        <w:t xml:space="preserve">, O., &amp; </w:t>
      </w:r>
      <w:proofErr w:type="spellStart"/>
      <w:r w:rsidRPr="003650BC">
        <w:rPr>
          <w:sz w:val="24"/>
          <w:szCs w:val="24"/>
        </w:rPr>
        <w:t>Zangrandi</w:t>
      </w:r>
      <w:proofErr w:type="spellEnd"/>
      <w:r w:rsidRPr="003650BC">
        <w:rPr>
          <w:sz w:val="24"/>
          <w:szCs w:val="24"/>
        </w:rPr>
        <w:t xml:space="preserve">, M. S. (2024). Chinese Data Governance and Trade Policy: From Cyber Sovereignty to the Quest for Digital Hegemony? </w:t>
      </w:r>
      <w:r w:rsidRPr="003650BC">
        <w:rPr>
          <w:i/>
          <w:sz w:val="24"/>
          <w:szCs w:val="24"/>
        </w:rPr>
        <w:t>Journal of Contemporary China</w:t>
      </w:r>
      <w:r w:rsidRPr="003650BC">
        <w:rPr>
          <w:sz w:val="24"/>
          <w:szCs w:val="24"/>
        </w:rPr>
        <w:t xml:space="preserve">, </w:t>
      </w:r>
      <w:r w:rsidRPr="003650BC">
        <w:rPr>
          <w:i/>
          <w:sz w:val="24"/>
          <w:szCs w:val="24"/>
        </w:rPr>
        <w:t>33</w:t>
      </w:r>
      <w:r w:rsidRPr="003650BC">
        <w:rPr>
          <w:sz w:val="24"/>
          <w:szCs w:val="24"/>
        </w:rPr>
        <w:t xml:space="preserve">(148), 1–25. </w:t>
      </w:r>
      <w:hyperlink r:id="rId40">
        <w:r w:rsidRPr="003650BC">
          <w:rPr>
            <w:color w:val="1155CC"/>
            <w:sz w:val="24"/>
            <w:szCs w:val="24"/>
            <w:u w:val="single"/>
          </w:rPr>
          <w:t>https://doi.org/10.1080/10670564.2023.2299961</w:t>
        </w:r>
      </w:hyperlink>
      <w:r w:rsidRPr="003650BC">
        <w:rPr>
          <w:sz w:val="24"/>
          <w:szCs w:val="24"/>
        </w:rPr>
        <w:t xml:space="preserve"> </w:t>
      </w:r>
    </w:p>
    <w:p w14:paraId="7E774F08" w14:textId="77777777" w:rsidR="008512D4" w:rsidRPr="003650BC" w:rsidRDefault="00630AE1" w:rsidP="003650BC">
      <w:pPr>
        <w:spacing w:after="240"/>
        <w:ind w:left="900" w:hanging="900"/>
        <w:rPr>
          <w:sz w:val="24"/>
          <w:szCs w:val="24"/>
        </w:rPr>
      </w:pPr>
      <w:r w:rsidRPr="003650BC">
        <w:rPr>
          <w:sz w:val="24"/>
          <w:szCs w:val="24"/>
        </w:rPr>
        <w:t xml:space="preserve">Chan, K. (2023). </w:t>
      </w:r>
      <w:r w:rsidRPr="003650BC">
        <w:rPr>
          <w:i/>
          <w:sz w:val="24"/>
          <w:szCs w:val="24"/>
        </w:rPr>
        <w:t>UK’s new online safety law adds to crackdown on Big Tech companies</w:t>
      </w:r>
      <w:r w:rsidRPr="003650BC">
        <w:rPr>
          <w:sz w:val="24"/>
          <w:szCs w:val="24"/>
        </w:rPr>
        <w:t xml:space="preserve">. AP News. </w:t>
      </w:r>
      <w:hyperlink r:id="rId41">
        <w:r w:rsidRPr="003650BC">
          <w:rPr>
            <w:color w:val="1155CC"/>
            <w:sz w:val="24"/>
            <w:szCs w:val="24"/>
            <w:u w:val="single"/>
          </w:rPr>
          <w:t>https://apnews.com/article/online-safety-bill-uk-tech-regulation-4371bbb0d7442eed0f44bf7839443268</w:t>
        </w:r>
      </w:hyperlink>
      <w:r w:rsidRPr="003650BC">
        <w:rPr>
          <w:sz w:val="24"/>
          <w:szCs w:val="24"/>
        </w:rPr>
        <w:t xml:space="preserve"> </w:t>
      </w:r>
    </w:p>
    <w:p w14:paraId="421FE61C" w14:textId="77777777" w:rsidR="008512D4" w:rsidRPr="003650BC" w:rsidRDefault="00630AE1" w:rsidP="003650BC">
      <w:pPr>
        <w:spacing w:after="240"/>
        <w:ind w:left="900" w:hanging="900"/>
        <w:rPr>
          <w:sz w:val="24"/>
          <w:szCs w:val="24"/>
        </w:rPr>
      </w:pPr>
      <w:proofErr w:type="spellStart"/>
      <w:r w:rsidRPr="003650BC">
        <w:rPr>
          <w:sz w:val="24"/>
          <w:szCs w:val="24"/>
        </w:rPr>
        <w:t>Compagnucci</w:t>
      </w:r>
      <w:proofErr w:type="spellEnd"/>
      <w:r w:rsidRPr="003650BC">
        <w:rPr>
          <w:sz w:val="24"/>
          <w:szCs w:val="24"/>
        </w:rPr>
        <w:t xml:space="preserve">, M. C., &amp; Fenwick, M. (2024). A Multidisciplinary Perspective on Cross-Border Health Data Transfers: Privacy, Risks and Solutions. </w:t>
      </w:r>
      <w:r w:rsidRPr="003650BC">
        <w:rPr>
          <w:i/>
          <w:sz w:val="24"/>
          <w:szCs w:val="24"/>
        </w:rPr>
        <w:t>Perspectives in Law, Business and Innovation</w:t>
      </w:r>
      <w:r w:rsidRPr="003650BC">
        <w:rPr>
          <w:sz w:val="24"/>
          <w:szCs w:val="24"/>
        </w:rPr>
        <w:t xml:space="preserve">, 1–15. </w:t>
      </w:r>
      <w:hyperlink r:id="rId42">
        <w:r w:rsidRPr="003650BC">
          <w:rPr>
            <w:color w:val="1155CC"/>
            <w:sz w:val="24"/>
            <w:szCs w:val="24"/>
            <w:u w:val="single"/>
          </w:rPr>
          <w:t>https://doi.org/10.1007/978-981-97-9983-1_1</w:t>
        </w:r>
      </w:hyperlink>
      <w:r w:rsidRPr="003650BC">
        <w:rPr>
          <w:sz w:val="24"/>
          <w:szCs w:val="24"/>
        </w:rPr>
        <w:t xml:space="preserve"> </w:t>
      </w:r>
    </w:p>
    <w:p w14:paraId="5CCB91EB" w14:textId="77777777" w:rsidR="008512D4" w:rsidRPr="003650BC" w:rsidRDefault="00630AE1" w:rsidP="003650BC">
      <w:pPr>
        <w:spacing w:after="240"/>
        <w:ind w:left="900" w:hanging="900"/>
        <w:rPr>
          <w:sz w:val="24"/>
          <w:szCs w:val="24"/>
        </w:rPr>
      </w:pPr>
      <w:r w:rsidRPr="003650BC">
        <w:rPr>
          <w:sz w:val="24"/>
          <w:szCs w:val="24"/>
        </w:rPr>
        <w:t xml:space="preserve">Cyber Security Intelligence. (2025). </w:t>
      </w:r>
      <w:r w:rsidRPr="003650BC">
        <w:rPr>
          <w:i/>
          <w:sz w:val="24"/>
          <w:szCs w:val="24"/>
        </w:rPr>
        <w:t xml:space="preserve">Ransomware Attacks </w:t>
      </w:r>
      <w:proofErr w:type="gramStart"/>
      <w:r w:rsidRPr="003650BC">
        <w:rPr>
          <w:i/>
          <w:sz w:val="24"/>
          <w:szCs w:val="24"/>
        </w:rPr>
        <w:t>On</w:t>
      </w:r>
      <w:proofErr w:type="gramEnd"/>
      <w:r w:rsidRPr="003650BC">
        <w:rPr>
          <w:i/>
          <w:sz w:val="24"/>
          <w:szCs w:val="24"/>
        </w:rPr>
        <w:t xml:space="preserve"> </w:t>
      </w:r>
      <w:proofErr w:type="gramStart"/>
      <w:r w:rsidRPr="003650BC">
        <w:rPr>
          <w:i/>
          <w:sz w:val="24"/>
          <w:szCs w:val="24"/>
        </w:rPr>
        <w:t>The</w:t>
      </w:r>
      <w:proofErr w:type="gramEnd"/>
      <w:r w:rsidRPr="003650BC">
        <w:rPr>
          <w:i/>
          <w:sz w:val="24"/>
          <w:szCs w:val="24"/>
        </w:rPr>
        <w:t xml:space="preserve"> Energy Sector Surging</w:t>
      </w:r>
      <w:r w:rsidRPr="003650BC">
        <w:rPr>
          <w:sz w:val="24"/>
          <w:szCs w:val="24"/>
        </w:rPr>
        <w:t xml:space="preserve">. Cybersecurityintelligence.com. </w:t>
      </w:r>
      <w:hyperlink r:id="rId43">
        <w:r w:rsidRPr="003650BC">
          <w:rPr>
            <w:color w:val="1155CC"/>
            <w:sz w:val="24"/>
            <w:szCs w:val="24"/>
            <w:u w:val="single"/>
          </w:rPr>
          <w:t>https://www.cybersecurityintelligence.com/blog/ransomware-attacks-on-the-energy-sector-surges-8389.html</w:t>
        </w:r>
      </w:hyperlink>
      <w:r w:rsidRPr="003650BC">
        <w:rPr>
          <w:sz w:val="24"/>
          <w:szCs w:val="24"/>
        </w:rPr>
        <w:t xml:space="preserve"> </w:t>
      </w:r>
    </w:p>
    <w:p w14:paraId="08A9C4BC" w14:textId="77777777" w:rsidR="008512D4" w:rsidRPr="003650BC" w:rsidRDefault="00630AE1" w:rsidP="003650BC">
      <w:pPr>
        <w:spacing w:after="240"/>
        <w:ind w:left="900" w:hanging="900"/>
        <w:rPr>
          <w:sz w:val="24"/>
          <w:szCs w:val="24"/>
        </w:rPr>
      </w:pPr>
      <w:r w:rsidRPr="003650BC">
        <w:rPr>
          <w:sz w:val="24"/>
          <w:szCs w:val="24"/>
        </w:rPr>
        <w:t xml:space="preserve">Dareen, S., &amp; Vallari, S. (2024). </w:t>
      </w:r>
      <w:r w:rsidRPr="003650BC">
        <w:rPr>
          <w:i/>
          <w:sz w:val="24"/>
          <w:szCs w:val="24"/>
        </w:rPr>
        <w:t>Cyberattacks on US utilities surged 70% this year, says Check Point</w:t>
      </w:r>
      <w:r w:rsidRPr="003650BC">
        <w:rPr>
          <w:sz w:val="24"/>
          <w:szCs w:val="24"/>
        </w:rPr>
        <w:t xml:space="preserve">. Reuters. </w:t>
      </w:r>
      <w:hyperlink r:id="rId44">
        <w:r w:rsidRPr="003650BC">
          <w:rPr>
            <w:color w:val="1155CC"/>
            <w:sz w:val="24"/>
            <w:szCs w:val="24"/>
            <w:u w:val="single"/>
          </w:rPr>
          <w:t>https://www.reuters.com/technology/cybersecurity/cyberattacks-us-utilities-surged-70-this-year-says-check-point-2024-09-11/</w:t>
        </w:r>
      </w:hyperlink>
      <w:r w:rsidRPr="003650BC">
        <w:rPr>
          <w:sz w:val="24"/>
          <w:szCs w:val="24"/>
        </w:rPr>
        <w:t xml:space="preserve"> </w:t>
      </w:r>
    </w:p>
    <w:p w14:paraId="73ED0409" w14:textId="77777777" w:rsidR="008512D4" w:rsidRPr="003650BC" w:rsidRDefault="00630AE1" w:rsidP="003650BC">
      <w:pPr>
        <w:spacing w:after="240"/>
        <w:ind w:left="900" w:hanging="900"/>
        <w:rPr>
          <w:sz w:val="24"/>
          <w:szCs w:val="24"/>
        </w:rPr>
      </w:pPr>
      <w:r w:rsidRPr="003650BC">
        <w:rPr>
          <w:sz w:val="24"/>
          <w:szCs w:val="24"/>
        </w:rPr>
        <w:lastRenderedPageBreak/>
        <w:t xml:space="preserve">Datta, P. M. (2022). Cybersecurity Protection Framework. </w:t>
      </w:r>
      <w:r w:rsidRPr="003650BC">
        <w:rPr>
          <w:i/>
          <w:sz w:val="24"/>
          <w:szCs w:val="24"/>
        </w:rPr>
        <w:t xml:space="preserve">Springer </w:t>
      </w:r>
      <w:proofErr w:type="spellStart"/>
      <w:r w:rsidRPr="003650BC">
        <w:rPr>
          <w:i/>
          <w:sz w:val="24"/>
          <w:szCs w:val="24"/>
        </w:rPr>
        <w:t>EBooks</w:t>
      </w:r>
      <w:proofErr w:type="spellEnd"/>
      <w:r w:rsidRPr="003650BC">
        <w:rPr>
          <w:sz w:val="24"/>
          <w:szCs w:val="24"/>
        </w:rPr>
        <w:t xml:space="preserve">, 171–186. </w:t>
      </w:r>
      <w:hyperlink r:id="rId45">
        <w:r w:rsidRPr="003650BC">
          <w:rPr>
            <w:color w:val="1155CC"/>
            <w:sz w:val="24"/>
            <w:szCs w:val="24"/>
            <w:u w:val="single"/>
          </w:rPr>
          <w:t>https://doi.org/10.1007/978-3-030-96929-5_11</w:t>
        </w:r>
      </w:hyperlink>
      <w:r w:rsidRPr="003650BC">
        <w:rPr>
          <w:sz w:val="24"/>
          <w:szCs w:val="24"/>
        </w:rPr>
        <w:t xml:space="preserve"> </w:t>
      </w:r>
    </w:p>
    <w:p w14:paraId="66C0BFC2" w14:textId="77777777" w:rsidR="008512D4" w:rsidRPr="003650BC" w:rsidRDefault="00630AE1" w:rsidP="003650BC">
      <w:pPr>
        <w:spacing w:after="240"/>
        <w:ind w:left="900" w:hanging="900"/>
        <w:rPr>
          <w:sz w:val="24"/>
          <w:szCs w:val="24"/>
        </w:rPr>
      </w:pPr>
      <w:r w:rsidRPr="003650BC">
        <w:rPr>
          <w:sz w:val="24"/>
          <w:szCs w:val="24"/>
        </w:rPr>
        <w:t xml:space="preserve">Davies, V. (2025). </w:t>
      </w:r>
      <w:r w:rsidRPr="003650BC">
        <w:rPr>
          <w:i/>
          <w:sz w:val="24"/>
          <w:szCs w:val="24"/>
        </w:rPr>
        <w:t>French National Assembly rejects anti-encryption proposal</w:t>
      </w:r>
      <w:r w:rsidRPr="003650BC">
        <w:rPr>
          <w:sz w:val="24"/>
          <w:szCs w:val="24"/>
        </w:rPr>
        <w:t xml:space="preserve">. Computing.co.uk. </w:t>
      </w:r>
      <w:hyperlink r:id="rId46">
        <w:r w:rsidRPr="003650BC">
          <w:rPr>
            <w:color w:val="1155CC"/>
            <w:sz w:val="24"/>
            <w:szCs w:val="24"/>
            <w:u w:val="single"/>
          </w:rPr>
          <w:t>https://www.computing.co.uk/news/2025/legislation-regulation/french-national-assembly-rejects-anti-encryption-proposal</w:t>
        </w:r>
      </w:hyperlink>
      <w:r w:rsidRPr="003650BC">
        <w:rPr>
          <w:sz w:val="24"/>
          <w:szCs w:val="24"/>
        </w:rPr>
        <w:t xml:space="preserve"> </w:t>
      </w:r>
    </w:p>
    <w:p w14:paraId="0B89644D" w14:textId="77777777" w:rsidR="008512D4" w:rsidRPr="003650BC" w:rsidRDefault="00630AE1" w:rsidP="003650BC">
      <w:pPr>
        <w:spacing w:after="240"/>
        <w:ind w:left="900" w:hanging="900"/>
        <w:rPr>
          <w:sz w:val="24"/>
          <w:szCs w:val="24"/>
        </w:rPr>
      </w:pPr>
      <w:proofErr w:type="spellStart"/>
      <w:r w:rsidRPr="003650BC">
        <w:rPr>
          <w:sz w:val="24"/>
          <w:szCs w:val="24"/>
        </w:rPr>
        <w:t>DigWatch</w:t>
      </w:r>
      <w:proofErr w:type="spellEnd"/>
      <w:r w:rsidRPr="003650BC">
        <w:rPr>
          <w:sz w:val="24"/>
          <w:szCs w:val="24"/>
        </w:rPr>
        <w:t xml:space="preserve">. (2025). </w:t>
      </w:r>
      <w:r w:rsidRPr="003650BC">
        <w:rPr>
          <w:i/>
          <w:sz w:val="24"/>
          <w:szCs w:val="24"/>
        </w:rPr>
        <w:t>OECD and WTO joint report highlights economic impact of data regulation and advocates balanced approach | Digital Watch Observatory</w:t>
      </w:r>
      <w:r w:rsidRPr="003650BC">
        <w:rPr>
          <w:sz w:val="24"/>
          <w:szCs w:val="24"/>
        </w:rPr>
        <w:t xml:space="preserve">. Digital Watch Observatory. </w:t>
      </w:r>
      <w:hyperlink r:id="rId47">
        <w:r w:rsidRPr="003650BC">
          <w:rPr>
            <w:color w:val="1155CC"/>
            <w:sz w:val="24"/>
            <w:szCs w:val="24"/>
            <w:u w:val="single"/>
          </w:rPr>
          <w:t>https://dig.watch/updates/oecd-and-wto-joint-report-highlights-economic-impact-of-data-regulation-and-advocates-balanced-approach</w:t>
        </w:r>
      </w:hyperlink>
      <w:r w:rsidRPr="003650BC">
        <w:rPr>
          <w:sz w:val="24"/>
          <w:szCs w:val="24"/>
        </w:rPr>
        <w:t xml:space="preserve"> </w:t>
      </w:r>
    </w:p>
    <w:p w14:paraId="30D983E3" w14:textId="77777777" w:rsidR="008512D4" w:rsidRPr="003650BC" w:rsidRDefault="00630AE1" w:rsidP="003650BC">
      <w:pPr>
        <w:spacing w:after="240"/>
        <w:ind w:left="900" w:hanging="900"/>
        <w:rPr>
          <w:sz w:val="24"/>
          <w:szCs w:val="24"/>
        </w:rPr>
      </w:pPr>
      <w:r w:rsidRPr="003650BC">
        <w:rPr>
          <w:sz w:val="24"/>
          <w:szCs w:val="24"/>
        </w:rPr>
        <w:t xml:space="preserve">Ejiofor, V. O., </w:t>
      </w:r>
      <w:proofErr w:type="spellStart"/>
      <w:r w:rsidRPr="003650BC">
        <w:rPr>
          <w:sz w:val="24"/>
          <w:szCs w:val="24"/>
        </w:rPr>
        <w:t>Ogunmolu</w:t>
      </w:r>
      <w:proofErr w:type="spellEnd"/>
      <w:r w:rsidRPr="003650BC">
        <w:rPr>
          <w:sz w:val="24"/>
          <w:szCs w:val="24"/>
        </w:rPr>
        <w:t xml:space="preserve">, A. M., Gbadebo, M. O., Joseph, S. A., &amp; </w:t>
      </w:r>
      <w:proofErr w:type="spellStart"/>
      <w:r w:rsidRPr="003650BC">
        <w:rPr>
          <w:sz w:val="24"/>
          <w:szCs w:val="24"/>
        </w:rPr>
        <w:t>Adesokan</w:t>
      </w:r>
      <w:proofErr w:type="spellEnd"/>
      <w:r w:rsidRPr="003650BC">
        <w:rPr>
          <w:sz w:val="24"/>
          <w:szCs w:val="24"/>
        </w:rPr>
        <w:t xml:space="preserve">-Imran, T. O. (2025). AI- Driven Risk Assessment for Enhancing Third Party Vendor Security in Healthcare Systems.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117–137. </w:t>
      </w:r>
      <w:hyperlink r:id="rId48">
        <w:r w:rsidRPr="003650BC">
          <w:rPr>
            <w:color w:val="1155CC"/>
            <w:sz w:val="24"/>
            <w:szCs w:val="24"/>
            <w:u w:val="single"/>
          </w:rPr>
          <w:t>https://doi.org/10.9734/jerr/2025/v27i51498</w:t>
        </w:r>
      </w:hyperlink>
      <w:r w:rsidRPr="003650BC">
        <w:rPr>
          <w:sz w:val="24"/>
          <w:szCs w:val="24"/>
        </w:rPr>
        <w:t xml:space="preserve"> </w:t>
      </w:r>
    </w:p>
    <w:p w14:paraId="23A571DC" w14:textId="77777777" w:rsidR="008512D4" w:rsidRPr="003650BC" w:rsidRDefault="00630AE1" w:rsidP="003650BC">
      <w:pPr>
        <w:spacing w:after="240"/>
        <w:ind w:left="900" w:hanging="900"/>
        <w:rPr>
          <w:sz w:val="24"/>
          <w:szCs w:val="24"/>
        </w:rPr>
      </w:pPr>
      <w:r w:rsidRPr="003650BC">
        <w:rPr>
          <w:sz w:val="24"/>
          <w:szCs w:val="24"/>
        </w:rPr>
        <w:t xml:space="preserve">Entrust. (2022). </w:t>
      </w:r>
      <w:r w:rsidRPr="003650BC">
        <w:rPr>
          <w:i/>
          <w:sz w:val="24"/>
          <w:szCs w:val="24"/>
        </w:rPr>
        <w:t>2022 Global Encryption Trends Study | Entrust</w:t>
      </w:r>
      <w:r w:rsidRPr="003650BC">
        <w:rPr>
          <w:sz w:val="24"/>
          <w:szCs w:val="24"/>
        </w:rPr>
        <w:t xml:space="preserve">. Entrust.com. </w:t>
      </w:r>
      <w:hyperlink r:id="rId49">
        <w:r w:rsidRPr="003650BC">
          <w:rPr>
            <w:color w:val="1155CC"/>
            <w:sz w:val="24"/>
            <w:szCs w:val="24"/>
            <w:u w:val="single"/>
          </w:rPr>
          <w:t>https://www.entrust.com/resources/reports/global-encryption-trends-study</w:t>
        </w:r>
      </w:hyperlink>
      <w:r w:rsidRPr="003650BC">
        <w:rPr>
          <w:sz w:val="24"/>
          <w:szCs w:val="24"/>
        </w:rPr>
        <w:t xml:space="preserve"> </w:t>
      </w:r>
    </w:p>
    <w:p w14:paraId="1D0DC8F6" w14:textId="77777777" w:rsidR="008512D4" w:rsidRPr="003650BC" w:rsidRDefault="00630AE1" w:rsidP="003650BC">
      <w:pPr>
        <w:spacing w:after="240"/>
        <w:ind w:left="900" w:hanging="900"/>
        <w:rPr>
          <w:sz w:val="24"/>
          <w:szCs w:val="24"/>
        </w:rPr>
      </w:pPr>
      <w:r w:rsidRPr="003650BC">
        <w:rPr>
          <w:sz w:val="24"/>
          <w:szCs w:val="24"/>
        </w:rPr>
        <w:t xml:space="preserve">ENTSOE-E. (2024). </w:t>
      </w:r>
      <w:r w:rsidRPr="003650BC">
        <w:rPr>
          <w:i/>
          <w:sz w:val="24"/>
          <w:szCs w:val="24"/>
        </w:rPr>
        <w:t>Network Code on Cybersecurity</w:t>
      </w:r>
      <w:r w:rsidRPr="003650BC">
        <w:rPr>
          <w:sz w:val="24"/>
          <w:szCs w:val="24"/>
        </w:rPr>
        <w:t xml:space="preserve">. Entsoe.eu. </w:t>
      </w:r>
      <w:hyperlink r:id="rId50">
        <w:r w:rsidRPr="003650BC">
          <w:rPr>
            <w:color w:val="1155CC"/>
            <w:sz w:val="24"/>
            <w:szCs w:val="24"/>
            <w:u w:val="single"/>
          </w:rPr>
          <w:t>https://www.entsoe.eu/network_codes/nccs/</w:t>
        </w:r>
      </w:hyperlink>
      <w:r w:rsidRPr="003650BC">
        <w:rPr>
          <w:sz w:val="24"/>
          <w:szCs w:val="24"/>
        </w:rPr>
        <w:t xml:space="preserve"> </w:t>
      </w:r>
    </w:p>
    <w:p w14:paraId="34E33626" w14:textId="77777777" w:rsidR="008512D4" w:rsidRPr="003650BC" w:rsidRDefault="00630AE1" w:rsidP="003650BC">
      <w:pPr>
        <w:spacing w:after="240"/>
        <w:ind w:left="900" w:hanging="900"/>
        <w:rPr>
          <w:sz w:val="24"/>
          <w:szCs w:val="24"/>
        </w:rPr>
      </w:pPr>
      <w:proofErr w:type="spellStart"/>
      <w:r w:rsidRPr="003650BC">
        <w:rPr>
          <w:sz w:val="24"/>
          <w:szCs w:val="24"/>
        </w:rPr>
        <w:t>Eurelectric</w:t>
      </w:r>
      <w:proofErr w:type="spellEnd"/>
      <w:r w:rsidRPr="003650BC">
        <w:rPr>
          <w:sz w:val="24"/>
          <w:szCs w:val="24"/>
        </w:rPr>
        <w:t xml:space="preserve">. (2024). </w:t>
      </w:r>
      <w:proofErr w:type="spellStart"/>
      <w:r w:rsidRPr="003650BC">
        <w:rPr>
          <w:i/>
          <w:sz w:val="24"/>
          <w:szCs w:val="24"/>
        </w:rPr>
        <w:t>Cyber attacks</w:t>
      </w:r>
      <w:proofErr w:type="spellEnd"/>
      <w:r w:rsidRPr="003650BC">
        <w:rPr>
          <w:i/>
          <w:sz w:val="24"/>
          <w:szCs w:val="24"/>
        </w:rPr>
        <w:t xml:space="preserve"> on the rise in the EU: need for skills, investments and implementation - </w:t>
      </w:r>
      <w:proofErr w:type="spellStart"/>
      <w:r w:rsidRPr="003650BC">
        <w:rPr>
          <w:i/>
          <w:sz w:val="24"/>
          <w:szCs w:val="24"/>
        </w:rPr>
        <w:t>Eurelectric</w:t>
      </w:r>
      <w:proofErr w:type="spellEnd"/>
      <w:r w:rsidRPr="003650BC">
        <w:rPr>
          <w:i/>
          <w:sz w:val="24"/>
          <w:szCs w:val="24"/>
        </w:rPr>
        <w:t xml:space="preserve"> - Powering People</w:t>
      </w:r>
      <w:r w:rsidRPr="003650BC">
        <w:rPr>
          <w:sz w:val="24"/>
          <w:szCs w:val="24"/>
        </w:rPr>
        <w:t xml:space="preserve">. </w:t>
      </w:r>
      <w:proofErr w:type="spellStart"/>
      <w:r w:rsidRPr="003650BC">
        <w:rPr>
          <w:sz w:val="24"/>
          <w:szCs w:val="24"/>
        </w:rPr>
        <w:t>Eurelectric</w:t>
      </w:r>
      <w:proofErr w:type="spellEnd"/>
      <w:r w:rsidRPr="003650BC">
        <w:rPr>
          <w:sz w:val="24"/>
          <w:szCs w:val="24"/>
        </w:rPr>
        <w:t xml:space="preserve"> - Powering People. </w:t>
      </w:r>
      <w:hyperlink r:id="rId51">
        <w:r w:rsidRPr="003650BC">
          <w:rPr>
            <w:color w:val="1155CC"/>
            <w:sz w:val="24"/>
            <w:szCs w:val="24"/>
            <w:u w:val="single"/>
          </w:rPr>
          <w:t>https://www.eurelectric.org/news/cyber-attacks-on-the-rise-in-the-eu-need-for-skills-investments-and-implementation/</w:t>
        </w:r>
      </w:hyperlink>
      <w:r w:rsidRPr="003650BC">
        <w:rPr>
          <w:sz w:val="24"/>
          <w:szCs w:val="24"/>
        </w:rPr>
        <w:t xml:space="preserve"> </w:t>
      </w:r>
    </w:p>
    <w:p w14:paraId="0BA10CCD" w14:textId="77777777" w:rsidR="008512D4" w:rsidRPr="003650BC" w:rsidRDefault="00630AE1" w:rsidP="003650BC">
      <w:pPr>
        <w:spacing w:after="240"/>
        <w:ind w:left="900" w:hanging="900"/>
        <w:rPr>
          <w:sz w:val="24"/>
          <w:szCs w:val="24"/>
        </w:rPr>
      </w:pPr>
      <w:r w:rsidRPr="003650BC">
        <w:rPr>
          <w:sz w:val="24"/>
          <w:szCs w:val="24"/>
        </w:rPr>
        <w:t xml:space="preserve">European Commission. (2021). </w:t>
      </w:r>
      <w:r w:rsidRPr="003650BC">
        <w:rPr>
          <w:i/>
          <w:sz w:val="24"/>
          <w:szCs w:val="24"/>
        </w:rPr>
        <w:t>New Standard Contractual Clauses - Questions and Answers overview</w:t>
      </w:r>
      <w:r w:rsidRPr="003650BC">
        <w:rPr>
          <w:sz w:val="24"/>
          <w:szCs w:val="24"/>
        </w:rPr>
        <w:t xml:space="preserve">. Commission.europa.eu. </w:t>
      </w:r>
      <w:hyperlink r:id="rId52">
        <w:r w:rsidRPr="003650BC">
          <w:rPr>
            <w:color w:val="1155CC"/>
            <w:sz w:val="24"/>
            <w:szCs w:val="24"/>
            <w:u w:val="single"/>
          </w:rPr>
          <w:t>https://commission.europa.eu/law/law-topic/data-protection/international-dimension-data-protection/new-standard-contractual-clauses-questions-and-answers-overview_en</w:t>
        </w:r>
      </w:hyperlink>
      <w:r w:rsidRPr="003650BC">
        <w:rPr>
          <w:sz w:val="24"/>
          <w:szCs w:val="24"/>
        </w:rPr>
        <w:t xml:space="preserve"> </w:t>
      </w:r>
    </w:p>
    <w:p w14:paraId="3C74C267" w14:textId="77777777" w:rsidR="008512D4" w:rsidRPr="003650BC" w:rsidRDefault="00630AE1" w:rsidP="003650BC">
      <w:pPr>
        <w:spacing w:after="240"/>
        <w:ind w:left="900" w:hanging="900"/>
        <w:rPr>
          <w:sz w:val="24"/>
          <w:szCs w:val="24"/>
        </w:rPr>
      </w:pPr>
      <w:r w:rsidRPr="003650BC">
        <w:rPr>
          <w:sz w:val="24"/>
          <w:szCs w:val="24"/>
        </w:rPr>
        <w:t xml:space="preserve">European Commission. (2023). </w:t>
      </w:r>
      <w:r w:rsidRPr="003650BC">
        <w:rPr>
          <w:i/>
          <w:sz w:val="24"/>
          <w:szCs w:val="24"/>
        </w:rPr>
        <w:t>European Commission -Press release</w:t>
      </w:r>
      <w:r w:rsidRPr="003650BC">
        <w:rPr>
          <w:sz w:val="24"/>
          <w:szCs w:val="24"/>
        </w:rPr>
        <w:t xml:space="preserve">. </w:t>
      </w:r>
      <w:hyperlink r:id="rId53">
        <w:r w:rsidRPr="003650BC">
          <w:rPr>
            <w:color w:val="1155CC"/>
            <w:sz w:val="24"/>
            <w:szCs w:val="24"/>
            <w:u w:val="single"/>
          </w:rPr>
          <w:t>https://ec.europa.eu/commission/presscorner/api/files/document/print/en/ip_23_3721/IP_23_3721_EN.pdf</w:t>
        </w:r>
      </w:hyperlink>
      <w:r w:rsidRPr="003650BC">
        <w:rPr>
          <w:sz w:val="24"/>
          <w:szCs w:val="24"/>
        </w:rPr>
        <w:t xml:space="preserve"> </w:t>
      </w:r>
    </w:p>
    <w:p w14:paraId="6652D084" w14:textId="77777777" w:rsidR="008512D4" w:rsidRPr="003650BC" w:rsidRDefault="00630AE1" w:rsidP="003650BC">
      <w:pPr>
        <w:spacing w:after="240"/>
        <w:ind w:left="900" w:hanging="900"/>
        <w:rPr>
          <w:sz w:val="24"/>
          <w:szCs w:val="24"/>
        </w:rPr>
      </w:pPr>
      <w:r w:rsidRPr="003650BC">
        <w:rPr>
          <w:sz w:val="24"/>
          <w:szCs w:val="24"/>
        </w:rPr>
        <w:t xml:space="preserve">European Commission. (2024). </w:t>
      </w:r>
      <w:r w:rsidRPr="003650BC">
        <w:rPr>
          <w:i/>
          <w:sz w:val="24"/>
          <w:szCs w:val="24"/>
        </w:rPr>
        <w:t>New network code on cybersecurity for EU electricity sector - European Commission</w:t>
      </w:r>
      <w:r w:rsidRPr="003650BC">
        <w:rPr>
          <w:sz w:val="24"/>
          <w:szCs w:val="24"/>
        </w:rPr>
        <w:t xml:space="preserve">. Energy.ec.europa.eu. </w:t>
      </w:r>
      <w:hyperlink r:id="rId54">
        <w:r w:rsidRPr="003650BC">
          <w:rPr>
            <w:color w:val="1155CC"/>
            <w:sz w:val="24"/>
            <w:szCs w:val="24"/>
            <w:u w:val="single"/>
          </w:rPr>
          <w:t>https://energy.ec.europa.eu/news/new-network-code-cybersecurity-eu-electricity-sector-2024-03-11_en</w:t>
        </w:r>
      </w:hyperlink>
      <w:r w:rsidRPr="003650BC">
        <w:rPr>
          <w:sz w:val="24"/>
          <w:szCs w:val="24"/>
        </w:rPr>
        <w:t xml:space="preserve"> </w:t>
      </w:r>
    </w:p>
    <w:p w14:paraId="121655C3" w14:textId="77777777" w:rsidR="008512D4" w:rsidRPr="003650BC" w:rsidRDefault="00630AE1" w:rsidP="003650BC">
      <w:pPr>
        <w:spacing w:after="240"/>
        <w:ind w:left="900" w:hanging="900"/>
        <w:rPr>
          <w:sz w:val="24"/>
          <w:szCs w:val="24"/>
        </w:rPr>
      </w:pPr>
      <w:proofErr w:type="gramStart"/>
      <w:r w:rsidRPr="003650BC">
        <w:rPr>
          <w:sz w:val="24"/>
          <w:szCs w:val="24"/>
        </w:rPr>
        <w:lastRenderedPageBreak/>
        <w:t>Fonseca ,</w:t>
      </w:r>
      <w:proofErr w:type="gramEnd"/>
      <w:r w:rsidRPr="003650BC">
        <w:rPr>
          <w:sz w:val="24"/>
          <w:szCs w:val="24"/>
        </w:rPr>
        <w:t xml:space="preserve"> C. A. A. (2024). SCADA System of Pipelines. </w:t>
      </w:r>
      <w:r w:rsidRPr="003650BC">
        <w:rPr>
          <w:i/>
          <w:sz w:val="24"/>
          <w:szCs w:val="24"/>
        </w:rPr>
        <w:t xml:space="preserve">Springer </w:t>
      </w:r>
      <w:proofErr w:type="spellStart"/>
      <w:r w:rsidRPr="003650BC">
        <w:rPr>
          <w:i/>
          <w:sz w:val="24"/>
          <w:szCs w:val="24"/>
        </w:rPr>
        <w:t>EBooks</w:t>
      </w:r>
      <w:proofErr w:type="spellEnd"/>
      <w:r w:rsidRPr="003650BC">
        <w:rPr>
          <w:sz w:val="24"/>
          <w:szCs w:val="24"/>
        </w:rPr>
        <w:t xml:space="preserve">, 1–28. </w:t>
      </w:r>
      <w:hyperlink r:id="rId55">
        <w:r w:rsidRPr="003650BC">
          <w:rPr>
            <w:color w:val="1155CC"/>
            <w:sz w:val="24"/>
            <w:szCs w:val="24"/>
            <w:u w:val="single"/>
          </w:rPr>
          <w:t>https://doi.org/10.1007/978-3-031-05735-9_18-1</w:t>
        </w:r>
      </w:hyperlink>
      <w:r w:rsidRPr="003650BC">
        <w:rPr>
          <w:sz w:val="24"/>
          <w:szCs w:val="24"/>
        </w:rPr>
        <w:t xml:space="preserve"> </w:t>
      </w:r>
    </w:p>
    <w:p w14:paraId="7DE4CC57" w14:textId="77777777" w:rsidR="008512D4" w:rsidRPr="003650BC" w:rsidRDefault="00630AE1" w:rsidP="003650BC">
      <w:pPr>
        <w:spacing w:after="240"/>
        <w:ind w:left="900" w:hanging="900"/>
        <w:rPr>
          <w:sz w:val="24"/>
          <w:szCs w:val="24"/>
        </w:rPr>
      </w:pPr>
      <w:r w:rsidRPr="003650BC">
        <w:rPr>
          <w:sz w:val="24"/>
          <w:szCs w:val="24"/>
        </w:rPr>
        <w:t xml:space="preserve">Fratini, S. (2025). The Sociotechnical Politics of Digital Sovereignty: Frictional Infrastructures and the Alignment of Privacy and Geopolitics. </w:t>
      </w:r>
      <w:r w:rsidRPr="003650BC">
        <w:rPr>
          <w:i/>
          <w:sz w:val="24"/>
          <w:szCs w:val="24"/>
        </w:rPr>
        <w:t>SSRN</w:t>
      </w:r>
      <w:r w:rsidRPr="003650BC">
        <w:rPr>
          <w:sz w:val="24"/>
          <w:szCs w:val="24"/>
        </w:rPr>
        <w:t xml:space="preserve">. </w:t>
      </w:r>
      <w:hyperlink r:id="rId56">
        <w:r w:rsidRPr="003650BC">
          <w:rPr>
            <w:color w:val="1155CC"/>
            <w:sz w:val="24"/>
            <w:szCs w:val="24"/>
            <w:u w:val="single"/>
          </w:rPr>
          <w:t>https://doi.org/10.2139/ssrn.5192550</w:t>
        </w:r>
      </w:hyperlink>
      <w:r w:rsidRPr="003650BC">
        <w:rPr>
          <w:sz w:val="24"/>
          <w:szCs w:val="24"/>
        </w:rPr>
        <w:t xml:space="preserve"> </w:t>
      </w:r>
    </w:p>
    <w:p w14:paraId="4D800FC7" w14:textId="77777777" w:rsidR="008512D4" w:rsidRPr="003650BC" w:rsidRDefault="00630AE1" w:rsidP="003650BC">
      <w:pPr>
        <w:spacing w:after="240"/>
        <w:ind w:left="900" w:hanging="900"/>
        <w:rPr>
          <w:sz w:val="24"/>
          <w:szCs w:val="24"/>
        </w:rPr>
      </w:pPr>
      <w:r w:rsidRPr="003650BC">
        <w:rPr>
          <w:sz w:val="24"/>
          <w:szCs w:val="24"/>
        </w:rPr>
        <w:t xml:space="preserve">Friedl, P. (2025). The General Data Protection Regulation. </w:t>
      </w:r>
      <w:r w:rsidRPr="003650BC">
        <w:rPr>
          <w:i/>
          <w:sz w:val="24"/>
          <w:szCs w:val="24"/>
        </w:rPr>
        <w:t>Law, Governance and Technology Series</w:t>
      </w:r>
      <w:r w:rsidRPr="003650BC">
        <w:rPr>
          <w:sz w:val="24"/>
          <w:szCs w:val="24"/>
        </w:rPr>
        <w:t xml:space="preserve">, 295–344. </w:t>
      </w:r>
      <w:hyperlink r:id="rId57">
        <w:r w:rsidRPr="003650BC">
          <w:rPr>
            <w:color w:val="1155CC"/>
            <w:sz w:val="24"/>
            <w:szCs w:val="24"/>
            <w:u w:val="single"/>
          </w:rPr>
          <w:t>https://doi.org/10.1007/978-3-031-84881-0_11</w:t>
        </w:r>
      </w:hyperlink>
      <w:r w:rsidRPr="003650BC">
        <w:rPr>
          <w:sz w:val="24"/>
          <w:szCs w:val="24"/>
        </w:rPr>
        <w:t xml:space="preserve"> </w:t>
      </w:r>
    </w:p>
    <w:p w14:paraId="44EA2DF8" w14:textId="77777777" w:rsidR="008512D4" w:rsidRPr="003650BC" w:rsidRDefault="00630AE1" w:rsidP="003650BC">
      <w:pPr>
        <w:spacing w:after="240"/>
        <w:ind w:left="900" w:hanging="900"/>
        <w:rPr>
          <w:sz w:val="24"/>
          <w:szCs w:val="24"/>
        </w:rPr>
      </w:pPr>
      <w:r w:rsidRPr="003650BC">
        <w:rPr>
          <w:sz w:val="24"/>
          <w:szCs w:val="24"/>
        </w:rPr>
        <w:t xml:space="preserve">GDPR. (2018). </w:t>
      </w:r>
      <w:r w:rsidRPr="003650BC">
        <w:rPr>
          <w:i/>
          <w:sz w:val="24"/>
          <w:szCs w:val="24"/>
        </w:rPr>
        <w:t>General Data Protection Regulation (GDPR)</w:t>
      </w:r>
      <w:r w:rsidRPr="003650BC">
        <w:rPr>
          <w:sz w:val="24"/>
          <w:szCs w:val="24"/>
        </w:rPr>
        <w:t xml:space="preserve">. General Data Protection Regulation (GDPR). </w:t>
      </w:r>
      <w:hyperlink r:id="rId58">
        <w:r w:rsidRPr="003650BC">
          <w:rPr>
            <w:color w:val="1155CC"/>
            <w:sz w:val="24"/>
            <w:szCs w:val="24"/>
            <w:u w:val="single"/>
          </w:rPr>
          <w:t>https://gdpr-info.eu/</w:t>
        </w:r>
      </w:hyperlink>
      <w:r w:rsidRPr="003650BC">
        <w:rPr>
          <w:sz w:val="24"/>
          <w:szCs w:val="24"/>
        </w:rPr>
        <w:t xml:space="preserve"> </w:t>
      </w:r>
    </w:p>
    <w:p w14:paraId="66F2536A" w14:textId="77777777" w:rsidR="008512D4" w:rsidRPr="003650BC" w:rsidRDefault="00630AE1" w:rsidP="003650BC">
      <w:pPr>
        <w:spacing w:after="240"/>
        <w:ind w:left="900" w:hanging="900"/>
        <w:rPr>
          <w:sz w:val="24"/>
          <w:szCs w:val="24"/>
        </w:rPr>
      </w:pPr>
      <w:r w:rsidRPr="003650BC">
        <w:rPr>
          <w:sz w:val="24"/>
          <w:szCs w:val="24"/>
        </w:rPr>
        <w:t xml:space="preserve">GOV.UK. (2023). </w:t>
      </w:r>
      <w:r w:rsidRPr="003650BC">
        <w:rPr>
          <w:i/>
          <w:sz w:val="24"/>
          <w:szCs w:val="24"/>
        </w:rPr>
        <w:t>Online Safety Act: Explainer</w:t>
      </w:r>
      <w:r w:rsidRPr="003650BC">
        <w:rPr>
          <w:sz w:val="24"/>
          <w:szCs w:val="24"/>
        </w:rPr>
        <w:t xml:space="preserve">. GOV.UK. </w:t>
      </w:r>
      <w:hyperlink r:id="rId59">
        <w:r w:rsidRPr="003650BC">
          <w:rPr>
            <w:color w:val="1155CC"/>
            <w:sz w:val="24"/>
            <w:szCs w:val="24"/>
            <w:u w:val="single"/>
          </w:rPr>
          <w:t>https://www.gov.uk/government/publications/online-safety-act-explainer/online-safety-act-explainer</w:t>
        </w:r>
      </w:hyperlink>
      <w:r w:rsidRPr="003650BC">
        <w:rPr>
          <w:sz w:val="24"/>
          <w:szCs w:val="24"/>
        </w:rPr>
        <w:t xml:space="preserve">  </w:t>
      </w:r>
    </w:p>
    <w:p w14:paraId="7976FEEB" w14:textId="77777777" w:rsidR="008512D4" w:rsidRPr="003650BC" w:rsidRDefault="00630AE1" w:rsidP="003650BC">
      <w:pPr>
        <w:spacing w:after="240"/>
        <w:ind w:left="900" w:hanging="900"/>
        <w:rPr>
          <w:sz w:val="24"/>
          <w:szCs w:val="24"/>
        </w:rPr>
      </w:pPr>
      <w:r w:rsidRPr="003650BC">
        <w:rPr>
          <w:sz w:val="24"/>
          <w:szCs w:val="24"/>
        </w:rPr>
        <w:t xml:space="preserve">Hagen, G., Safavi-Naini, R., &amp; Yung, M. (2025). The Mis/Dis-Information Problem Is Hard to Solve. </w:t>
      </w:r>
      <w:r w:rsidRPr="003650BC">
        <w:rPr>
          <w:i/>
          <w:sz w:val="24"/>
          <w:szCs w:val="24"/>
        </w:rPr>
        <w:t>Lecture Notes in Computer Science</w:t>
      </w:r>
      <w:r w:rsidRPr="003650BC">
        <w:rPr>
          <w:sz w:val="24"/>
          <w:szCs w:val="24"/>
        </w:rPr>
        <w:t xml:space="preserve">, </w:t>
      </w:r>
      <w:r w:rsidRPr="003650BC">
        <w:rPr>
          <w:i/>
          <w:sz w:val="24"/>
          <w:szCs w:val="24"/>
        </w:rPr>
        <w:t>15600</w:t>
      </w:r>
      <w:r w:rsidRPr="003650BC">
        <w:rPr>
          <w:sz w:val="24"/>
          <w:szCs w:val="24"/>
        </w:rPr>
        <w:t xml:space="preserve">, 309–326. </w:t>
      </w:r>
      <w:hyperlink r:id="rId60">
        <w:r w:rsidRPr="003650BC">
          <w:rPr>
            <w:color w:val="1155CC"/>
            <w:sz w:val="24"/>
            <w:szCs w:val="24"/>
            <w:u w:val="single"/>
          </w:rPr>
          <w:t>https://doi.org/10.1007/978-3-031-83490-5_12</w:t>
        </w:r>
      </w:hyperlink>
      <w:r w:rsidRPr="003650BC">
        <w:rPr>
          <w:sz w:val="24"/>
          <w:szCs w:val="24"/>
        </w:rPr>
        <w:t xml:space="preserve"> </w:t>
      </w:r>
    </w:p>
    <w:p w14:paraId="651E6F69" w14:textId="77777777" w:rsidR="008512D4" w:rsidRPr="003650BC" w:rsidRDefault="00630AE1" w:rsidP="003650BC">
      <w:pPr>
        <w:spacing w:after="240"/>
        <w:ind w:left="900" w:hanging="900"/>
        <w:rPr>
          <w:sz w:val="24"/>
          <w:szCs w:val="24"/>
        </w:rPr>
      </w:pPr>
      <w:r w:rsidRPr="003650BC">
        <w:rPr>
          <w:sz w:val="24"/>
          <w:szCs w:val="24"/>
        </w:rPr>
        <w:t xml:space="preserve">Henderson, M., Curry, H., &amp; De Souza, R. (2025). </w:t>
      </w:r>
      <w:r w:rsidRPr="003650BC">
        <w:rPr>
          <w:i/>
          <w:sz w:val="24"/>
          <w:szCs w:val="24"/>
        </w:rPr>
        <w:t>US: Department of Justice issues final rule restricting the transfer of Sensitive Personal Data and United States Government-Related Data to “countries of concern.”</w:t>
      </w:r>
      <w:r w:rsidRPr="003650BC">
        <w:rPr>
          <w:sz w:val="24"/>
          <w:szCs w:val="24"/>
        </w:rPr>
        <w:t xml:space="preserve"> Privacy Matters. </w:t>
      </w:r>
      <w:hyperlink r:id="rId61">
        <w:r w:rsidRPr="003650BC">
          <w:rPr>
            <w:color w:val="1155CC"/>
            <w:sz w:val="24"/>
            <w:szCs w:val="24"/>
            <w:u w:val="single"/>
          </w:rPr>
          <w:t>https://privacymatters.dlapiper.com/2025/04/us-department-of-justice-issues-final-rule-restricting-the-transfer-of-sensitive-personal-data-and-united-states-government-related-data-to-countries-of-concern/</w:t>
        </w:r>
      </w:hyperlink>
      <w:r w:rsidRPr="003650BC">
        <w:rPr>
          <w:sz w:val="24"/>
          <w:szCs w:val="24"/>
        </w:rPr>
        <w:t xml:space="preserve"> </w:t>
      </w:r>
    </w:p>
    <w:p w14:paraId="5BA4FAAA" w14:textId="77777777" w:rsidR="008512D4" w:rsidRPr="003650BC" w:rsidRDefault="00630AE1" w:rsidP="003650BC">
      <w:pPr>
        <w:spacing w:after="240"/>
        <w:ind w:left="900" w:hanging="900"/>
        <w:rPr>
          <w:sz w:val="24"/>
          <w:szCs w:val="24"/>
        </w:rPr>
      </w:pPr>
      <w:r w:rsidRPr="003650BC">
        <w:rPr>
          <w:sz w:val="24"/>
          <w:szCs w:val="24"/>
        </w:rPr>
        <w:t xml:space="preserve">IBM. (2024). </w:t>
      </w:r>
      <w:r w:rsidRPr="003650BC">
        <w:rPr>
          <w:i/>
          <w:sz w:val="24"/>
          <w:szCs w:val="24"/>
        </w:rPr>
        <w:t>Cost of a data breach report 2024</w:t>
      </w:r>
      <w:r w:rsidRPr="003650BC">
        <w:rPr>
          <w:sz w:val="24"/>
          <w:szCs w:val="24"/>
        </w:rPr>
        <w:t xml:space="preserve">. IBM. </w:t>
      </w:r>
      <w:hyperlink r:id="rId62">
        <w:r w:rsidRPr="003650BC">
          <w:rPr>
            <w:color w:val="1155CC"/>
            <w:sz w:val="24"/>
            <w:szCs w:val="24"/>
            <w:u w:val="single"/>
          </w:rPr>
          <w:t>https://www.ibm.com/reports/data-breach</w:t>
        </w:r>
      </w:hyperlink>
      <w:r w:rsidRPr="003650BC">
        <w:rPr>
          <w:sz w:val="24"/>
          <w:szCs w:val="24"/>
        </w:rPr>
        <w:t xml:space="preserve"> </w:t>
      </w:r>
    </w:p>
    <w:p w14:paraId="63313EB2" w14:textId="77777777" w:rsidR="008512D4" w:rsidRPr="003650BC" w:rsidRDefault="00630AE1" w:rsidP="003650BC">
      <w:pPr>
        <w:spacing w:after="240"/>
        <w:ind w:left="900" w:hanging="900"/>
        <w:rPr>
          <w:sz w:val="24"/>
          <w:szCs w:val="24"/>
        </w:rPr>
      </w:pPr>
      <w:r w:rsidRPr="003650BC">
        <w:rPr>
          <w:sz w:val="24"/>
          <w:szCs w:val="24"/>
        </w:rPr>
        <w:t xml:space="preserve">Jimmy, F. N. U. (2024). Cyber security Vulnerabilities and Remediation Through Cloud Security Tools. </w:t>
      </w:r>
      <w:r w:rsidRPr="003650BC">
        <w:rPr>
          <w:i/>
          <w:sz w:val="24"/>
          <w:szCs w:val="24"/>
        </w:rPr>
        <w:t>Journal of Artificial Intelligence General Science (JAIGS) ISSN:3006-4023</w:t>
      </w:r>
      <w:r w:rsidRPr="003650BC">
        <w:rPr>
          <w:sz w:val="24"/>
          <w:szCs w:val="24"/>
        </w:rPr>
        <w:t xml:space="preserve">, </w:t>
      </w:r>
      <w:r w:rsidRPr="003650BC">
        <w:rPr>
          <w:i/>
          <w:sz w:val="24"/>
          <w:szCs w:val="24"/>
        </w:rPr>
        <w:t>2</w:t>
      </w:r>
      <w:r w:rsidRPr="003650BC">
        <w:rPr>
          <w:sz w:val="24"/>
          <w:szCs w:val="24"/>
        </w:rPr>
        <w:t xml:space="preserve">(1), 129–171. </w:t>
      </w:r>
      <w:hyperlink r:id="rId63">
        <w:r w:rsidRPr="003650BC">
          <w:rPr>
            <w:color w:val="1155CC"/>
            <w:sz w:val="24"/>
            <w:szCs w:val="24"/>
            <w:u w:val="single"/>
          </w:rPr>
          <w:t>https://doi.org/10.60087/jaigs.v2i1.102</w:t>
        </w:r>
      </w:hyperlink>
      <w:r w:rsidRPr="003650BC">
        <w:rPr>
          <w:sz w:val="24"/>
          <w:szCs w:val="24"/>
        </w:rPr>
        <w:t xml:space="preserve"> </w:t>
      </w:r>
    </w:p>
    <w:p w14:paraId="733F24ED" w14:textId="77777777" w:rsidR="008512D4" w:rsidRPr="003650BC" w:rsidRDefault="00630AE1" w:rsidP="003650BC">
      <w:pPr>
        <w:spacing w:after="240"/>
        <w:ind w:left="900" w:hanging="900"/>
        <w:rPr>
          <w:sz w:val="24"/>
          <w:szCs w:val="24"/>
        </w:rPr>
      </w:pPr>
      <w:proofErr w:type="spellStart"/>
      <w:r w:rsidRPr="003650BC">
        <w:rPr>
          <w:sz w:val="24"/>
          <w:szCs w:val="24"/>
        </w:rPr>
        <w:t>Katkuri</w:t>
      </w:r>
      <w:proofErr w:type="spellEnd"/>
      <w:r w:rsidRPr="003650BC">
        <w:rPr>
          <w:sz w:val="24"/>
          <w:szCs w:val="24"/>
        </w:rPr>
        <w:t xml:space="preserve">, S. (2024). Need of Encryption Legislation: Protecting India’s Digital Realm and Beyond. </w:t>
      </w:r>
      <w:r w:rsidRPr="003650BC">
        <w:rPr>
          <w:i/>
          <w:sz w:val="24"/>
          <w:szCs w:val="24"/>
        </w:rPr>
        <w:t>Indian Journal of Public Administration</w:t>
      </w:r>
      <w:r w:rsidRPr="003650BC">
        <w:rPr>
          <w:sz w:val="24"/>
          <w:szCs w:val="24"/>
        </w:rPr>
        <w:t xml:space="preserve">, </w:t>
      </w:r>
      <w:r w:rsidRPr="003650BC">
        <w:rPr>
          <w:i/>
          <w:sz w:val="24"/>
          <w:szCs w:val="24"/>
        </w:rPr>
        <w:t>70</w:t>
      </w:r>
      <w:r w:rsidRPr="003650BC">
        <w:rPr>
          <w:sz w:val="24"/>
          <w:szCs w:val="24"/>
        </w:rPr>
        <w:t xml:space="preserve">(3), 562–578. </w:t>
      </w:r>
      <w:hyperlink r:id="rId64">
        <w:r w:rsidRPr="003650BC">
          <w:rPr>
            <w:color w:val="1155CC"/>
            <w:sz w:val="24"/>
            <w:szCs w:val="24"/>
            <w:u w:val="single"/>
          </w:rPr>
          <w:t>https://doi.org/10.1177/00195561241271590</w:t>
        </w:r>
      </w:hyperlink>
      <w:r w:rsidRPr="003650BC">
        <w:rPr>
          <w:sz w:val="24"/>
          <w:szCs w:val="24"/>
        </w:rPr>
        <w:t xml:space="preserve"> </w:t>
      </w:r>
    </w:p>
    <w:p w14:paraId="58789860" w14:textId="77777777" w:rsidR="008512D4" w:rsidRPr="003650BC" w:rsidRDefault="00630AE1" w:rsidP="003650BC">
      <w:pPr>
        <w:spacing w:after="240"/>
        <w:ind w:left="900" w:hanging="900"/>
        <w:rPr>
          <w:sz w:val="24"/>
          <w:szCs w:val="24"/>
        </w:rPr>
      </w:pPr>
      <w:r w:rsidRPr="003650BC">
        <w:rPr>
          <w:sz w:val="24"/>
          <w:szCs w:val="24"/>
        </w:rPr>
        <w:t xml:space="preserve">Ketha, A. (2023). </w:t>
      </w:r>
      <w:r w:rsidRPr="003650BC">
        <w:rPr>
          <w:i/>
          <w:sz w:val="24"/>
          <w:szCs w:val="24"/>
        </w:rPr>
        <w:t>The Evolution of Cryptography and a Contextual Analysis of the Major Modern Schemes</w:t>
      </w:r>
      <w:r w:rsidRPr="003650BC">
        <w:rPr>
          <w:sz w:val="24"/>
          <w:szCs w:val="24"/>
        </w:rPr>
        <w:t xml:space="preserve">. </w:t>
      </w:r>
      <w:hyperlink r:id="rId65">
        <w:r w:rsidRPr="003650BC">
          <w:rPr>
            <w:color w:val="1155CC"/>
            <w:sz w:val="24"/>
            <w:szCs w:val="24"/>
            <w:u w:val="single"/>
          </w:rPr>
          <w:t>https://nhsjs.com/wp-content/uploads/2024/04/The-Evolution-of-Cryptography-and-a-Contextual-Analysis-of-the-Major-Modern-Schemes.pdf</w:t>
        </w:r>
      </w:hyperlink>
      <w:r w:rsidRPr="003650BC">
        <w:rPr>
          <w:sz w:val="24"/>
          <w:szCs w:val="24"/>
        </w:rPr>
        <w:t xml:space="preserve"> </w:t>
      </w:r>
    </w:p>
    <w:p w14:paraId="257A7384" w14:textId="77777777" w:rsidR="008512D4" w:rsidRPr="003650BC" w:rsidRDefault="00630AE1" w:rsidP="003650BC">
      <w:pPr>
        <w:spacing w:after="240"/>
        <w:ind w:left="900" w:hanging="900"/>
        <w:rPr>
          <w:sz w:val="24"/>
          <w:szCs w:val="24"/>
        </w:rPr>
      </w:pPr>
      <w:proofErr w:type="spellStart"/>
      <w:r w:rsidRPr="003650BC">
        <w:rPr>
          <w:sz w:val="24"/>
          <w:szCs w:val="24"/>
        </w:rPr>
        <w:lastRenderedPageBreak/>
        <w:t>Kiteworks</w:t>
      </w:r>
      <w:proofErr w:type="spellEnd"/>
      <w:r w:rsidRPr="003650BC">
        <w:rPr>
          <w:sz w:val="24"/>
          <w:szCs w:val="24"/>
        </w:rPr>
        <w:t xml:space="preserve">. (2023). </w:t>
      </w:r>
      <w:r w:rsidRPr="003650BC">
        <w:rPr>
          <w:i/>
          <w:sz w:val="24"/>
          <w:szCs w:val="24"/>
        </w:rPr>
        <w:t>Demystifying the US CLOUD Act</w:t>
      </w:r>
      <w:r w:rsidRPr="003650BC">
        <w:rPr>
          <w:sz w:val="24"/>
          <w:szCs w:val="24"/>
        </w:rPr>
        <w:t xml:space="preserve">. </w:t>
      </w:r>
      <w:proofErr w:type="spellStart"/>
      <w:r w:rsidRPr="003650BC">
        <w:rPr>
          <w:sz w:val="24"/>
          <w:szCs w:val="24"/>
        </w:rPr>
        <w:t>Kiteworks</w:t>
      </w:r>
      <w:proofErr w:type="spellEnd"/>
      <w:r w:rsidRPr="003650BC">
        <w:rPr>
          <w:sz w:val="24"/>
          <w:szCs w:val="24"/>
        </w:rPr>
        <w:t xml:space="preserve"> | Your Private Content Network. </w:t>
      </w:r>
      <w:hyperlink r:id="rId66">
        <w:r w:rsidRPr="003650BC">
          <w:rPr>
            <w:color w:val="1155CC"/>
            <w:sz w:val="24"/>
            <w:szCs w:val="24"/>
            <w:u w:val="single"/>
          </w:rPr>
          <w:t>https://www.kiteworks.com/risk-compliance-glossary/us-cloud-act/</w:t>
        </w:r>
      </w:hyperlink>
      <w:r w:rsidRPr="003650BC">
        <w:rPr>
          <w:sz w:val="24"/>
          <w:szCs w:val="24"/>
        </w:rPr>
        <w:t xml:space="preserve"> </w:t>
      </w:r>
    </w:p>
    <w:p w14:paraId="65AE6438" w14:textId="77777777" w:rsidR="008512D4" w:rsidRPr="003650BC" w:rsidRDefault="00630AE1" w:rsidP="003650BC">
      <w:pPr>
        <w:spacing w:after="240"/>
        <w:ind w:left="900" w:hanging="900"/>
        <w:rPr>
          <w:sz w:val="24"/>
          <w:szCs w:val="24"/>
        </w:rPr>
      </w:pPr>
      <w:r w:rsidRPr="003650BC">
        <w:rPr>
          <w:sz w:val="24"/>
          <w:szCs w:val="24"/>
        </w:rPr>
        <w:t xml:space="preserve">Kolade, T. M., Obioha-Val, O. A., Balogun, A. Y., Gbadebo, M. O., &amp; Olaniyi, O. O. (2025). AI-Driven </w:t>
      </w:r>
      <w:proofErr w:type="gramStart"/>
      <w:r w:rsidRPr="003650BC">
        <w:rPr>
          <w:sz w:val="24"/>
          <w:szCs w:val="24"/>
        </w:rPr>
        <w:t>Open Source</w:t>
      </w:r>
      <w:proofErr w:type="gramEnd"/>
      <w:r w:rsidRPr="003650BC">
        <w:rPr>
          <w:sz w:val="24"/>
          <w:szCs w:val="24"/>
        </w:rPr>
        <w:t xml:space="preserve"> Intelligence in Cyber </w:t>
      </w:r>
      <w:proofErr w:type="spellStart"/>
      <w:r w:rsidRPr="003650BC">
        <w:rPr>
          <w:sz w:val="24"/>
          <w:szCs w:val="24"/>
        </w:rPr>
        <w:t>Defense</w:t>
      </w:r>
      <w:proofErr w:type="spellEnd"/>
      <w:r w:rsidRPr="003650BC">
        <w:rPr>
          <w:sz w:val="24"/>
          <w:szCs w:val="24"/>
        </w:rPr>
        <w:t xml:space="preserve">: A Double-edged Sword for National Security. </w:t>
      </w:r>
      <w:r w:rsidRPr="003650BC">
        <w:rPr>
          <w:i/>
          <w:sz w:val="24"/>
          <w:szCs w:val="24"/>
        </w:rPr>
        <w:t>Asian Journal of Research in Computer Science</w:t>
      </w:r>
      <w:r w:rsidRPr="003650BC">
        <w:rPr>
          <w:sz w:val="24"/>
          <w:szCs w:val="24"/>
        </w:rPr>
        <w:t xml:space="preserve">, </w:t>
      </w:r>
      <w:r w:rsidRPr="003650BC">
        <w:rPr>
          <w:i/>
          <w:sz w:val="24"/>
          <w:szCs w:val="24"/>
        </w:rPr>
        <w:t>18</w:t>
      </w:r>
      <w:r w:rsidRPr="003650BC">
        <w:rPr>
          <w:sz w:val="24"/>
          <w:szCs w:val="24"/>
        </w:rPr>
        <w:t xml:space="preserve">(1), 133–153. </w:t>
      </w:r>
      <w:hyperlink r:id="rId67">
        <w:r w:rsidRPr="003650BC">
          <w:rPr>
            <w:color w:val="1155CC"/>
            <w:sz w:val="24"/>
            <w:szCs w:val="24"/>
            <w:u w:val="single"/>
          </w:rPr>
          <w:t>https://doi.org/10.9734/ajrcos/2025/v18i1554</w:t>
        </w:r>
      </w:hyperlink>
      <w:r w:rsidRPr="003650BC">
        <w:rPr>
          <w:sz w:val="24"/>
          <w:szCs w:val="24"/>
        </w:rPr>
        <w:t xml:space="preserve"> </w:t>
      </w:r>
    </w:p>
    <w:p w14:paraId="6E47AD4E" w14:textId="77777777" w:rsidR="008512D4" w:rsidRPr="003650BC" w:rsidRDefault="00630AE1" w:rsidP="003650BC">
      <w:pPr>
        <w:spacing w:after="240"/>
        <w:ind w:left="900" w:hanging="900"/>
        <w:rPr>
          <w:sz w:val="24"/>
          <w:szCs w:val="24"/>
        </w:rPr>
      </w:pPr>
      <w:r w:rsidRPr="003650BC">
        <w:rPr>
          <w:sz w:val="24"/>
          <w:szCs w:val="24"/>
        </w:rPr>
        <w:t xml:space="preserve">Kolo, F. H. O. (2025). Responsible AI for Cybersecurity: Assessing the Barriers, Biases and Governance Gaps in Implementation with E-commerce Systems.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510–532. </w:t>
      </w:r>
      <w:hyperlink r:id="rId68">
        <w:r w:rsidRPr="003650BC">
          <w:rPr>
            <w:color w:val="1155CC"/>
            <w:sz w:val="24"/>
            <w:szCs w:val="24"/>
            <w:u w:val="single"/>
          </w:rPr>
          <w:t>https://doi.org/10.9734/jerr/2025/v27i51520</w:t>
        </w:r>
      </w:hyperlink>
      <w:r w:rsidRPr="003650BC">
        <w:rPr>
          <w:sz w:val="24"/>
          <w:szCs w:val="24"/>
        </w:rPr>
        <w:t xml:space="preserve"> </w:t>
      </w:r>
    </w:p>
    <w:p w14:paraId="4ED077EE" w14:textId="77777777" w:rsidR="008512D4" w:rsidRPr="003650BC" w:rsidRDefault="00630AE1" w:rsidP="003650BC">
      <w:pPr>
        <w:spacing w:after="240"/>
        <w:ind w:left="900" w:hanging="900"/>
        <w:rPr>
          <w:sz w:val="24"/>
          <w:szCs w:val="24"/>
        </w:rPr>
      </w:pPr>
      <w:r w:rsidRPr="003650BC">
        <w:rPr>
          <w:sz w:val="24"/>
          <w:szCs w:val="24"/>
        </w:rPr>
        <w:t xml:space="preserve">Kolo, F. H. O., Joseph, S. A., </w:t>
      </w:r>
      <w:proofErr w:type="spellStart"/>
      <w:r w:rsidRPr="003650BC">
        <w:rPr>
          <w:sz w:val="24"/>
          <w:szCs w:val="24"/>
        </w:rPr>
        <w:t>Ogunmolu</w:t>
      </w:r>
      <w:proofErr w:type="spellEnd"/>
      <w:r w:rsidRPr="003650BC">
        <w:rPr>
          <w:sz w:val="24"/>
          <w:szCs w:val="24"/>
        </w:rPr>
        <w:t xml:space="preserve">, A. M., Ejiofor, V. O., &amp; </w:t>
      </w:r>
      <w:proofErr w:type="spellStart"/>
      <w:r w:rsidRPr="003650BC">
        <w:rPr>
          <w:sz w:val="24"/>
          <w:szCs w:val="24"/>
        </w:rPr>
        <w:t>Oyekunle</w:t>
      </w:r>
      <w:proofErr w:type="spellEnd"/>
      <w:r w:rsidRPr="003650BC">
        <w:rPr>
          <w:sz w:val="24"/>
          <w:szCs w:val="24"/>
        </w:rPr>
        <w:t xml:space="preserve">, S. M. (2025). Mitigating Cybersecurity Risks in Financial Institutions through Strategic Third- Party Risk Governance Frameworks.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173–193. </w:t>
      </w:r>
      <w:hyperlink r:id="rId69">
        <w:r w:rsidRPr="003650BC">
          <w:rPr>
            <w:color w:val="1155CC"/>
            <w:sz w:val="24"/>
            <w:szCs w:val="24"/>
            <w:u w:val="single"/>
          </w:rPr>
          <w:t>https://doi.org/10.9734/jerr/2025/v27i51501</w:t>
        </w:r>
      </w:hyperlink>
      <w:r w:rsidRPr="003650BC">
        <w:rPr>
          <w:sz w:val="24"/>
          <w:szCs w:val="24"/>
        </w:rPr>
        <w:t xml:space="preserve"> </w:t>
      </w:r>
    </w:p>
    <w:p w14:paraId="2E95C333" w14:textId="77777777" w:rsidR="008512D4" w:rsidRPr="003650BC" w:rsidRDefault="00630AE1" w:rsidP="003650BC">
      <w:pPr>
        <w:spacing w:after="240"/>
        <w:ind w:left="900" w:hanging="900"/>
        <w:rPr>
          <w:sz w:val="24"/>
          <w:szCs w:val="24"/>
        </w:rPr>
      </w:pPr>
      <w:r w:rsidRPr="003650BC">
        <w:rPr>
          <w:sz w:val="24"/>
          <w:szCs w:val="24"/>
        </w:rPr>
        <w:t xml:space="preserve">Lynn, L., &amp; Salzman, H. (2023). </w:t>
      </w:r>
      <w:r w:rsidRPr="003650BC">
        <w:rPr>
          <w:i/>
          <w:sz w:val="24"/>
          <w:szCs w:val="24"/>
        </w:rPr>
        <w:t xml:space="preserve">Science and technology in a </w:t>
      </w:r>
      <w:proofErr w:type="gramStart"/>
      <w:r w:rsidRPr="003650BC">
        <w:rPr>
          <w:i/>
          <w:sz w:val="24"/>
          <w:szCs w:val="24"/>
        </w:rPr>
        <w:t>global commons</w:t>
      </w:r>
      <w:proofErr w:type="gramEnd"/>
      <w:r w:rsidRPr="003650BC">
        <w:rPr>
          <w:i/>
          <w:sz w:val="24"/>
          <w:szCs w:val="24"/>
        </w:rPr>
        <w:t>: the end of techno-nationalism?</w:t>
      </w:r>
      <w:r w:rsidRPr="003650BC">
        <w:rPr>
          <w:sz w:val="24"/>
          <w:szCs w:val="24"/>
        </w:rPr>
        <w:t xml:space="preserve"> Nsf.gov; Salem Press/EBSCO. </w:t>
      </w:r>
      <w:hyperlink r:id="rId70">
        <w:r w:rsidRPr="003650BC">
          <w:rPr>
            <w:color w:val="1155CC"/>
            <w:sz w:val="24"/>
            <w:szCs w:val="24"/>
            <w:u w:val="single"/>
          </w:rPr>
          <w:t>https://par.nsf.gov/biblio/10521117</w:t>
        </w:r>
      </w:hyperlink>
      <w:r w:rsidRPr="003650BC">
        <w:rPr>
          <w:sz w:val="24"/>
          <w:szCs w:val="24"/>
        </w:rPr>
        <w:t xml:space="preserve"> </w:t>
      </w:r>
    </w:p>
    <w:p w14:paraId="426E37EB" w14:textId="77777777" w:rsidR="008512D4" w:rsidRPr="003650BC" w:rsidRDefault="00630AE1" w:rsidP="003650BC">
      <w:pPr>
        <w:spacing w:after="240"/>
        <w:ind w:left="900" w:hanging="900"/>
        <w:rPr>
          <w:sz w:val="24"/>
          <w:szCs w:val="24"/>
        </w:rPr>
      </w:pPr>
      <w:proofErr w:type="spellStart"/>
      <w:r w:rsidRPr="003650BC">
        <w:rPr>
          <w:sz w:val="24"/>
          <w:szCs w:val="24"/>
        </w:rPr>
        <w:t>Maadallah</w:t>
      </w:r>
      <w:proofErr w:type="spellEnd"/>
      <w:r w:rsidRPr="003650BC">
        <w:rPr>
          <w:sz w:val="24"/>
          <w:szCs w:val="24"/>
        </w:rPr>
        <w:t xml:space="preserve">, Y., El Bouzekri El Idrissi, Y., &amp; </w:t>
      </w:r>
      <w:proofErr w:type="spellStart"/>
      <w:r w:rsidRPr="003650BC">
        <w:rPr>
          <w:sz w:val="24"/>
          <w:szCs w:val="24"/>
        </w:rPr>
        <w:t>Baddi</w:t>
      </w:r>
      <w:proofErr w:type="spellEnd"/>
      <w:r w:rsidRPr="003650BC">
        <w:rPr>
          <w:sz w:val="24"/>
          <w:szCs w:val="24"/>
        </w:rPr>
        <w:t xml:space="preserve">, Y. (2025). Enhancing IoT security through blockchain an in-depth analysis of the proof-of-work consensus mechanism. </w:t>
      </w:r>
      <w:r w:rsidRPr="003650BC">
        <w:rPr>
          <w:i/>
          <w:sz w:val="24"/>
          <w:szCs w:val="24"/>
        </w:rPr>
        <w:t>EDPACS</w:t>
      </w:r>
      <w:r w:rsidRPr="003650BC">
        <w:rPr>
          <w:sz w:val="24"/>
          <w:szCs w:val="24"/>
        </w:rPr>
        <w:t xml:space="preserve">, 1–44. </w:t>
      </w:r>
      <w:hyperlink r:id="rId71">
        <w:r w:rsidRPr="003650BC">
          <w:rPr>
            <w:color w:val="1155CC"/>
            <w:sz w:val="24"/>
            <w:szCs w:val="24"/>
            <w:u w:val="single"/>
          </w:rPr>
          <w:t>https://doi.org/10.1080/07366981.2025.2454095</w:t>
        </w:r>
      </w:hyperlink>
      <w:r w:rsidRPr="003650BC">
        <w:rPr>
          <w:sz w:val="24"/>
          <w:szCs w:val="24"/>
        </w:rPr>
        <w:t xml:space="preserve"> </w:t>
      </w:r>
    </w:p>
    <w:p w14:paraId="19641BA6" w14:textId="77777777" w:rsidR="008512D4" w:rsidRPr="003650BC" w:rsidRDefault="00630AE1" w:rsidP="003650BC">
      <w:pPr>
        <w:spacing w:after="240"/>
        <w:ind w:left="900" w:hanging="900"/>
        <w:rPr>
          <w:sz w:val="24"/>
          <w:szCs w:val="24"/>
        </w:rPr>
      </w:pPr>
      <w:r w:rsidRPr="003650BC">
        <w:rPr>
          <w:sz w:val="24"/>
          <w:szCs w:val="24"/>
        </w:rPr>
        <w:t xml:space="preserve">Marcucci, S., Alarcón, N., Verhulst, S., &amp; </w:t>
      </w:r>
      <w:proofErr w:type="spellStart"/>
      <w:r w:rsidRPr="003650BC">
        <w:rPr>
          <w:sz w:val="24"/>
          <w:szCs w:val="24"/>
        </w:rPr>
        <w:t>Wüllhorst</w:t>
      </w:r>
      <w:proofErr w:type="spellEnd"/>
      <w:r w:rsidRPr="003650BC">
        <w:rPr>
          <w:sz w:val="24"/>
          <w:szCs w:val="24"/>
        </w:rPr>
        <w:t xml:space="preserve">, E. (2023). </w:t>
      </w:r>
      <w:r w:rsidRPr="003650BC">
        <w:rPr>
          <w:i/>
          <w:sz w:val="24"/>
          <w:szCs w:val="24"/>
        </w:rPr>
        <w:t>Mapping and Comparing Data Governance Frameworks A benchmarking exercise to inform global data governance deliberations</w:t>
      </w:r>
      <w:r w:rsidRPr="003650BC">
        <w:rPr>
          <w:sz w:val="24"/>
          <w:szCs w:val="24"/>
        </w:rPr>
        <w:t xml:space="preserve">. </w:t>
      </w:r>
      <w:hyperlink r:id="rId72">
        <w:r w:rsidRPr="003650BC">
          <w:rPr>
            <w:color w:val="1155CC"/>
            <w:sz w:val="24"/>
            <w:szCs w:val="24"/>
            <w:u w:val="single"/>
          </w:rPr>
          <w:t>https://unsceb.org/sites/default/files/2023-05/Annex%201%20-%20Mapping%20and%20Comparing%20Data%20Governance%20Frameworks.pdf</w:t>
        </w:r>
      </w:hyperlink>
      <w:r w:rsidRPr="003650BC">
        <w:rPr>
          <w:sz w:val="24"/>
          <w:szCs w:val="24"/>
        </w:rPr>
        <w:t xml:space="preserve"> </w:t>
      </w:r>
    </w:p>
    <w:p w14:paraId="30856AA6" w14:textId="77777777" w:rsidR="008512D4" w:rsidRPr="003650BC" w:rsidRDefault="00630AE1" w:rsidP="003650BC">
      <w:pPr>
        <w:spacing w:after="240"/>
        <w:ind w:left="900" w:hanging="900"/>
        <w:rPr>
          <w:sz w:val="24"/>
          <w:szCs w:val="24"/>
        </w:rPr>
      </w:pPr>
      <w:proofErr w:type="spellStart"/>
      <w:r w:rsidRPr="003650BC">
        <w:rPr>
          <w:sz w:val="24"/>
          <w:szCs w:val="24"/>
        </w:rPr>
        <w:t>Metibemu</w:t>
      </w:r>
      <w:proofErr w:type="spellEnd"/>
      <w:r w:rsidRPr="003650BC">
        <w:rPr>
          <w:sz w:val="24"/>
          <w:szCs w:val="24"/>
        </w:rPr>
        <w:t xml:space="preserve">, O. C., </w:t>
      </w:r>
      <w:proofErr w:type="spellStart"/>
      <w:r w:rsidRPr="003650BC">
        <w:rPr>
          <w:sz w:val="24"/>
          <w:szCs w:val="24"/>
        </w:rPr>
        <w:t>Adesokan</w:t>
      </w:r>
      <w:proofErr w:type="spellEnd"/>
      <w:r w:rsidRPr="003650BC">
        <w:rPr>
          <w:sz w:val="24"/>
          <w:szCs w:val="24"/>
        </w:rPr>
        <w:t xml:space="preserve">-Imran, T. O., Ajayi, A. J., </w:t>
      </w:r>
      <w:proofErr w:type="spellStart"/>
      <w:r w:rsidRPr="003650BC">
        <w:rPr>
          <w:sz w:val="24"/>
          <w:szCs w:val="24"/>
        </w:rPr>
        <w:t>Tiwo</w:t>
      </w:r>
      <w:proofErr w:type="spellEnd"/>
      <w:r w:rsidRPr="003650BC">
        <w:rPr>
          <w:sz w:val="24"/>
          <w:szCs w:val="24"/>
        </w:rPr>
        <w:t xml:space="preserve">, O. J., </w:t>
      </w:r>
      <w:proofErr w:type="spellStart"/>
      <w:r w:rsidRPr="003650BC">
        <w:rPr>
          <w:sz w:val="24"/>
          <w:szCs w:val="24"/>
        </w:rPr>
        <w:t>Olutimehin</w:t>
      </w:r>
      <w:proofErr w:type="spellEnd"/>
      <w:r w:rsidRPr="003650BC">
        <w:rPr>
          <w:sz w:val="24"/>
          <w:szCs w:val="24"/>
        </w:rPr>
        <w:t xml:space="preserve">, A. T., &amp; Olaniyi, O. O. (2025). Developing Proactive Threat Mitigation Strategies for Cloud Misconfiguration Risks in Financial SaaS Applications.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(3), 393–413. </w:t>
      </w:r>
      <w:hyperlink r:id="rId73">
        <w:r w:rsidRPr="003650BC">
          <w:rPr>
            <w:color w:val="1155CC"/>
            <w:sz w:val="24"/>
            <w:szCs w:val="24"/>
            <w:u w:val="single"/>
          </w:rPr>
          <w:t>https://doi.org/10.9734/jerr/2025/v27i31442</w:t>
        </w:r>
      </w:hyperlink>
      <w:r w:rsidRPr="003650BC">
        <w:rPr>
          <w:sz w:val="24"/>
          <w:szCs w:val="24"/>
        </w:rPr>
        <w:t xml:space="preserve"> </w:t>
      </w:r>
    </w:p>
    <w:p w14:paraId="095936C1" w14:textId="77777777" w:rsidR="008512D4" w:rsidRPr="003650BC" w:rsidRDefault="00630AE1" w:rsidP="003650BC">
      <w:pPr>
        <w:spacing w:after="240"/>
        <w:ind w:left="900" w:hanging="900"/>
        <w:rPr>
          <w:sz w:val="24"/>
          <w:szCs w:val="24"/>
        </w:rPr>
      </w:pPr>
      <w:proofErr w:type="spellStart"/>
      <w:r w:rsidRPr="003650BC">
        <w:rPr>
          <w:sz w:val="24"/>
          <w:szCs w:val="24"/>
        </w:rPr>
        <w:t>MilitarySphere</w:t>
      </w:r>
      <w:proofErr w:type="spellEnd"/>
      <w:r w:rsidRPr="003650BC">
        <w:rPr>
          <w:sz w:val="24"/>
          <w:szCs w:val="24"/>
        </w:rPr>
        <w:t xml:space="preserve">. (2024). </w:t>
      </w:r>
      <w:r w:rsidRPr="003650BC">
        <w:rPr>
          <w:i/>
          <w:sz w:val="24"/>
          <w:szCs w:val="24"/>
        </w:rPr>
        <w:t>Decoding the Five Eyes Intelligence Alliance: Insights and Impact - MilitarySphere.com</w:t>
      </w:r>
      <w:r w:rsidRPr="003650BC">
        <w:rPr>
          <w:sz w:val="24"/>
          <w:szCs w:val="24"/>
        </w:rPr>
        <w:t xml:space="preserve">. All Military. </w:t>
      </w:r>
      <w:hyperlink r:id="rId74">
        <w:r w:rsidRPr="003650BC">
          <w:rPr>
            <w:color w:val="1155CC"/>
            <w:sz w:val="24"/>
            <w:szCs w:val="24"/>
            <w:u w:val="single"/>
          </w:rPr>
          <w:t>https://militarysphere.com/five-eyes-intelligence-alliance/</w:t>
        </w:r>
      </w:hyperlink>
      <w:r w:rsidRPr="003650BC">
        <w:rPr>
          <w:sz w:val="24"/>
          <w:szCs w:val="24"/>
        </w:rPr>
        <w:t xml:space="preserve"> </w:t>
      </w:r>
    </w:p>
    <w:p w14:paraId="3E96326D" w14:textId="77777777" w:rsidR="008512D4" w:rsidRPr="003650BC" w:rsidRDefault="00630AE1" w:rsidP="003650BC">
      <w:pPr>
        <w:spacing w:after="240"/>
        <w:ind w:left="900" w:hanging="900"/>
        <w:rPr>
          <w:sz w:val="24"/>
          <w:szCs w:val="24"/>
        </w:rPr>
      </w:pPr>
      <w:proofErr w:type="spellStart"/>
      <w:r w:rsidRPr="003650BC">
        <w:rPr>
          <w:sz w:val="24"/>
          <w:szCs w:val="24"/>
        </w:rPr>
        <w:lastRenderedPageBreak/>
        <w:t>Mondaq</w:t>
      </w:r>
      <w:proofErr w:type="spellEnd"/>
      <w:r w:rsidRPr="003650BC">
        <w:rPr>
          <w:sz w:val="24"/>
          <w:szCs w:val="24"/>
        </w:rPr>
        <w:t xml:space="preserve">. (2025). </w:t>
      </w:r>
      <w:r w:rsidRPr="003650BC">
        <w:rPr>
          <w:i/>
          <w:sz w:val="24"/>
          <w:szCs w:val="24"/>
        </w:rPr>
        <w:t xml:space="preserve">Highlights Of </w:t>
      </w:r>
      <w:proofErr w:type="gramStart"/>
      <w:r w:rsidRPr="003650BC">
        <w:rPr>
          <w:i/>
          <w:sz w:val="24"/>
          <w:szCs w:val="24"/>
        </w:rPr>
        <w:t>The</w:t>
      </w:r>
      <w:proofErr w:type="gramEnd"/>
      <w:r w:rsidRPr="003650BC">
        <w:rPr>
          <w:i/>
          <w:sz w:val="24"/>
          <w:szCs w:val="24"/>
        </w:rPr>
        <w:t xml:space="preserve"> Nigeria Data Protection Act General Application </w:t>
      </w:r>
      <w:proofErr w:type="gramStart"/>
      <w:r w:rsidRPr="003650BC">
        <w:rPr>
          <w:i/>
          <w:sz w:val="24"/>
          <w:szCs w:val="24"/>
        </w:rPr>
        <w:t>And</w:t>
      </w:r>
      <w:proofErr w:type="gramEnd"/>
      <w:r w:rsidRPr="003650BC">
        <w:rPr>
          <w:i/>
          <w:sz w:val="24"/>
          <w:szCs w:val="24"/>
        </w:rPr>
        <w:t xml:space="preserve"> Implementation Directive, 2025</w:t>
      </w:r>
      <w:r w:rsidRPr="003650BC">
        <w:rPr>
          <w:sz w:val="24"/>
          <w:szCs w:val="24"/>
        </w:rPr>
        <w:t xml:space="preserve">. Mondaq.com. </w:t>
      </w:r>
      <w:hyperlink r:id="rId75">
        <w:r w:rsidRPr="003650BC">
          <w:rPr>
            <w:color w:val="1155CC"/>
            <w:sz w:val="24"/>
            <w:szCs w:val="24"/>
            <w:u w:val="single"/>
          </w:rPr>
          <w:t>https://www.mondaq.com/nigeria/data-protection/1624030/highlights-of-the-nigeria-data-protection-act-general-application-and-implementation-directive-2025</w:t>
        </w:r>
      </w:hyperlink>
      <w:r w:rsidRPr="003650BC">
        <w:rPr>
          <w:sz w:val="24"/>
          <w:szCs w:val="24"/>
        </w:rPr>
        <w:t xml:space="preserve"> </w:t>
      </w:r>
    </w:p>
    <w:p w14:paraId="23194ECD" w14:textId="77777777" w:rsidR="008512D4" w:rsidRPr="003650BC" w:rsidRDefault="00630AE1" w:rsidP="003650BC">
      <w:pPr>
        <w:spacing w:after="240"/>
        <w:ind w:left="900" w:hanging="900"/>
        <w:rPr>
          <w:sz w:val="24"/>
          <w:szCs w:val="24"/>
        </w:rPr>
      </w:pPr>
      <w:r w:rsidRPr="003650BC">
        <w:rPr>
          <w:sz w:val="24"/>
          <w:szCs w:val="24"/>
        </w:rPr>
        <w:t xml:space="preserve">Mullin, J. (2025). </w:t>
      </w:r>
      <w:r w:rsidRPr="003650BC">
        <w:rPr>
          <w:i/>
          <w:sz w:val="24"/>
          <w:szCs w:val="24"/>
        </w:rPr>
        <w:t>A Win for Encryption: France Rejects Backdoor Mandate</w:t>
      </w:r>
      <w:r w:rsidRPr="003650BC">
        <w:rPr>
          <w:sz w:val="24"/>
          <w:szCs w:val="24"/>
        </w:rPr>
        <w:t xml:space="preserve">. Electronic Frontier Foundation. </w:t>
      </w:r>
      <w:hyperlink r:id="rId76">
        <w:r w:rsidRPr="003650BC">
          <w:rPr>
            <w:color w:val="1155CC"/>
            <w:sz w:val="24"/>
            <w:szCs w:val="24"/>
            <w:u w:val="single"/>
          </w:rPr>
          <w:t>https://www.eff.org/deeplinks/2025/03/win-encryption-france-rejects-backdoor-mandate</w:t>
        </w:r>
      </w:hyperlink>
      <w:r w:rsidRPr="003650BC">
        <w:rPr>
          <w:sz w:val="24"/>
          <w:szCs w:val="24"/>
        </w:rPr>
        <w:t xml:space="preserve"> </w:t>
      </w:r>
    </w:p>
    <w:p w14:paraId="1CF0C1BA" w14:textId="77777777" w:rsidR="008512D4" w:rsidRPr="003650BC" w:rsidRDefault="00630AE1" w:rsidP="003650BC">
      <w:pPr>
        <w:spacing w:after="240"/>
        <w:ind w:left="900" w:hanging="900"/>
        <w:rPr>
          <w:sz w:val="24"/>
          <w:szCs w:val="24"/>
        </w:rPr>
      </w:pPr>
      <w:r w:rsidRPr="003650BC">
        <w:rPr>
          <w:sz w:val="24"/>
          <w:szCs w:val="24"/>
        </w:rPr>
        <w:t xml:space="preserve">Murphy, C. C. (2020). The Crypto-Wars myth: The reality of state access to encrypted communications. </w:t>
      </w:r>
      <w:r w:rsidRPr="003650BC">
        <w:rPr>
          <w:i/>
          <w:sz w:val="24"/>
          <w:szCs w:val="24"/>
        </w:rPr>
        <w:t>Common Law World Review</w:t>
      </w:r>
      <w:r w:rsidRPr="003650BC">
        <w:rPr>
          <w:sz w:val="24"/>
          <w:szCs w:val="24"/>
        </w:rPr>
        <w:t xml:space="preserve">, </w:t>
      </w:r>
      <w:r w:rsidRPr="003650BC">
        <w:rPr>
          <w:i/>
          <w:sz w:val="24"/>
          <w:szCs w:val="24"/>
        </w:rPr>
        <w:t>49</w:t>
      </w:r>
      <w:r w:rsidRPr="003650BC">
        <w:rPr>
          <w:sz w:val="24"/>
          <w:szCs w:val="24"/>
        </w:rPr>
        <w:t xml:space="preserve">(3-4), 245–261. </w:t>
      </w:r>
      <w:hyperlink r:id="rId77">
        <w:r w:rsidRPr="003650BC">
          <w:rPr>
            <w:color w:val="1155CC"/>
            <w:sz w:val="24"/>
            <w:szCs w:val="24"/>
            <w:u w:val="single"/>
          </w:rPr>
          <w:t>https://doi.org/10.1177/1473779520980556</w:t>
        </w:r>
      </w:hyperlink>
      <w:r w:rsidRPr="003650BC">
        <w:rPr>
          <w:sz w:val="24"/>
          <w:szCs w:val="24"/>
        </w:rPr>
        <w:t xml:space="preserve"> </w:t>
      </w:r>
    </w:p>
    <w:p w14:paraId="5B44B956" w14:textId="77777777" w:rsidR="008512D4" w:rsidRPr="003650BC" w:rsidRDefault="00630AE1" w:rsidP="003650BC">
      <w:pPr>
        <w:spacing w:after="240"/>
        <w:ind w:left="900" w:hanging="900"/>
        <w:rPr>
          <w:sz w:val="24"/>
          <w:szCs w:val="24"/>
        </w:rPr>
      </w:pPr>
      <w:r w:rsidRPr="003650BC">
        <w:rPr>
          <w:sz w:val="24"/>
          <w:szCs w:val="24"/>
        </w:rPr>
        <w:t xml:space="preserve">Negi, M. (2024). Towards the integration of IT/OT technologies in Electricity Based Digitalized Energy Systems. </w:t>
      </w:r>
      <w:r w:rsidRPr="003650BC">
        <w:rPr>
          <w:i/>
          <w:sz w:val="24"/>
          <w:szCs w:val="24"/>
        </w:rPr>
        <w:t>Uwasa.fi</w:t>
      </w:r>
      <w:r w:rsidRPr="003650BC">
        <w:rPr>
          <w:sz w:val="24"/>
          <w:szCs w:val="24"/>
        </w:rPr>
        <w:t xml:space="preserve">. </w:t>
      </w:r>
      <w:hyperlink r:id="rId78">
        <w:r w:rsidRPr="003650BC">
          <w:rPr>
            <w:color w:val="1155CC"/>
            <w:sz w:val="24"/>
            <w:szCs w:val="24"/>
            <w:u w:val="single"/>
          </w:rPr>
          <w:t>https://osuva.uwasa.fi/handle/10024/18361</w:t>
        </w:r>
      </w:hyperlink>
      <w:r w:rsidRPr="003650BC">
        <w:rPr>
          <w:sz w:val="24"/>
          <w:szCs w:val="24"/>
        </w:rPr>
        <w:t xml:space="preserve"> </w:t>
      </w:r>
    </w:p>
    <w:p w14:paraId="7686FDFE" w14:textId="77777777" w:rsidR="008512D4" w:rsidRPr="003650BC" w:rsidRDefault="00630AE1" w:rsidP="003650BC">
      <w:pPr>
        <w:spacing w:after="240"/>
        <w:ind w:left="900" w:hanging="900"/>
        <w:rPr>
          <w:sz w:val="24"/>
          <w:szCs w:val="24"/>
        </w:rPr>
      </w:pPr>
      <w:r w:rsidRPr="003650BC">
        <w:rPr>
          <w:sz w:val="24"/>
          <w:szCs w:val="24"/>
        </w:rPr>
        <w:t xml:space="preserve">NIST. (2024). </w:t>
      </w:r>
      <w:r w:rsidRPr="003650BC">
        <w:rPr>
          <w:i/>
          <w:sz w:val="24"/>
          <w:szCs w:val="24"/>
        </w:rPr>
        <w:t>NIST Releases First 3 Finalized Post-Quantum Encryption Standards | NIST</w:t>
      </w:r>
      <w:r w:rsidRPr="003650BC">
        <w:rPr>
          <w:sz w:val="24"/>
          <w:szCs w:val="24"/>
        </w:rPr>
        <w:t xml:space="preserve">. NIST. </w:t>
      </w:r>
      <w:hyperlink r:id="rId79">
        <w:r w:rsidRPr="003650BC">
          <w:rPr>
            <w:color w:val="1155CC"/>
            <w:sz w:val="24"/>
            <w:szCs w:val="24"/>
            <w:u w:val="single"/>
          </w:rPr>
          <w:t>https://www.nist.gov/news-events/news/2024/08/nist-releases-first-3-finalized-post-quantum-encryption-standards</w:t>
        </w:r>
      </w:hyperlink>
      <w:r w:rsidRPr="003650BC">
        <w:rPr>
          <w:sz w:val="24"/>
          <w:szCs w:val="24"/>
        </w:rPr>
        <w:t xml:space="preserve"> </w:t>
      </w:r>
    </w:p>
    <w:p w14:paraId="33CAECBD" w14:textId="77777777" w:rsidR="008512D4" w:rsidRPr="003650BC" w:rsidRDefault="00630AE1" w:rsidP="003650BC">
      <w:pPr>
        <w:spacing w:after="240"/>
        <w:ind w:left="900" w:hanging="900"/>
        <w:rPr>
          <w:sz w:val="24"/>
          <w:szCs w:val="24"/>
        </w:rPr>
      </w:pPr>
      <w:r w:rsidRPr="003650BC">
        <w:rPr>
          <w:sz w:val="24"/>
          <w:szCs w:val="24"/>
        </w:rPr>
        <w:t xml:space="preserve">Nookala, G., Gade, K. R., Dulam, N., &amp; </w:t>
      </w:r>
      <w:proofErr w:type="spellStart"/>
      <w:r w:rsidRPr="003650BC">
        <w:rPr>
          <w:sz w:val="24"/>
          <w:szCs w:val="24"/>
        </w:rPr>
        <w:t>Thumburu</w:t>
      </w:r>
      <w:proofErr w:type="spellEnd"/>
      <w:r w:rsidRPr="003650BC">
        <w:rPr>
          <w:sz w:val="24"/>
          <w:szCs w:val="24"/>
        </w:rPr>
        <w:t xml:space="preserve">, S. K. R. (2019). End-to-End Encryption in Enterprise Data Systems: Trends and Implementation Challenges. </w:t>
      </w:r>
      <w:r w:rsidRPr="003650BC">
        <w:rPr>
          <w:i/>
          <w:sz w:val="24"/>
          <w:szCs w:val="24"/>
        </w:rPr>
        <w:t>Innovative Computer Sciences Journal</w:t>
      </w:r>
      <w:r w:rsidRPr="003650BC">
        <w:rPr>
          <w:sz w:val="24"/>
          <w:szCs w:val="24"/>
        </w:rPr>
        <w:t xml:space="preserve">, </w:t>
      </w:r>
      <w:r w:rsidRPr="003650BC">
        <w:rPr>
          <w:i/>
          <w:sz w:val="24"/>
          <w:szCs w:val="24"/>
        </w:rPr>
        <w:t>5</w:t>
      </w:r>
      <w:r w:rsidRPr="003650BC">
        <w:rPr>
          <w:sz w:val="24"/>
          <w:szCs w:val="24"/>
        </w:rPr>
        <w:t xml:space="preserve">(1). </w:t>
      </w:r>
      <w:hyperlink r:id="rId80">
        <w:r w:rsidRPr="003650BC">
          <w:rPr>
            <w:color w:val="1155CC"/>
            <w:sz w:val="24"/>
            <w:szCs w:val="24"/>
            <w:u w:val="single"/>
          </w:rPr>
          <w:t>https://inscipub.com/ICSJ/article/view/400</w:t>
        </w:r>
      </w:hyperlink>
      <w:r w:rsidRPr="003650BC">
        <w:rPr>
          <w:sz w:val="24"/>
          <w:szCs w:val="24"/>
        </w:rPr>
        <w:t xml:space="preserve"> </w:t>
      </w:r>
    </w:p>
    <w:p w14:paraId="0AE8E50E" w14:textId="77777777" w:rsidR="008512D4" w:rsidRPr="003650BC" w:rsidRDefault="00630AE1" w:rsidP="003650BC">
      <w:pPr>
        <w:spacing w:after="240"/>
        <w:ind w:left="900" w:hanging="900"/>
        <w:rPr>
          <w:sz w:val="24"/>
          <w:szCs w:val="24"/>
        </w:rPr>
      </w:pPr>
      <w:r w:rsidRPr="003650BC">
        <w:rPr>
          <w:sz w:val="24"/>
          <w:szCs w:val="24"/>
        </w:rPr>
        <w:t xml:space="preserve">Obioha-Val, O. A., Lawal, T. I., Olaniyi, O. O., Gbadebo, M. O., &amp; Olisa, A. O. (2025). Investigating the Feasibility and Risks of Leveraging Artificial Intelligence and </w:t>
      </w:r>
      <w:proofErr w:type="gramStart"/>
      <w:r w:rsidRPr="003650BC">
        <w:rPr>
          <w:sz w:val="24"/>
          <w:szCs w:val="24"/>
        </w:rPr>
        <w:t>Open Source</w:t>
      </w:r>
      <w:proofErr w:type="gramEnd"/>
      <w:r w:rsidRPr="003650BC">
        <w:rPr>
          <w:sz w:val="24"/>
          <w:szCs w:val="24"/>
        </w:rPr>
        <w:t xml:space="preserve"> Intelligence to Manage Predictive Cyber Threat Models.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(2), 10–28. </w:t>
      </w:r>
      <w:hyperlink r:id="rId81">
        <w:r w:rsidRPr="003650BC">
          <w:rPr>
            <w:color w:val="1155CC"/>
            <w:sz w:val="24"/>
            <w:szCs w:val="24"/>
            <w:u w:val="single"/>
          </w:rPr>
          <w:t>https://doi.org/10.9734/jerr/2025/v27i21390</w:t>
        </w:r>
      </w:hyperlink>
      <w:r w:rsidRPr="003650BC">
        <w:rPr>
          <w:sz w:val="24"/>
          <w:szCs w:val="24"/>
        </w:rPr>
        <w:t xml:space="preserve"> </w:t>
      </w:r>
    </w:p>
    <w:p w14:paraId="23A80E1F" w14:textId="77777777" w:rsidR="008512D4" w:rsidRPr="003650BC" w:rsidRDefault="00630AE1" w:rsidP="003650BC">
      <w:pPr>
        <w:spacing w:after="240"/>
        <w:ind w:left="900" w:hanging="900"/>
        <w:rPr>
          <w:sz w:val="24"/>
          <w:szCs w:val="24"/>
        </w:rPr>
      </w:pPr>
      <w:proofErr w:type="gramStart"/>
      <w:r w:rsidRPr="003650BC">
        <w:rPr>
          <w:sz w:val="24"/>
          <w:szCs w:val="24"/>
        </w:rPr>
        <w:t>OECD .</w:t>
      </w:r>
      <w:proofErr w:type="gramEnd"/>
      <w:r w:rsidRPr="003650BC">
        <w:rPr>
          <w:sz w:val="24"/>
          <w:szCs w:val="24"/>
        </w:rPr>
        <w:t xml:space="preserve"> (2023). </w:t>
      </w:r>
      <w:r w:rsidRPr="003650BC">
        <w:rPr>
          <w:i/>
          <w:sz w:val="24"/>
          <w:szCs w:val="24"/>
        </w:rPr>
        <w:t>The Nature, Evolution and Potential Implications of Data Localisation Measures</w:t>
      </w:r>
      <w:r w:rsidRPr="003650BC">
        <w:rPr>
          <w:sz w:val="24"/>
          <w:szCs w:val="24"/>
        </w:rPr>
        <w:t xml:space="preserve">. OECD. </w:t>
      </w:r>
      <w:hyperlink r:id="rId82">
        <w:r w:rsidRPr="003650BC">
          <w:rPr>
            <w:color w:val="1155CC"/>
            <w:sz w:val="24"/>
            <w:szCs w:val="24"/>
            <w:u w:val="single"/>
          </w:rPr>
          <w:t>https://www.oecd.org/en/publications/the-nature-evolution-and-potential-implications-of-data-localisation-measures_179f718a-en.html</w:t>
        </w:r>
      </w:hyperlink>
      <w:r w:rsidRPr="003650BC">
        <w:rPr>
          <w:sz w:val="24"/>
          <w:szCs w:val="24"/>
        </w:rPr>
        <w:t xml:space="preserve"> </w:t>
      </w:r>
    </w:p>
    <w:p w14:paraId="01329268" w14:textId="77777777" w:rsidR="008512D4" w:rsidRPr="003650BC" w:rsidRDefault="00630AE1" w:rsidP="003650BC">
      <w:pPr>
        <w:spacing w:after="240"/>
        <w:ind w:left="900" w:hanging="900"/>
        <w:rPr>
          <w:sz w:val="24"/>
          <w:szCs w:val="24"/>
        </w:rPr>
      </w:pPr>
      <w:proofErr w:type="spellStart"/>
      <w:r w:rsidRPr="003650BC">
        <w:rPr>
          <w:sz w:val="24"/>
          <w:szCs w:val="24"/>
        </w:rPr>
        <w:t>Ogunmolu</w:t>
      </w:r>
      <w:proofErr w:type="spellEnd"/>
      <w:r w:rsidRPr="003650BC">
        <w:rPr>
          <w:sz w:val="24"/>
          <w:szCs w:val="24"/>
        </w:rPr>
        <w:t xml:space="preserve">, A. M. (2025a). Enhancing Data Security in Artificial Intelligence Systems: A Cybersecurity and Information Governance Approach.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154–172. </w:t>
      </w:r>
      <w:hyperlink r:id="rId83">
        <w:r w:rsidRPr="003650BC">
          <w:rPr>
            <w:color w:val="1155CC"/>
            <w:sz w:val="24"/>
            <w:szCs w:val="24"/>
            <w:u w:val="single"/>
          </w:rPr>
          <w:t>https://doi.org/10.9734/jerr/2025/v27i51500</w:t>
        </w:r>
      </w:hyperlink>
      <w:r w:rsidRPr="003650BC">
        <w:rPr>
          <w:sz w:val="24"/>
          <w:szCs w:val="24"/>
        </w:rPr>
        <w:t xml:space="preserve"> </w:t>
      </w:r>
    </w:p>
    <w:p w14:paraId="0C275CC7" w14:textId="77777777" w:rsidR="008512D4" w:rsidRPr="003650BC" w:rsidRDefault="00630AE1" w:rsidP="003650BC">
      <w:pPr>
        <w:spacing w:after="240"/>
        <w:ind w:left="900" w:hanging="900"/>
        <w:rPr>
          <w:sz w:val="24"/>
          <w:szCs w:val="24"/>
        </w:rPr>
      </w:pPr>
      <w:proofErr w:type="spellStart"/>
      <w:r w:rsidRPr="003650BC">
        <w:rPr>
          <w:sz w:val="24"/>
          <w:szCs w:val="24"/>
        </w:rPr>
        <w:lastRenderedPageBreak/>
        <w:t>Ogunmolu</w:t>
      </w:r>
      <w:proofErr w:type="spellEnd"/>
      <w:r w:rsidRPr="003650BC">
        <w:rPr>
          <w:sz w:val="24"/>
          <w:szCs w:val="24"/>
        </w:rPr>
        <w:t xml:space="preserve">, A. M. (2025b). Leveraging Generative AI and </w:t>
      </w:r>
      <w:proofErr w:type="spellStart"/>
      <w:r w:rsidRPr="003650BC">
        <w:rPr>
          <w:sz w:val="24"/>
          <w:szCs w:val="24"/>
        </w:rPr>
        <w:t>Behavioral</w:t>
      </w:r>
      <w:proofErr w:type="spellEnd"/>
      <w:r w:rsidRPr="003650BC">
        <w:rPr>
          <w:sz w:val="24"/>
          <w:szCs w:val="24"/>
        </w:rPr>
        <w:t xml:space="preserve"> Biometrics to Strengthen Zero Trust Cybersecurity Architectures in Healthcare Systems.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194–213. </w:t>
      </w:r>
      <w:hyperlink r:id="rId84">
        <w:r w:rsidRPr="003650BC">
          <w:rPr>
            <w:color w:val="1155CC"/>
            <w:sz w:val="24"/>
            <w:szCs w:val="24"/>
            <w:u w:val="single"/>
          </w:rPr>
          <w:t>https://doi.org/10.9734/jerr/2025/v27i51502</w:t>
        </w:r>
      </w:hyperlink>
      <w:r w:rsidRPr="003650BC">
        <w:rPr>
          <w:sz w:val="24"/>
          <w:szCs w:val="24"/>
        </w:rPr>
        <w:t xml:space="preserve"> </w:t>
      </w:r>
    </w:p>
    <w:p w14:paraId="5D1EEC39" w14:textId="77777777" w:rsidR="008512D4" w:rsidRPr="003650BC" w:rsidRDefault="00630AE1" w:rsidP="003650BC">
      <w:pPr>
        <w:spacing w:after="240"/>
        <w:ind w:left="900" w:hanging="900"/>
        <w:rPr>
          <w:sz w:val="24"/>
          <w:szCs w:val="24"/>
        </w:rPr>
      </w:pPr>
      <w:proofErr w:type="spellStart"/>
      <w:r w:rsidRPr="003650BC">
        <w:rPr>
          <w:sz w:val="24"/>
          <w:szCs w:val="24"/>
        </w:rPr>
        <w:t>Olutimehin</w:t>
      </w:r>
      <w:proofErr w:type="spellEnd"/>
      <w:r w:rsidRPr="003650BC">
        <w:rPr>
          <w:sz w:val="24"/>
          <w:szCs w:val="24"/>
        </w:rPr>
        <w:t xml:space="preserve">, A. T., Joseph, S. A., Ajayi, A. J., </w:t>
      </w:r>
      <w:proofErr w:type="spellStart"/>
      <w:r w:rsidRPr="003650BC">
        <w:rPr>
          <w:sz w:val="24"/>
          <w:szCs w:val="24"/>
        </w:rPr>
        <w:t>Metibemu</w:t>
      </w:r>
      <w:proofErr w:type="spellEnd"/>
      <w:r w:rsidRPr="003650BC">
        <w:rPr>
          <w:sz w:val="24"/>
          <w:szCs w:val="24"/>
        </w:rPr>
        <w:t xml:space="preserve">, O. C., Balogun, A. Y., &amp; Olaniyi, O. O. (2025). Future-Proofing Data: Assessing the Feasibility of Post-Quantum Cryptographic Algorithms to Mitigate “Harvest Now, Decrypt Later” Attacks. </w:t>
      </w:r>
      <w:r w:rsidRPr="003650BC">
        <w:rPr>
          <w:i/>
          <w:sz w:val="24"/>
          <w:szCs w:val="24"/>
        </w:rPr>
        <w:t>Archives of Current Research International</w:t>
      </w:r>
      <w:r w:rsidRPr="003650BC">
        <w:rPr>
          <w:sz w:val="24"/>
          <w:szCs w:val="24"/>
        </w:rPr>
        <w:t xml:space="preserve">, </w:t>
      </w:r>
      <w:r w:rsidRPr="003650BC">
        <w:rPr>
          <w:i/>
          <w:sz w:val="24"/>
          <w:szCs w:val="24"/>
        </w:rPr>
        <w:t>25</w:t>
      </w:r>
      <w:r w:rsidRPr="003650BC">
        <w:rPr>
          <w:sz w:val="24"/>
          <w:szCs w:val="24"/>
        </w:rPr>
        <w:t xml:space="preserve">(3), 60–80. </w:t>
      </w:r>
      <w:hyperlink r:id="rId85">
        <w:r w:rsidRPr="003650BC">
          <w:rPr>
            <w:color w:val="1155CC"/>
            <w:sz w:val="24"/>
            <w:szCs w:val="24"/>
            <w:u w:val="single"/>
          </w:rPr>
          <w:t>https://doi.org/10.9734/acri/2025/v25i31098</w:t>
        </w:r>
      </w:hyperlink>
      <w:r w:rsidRPr="003650BC">
        <w:rPr>
          <w:sz w:val="24"/>
          <w:szCs w:val="24"/>
        </w:rPr>
        <w:t xml:space="preserve"> </w:t>
      </w:r>
    </w:p>
    <w:p w14:paraId="06593950" w14:textId="77777777" w:rsidR="008512D4" w:rsidRPr="003650BC" w:rsidRDefault="00630AE1" w:rsidP="003650BC">
      <w:pPr>
        <w:spacing w:after="240"/>
        <w:ind w:left="900" w:hanging="900"/>
        <w:rPr>
          <w:sz w:val="24"/>
          <w:szCs w:val="24"/>
        </w:rPr>
      </w:pPr>
      <w:proofErr w:type="spellStart"/>
      <w:r w:rsidRPr="003650BC">
        <w:rPr>
          <w:sz w:val="24"/>
          <w:szCs w:val="24"/>
        </w:rPr>
        <w:t>Oyekunle</w:t>
      </w:r>
      <w:proofErr w:type="spellEnd"/>
      <w:r w:rsidRPr="003650BC">
        <w:rPr>
          <w:sz w:val="24"/>
          <w:szCs w:val="24"/>
        </w:rPr>
        <w:t xml:space="preserve">, S. M., Popoola, A. D., Kolo, F. H. O., </w:t>
      </w:r>
      <w:proofErr w:type="spellStart"/>
      <w:r w:rsidRPr="003650BC">
        <w:rPr>
          <w:sz w:val="24"/>
          <w:szCs w:val="24"/>
        </w:rPr>
        <w:t>Ogunmolu</w:t>
      </w:r>
      <w:proofErr w:type="spellEnd"/>
      <w:r w:rsidRPr="003650BC">
        <w:rPr>
          <w:sz w:val="24"/>
          <w:szCs w:val="24"/>
        </w:rPr>
        <w:t xml:space="preserve">, A. M., &amp; </w:t>
      </w:r>
      <w:proofErr w:type="spellStart"/>
      <w:r w:rsidRPr="003650BC">
        <w:rPr>
          <w:sz w:val="24"/>
          <w:szCs w:val="24"/>
        </w:rPr>
        <w:t>Adesokan</w:t>
      </w:r>
      <w:proofErr w:type="spellEnd"/>
      <w:r w:rsidRPr="003650BC">
        <w:rPr>
          <w:sz w:val="24"/>
          <w:szCs w:val="24"/>
        </w:rPr>
        <w:t xml:space="preserve">-Imran, T. O. (2025). Intelligent Fraud Prevention Information Banking: A Data Governance- Centric Approach Using Behavioural Biometrics. </w:t>
      </w:r>
      <w:r w:rsidRPr="003650BC">
        <w:rPr>
          <w:i/>
          <w:sz w:val="24"/>
          <w:szCs w:val="24"/>
        </w:rPr>
        <w:t>Asian Journal of Research in Computer Science</w:t>
      </w:r>
      <w:r w:rsidRPr="003650BC">
        <w:rPr>
          <w:sz w:val="24"/>
          <w:szCs w:val="24"/>
        </w:rPr>
        <w:t xml:space="preserve">, </w:t>
      </w:r>
      <w:r w:rsidRPr="003650BC">
        <w:rPr>
          <w:i/>
          <w:sz w:val="24"/>
          <w:szCs w:val="24"/>
        </w:rPr>
        <w:t>18</w:t>
      </w:r>
      <w:r w:rsidRPr="003650BC">
        <w:rPr>
          <w:sz w:val="24"/>
          <w:szCs w:val="24"/>
        </w:rPr>
        <w:t xml:space="preserve">(5), 525–543. </w:t>
      </w:r>
      <w:hyperlink r:id="rId86">
        <w:r w:rsidRPr="003650BC">
          <w:rPr>
            <w:color w:val="1155CC"/>
            <w:sz w:val="24"/>
            <w:szCs w:val="24"/>
            <w:u w:val="single"/>
          </w:rPr>
          <w:t>https://doi.org/10.9734/ajrcos/2025/v18i5672</w:t>
        </w:r>
      </w:hyperlink>
      <w:r w:rsidRPr="003650BC">
        <w:rPr>
          <w:sz w:val="24"/>
          <w:szCs w:val="24"/>
        </w:rPr>
        <w:t xml:space="preserve"> </w:t>
      </w:r>
    </w:p>
    <w:p w14:paraId="27F871C1" w14:textId="77777777" w:rsidR="008512D4" w:rsidRPr="003650BC" w:rsidRDefault="00630AE1" w:rsidP="003650BC">
      <w:pPr>
        <w:spacing w:after="240"/>
        <w:ind w:left="900" w:hanging="900"/>
        <w:rPr>
          <w:sz w:val="24"/>
          <w:szCs w:val="24"/>
        </w:rPr>
      </w:pPr>
      <w:proofErr w:type="spellStart"/>
      <w:r w:rsidRPr="003650BC">
        <w:rPr>
          <w:sz w:val="24"/>
          <w:szCs w:val="24"/>
        </w:rPr>
        <w:t>Pliatsios</w:t>
      </w:r>
      <w:proofErr w:type="spellEnd"/>
      <w:r w:rsidRPr="003650BC">
        <w:rPr>
          <w:sz w:val="24"/>
          <w:szCs w:val="24"/>
        </w:rPr>
        <w:t xml:space="preserve">, D., </w:t>
      </w:r>
      <w:proofErr w:type="spellStart"/>
      <w:r w:rsidRPr="003650BC">
        <w:rPr>
          <w:sz w:val="24"/>
          <w:szCs w:val="24"/>
        </w:rPr>
        <w:t>Sarigiannidis</w:t>
      </w:r>
      <w:proofErr w:type="spellEnd"/>
      <w:r w:rsidRPr="003650BC">
        <w:rPr>
          <w:sz w:val="24"/>
          <w:szCs w:val="24"/>
        </w:rPr>
        <w:t xml:space="preserve">, P., </w:t>
      </w:r>
      <w:proofErr w:type="spellStart"/>
      <w:r w:rsidRPr="003650BC">
        <w:rPr>
          <w:sz w:val="24"/>
          <w:szCs w:val="24"/>
        </w:rPr>
        <w:t>Lagkas</w:t>
      </w:r>
      <w:proofErr w:type="spellEnd"/>
      <w:r w:rsidRPr="003650BC">
        <w:rPr>
          <w:sz w:val="24"/>
          <w:szCs w:val="24"/>
        </w:rPr>
        <w:t xml:space="preserve">, T., &amp; </w:t>
      </w:r>
      <w:proofErr w:type="spellStart"/>
      <w:r w:rsidRPr="003650BC">
        <w:rPr>
          <w:sz w:val="24"/>
          <w:szCs w:val="24"/>
        </w:rPr>
        <w:t>Sarigiannidis</w:t>
      </w:r>
      <w:proofErr w:type="spellEnd"/>
      <w:r w:rsidRPr="003650BC">
        <w:rPr>
          <w:sz w:val="24"/>
          <w:szCs w:val="24"/>
        </w:rPr>
        <w:t xml:space="preserve">, A. G. (2020). A Survey on SCADA Systems: Secure Protocols, Incidents, Threats and Tactics. </w:t>
      </w:r>
      <w:r w:rsidRPr="003650BC">
        <w:rPr>
          <w:i/>
          <w:sz w:val="24"/>
          <w:szCs w:val="24"/>
        </w:rPr>
        <w:t>IEEE Communications Surveys &amp; Tutorials</w:t>
      </w:r>
      <w:r w:rsidRPr="003650BC">
        <w:rPr>
          <w:sz w:val="24"/>
          <w:szCs w:val="24"/>
        </w:rPr>
        <w:t xml:space="preserve">, </w:t>
      </w:r>
      <w:r w:rsidRPr="003650BC">
        <w:rPr>
          <w:i/>
          <w:sz w:val="24"/>
          <w:szCs w:val="24"/>
        </w:rPr>
        <w:t>22</w:t>
      </w:r>
      <w:r w:rsidRPr="003650BC">
        <w:rPr>
          <w:sz w:val="24"/>
          <w:szCs w:val="24"/>
        </w:rPr>
        <w:t xml:space="preserve">(3), 1942–1976. </w:t>
      </w:r>
      <w:hyperlink r:id="rId87">
        <w:r w:rsidRPr="003650BC">
          <w:rPr>
            <w:color w:val="1155CC"/>
            <w:sz w:val="24"/>
            <w:szCs w:val="24"/>
            <w:u w:val="single"/>
          </w:rPr>
          <w:t>https://doi.org/10.1109/comst.2020.2987688</w:t>
        </w:r>
      </w:hyperlink>
      <w:r w:rsidRPr="003650BC">
        <w:rPr>
          <w:sz w:val="24"/>
          <w:szCs w:val="24"/>
        </w:rPr>
        <w:t xml:space="preserve"> </w:t>
      </w:r>
    </w:p>
    <w:p w14:paraId="0130BBBB" w14:textId="77777777" w:rsidR="008512D4" w:rsidRPr="003650BC" w:rsidRDefault="00630AE1" w:rsidP="003650BC">
      <w:pPr>
        <w:spacing w:after="240"/>
        <w:ind w:left="900" w:hanging="900"/>
        <w:rPr>
          <w:sz w:val="24"/>
          <w:szCs w:val="24"/>
        </w:rPr>
      </w:pPr>
      <w:r w:rsidRPr="003650BC">
        <w:rPr>
          <w:sz w:val="24"/>
          <w:szCs w:val="24"/>
        </w:rPr>
        <w:t xml:space="preserve">Ribeiro, A. (2024). </w:t>
      </w:r>
      <w:r w:rsidRPr="003650BC">
        <w:rPr>
          <w:i/>
          <w:sz w:val="24"/>
          <w:szCs w:val="24"/>
        </w:rPr>
        <w:t>FBI warns of increased cyber threats to expanding US renewable energy sector</w:t>
      </w:r>
      <w:r w:rsidRPr="003650BC">
        <w:rPr>
          <w:sz w:val="24"/>
          <w:szCs w:val="24"/>
        </w:rPr>
        <w:t xml:space="preserve">. Industrial Cyber. </w:t>
      </w:r>
      <w:hyperlink r:id="rId88">
        <w:r w:rsidRPr="003650BC">
          <w:rPr>
            <w:color w:val="1155CC"/>
            <w:sz w:val="24"/>
            <w:szCs w:val="24"/>
            <w:u w:val="single"/>
          </w:rPr>
          <w:t>https://industrialcyber.co/threats-attacks/fbi-warns-of-increased-cyber-threats-to-expanding-us-renewable-energy-sector/</w:t>
        </w:r>
      </w:hyperlink>
      <w:r w:rsidRPr="003650BC">
        <w:rPr>
          <w:sz w:val="24"/>
          <w:szCs w:val="24"/>
        </w:rPr>
        <w:t xml:space="preserve"> </w:t>
      </w:r>
    </w:p>
    <w:p w14:paraId="459E9467" w14:textId="77777777" w:rsidR="008512D4" w:rsidRPr="003650BC" w:rsidRDefault="00630AE1" w:rsidP="003650BC">
      <w:pPr>
        <w:spacing w:after="240"/>
        <w:ind w:left="900" w:hanging="900"/>
        <w:rPr>
          <w:sz w:val="24"/>
          <w:szCs w:val="24"/>
        </w:rPr>
      </w:pPr>
      <w:r w:rsidRPr="003650BC">
        <w:rPr>
          <w:sz w:val="24"/>
          <w:szCs w:val="24"/>
        </w:rPr>
        <w:t xml:space="preserve">Salako, A. O., </w:t>
      </w:r>
      <w:proofErr w:type="spellStart"/>
      <w:r w:rsidRPr="003650BC">
        <w:rPr>
          <w:sz w:val="24"/>
          <w:szCs w:val="24"/>
        </w:rPr>
        <w:t>Adesokan</w:t>
      </w:r>
      <w:proofErr w:type="spellEnd"/>
      <w:r w:rsidRPr="003650BC">
        <w:rPr>
          <w:sz w:val="24"/>
          <w:szCs w:val="24"/>
        </w:rPr>
        <w:t xml:space="preserve">-Imran, T. O., </w:t>
      </w:r>
      <w:proofErr w:type="spellStart"/>
      <w:r w:rsidRPr="003650BC">
        <w:rPr>
          <w:sz w:val="24"/>
          <w:szCs w:val="24"/>
        </w:rPr>
        <w:t>Tiwo</w:t>
      </w:r>
      <w:proofErr w:type="spellEnd"/>
      <w:r w:rsidRPr="003650BC">
        <w:rPr>
          <w:sz w:val="24"/>
          <w:szCs w:val="24"/>
        </w:rPr>
        <w:t xml:space="preserve">, O. J., </w:t>
      </w:r>
      <w:proofErr w:type="spellStart"/>
      <w:r w:rsidRPr="003650BC">
        <w:rPr>
          <w:sz w:val="24"/>
          <w:szCs w:val="24"/>
        </w:rPr>
        <w:t>Metibemu</w:t>
      </w:r>
      <w:proofErr w:type="spellEnd"/>
      <w:r w:rsidRPr="003650BC">
        <w:rPr>
          <w:sz w:val="24"/>
          <w:szCs w:val="24"/>
        </w:rPr>
        <w:t xml:space="preserve">, O. C., </w:t>
      </w:r>
      <w:proofErr w:type="spellStart"/>
      <w:r w:rsidRPr="003650BC">
        <w:rPr>
          <w:sz w:val="24"/>
          <w:szCs w:val="24"/>
        </w:rPr>
        <w:t>Onyenaucheya</w:t>
      </w:r>
      <w:proofErr w:type="spellEnd"/>
      <w:r w:rsidRPr="003650BC">
        <w:rPr>
          <w:sz w:val="24"/>
          <w:szCs w:val="24"/>
        </w:rPr>
        <w:t xml:space="preserve">, O. S., &amp; Olaniyi, O. O. (2025). Securing Confidentiality in Distributed Ledger Systems with Secure Multi-party Computation for Financial Data Protection.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(3), 352–373. </w:t>
      </w:r>
      <w:hyperlink r:id="rId89">
        <w:r w:rsidRPr="003650BC">
          <w:rPr>
            <w:color w:val="1155CC"/>
            <w:sz w:val="24"/>
            <w:szCs w:val="24"/>
            <w:u w:val="single"/>
          </w:rPr>
          <w:t>https://doi.org/10.9734/jerr/2025/v27i31439</w:t>
        </w:r>
      </w:hyperlink>
      <w:r w:rsidRPr="003650BC">
        <w:rPr>
          <w:sz w:val="24"/>
          <w:szCs w:val="24"/>
        </w:rPr>
        <w:t xml:space="preserve"> </w:t>
      </w:r>
    </w:p>
    <w:p w14:paraId="6FB01858" w14:textId="77777777" w:rsidR="008512D4" w:rsidRPr="003650BC" w:rsidRDefault="00630AE1" w:rsidP="003650BC">
      <w:pPr>
        <w:spacing w:after="240"/>
        <w:ind w:left="900" w:hanging="900"/>
        <w:rPr>
          <w:sz w:val="24"/>
          <w:szCs w:val="24"/>
        </w:rPr>
      </w:pPr>
      <w:r w:rsidRPr="003650BC">
        <w:rPr>
          <w:sz w:val="24"/>
          <w:szCs w:val="24"/>
        </w:rPr>
        <w:t xml:space="preserve">Salami, I. A. (2025). </w:t>
      </w:r>
      <w:proofErr w:type="spellStart"/>
      <w:r w:rsidRPr="003650BC">
        <w:rPr>
          <w:sz w:val="24"/>
          <w:szCs w:val="24"/>
        </w:rPr>
        <w:t>Modeling</w:t>
      </w:r>
      <w:proofErr w:type="spellEnd"/>
      <w:r w:rsidRPr="003650BC">
        <w:rPr>
          <w:sz w:val="24"/>
          <w:szCs w:val="24"/>
        </w:rPr>
        <w:t xml:space="preserve"> and Measuring the Cyber Resilience of Critical Healthcare Infrastructure against Ransomware: A Cyber-Physical Systems Risk Perspective.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231–252. </w:t>
      </w:r>
      <w:hyperlink r:id="rId90">
        <w:r w:rsidRPr="003650BC">
          <w:rPr>
            <w:color w:val="1155CC"/>
            <w:sz w:val="24"/>
            <w:szCs w:val="24"/>
            <w:u w:val="single"/>
          </w:rPr>
          <w:t>https://doi.org/10.9734/jerr/2025/v27i51504</w:t>
        </w:r>
      </w:hyperlink>
      <w:r w:rsidRPr="003650BC">
        <w:rPr>
          <w:sz w:val="24"/>
          <w:szCs w:val="24"/>
        </w:rPr>
        <w:t xml:space="preserve"> </w:t>
      </w:r>
    </w:p>
    <w:p w14:paraId="51A2E6F9" w14:textId="77777777" w:rsidR="008512D4" w:rsidRPr="003650BC" w:rsidRDefault="00630AE1" w:rsidP="003650BC">
      <w:pPr>
        <w:spacing w:after="240"/>
        <w:ind w:left="900" w:hanging="900"/>
        <w:rPr>
          <w:sz w:val="24"/>
          <w:szCs w:val="24"/>
        </w:rPr>
      </w:pPr>
      <w:r w:rsidRPr="003650BC">
        <w:rPr>
          <w:sz w:val="24"/>
          <w:szCs w:val="24"/>
        </w:rPr>
        <w:t xml:space="preserve">Salami, I. A., Popoola, A. D., Gbadebo, M. O., Kolo, F. H. O., &amp; </w:t>
      </w:r>
      <w:proofErr w:type="spellStart"/>
      <w:r w:rsidRPr="003650BC">
        <w:rPr>
          <w:sz w:val="24"/>
          <w:szCs w:val="24"/>
        </w:rPr>
        <w:t>Adesokan</w:t>
      </w:r>
      <w:proofErr w:type="spellEnd"/>
      <w:r w:rsidRPr="003650BC">
        <w:rPr>
          <w:sz w:val="24"/>
          <w:szCs w:val="24"/>
        </w:rPr>
        <w:t xml:space="preserve">-Imran, T. O. (2025). AI- Powered Behavioural Biometrics for Fraud Detection in Digital Banking: A Next-Generation Approach to Financial Cybersecurity. </w:t>
      </w:r>
      <w:r w:rsidRPr="003650BC">
        <w:rPr>
          <w:i/>
          <w:sz w:val="24"/>
          <w:szCs w:val="24"/>
        </w:rPr>
        <w:t>Asian Journal of Research in Computer Science</w:t>
      </w:r>
      <w:r w:rsidRPr="003650BC">
        <w:rPr>
          <w:sz w:val="24"/>
          <w:szCs w:val="24"/>
        </w:rPr>
        <w:t xml:space="preserve">, </w:t>
      </w:r>
      <w:r w:rsidRPr="003650BC">
        <w:rPr>
          <w:i/>
          <w:sz w:val="24"/>
          <w:szCs w:val="24"/>
        </w:rPr>
        <w:t>18</w:t>
      </w:r>
      <w:r w:rsidRPr="003650BC">
        <w:rPr>
          <w:sz w:val="24"/>
          <w:szCs w:val="24"/>
        </w:rPr>
        <w:t xml:space="preserve">(4), 473–494. </w:t>
      </w:r>
      <w:hyperlink r:id="rId91">
        <w:r w:rsidRPr="003650BC">
          <w:rPr>
            <w:color w:val="1155CC"/>
            <w:sz w:val="24"/>
            <w:szCs w:val="24"/>
            <w:u w:val="single"/>
          </w:rPr>
          <w:t>https://doi.org/10.9734/ajrcos/2025/v18i4632</w:t>
        </w:r>
      </w:hyperlink>
      <w:r w:rsidRPr="003650BC">
        <w:rPr>
          <w:sz w:val="24"/>
          <w:szCs w:val="24"/>
        </w:rPr>
        <w:t xml:space="preserve"> </w:t>
      </w:r>
    </w:p>
    <w:p w14:paraId="7183B3CC" w14:textId="77777777" w:rsidR="008512D4" w:rsidRPr="003650BC" w:rsidRDefault="00630AE1" w:rsidP="003650BC">
      <w:pPr>
        <w:spacing w:after="240"/>
        <w:ind w:left="900" w:hanging="900"/>
        <w:rPr>
          <w:sz w:val="24"/>
          <w:szCs w:val="24"/>
        </w:rPr>
      </w:pPr>
      <w:r w:rsidRPr="003650BC">
        <w:rPr>
          <w:sz w:val="24"/>
          <w:szCs w:val="24"/>
        </w:rPr>
        <w:lastRenderedPageBreak/>
        <w:t xml:space="preserve">Saxena, V., Manna, S., Rajput, S. K., Kumar, P., Sharma, B., Alsharif, M. H., &amp; Kim, M.-K. (2024). Navigating the complexities of distributed generation: Integration, challenges, and solutions. </w:t>
      </w:r>
      <w:r w:rsidRPr="003650BC">
        <w:rPr>
          <w:i/>
          <w:sz w:val="24"/>
          <w:szCs w:val="24"/>
        </w:rPr>
        <w:t>Energy Reports</w:t>
      </w:r>
      <w:r w:rsidRPr="003650BC">
        <w:rPr>
          <w:sz w:val="24"/>
          <w:szCs w:val="24"/>
        </w:rPr>
        <w:t xml:space="preserve">, </w:t>
      </w:r>
      <w:r w:rsidRPr="003650BC">
        <w:rPr>
          <w:i/>
          <w:sz w:val="24"/>
          <w:szCs w:val="24"/>
        </w:rPr>
        <w:t>12</w:t>
      </w:r>
      <w:r w:rsidRPr="003650BC">
        <w:rPr>
          <w:sz w:val="24"/>
          <w:szCs w:val="24"/>
        </w:rPr>
        <w:t xml:space="preserve">, 3302–3322. </w:t>
      </w:r>
      <w:hyperlink r:id="rId92">
        <w:r w:rsidRPr="003650BC">
          <w:rPr>
            <w:color w:val="1155CC"/>
            <w:sz w:val="24"/>
            <w:szCs w:val="24"/>
            <w:u w:val="single"/>
          </w:rPr>
          <w:t>https://doi.org/10.1016/j.egyr.2024.09.017</w:t>
        </w:r>
      </w:hyperlink>
      <w:r w:rsidRPr="003650BC">
        <w:rPr>
          <w:sz w:val="24"/>
          <w:szCs w:val="24"/>
        </w:rPr>
        <w:t xml:space="preserve"> </w:t>
      </w:r>
    </w:p>
    <w:p w14:paraId="6495950A" w14:textId="77777777" w:rsidR="008512D4" w:rsidRPr="003650BC" w:rsidRDefault="00630AE1" w:rsidP="003650BC">
      <w:pPr>
        <w:spacing w:after="240"/>
        <w:ind w:left="900" w:hanging="900"/>
        <w:rPr>
          <w:sz w:val="24"/>
          <w:szCs w:val="24"/>
        </w:rPr>
      </w:pPr>
      <w:proofErr w:type="spellStart"/>
      <w:r w:rsidRPr="003650BC">
        <w:rPr>
          <w:sz w:val="24"/>
          <w:szCs w:val="24"/>
        </w:rPr>
        <w:t>SecurityScorecard</w:t>
      </w:r>
      <w:proofErr w:type="spellEnd"/>
      <w:r w:rsidRPr="003650BC">
        <w:rPr>
          <w:sz w:val="24"/>
          <w:szCs w:val="24"/>
        </w:rPr>
        <w:t xml:space="preserve">. (2024). </w:t>
      </w:r>
      <w:r w:rsidRPr="003650BC">
        <w:rPr>
          <w:i/>
          <w:sz w:val="24"/>
          <w:szCs w:val="24"/>
        </w:rPr>
        <w:t xml:space="preserve">67% of Energy Sector Breaches Linked to Software and IT Vendors, </w:t>
      </w:r>
      <w:proofErr w:type="spellStart"/>
      <w:r w:rsidRPr="003650BC">
        <w:rPr>
          <w:i/>
          <w:sz w:val="24"/>
          <w:szCs w:val="24"/>
        </w:rPr>
        <w:t>SecurityScorecard</w:t>
      </w:r>
      <w:proofErr w:type="spellEnd"/>
      <w:r w:rsidRPr="003650BC">
        <w:rPr>
          <w:i/>
          <w:sz w:val="24"/>
          <w:szCs w:val="24"/>
        </w:rPr>
        <w:t xml:space="preserve"> Reports</w:t>
      </w:r>
      <w:r w:rsidRPr="003650BC">
        <w:rPr>
          <w:sz w:val="24"/>
          <w:szCs w:val="24"/>
        </w:rPr>
        <w:t xml:space="preserve">. </w:t>
      </w:r>
      <w:proofErr w:type="spellStart"/>
      <w:r w:rsidRPr="003650BC">
        <w:rPr>
          <w:sz w:val="24"/>
          <w:szCs w:val="24"/>
        </w:rPr>
        <w:t>SecurityScorecard</w:t>
      </w:r>
      <w:proofErr w:type="spellEnd"/>
      <w:r w:rsidRPr="003650BC">
        <w:rPr>
          <w:sz w:val="24"/>
          <w:szCs w:val="24"/>
        </w:rPr>
        <w:t xml:space="preserve">.  </w:t>
      </w:r>
      <w:hyperlink r:id="rId93">
        <w:r w:rsidRPr="003650BC">
          <w:rPr>
            <w:color w:val="1155CC"/>
            <w:sz w:val="24"/>
            <w:szCs w:val="24"/>
            <w:u w:val="single"/>
          </w:rPr>
          <w:t>https://securityscorecard.com/company/press/67-of-energy-sector-breaches-linked-to-software-and-it-vendors-securityscorecard-reports/</w:t>
        </w:r>
      </w:hyperlink>
      <w:r w:rsidRPr="003650BC">
        <w:rPr>
          <w:sz w:val="24"/>
          <w:szCs w:val="24"/>
        </w:rPr>
        <w:t xml:space="preserve"> </w:t>
      </w:r>
    </w:p>
    <w:p w14:paraId="59838B41" w14:textId="77777777" w:rsidR="008512D4" w:rsidRPr="003650BC" w:rsidRDefault="00630AE1" w:rsidP="003650BC">
      <w:pPr>
        <w:spacing w:after="240"/>
        <w:ind w:left="900" w:hanging="900"/>
        <w:rPr>
          <w:sz w:val="24"/>
          <w:szCs w:val="24"/>
        </w:rPr>
      </w:pPr>
      <w:r w:rsidRPr="003650BC">
        <w:rPr>
          <w:sz w:val="24"/>
          <w:szCs w:val="24"/>
        </w:rPr>
        <w:t xml:space="preserve">Sek, C. (2024). </w:t>
      </w:r>
      <w:r w:rsidRPr="003650BC">
        <w:rPr>
          <w:i/>
          <w:sz w:val="24"/>
          <w:szCs w:val="24"/>
        </w:rPr>
        <w:t>Data Protection in 2024: the Formation of the Data Protection Regulatory Framework</w:t>
      </w:r>
      <w:r w:rsidRPr="003650BC">
        <w:rPr>
          <w:sz w:val="24"/>
          <w:szCs w:val="24"/>
        </w:rPr>
        <w:t xml:space="preserve">. </w:t>
      </w:r>
      <w:proofErr w:type="spellStart"/>
      <w:r w:rsidRPr="003650BC">
        <w:rPr>
          <w:sz w:val="24"/>
          <w:szCs w:val="24"/>
        </w:rPr>
        <w:t>ChinaLawAndPractice</w:t>
      </w:r>
      <w:proofErr w:type="spellEnd"/>
      <w:r w:rsidRPr="003650BC">
        <w:rPr>
          <w:sz w:val="24"/>
          <w:szCs w:val="24"/>
        </w:rPr>
        <w:t xml:space="preserve">; China Law and Practice. </w:t>
      </w:r>
      <w:hyperlink r:id="rId94">
        <w:r w:rsidRPr="003650BC">
          <w:rPr>
            <w:color w:val="1155CC"/>
            <w:sz w:val="24"/>
            <w:szCs w:val="24"/>
            <w:u w:val="single"/>
          </w:rPr>
          <w:t>https://www.chinalawandpractice.com/2025/02/24/data-protection-in-2024-the-formation-of-the-data-protection-regulatory-framework/</w:t>
        </w:r>
      </w:hyperlink>
      <w:r w:rsidRPr="003650BC">
        <w:rPr>
          <w:sz w:val="24"/>
          <w:szCs w:val="24"/>
        </w:rPr>
        <w:t xml:space="preserve"> </w:t>
      </w:r>
    </w:p>
    <w:p w14:paraId="268228A9" w14:textId="77777777" w:rsidR="008512D4" w:rsidRPr="003650BC" w:rsidRDefault="00630AE1" w:rsidP="003650BC">
      <w:pPr>
        <w:spacing w:after="240"/>
        <w:ind w:left="900" w:hanging="900"/>
        <w:rPr>
          <w:sz w:val="24"/>
          <w:szCs w:val="24"/>
        </w:rPr>
      </w:pPr>
      <w:r w:rsidRPr="003650BC">
        <w:rPr>
          <w:sz w:val="24"/>
          <w:szCs w:val="24"/>
        </w:rPr>
        <w:t xml:space="preserve">Shandilya, S. K., Datta, A., Kartik, Y., &amp; Nagar, A. (2024). Navigating the Regulatory Landscape. </w:t>
      </w:r>
      <w:r w:rsidRPr="003650BC">
        <w:rPr>
          <w:i/>
          <w:sz w:val="24"/>
          <w:szCs w:val="24"/>
        </w:rPr>
        <w:t>EAI/Springer Innovations in Communication and Computing</w:t>
      </w:r>
      <w:r w:rsidRPr="003650BC">
        <w:rPr>
          <w:sz w:val="24"/>
          <w:szCs w:val="24"/>
        </w:rPr>
        <w:t xml:space="preserve">, 127–240. </w:t>
      </w:r>
      <w:hyperlink r:id="rId95">
        <w:r w:rsidRPr="003650BC">
          <w:rPr>
            <w:color w:val="1155CC"/>
            <w:sz w:val="24"/>
            <w:szCs w:val="24"/>
            <w:u w:val="single"/>
          </w:rPr>
          <w:t>https://doi.org/10.1007/978-3-031-53290-0_3</w:t>
        </w:r>
      </w:hyperlink>
      <w:r w:rsidRPr="003650BC">
        <w:rPr>
          <w:sz w:val="24"/>
          <w:szCs w:val="24"/>
        </w:rPr>
        <w:t xml:space="preserve"> </w:t>
      </w:r>
    </w:p>
    <w:p w14:paraId="6A5EB262" w14:textId="77777777" w:rsidR="008512D4" w:rsidRPr="003650BC" w:rsidRDefault="00630AE1" w:rsidP="003650BC">
      <w:pPr>
        <w:spacing w:after="240"/>
        <w:ind w:left="900" w:hanging="900"/>
        <w:rPr>
          <w:sz w:val="24"/>
          <w:szCs w:val="24"/>
        </w:rPr>
      </w:pPr>
      <w:proofErr w:type="spellStart"/>
      <w:r w:rsidRPr="003650BC">
        <w:rPr>
          <w:sz w:val="24"/>
          <w:szCs w:val="24"/>
        </w:rPr>
        <w:t>Sindiramutty</w:t>
      </w:r>
      <w:proofErr w:type="spellEnd"/>
      <w:r w:rsidRPr="003650BC">
        <w:rPr>
          <w:sz w:val="24"/>
          <w:szCs w:val="24"/>
        </w:rPr>
        <w:t xml:space="preserve">, S. R., </w:t>
      </w:r>
      <w:proofErr w:type="spellStart"/>
      <w:r w:rsidRPr="003650BC">
        <w:rPr>
          <w:sz w:val="24"/>
          <w:szCs w:val="24"/>
        </w:rPr>
        <w:t>Jhanjhi</w:t>
      </w:r>
      <w:proofErr w:type="spellEnd"/>
      <w:r w:rsidRPr="003650BC">
        <w:rPr>
          <w:sz w:val="24"/>
          <w:szCs w:val="24"/>
        </w:rPr>
        <w:t xml:space="preserve">, N. Z., Tan, C. E., Yun, K. J., </w:t>
      </w:r>
      <w:proofErr w:type="spellStart"/>
      <w:r w:rsidRPr="003650BC">
        <w:rPr>
          <w:sz w:val="24"/>
          <w:szCs w:val="24"/>
        </w:rPr>
        <w:t>Manchuri</w:t>
      </w:r>
      <w:proofErr w:type="spellEnd"/>
      <w:r w:rsidRPr="003650BC">
        <w:rPr>
          <w:sz w:val="24"/>
          <w:szCs w:val="24"/>
        </w:rPr>
        <w:t xml:space="preserve">, A. R., Ashraf, H., Murugesan, R. K., Tee, W. J., &amp; Hussain, M. (2024). </w:t>
      </w:r>
      <w:r w:rsidRPr="003650BC">
        <w:rPr>
          <w:i/>
          <w:sz w:val="24"/>
          <w:szCs w:val="24"/>
        </w:rPr>
        <w:t>Data Security and Privacy Concerns in Drone Operations</w:t>
      </w:r>
      <w:r w:rsidRPr="003650BC">
        <w:rPr>
          <w:sz w:val="24"/>
          <w:szCs w:val="24"/>
        </w:rPr>
        <w:t xml:space="preserve">. Www.igi-Global.com; IGI Global. </w:t>
      </w:r>
      <w:hyperlink r:id="rId96">
        <w:r w:rsidRPr="003650BC">
          <w:rPr>
            <w:color w:val="1155CC"/>
            <w:sz w:val="24"/>
            <w:szCs w:val="24"/>
            <w:u w:val="single"/>
          </w:rPr>
          <w:t>https://www.igi-global.com/chapter/data-security-and-privacy-concerns-in-drone-operations/340079</w:t>
        </w:r>
      </w:hyperlink>
      <w:r w:rsidRPr="003650BC">
        <w:rPr>
          <w:sz w:val="24"/>
          <w:szCs w:val="24"/>
        </w:rPr>
        <w:t xml:space="preserve"> </w:t>
      </w:r>
    </w:p>
    <w:p w14:paraId="4DEE5562" w14:textId="77777777" w:rsidR="008512D4" w:rsidRPr="003650BC" w:rsidRDefault="00630AE1" w:rsidP="003650BC">
      <w:pPr>
        <w:spacing w:after="240"/>
        <w:ind w:left="900" w:hanging="900"/>
        <w:rPr>
          <w:sz w:val="24"/>
          <w:szCs w:val="24"/>
        </w:rPr>
      </w:pPr>
      <w:r w:rsidRPr="003650BC">
        <w:rPr>
          <w:sz w:val="24"/>
          <w:szCs w:val="24"/>
        </w:rPr>
        <w:t xml:space="preserve">Sun, P., Doh, J. P., Rajwani, T., &amp; Siegel, D. (2021). Navigating cross-border institutional complexity: A review and assessment of multinational nonmarket strategy research. </w:t>
      </w:r>
      <w:r w:rsidRPr="003650BC">
        <w:rPr>
          <w:i/>
          <w:sz w:val="24"/>
          <w:szCs w:val="24"/>
        </w:rPr>
        <w:t>Journal of International Business Studies</w:t>
      </w:r>
      <w:r w:rsidRPr="003650BC">
        <w:rPr>
          <w:sz w:val="24"/>
          <w:szCs w:val="24"/>
        </w:rPr>
        <w:t xml:space="preserve">, </w:t>
      </w:r>
      <w:r w:rsidRPr="003650BC">
        <w:rPr>
          <w:i/>
          <w:sz w:val="24"/>
          <w:szCs w:val="24"/>
        </w:rPr>
        <w:t>52</w:t>
      </w:r>
      <w:r w:rsidRPr="003650BC">
        <w:rPr>
          <w:sz w:val="24"/>
          <w:szCs w:val="24"/>
        </w:rPr>
        <w:t xml:space="preserve">(9), 1818–1853. </w:t>
      </w:r>
      <w:hyperlink r:id="rId97">
        <w:r w:rsidRPr="003650BC">
          <w:rPr>
            <w:color w:val="1155CC"/>
            <w:sz w:val="24"/>
            <w:szCs w:val="24"/>
            <w:u w:val="single"/>
          </w:rPr>
          <w:t>https://link.springer.com/article/10.1057/s41267-021-00438-x</w:t>
        </w:r>
      </w:hyperlink>
      <w:r w:rsidRPr="003650BC">
        <w:rPr>
          <w:sz w:val="24"/>
          <w:szCs w:val="24"/>
        </w:rPr>
        <w:t xml:space="preserve"> </w:t>
      </w:r>
    </w:p>
    <w:p w14:paraId="4B4E6D23" w14:textId="77777777" w:rsidR="008512D4" w:rsidRPr="003650BC" w:rsidRDefault="00630AE1" w:rsidP="003650BC">
      <w:pPr>
        <w:spacing w:after="240"/>
        <w:ind w:left="900" w:hanging="900"/>
        <w:rPr>
          <w:sz w:val="24"/>
          <w:szCs w:val="24"/>
        </w:rPr>
      </w:pPr>
      <w:r w:rsidRPr="003650BC">
        <w:rPr>
          <w:sz w:val="24"/>
          <w:szCs w:val="24"/>
        </w:rPr>
        <w:t xml:space="preserve">Tamanna, Y. (2025). </w:t>
      </w:r>
      <w:r w:rsidRPr="003650BC">
        <w:rPr>
          <w:i/>
          <w:sz w:val="24"/>
          <w:szCs w:val="24"/>
        </w:rPr>
        <w:t xml:space="preserve">Top 10 Energy Industry Trends [2025] | </w:t>
      </w:r>
      <w:proofErr w:type="spellStart"/>
      <w:r w:rsidRPr="003650BC">
        <w:rPr>
          <w:i/>
          <w:sz w:val="24"/>
          <w:szCs w:val="24"/>
        </w:rPr>
        <w:t>StartUs</w:t>
      </w:r>
      <w:proofErr w:type="spellEnd"/>
      <w:r w:rsidRPr="003650BC">
        <w:rPr>
          <w:i/>
          <w:sz w:val="24"/>
          <w:szCs w:val="24"/>
        </w:rPr>
        <w:t xml:space="preserve"> Insights</w:t>
      </w:r>
      <w:r w:rsidRPr="003650BC">
        <w:rPr>
          <w:sz w:val="24"/>
          <w:szCs w:val="24"/>
        </w:rPr>
        <w:t xml:space="preserve">. </w:t>
      </w:r>
      <w:proofErr w:type="spellStart"/>
      <w:r w:rsidRPr="003650BC">
        <w:rPr>
          <w:sz w:val="24"/>
          <w:szCs w:val="24"/>
        </w:rPr>
        <w:t>StartUs</w:t>
      </w:r>
      <w:proofErr w:type="spellEnd"/>
      <w:r w:rsidRPr="003650BC">
        <w:rPr>
          <w:sz w:val="24"/>
          <w:szCs w:val="24"/>
        </w:rPr>
        <w:t xml:space="preserve"> Insights. </w:t>
      </w:r>
      <w:hyperlink r:id="rId98">
        <w:r w:rsidRPr="003650BC">
          <w:rPr>
            <w:color w:val="1155CC"/>
            <w:sz w:val="24"/>
            <w:szCs w:val="24"/>
            <w:u w:val="single"/>
          </w:rPr>
          <w:t>https://www.startus-insights.com/innovators-guide/energy-industry-trends/</w:t>
        </w:r>
      </w:hyperlink>
      <w:r w:rsidRPr="003650BC">
        <w:rPr>
          <w:sz w:val="24"/>
          <w:szCs w:val="24"/>
        </w:rPr>
        <w:t xml:space="preserve"> </w:t>
      </w:r>
    </w:p>
    <w:p w14:paraId="1ABDBE12" w14:textId="77777777" w:rsidR="008512D4" w:rsidRPr="003650BC" w:rsidRDefault="00630AE1" w:rsidP="003650BC">
      <w:pPr>
        <w:spacing w:after="240"/>
        <w:ind w:left="900" w:hanging="900"/>
        <w:rPr>
          <w:sz w:val="24"/>
          <w:szCs w:val="24"/>
        </w:rPr>
      </w:pPr>
      <w:proofErr w:type="spellStart"/>
      <w:r w:rsidRPr="003650BC">
        <w:rPr>
          <w:sz w:val="24"/>
          <w:szCs w:val="24"/>
        </w:rPr>
        <w:t>Tiwo</w:t>
      </w:r>
      <w:proofErr w:type="spellEnd"/>
      <w:r w:rsidRPr="003650BC">
        <w:rPr>
          <w:sz w:val="24"/>
          <w:szCs w:val="24"/>
        </w:rPr>
        <w:t xml:space="preserve">, O. J., </w:t>
      </w:r>
      <w:proofErr w:type="spellStart"/>
      <w:r w:rsidRPr="003650BC">
        <w:rPr>
          <w:sz w:val="24"/>
          <w:szCs w:val="24"/>
        </w:rPr>
        <w:t>Adesokan</w:t>
      </w:r>
      <w:proofErr w:type="spellEnd"/>
      <w:r w:rsidRPr="003650BC">
        <w:rPr>
          <w:sz w:val="24"/>
          <w:szCs w:val="24"/>
        </w:rPr>
        <w:t xml:space="preserve">-Imran, T. O., Babarinde, D. C., Salami, I. A., </w:t>
      </w:r>
      <w:proofErr w:type="spellStart"/>
      <w:r w:rsidRPr="003650BC">
        <w:rPr>
          <w:sz w:val="24"/>
          <w:szCs w:val="24"/>
        </w:rPr>
        <w:t>Onyenaucheya</w:t>
      </w:r>
      <w:proofErr w:type="spellEnd"/>
      <w:r w:rsidRPr="003650BC">
        <w:rPr>
          <w:sz w:val="24"/>
          <w:szCs w:val="24"/>
        </w:rPr>
        <w:t xml:space="preserve">, O. S., &amp; Olaniyi, O. O. (2025). Improving Patient Data Privacy and Authentication Protocols against AI-Powered Phishing Attacks in Telemedicine. </w:t>
      </w:r>
      <w:r w:rsidRPr="003650BC">
        <w:rPr>
          <w:i/>
          <w:sz w:val="24"/>
          <w:szCs w:val="24"/>
        </w:rPr>
        <w:t>Asian Journal of Research in Computer Science</w:t>
      </w:r>
      <w:r w:rsidRPr="003650BC">
        <w:rPr>
          <w:sz w:val="24"/>
          <w:szCs w:val="24"/>
        </w:rPr>
        <w:t xml:space="preserve">, </w:t>
      </w:r>
      <w:r w:rsidRPr="003650BC">
        <w:rPr>
          <w:i/>
          <w:sz w:val="24"/>
          <w:szCs w:val="24"/>
        </w:rPr>
        <w:t>18</w:t>
      </w:r>
      <w:r w:rsidRPr="003650BC">
        <w:rPr>
          <w:sz w:val="24"/>
          <w:szCs w:val="24"/>
        </w:rPr>
        <w:t xml:space="preserve">(4), 93–114. </w:t>
      </w:r>
      <w:hyperlink r:id="rId99">
        <w:r w:rsidRPr="003650BC">
          <w:rPr>
            <w:color w:val="1155CC"/>
            <w:sz w:val="24"/>
            <w:szCs w:val="24"/>
            <w:u w:val="single"/>
          </w:rPr>
          <w:t>https://doi.org/10.9734/ajrcos/2025/v18i4610</w:t>
        </w:r>
      </w:hyperlink>
      <w:r w:rsidRPr="003650BC">
        <w:rPr>
          <w:sz w:val="24"/>
          <w:szCs w:val="24"/>
        </w:rPr>
        <w:t xml:space="preserve"> </w:t>
      </w:r>
    </w:p>
    <w:p w14:paraId="7C3170A8" w14:textId="77777777" w:rsidR="008512D4" w:rsidRPr="003650BC" w:rsidRDefault="00630AE1" w:rsidP="003650BC">
      <w:pPr>
        <w:spacing w:after="240"/>
        <w:ind w:left="900" w:hanging="900"/>
        <w:rPr>
          <w:sz w:val="24"/>
          <w:szCs w:val="24"/>
        </w:rPr>
      </w:pPr>
      <w:proofErr w:type="spellStart"/>
      <w:r w:rsidRPr="003650BC">
        <w:rPr>
          <w:sz w:val="24"/>
          <w:szCs w:val="24"/>
        </w:rPr>
        <w:lastRenderedPageBreak/>
        <w:t>Toulas</w:t>
      </w:r>
      <w:proofErr w:type="spellEnd"/>
      <w:r w:rsidRPr="003650BC">
        <w:rPr>
          <w:sz w:val="24"/>
          <w:szCs w:val="24"/>
        </w:rPr>
        <w:t xml:space="preserve">, B. (2025). </w:t>
      </w:r>
      <w:r w:rsidRPr="003650BC">
        <w:rPr>
          <w:i/>
          <w:sz w:val="24"/>
          <w:szCs w:val="24"/>
        </w:rPr>
        <w:t>UK urges critical orgs to adopt quantum cryptography by 2035</w:t>
      </w:r>
      <w:r w:rsidRPr="003650BC">
        <w:rPr>
          <w:sz w:val="24"/>
          <w:szCs w:val="24"/>
        </w:rPr>
        <w:t xml:space="preserve">. </w:t>
      </w:r>
      <w:proofErr w:type="spellStart"/>
      <w:r w:rsidRPr="003650BC">
        <w:rPr>
          <w:sz w:val="24"/>
          <w:szCs w:val="24"/>
        </w:rPr>
        <w:t>BleepingComputer</w:t>
      </w:r>
      <w:proofErr w:type="spellEnd"/>
      <w:r w:rsidRPr="003650BC">
        <w:rPr>
          <w:sz w:val="24"/>
          <w:szCs w:val="24"/>
        </w:rPr>
        <w:t xml:space="preserve">. </w:t>
      </w:r>
      <w:hyperlink r:id="rId100">
        <w:r w:rsidRPr="003650BC">
          <w:rPr>
            <w:color w:val="1155CC"/>
            <w:sz w:val="24"/>
            <w:szCs w:val="24"/>
            <w:u w:val="single"/>
          </w:rPr>
          <w:t>https://www.bleepingcomputer.com/news/security/uk-urges-critical-orgs-to-adopt-quantum-cryptography-by-2035/</w:t>
        </w:r>
      </w:hyperlink>
      <w:r w:rsidRPr="003650BC">
        <w:rPr>
          <w:sz w:val="24"/>
          <w:szCs w:val="24"/>
        </w:rPr>
        <w:t xml:space="preserve"> </w:t>
      </w:r>
    </w:p>
    <w:p w14:paraId="0FBBDF1C" w14:textId="77777777" w:rsidR="008512D4" w:rsidRPr="003650BC" w:rsidRDefault="00630AE1" w:rsidP="003650BC">
      <w:pPr>
        <w:spacing w:after="240"/>
        <w:ind w:left="900" w:hanging="900"/>
        <w:rPr>
          <w:sz w:val="24"/>
          <w:szCs w:val="24"/>
        </w:rPr>
      </w:pPr>
      <w:r w:rsidRPr="003650BC">
        <w:rPr>
          <w:sz w:val="24"/>
          <w:szCs w:val="24"/>
        </w:rPr>
        <w:t xml:space="preserve">Wolford, B. (2018). </w:t>
      </w:r>
      <w:r w:rsidRPr="003650BC">
        <w:rPr>
          <w:i/>
          <w:sz w:val="24"/>
          <w:szCs w:val="24"/>
        </w:rPr>
        <w:t>The real problem with encryption backdoors</w:t>
      </w:r>
      <w:r w:rsidRPr="003650BC">
        <w:rPr>
          <w:sz w:val="24"/>
          <w:szCs w:val="24"/>
        </w:rPr>
        <w:t xml:space="preserve">. Proton. </w:t>
      </w:r>
      <w:hyperlink r:id="rId101">
        <w:r w:rsidRPr="003650BC">
          <w:rPr>
            <w:color w:val="1155CC"/>
            <w:sz w:val="24"/>
            <w:szCs w:val="24"/>
            <w:u w:val="single"/>
          </w:rPr>
          <w:t>https://proton.me/blog/encryption-backdoor</w:t>
        </w:r>
      </w:hyperlink>
      <w:r w:rsidRPr="003650BC">
        <w:rPr>
          <w:sz w:val="24"/>
          <w:szCs w:val="24"/>
        </w:rPr>
        <w:t xml:space="preserve"> </w:t>
      </w:r>
    </w:p>
    <w:p w14:paraId="356AF53D" w14:textId="77777777" w:rsidR="008512D4" w:rsidRPr="003650BC" w:rsidRDefault="00630AE1" w:rsidP="003650BC">
      <w:pPr>
        <w:spacing w:after="240"/>
        <w:ind w:left="900" w:hanging="900"/>
        <w:rPr>
          <w:sz w:val="24"/>
          <w:szCs w:val="24"/>
        </w:rPr>
      </w:pPr>
      <w:r w:rsidRPr="003650BC">
        <w:rPr>
          <w:sz w:val="24"/>
          <w:szCs w:val="24"/>
        </w:rPr>
        <w:t xml:space="preserve">Xing, T. (2023). Investigation into Essential Technologies and Common Applications of Digital Encryption. </w:t>
      </w:r>
      <w:r w:rsidRPr="003650BC">
        <w:rPr>
          <w:i/>
          <w:sz w:val="24"/>
          <w:szCs w:val="24"/>
        </w:rPr>
        <w:t>Advances in Computer Science Research</w:t>
      </w:r>
      <w:r w:rsidRPr="003650BC">
        <w:rPr>
          <w:sz w:val="24"/>
          <w:szCs w:val="24"/>
        </w:rPr>
        <w:t xml:space="preserve">, 756–765. </w:t>
      </w:r>
      <w:hyperlink r:id="rId102">
        <w:r w:rsidRPr="003650BC">
          <w:rPr>
            <w:color w:val="1155CC"/>
            <w:sz w:val="24"/>
            <w:szCs w:val="24"/>
            <w:u w:val="single"/>
          </w:rPr>
          <w:t>https://doi.org/10.2991/978-94-6463-300-9_79</w:t>
        </w:r>
      </w:hyperlink>
      <w:r w:rsidRPr="003650BC">
        <w:rPr>
          <w:sz w:val="24"/>
          <w:szCs w:val="24"/>
        </w:rPr>
        <w:t xml:space="preserve"> </w:t>
      </w:r>
    </w:p>
    <w:p w14:paraId="634EE43F" w14:textId="77777777" w:rsidR="008512D4" w:rsidRPr="003650BC" w:rsidRDefault="008512D4" w:rsidP="003650BC">
      <w:pPr>
        <w:spacing w:after="240" w:line="360" w:lineRule="auto"/>
        <w:rPr>
          <w:sz w:val="24"/>
          <w:szCs w:val="24"/>
        </w:rPr>
      </w:pPr>
    </w:p>
    <w:p w14:paraId="649742D7" w14:textId="77777777" w:rsidR="008512D4" w:rsidRPr="003650BC" w:rsidRDefault="008512D4" w:rsidP="003650BC">
      <w:pPr>
        <w:spacing w:line="360" w:lineRule="auto"/>
        <w:rPr>
          <w:sz w:val="24"/>
          <w:szCs w:val="24"/>
        </w:rPr>
      </w:pPr>
    </w:p>
    <w:sectPr w:rsidR="008512D4" w:rsidRPr="003650BC">
      <w:headerReference w:type="even" r:id="rId103"/>
      <w:headerReference w:type="default" r:id="rId104"/>
      <w:footerReference w:type="even" r:id="rId105"/>
      <w:footerReference w:type="default" r:id="rId106"/>
      <w:headerReference w:type="first" r:id="rId107"/>
      <w:footerReference w:type="first" r:id="rId10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63239" w14:textId="77777777" w:rsidR="00474352" w:rsidRDefault="00474352" w:rsidP="007C6347">
      <w:pPr>
        <w:spacing w:line="240" w:lineRule="auto"/>
      </w:pPr>
      <w:r>
        <w:separator/>
      </w:r>
    </w:p>
  </w:endnote>
  <w:endnote w:type="continuationSeparator" w:id="0">
    <w:p w14:paraId="3EECEB45" w14:textId="77777777" w:rsidR="00474352" w:rsidRDefault="00474352" w:rsidP="007C63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74D3" w14:textId="77777777" w:rsidR="007C6347" w:rsidRDefault="007C6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C81D" w14:textId="77777777" w:rsidR="007C6347" w:rsidRDefault="007C63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CE66A" w14:textId="77777777" w:rsidR="007C6347" w:rsidRDefault="007C6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A1B08" w14:textId="77777777" w:rsidR="00474352" w:rsidRDefault="00474352" w:rsidP="007C6347">
      <w:pPr>
        <w:spacing w:line="240" w:lineRule="auto"/>
      </w:pPr>
      <w:r>
        <w:separator/>
      </w:r>
    </w:p>
  </w:footnote>
  <w:footnote w:type="continuationSeparator" w:id="0">
    <w:p w14:paraId="3CA6C92B" w14:textId="77777777" w:rsidR="00474352" w:rsidRDefault="00474352" w:rsidP="007C63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60EF4" w14:textId="559BCE19" w:rsidR="007C6347" w:rsidRDefault="007C6347">
    <w:pPr>
      <w:pStyle w:val="Header"/>
    </w:pPr>
    <w:r>
      <w:rPr>
        <w:noProof/>
      </w:rPr>
      <w:pict w14:anchorId="78224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51626"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5590" w14:textId="2CE1C119" w:rsidR="007C6347" w:rsidRDefault="007C6347">
    <w:pPr>
      <w:pStyle w:val="Header"/>
    </w:pPr>
    <w:r>
      <w:rPr>
        <w:noProof/>
      </w:rPr>
      <w:pict w14:anchorId="7C5A3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51627"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EBC7B" w14:textId="628C2F97" w:rsidR="007C6347" w:rsidRDefault="007C6347">
    <w:pPr>
      <w:pStyle w:val="Header"/>
    </w:pPr>
    <w:r>
      <w:rPr>
        <w:noProof/>
      </w:rPr>
      <w:pict w14:anchorId="3DC8F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51625"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0468CA"/>
    <w:multiLevelType w:val="multilevel"/>
    <w:tmpl w:val="CC0A3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DAC71B7"/>
    <w:multiLevelType w:val="multilevel"/>
    <w:tmpl w:val="A3848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06402373">
    <w:abstractNumId w:val="1"/>
  </w:num>
  <w:num w:numId="2" w16cid:durableId="1450049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2D4"/>
    <w:rsid w:val="000B064D"/>
    <w:rsid w:val="000B1BF5"/>
    <w:rsid w:val="0010514F"/>
    <w:rsid w:val="00190F55"/>
    <w:rsid w:val="0023203A"/>
    <w:rsid w:val="00293C59"/>
    <w:rsid w:val="00307736"/>
    <w:rsid w:val="003633D4"/>
    <w:rsid w:val="003650BC"/>
    <w:rsid w:val="00474352"/>
    <w:rsid w:val="0049431C"/>
    <w:rsid w:val="004A3BB5"/>
    <w:rsid w:val="004D5D23"/>
    <w:rsid w:val="005D43CC"/>
    <w:rsid w:val="00630AE1"/>
    <w:rsid w:val="006529D6"/>
    <w:rsid w:val="007C6347"/>
    <w:rsid w:val="008512D4"/>
    <w:rsid w:val="009A0D92"/>
    <w:rsid w:val="00A46BBB"/>
    <w:rsid w:val="00B171E2"/>
    <w:rsid w:val="00BD1015"/>
    <w:rsid w:val="00C4654B"/>
    <w:rsid w:val="00DF6D0B"/>
    <w:rsid w:val="00F026B6"/>
    <w:rsid w:val="00F43B91"/>
    <w:rsid w:val="00F53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F369"/>
  <w15:docId w15:val="{C10D000F-F6B1-47FB-A434-B3CB0684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mord">
    <w:name w:val="mord"/>
    <w:basedOn w:val="DefaultParagraphFont"/>
    <w:rsid w:val="00A46BBB"/>
  </w:style>
  <w:style w:type="character" w:customStyle="1" w:styleId="vlist-s">
    <w:name w:val="vlist-s"/>
    <w:basedOn w:val="DefaultParagraphFont"/>
    <w:rsid w:val="00A46BBB"/>
  </w:style>
  <w:style w:type="character" w:customStyle="1" w:styleId="mrel">
    <w:name w:val="mrel"/>
    <w:basedOn w:val="DefaultParagraphFont"/>
    <w:rsid w:val="00A46BBB"/>
  </w:style>
  <w:style w:type="character" w:customStyle="1" w:styleId="mopen">
    <w:name w:val="mopen"/>
    <w:basedOn w:val="DefaultParagraphFont"/>
    <w:rsid w:val="00A46BBB"/>
  </w:style>
  <w:style w:type="character" w:customStyle="1" w:styleId="mbin">
    <w:name w:val="mbin"/>
    <w:basedOn w:val="DefaultParagraphFont"/>
    <w:rsid w:val="00A46BBB"/>
  </w:style>
  <w:style w:type="character" w:customStyle="1" w:styleId="mclose">
    <w:name w:val="mclose"/>
    <w:basedOn w:val="DefaultParagraphFont"/>
    <w:rsid w:val="00A46BBB"/>
  </w:style>
  <w:style w:type="character" w:customStyle="1" w:styleId="mop">
    <w:name w:val="mop"/>
    <w:basedOn w:val="DefaultParagraphFont"/>
    <w:rsid w:val="00A46BBB"/>
  </w:style>
  <w:style w:type="character" w:customStyle="1" w:styleId="delimsizing">
    <w:name w:val="delimsizing"/>
    <w:basedOn w:val="DefaultParagraphFont"/>
    <w:rsid w:val="00A46BBB"/>
  </w:style>
  <w:style w:type="paragraph" w:styleId="NormalWeb">
    <w:name w:val="Normal (Web)"/>
    <w:basedOn w:val="Normal"/>
    <w:uiPriority w:val="99"/>
    <w:semiHidden/>
    <w:unhideWhenUsed/>
    <w:rsid w:val="00A46B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46BBB"/>
    <w:rPr>
      <w:b/>
      <w:bCs/>
    </w:rPr>
  </w:style>
  <w:style w:type="table" w:styleId="TableGrid">
    <w:name w:val="Table Grid"/>
    <w:basedOn w:val="TableNormal"/>
    <w:uiPriority w:val="39"/>
    <w:rsid w:val="004943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50BC"/>
    <w:pPr>
      <w:ind w:left="720"/>
      <w:contextualSpacing/>
    </w:pPr>
  </w:style>
  <w:style w:type="paragraph" w:styleId="NoSpacing">
    <w:name w:val="No Spacing"/>
    <w:uiPriority w:val="1"/>
    <w:qFormat/>
    <w:rsid w:val="0023203A"/>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23203A"/>
    <w:rPr>
      <w:color w:val="0000FF" w:themeColor="hyperlink"/>
      <w:u w:val="single"/>
    </w:rPr>
  </w:style>
  <w:style w:type="character" w:styleId="UnresolvedMention">
    <w:name w:val="Unresolved Mention"/>
    <w:basedOn w:val="DefaultParagraphFont"/>
    <w:uiPriority w:val="99"/>
    <w:semiHidden/>
    <w:unhideWhenUsed/>
    <w:rsid w:val="009A0D92"/>
    <w:rPr>
      <w:color w:val="605E5C"/>
      <w:shd w:val="clear" w:color="auto" w:fill="E1DFDD"/>
    </w:rPr>
  </w:style>
  <w:style w:type="paragraph" w:styleId="Header">
    <w:name w:val="header"/>
    <w:basedOn w:val="Normal"/>
    <w:link w:val="HeaderChar"/>
    <w:uiPriority w:val="99"/>
    <w:unhideWhenUsed/>
    <w:rsid w:val="007C6347"/>
    <w:pPr>
      <w:tabs>
        <w:tab w:val="center" w:pos="4680"/>
        <w:tab w:val="right" w:pos="9360"/>
      </w:tabs>
      <w:spacing w:line="240" w:lineRule="auto"/>
    </w:pPr>
  </w:style>
  <w:style w:type="character" w:customStyle="1" w:styleId="HeaderChar">
    <w:name w:val="Header Char"/>
    <w:basedOn w:val="DefaultParagraphFont"/>
    <w:link w:val="Header"/>
    <w:uiPriority w:val="99"/>
    <w:rsid w:val="007C6347"/>
  </w:style>
  <w:style w:type="paragraph" w:styleId="Footer">
    <w:name w:val="footer"/>
    <w:basedOn w:val="Normal"/>
    <w:link w:val="FooterChar"/>
    <w:uiPriority w:val="99"/>
    <w:unhideWhenUsed/>
    <w:rsid w:val="007C6347"/>
    <w:pPr>
      <w:tabs>
        <w:tab w:val="center" w:pos="4680"/>
        <w:tab w:val="right" w:pos="9360"/>
      </w:tabs>
      <w:spacing w:line="240" w:lineRule="auto"/>
    </w:pPr>
  </w:style>
  <w:style w:type="character" w:customStyle="1" w:styleId="FooterChar">
    <w:name w:val="Footer Char"/>
    <w:basedOn w:val="DefaultParagraphFont"/>
    <w:link w:val="Footer"/>
    <w:uiPriority w:val="99"/>
    <w:rsid w:val="007C6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548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doi.org/10.1007/978-981-97-9983-1_1" TargetMode="External"/><Relationship Id="rId47" Type="http://schemas.openxmlformats.org/officeDocument/2006/relationships/hyperlink" Target="https://dig.watch/updates/oecd-and-wto-joint-report-highlights-economic-impact-of-data-regulation-and-advocates-balanced-approach" TargetMode="External"/><Relationship Id="rId63" Type="http://schemas.openxmlformats.org/officeDocument/2006/relationships/hyperlink" Target="https://doi.org/10.60087/jaigs.v2i1.102" TargetMode="External"/><Relationship Id="rId68" Type="http://schemas.openxmlformats.org/officeDocument/2006/relationships/hyperlink" Target="https://doi.org/10.9734/jerr/2025/v27i51520" TargetMode="External"/><Relationship Id="rId84" Type="http://schemas.openxmlformats.org/officeDocument/2006/relationships/hyperlink" Target="https://doi.org/10.9734/jerr/2025/v27i51502" TargetMode="External"/><Relationship Id="rId89" Type="http://schemas.openxmlformats.org/officeDocument/2006/relationships/hyperlink" Target="https://doi.org/10.9734/jerr/2025/v27i31439" TargetMode="External"/><Relationship Id="rId2" Type="http://schemas.openxmlformats.org/officeDocument/2006/relationships/styles" Target="styles.xml"/><Relationship Id="rId16" Type="http://schemas.openxmlformats.org/officeDocument/2006/relationships/hyperlink" Target="https://www.trustwave.com/" TargetMode="External"/><Relationship Id="rId29" Type="http://schemas.openxmlformats.org/officeDocument/2006/relationships/hyperlink" Target="https://doi.org/10.9734/jerr/2025/v27i41463" TargetMode="External"/><Relationship Id="rId107" Type="http://schemas.openxmlformats.org/officeDocument/2006/relationships/header" Target="header3.xml"/><Relationship Id="rId11" Type="http://schemas.openxmlformats.org/officeDocument/2006/relationships/hyperlink" Target="https://www.nist.gov/" TargetMode="External"/><Relationship Id="rId24" Type="http://schemas.openxmlformats.org/officeDocument/2006/relationships/image" Target="media/image6.png"/><Relationship Id="rId32" Type="http://schemas.openxmlformats.org/officeDocument/2006/relationships/hyperlink" Target="https://doi.org/10.4018/979-8-3373-0781-7.ch003" TargetMode="External"/><Relationship Id="rId37" Type="http://schemas.openxmlformats.org/officeDocument/2006/relationships/hyperlink" Target="https://doi.org/10.2139/ssrn.4883320" TargetMode="External"/><Relationship Id="rId40" Type="http://schemas.openxmlformats.org/officeDocument/2006/relationships/hyperlink" Target="https://doi.org/10.1080/10670564.2023.2299961" TargetMode="External"/><Relationship Id="rId45" Type="http://schemas.openxmlformats.org/officeDocument/2006/relationships/hyperlink" Target="https://doi.org/10.1007/978-3-030-96929-5_11" TargetMode="External"/><Relationship Id="rId53" Type="http://schemas.openxmlformats.org/officeDocument/2006/relationships/hyperlink" Target="https://ec.europa.eu/commission/presscorner/api/files/document/print/en/ip_23_3721/IP_23_3721_EN.pdf" TargetMode="External"/><Relationship Id="rId58" Type="http://schemas.openxmlformats.org/officeDocument/2006/relationships/hyperlink" Target="https://gdpr-info.eu/" TargetMode="External"/><Relationship Id="rId66" Type="http://schemas.openxmlformats.org/officeDocument/2006/relationships/hyperlink" Target="https://www.kiteworks.com/risk-compliance-glossary/us-cloud-act/" TargetMode="External"/><Relationship Id="rId74" Type="http://schemas.openxmlformats.org/officeDocument/2006/relationships/hyperlink" Target="https://militarysphere.com/five-eyes-intelligence-alliance/" TargetMode="External"/><Relationship Id="rId79" Type="http://schemas.openxmlformats.org/officeDocument/2006/relationships/hyperlink" Target="https://www.nist.gov/news-events/news/2024/08/nist-releases-first-3-finalized-post-quantum-encryption-standards" TargetMode="External"/><Relationship Id="rId87" Type="http://schemas.openxmlformats.org/officeDocument/2006/relationships/hyperlink" Target="https://doi.org/10.1109/comst.2020.2987688" TargetMode="External"/><Relationship Id="rId102" Type="http://schemas.openxmlformats.org/officeDocument/2006/relationships/hyperlink" Target="https://doi.org/10.2991/978-94-6463-300-9_79"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privacymatters.dlapiper.com/2025/04/us-department-of-justice-issues-final-rule-restricting-the-transfer-of-sensitive-personal-data-and-united-states-government-related-data-to-countries-of-concern/" TargetMode="External"/><Relationship Id="rId82" Type="http://schemas.openxmlformats.org/officeDocument/2006/relationships/hyperlink" Target="https://www.oecd.org/en/publications/the-nature-evolution-and-potential-implications-of-data-localisation-measures_179f718a-en.html" TargetMode="External"/><Relationship Id="rId90" Type="http://schemas.openxmlformats.org/officeDocument/2006/relationships/hyperlink" Target="https://doi.org/10.9734/jerr/2025/v27i51504" TargetMode="External"/><Relationship Id="rId95" Type="http://schemas.openxmlformats.org/officeDocument/2006/relationships/hyperlink" Target="https://doi.org/10.1007/978-3-031-53290-0_3" TargetMode="External"/><Relationship Id="rId19" Type="http://schemas.openxmlformats.org/officeDocument/2006/relationships/image" Target="media/image1.png"/><Relationship Id="rId14" Type="http://schemas.openxmlformats.org/officeDocument/2006/relationships/hyperlink" Target="https://www.justice.gov/"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oi.org/10.9734/jerr/2025/v27i41469" TargetMode="External"/><Relationship Id="rId35" Type="http://schemas.openxmlformats.org/officeDocument/2006/relationships/hyperlink" Target="https://doi.org/10.1080/01611194.2021.2002977" TargetMode="External"/><Relationship Id="rId43" Type="http://schemas.openxmlformats.org/officeDocument/2006/relationships/hyperlink" Target="https://www.cybersecurityintelligence.com/blog/ransomware-attacks-on-the-energy-sector-surges-8389.html" TargetMode="External"/><Relationship Id="rId48" Type="http://schemas.openxmlformats.org/officeDocument/2006/relationships/hyperlink" Target="https://doi.org/10.9734/jerr/2025/v27i51498" TargetMode="External"/><Relationship Id="rId56" Type="http://schemas.openxmlformats.org/officeDocument/2006/relationships/hyperlink" Target="https://doi.org/10.2139/ssrn.5192550" TargetMode="External"/><Relationship Id="rId64" Type="http://schemas.openxmlformats.org/officeDocument/2006/relationships/hyperlink" Target="https://doi.org/10.1177/00195561241271590" TargetMode="External"/><Relationship Id="rId69" Type="http://schemas.openxmlformats.org/officeDocument/2006/relationships/hyperlink" Target="https://doi.org/10.9734/jerr/2025/v27i51501" TargetMode="External"/><Relationship Id="rId77" Type="http://schemas.openxmlformats.org/officeDocument/2006/relationships/hyperlink" Target="https://doi.org/10.1177/1473779520980556" TargetMode="External"/><Relationship Id="rId100" Type="http://schemas.openxmlformats.org/officeDocument/2006/relationships/hyperlink" Target="https://www.bleepingcomputer.com/news/security/uk-urges-critical-orgs-to-adopt-quantum-cryptography-by-2035/" TargetMode="External"/><Relationship Id="rId105" Type="http://schemas.openxmlformats.org/officeDocument/2006/relationships/footer" Target="footer1.xml"/><Relationship Id="rId8" Type="http://schemas.openxmlformats.org/officeDocument/2006/relationships/hyperlink" Target="https://www.eurelectric.org/" TargetMode="External"/><Relationship Id="rId51" Type="http://schemas.openxmlformats.org/officeDocument/2006/relationships/hyperlink" Target="https://www.eurelectric.org/news/cyber-attacks-on-the-rise-in-the-eu-need-for-skills-investments-and-implementation/" TargetMode="External"/><Relationship Id="rId72" Type="http://schemas.openxmlformats.org/officeDocument/2006/relationships/hyperlink" Target="https://unsceb.org/sites/default/files/2023-05/Annex%201%20-%20Mapping%20and%20Comparing%20Data%20Governance%20Frameworks.pdf" TargetMode="External"/><Relationship Id="rId80" Type="http://schemas.openxmlformats.org/officeDocument/2006/relationships/hyperlink" Target="https://inscipub.com/ICSJ/article/view/400" TargetMode="External"/><Relationship Id="rId85" Type="http://schemas.openxmlformats.org/officeDocument/2006/relationships/hyperlink" Target="https://doi.org/10.9734/acri/2025/v25i31098" TargetMode="External"/><Relationship Id="rId93" Type="http://schemas.openxmlformats.org/officeDocument/2006/relationships/hyperlink" Target="https://securityscorecard.com/company/press/67-of-energy-sector-breaches-linked-to-software-and-it-vendors-securityscorecard-reports/" TargetMode="External"/><Relationship Id="rId98" Type="http://schemas.openxmlformats.org/officeDocument/2006/relationships/hyperlink" Target="https://www.startus-insights.com/innovators-guide/energy-industry-trends/" TargetMode="External"/><Relationship Id="rId3" Type="http://schemas.openxmlformats.org/officeDocument/2006/relationships/settings" Target="settings.xml"/><Relationship Id="rId12" Type="http://schemas.openxmlformats.org/officeDocument/2006/relationships/hyperlink" Target="https://www.gov.uk/" TargetMode="External"/><Relationship Id="rId17" Type="http://schemas.openxmlformats.org/officeDocument/2006/relationships/hyperlink" Target="https://ndpc.gov.ng/" TargetMode="External"/><Relationship Id="rId25" Type="http://schemas.openxmlformats.org/officeDocument/2006/relationships/image" Target="media/image7.png"/><Relationship Id="rId33" Type="http://schemas.openxmlformats.org/officeDocument/2006/relationships/hyperlink" Target="https://doi.org/10.9734/ajeba/2024/v24i111542" TargetMode="External"/><Relationship Id="rId38" Type="http://schemas.openxmlformats.org/officeDocument/2006/relationships/hyperlink" Target="https://doi.org/10.51594/csitrj.v6i2.1824" TargetMode="External"/><Relationship Id="rId46" Type="http://schemas.openxmlformats.org/officeDocument/2006/relationships/hyperlink" Target="https://www.computing.co.uk/news/2025/legislation-regulation/french-national-assembly-rejects-anti-encryption-proposal" TargetMode="External"/><Relationship Id="rId59" Type="http://schemas.openxmlformats.org/officeDocument/2006/relationships/hyperlink" Target="https://www.gov.uk/government/publications/online-safety-act-explainer/online-safety-act-explainer" TargetMode="External"/><Relationship Id="rId67" Type="http://schemas.openxmlformats.org/officeDocument/2006/relationships/hyperlink" Target="https://doi.org/10.9734/ajrcos/2025/v18i1554" TargetMode="External"/><Relationship Id="rId103" Type="http://schemas.openxmlformats.org/officeDocument/2006/relationships/header" Target="header1.xml"/><Relationship Id="rId108" Type="http://schemas.openxmlformats.org/officeDocument/2006/relationships/footer" Target="footer3.xml"/><Relationship Id="rId20" Type="http://schemas.openxmlformats.org/officeDocument/2006/relationships/image" Target="media/image2.png"/><Relationship Id="rId41" Type="http://schemas.openxmlformats.org/officeDocument/2006/relationships/hyperlink" Target="https://apnews.com/article/online-safety-bill-uk-tech-regulation-4371bbb0d7442eed0f44bf7839443268" TargetMode="External"/><Relationship Id="rId54" Type="http://schemas.openxmlformats.org/officeDocument/2006/relationships/hyperlink" Target="https://energy.ec.europa.eu/news/new-network-code-cybersecurity-eu-electricity-sector-2024-03-11_en" TargetMode="External"/><Relationship Id="rId62" Type="http://schemas.openxmlformats.org/officeDocument/2006/relationships/hyperlink" Target="https://www.ibm.com/reports/data-breach" TargetMode="External"/><Relationship Id="rId70" Type="http://schemas.openxmlformats.org/officeDocument/2006/relationships/hyperlink" Target="https://par.nsf.gov/biblio/10521117" TargetMode="External"/><Relationship Id="rId75" Type="http://schemas.openxmlformats.org/officeDocument/2006/relationships/hyperlink" Target="https://www.mondaq.com/nigeria/data-protection/1624030/highlights-of-the-nigeria-data-protection-act-general-application-and-implementation-directive-2025" TargetMode="External"/><Relationship Id="rId83" Type="http://schemas.openxmlformats.org/officeDocument/2006/relationships/hyperlink" Target="https://doi.org/10.9734/jerr/2025/v27i51500" TargetMode="External"/><Relationship Id="rId88" Type="http://schemas.openxmlformats.org/officeDocument/2006/relationships/hyperlink" Target="https://industrialcyber.co/threats-attacks/fbi-warns-of-increased-cyber-threats-to-expanding-us-renewable-energy-sector/" TargetMode="External"/><Relationship Id="rId91" Type="http://schemas.openxmlformats.org/officeDocument/2006/relationships/hyperlink" Target="https://doi.org/10.9734/ajrcos/2025/v18i4632" TargetMode="External"/><Relationship Id="rId96" Type="http://schemas.openxmlformats.org/officeDocument/2006/relationships/hyperlink" Target="https://www.igi-global.com/chapter/data-security-and-privacy-concerns-in-drone-operations/34007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urelectric.or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doi.org/10.1140/epjqt/s40507-025-00350-5" TargetMode="External"/><Relationship Id="rId49" Type="http://schemas.openxmlformats.org/officeDocument/2006/relationships/hyperlink" Target="https://www.entrust.com/resources/reports/global-encryption-trends-study" TargetMode="External"/><Relationship Id="rId57" Type="http://schemas.openxmlformats.org/officeDocument/2006/relationships/hyperlink" Target="https://doi.org/10.1007/978-3-031-84881-0_11" TargetMode="External"/><Relationship Id="rId106" Type="http://schemas.openxmlformats.org/officeDocument/2006/relationships/footer" Target="footer2.xml"/><Relationship Id="rId10" Type="http://schemas.openxmlformats.org/officeDocument/2006/relationships/hyperlink" Target="https://www.ibm.com/" TargetMode="External"/><Relationship Id="rId31" Type="http://schemas.openxmlformats.org/officeDocument/2006/relationships/hyperlink" Target="https://doi.org/10.1016/j.cpa.2023.102677" TargetMode="External"/><Relationship Id="rId44" Type="http://schemas.openxmlformats.org/officeDocument/2006/relationships/hyperlink" Target="https://www.reuters.com/technology/cybersecurity/cyberattacks-us-utilities-surged-70-this-year-says-check-point-2024-09-11/" TargetMode="External"/><Relationship Id="rId52" Type="http://schemas.openxmlformats.org/officeDocument/2006/relationships/hyperlink" Target="https://commission.europa.eu/law/law-topic/data-protection/international-dimension-data-protection/new-standard-contractual-clauses-questions-and-answers-overview_en" TargetMode="External"/><Relationship Id="rId60" Type="http://schemas.openxmlformats.org/officeDocument/2006/relationships/hyperlink" Target="https://doi.org/10.1007/978-3-031-83490-5_12" TargetMode="External"/><Relationship Id="rId65" Type="http://schemas.openxmlformats.org/officeDocument/2006/relationships/hyperlink" Target="https://nhsjs.com/wp-content/uploads/2024/04/The-Evolution-of-Cryptography-and-a-Contextual-Analysis-of-the-Major-Modern-Schemes.pdf" TargetMode="External"/><Relationship Id="rId73" Type="http://schemas.openxmlformats.org/officeDocument/2006/relationships/hyperlink" Target="https://doi.org/10.9734/jerr/2025/v27i31442" TargetMode="External"/><Relationship Id="rId78" Type="http://schemas.openxmlformats.org/officeDocument/2006/relationships/hyperlink" Target="https://osuva.uwasa.fi/handle/10024/18361" TargetMode="External"/><Relationship Id="rId81" Type="http://schemas.openxmlformats.org/officeDocument/2006/relationships/hyperlink" Target="https://doi.org/10.9734/jerr/2025/v27i21390" TargetMode="External"/><Relationship Id="rId86" Type="http://schemas.openxmlformats.org/officeDocument/2006/relationships/hyperlink" Target="https://doi.org/10.9734/ajrcos/2025/v18i5672" TargetMode="External"/><Relationship Id="rId94" Type="http://schemas.openxmlformats.org/officeDocument/2006/relationships/hyperlink" Target="https://www.chinalawandpractice.com/2025/02/24/data-protection-in-2024-the-formation-of-the-data-protection-regulatory-framework/" TargetMode="External"/><Relationship Id="rId99" Type="http://schemas.openxmlformats.org/officeDocument/2006/relationships/hyperlink" Target="https://doi.org/10.9734/ajrcos/2025/v18i4610" TargetMode="External"/><Relationship Id="rId101" Type="http://schemas.openxmlformats.org/officeDocument/2006/relationships/hyperlink" Target="https://proton.me/blog/encryption-backdoor" TargetMode="External"/><Relationship Id="rId4" Type="http://schemas.openxmlformats.org/officeDocument/2006/relationships/webSettings" Target="webSettings.xml"/><Relationship Id="rId9" Type="http://schemas.openxmlformats.org/officeDocument/2006/relationships/hyperlink" Target="https://resecurity.com/" TargetMode="External"/><Relationship Id="rId13" Type="http://schemas.openxmlformats.org/officeDocument/2006/relationships/hyperlink" Target="https://www.justice.gov/" TargetMode="External"/><Relationship Id="rId18" Type="http://schemas.openxmlformats.org/officeDocument/2006/relationships/hyperlink" Target="https://ndpc.gov.ng/" TargetMode="External"/><Relationship Id="rId39" Type="http://schemas.openxmlformats.org/officeDocument/2006/relationships/hyperlink" Target="https://doi.org/10.9734/jerr/2025/v27i21399" TargetMode="External"/><Relationship Id="rId109" Type="http://schemas.openxmlformats.org/officeDocument/2006/relationships/fontTable" Target="fontTable.xml"/><Relationship Id="rId34" Type="http://schemas.openxmlformats.org/officeDocument/2006/relationships/hyperlink" Target="https://www.doa-law.com/ndpc-gaid/" TargetMode="External"/><Relationship Id="rId50" Type="http://schemas.openxmlformats.org/officeDocument/2006/relationships/hyperlink" Target="https://www.entsoe.eu/network_codes/nccs/" TargetMode="External"/><Relationship Id="rId55" Type="http://schemas.openxmlformats.org/officeDocument/2006/relationships/hyperlink" Target="https://doi.org/10.1007/978-3-031-05735-9_18-1" TargetMode="External"/><Relationship Id="rId76" Type="http://schemas.openxmlformats.org/officeDocument/2006/relationships/hyperlink" Target="https://www.eff.org/deeplinks/2025/03/win-encryption-france-rejects-backdoor-mandate" TargetMode="External"/><Relationship Id="rId97" Type="http://schemas.openxmlformats.org/officeDocument/2006/relationships/hyperlink" Target="https://link.springer.com/article/10.1057/s41267-021-00438-x" TargetMode="External"/><Relationship Id="rId104" Type="http://schemas.openxmlformats.org/officeDocument/2006/relationships/header" Target="header2.xml"/><Relationship Id="rId7" Type="http://schemas.openxmlformats.org/officeDocument/2006/relationships/hyperlink" Target="https://www.chinalawandpractice.com/" TargetMode="External"/><Relationship Id="rId71" Type="http://schemas.openxmlformats.org/officeDocument/2006/relationships/hyperlink" Target="https://doi.org/10.1080/07366981.2025.2454095" TargetMode="External"/><Relationship Id="rId92" Type="http://schemas.openxmlformats.org/officeDocument/2006/relationships/hyperlink" Target="https://doi.org/10.1016/j.egyr.2024.09.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10563</Words>
  <Characters>60214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Editor-22</cp:lastModifiedBy>
  <cp:revision>10</cp:revision>
  <dcterms:created xsi:type="dcterms:W3CDTF">2025-05-28T22:35:00Z</dcterms:created>
  <dcterms:modified xsi:type="dcterms:W3CDTF">2025-06-02T11:08:00Z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9e4ec875-b8c0-4ea1-8c78-a5794c3558e2</vt:lpwstr>
  </property>
</Properties>
</file>