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2A98F" w14:textId="77777777" w:rsidR="004708FA" w:rsidRDefault="004708FA" w:rsidP="004708FA">
      <w:pPr>
        <w:spacing w:line="360" w:lineRule="auto"/>
        <w:rPr>
          <w:rFonts w:ascii="Arial" w:hAnsi="Arial" w:cs="Arial"/>
          <w:b/>
          <w:bCs/>
        </w:rPr>
      </w:pPr>
    </w:p>
    <w:p w14:paraId="16AFA908" w14:textId="77777777" w:rsidR="00DB1D42" w:rsidRPr="00DB1D42" w:rsidRDefault="00DB1D42" w:rsidP="00DB1D42">
      <w:pPr>
        <w:spacing w:line="360" w:lineRule="auto"/>
        <w:jc w:val="right"/>
        <w:rPr>
          <w:rFonts w:ascii="Arial" w:hAnsi="Arial" w:cs="Arial"/>
          <w:b/>
          <w:bCs/>
          <w:i/>
          <w:iCs/>
          <w:sz w:val="36"/>
          <w:szCs w:val="36"/>
          <w:u w:val="single"/>
          <w:lang w:val="en-US"/>
        </w:rPr>
      </w:pPr>
      <w:r w:rsidRPr="00DB1D42">
        <w:rPr>
          <w:rFonts w:ascii="Arial" w:hAnsi="Arial" w:cs="Arial"/>
          <w:b/>
          <w:bCs/>
          <w:i/>
          <w:iCs/>
          <w:sz w:val="36"/>
          <w:szCs w:val="36"/>
          <w:u w:val="single"/>
          <w:lang w:val="en-US"/>
        </w:rPr>
        <w:t>Original Research Article</w:t>
      </w:r>
    </w:p>
    <w:p w14:paraId="5BAFA49F" w14:textId="77777777" w:rsidR="004708FA" w:rsidRPr="00B94772" w:rsidRDefault="004708FA" w:rsidP="004708FA">
      <w:pPr>
        <w:spacing w:line="360" w:lineRule="auto"/>
        <w:jc w:val="right"/>
        <w:rPr>
          <w:rFonts w:ascii="Arial" w:hAnsi="Arial" w:cs="Arial"/>
          <w:b/>
          <w:bCs/>
          <w:sz w:val="36"/>
          <w:szCs w:val="36"/>
        </w:rPr>
      </w:pPr>
      <w:r w:rsidRPr="00B94772">
        <w:rPr>
          <w:rFonts w:ascii="Arial" w:hAnsi="Arial" w:cs="Arial"/>
          <w:b/>
          <w:bCs/>
          <w:sz w:val="36"/>
          <w:szCs w:val="36"/>
        </w:rPr>
        <w:t>Application of Grey Model for Forecasting Rice Prices</w:t>
      </w:r>
    </w:p>
    <w:p w14:paraId="7C4B4126" w14:textId="77777777" w:rsidR="004708FA" w:rsidRDefault="004708FA" w:rsidP="004708FA">
      <w:pPr>
        <w:spacing w:line="360" w:lineRule="auto"/>
        <w:rPr>
          <w:rFonts w:ascii="Arial" w:hAnsi="Arial" w:cs="Arial"/>
          <w:b/>
          <w:bCs/>
        </w:rPr>
      </w:pPr>
    </w:p>
    <w:p w14:paraId="624B5F8F" w14:textId="77777777" w:rsidR="004708FA" w:rsidRPr="00C32294" w:rsidRDefault="004708FA" w:rsidP="004708FA">
      <w:pPr>
        <w:spacing w:line="360" w:lineRule="auto"/>
        <w:rPr>
          <w:rFonts w:ascii="Arial" w:hAnsi="Arial" w:cs="Arial"/>
          <w:b/>
          <w:bCs/>
        </w:rPr>
      </w:pPr>
      <w:r w:rsidRPr="00C32294">
        <w:rPr>
          <w:rFonts w:ascii="Arial" w:hAnsi="Arial" w:cs="Arial"/>
          <w:b/>
          <w:bCs/>
        </w:rPr>
        <w:t>ABSTRACT</w:t>
      </w:r>
    </w:p>
    <w:p w14:paraId="009DDEE0" w14:textId="77777777" w:rsidR="004708FA" w:rsidRDefault="004708FA" w:rsidP="007B18EC">
      <w:pPr>
        <w:spacing w:line="360" w:lineRule="auto"/>
        <w:jc w:val="both"/>
        <w:rPr>
          <w:rFonts w:ascii="Arial" w:hAnsi="Arial" w:cs="Arial"/>
          <w:sz w:val="20"/>
          <w:szCs w:val="20"/>
        </w:rPr>
      </w:pPr>
      <w:r w:rsidRPr="00C32294">
        <w:rPr>
          <w:rFonts w:ascii="Arial" w:hAnsi="Arial" w:cs="Arial"/>
          <w:b/>
          <w:bCs/>
          <w:sz w:val="20"/>
          <w:szCs w:val="20"/>
        </w:rPr>
        <w:t>Aim:</w:t>
      </w:r>
      <w:r>
        <w:rPr>
          <w:rFonts w:ascii="Arial" w:hAnsi="Arial" w:cs="Arial"/>
          <w:sz w:val="20"/>
          <w:szCs w:val="20"/>
        </w:rPr>
        <w:t xml:space="preserve"> </w:t>
      </w:r>
      <w:r w:rsidRPr="00C32294">
        <w:rPr>
          <w:rFonts w:ascii="Arial" w:hAnsi="Arial" w:cs="Arial"/>
          <w:sz w:val="20"/>
          <w:szCs w:val="20"/>
        </w:rPr>
        <w:t>To forecast modal paddy prices in the three zones of Telangana (Northern, Southern, and Central) using the GM (1,1) grey model, addressing the challenge of limited long-term price data and providing a reliable tool for stakeholders to manage price volatilit</w:t>
      </w:r>
      <w:r>
        <w:rPr>
          <w:rFonts w:ascii="Arial" w:hAnsi="Arial" w:cs="Arial"/>
          <w:sz w:val="20"/>
          <w:szCs w:val="20"/>
        </w:rPr>
        <w:t>y</w:t>
      </w:r>
      <w:r w:rsidRPr="00C32294">
        <w:rPr>
          <w:rFonts w:ascii="Arial" w:hAnsi="Arial" w:cs="Arial"/>
          <w:sz w:val="20"/>
          <w:szCs w:val="20"/>
        </w:rPr>
        <w:t>.</w:t>
      </w:r>
    </w:p>
    <w:p w14:paraId="437BD665" w14:textId="77777777" w:rsidR="004708FA" w:rsidRPr="00C32294" w:rsidRDefault="004708FA" w:rsidP="007B18EC">
      <w:pPr>
        <w:spacing w:line="360" w:lineRule="auto"/>
        <w:jc w:val="both"/>
        <w:rPr>
          <w:rFonts w:ascii="Arial" w:hAnsi="Arial" w:cs="Arial"/>
          <w:sz w:val="20"/>
          <w:szCs w:val="20"/>
        </w:rPr>
      </w:pPr>
      <w:r w:rsidRPr="00C32294">
        <w:rPr>
          <w:rFonts w:ascii="Arial" w:hAnsi="Arial" w:cs="Arial"/>
          <w:b/>
          <w:bCs/>
          <w:sz w:val="20"/>
          <w:szCs w:val="20"/>
        </w:rPr>
        <w:t>Study Design:</w:t>
      </w:r>
      <w:r>
        <w:rPr>
          <w:rFonts w:ascii="Arial" w:hAnsi="Arial" w:cs="Arial"/>
          <w:sz w:val="20"/>
          <w:szCs w:val="20"/>
        </w:rPr>
        <w:t xml:space="preserve"> </w:t>
      </w:r>
      <w:r w:rsidRPr="00C32294">
        <w:rPr>
          <w:rFonts w:ascii="Arial" w:hAnsi="Arial" w:cs="Arial"/>
          <w:sz w:val="20"/>
          <w:szCs w:val="20"/>
        </w:rPr>
        <w:t>A forecasting study applying the GM (1,1) grey prediction model to annual price data.</w:t>
      </w:r>
    </w:p>
    <w:p w14:paraId="00DCC22E" w14:textId="77777777" w:rsidR="004708FA" w:rsidRPr="00C32294" w:rsidRDefault="004708FA" w:rsidP="007B18EC">
      <w:pPr>
        <w:spacing w:line="360" w:lineRule="auto"/>
        <w:jc w:val="both"/>
        <w:rPr>
          <w:rFonts w:ascii="Arial" w:hAnsi="Arial" w:cs="Arial"/>
          <w:sz w:val="20"/>
          <w:szCs w:val="20"/>
        </w:rPr>
      </w:pPr>
      <w:r w:rsidRPr="00C32294">
        <w:rPr>
          <w:rFonts w:ascii="Arial" w:hAnsi="Arial" w:cs="Arial"/>
          <w:b/>
          <w:bCs/>
          <w:sz w:val="20"/>
          <w:szCs w:val="20"/>
        </w:rPr>
        <w:t>Place and Duration of Study:</w:t>
      </w:r>
      <w:r>
        <w:rPr>
          <w:rFonts w:ascii="Arial" w:hAnsi="Arial" w:cs="Arial"/>
          <w:sz w:val="20"/>
          <w:szCs w:val="20"/>
        </w:rPr>
        <w:t xml:space="preserve"> </w:t>
      </w:r>
      <w:r w:rsidRPr="00C32294">
        <w:rPr>
          <w:rFonts w:ascii="Arial" w:hAnsi="Arial" w:cs="Arial"/>
          <w:sz w:val="20"/>
          <w:szCs w:val="20"/>
        </w:rPr>
        <w:t>The study was conducted across the three zones of Telangana, India, using annual paddy price data from 2014 to 2024.</w:t>
      </w:r>
    </w:p>
    <w:p w14:paraId="3012035A" w14:textId="77777777" w:rsidR="004708FA" w:rsidRPr="00C32294" w:rsidRDefault="004708FA" w:rsidP="007B18EC">
      <w:pPr>
        <w:spacing w:line="360" w:lineRule="auto"/>
        <w:jc w:val="both"/>
        <w:rPr>
          <w:rFonts w:ascii="Arial" w:hAnsi="Arial" w:cs="Arial"/>
          <w:sz w:val="20"/>
          <w:szCs w:val="20"/>
        </w:rPr>
      </w:pPr>
      <w:r w:rsidRPr="00C32294">
        <w:rPr>
          <w:rFonts w:ascii="Arial" w:hAnsi="Arial" w:cs="Arial"/>
          <w:b/>
          <w:bCs/>
          <w:sz w:val="20"/>
          <w:szCs w:val="20"/>
        </w:rPr>
        <w:t>Methodology:</w:t>
      </w:r>
      <w:r>
        <w:rPr>
          <w:rFonts w:ascii="Arial" w:hAnsi="Arial" w:cs="Arial"/>
          <w:sz w:val="20"/>
          <w:szCs w:val="20"/>
        </w:rPr>
        <w:t xml:space="preserve"> </w:t>
      </w:r>
      <w:r w:rsidRPr="00C32294">
        <w:rPr>
          <w:rFonts w:ascii="Arial" w:hAnsi="Arial" w:cs="Arial"/>
          <w:sz w:val="20"/>
          <w:szCs w:val="20"/>
        </w:rPr>
        <w:t>Annual modal price data for paddy from Telangana’s Northern, Southern, and Central zones were collected. The GM (1,1) grey model, suitable for small and uncertain datasets, was applied to each zone’s data to estimate model parameters. Forecast accuracy was evaluated using Mean Absolute Percentage Error and Root Mean Squared Error. Price forecasts were generated for the years 2025 to 2027.</w:t>
      </w:r>
    </w:p>
    <w:p w14:paraId="5E49A099" w14:textId="2F06F4F7" w:rsidR="000769DB" w:rsidRDefault="004708FA" w:rsidP="007B18EC">
      <w:pPr>
        <w:spacing w:line="360" w:lineRule="auto"/>
        <w:jc w:val="both"/>
        <w:rPr>
          <w:rFonts w:ascii="Arial" w:hAnsi="Arial" w:cs="Arial"/>
          <w:sz w:val="20"/>
          <w:szCs w:val="20"/>
        </w:rPr>
      </w:pPr>
      <w:r w:rsidRPr="00C32294">
        <w:rPr>
          <w:rFonts w:ascii="Arial" w:hAnsi="Arial" w:cs="Arial"/>
          <w:b/>
          <w:bCs/>
          <w:sz w:val="20"/>
          <w:szCs w:val="20"/>
        </w:rPr>
        <w:t>Results:</w:t>
      </w:r>
      <w:r>
        <w:rPr>
          <w:rFonts w:ascii="Arial" w:hAnsi="Arial" w:cs="Arial"/>
          <w:sz w:val="20"/>
          <w:szCs w:val="20"/>
        </w:rPr>
        <w:t xml:space="preserve"> </w:t>
      </w:r>
      <w:r w:rsidRPr="00C32294">
        <w:rPr>
          <w:rFonts w:ascii="Arial" w:hAnsi="Arial" w:cs="Arial"/>
          <w:sz w:val="20"/>
          <w:szCs w:val="20"/>
        </w:rPr>
        <w:t>The GM (1,1) model produced accurate forecasts with MAPE values below 10% for all zones. Forecasts indicate a consistent upward trend in modal paddy prices across Telangana from 2025 to 2027.</w:t>
      </w:r>
    </w:p>
    <w:p w14:paraId="22CC69B7" w14:textId="77777777" w:rsidR="004708FA" w:rsidRPr="00C32294" w:rsidRDefault="004708FA" w:rsidP="007B18EC">
      <w:pPr>
        <w:spacing w:line="360" w:lineRule="auto"/>
        <w:jc w:val="both"/>
        <w:rPr>
          <w:rFonts w:ascii="Arial" w:hAnsi="Arial" w:cs="Arial"/>
          <w:sz w:val="20"/>
          <w:szCs w:val="20"/>
        </w:rPr>
      </w:pPr>
      <w:r w:rsidRPr="00C32294">
        <w:rPr>
          <w:rFonts w:ascii="Arial" w:hAnsi="Arial" w:cs="Arial"/>
          <w:b/>
          <w:bCs/>
          <w:sz w:val="20"/>
          <w:szCs w:val="20"/>
        </w:rPr>
        <w:t>Conclusion:</w:t>
      </w:r>
      <w:r>
        <w:rPr>
          <w:rFonts w:ascii="Arial" w:hAnsi="Arial" w:cs="Arial"/>
          <w:sz w:val="20"/>
          <w:szCs w:val="20"/>
        </w:rPr>
        <w:t xml:space="preserve"> </w:t>
      </w:r>
      <w:r w:rsidRPr="00C32294">
        <w:rPr>
          <w:rFonts w:ascii="Arial" w:hAnsi="Arial" w:cs="Arial"/>
          <w:sz w:val="20"/>
          <w:szCs w:val="20"/>
        </w:rPr>
        <w:t>The GM (1,1) grey model effectively forecasts short-term paddy prices in Telangana despite limited data, serving as a valuable decision-making tool for farmers and policymakers to anticipate price fluctuations and plan interventions accordingly.</w:t>
      </w:r>
    </w:p>
    <w:p w14:paraId="17004A94" w14:textId="77777777" w:rsidR="004708FA" w:rsidRDefault="004708FA" w:rsidP="007B18EC">
      <w:pPr>
        <w:spacing w:line="360" w:lineRule="auto"/>
        <w:jc w:val="both"/>
        <w:rPr>
          <w:rFonts w:ascii="Times New Roman" w:hAnsi="Times New Roman" w:cs="Times New Roman"/>
          <w:sz w:val="24"/>
          <w:szCs w:val="24"/>
        </w:rPr>
      </w:pPr>
      <w:r w:rsidRPr="002412B0">
        <w:rPr>
          <w:rFonts w:ascii="Times New Roman" w:hAnsi="Times New Roman" w:cs="Times New Roman"/>
          <w:b/>
          <w:bCs/>
          <w:sz w:val="24"/>
          <w:szCs w:val="24"/>
        </w:rPr>
        <w:t>Keywords</w:t>
      </w:r>
      <w:r>
        <w:rPr>
          <w:rFonts w:ascii="Times New Roman" w:hAnsi="Times New Roman" w:cs="Times New Roman"/>
          <w:sz w:val="24"/>
          <w:szCs w:val="24"/>
        </w:rPr>
        <w:t xml:space="preserve"> </w:t>
      </w:r>
    </w:p>
    <w:p w14:paraId="0139D2FB" w14:textId="77777777" w:rsidR="004708FA" w:rsidRPr="002412B0" w:rsidRDefault="004708FA" w:rsidP="007B18EC">
      <w:pPr>
        <w:spacing w:line="360" w:lineRule="auto"/>
        <w:jc w:val="both"/>
        <w:rPr>
          <w:rFonts w:ascii="Arial" w:hAnsi="Arial" w:cs="Arial"/>
          <w:sz w:val="20"/>
          <w:szCs w:val="20"/>
        </w:rPr>
      </w:pPr>
      <w:r w:rsidRPr="002412B0">
        <w:rPr>
          <w:rFonts w:ascii="Arial" w:hAnsi="Arial" w:cs="Arial"/>
          <w:i/>
          <w:iCs/>
          <w:sz w:val="20"/>
          <w:szCs w:val="20"/>
        </w:rPr>
        <w:t>Grey Model GM</w:t>
      </w:r>
      <w:r w:rsidRPr="00D37907">
        <w:rPr>
          <w:rFonts w:ascii="Arial" w:hAnsi="Arial" w:cs="Arial"/>
          <w:i/>
          <w:iCs/>
          <w:sz w:val="20"/>
          <w:szCs w:val="20"/>
        </w:rPr>
        <w:t xml:space="preserve"> </w:t>
      </w:r>
      <w:r w:rsidRPr="002412B0">
        <w:rPr>
          <w:rFonts w:ascii="Arial" w:hAnsi="Arial" w:cs="Arial"/>
          <w:i/>
          <w:iCs/>
          <w:sz w:val="20"/>
          <w:szCs w:val="20"/>
        </w:rPr>
        <w:t>(1,1)</w:t>
      </w:r>
      <w:r w:rsidRPr="00D37907">
        <w:rPr>
          <w:rFonts w:ascii="Arial" w:hAnsi="Arial" w:cs="Arial"/>
          <w:i/>
          <w:iCs/>
          <w:sz w:val="20"/>
          <w:szCs w:val="20"/>
        </w:rPr>
        <w:t>, modal prices, paddy prices forecasting, zonal analysis, forecast accuracy.</w:t>
      </w:r>
    </w:p>
    <w:p w14:paraId="225F980A" w14:textId="77777777" w:rsidR="004708FA" w:rsidRPr="00D37907" w:rsidRDefault="004708FA" w:rsidP="007B18EC">
      <w:pPr>
        <w:spacing w:line="360" w:lineRule="auto"/>
        <w:jc w:val="both"/>
        <w:rPr>
          <w:rFonts w:ascii="Arial" w:hAnsi="Arial" w:cs="Arial"/>
        </w:rPr>
      </w:pPr>
      <w:r w:rsidRPr="00D37907">
        <w:rPr>
          <w:rFonts w:ascii="Arial" w:hAnsi="Arial" w:cs="Arial"/>
          <w:b/>
          <w:bCs/>
        </w:rPr>
        <w:t>1. INTRODUCTION</w:t>
      </w:r>
    </w:p>
    <w:p w14:paraId="48587B98" w14:textId="77777777" w:rsidR="004708FA" w:rsidRPr="00D37907" w:rsidRDefault="004708FA" w:rsidP="007B18EC">
      <w:pPr>
        <w:spacing w:line="360" w:lineRule="auto"/>
        <w:jc w:val="both"/>
        <w:rPr>
          <w:rFonts w:ascii="Arial" w:hAnsi="Arial" w:cs="Arial"/>
          <w:sz w:val="20"/>
          <w:szCs w:val="20"/>
        </w:rPr>
      </w:pPr>
      <w:r w:rsidRPr="00D37907">
        <w:rPr>
          <w:rFonts w:ascii="Arial" w:hAnsi="Arial" w:cs="Arial"/>
          <w:sz w:val="20"/>
          <w:szCs w:val="20"/>
        </w:rPr>
        <w:t xml:space="preserve">Paddy, recognized as one of India's most important food crops, especially within Telangana, plays a vital role in sustaining the agricultural economy. India ranks as the second-largest producer of rice on a global scale (Mahajan </w:t>
      </w:r>
      <w:r w:rsidRPr="00D37907">
        <w:rPr>
          <w:rFonts w:ascii="Arial" w:hAnsi="Arial" w:cs="Arial"/>
          <w:i/>
          <w:iCs/>
          <w:sz w:val="20"/>
          <w:szCs w:val="20"/>
        </w:rPr>
        <w:t>et al.,</w:t>
      </w:r>
      <w:r w:rsidRPr="00D37907">
        <w:rPr>
          <w:rFonts w:ascii="Arial" w:hAnsi="Arial" w:cs="Arial"/>
          <w:sz w:val="20"/>
          <w:szCs w:val="20"/>
        </w:rPr>
        <w:t xml:space="preserve">2017), so it contributes approximately 26.5% of the world's total rice production (indiastat.com). India's prominence within the global agricultural landscape is shown by the fact that India produced around 137.82 million metric tons of paddy in the 2023-2024 agricultural year </w:t>
      </w:r>
      <w:r w:rsidRPr="00D37907">
        <w:rPr>
          <w:rFonts w:ascii="Arial" w:hAnsi="Arial" w:cs="Arial"/>
          <w:sz w:val="20"/>
          <w:szCs w:val="20"/>
        </w:rPr>
        <w:lastRenderedPageBreak/>
        <w:t>(indiastat.com). Telangana ranks 4th in India in terms of paddy production. In India, Telangana is the top paddy-producing state (Economic Survey 2023-24).  Paddy productivity of Telangana reached a level of about 3,602 kg per hectare during 2023–2024 (indiastat.com). This productivity growth is explained by advancements in agricultural practices and improved seed varieties. Government initiatives for improving farmers' production capabilities also play a key role. Agricultural product prices are affected by various factors, such as supply and demand, climate change, policy intervention, market competition, international trade, etc. Agricultural price forecasting is not only about the economic stability of individual countries or regions, but also about the global balance of food supply and demand. Frequent and sharp fluctuations in agricultural commodity prices may affect national and global food security. Scholars have also conducted studies on the transmission mechanism of prices and found that agricultural price transmission is asymmetric. The study of agricultural price forecasting methods is of special importance for improving the safety of agricultural products in terms of quantity and promoting economic and social development. For stakeholders, farmers, agricultural policy makers and others, effective decision-making needs accurate paddy price forecasts.</w:t>
      </w:r>
    </w:p>
    <w:p w14:paraId="058A51E6" w14:textId="77777777" w:rsidR="004708FA" w:rsidRPr="00D37907" w:rsidRDefault="004708FA" w:rsidP="007B18EC">
      <w:pPr>
        <w:spacing w:line="360" w:lineRule="auto"/>
        <w:jc w:val="both"/>
        <w:rPr>
          <w:rFonts w:ascii="Arial" w:hAnsi="Arial" w:cs="Arial"/>
          <w:sz w:val="20"/>
          <w:szCs w:val="20"/>
        </w:rPr>
      </w:pPr>
      <w:r w:rsidRPr="00D37907">
        <w:rPr>
          <w:rFonts w:ascii="Arial" w:hAnsi="Arial" w:cs="Arial"/>
          <w:sz w:val="20"/>
          <w:szCs w:val="20"/>
        </w:rPr>
        <w:t xml:space="preserve">Various methodologies have been employed to predict agricultural prices, including classic and modern approaches in recent years (Sun </w:t>
      </w:r>
      <w:r w:rsidRPr="00D37907">
        <w:rPr>
          <w:rFonts w:ascii="Arial" w:hAnsi="Arial" w:cs="Arial"/>
          <w:i/>
          <w:iCs/>
          <w:sz w:val="20"/>
          <w:szCs w:val="20"/>
        </w:rPr>
        <w:t>et al.,</w:t>
      </w:r>
      <w:r w:rsidRPr="00D37907">
        <w:rPr>
          <w:rFonts w:ascii="Arial" w:hAnsi="Arial" w:cs="Arial"/>
          <w:sz w:val="20"/>
          <w:szCs w:val="20"/>
        </w:rPr>
        <w:t xml:space="preserve"> 2023). The Grey Model (GM) has emerged among these as a particularly relevant and effective tool, distinguished by its ability to manage uncertainties in data and make reliable forecasts even when historical records are limited. The Grey Model draws on grey system theory concepts, and adaptability makes it a good fit for short-term predictions (</w:t>
      </w:r>
      <w:proofErr w:type="spellStart"/>
      <w:r w:rsidRPr="00D37907">
        <w:rPr>
          <w:rFonts w:ascii="Arial" w:eastAsiaTheme="minorEastAsia" w:hAnsi="Arial" w:cs="Arial"/>
          <w:color w:val="333333"/>
          <w:sz w:val="20"/>
          <w:szCs w:val="20"/>
          <w:shd w:val="clear" w:color="auto" w:fill="FCFCFC"/>
        </w:rPr>
        <w:t>Julong</w:t>
      </w:r>
      <w:proofErr w:type="spellEnd"/>
      <w:r w:rsidRPr="00D37907">
        <w:rPr>
          <w:rFonts w:ascii="Arial" w:eastAsiaTheme="minorEastAsia" w:hAnsi="Arial" w:cs="Arial"/>
          <w:color w:val="333333"/>
          <w:sz w:val="20"/>
          <w:szCs w:val="20"/>
          <w:shd w:val="clear" w:color="auto" w:fill="FCFCFC"/>
        </w:rPr>
        <w:t xml:space="preserve"> 1989)</w:t>
      </w:r>
      <w:r w:rsidRPr="00D37907">
        <w:rPr>
          <w:rFonts w:ascii="Arial" w:hAnsi="Arial" w:cs="Arial"/>
          <w:sz w:val="20"/>
          <w:szCs w:val="20"/>
        </w:rPr>
        <w:t xml:space="preserve">. Also, Telangana's zones differ in paddy growing, pricing, and market access, it's key to examine these factors zone by zone. The Grey Model for zonal study allows for a deeper insight into local market conditions while creating strategies that take into account each zone's unique features. This study aims to use the Grey Model to predict paddy prices by looking at past price data from each zone. Agricultural price forecasts also help the researchers and policy makers in planning appropriate policies (Sun </w:t>
      </w:r>
      <w:r w:rsidRPr="00D37907">
        <w:rPr>
          <w:rFonts w:ascii="Arial" w:hAnsi="Arial" w:cs="Arial"/>
          <w:i/>
          <w:iCs/>
          <w:sz w:val="20"/>
          <w:szCs w:val="20"/>
        </w:rPr>
        <w:t>et al.,</w:t>
      </w:r>
      <w:r w:rsidRPr="00D37907">
        <w:rPr>
          <w:rFonts w:ascii="Arial" w:hAnsi="Arial" w:cs="Arial"/>
          <w:sz w:val="20"/>
          <w:szCs w:val="20"/>
        </w:rPr>
        <w:t xml:space="preserve"> 2023). The predicted results of this study could help to improve price stability, lower financial risks, and boost economic resilience for those involved in Telangana's paddy market. </w:t>
      </w:r>
    </w:p>
    <w:p w14:paraId="26748DEB" w14:textId="77777777" w:rsidR="004708FA" w:rsidRPr="00D37907" w:rsidRDefault="004708FA" w:rsidP="007B18EC">
      <w:pPr>
        <w:spacing w:line="360" w:lineRule="auto"/>
        <w:jc w:val="both"/>
        <w:rPr>
          <w:rFonts w:ascii="Arial" w:hAnsi="Arial" w:cs="Arial"/>
          <w:sz w:val="20"/>
          <w:szCs w:val="20"/>
        </w:rPr>
      </w:pPr>
      <w:r w:rsidRPr="00D37907">
        <w:rPr>
          <w:rFonts w:ascii="Arial" w:hAnsi="Arial" w:cs="Arial"/>
          <w:sz w:val="20"/>
          <w:szCs w:val="20"/>
        </w:rPr>
        <w:t xml:space="preserve">The numerous advantages of the </w:t>
      </w:r>
      <w:proofErr w:type="gramStart"/>
      <w:r w:rsidRPr="00D37907">
        <w:rPr>
          <w:rFonts w:ascii="Arial" w:hAnsi="Arial" w:cs="Arial"/>
          <w:sz w:val="20"/>
          <w:szCs w:val="20"/>
        </w:rPr>
        <w:t>Grey</w:t>
      </w:r>
      <w:proofErr w:type="gramEnd"/>
      <w:r w:rsidRPr="00D37907">
        <w:rPr>
          <w:rFonts w:ascii="Arial" w:hAnsi="Arial" w:cs="Arial"/>
          <w:sz w:val="20"/>
          <w:szCs w:val="20"/>
        </w:rPr>
        <w:t xml:space="preserve"> model, especially the GM (1,1) version, over traditional approaches like ARIMA, SARIMA, ARIMAX, GARCH, and LSTM make it an appropriate choice for time series data forecasting. It requires only a small amount of historical data, making it a great option when data is scarce, unlike ARIMA or LSTM, which often require enormous datasets. The Grey Model can manage rising and falling trends of the data. It also assumes less about the distribution of data, which lowers the possibility of errors from techniques like GARCH, which frequently assume normality. This model performs exceptionally well in short-term forecasts because it can quickly adjust to new data, which makes it ideal for accurate prediction requirements. In real-world scenarios where data quality may fluctuate, its capacity to withstand noisy or inconsistent data improves reliability. When compared to LSTM, the </w:t>
      </w:r>
      <w:proofErr w:type="gramStart"/>
      <w:r w:rsidRPr="00D37907">
        <w:rPr>
          <w:rFonts w:ascii="Arial" w:hAnsi="Arial" w:cs="Arial"/>
          <w:sz w:val="20"/>
          <w:szCs w:val="20"/>
        </w:rPr>
        <w:t>Grey</w:t>
      </w:r>
      <w:proofErr w:type="gramEnd"/>
      <w:r w:rsidRPr="00D37907">
        <w:rPr>
          <w:rFonts w:ascii="Arial" w:hAnsi="Arial" w:cs="Arial"/>
          <w:sz w:val="20"/>
          <w:szCs w:val="20"/>
        </w:rPr>
        <w:t xml:space="preserve"> model requires less computing power.</w:t>
      </w:r>
    </w:p>
    <w:p w14:paraId="60752E09" w14:textId="77777777" w:rsidR="004708FA" w:rsidRPr="00D37907" w:rsidRDefault="004708FA" w:rsidP="007B18EC">
      <w:pPr>
        <w:spacing w:line="360" w:lineRule="auto"/>
        <w:jc w:val="both"/>
        <w:rPr>
          <w:rFonts w:ascii="Arial" w:hAnsi="Arial" w:cs="Arial"/>
          <w:sz w:val="20"/>
          <w:szCs w:val="20"/>
        </w:rPr>
      </w:pPr>
      <w:r w:rsidRPr="00D37907">
        <w:rPr>
          <w:rFonts w:ascii="Arial" w:hAnsi="Arial" w:cs="Arial"/>
          <w:sz w:val="20"/>
          <w:szCs w:val="20"/>
        </w:rPr>
        <w:t xml:space="preserve"> The model has higher precision and many wide applications in different areas. Successful engineering, environmental science, and economics applications indicate its efficacy and versatility. The grey prediction model, particularly GM (1,1), has gained significant attention recently due to its high accuracy </w:t>
      </w:r>
      <w:r w:rsidRPr="00D37907">
        <w:rPr>
          <w:rFonts w:ascii="Arial" w:hAnsi="Arial" w:cs="Arial"/>
          <w:sz w:val="20"/>
          <w:szCs w:val="20"/>
        </w:rPr>
        <w:lastRenderedPageBreak/>
        <w:t xml:space="preserve">and minimal data requirements, making it especially valuable in medical research. The versatility of the grey model is demonstrated by its successful application in forecasting and evaluating a wide range of datasets, such as rural logistics demand (Zeng </w:t>
      </w:r>
      <w:r w:rsidRPr="00D37907">
        <w:rPr>
          <w:rFonts w:ascii="Arial" w:hAnsi="Arial" w:cs="Arial"/>
          <w:i/>
          <w:iCs/>
          <w:sz w:val="20"/>
          <w:szCs w:val="20"/>
        </w:rPr>
        <w:t>et al</w:t>
      </w:r>
      <w:r w:rsidRPr="00D37907">
        <w:rPr>
          <w:rFonts w:ascii="Arial" w:hAnsi="Arial" w:cs="Arial"/>
          <w:sz w:val="20"/>
          <w:szCs w:val="20"/>
        </w:rPr>
        <w:t xml:space="preserve">., 2022), unemployment rates (Nguyen </w:t>
      </w:r>
      <w:r w:rsidRPr="00D37907">
        <w:rPr>
          <w:rFonts w:ascii="Arial" w:hAnsi="Arial" w:cs="Arial"/>
          <w:i/>
          <w:iCs/>
          <w:sz w:val="20"/>
          <w:szCs w:val="20"/>
        </w:rPr>
        <w:t>et al</w:t>
      </w:r>
      <w:r w:rsidRPr="00D37907">
        <w:rPr>
          <w:rFonts w:ascii="Arial" w:hAnsi="Arial" w:cs="Arial"/>
          <w:sz w:val="20"/>
          <w:szCs w:val="20"/>
        </w:rPr>
        <w:t xml:space="preserve">., 2021 and Pavithra </w:t>
      </w:r>
      <w:r w:rsidRPr="00D37907">
        <w:rPr>
          <w:rFonts w:ascii="Arial" w:hAnsi="Arial" w:cs="Arial"/>
          <w:i/>
          <w:iCs/>
          <w:sz w:val="20"/>
          <w:szCs w:val="20"/>
        </w:rPr>
        <w:t>et al</w:t>
      </w:r>
      <w:r w:rsidRPr="00D37907">
        <w:rPr>
          <w:rFonts w:ascii="Arial" w:hAnsi="Arial" w:cs="Arial"/>
          <w:sz w:val="20"/>
          <w:szCs w:val="20"/>
        </w:rPr>
        <w:t>., 2024), rainfall patterns (</w:t>
      </w:r>
      <w:proofErr w:type="spellStart"/>
      <w:r w:rsidRPr="00D37907">
        <w:rPr>
          <w:rFonts w:ascii="Arial" w:hAnsi="Arial" w:cs="Arial"/>
          <w:sz w:val="20"/>
          <w:szCs w:val="20"/>
        </w:rPr>
        <w:t>Chutiman</w:t>
      </w:r>
      <w:proofErr w:type="spellEnd"/>
      <w:r w:rsidRPr="00D37907">
        <w:rPr>
          <w:rFonts w:ascii="Arial" w:hAnsi="Arial" w:cs="Arial"/>
          <w:sz w:val="20"/>
          <w:szCs w:val="20"/>
        </w:rPr>
        <w:t xml:space="preserve"> </w:t>
      </w:r>
      <w:r w:rsidRPr="00D37907">
        <w:rPr>
          <w:rFonts w:ascii="Arial" w:hAnsi="Arial" w:cs="Arial"/>
          <w:i/>
          <w:iCs/>
          <w:sz w:val="20"/>
          <w:szCs w:val="20"/>
        </w:rPr>
        <w:t>et al</w:t>
      </w:r>
      <w:r w:rsidRPr="00D37907">
        <w:rPr>
          <w:rFonts w:ascii="Arial" w:hAnsi="Arial" w:cs="Arial"/>
          <w:sz w:val="20"/>
          <w:szCs w:val="20"/>
        </w:rPr>
        <w:t>., 2022), electricity consumption (</w:t>
      </w:r>
      <w:proofErr w:type="spellStart"/>
      <w:r w:rsidRPr="00D37907">
        <w:rPr>
          <w:rFonts w:ascii="Arial" w:hAnsi="Arial" w:cs="Arial"/>
          <w:sz w:val="20"/>
          <w:szCs w:val="20"/>
        </w:rPr>
        <w:t>Kartikasari</w:t>
      </w:r>
      <w:proofErr w:type="spellEnd"/>
      <w:r w:rsidRPr="00D37907">
        <w:rPr>
          <w:rFonts w:ascii="Arial" w:hAnsi="Arial" w:cs="Arial"/>
          <w:sz w:val="20"/>
          <w:szCs w:val="20"/>
        </w:rPr>
        <w:t xml:space="preserve"> and </w:t>
      </w:r>
      <w:proofErr w:type="spellStart"/>
      <w:r w:rsidRPr="00D37907">
        <w:rPr>
          <w:rFonts w:ascii="Arial" w:hAnsi="Arial" w:cs="Arial"/>
          <w:sz w:val="20"/>
          <w:szCs w:val="20"/>
        </w:rPr>
        <w:t>Prayogi</w:t>
      </w:r>
      <w:proofErr w:type="spellEnd"/>
      <w:r w:rsidRPr="00D37907">
        <w:rPr>
          <w:rFonts w:ascii="Arial" w:hAnsi="Arial" w:cs="Arial"/>
          <w:sz w:val="20"/>
          <w:szCs w:val="20"/>
        </w:rPr>
        <w:t xml:space="preserve">, 2018), population dynamics (Gao </w:t>
      </w:r>
      <w:r w:rsidRPr="00D37907">
        <w:rPr>
          <w:rFonts w:ascii="Arial" w:hAnsi="Arial" w:cs="Arial"/>
          <w:i/>
          <w:iCs/>
          <w:sz w:val="20"/>
          <w:szCs w:val="20"/>
        </w:rPr>
        <w:t>et al</w:t>
      </w:r>
      <w:r w:rsidRPr="00D37907">
        <w:rPr>
          <w:rFonts w:ascii="Arial" w:hAnsi="Arial" w:cs="Arial"/>
          <w:sz w:val="20"/>
          <w:szCs w:val="20"/>
        </w:rPr>
        <w:t xml:space="preserve">., 2017), genetics (Lin </w:t>
      </w:r>
      <w:r w:rsidRPr="00D37907">
        <w:rPr>
          <w:rFonts w:ascii="Arial" w:hAnsi="Arial" w:cs="Arial"/>
          <w:i/>
          <w:iCs/>
          <w:sz w:val="20"/>
          <w:szCs w:val="20"/>
        </w:rPr>
        <w:t>et al</w:t>
      </w:r>
      <w:r w:rsidRPr="00D37907">
        <w:rPr>
          <w:rFonts w:ascii="Arial" w:hAnsi="Arial" w:cs="Arial"/>
          <w:sz w:val="20"/>
          <w:szCs w:val="20"/>
        </w:rPr>
        <w:t xml:space="preserve">., 2011), and GDP trends (Wang </w:t>
      </w:r>
      <w:r w:rsidRPr="00D37907">
        <w:rPr>
          <w:rFonts w:ascii="Arial" w:hAnsi="Arial" w:cs="Arial"/>
          <w:i/>
          <w:iCs/>
          <w:sz w:val="20"/>
          <w:szCs w:val="20"/>
        </w:rPr>
        <w:t>et al</w:t>
      </w:r>
      <w:r w:rsidRPr="00D37907">
        <w:rPr>
          <w:rFonts w:ascii="Arial" w:hAnsi="Arial" w:cs="Arial"/>
          <w:sz w:val="20"/>
          <w:szCs w:val="20"/>
        </w:rPr>
        <w:t xml:space="preserve">., 2022). In the health sector, it has been employed for various predictive tasks by </w:t>
      </w:r>
      <w:proofErr w:type="spellStart"/>
      <w:r w:rsidRPr="00D37907">
        <w:rPr>
          <w:rFonts w:ascii="Arial" w:hAnsi="Arial" w:cs="Arial"/>
          <w:sz w:val="20"/>
          <w:szCs w:val="20"/>
        </w:rPr>
        <w:t>Iqelan</w:t>
      </w:r>
      <w:proofErr w:type="spellEnd"/>
      <w:r w:rsidRPr="00D37907">
        <w:rPr>
          <w:rFonts w:ascii="Arial" w:hAnsi="Arial" w:cs="Arial"/>
          <w:sz w:val="20"/>
          <w:szCs w:val="20"/>
        </w:rPr>
        <w:t xml:space="preserve"> (2017), </w:t>
      </w:r>
      <w:proofErr w:type="spellStart"/>
      <w:r w:rsidRPr="00D37907">
        <w:rPr>
          <w:rFonts w:ascii="Arial" w:hAnsi="Arial" w:cs="Arial"/>
          <w:sz w:val="20"/>
          <w:szCs w:val="20"/>
        </w:rPr>
        <w:t>Lixia</w:t>
      </w:r>
      <w:proofErr w:type="spellEnd"/>
      <w:r w:rsidRPr="00D37907">
        <w:rPr>
          <w:rFonts w:ascii="Arial" w:hAnsi="Arial" w:cs="Arial"/>
          <w:sz w:val="20"/>
          <w:szCs w:val="20"/>
        </w:rPr>
        <w:t xml:space="preserve"> </w:t>
      </w:r>
      <w:r w:rsidRPr="00D37907">
        <w:rPr>
          <w:rFonts w:ascii="Arial" w:hAnsi="Arial" w:cs="Arial"/>
          <w:i/>
          <w:iCs/>
          <w:sz w:val="20"/>
          <w:szCs w:val="20"/>
        </w:rPr>
        <w:t>et al.,</w:t>
      </w:r>
      <w:r w:rsidRPr="00D37907">
        <w:rPr>
          <w:rFonts w:ascii="Arial" w:hAnsi="Arial" w:cs="Arial"/>
          <w:sz w:val="20"/>
          <w:szCs w:val="20"/>
        </w:rPr>
        <w:t xml:space="preserve"> (2019), Ye </w:t>
      </w:r>
      <w:r w:rsidRPr="00D37907">
        <w:rPr>
          <w:rFonts w:ascii="Arial" w:hAnsi="Arial" w:cs="Arial"/>
          <w:i/>
          <w:iCs/>
          <w:sz w:val="20"/>
          <w:szCs w:val="20"/>
        </w:rPr>
        <w:t>et al</w:t>
      </w:r>
      <w:r w:rsidRPr="00D37907">
        <w:rPr>
          <w:rFonts w:ascii="Arial" w:hAnsi="Arial" w:cs="Arial"/>
          <w:sz w:val="20"/>
          <w:szCs w:val="20"/>
        </w:rPr>
        <w:t xml:space="preserve">., (2019), </w:t>
      </w:r>
      <w:proofErr w:type="spellStart"/>
      <w:r w:rsidRPr="00D37907">
        <w:rPr>
          <w:rFonts w:ascii="Arial" w:hAnsi="Arial" w:cs="Arial"/>
          <w:sz w:val="20"/>
          <w:szCs w:val="20"/>
        </w:rPr>
        <w:t>Nieszporska</w:t>
      </w:r>
      <w:proofErr w:type="spellEnd"/>
      <w:r w:rsidRPr="00D37907">
        <w:rPr>
          <w:rFonts w:ascii="Arial" w:hAnsi="Arial" w:cs="Arial"/>
          <w:sz w:val="20"/>
          <w:szCs w:val="20"/>
        </w:rPr>
        <w:t xml:space="preserve"> (2022), and Yang (2024). Additionally, its use in agriculture includes predicting food crop yields (Muqtadir </w:t>
      </w:r>
      <w:r w:rsidRPr="00D37907">
        <w:rPr>
          <w:rFonts w:ascii="Arial" w:hAnsi="Arial" w:cs="Arial"/>
          <w:i/>
          <w:iCs/>
          <w:sz w:val="20"/>
          <w:szCs w:val="20"/>
        </w:rPr>
        <w:t>et al</w:t>
      </w:r>
      <w:r w:rsidRPr="00D37907">
        <w:rPr>
          <w:rFonts w:ascii="Arial" w:hAnsi="Arial" w:cs="Arial"/>
          <w:sz w:val="20"/>
          <w:szCs w:val="20"/>
        </w:rPr>
        <w:t xml:space="preserve">., 2016) and assessing residue biomass availability (Zhang </w:t>
      </w:r>
      <w:r w:rsidRPr="00D37907">
        <w:rPr>
          <w:rFonts w:ascii="Arial" w:hAnsi="Arial" w:cs="Arial"/>
          <w:i/>
          <w:iCs/>
          <w:sz w:val="20"/>
          <w:szCs w:val="20"/>
        </w:rPr>
        <w:t>et al.</w:t>
      </w:r>
      <w:r w:rsidRPr="00D37907">
        <w:rPr>
          <w:rFonts w:ascii="Arial" w:hAnsi="Arial" w:cs="Arial"/>
          <w:sz w:val="20"/>
          <w:szCs w:val="20"/>
        </w:rPr>
        <w:t xml:space="preserve">, 2019). It is applied in forecasting of Indonesia’s domestic coffee consumption (Wang and </w:t>
      </w:r>
      <w:proofErr w:type="spellStart"/>
      <w:r w:rsidRPr="00D37907">
        <w:rPr>
          <w:rFonts w:ascii="Arial" w:hAnsi="Arial" w:cs="Arial"/>
          <w:sz w:val="20"/>
          <w:szCs w:val="20"/>
        </w:rPr>
        <w:t>Ghalih</w:t>
      </w:r>
      <w:proofErr w:type="spellEnd"/>
      <w:r w:rsidRPr="00D37907">
        <w:rPr>
          <w:rFonts w:ascii="Arial" w:hAnsi="Arial" w:cs="Arial"/>
          <w:sz w:val="20"/>
          <w:szCs w:val="20"/>
        </w:rPr>
        <w:t>, 2017). These studies underscore the grey model’s adaptability and robust performance across various domains.</w:t>
      </w:r>
    </w:p>
    <w:p w14:paraId="0A73FBEB" w14:textId="77777777" w:rsidR="004708FA" w:rsidRDefault="004708FA" w:rsidP="007B18EC">
      <w:pPr>
        <w:spacing w:line="360" w:lineRule="auto"/>
        <w:jc w:val="both"/>
        <w:rPr>
          <w:rFonts w:ascii="Arial" w:hAnsi="Arial" w:cs="Arial"/>
          <w:b/>
          <w:bCs/>
          <w:lang w:val="en-US"/>
        </w:rPr>
      </w:pPr>
      <w:r w:rsidRPr="00D37907">
        <w:rPr>
          <w:rFonts w:ascii="Arial" w:hAnsi="Arial" w:cs="Arial"/>
          <w:b/>
          <w:bCs/>
          <w:lang w:val="en-US"/>
        </w:rPr>
        <w:t>2. MATERIAL AND METHODS</w:t>
      </w:r>
    </w:p>
    <w:p w14:paraId="1E942863" w14:textId="77777777" w:rsidR="004708FA" w:rsidRPr="00D37907" w:rsidRDefault="004708FA" w:rsidP="007B18EC">
      <w:pPr>
        <w:spacing w:line="360" w:lineRule="auto"/>
        <w:jc w:val="both"/>
        <w:rPr>
          <w:rFonts w:ascii="Arial" w:hAnsi="Arial" w:cs="Arial"/>
        </w:rPr>
      </w:pPr>
      <w:r>
        <w:rPr>
          <w:rFonts w:ascii="Arial" w:hAnsi="Arial" w:cs="Arial"/>
          <w:b/>
          <w:bCs/>
          <w:lang w:val="en-US"/>
        </w:rPr>
        <w:t>2.1 Data Collection</w:t>
      </w:r>
    </w:p>
    <w:p w14:paraId="34DE126A"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The annual modal price data for paddy over 11 years (spanning January 2014 to December 2024) in Telangana was employed to predict future prices. The time series data for yearly paddy prices was obtained from the AGMARKNET website. With this information, paddy prices were estimated for the upcoming three years. </w:t>
      </w:r>
    </w:p>
    <w:p w14:paraId="46754C0B"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The Grey model GM (1,1) helps to examine and predict single-variable time series data. This makes it useful in cases with limited and incomplete information. The model works best for data sequences that are monotonically increasing or decreasing in nature. GM (1,1) uses an accumulated generating operation (AGO) to smooth the data. It then builds a first-order differential equation to forecast future values. Many fields, such as economics and agriculture, use this model for short-term predictions. It’s popular because it's effective with small sample sizes and can handle uncertainty in the data.</w:t>
      </w:r>
    </w:p>
    <w:p w14:paraId="1CF30C2D" w14:textId="77777777" w:rsidR="004708FA" w:rsidRPr="00D37907" w:rsidRDefault="004708FA" w:rsidP="007B18EC">
      <w:pPr>
        <w:spacing w:line="360" w:lineRule="auto"/>
        <w:jc w:val="both"/>
        <w:rPr>
          <w:rFonts w:ascii="Arial" w:hAnsi="Arial" w:cs="Arial"/>
          <w:b/>
          <w:bCs/>
          <w:color w:val="333333"/>
          <w:shd w:val="clear" w:color="auto" w:fill="FCFCFC"/>
        </w:rPr>
      </w:pPr>
      <w:r w:rsidRPr="00D37907">
        <w:rPr>
          <w:rFonts w:ascii="Arial" w:hAnsi="Arial" w:cs="Arial"/>
          <w:b/>
          <w:bCs/>
          <w:color w:val="333333"/>
          <w:shd w:val="clear" w:color="auto" w:fill="FCFCFC"/>
        </w:rPr>
        <w:t>2.2 Methodology</w:t>
      </w:r>
    </w:p>
    <w:p w14:paraId="3326ED72"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 xml:space="preserve">Professor Deng </w:t>
      </w:r>
      <w:proofErr w:type="spellStart"/>
      <w:r w:rsidRPr="00EA4251">
        <w:rPr>
          <w:rFonts w:ascii="Arial" w:hAnsi="Arial" w:cs="Arial"/>
          <w:color w:val="333333"/>
          <w:sz w:val="20"/>
          <w:szCs w:val="20"/>
          <w:shd w:val="clear" w:color="auto" w:fill="FCFCFC"/>
        </w:rPr>
        <w:t>Julong</w:t>
      </w:r>
      <w:proofErr w:type="spellEnd"/>
      <w:r w:rsidRPr="00EA4251">
        <w:rPr>
          <w:rFonts w:ascii="Arial" w:hAnsi="Arial" w:cs="Arial"/>
          <w:color w:val="333333"/>
          <w:sz w:val="20"/>
          <w:szCs w:val="20"/>
          <w:shd w:val="clear" w:color="auto" w:fill="FCFCFC"/>
        </w:rPr>
        <w:t xml:space="preserve"> introduced the grey model of M-order partial differential equations with N variables (G (M, N)) in 1982 as part of grey system theory, a framework for analysing systems with incomplete information. GM (1,1) is a single-variable grey prediction model with a first-order difference equation. A grey system is typically defined as one where some information is known while other information remains uncertain. Grey system theory addresses challenges related to data scarcity and uncertainty. The grey theory approach to data processing does not focus on identifying statistical laws or probability distributions. Instead, it transforms the original data into regular time series data, the foundation for developing a mathematical model. The term “grey” represents that the model contains white and black parts. The white part has theoretical support, while the black part depends on empirical data.</w:t>
      </w:r>
      <w:r w:rsidRPr="00EA4251">
        <w:rPr>
          <w:rFonts w:ascii="Arial" w:hAnsi="Arial" w:cs="Arial"/>
          <w:sz w:val="20"/>
          <w:szCs w:val="20"/>
        </w:rPr>
        <w:t xml:space="preserve"> </w:t>
      </w:r>
      <w:r w:rsidRPr="00EA4251">
        <w:rPr>
          <w:rFonts w:ascii="Arial" w:hAnsi="Arial" w:cs="Arial"/>
          <w:color w:val="333333"/>
          <w:sz w:val="20"/>
          <w:szCs w:val="20"/>
          <w:shd w:val="clear" w:color="auto" w:fill="FCFCFC"/>
        </w:rPr>
        <w:t xml:space="preserve">The Grey model is a powerful tool for time series forecasting when traditional statistical assumptions violate requirements due to limited data availability. Grey prediction is a technique for developing a GM model that extrapolates from past known or uncertain information to forecast future trends. Due to its advantages of requiring less raw data and high accuracy, it has been widely applied </w:t>
      </w:r>
      <w:r w:rsidRPr="00EA4251">
        <w:rPr>
          <w:rFonts w:ascii="Arial" w:hAnsi="Arial" w:cs="Arial"/>
          <w:color w:val="333333"/>
          <w:sz w:val="20"/>
          <w:szCs w:val="20"/>
          <w:shd w:val="clear" w:color="auto" w:fill="FCFCFC"/>
        </w:rPr>
        <w:lastRenderedPageBreak/>
        <w:t xml:space="preserve">across multiple domains, including economics and industry, energy and environmental studies, healthcare, and risk assessment. Grey systems theory has been effectively used across various disciplines, with the grey theory of prediction as a key component of this framework. </w:t>
      </w:r>
    </w:p>
    <w:p w14:paraId="776FF2BF"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This theory encompasses five primary categories of grey prediction (Xie and Liu 2009):</w:t>
      </w:r>
    </w:p>
    <w:p w14:paraId="1CC07C67"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w:t>
      </w:r>
      <w:proofErr w:type="spellStart"/>
      <w:r w:rsidRPr="00EA4251">
        <w:rPr>
          <w:rFonts w:ascii="Arial" w:hAnsi="Arial" w:cs="Arial"/>
          <w:color w:val="333333"/>
          <w:sz w:val="20"/>
          <w:szCs w:val="20"/>
          <w:shd w:val="clear" w:color="auto" w:fill="FCFCFC"/>
        </w:rPr>
        <w:t>i</w:t>
      </w:r>
      <w:proofErr w:type="spellEnd"/>
      <w:r w:rsidRPr="00EA4251">
        <w:rPr>
          <w:rFonts w:ascii="Arial" w:hAnsi="Arial" w:cs="Arial"/>
          <w:color w:val="333333"/>
          <w:sz w:val="20"/>
          <w:szCs w:val="20"/>
          <w:shd w:val="clear" w:color="auto" w:fill="FCFCFC"/>
        </w:rPr>
        <w:t xml:space="preserve">) Time series forecasting, which focuses on predicting future values based on past data </w:t>
      </w:r>
    </w:p>
    <w:p w14:paraId="1F714E5E"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 xml:space="preserve">(ii) Calamity forecasting, aimed at anticipating disasters or adverse events </w:t>
      </w:r>
    </w:p>
    <w:p w14:paraId="58D8228C"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 xml:space="preserve">(iii) Seasonal calamity forecasting aims to identify patterns and trends associated with seasonal changes </w:t>
      </w:r>
    </w:p>
    <w:p w14:paraId="76B229C0"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(iv) Topological forecasting, which involves predictions based on spatial or structural relationships and</w:t>
      </w:r>
    </w:p>
    <w:p w14:paraId="2BF8A33C"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 xml:space="preserve"> (v) Systematic forecasting is concerned with identifying and predicting outcomes based on systematic patterns within the data. </w:t>
      </w:r>
    </w:p>
    <w:p w14:paraId="7C9B11A1"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The GM (1,1) model operates as an exponential model by applying an accumulated generating operation to a data series. This transformation results in a non-negative, monotonically increasing sequence. This minimises the randomness present in the original data while highlighting the emerging key trends.</w:t>
      </w:r>
      <w:r w:rsidRPr="00EA4251">
        <w:rPr>
          <w:rFonts w:ascii="Arial" w:hAnsi="Arial" w:cs="Arial"/>
          <w:sz w:val="20"/>
          <w:szCs w:val="20"/>
        </w:rPr>
        <w:t xml:space="preserve"> </w:t>
      </w:r>
      <w:r w:rsidRPr="00EA4251">
        <w:rPr>
          <w:rFonts w:ascii="Arial" w:hAnsi="Arial" w:cs="Arial"/>
          <w:color w:val="333333"/>
          <w:sz w:val="20"/>
          <w:szCs w:val="20"/>
          <w:shd w:val="clear" w:color="auto" w:fill="FCFCFC"/>
        </w:rPr>
        <w:t>This model identifies data series that exhibit internal patterns or regularities. GM (1,1) is the simplest and most widely applied model of the grey forecasting theory.</w:t>
      </w:r>
      <w:r w:rsidRPr="00EA4251">
        <w:rPr>
          <w:rFonts w:ascii="Arial" w:hAnsi="Arial" w:cs="Arial"/>
          <w:sz w:val="20"/>
          <w:szCs w:val="20"/>
        </w:rPr>
        <w:t xml:space="preserve"> Its most notable characteristic is that GM (1,1) involves only a dependent variable and does not require any independent variables</w:t>
      </w:r>
      <w:r w:rsidRPr="00EA4251">
        <w:rPr>
          <w:rFonts w:ascii="Arial" w:hAnsi="Arial" w:cs="Arial"/>
          <w:color w:val="333333"/>
          <w:sz w:val="20"/>
          <w:szCs w:val="20"/>
          <w:shd w:val="clear" w:color="auto" w:fill="FCFCFC"/>
        </w:rPr>
        <w:t>.</w:t>
      </w:r>
      <w:r w:rsidRPr="00EA4251">
        <w:rPr>
          <w:rFonts w:ascii="Arial" w:hAnsi="Arial" w:cs="Arial"/>
          <w:color w:val="374151"/>
          <w:sz w:val="20"/>
          <w:szCs w:val="20"/>
          <w:shd w:val="clear" w:color="auto" w:fill="FFFFFF"/>
        </w:rPr>
        <w:t xml:space="preserve"> </w:t>
      </w:r>
      <w:r w:rsidRPr="00EA4251">
        <w:rPr>
          <w:rFonts w:ascii="Arial" w:hAnsi="Arial" w:cs="Arial"/>
          <w:color w:val="333333"/>
          <w:sz w:val="20"/>
          <w:szCs w:val="20"/>
          <w:shd w:val="clear" w:color="auto" w:fill="FCFCFC"/>
        </w:rPr>
        <w:t xml:space="preserve">We must assess the original data series </w:t>
      </w:r>
      <w:proofErr w:type="gramStart"/>
      <w:r w:rsidRPr="00EA4251">
        <w:rPr>
          <w:rFonts w:ascii="Arial" w:hAnsi="Arial" w:cs="Arial"/>
          <w:color w:val="333333"/>
          <w:sz w:val="20"/>
          <w:szCs w:val="20"/>
          <w:shd w:val="clear" w:color="auto" w:fill="FCFCFC"/>
        </w:rPr>
        <w:t>x</w:t>
      </w:r>
      <w:r w:rsidRPr="00EA4251">
        <w:rPr>
          <w:rFonts w:ascii="Arial" w:hAnsi="Arial" w:cs="Arial"/>
          <w:color w:val="333333"/>
          <w:sz w:val="20"/>
          <w:szCs w:val="20"/>
          <w:shd w:val="clear" w:color="auto" w:fill="FCFCFC"/>
          <w:vertAlign w:val="superscript"/>
        </w:rPr>
        <w:t>(</w:t>
      </w:r>
      <w:proofErr w:type="gramEnd"/>
      <w:r w:rsidRPr="00EA4251">
        <w:rPr>
          <w:rFonts w:ascii="Arial" w:hAnsi="Arial" w:cs="Arial"/>
          <w:color w:val="333333"/>
          <w:sz w:val="20"/>
          <w:szCs w:val="20"/>
          <w:shd w:val="clear" w:color="auto" w:fill="FCFCFC"/>
          <w:vertAlign w:val="superscript"/>
        </w:rPr>
        <w:t>0)</w:t>
      </w:r>
      <w:r w:rsidRPr="00EA4251">
        <w:rPr>
          <w:rFonts w:ascii="Arial" w:hAnsi="Arial" w:cs="Arial"/>
          <w:color w:val="333333"/>
          <w:sz w:val="20"/>
          <w:szCs w:val="20"/>
          <w:shd w:val="clear" w:color="auto" w:fill="FCFCFC"/>
        </w:rPr>
        <w:t xml:space="preserve"> using the class ratio to develop a grey forecasting model.</w:t>
      </w:r>
      <w:r w:rsidRPr="00EA4251">
        <w:rPr>
          <w:rFonts w:ascii="Arial" w:hAnsi="Arial" w:cs="Arial"/>
          <w:color w:val="374151"/>
          <w:sz w:val="20"/>
          <w:szCs w:val="20"/>
          <w:shd w:val="clear" w:color="auto" w:fill="FFFFFF"/>
        </w:rPr>
        <w:t xml:space="preserve"> </w:t>
      </w:r>
      <w:r w:rsidRPr="00EA4251">
        <w:rPr>
          <w:rFonts w:ascii="Arial" w:hAnsi="Arial" w:cs="Arial"/>
          <w:color w:val="333333"/>
          <w:sz w:val="20"/>
          <w:szCs w:val="20"/>
          <w:shd w:val="clear" w:color="auto" w:fill="FCFCFC"/>
        </w:rPr>
        <w:t xml:space="preserve">As defined by Deng (2002), the class ratio is given by the formula, </w:t>
      </w:r>
      <m:oMath>
        <m:sSup>
          <m:sSupPr>
            <m:ctrlPr>
              <w:rPr>
                <w:rFonts w:ascii="Cambria Math" w:hAnsi="Cambria Math" w:cs="Arial"/>
                <w:i/>
                <w:color w:val="333333"/>
                <w:sz w:val="20"/>
                <w:szCs w:val="20"/>
                <w:shd w:val="clear" w:color="auto" w:fill="FCFCFC"/>
              </w:rPr>
            </m:ctrlPr>
          </m:sSupPr>
          <m:e>
            <m:r>
              <w:rPr>
                <w:rFonts w:ascii="Cambria Math" w:hAnsi="Cambria Math" w:cs="Arial"/>
                <w:color w:val="333333"/>
                <w:sz w:val="20"/>
                <w:szCs w:val="20"/>
                <w:shd w:val="clear" w:color="auto" w:fill="FCFCFC"/>
              </w:rPr>
              <m:t>λ</m:t>
            </m:r>
          </m:e>
          <m:sup>
            <m:r>
              <w:rPr>
                <w:rFonts w:ascii="Cambria Math" w:hAnsi="Cambria Math" w:cs="Arial"/>
                <w:color w:val="333333"/>
                <w:sz w:val="20"/>
                <w:szCs w:val="20"/>
                <w:shd w:val="clear" w:color="auto" w:fill="FCFCFC"/>
              </w:rPr>
              <m:t>(0)</m:t>
            </m:r>
          </m:sup>
        </m:sSup>
        <m:d>
          <m:dPr>
            <m:ctrlPr>
              <w:rPr>
                <w:rFonts w:ascii="Cambria Math" w:hAnsi="Cambria Math" w:cs="Arial"/>
                <w:i/>
                <w:color w:val="333333"/>
                <w:sz w:val="20"/>
                <w:szCs w:val="20"/>
                <w:shd w:val="clear" w:color="auto" w:fill="FCFCFC"/>
              </w:rPr>
            </m:ctrlPr>
          </m:dPr>
          <m:e>
            <m:r>
              <w:rPr>
                <w:rFonts w:ascii="Cambria Math" w:hAnsi="Cambria Math" w:cs="Arial"/>
                <w:color w:val="333333"/>
                <w:sz w:val="20"/>
                <w:szCs w:val="20"/>
                <w:shd w:val="clear" w:color="auto" w:fill="FCFCFC"/>
              </w:rPr>
              <m:t>k</m:t>
            </m:r>
          </m:e>
        </m:d>
        <m:r>
          <w:rPr>
            <w:rFonts w:ascii="Cambria Math" w:hAnsi="Cambria Math" w:cs="Arial"/>
            <w:color w:val="333333"/>
            <w:sz w:val="20"/>
            <w:szCs w:val="20"/>
            <w:shd w:val="clear" w:color="auto" w:fill="FCFCFC"/>
          </w:rPr>
          <m:t>=</m:t>
        </m:r>
        <m:sSup>
          <m:sSupPr>
            <m:ctrlPr>
              <w:rPr>
                <w:rFonts w:ascii="Cambria Math" w:hAnsi="Cambria Math" w:cs="Arial"/>
                <w:i/>
                <w:color w:val="333333"/>
                <w:sz w:val="20"/>
                <w:szCs w:val="20"/>
                <w:shd w:val="clear" w:color="auto" w:fill="FCFCFC"/>
              </w:rPr>
            </m:ctrlPr>
          </m:sSupPr>
          <m:e>
            <m:r>
              <w:rPr>
                <w:rFonts w:ascii="Cambria Math" w:hAnsi="Cambria Math" w:cs="Arial"/>
                <w:color w:val="333333"/>
                <w:sz w:val="20"/>
                <w:szCs w:val="20"/>
                <w:shd w:val="clear" w:color="auto" w:fill="FCFCFC"/>
              </w:rPr>
              <m:t>x</m:t>
            </m:r>
          </m:e>
          <m:sup>
            <m:r>
              <w:rPr>
                <w:rFonts w:ascii="Cambria Math" w:hAnsi="Cambria Math" w:cs="Arial"/>
                <w:color w:val="333333"/>
                <w:sz w:val="20"/>
                <w:szCs w:val="20"/>
                <w:shd w:val="clear" w:color="auto" w:fill="FCFCFC"/>
              </w:rPr>
              <m:t>(0)</m:t>
            </m:r>
          </m:sup>
        </m:sSup>
        <m:d>
          <m:dPr>
            <m:ctrlPr>
              <w:rPr>
                <w:rFonts w:ascii="Cambria Math" w:hAnsi="Cambria Math" w:cs="Arial"/>
                <w:i/>
                <w:color w:val="333333"/>
                <w:sz w:val="20"/>
                <w:szCs w:val="20"/>
                <w:shd w:val="clear" w:color="auto" w:fill="FCFCFC"/>
              </w:rPr>
            </m:ctrlPr>
          </m:dPr>
          <m:e>
            <m:r>
              <w:rPr>
                <w:rFonts w:ascii="Cambria Math" w:hAnsi="Cambria Math" w:cs="Arial"/>
                <w:color w:val="333333"/>
                <w:sz w:val="20"/>
                <w:szCs w:val="20"/>
                <w:shd w:val="clear" w:color="auto" w:fill="FCFCFC"/>
              </w:rPr>
              <m:t>k-1</m:t>
            </m:r>
          </m:e>
        </m:d>
        <m:r>
          <w:rPr>
            <w:rFonts w:ascii="Cambria Math" w:hAnsi="Cambria Math" w:cs="Arial"/>
            <w:color w:val="333333"/>
            <w:sz w:val="20"/>
            <w:szCs w:val="20"/>
            <w:shd w:val="clear" w:color="auto" w:fill="FCFCFC"/>
          </w:rPr>
          <m:t>/</m:t>
        </m:r>
        <m:sSup>
          <m:sSupPr>
            <m:ctrlPr>
              <w:rPr>
                <w:rFonts w:ascii="Cambria Math" w:hAnsi="Cambria Math" w:cs="Arial"/>
                <w:i/>
                <w:color w:val="333333"/>
                <w:sz w:val="20"/>
                <w:szCs w:val="20"/>
                <w:shd w:val="clear" w:color="auto" w:fill="FCFCFC"/>
              </w:rPr>
            </m:ctrlPr>
          </m:sSupPr>
          <m:e>
            <m:r>
              <w:rPr>
                <w:rFonts w:ascii="Cambria Math" w:hAnsi="Cambria Math" w:cs="Arial"/>
                <w:color w:val="333333"/>
                <w:sz w:val="20"/>
                <w:szCs w:val="20"/>
                <w:shd w:val="clear" w:color="auto" w:fill="FCFCFC"/>
              </w:rPr>
              <m:t>x</m:t>
            </m:r>
          </m:e>
          <m:sup>
            <m:r>
              <w:rPr>
                <w:rFonts w:ascii="Cambria Math" w:hAnsi="Cambria Math" w:cs="Arial"/>
                <w:color w:val="333333"/>
                <w:sz w:val="20"/>
                <w:szCs w:val="20"/>
                <w:shd w:val="clear" w:color="auto" w:fill="FCFCFC"/>
              </w:rPr>
              <m:t>(0)</m:t>
            </m:r>
          </m:sup>
        </m:sSup>
        <m:d>
          <m:dPr>
            <m:ctrlPr>
              <w:rPr>
                <w:rFonts w:ascii="Cambria Math" w:hAnsi="Cambria Math" w:cs="Arial"/>
                <w:i/>
                <w:color w:val="333333"/>
                <w:sz w:val="20"/>
                <w:szCs w:val="20"/>
                <w:shd w:val="clear" w:color="auto" w:fill="FCFCFC"/>
              </w:rPr>
            </m:ctrlPr>
          </m:dPr>
          <m:e>
            <m:r>
              <w:rPr>
                <w:rFonts w:ascii="Cambria Math" w:hAnsi="Cambria Math" w:cs="Arial"/>
                <w:color w:val="333333"/>
                <w:sz w:val="20"/>
                <w:szCs w:val="20"/>
                <w:shd w:val="clear" w:color="auto" w:fill="FCFCFC"/>
              </w:rPr>
              <m:t>k</m:t>
            </m:r>
          </m:e>
        </m:d>
      </m:oMath>
      <w:r w:rsidRPr="00EA4251">
        <w:rPr>
          <w:rFonts w:ascii="Arial" w:hAnsi="Arial" w:cs="Arial"/>
          <w:color w:val="333333"/>
          <w:sz w:val="20"/>
          <w:szCs w:val="20"/>
          <w:shd w:val="clear" w:color="auto" w:fill="FCFCFC"/>
        </w:rPr>
        <w:t>, where k = 1, 2, 3, ..., n. For the effective construction of a GM (1,1) model, it is crucial to ensure that the class ratio</w:t>
      </w:r>
      <m:oMath>
        <m:r>
          <w:rPr>
            <w:rFonts w:ascii="Cambria Math" w:hAnsi="Cambria Math" w:cs="Arial"/>
            <w:color w:val="333333"/>
            <w:sz w:val="20"/>
            <w:szCs w:val="20"/>
            <w:shd w:val="clear" w:color="auto" w:fill="FCFCFC"/>
          </w:rPr>
          <m:t xml:space="preserve"> </m:t>
        </m:r>
        <m:sSup>
          <m:sSupPr>
            <m:ctrlPr>
              <w:rPr>
                <w:rFonts w:ascii="Cambria Math" w:hAnsi="Cambria Math" w:cs="Arial"/>
                <w:i/>
                <w:color w:val="333333"/>
                <w:sz w:val="20"/>
                <w:szCs w:val="20"/>
                <w:shd w:val="clear" w:color="auto" w:fill="FCFCFC"/>
              </w:rPr>
            </m:ctrlPr>
          </m:sSupPr>
          <m:e>
            <m:r>
              <w:rPr>
                <w:rFonts w:ascii="Cambria Math" w:hAnsi="Cambria Math" w:cs="Arial"/>
                <w:color w:val="333333"/>
                <w:sz w:val="20"/>
                <w:szCs w:val="20"/>
                <w:shd w:val="clear" w:color="auto" w:fill="FCFCFC"/>
              </w:rPr>
              <m:t>λ</m:t>
            </m:r>
          </m:e>
          <m:sup>
            <m:r>
              <w:rPr>
                <w:rFonts w:ascii="Cambria Math" w:hAnsi="Cambria Math" w:cs="Arial"/>
                <w:color w:val="333333"/>
                <w:sz w:val="20"/>
                <w:szCs w:val="20"/>
                <w:shd w:val="clear" w:color="auto" w:fill="FCFCFC"/>
              </w:rPr>
              <m:t>(0)</m:t>
            </m:r>
          </m:sup>
        </m:sSup>
        <m:d>
          <m:dPr>
            <m:ctrlPr>
              <w:rPr>
                <w:rFonts w:ascii="Cambria Math" w:hAnsi="Cambria Math" w:cs="Arial"/>
                <w:i/>
                <w:color w:val="333333"/>
                <w:sz w:val="20"/>
                <w:szCs w:val="20"/>
                <w:shd w:val="clear" w:color="auto" w:fill="FCFCFC"/>
              </w:rPr>
            </m:ctrlPr>
          </m:dPr>
          <m:e>
            <m:r>
              <w:rPr>
                <w:rFonts w:ascii="Cambria Math" w:hAnsi="Cambria Math" w:cs="Arial"/>
                <w:color w:val="333333"/>
                <w:sz w:val="20"/>
                <w:szCs w:val="20"/>
                <w:shd w:val="clear" w:color="auto" w:fill="FCFCFC"/>
              </w:rPr>
              <m:t>k</m:t>
            </m:r>
          </m:e>
        </m:d>
      </m:oMath>
      <w:r w:rsidRPr="00EA4251">
        <w:rPr>
          <w:rFonts w:ascii="Arial" w:hAnsi="Arial" w:cs="Arial"/>
          <w:color w:val="333333"/>
          <w:sz w:val="20"/>
          <w:szCs w:val="20"/>
          <w:shd w:val="clear" w:color="auto" w:fill="FCFCFC"/>
        </w:rPr>
        <w:t xml:space="preserve"> falls within the range of (0.135, 7.389).</w:t>
      </w:r>
      <w:r w:rsidRPr="00EA4251">
        <w:rPr>
          <w:rFonts w:ascii="Arial" w:hAnsi="Arial" w:cs="Arial"/>
          <w:sz w:val="20"/>
          <w:szCs w:val="20"/>
        </w:rPr>
        <w:t xml:space="preserve"> </w:t>
      </w:r>
      <w:r w:rsidRPr="00EA4251">
        <w:rPr>
          <w:rFonts w:ascii="Arial" w:hAnsi="Arial" w:cs="Arial"/>
          <w:color w:val="333333"/>
          <w:sz w:val="20"/>
          <w:szCs w:val="20"/>
          <w:shd w:val="clear" w:color="auto" w:fill="FCFCFC"/>
        </w:rPr>
        <w:t xml:space="preserve">(Chen and Chen, 2011; Deng, 2002; Hung </w:t>
      </w:r>
      <w:r w:rsidRPr="00EA4251">
        <w:rPr>
          <w:rFonts w:ascii="Arial" w:hAnsi="Arial" w:cs="Arial"/>
          <w:i/>
          <w:iCs/>
          <w:color w:val="333333"/>
          <w:sz w:val="20"/>
          <w:szCs w:val="20"/>
          <w:shd w:val="clear" w:color="auto" w:fill="FCFCFC"/>
        </w:rPr>
        <w:t>et al</w:t>
      </w:r>
      <w:r w:rsidRPr="00EA4251">
        <w:rPr>
          <w:rFonts w:ascii="Arial" w:hAnsi="Arial" w:cs="Arial"/>
          <w:color w:val="333333"/>
          <w:sz w:val="20"/>
          <w:szCs w:val="20"/>
          <w:shd w:val="clear" w:color="auto" w:fill="FCFCFC"/>
        </w:rPr>
        <w:t xml:space="preserve">., 2009; Wang </w:t>
      </w:r>
      <w:r w:rsidRPr="00EA4251">
        <w:rPr>
          <w:rFonts w:ascii="Arial" w:hAnsi="Arial" w:cs="Arial"/>
          <w:i/>
          <w:iCs/>
          <w:color w:val="333333"/>
          <w:sz w:val="20"/>
          <w:szCs w:val="20"/>
          <w:shd w:val="clear" w:color="auto" w:fill="FCFCFC"/>
        </w:rPr>
        <w:t>et al</w:t>
      </w:r>
      <w:r w:rsidRPr="00EA4251">
        <w:rPr>
          <w:rFonts w:ascii="Arial" w:hAnsi="Arial" w:cs="Arial"/>
          <w:color w:val="333333"/>
          <w:sz w:val="20"/>
          <w:szCs w:val="20"/>
          <w:shd w:val="clear" w:color="auto" w:fill="FCFCFC"/>
        </w:rPr>
        <w:t>., 2010).</w:t>
      </w:r>
    </w:p>
    <w:p w14:paraId="64004FB6"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The annual paddy prices for all three zones in Telangana from 2014 to 2024 are utilised to construct a GM (1,1) model. This model will be employed to forecast the annual modal paddy prices for the years 2025,2026, and 2027.</w:t>
      </w:r>
    </w:p>
    <w:p w14:paraId="7AFEEDA1"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color w:val="333333"/>
          <w:sz w:val="20"/>
          <w:szCs w:val="20"/>
          <w:shd w:val="clear" w:color="auto" w:fill="FCFCFC"/>
        </w:rPr>
        <w:t>The general steps for constructing a grey forecasting model are outlined as follows:</w:t>
      </w:r>
    </w:p>
    <w:p w14:paraId="20EF24A3" w14:textId="77777777" w:rsidR="004708FA" w:rsidRPr="00EA4251" w:rsidRDefault="004708FA" w:rsidP="007B18EC">
      <w:pPr>
        <w:spacing w:line="360" w:lineRule="auto"/>
        <w:jc w:val="both"/>
        <w:rPr>
          <w:rFonts w:ascii="Arial" w:hAnsi="Arial" w:cs="Arial"/>
          <w:b/>
          <w:bCs/>
          <w:color w:val="333333"/>
          <w:sz w:val="20"/>
          <w:szCs w:val="20"/>
          <w:shd w:val="clear" w:color="auto" w:fill="FCFCFC"/>
        </w:rPr>
      </w:pPr>
      <w:r w:rsidRPr="00EA4251">
        <w:rPr>
          <w:rFonts w:ascii="Arial" w:hAnsi="Arial" w:cs="Arial"/>
          <w:b/>
          <w:bCs/>
          <w:color w:val="333333"/>
          <w:sz w:val="20"/>
          <w:szCs w:val="20"/>
          <w:shd w:val="clear" w:color="auto" w:fill="FCFCFC"/>
        </w:rPr>
        <w:t>Step 1: Prepare the Original Data Series</w:t>
      </w:r>
    </w:p>
    <w:p w14:paraId="115D5177" w14:textId="77777777" w:rsidR="004708FA" w:rsidRPr="00EA4251" w:rsidRDefault="004708FA" w:rsidP="007B18EC">
      <w:pPr>
        <w:spacing w:line="360" w:lineRule="auto"/>
        <w:jc w:val="both"/>
        <w:rPr>
          <w:rFonts w:ascii="Arial" w:hAnsi="Arial" w:cs="Arial"/>
          <w:color w:val="333333"/>
          <w:sz w:val="20"/>
          <w:szCs w:val="20"/>
          <w:shd w:val="clear" w:color="auto" w:fill="FCFCFC"/>
        </w:rPr>
      </w:pPr>
      <w:r w:rsidRPr="00EA4251">
        <w:rPr>
          <w:rFonts w:ascii="Arial" w:hAnsi="Arial" w:cs="Arial"/>
          <w:b/>
          <w:bCs/>
          <w:color w:val="333333"/>
          <w:sz w:val="20"/>
          <w:szCs w:val="20"/>
          <w:shd w:val="clear" w:color="auto" w:fill="FCFCFC"/>
        </w:rPr>
        <w:t xml:space="preserve"> </w:t>
      </w:r>
      <w:r w:rsidRPr="00EA4251">
        <w:rPr>
          <w:rFonts w:ascii="Arial" w:hAnsi="Arial" w:cs="Arial"/>
          <w:color w:val="333333"/>
          <w:sz w:val="20"/>
          <w:szCs w:val="20"/>
          <w:shd w:val="clear" w:color="auto" w:fill="FCFCFC"/>
        </w:rPr>
        <w:t xml:space="preserve">The following equation expresses the original series of </w:t>
      </w:r>
      <w:proofErr w:type="gramStart"/>
      <w:r w:rsidRPr="00EA4251">
        <w:rPr>
          <w:rFonts w:ascii="Arial" w:hAnsi="Arial" w:cs="Arial"/>
          <w:color w:val="333333"/>
          <w:sz w:val="20"/>
          <w:szCs w:val="20"/>
          <w:shd w:val="clear" w:color="auto" w:fill="FCFCFC"/>
        </w:rPr>
        <w:t>x(</w:t>
      </w:r>
      <w:proofErr w:type="gramEnd"/>
      <w:r w:rsidRPr="00EA4251">
        <w:rPr>
          <w:rFonts w:ascii="Arial" w:hAnsi="Arial" w:cs="Arial"/>
          <w:color w:val="333333"/>
          <w:sz w:val="20"/>
          <w:szCs w:val="20"/>
          <w:shd w:val="clear" w:color="auto" w:fill="FCFCFC"/>
        </w:rPr>
        <w:t>0):</w:t>
      </w:r>
    </w:p>
    <w:p w14:paraId="440B0A50" w14:textId="77777777" w:rsidR="004708FA" w:rsidRDefault="004708FA" w:rsidP="007B18EC">
      <w:pPr>
        <w:spacing w:line="360" w:lineRule="auto"/>
        <w:jc w:val="both"/>
        <w:rPr>
          <w:rFonts w:ascii="Times New Roman" w:eastAsiaTheme="minorEastAsia"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ab/>
      </w:r>
      <m:oMath>
        <m:sSup>
          <m:sSupPr>
            <m:ctrlPr>
              <w:rPr>
                <w:rFonts w:ascii="Cambria Math" w:hAnsi="Cambria Math" w:cs="Times New Roman"/>
                <w:i/>
                <w:color w:val="333333"/>
                <w:sz w:val="24"/>
                <w:szCs w:val="24"/>
                <w:shd w:val="clear" w:color="auto" w:fill="FCFCFC"/>
              </w:rPr>
            </m:ctrlPr>
          </m:sSupPr>
          <m:e>
            <m:r>
              <w:rPr>
                <w:rFonts w:ascii="Cambria Math" w:hAnsi="Cambria Math" w:cs="Times New Roman"/>
                <w:color w:val="333333"/>
                <w:sz w:val="24"/>
                <w:szCs w:val="24"/>
                <w:shd w:val="clear" w:color="auto" w:fill="FCFCFC"/>
              </w:rPr>
              <m:t>x</m:t>
            </m:r>
          </m:e>
          <m: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0</m:t>
                </m:r>
              </m:e>
            </m:d>
          </m:sup>
        </m:sSup>
        <m:r>
          <w:rPr>
            <w:rFonts w:ascii="Cambria Math" w:hAnsi="Cambria Math" w:cs="Times New Roman"/>
            <w:color w:val="333333"/>
            <w:sz w:val="24"/>
            <w:szCs w:val="24"/>
            <w:shd w:val="clear" w:color="auto" w:fill="FCFCFC"/>
          </w:rPr>
          <m:t>=</m:t>
        </m:r>
        <m:d>
          <m:dPr>
            <m:ctrlPr>
              <w:rPr>
                <w:rFonts w:ascii="Cambria Math" w:hAnsi="Cambria Math" w:cs="Times New Roman"/>
                <w:i/>
                <w:color w:val="333333"/>
                <w:sz w:val="24"/>
                <w:szCs w:val="24"/>
                <w:shd w:val="clear" w:color="auto" w:fill="FCFCFC"/>
              </w:rPr>
            </m:ctrlPr>
          </m:dPr>
          <m:e>
            <m:sSup>
              <m:sSupPr>
                <m:ctrlPr>
                  <w:rPr>
                    <w:rFonts w:ascii="Cambria Math" w:hAnsi="Cambria Math" w:cs="Times New Roman"/>
                    <w:i/>
                    <w:color w:val="333333"/>
                    <w:sz w:val="24"/>
                    <w:szCs w:val="24"/>
                    <w:shd w:val="clear" w:color="auto" w:fill="FCFCFC"/>
                  </w:rPr>
                </m:ctrlPr>
              </m:sSupPr>
              <m:e>
                <m:r>
                  <w:rPr>
                    <w:rFonts w:ascii="Cambria Math" w:hAnsi="Cambria Math" w:cs="Times New Roman"/>
                    <w:color w:val="333333"/>
                    <w:sz w:val="24"/>
                    <w:szCs w:val="24"/>
                    <w:shd w:val="clear" w:color="auto" w:fill="FCFCFC"/>
                  </w:rPr>
                  <m:t>x</m:t>
                </m:r>
              </m:e>
              <m: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0</m:t>
                    </m:r>
                  </m:e>
                </m:d>
              </m:sup>
            </m:s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1</m:t>
                </m:r>
              </m:e>
            </m:d>
            <m:r>
              <w:rPr>
                <w:rFonts w:ascii="Cambria Math" w:hAnsi="Cambria Math" w:cs="Times New Roman"/>
                <w:color w:val="333333"/>
                <w:sz w:val="24"/>
                <w:szCs w:val="24"/>
                <w:shd w:val="clear" w:color="auto" w:fill="FCFCFC"/>
              </w:rPr>
              <m:t>,</m:t>
            </m:r>
            <m:sSup>
              <m:sSupPr>
                <m:ctrlPr>
                  <w:rPr>
                    <w:rFonts w:ascii="Cambria Math" w:hAnsi="Cambria Math" w:cs="Times New Roman"/>
                    <w:i/>
                    <w:color w:val="333333"/>
                    <w:sz w:val="24"/>
                    <w:szCs w:val="24"/>
                    <w:shd w:val="clear" w:color="auto" w:fill="FCFCFC"/>
                  </w:rPr>
                </m:ctrlPr>
              </m:sSupPr>
              <m:e>
                <m:r>
                  <w:rPr>
                    <w:rFonts w:ascii="Cambria Math" w:hAnsi="Cambria Math" w:cs="Times New Roman"/>
                    <w:color w:val="333333"/>
                    <w:sz w:val="24"/>
                    <w:szCs w:val="24"/>
                    <w:shd w:val="clear" w:color="auto" w:fill="FCFCFC"/>
                  </w:rPr>
                  <m:t>x</m:t>
                </m:r>
              </m:e>
              <m: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0</m:t>
                    </m:r>
                  </m:e>
                </m:d>
              </m:sup>
            </m:s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2</m:t>
                </m:r>
              </m:e>
            </m:d>
            <m:r>
              <w:rPr>
                <w:rFonts w:ascii="Cambria Math" w:hAnsi="Cambria Math" w:cs="Times New Roman"/>
                <w:color w:val="333333"/>
                <w:sz w:val="24"/>
                <w:szCs w:val="24"/>
                <w:shd w:val="clear" w:color="auto" w:fill="FCFCFC"/>
              </w:rPr>
              <m:t>,</m:t>
            </m:r>
            <m:sSup>
              <m:sSupPr>
                <m:ctrlPr>
                  <w:rPr>
                    <w:rFonts w:ascii="Cambria Math" w:hAnsi="Cambria Math" w:cs="Times New Roman"/>
                    <w:i/>
                    <w:color w:val="333333"/>
                    <w:sz w:val="24"/>
                    <w:szCs w:val="24"/>
                    <w:shd w:val="clear" w:color="auto" w:fill="FCFCFC"/>
                  </w:rPr>
                </m:ctrlPr>
              </m:sSupPr>
              <m:e>
                <m:r>
                  <w:rPr>
                    <w:rFonts w:ascii="Cambria Math" w:hAnsi="Cambria Math" w:cs="Times New Roman"/>
                    <w:color w:val="333333"/>
                    <w:sz w:val="24"/>
                    <w:szCs w:val="24"/>
                    <w:shd w:val="clear" w:color="auto" w:fill="FCFCFC"/>
                  </w:rPr>
                  <m:t>x</m:t>
                </m:r>
              </m:e>
              <m: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0</m:t>
                    </m:r>
                  </m:e>
                </m:d>
              </m:sup>
            </m:s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3</m:t>
                </m:r>
              </m:e>
            </m:d>
            <m:r>
              <w:rPr>
                <w:rFonts w:ascii="Cambria Math" w:hAnsi="Cambria Math" w:cs="Times New Roman"/>
                <w:color w:val="333333"/>
                <w:sz w:val="24"/>
                <w:szCs w:val="24"/>
                <w:shd w:val="clear" w:color="auto" w:fill="FCFCFC"/>
              </w:rPr>
              <m:t>,</m:t>
            </m:r>
            <m:sSup>
              <m:sSupPr>
                <m:ctrlPr>
                  <w:rPr>
                    <w:rFonts w:ascii="Cambria Math" w:hAnsi="Cambria Math" w:cs="Times New Roman"/>
                    <w:i/>
                    <w:color w:val="333333"/>
                    <w:sz w:val="24"/>
                    <w:szCs w:val="24"/>
                    <w:shd w:val="clear" w:color="auto" w:fill="FCFCFC"/>
                  </w:rPr>
                </m:ctrlPr>
              </m:sSupPr>
              <m:e>
                <m:r>
                  <w:rPr>
                    <w:rFonts w:ascii="Cambria Math" w:hAnsi="Cambria Math" w:cs="Times New Roman"/>
                    <w:color w:val="333333"/>
                    <w:sz w:val="24"/>
                    <w:szCs w:val="24"/>
                    <w:shd w:val="clear" w:color="auto" w:fill="FCFCFC"/>
                  </w:rPr>
                  <m:t>x</m:t>
                </m:r>
              </m:e>
              <m: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0</m:t>
                    </m:r>
                  </m:e>
                </m:d>
              </m:sup>
            </m:s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4</m:t>
                </m:r>
              </m:e>
            </m:d>
            <m:r>
              <w:rPr>
                <w:rFonts w:ascii="Cambria Math" w:hAnsi="Cambria Math" w:cs="Times New Roman"/>
                <w:color w:val="333333"/>
                <w:sz w:val="24"/>
                <w:szCs w:val="24"/>
                <w:shd w:val="clear" w:color="auto" w:fill="FCFCFC"/>
              </w:rPr>
              <m:t>,. . . . ,</m:t>
            </m:r>
            <m:sSup>
              <m:sSupPr>
                <m:ctrlPr>
                  <w:rPr>
                    <w:rFonts w:ascii="Cambria Math" w:hAnsi="Cambria Math" w:cs="Times New Roman"/>
                    <w:i/>
                    <w:color w:val="333333"/>
                    <w:sz w:val="24"/>
                    <w:szCs w:val="24"/>
                    <w:shd w:val="clear" w:color="auto" w:fill="FCFCFC"/>
                  </w:rPr>
                </m:ctrlPr>
              </m:sSupPr>
              <m:e>
                <m:r>
                  <w:rPr>
                    <w:rFonts w:ascii="Cambria Math" w:hAnsi="Cambria Math" w:cs="Times New Roman"/>
                    <w:color w:val="333333"/>
                    <w:sz w:val="24"/>
                    <w:szCs w:val="24"/>
                    <w:shd w:val="clear" w:color="auto" w:fill="FCFCFC"/>
                  </w:rPr>
                  <m:t>x</m:t>
                </m:r>
              </m:e>
              <m: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0</m:t>
                    </m:r>
                  </m:e>
                </m:d>
              </m:sup>
            </m:sSup>
            <m:d>
              <m:dPr>
                <m:ctrlPr>
                  <w:rPr>
                    <w:rFonts w:ascii="Cambria Math" w:hAnsi="Cambria Math" w:cs="Times New Roman"/>
                    <w:i/>
                    <w:color w:val="333333"/>
                    <w:sz w:val="24"/>
                    <w:szCs w:val="24"/>
                    <w:shd w:val="clear" w:color="auto" w:fill="FCFCFC"/>
                  </w:rPr>
                </m:ctrlPr>
              </m:dPr>
              <m:e>
                <m:r>
                  <w:rPr>
                    <w:rFonts w:ascii="Cambria Math" w:hAnsi="Cambria Math" w:cs="Times New Roman"/>
                    <w:color w:val="333333"/>
                    <w:sz w:val="24"/>
                    <w:szCs w:val="24"/>
                    <w:shd w:val="clear" w:color="auto" w:fill="FCFCFC"/>
                  </w:rPr>
                  <m:t>n</m:t>
                </m:r>
              </m:e>
            </m:d>
          </m:e>
        </m:d>
        <m:r>
          <w:rPr>
            <w:rFonts w:ascii="Cambria Math" w:eastAsiaTheme="minorEastAsia" w:hAnsi="Cambria Math" w:cs="Times New Roman"/>
            <w:color w:val="333333"/>
            <w:sz w:val="24"/>
            <w:szCs w:val="24"/>
            <w:shd w:val="clear" w:color="auto" w:fill="FCFCFC"/>
          </w:rPr>
          <m:t>=</m:t>
        </m:r>
        <m:sSup>
          <m:sSupPr>
            <m:ctrlPr>
              <w:rPr>
                <w:rFonts w:ascii="Cambria Math" w:eastAsiaTheme="minorEastAsia" w:hAnsi="Cambria Math" w:cs="Times New Roman"/>
                <w:i/>
                <w:color w:val="333333"/>
                <w:sz w:val="24"/>
                <w:szCs w:val="24"/>
                <w:shd w:val="clear" w:color="auto" w:fill="FCFCFC"/>
              </w:rPr>
            </m:ctrlPr>
          </m:sSupPr>
          <m:e>
            <m:r>
              <w:rPr>
                <w:rFonts w:ascii="Cambria Math" w:eastAsiaTheme="minorEastAsia" w:hAnsi="Cambria Math" w:cs="Times New Roman"/>
                <w:color w:val="333333"/>
                <w:sz w:val="24"/>
                <w:szCs w:val="24"/>
                <w:shd w:val="clear" w:color="auto" w:fill="FCFCFC"/>
              </w:rPr>
              <m:t>x</m:t>
            </m:r>
          </m:e>
          <m:sup>
            <m:d>
              <m:dPr>
                <m:ctrlPr>
                  <w:rPr>
                    <w:rFonts w:ascii="Cambria Math" w:eastAsiaTheme="minorEastAsia" w:hAnsi="Cambria Math" w:cs="Times New Roman"/>
                    <w:i/>
                    <w:color w:val="333333"/>
                    <w:sz w:val="24"/>
                    <w:szCs w:val="24"/>
                    <w:shd w:val="clear" w:color="auto" w:fill="FCFCFC"/>
                  </w:rPr>
                </m:ctrlPr>
              </m:dPr>
              <m:e>
                <m:r>
                  <w:rPr>
                    <w:rFonts w:ascii="Cambria Math" w:eastAsiaTheme="minorEastAsia" w:hAnsi="Cambria Math" w:cs="Times New Roman"/>
                    <w:color w:val="333333"/>
                    <w:sz w:val="24"/>
                    <w:szCs w:val="24"/>
                    <w:shd w:val="clear" w:color="auto" w:fill="FCFCFC"/>
                  </w:rPr>
                  <m:t>0</m:t>
                </m:r>
              </m:e>
            </m:d>
          </m:sup>
        </m:sSup>
        <m:d>
          <m:dPr>
            <m:ctrlPr>
              <w:rPr>
                <w:rFonts w:ascii="Cambria Math" w:eastAsiaTheme="minorEastAsia" w:hAnsi="Cambria Math" w:cs="Times New Roman"/>
                <w:i/>
                <w:color w:val="333333"/>
                <w:sz w:val="24"/>
                <w:szCs w:val="24"/>
                <w:shd w:val="clear" w:color="auto" w:fill="FCFCFC"/>
              </w:rPr>
            </m:ctrlPr>
          </m:dPr>
          <m:e>
            <m:r>
              <w:rPr>
                <w:rFonts w:ascii="Cambria Math" w:eastAsiaTheme="minorEastAsia" w:hAnsi="Cambria Math" w:cs="Times New Roman"/>
                <w:color w:val="333333"/>
                <w:sz w:val="24"/>
                <w:szCs w:val="24"/>
                <w:shd w:val="clear" w:color="auto" w:fill="FCFCFC"/>
              </w:rPr>
              <m:t>k</m:t>
            </m:r>
          </m:e>
        </m:d>
      </m:oMath>
      <w:r>
        <w:rPr>
          <w:rFonts w:ascii="Times New Roman" w:eastAsiaTheme="minorEastAsia" w:hAnsi="Times New Roman" w:cs="Times New Roman"/>
          <w:color w:val="333333"/>
          <w:sz w:val="24"/>
          <w:szCs w:val="24"/>
          <w:shd w:val="clear" w:color="auto" w:fill="FCFCFC"/>
        </w:rPr>
        <w:t xml:space="preserve">, </w:t>
      </w:r>
      <w:r>
        <w:rPr>
          <w:rFonts w:ascii="Times New Roman" w:eastAsiaTheme="minorEastAsia" w:hAnsi="Times New Roman" w:cs="Times New Roman"/>
          <w:color w:val="333333"/>
          <w:sz w:val="24"/>
          <w:szCs w:val="24"/>
          <w:shd w:val="clear" w:color="auto" w:fill="FCFCFC"/>
        </w:rPr>
        <w:tab/>
        <w:t>(1)</w:t>
      </w:r>
    </w:p>
    <w:p w14:paraId="76976EDC"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where k = 1,</w:t>
      </w:r>
      <w:proofErr w:type="gramStart"/>
      <w:r w:rsidRPr="00EA4251">
        <w:rPr>
          <w:rFonts w:ascii="Arial" w:eastAsiaTheme="minorEastAsia" w:hAnsi="Arial" w:cs="Arial"/>
          <w:color w:val="333333"/>
          <w:sz w:val="20"/>
          <w:szCs w:val="20"/>
          <w:shd w:val="clear" w:color="auto" w:fill="FCFCFC"/>
        </w:rPr>
        <w:t>2,3,….,n</w:t>
      </w:r>
      <w:proofErr w:type="gramEnd"/>
      <w:r w:rsidRPr="00EA4251">
        <w:rPr>
          <w:rFonts w:ascii="Arial" w:eastAsiaTheme="minorEastAsia" w:hAnsi="Arial" w:cs="Arial"/>
          <w:color w:val="333333"/>
          <w:sz w:val="20"/>
          <w:szCs w:val="20"/>
          <w:shd w:val="clear" w:color="auto" w:fill="FCFCFC"/>
        </w:rPr>
        <w:t xml:space="preserve"> and n</w:t>
      </w:r>
      <m:oMath>
        <m:r>
          <w:rPr>
            <w:rFonts w:ascii="Cambria Math" w:eastAsiaTheme="minorEastAsia" w:hAnsi="Cambria Math" w:cs="Arial"/>
            <w:color w:val="333333"/>
            <w:sz w:val="20"/>
            <w:szCs w:val="20"/>
            <w:shd w:val="clear" w:color="auto" w:fill="FCFCFC"/>
          </w:rPr>
          <m:t>≥2</m:t>
        </m:r>
      </m:oMath>
      <w:r w:rsidRPr="00EA4251">
        <w:rPr>
          <w:rFonts w:ascii="Arial" w:eastAsiaTheme="minorEastAsia" w:hAnsi="Arial" w:cs="Arial"/>
          <w:color w:val="333333"/>
          <w:sz w:val="20"/>
          <w:szCs w:val="20"/>
          <w:shd w:val="clear" w:color="auto" w:fill="FCFCFC"/>
        </w:rPr>
        <w:t>.</w:t>
      </w:r>
    </w:p>
    <w:p w14:paraId="2A84D8EC" w14:textId="77777777" w:rsidR="004708FA" w:rsidRPr="00EA4251" w:rsidRDefault="004708FA" w:rsidP="007B18EC">
      <w:pPr>
        <w:spacing w:line="360" w:lineRule="auto"/>
        <w:jc w:val="both"/>
        <w:rPr>
          <w:rFonts w:ascii="Arial" w:eastAsiaTheme="minorEastAsia" w:hAnsi="Arial" w:cs="Arial"/>
          <w:b/>
          <w:bCs/>
          <w:color w:val="333333"/>
          <w:sz w:val="20"/>
          <w:szCs w:val="20"/>
          <w:shd w:val="clear" w:color="auto" w:fill="FCFCFC"/>
        </w:rPr>
      </w:pPr>
      <w:r w:rsidRPr="00EA4251">
        <w:rPr>
          <w:rFonts w:ascii="Arial" w:eastAsiaTheme="minorEastAsia" w:hAnsi="Arial" w:cs="Arial"/>
          <w:b/>
          <w:bCs/>
          <w:color w:val="333333"/>
          <w:sz w:val="20"/>
          <w:szCs w:val="20"/>
          <w:shd w:val="clear" w:color="auto" w:fill="FCFCFC"/>
        </w:rPr>
        <w:t>Step 2: Check the Class Ratio</w:t>
      </w:r>
    </w:p>
    <w:p w14:paraId="458297E5"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The class ratio,</w:t>
      </w:r>
      <m:oMath>
        <m:r>
          <w:rPr>
            <w:rFonts w:ascii="Cambria Math" w:eastAsiaTheme="minorEastAsia" w:hAnsi="Cambria Math" w:cs="Arial"/>
            <w:color w:val="333333"/>
            <w:sz w:val="20"/>
            <w:szCs w:val="20"/>
            <w:shd w:val="clear" w:color="auto" w:fill="FCFCFC"/>
          </w:rPr>
          <m:t xml:space="preserve">    </m:t>
        </m:r>
        <m:sSup>
          <m:sSupPr>
            <m:ctrlPr>
              <w:rPr>
                <w:rFonts w:ascii="Cambria Math" w:hAnsi="Cambria Math" w:cs="Arial"/>
                <w:i/>
                <w:color w:val="333333"/>
                <w:sz w:val="20"/>
                <w:szCs w:val="20"/>
                <w:shd w:val="clear" w:color="auto" w:fill="FCFCFC"/>
              </w:rPr>
            </m:ctrlPr>
          </m:sSupPr>
          <m:e>
            <m:r>
              <w:rPr>
                <w:rFonts w:ascii="Cambria Math" w:hAnsi="Cambria Math" w:cs="Arial"/>
                <w:color w:val="333333"/>
                <w:sz w:val="20"/>
                <w:szCs w:val="20"/>
                <w:shd w:val="clear" w:color="auto" w:fill="FCFCFC"/>
              </w:rPr>
              <m:t>λ</m:t>
            </m:r>
          </m:e>
          <m:sup>
            <m:r>
              <w:rPr>
                <w:rFonts w:ascii="Cambria Math" w:hAnsi="Cambria Math" w:cs="Arial"/>
                <w:color w:val="333333"/>
                <w:sz w:val="20"/>
                <w:szCs w:val="20"/>
                <w:shd w:val="clear" w:color="auto" w:fill="FCFCFC"/>
              </w:rPr>
              <m:t>(0)</m:t>
            </m:r>
          </m:sup>
        </m:sSup>
        <m:d>
          <m:dPr>
            <m:ctrlPr>
              <w:rPr>
                <w:rFonts w:ascii="Cambria Math" w:hAnsi="Cambria Math" w:cs="Arial"/>
                <w:i/>
                <w:color w:val="333333"/>
                <w:sz w:val="20"/>
                <w:szCs w:val="20"/>
                <w:shd w:val="clear" w:color="auto" w:fill="FCFCFC"/>
              </w:rPr>
            </m:ctrlPr>
          </m:dPr>
          <m:e>
            <m:r>
              <w:rPr>
                <w:rFonts w:ascii="Cambria Math"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m:t>
        </m:r>
        <m:f>
          <m:fPr>
            <m:ctrlPr>
              <w:rPr>
                <w:rFonts w:ascii="Cambria Math" w:eastAsiaTheme="minorEastAsia" w:hAnsi="Cambria Math" w:cs="Arial"/>
                <w:i/>
                <w:color w:val="333333"/>
                <w:sz w:val="20"/>
                <w:szCs w:val="20"/>
                <w:shd w:val="clear" w:color="auto" w:fill="FCFCFC"/>
              </w:rPr>
            </m:ctrlPr>
          </m:fPr>
          <m:num>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k-1</m:t>
                </m:r>
              </m:e>
            </m:d>
          </m:num>
          <m:den>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r>
              <w:rPr>
                <w:rFonts w:ascii="Cambria Math" w:eastAsiaTheme="minorEastAsia" w:hAnsi="Cambria Math" w:cs="Arial"/>
                <w:color w:val="333333"/>
                <w:sz w:val="20"/>
                <w:szCs w:val="20"/>
                <w:shd w:val="clear" w:color="auto" w:fill="FCFCFC"/>
              </w:rPr>
              <m:t>(k)</m:t>
            </m:r>
          </m:den>
        </m:f>
      </m:oMath>
      <w:r w:rsidRPr="00EA4251">
        <w:rPr>
          <w:rFonts w:ascii="Arial" w:eastAsiaTheme="minorEastAsia" w:hAnsi="Arial" w:cs="Arial"/>
          <w:color w:val="333333"/>
          <w:sz w:val="20"/>
          <w:szCs w:val="20"/>
          <w:shd w:val="clear" w:color="auto" w:fill="FCFCFC"/>
        </w:rPr>
        <w:t xml:space="preserve"> ,     k=2,3,</w:t>
      </w:r>
      <w:proofErr w:type="gramStart"/>
      <w:r w:rsidRPr="00EA4251">
        <w:rPr>
          <w:rFonts w:ascii="Arial" w:eastAsiaTheme="minorEastAsia" w:hAnsi="Arial" w:cs="Arial"/>
          <w:color w:val="333333"/>
          <w:sz w:val="20"/>
          <w:szCs w:val="20"/>
          <w:shd w:val="clear" w:color="auto" w:fill="FCFCFC"/>
        </w:rPr>
        <w:t>4,. . .</w:t>
      </w:r>
      <w:proofErr w:type="gramEnd"/>
      <w:r w:rsidRPr="00EA4251">
        <w:rPr>
          <w:rFonts w:ascii="Arial" w:eastAsiaTheme="minorEastAsia" w:hAnsi="Arial" w:cs="Arial"/>
          <w:color w:val="333333"/>
          <w:sz w:val="20"/>
          <w:szCs w:val="20"/>
          <w:shd w:val="clear" w:color="auto" w:fill="FCFCFC"/>
        </w:rPr>
        <w:t xml:space="preserve"> , n </w:t>
      </w:r>
    </w:p>
    <w:p w14:paraId="3E0A14F1"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lastRenderedPageBreak/>
        <w:t xml:space="preserve">Ensure that </w:t>
      </w:r>
      <m:oMath>
        <m:sSup>
          <m:sSupPr>
            <m:ctrlPr>
              <w:rPr>
                <w:rFonts w:ascii="Cambria Math" w:hAnsi="Cambria Math" w:cs="Arial"/>
                <w:i/>
                <w:color w:val="333333"/>
                <w:sz w:val="20"/>
                <w:szCs w:val="20"/>
                <w:shd w:val="clear" w:color="auto" w:fill="FCFCFC"/>
              </w:rPr>
            </m:ctrlPr>
          </m:sSupPr>
          <m:e>
            <m:r>
              <w:rPr>
                <w:rFonts w:ascii="Cambria Math" w:hAnsi="Cambria Math" w:cs="Arial"/>
                <w:color w:val="333333"/>
                <w:sz w:val="20"/>
                <w:szCs w:val="20"/>
                <w:shd w:val="clear" w:color="auto" w:fill="FCFCFC"/>
              </w:rPr>
              <m:t>λ</m:t>
            </m:r>
          </m:e>
          <m:sup>
            <m:r>
              <w:rPr>
                <w:rFonts w:ascii="Cambria Math" w:hAnsi="Cambria Math" w:cs="Arial"/>
                <w:color w:val="333333"/>
                <w:sz w:val="20"/>
                <w:szCs w:val="20"/>
                <w:shd w:val="clear" w:color="auto" w:fill="FCFCFC"/>
              </w:rPr>
              <m:t>(0)</m:t>
            </m:r>
          </m:sup>
        </m:sSup>
        <m:d>
          <m:dPr>
            <m:ctrlPr>
              <w:rPr>
                <w:rFonts w:ascii="Cambria Math" w:hAnsi="Cambria Math" w:cs="Arial"/>
                <w:i/>
                <w:color w:val="333333"/>
                <w:sz w:val="20"/>
                <w:szCs w:val="20"/>
                <w:shd w:val="clear" w:color="auto" w:fill="FCFCFC"/>
              </w:rPr>
            </m:ctrlPr>
          </m:dPr>
          <m:e>
            <m:r>
              <w:rPr>
                <w:rFonts w:ascii="Cambria Math"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 xml:space="preserve"> </m:t>
        </m:r>
      </m:oMath>
      <w:r w:rsidRPr="00EA4251">
        <w:rPr>
          <w:rFonts w:ascii="Arial" w:eastAsiaTheme="minorEastAsia" w:hAnsi="Arial" w:cs="Arial"/>
          <w:color w:val="333333"/>
          <w:sz w:val="20"/>
          <w:szCs w:val="20"/>
          <w:shd w:val="clear" w:color="auto" w:fill="FCFCFC"/>
        </w:rPr>
        <w:t xml:space="preserve">of </w:t>
      </w:r>
      <m:oMath>
        <m:r>
          <w:rPr>
            <w:rFonts w:ascii="Cambria Math" w:eastAsiaTheme="minorEastAsia" w:hAnsi="Cambria Math" w:cs="Arial"/>
            <w:color w:val="333333"/>
            <w:sz w:val="20"/>
            <w:szCs w:val="20"/>
            <w:shd w:val="clear" w:color="auto" w:fill="FCFCFC"/>
          </w:rPr>
          <m:t xml:space="preserve"> </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oMath>
      <w:r w:rsidRPr="00EA4251">
        <w:rPr>
          <w:rFonts w:ascii="Arial" w:eastAsiaTheme="minorEastAsia" w:hAnsi="Arial" w:cs="Arial"/>
          <w:color w:val="333333"/>
          <w:sz w:val="20"/>
          <w:szCs w:val="20"/>
          <w:shd w:val="clear" w:color="auto" w:fill="FCFCFC"/>
        </w:rPr>
        <w:t xml:space="preserve"> is within the interval </w:t>
      </w:r>
      <m:oMath>
        <m:d>
          <m:dPr>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e</m:t>
                </m:r>
              </m:e>
              <m:sup>
                <m:r>
                  <w:rPr>
                    <w:rFonts w:ascii="Cambria Math" w:eastAsiaTheme="minorEastAsia" w:hAnsi="Cambria Math" w:cs="Arial"/>
                    <w:color w:val="333333"/>
                    <w:sz w:val="20"/>
                    <w:szCs w:val="20"/>
                    <w:shd w:val="clear" w:color="auto" w:fill="FCFCFC"/>
                  </w:rPr>
                  <m:t>-</m:t>
                </m:r>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2</m:t>
                    </m:r>
                  </m:num>
                  <m:den>
                    <m:r>
                      <w:rPr>
                        <w:rFonts w:ascii="Cambria Math" w:eastAsiaTheme="minorEastAsia" w:hAnsi="Cambria Math" w:cs="Arial"/>
                        <w:color w:val="333333"/>
                        <w:sz w:val="20"/>
                        <w:szCs w:val="20"/>
                        <w:shd w:val="clear" w:color="auto" w:fill="FCFCFC"/>
                      </w:rPr>
                      <m:t>n+1</m:t>
                    </m:r>
                  </m:den>
                </m:f>
              </m:sup>
            </m:sSup>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e</m:t>
                </m:r>
              </m:e>
              <m:sup>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2</m:t>
                    </m:r>
                  </m:num>
                  <m:den>
                    <m:r>
                      <w:rPr>
                        <w:rFonts w:ascii="Cambria Math" w:eastAsiaTheme="minorEastAsia" w:hAnsi="Cambria Math" w:cs="Arial"/>
                        <w:color w:val="333333"/>
                        <w:sz w:val="20"/>
                        <w:szCs w:val="20"/>
                        <w:shd w:val="clear" w:color="auto" w:fill="FCFCFC"/>
                      </w:rPr>
                      <m:t>n+1</m:t>
                    </m:r>
                  </m:den>
                </m:f>
              </m:sup>
            </m:sSup>
          </m:e>
        </m:d>
      </m:oMath>
      <w:r w:rsidRPr="00EA4251">
        <w:rPr>
          <w:rFonts w:ascii="Arial" w:eastAsiaTheme="minorEastAsia" w:hAnsi="Arial" w:cs="Arial"/>
          <w:color w:val="333333"/>
          <w:sz w:val="20"/>
          <w:szCs w:val="20"/>
          <w:shd w:val="clear" w:color="auto" w:fill="FCFCFC"/>
        </w:rPr>
        <w:t>.</w:t>
      </w:r>
    </w:p>
    <w:p w14:paraId="23D238D8" w14:textId="77777777" w:rsidR="004708FA" w:rsidRPr="00EA4251" w:rsidRDefault="004708FA" w:rsidP="007B18EC">
      <w:pPr>
        <w:spacing w:line="360" w:lineRule="auto"/>
        <w:jc w:val="both"/>
        <w:rPr>
          <w:rFonts w:ascii="Arial" w:eastAsiaTheme="minorEastAsia" w:hAnsi="Arial" w:cs="Arial"/>
          <w:b/>
          <w:bCs/>
          <w:color w:val="333333"/>
          <w:sz w:val="20"/>
          <w:szCs w:val="20"/>
          <w:shd w:val="clear" w:color="auto" w:fill="FCFCFC"/>
        </w:rPr>
      </w:pPr>
      <w:r w:rsidRPr="00EA4251">
        <w:rPr>
          <w:rFonts w:ascii="Arial" w:eastAsiaTheme="minorEastAsia" w:hAnsi="Arial" w:cs="Arial"/>
          <w:b/>
          <w:bCs/>
          <w:color w:val="333333"/>
          <w:sz w:val="20"/>
          <w:szCs w:val="20"/>
          <w:shd w:val="clear" w:color="auto" w:fill="FCFCFC"/>
        </w:rPr>
        <w:t>Step 3: Accumulated Generation Operation (AGO)</w:t>
      </w:r>
      <w:r w:rsidRPr="00EA4251">
        <w:rPr>
          <w:rFonts w:ascii="Arial" w:eastAsiaTheme="minorEastAsia" w:hAnsi="Arial" w:cs="Arial"/>
          <w:color w:val="333333"/>
          <w:sz w:val="20"/>
          <w:szCs w:val="20"/>
          <w:shd w:val="clear" w:color="auto" w:fill="FCFCFC"/>
        </w:rPr>
        <w:t xml:space="preserve"> </w:t>
      </w:r>
    </w:p>
    <w:p w14:paraId="52DB8165"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A new sequence, denoted as </w:t>
      </w:r>
      <w:proofErr w:type="gramStart"/>
      <w:r w:rsidRPr="00EA4251">
        <w:rPr>
          <w:rFonts w:ascii="Arial" w:eastAsiaTheme="minorEastAsia" w:hAnsi="Arial" w:cs="Arial"/>
          <w:color w:val="333333"/>
          <w:sz w:val="20"/>
          <w:szCs w:val="20"/>
          <w:shd w:val="clear" w:color="auto" w:fill="FCFCFC"/>
        </w:rPr>
        <w:t>x</w:t>
      </w:r>
      <w:r w:rsidRPr="00EA4251">
        <w:rPr>
          <w:rFonts w:ascii="Arial" w:eastAsiaTheme="minorEastAsia" w:hAnsi="Arial" w:cs="Arial"/>
          <w:color w:val="333333"/>
          <w:sz w:val="20"/>
          <w:szCs w:val="20"/>
          <w:shd w:val="clear" w:color="auto" w:fill="FCFCFC"/>
          <w:vertAlign w:val="superscript"/>
        </w:rPr>
        <w:t>(</w:t>
      </w:r>
      <w:proofErr w:type="gramEnd"/>
      <w:r w:rsidRPr="00EA4251">
        <w:rPr>
          <w:rFonts w:ascii="Arial" w:eastAsiaTheme="minorEastAsia" w:hAnsi="Arial" w:cs="Arial"/>
          <w:color w:val="333333"/>
          <w:sz w:val="20"/>
          <w:szCs w:val="20"/>
          <w:shd w:val="clear" w:color="auto" w:fill="FCFCFC"/>
          <w:vertAlign w:val="superscript"/>
        </w:rPr>
        <w:t>1)</w:t>
      </w:r>
      <w:r w:rsidRPr="00EA4251">
        <w:rPr>
          <w:rFonts w:ascii="Arial" w:eastAsiaTheme="minorEastAsia" w:hAnsi="Arial" w:cs="Arial"/>
          <w:color w:val="333333"/>
          <w:sz w:val="20"/>
          <w:szCs w:val="20"/>
          <w:shd w:val="clear" w:color="auto" w:fill="FCFCFC"/>
        </w:rPr>
        <w:t xml:space="preserve">, is produced using the Accumulated Generation Operation (AGO).  </w:t>
      </w:r>
    </w:p>
    <w:p w14:paraId="49FFF21B"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           </w:t>
      </w:r>
      <m:oMath>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m:t>
        </m:r>
        <m:nary>
          <m:naryPr>
            <m:chr m:val="∑"/>
            <m:limLoc m:val="undOvr"/>
            <m:ctrlPr>
              <w:rPr>
                <w:rFonts w:ascii="Cambria Math" w:eastAsiaTheme="minorEastAsia" w:hAnsi="Cambria Math" w:cs="Arial"/>
                <w:i/>
                <w:color w:val="333333"/>
                <w:sz w:val="20"/>
                <w:szCs w:val="20"/>
                <w:shd w:val="clear" w:color="auto" w:fill="FCFCFC"/>
              </w:rPr>
            </m:ctrlPr>
          </m:naryPr>
          <m:sub>
            <m:r>
              <w:rPr>
                <w:rFonts w:ascii="Cambria Math" w:eastAsiaTheme="minorEastAsia" w:hAnsi="Cambria Math" w:cs="Arial"/>
                <w:color w:val="333333"/>
                <w:sz w:val="20"/>
                <w:szCs w:val="20"/>
                <w:shd w:val="clear" w:color="auto" w:fill="FCFCFC"/>
              </w:rPr>
              <m:t>i=1</m:t>
            </m:r>
          </m:sub>
          <m:sup>
            <m:r>
              <w:rPr>
                <w:rFonts w:ascii="Cambria Math" w:eastAsiaTheme="minorEastAsia" w:hAnsi="Cambria Math" w:cs="Arial"/>
                <w:color w:val="333333"/>
                <w:sz w:val="20"/>
                <w:szCs w:val="20"/>
                <w:shd w:val="clear" w:color="auto" w:fill="FCFCFC"/>
              </w:rPr>
              <m:t>k</m:t>
            </m:r>
          </m:sup>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r>
              <w:rPr>
                <w:rFonts w:ascii="Cambria Math" w:eastAsiaTheme="minorEastAsia" w:hAnsi="Cambria Math" w:cs="Arial"/>
                <w:color w:val="333333"/>
                <w:sz w:val="20"/>
                <w:szCs w:val="20"/>
                <w:shd w:val="clear" w:color="auto" w:fill="FCFCFC"/>
              </w:rPr>
              <m:t>(i)</m:t>
            </m:r>
          </m:e>
        </m:nary>
      </m:oMath>
      <w:r w:rsidRPr="00EA4251">
        <w:rPr>
          <w:rFonts w:ascii="Arial" w:eastAsiaTheme="minorEastAsia" w:hAnsi="Arial" w:cs="Arial"/>
          <w:color w:val="333333"/>
          <w:sz w:val="20"/>
          <w:szCs w:val="20"/>
          <w:shd w:val="clear" w:color="auto" w:fill="FCFCFC"/>
        </w:rPr>
        <w:t xml:space="preserve">                                                                                  (2)                            </w:t>
      </w:r>
    </w:p>
    <w:p w14:paraId="7AF7DDA8"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We can derive </w:t>
      </w:r>
      <m:oMath>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 xml:space="preserve"> ,</m:t>
        </m:r>
      </m:oMath>
      <w:r w:rsidRPr="00EA4251">
        <w:rPr>
          <w:rFonts w:ascii="Arial" w:eastAsiaTheme="minorEastAsia" w:hAnsi="Arial" w:cs="Arial"/>
          <w:color w:val="333333"/>
          <w:sz w:val="20"/>
          <w:szCs w:val="20"/>
          <w:shd w:val="clear" w:color="auto" w:fill="FCFCFC"/>
        </w:rPr>
        <w:t xml:space="preserve">Which is referred to as the first-order cumulative sequence or 1-GAO. This transformation helps to mitigate fluctuations in the </w:t>
      </w:r>
      <w:proofErr w:type="gramStart"/>
      <w:r w:rsidRPr="00EA4251">
        <w:rPr>
          <w:rFonts w:ascii="Arial" w:eastAsiaTheme="minorEastAsia" w:hAnsi="Arial" w:cs="Arial"/>
          <w:color w:val="333333"/>
          <w:sz w:val="20"/>
          <w:szCs w:val="20"/>
          <w:shd w:val="clear" w:color="auto" w:fill="FCFCFC"/>
        </w:rPr>
        <w:t>x</w:t>
      </w:r>
      <w:r w:rsidRPr="00EA4251">
        <w:rPr>
          <w:rFonts w:ascii="Arial" w:eastAsiaTheme="minorEastAsia" w:hAnsi="Arial" w:cs="Arial"/>
          <w:color w:val="333333"/>
          <w:sz w:val="20"/>
          <w:szCs w:val="20"/>
          <w:shd w:val="clear" w:color="auto" w:fill="FCFCFC"/>
          <w:vertAlign w:val="superscript"/>
        </w:rPr>
        <w:t>(</w:t>
      </w:r>
      <w:proofErr w:type="gramEnd"/>
      <w:r w:rsidRPr="00EA4251">
        <w:rPr>
          <w:rFonts w:ascii="Arial" w:eastAsiaTheme="minorEastAsia" w:hAnsi="Arial" w:cs="Arial"/>
          <w:color w:val="333333"/>
          <w:sz w:val="20"/>
          <w:szCs w:val="20"/>
          <w:shd w:val="clear" w:color="auto" w:fill="FCFCFC"/>
          <w:vertAlign w:val="superscript"/>
        </w:rPr>
        <w:t>0)</w:t>
      </w:r>
      <w:r w:rsidRPr="00EA4251">
        <w:rPr>
          <w:rFonts w:ascii="Arial" w:eastAsiaTheme="minorEastAsia" w:hAnsi="Arial" w:cs="Arial"/>
          <w:color w:val="333333"/>
          <w:sz w:val="20"/>
          <w:szCs w:val="20"/>
          <w:shd w:val="clear" w:color="auto" w:fill="FCFCFC"/>
        </w:rPr>
        <w:t xml:space="preserve"> data series and minimises systematic errors during the accumulation process, thereby enhancing the accuracy of the prediction model.</w:t>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p>
    <w:p w14:paraId="11FF6CCC"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m:t>
        </m:r>
        <m:d>
          <m:dPr>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1</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(2)</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2</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(3)</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3</m:t>
                </m:r>
              </m:e>
            </m:d>
            <m:r>
              <w:rPr>
                <w:rFonts w:ascii="Cambria Math" w:eastAsiaTheme="minorEastAsia" w:hAnsi="Cambria Math" w:cs="Arial"/>
                <w:color w:val="333333"/>
                <w:sz w:val="20"/>
                <w:szCs w:val="20"/>
                <w:shd w:val="clear" w:color="auto" w:fill="FCFCFC"/>
              </w:rPr>
              <m:t>,. . . ,</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(n)</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oMath>
      <w:r w:rsidRPr="00EA4251">
        <w:rPr>
          <w:rFonts w:ascii="Arial" w:eastAsiaTheme="minorEastAsia" w:hAnsi="Arial" w:cs="Arial"/>
          <w:color w:val="333333"/>
          <w:sz w:val="20"/>
          <w:szCs w:val="20"/>
          <w:shd w:val="clear" w:color="auto" w:fill="FCFCFC"/>
        </w:rPr>
        <w:t xml:space="preserve"> </w:t>
      </w:r>
      <w:proofErr w:type="gramStart"/>
      <w:r w:rsidRPr="00EA4251">
        <w:rPr>
          <w:rFonts w:ascii="Arial" w:eastAsiaTheme="minorEastAsia" w:hAnsi="Arial" w:cs="Arial"/>
          <w:color w:val="333333"/>
          <w:sz w:val="20"/>
          <w:szCs w:val="20"/>
          <w:shd w:val="clear" w:color="auto" w:fill="FCFCFC"/>
        </w:rPr>
        <w:t xml:space="preserve">,   </w:t>
      </w:r>
      <w:proofErr w:type="gramEnd"/>
      <w:r w:rsidRPr="00EA4251">
        <w:rPr>
          <w:rFonts w:ascii="Arial" w:eastAsiaTheme="minorEastAsia" w:hAnsi="Arial" w:cs="Arial"/>
          <w:color w:val="333333"/>
          <w:sz w:val="20"/>
          <w:szCs w:val="20"/>
          <w:shd w:val="clear" w:color="auto" w:fill="FCFCFC"/>
        </w:rPr>
        <w:t xml:space="preserve">                   </w:t>
      </w:r>
      <w:proofErr w:type="gramStart"/>
      <w:r w:rsidRPr="00EA4251">
        <w:rPr>
          <w:rFonts w:ascii="Arial" w:eastAsiaTheme="minorEastAsia" w:hAnsi="Arial" w:cs="Arial"/>
          <w:color w:val="333333"/>
          <w:sz w:val="20"/>
          <w:szCs w:val="20"/>
          <w:shd w:val="clear" w:color="auto" w:fill="FCFCFC"/>
        </w:rPr>
        <w:t xml:space="preserve">   (</w:t>
      </w:r>
      <w:proofErr w:type="gramEnd"/>
      <w:r w:rsidRPr="00EA4251">
        <w:rPr>
          <w:rFonts w:ascii="Arial" w:eastAsiaTheme="minorEastAsia" w:hAnsi="Arial" w:cs="Arial"/>
          <w:color w:val="333333"/>
          <w:sz w:val="20"/>
          <w:szCs w:val="20"/>
          <w:shd w:val="clear" w:color="auto" w:fill="FCFCFC"/>
        </w:rPr>
        <w:t>3)</w:t>
      </w:r>
    </w:p>
    <w:p w14:paraId="0EFD7DD8"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Where k = 1,2,3, </w:t>
      </w:r>
      <w:proofErr w:type="gramStart"/>
      <w:r w:rsidRPr="00EA4251">
        <w:rPr>
          <w:rFonts w:ascii="Arial" w:eastAsiaTheme="minorEastAsia" w:hAnsi="Arial" w:cs="Arial"/>
          <w:color w:val="333333"/>
          <w:sz w:val="20"/>
          <w:szCs w:val="20"/>
          <w:shd w:val="clear" w:color="auto" w:fill="FCFCFC"/>
        </w:rPr>
        <w:t>. . . ,</w:t>
      </w:r>
      <w:proofErr w:type="gramEnd"/>
      <w:r w:rsidRPr="00EA4251">
        <w:rPr>
          <w:rFonts w:ascii="Arial" w:eastAsiaTheme="minorEastAsia" w:hAnsi="Arial" w:cs="Arial"/>
          <w:color w:val="333333"/>
          <w:sz w:val="20"/>
          <w:szCs w:val="20"/>
          <w:shd w:val="clear" w:color="auto" w:fill="FCFCFC"/>
        </w:rPr>
        <w:t xml:space="preserve"> n </w:t>
      </w:r>
      <w:proofErr w:type="gramStart"/>
      <w:r w:rsidRPr="00EA4251">
        <w:rPr>
          <w:rFonts w:ascii="Arial" w:eastAsiaTheme="minorEastAsia" w:hAnsi="Arial" w:cs="Arial"/>
          <w:color w:val="333333"/>
          <w:sz w:val="20"/>
          <w:szCs w:val="20"/>
          <w:shd w:val="clear" w:color="auto" w:fill="FCFCFC"/>
        </w:rPr>
        <w:t xml:space="preserve">  .</w:t>
      </w:r>
      <w:proofErr w:type="gramEnd"/>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p>
    <w:p w14:paraId="2DD16FA2" w14:textId="77777777" w:rsidR="004708FA" w:rsidRPr="00EA4251" w:rsidRDefault="004708FA" w:rsidP="007B18EC">
      <w:pPr>
        <w:spacing w:line="360" w:lineRule="auto"/>
        <w:jc w:val="both"/>
        <w:rPr>
          <w:rFonts w:ascii="Arial" w:eastAsiaTheme="minorEastAsia" w:hAnsi="Arial" w:cs="Arial"/>
          <w:b/>
          <w:bCs/>
          <w:color w:val="333333"/>
          <w:sz w:val="20"/>
          <w:szCs w:val="20"/>
          <w:shd w:val="clear" w:color="auto" w:fill="FCFCFC"/>
        </w:rPr>
      </w:pPr>
      <w:r w:rsidRPr="00EA4251">
        <w:rPr>
          <w:rFonts w:ascii="Arial" w:eastAsiaTheme="minorEastAsia" w:hAnsi="Arial" w:cs="Arial"/>
          <w:b/>
          <w:bCs/>
          <w:color w:val="333333"/>
          <w:sz w:val="20"/>
          <w:szCs w:val="20"/>
          <w:shd w:val="clear" w:color="auto" w:fill="FCFCFC"/>
        </w:rPr>
        <w:t xml:space="preserve">Step 4: Calculate the background Value Sequence </w:t>
      </w:r>
    </w:p>
    <w:p w14:paraId="56B45B1D"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Compute the background value </w:t>
      </w:r>
      <w:proofErr w:type="gramStart"/>
      <w:r w:rsidRPr="00EA4251">
        <w:rPr>
          <w:rFonts w:ascii="Arial" w:eastAsiaTheme="minorEastAsia" w:hAnsi="Arial" w:cs="Arial"/>
          <w:color w:val="333333"/>
          <w:sz w:val="20"/>
          <w:szCs w:val="20"/>
          <w:shd w:val="clear" w:color="auto" w:fill="FCFCFC"/>
        </w:rPr>
        <w:t>z</w:t>
      </w:r>
      <w:r w:rsidRPr="00EA4251">
        <w:rPr>
          <w:rFonts w:ascii="Arial" w:eastAsiaTheme="minorEastAsia" w:hAnsi="Arial" w:cs="Arial"/>
          <w:color w:val="333333"/>
          <w:sz w:val="20"/>
          <w:szCs w:val="20"/>
          <w:shd w:val="clear" w:color="auto" w:fill="FCFCFC"/>
          <w:vertAlign w:val="superscript"/>
        </w:rPr>
        <w:t>(</w:t>
      </w:r>
      <w:proofErr w:type="gramEnd"/>
      <w:r w:rsidRPr="00EA4251">
        <w:rPr>
          <w:rFonts w:ascii="Arial" w:eastAsiaTheme="minorEastAsia" w:hAnsi="Arial" w:cs="Arial"/>
          <w:color w:val="333333"/>
          <w:sz w:val="20"/>
          <w:szCs w:val="20"/>
          <w:shd w:val="clear" w:color="auto" w:fill="FCFCFC"/>
          <w:vertAlign w:val="superscript"/>
        </w:rPr>
        <w:t>1)</w:t>
      </w:r>
      <w:r w:rsidRPr="00EA4251">
        <w:rPr>
          <w:rFonts w:ascii="Arial" w:eastAsiaTheme="minorEastAsia" w:hAnsi="Arial" w:cs="Arial"/>
          <w:color w:val="333333"/>
          <w:sz w:val="20"/>
          <w:szCs w:val="20"/>
          <w:shd w:val="clear" w:color="auto" w:fill="FCFCFC"/>
        </w:rPr>
        <w:t xml:space="preserve"> built by the method of generations based on the average.</w:t>
      </w:r>
    </w:p>
    <w:p w14:paraId="60184964"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z</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 xml:space="preserve">= </m:t>
        </m:r>
        <m:d>
          <m:dPr>
            <m:ctrlPr>
              <w:rPr>
                <w:rFonts w:ascii="Cambria Math" w:eastAsiaTheme="minorEastAsia" w:hAnsi="Cambria Math" w:cs="Arial"/>
                <w:i/>
                <w:color w:val="333333"/>
                <w:sz w:val="20"/>
                <w:szCs w:val="20"/>
                <w:shd w:val="clear" w:color="auto" w:fill="FCFCFC"/>
              </w:rPr>
            </m:ctrlPr>
          </m:dPr>
          <m:e>
            <m:sSubSup>
              <m:sSubSupPr>
                <m:ctrlPr>
                  <w:rPr>
                    <w:rFonts w:ascii="Cambria Math" w:eastAsiaTheme="minorEastAsia" w:hAnsi="Cambria Math" w:cs="Arial"/>
                    <w:i/>
                    <w:color w:val="333333"/>
                    <w:sz w:val="20"/>
                    <w:szCs w:val="20"/>
                    <w:shd w:val="clear" w:color="auto" w:fill="FCFCFC"/>
                  </w:rPr>
                </m:ctrlPr>
              </m:sSubSupPr>
              <m:e>
                <m:r>
                  <w:rPr>
                    <w:rFonts w:ascii="Cambria Math" w:eastAsiaTheme="minorEastAsia" w:hAnsi="Cambria Math" w:cs="Arial"/>
                    <w:color w:val="333333"/>
                    <w:sz w:val="20"/>
                    <w:szCs w:val="20"/>
                    <w:shd w:val="clear" w:color="auto" w:fill="FCFCFC"/>
                  </w:rPr>
                  <m:t>z</m:t>
                </m:r>
              </m:e>
              <m:sub>
                <m:r>
                  <w:rPr>
                    <w:rFonts w:ascii="Cambria Math" w:eastAsiaTheme="minorEastAsia" w:hAnsi="Cambria Math" w:cs="Arial"/>
                    <w:color w:val="333333"/>
                    <w:sz w:val="20"/>
                    <w:szCs w:val="20"/>
                    <w:shd w:val="clear" w:color="auto" w:fill="FCFCFC"/>
                  </w:rPr>
                  <m:t>2</m:t>
                </m:r>
              </m:sub>
              <m:sup>
                <m:r>
                  <w:rPr>
                    <w:rFonts w:ascii="Cambria Math" w:eastAsiaTheme="minorEastAsia" w:hAnsi="Cambria Math" w:cs="Arial"/>
                    <w:color w:val="333333"/>
                    <w:sz w:val="20"/>
                    <w:szCs w:val="20"/>
                    <w:shd w:val="clear" w:color="auto" w:fill="FCFCFC"/>
                  </w:rPr>
                  <m:t>(1)</m:t>
                </m:r>
              </m:sup>
            </m:sSubSup>
            <m:r>
              <w:rPr>
                <w:rFonts w:ascii="Cambria Math" w:eastAsiaTheme="minorEastAsia" w:hAnsi="Cambria Math" w:cs="Arial"/>
                <w:color w:val="333333"/>
                <w:sz w:val="20"/>
                <w:szCs w:val="20"/>
                <w:shd w:val="clear" w:color="auto" w:fill="FCFCFC"/>
              </w:rPr>
              <m:t>,</m:t>
            </m:r>
            <m:sSubSup>
              <m:sSubSupPr>
                <m:ctrlPr>
                  <w:rPr>
                    <w:rFonts w:ascii="Cambria Math" w:eastAsiaTheme="minorEastAsia" w:hAnsi="Cambria Math" w:cs="Arial"/>
                    <w:i/>
                    <w:color w:val="333333"/>
                    <w:sz w:val="20"/>
                    <w:szCs w:val="20"/>
                    <w:shd w:val="clear" w:color="auto" w:fill="FCFCFC"/>
                  </w:rPr>
                </m:ctrlPr>
              </m:sSubSupPr>
              <m:e>
                <m:r>
                  <w:rPr>
                    <w:rFonts w:ascii="Cambria Math" w:eastAsiaTheme="minorEastAsia" w:hAnsi="Cambria Math" w:cs="Arial"/>
                    <w:color w:val="333333"/>
                    <w:sz w:val="20"/>
                    <w:szCs w:val="20"/>
                    <w:shd w:val="clear" w:color="auto" w:fill="FCFCFC"/>
                  </w:rPr>
                  <m:t>z</m:t>
                </m:r>
              </m:e>
              <m:sub>
                <m:r>
                  <w:rPr>
                    <w:rFonts w:ascii="Cambria Math" w:eastAsiaTheme="minorEastAsia" w:hAnsi="Cambria Math" w:cs="Arial"/>
                    <w:color w:val="333333"/>
                    <w:sz w:val="20"/>
                    <w:szCs w:val="20"/>
                    <w:shd w:val="clear" w:color="auto" w:fill="FCFCFC"/>
                  </w:rPr>
                  <m:t>3</m:t>
                </m:r>
              </m:sub>
              <m:sup>
                <m:r>
                  <w:rPr>
                    <w:rFonts w:ascii="Cambria Math" w:eastAsiaTheme="minorEastAsia" w:hAnsi="Cambria Math" w:cs="Arial"/>
                    <w:color w:val="333333"/>
                    <w:sz w:val="20"/>
                    <w:szCs w:val="20"/>
                    <w:shd w:val="clear" w:color="auto" w:fill="FCFCFC"/>
                  </w:rPr>
                  <m:t>(1)</m:t>
                </m:r>
              </m:sup>
            </m:sSubSup>
            <m:r>
              <w:rPr>
                <w:rFonts w:ascii="Cambria Math" w:eastAsiaTheme="minorEastAsia" w:hAnsi="Cambria Math" w:cs="Arial"/>
                <w:color w:val="333333"/>
                <w:sz w:val="20"/>
                <w:szCs w:val="20"/>
                <w:shd w:val="clear" w:color="auto" w:fill="FCFCFC"/>
              </w:rPr>
              <m:t>,</m:t>
            </m:r>
            <m:sSubSup>
              <m:sSubSupPr>
                <m:ctrlPr>
                  <w:rPr>
                    <w:rFonts w:ascii="Cambria Math" w:eastAsiaTheme="minorEastAsia" w:hAnsi="Cambria Math" w:cs="Arial"/>
                    <w:i/>
                    <w:color w:val="333333"/>
                    <w:sz w:val="20"/>
                    <w:szCs w:val="20"/>
                    <w:shd w:val="clear" w:color="auto" w:fill="FCFCFC"/>
                  </w:rPr>
                </m:ctrlPr>
              </m:sSubSupPr>
              <m:e>
                <m:r>
                  <w:rPr>
                    <w:rFonts w:ascii="Cambria Math" w:eastAsiaTheme="minorEastAsia" w:hAnsi="Cambria Math" w:cs="Arial"/>
                    <w:color w:val="333333"/>
                    <w:sz w:val="20"/>
                    <w:szCs w:val="20"/>
                    <w:shd w:val="clear" w:color="auto" w:fill="FCFCFC"/>
                  </w:rPr>
                  <m:t>z</m:t>
                </m:r>
              </m:e>
              <m:sub>
                <m:r>
                  <w:rPr>
                    <w:rFonts w:ascii="Cambria Math" w:eastAsiaTheme="minorEastAsia" w:hAnsi="Cambria Math" w:cs="Arial"/>
                    <w:color w:val="333333"/>
                    <w:sz w:val="20"/>
                    <w:szCs w:val="20"/>
                    <w:shd w:val="clear" w:color="auto" w:fill="FCFCFC"/>
                  </w:rPr>
                  <m:t>4</m:t>
                </m:r>
              </m:sub>
              <m:sup>
                <m:r>
                  <w:rPr>
                    <w:rFonts w:ascii="Cambria Math" w:eastAsiaTheme="minorEastAsia" w:hAnsi="Cambria Math" w:cs="Arial"/>
                    <w:color w:val="333333"/>
                    <w:sz w:val="20"/>
                    <w:szCs w:val="20"/>
                    <w:shd w:val="clear" w:color="auto" w:fill="FCFCFC"/>
                  </w:rPr>
                  <m:t>(1)</m:t>
                </m:r>
              </m:sup>
            </m:sSubSup>
            <m:r>
              <w:rPr>
                <w:rFonts w:ascii="Cambria Math" w:eastAsiaTheme="minorEastAsia" w:hAnsi="Cambria Math" w:cs="Arial"/>
                <w:color w:val="333333"/>
                <w:sz w:val="20"/>
                <w:szCs w:val="20"/>
                <w:shd w:val="clear" w:color="auto" w:fill="FCFCFC"/>
              </w:rPr>
              <m:t>,</m:t>
            </m:r>
            <m:sSubSup>
              <m:sSubSupPr>
                <m:ctrlPr>
                  <w:rPr>
                    <w:rFonts w:ascii="Cambria Math" w:eastAsiaTheme="minorEastAsia" w:hAnsi="Cambria Math" w:cs="Arial"/>
                    <w:i/>
                    <w:color w:val="333333"/>
                    <w:sz w:val="20"/>
                    <w:szCs w:val="20"/>
                    <w:shd w:val="clear" w:color="auto" w:fill="FCFCFC"/>
                  </w:rPr>
                </m:ctrlPr>
              </m:sSubSupPr>
              <m:e>
                <m:r>
                  <w:rPr>
                    <w:rFonts w:ascii="Cambria Math" w:eastAsiaTheme="minorEastAsia" w:hAnsi="Cambria Math" w:cs="Arial"/>
                    <w:color w:val="333333"/>
                    <w:sz w:val="20"/>
                    <w:szCs w:val="20"/>
                    <w:shd w:val="clear" w:color="auto" w:fill="FCFCFC"/>
                  </w:rPr>
                  <m:t xml:space="preserve"> . . . ,z</m:t>
                </m:r>
              </m:e>
              <m:sub>
                <m:r>
                  <w:rPr>
                    <w:rFonts w:ascii="Cambria Math" w:eastAsiaTheme="minorEastAsia" w:hAnsi="Cambria Math" w:cs="Arial"/>
                    <w:color w:val="333333"/>
                    <w:sz w:val="20"/>
                    <w:szCs w:val="20"/>
                    <w:shd w:val="clear" w:color="auto" w:fill="FCFCFC"/>
                  </w:rPr>
                  <m:t>n</m:t>
                </m:r>
              </m:sub>
              <m:sup>
                <m:r>
                  <w:rPr>
                    <w:rFonts w:ascii="Cambria Math" w:eastAsiaTheme="minorEastAsia" w:hAnsi="Cambria Math" w:cs="Arial"/>
                    <w:color w:val="333333"/>
                    <w:sz w:val="20"/>
                    <w:szCs w:val="20"/>
                    <w:shd w:val="clear" w:color="auto" w:fill="FCFCFC"/>
                  </w:rPr>
                  <m:t>(1)</m:t>
                </m:r>
              </m:sup>
            </m:sSubSup>
          </m:e>
        </m:d>
      </m:oMath>
      <w:r w:rsidRPr="00EA4251">
        <w:rPr>
          <w:rFonts w:ascii="Arial" w:eastAsiaTheme="minorEastAsia" w:hAnsi="Arial" w:cs="Arial"/>
          <w:color w:val="333333"/>
          <w:sz w:val="20"/>
          <w:szCs w:val="20"/>
          <w:shd w:val="clear" w:color="auto" w:fill="FCFCFC"/>
        </w:rPr>
        <w:t xml:space="preserve">                                                                 (4)    </w:t>
      </w:r>
    </w:p>
    <w:p w14:paraId="1EC463B6"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z</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=0.5</m:t>
        </m:r>
        <m:d>
          <m:dPr>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k-1</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(k)</m:t>
            </m:r>
          </m:e>
        </m:d>
      </m:oMath>
      <w:proofErr w:type="gramStart"/>
      <w:r w:rsidRPr="00EA4251">
        <w:rPr>
          <w:rFonts w:ascii="Arial" w:eastAsiaTheme="minorEastAsia" w:hAnsi="Arial" w:cs="Arial"/>
          <w:color w:val="333333"/>
          <w:sz w:val="20"/>
          <w:szCs w:val="20"/>
          <w:shd w:val="clear" w:color="auto" w:fill="FCFCFC"/>
        </w:rPr>
        <w:t xml:space="preserve">,   </w:t>
      </w:r>
      <w:proofErr w:type="gramEnd"/>
      <w:r w:rsidRPr="00EA4251">
        <w:rPr>
          <w:rFonts w:ascii="Arial" w:eastAsiaTheme="minorEastAsia" w:hAnsi="Arial" w:cs="Arial"/>
          <w:color w:val="333333"/>
          <w:sz w:val="20"/>
          <w:szCs w:val="20"/>
          <w:shd w:val="clear" w:color="auto" w:fill="FCFCFC"/>
        </w:rPr>
        <w:t xml:space="preserve">k = 2,3, </w:t>
      </w:r>
      <w:proofErr w:type="gramStart"/>
      <w:r w:rsidRPr="00EA4251">
        <w:rPr>
          <w:rFonts w:ascii="Arial" w:eastAsiaTheme="minorEastAsia" w:hAnsi="Arial" w:cs="Arial"/>
          <w:color w:val="333333"/>
          <w:sz w:val="20"/>
          <w:szCs w:val="20"/>
          <w:shd w:val="clear" w:color="auto" w:fill="FCFCFC"/>
        </w:rPr>
        <w:t>. . . .</w:t>
      </w:r>
      <w:proofErr w:type="gramEnd"/>
      <w:r w:rsidRPr="00EA4251">
        <w:rPr>
          <w:rFonts w:ascii="Arial" w:eastAsiaTheme="minorEastAsia" w:hAnsi="Arial" w:cs="Arial"/>
          <w:color w:val="333333"/>
          <w:sz w:val="20"/>
          <w:szCs w:val="20"/>
          <w:shd w:val="clear" w:color="auto" w:fill="FCFCFC"/>
        </w:rPr>
        <w:t xml:space="preserve"> </w:t>
      </w:r>
      <w:proofErr w:type="gramStart"/>
      <w:r w:rsidRPr="00EA4251">
        <w:rPr>
          <w:rFonts w:ascii="Arial" w:eastAsiaTheme="minorEastAsia" w:hAnsi="Arial" w:cs="Arial"/>
          <w:color w:val="333333"/>
          <w:sz w:val="20"/>
          <w:szCs w:val="20"/>
          <w:shd w:val="clear" w:color="auto" w:fill="FCFCFC"/>
        </w:rPr>
        <w:t>,n.</w:t>
      </w:r>
      <w:proofErr w:type="gramEnd"/>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t xml:space="preserve">          (5)</w:t>
      </w:r>
    </w:p>
    <w:p w14:paraId="6F32038C"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b/>
          <w:bCs/>
          <w:color w:val="333333"/>
          <w:sz w:val="20"/>
          <w:szCs w:val="20"/>
          <w:shd w:val="clear" w:color="auto" w:fill="FCFCFC"/>
        </w:rPr>
        <w:t>Step 5:</w:t>
      </w:r>
      <w:r w:rsidRPr="00EA4251">
        <w:rPr>
          <w:rFonts w:ascii="Arial" w:eastAsiaTheme="minorEastAsia" w:hAnsi="Arial" w:cs="Arial"/>
          <w:color w:val="333333"/>
          <w:sz w:val="20"/>
          <w:szCs w:val="20"/>
          <w:shd w:val="clear" w:color="auto" w:fill="FCFCFC"/>
        </w:rPr>
        <w:t xml:space="preserve"> </w:t>
      </w:r>
      <w:r w:rsidRPr="00EA4251">
        <w:rPr>
          <w:rFonts w:ascii="Arial" w:eastAsiaTheme="minorEastAsia" w:hAnsi="Arial" w:cs="Arial"/>
          <w:b/>
          <w:bCs/>
          <w:color w:val="333333"/>
          <w:sz w:val="20"/>
          <w:szCs w:val="20"/>
          <w:shd w:val="clear" w:color="auto" w:fill="FCFCFC"/>
        </w:rPr>
        <w:t>Formulate and Solve the Grey Differential Equation</w:t>
      </w:r>
    </w:p>
    <w:p w14:paraId="6CBF082B"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Establish a first-order linear differential equation of the GM (1,1) model, which is denoted as follows:</w:t>
      </w:r>
    </w:p>
    <w:p w14:paraId="77A952A1"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0</m:t>
                </m:r>
              </m:e>
            </m:d>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+a</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z</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=b</m:t>
        </m:r>
      </m:oMath>
      <w:proofErr w:type="gramStart"/>
      <w:r w:rsidRPr="00EA4251">
        <w:rPr>
          <w:rFonts w:ascii="Arial" w:eastAsiaTheme="minorEastAsia" w:hAnsi="Arial" w:cs="Arial"/>
          <w:color w:val="333333"/>
          <w:sz w:val="20"/>
          <w:szCs w:val="20"/>
          <w:shd w:val="clear" w:color="auto" w:fill="FCFCFC"/>
        </w:rPr>
        <w:t xml:space="preserve">,   </w:t>
      </w:r>
      <w:proofErr w:type="gramEnd"/>
      <w:r w:rsidRPr="00EA4251">
        <w:rPr>
          <w:rFonts w:ascii="Arial" w:eastAsiaTheme="minorEastAsia" w:hAnsi="Arial" w:cs="Arial"/>
          <w:color w:val="333333"/>
          <w:sz w:val="20"/>
          <w:szCs w:val="20"/>
          <w:shd w:val="clear" w:color="auto" w:fill="FCFCFC"/>
        </w:rPr>
        <w:t xml:space="preserve"> where k = 2,3, </w:t>
      </w:r>
      <w:proofErr w:type="gramStart"/>
      <w:r w:rsidRPr="00EA4251">
        <w:rPr>
          <w:rFonts w:ascii="Arial" w:eastAsiaTheme="minorEastAsia" w:hAnsi="Arial" w:cs="Arial"/>
          <w:color w:val="333333"/>
          <w:sz w:val="20"/>
          <w:szCs w:val="20"/>
          <w:shd w:val="clear" w:color="auto" w:fill="FCFCFC"/>
        </w:rPr>
        <w:t>. . . ,</w:t>
      </w:r>
      <w:proofErr w:type="gramEnd"/>
      <w:r w:rsidRPr="00EA4251">
        <w:rPr>
          <w:rFonts w:ascii="Arial" w:eastAsiaTheme="minorEastAsia" w:hAnsi="Arial" w:cs="Arial"/>
          <w:color w:val="333333"/>
          <w:sz w:val="20"/>
          <w:szCs w:val="20"/>
          <w:shd w:val="clear" w:color="auto" w:fill="FCFCFC"/>
        </w:rPr>
        <w:t xml:space="preserve"> n,</w:t>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t>(6)</w:t>
      </w:r>
    </w:p>
    <w:p w14:paraId="35D3D1D1"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where</w:t>
      </w:r>
      <m:oMath>
        <m:r>
          <w:rPr>
            <w:rFonts w:ascii="Cambria Math" w:eastAsiaTheme="minorEastAsia" w:hAnsi="Cambria Math" w:cs="Arial"/>
            <w:color w:val="333333"/>
            <w:sz w:val="20"/>
            <w:szCs w:val="20"/>
            <w:shd w:val="clear" w:color="auto" w:fill="FCFCFC"/>
          </w:rPr>
          <m:t xml:space="preserve"> </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z</m:t>
            </m:r>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oMath>
      <w:r w:rsidRPr="00EA4251">
        <w:rPr>
          <w:rFonts w:ascii="Arial" w:eastAsiaTheme="minorEastAsia" w:hAnsi="Arial" w:cs="Arial"/>
          <w:color w:val="333333"/>
          <w:sz w:val="20"/>
          <w:szCs w:val="20"/>
          <w:shd w:val="clear" w:color="auto" w:fill="FCFCFC"/>
        </w:rPr>
        <w:t xml:space="preserve"> is the whitened value, and a &amp; b are developing coefficient and grey input, respectively. Where 0 &lt; a &lt; 1, and </w:t>
      </w:r>
      <m:oMath>
        <m:r>
          <w:rPr>
            <w:rFonts w:ascii="Cambria Math" w:eastAsiaTheme="minorEastAsia" w:hAnsi="Cambria Math" w:cs="Arial"/>
            <w:color w:val="333333"/>
            <w:sz w:val="20"/>
            <w:szCs w:val="20"/>
            <w:shd w:val="clear" w:color="auto" w:fill="FCFCFC"/>
          </w:rPr>
          <m:t>α</m:t>
        </m:r>
      </m:oMath>
      <w:r w:rsidRPr="00EA4251">
        <w:rPr>
          <w:rFonts w:ascii="Arial" w:eastAsiaTheme="minorEastAsia" w:hAnsi="Arial" w:cs="Arial"/>
          <w:color w:val="333333"/>
          <w:sz w:val="20"/>
          <w:szCs w:val="20"/>
          <w:shd w:val="clear" w:color="auto" w:fill="FCFCFC"/>
        </w:rPr>
        <w:t>=0.5 is typically used. The AGO is used to identify potential regularities hidden in the data sequences even if the original data are finite, insufficient, and chaotic.</w:t>
      </w:r>
    </w:p>
    <w:p w14:paraId="1A2504FD"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From Eq. (6) and by the Least Ordinary Square Method, the coefficient </w:t>
      </w:r>
      <m:oMath>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θ</m:t>
            </m:r>
          </m:e>
        </m:acc>
      </m:oMath>
      <w:r w:rsidRPr="00EA4251">
        <w:rPr>
          <w:rFonts w:ascii="Arial" w:eastAsiaTheme="minorEastAsia" w:hAnsi="Arial" w:cs="Arial"/>
          <w:color w:val="333333"/>
          <w:sz w:val="20"/>
          <w:szCs w:val="20"/>
          <w:shd w:val="clear" w:color="auto" w:fill="FCFCFC"/>
        </w:rPr>
        <w:t xml:space="preserve"> becomes</w:t>
      </w:r>
    </w:p>
    <w:p w14:paraId="193D0B05"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θ</m:t>
            </m:r>
          </m:e>
        </m:acc>
        <m:r>
          <w:rPr>
            <w:rFonts w:ascii="Cambria Math" w:eastAsiaTheme="minorEastAsia" w:hAnsi="Cambria Math" w:cs="Arial"/>
            <w:color w:val="333333"/>
            <w:sz w:val="20"/>
            <w:szCs w:val="20"/>
            <w:shd w:val="clear" w:color="auto" w:fill="FCFCFC"/>
          </w:rPr>
          <m:t>=</m:t>
        </m:r>
        <m:d>
          <m:dPr>
            <m:ctrlPr>
              <w:rPr>
                <w:rFonts w:ascii="Cambria Math" w:eastAsiaTheme="minorEastAsia" w:hAnsi="Cambria Math" w:cs="Arial"/>
                <w:i/>
                <w:color w:val="333333"/>
                <w:sz w:val="20"/>
                <w:szCs w:val="20"/>
                <w:shd w:val="clear" w:color="auto" w:fill="FCFCFC"/>
              </w:rPr>
            </m:ctrlPr>
          </m:dPr>
          <m:e>
            <m:f>
              <m:fPr>
                <m:type m:val="noBa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a</m:t>
                </m:r>
              </m:num>
              <m:den>
                <m:r>
                  <w:rPr>
                    <w:rFonts w:ascii="Cambria Math" w:eastAsiaTheme="minorEastAsia" w:hAnsi="Cambria Math" w:cs="Arial"/>
                    <w:color w:val="333333"/>
                    <w:sz w:val="20"/>
                    <w:szCs w:val="20"/>
                    <w:shd w:val="clear" w:color="auto" w:fill="FCFCFC"/>
                  </w:rPr>
                  <m:t>b</m:t>
                </m:r>
              </m:den>
            </m:f>
          </m:e>
        </m:d>
        <m:r>
          <w:rPr>
            <w:rFonts w:ascii="Cambria Math" w:eastAsiaTheme="minorEastAsia" w:hAnsi="Cambria Math" w:cs="Arial"/>
            <w:color w:val="333333"/>
            <w:sz w:val="20"/>
            <w:szCs w:val="20"/>
            <w:shd w:val="clear" w:color="auto" w:fill="FCFCFC"/>
          </w:rPr>
          <m:t xml:space="preserve">= </m:t>
        </m:r>
        <m:sSup>
          <m:sSupPr>
            <m:ctrlPr>
              <w:rPr>
                <w:rFonts w:ascii="Cambria Math" w:eastAsiaTheme="minorEastAsia" w:hAnsi="Cambria Math" w:cs="Arial"/>
                <w:i/>
                <w:color w:val="333333"/>
                <w:sz w:val="20"/>
                <w:szCs w:val="20"/>
                <w:shd w:val="clear" w:color="auto" w:fill="FCFCFC"/>
              </w:rPr>
            </m:ctrlPr>
          </m:sSupPr>
          <m:e>
            <m:d>
              <m:dPr>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B</m:t>
                    </m:r>
                  </m:e>
                  <m:sup>
                    <m:r>
                      <w:rPr>
                        <w:rFonts w:ascii="Cambria Math" w:eastAsiaTheme="minorEastAsia" w:hAnsi="Cambria Math" w:cs="Arial"/>
                        <w:color w:val="333333"/>
                        <w:sz w:val="20"/>
                        <w:szCs w:val="20"/>
                        <w:shd w:val="clear" w:color="auto" w:fill="FCFCFC"/>
                      </w:rPr>
                      <m:t>T</m:t>
                    </m:r>
                  </m:sup>
                </m:sSup>
                <m:r>
                  <w:rPr>
                    <w:rFonts w:ascii="Cambria Math" w:eastAsiaTheme="minorEastAsia" w:hAnsi="Cambria Math" w:cs="Arial"/>
                    <w:color w:val="333333"/>
                    <w:sz w:val="20"/>
                    <w:szCs w:val="20"/>
                    <w:shd w:val="clear" w:color="auto" w:fill="FCFCFC"/>
                  </w:rPr>
                  <m:t>B</m:t>
                </m:r>
              </m:e>
            </m:d>
          </m:e>
          <m:sup>
            <m:r>
              <w:rPr>
                <w:rFonts w:ascii="Cambria Math" w:eastAsiaTheme="minorEastAsia" w:hAnsi="Cambria Math" w:cs="Arial"/>
                <w:color w:val="333333"/>
                <w:sz w:val="20"/>
                <w:szCs w:val="20"/>
                <w:shd w:val="clear" w:color="auto" w:fill="FCFCFC"/>
              </w:rPr>
              <m:t>-1</m:t>
            </m:r>
          </m:sup>
        </m:sSup>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B</m:t>
            </m:r>
          </m:e>
          <m:sup>
            <m:r>
              <w:rPr>
                <w:rFonts w:ascii="Cambria Math" w:eastAsiaTheme="minorEastAsia" w:hAnsi="Cambria Math" w:cs="Arial"/>
                <w:color w:val="333333"/>
                <w:sz w:val="20"/>
                <w:szCs w:val="20"/>
                <w:shd w:val="clear" w:color="auto" w:fill="FCFCFC"/>
              </w:rPr>
              <m:t>T</m:t>
            </m:r>
          </m:sup>
        </m:sSup>
        <m:sSub>
          <m:sSubPr>
            <m:ctrlPr>
              <w:rPr>
                <w:rFonts w:ascii="Cambria Math" w:eastAsiaTheme="minorEastAsia" w:hAnsi="Cambria Math" w:cs="Arial"/>
                <w:i/>
                <w:color w:val="333333"/>
                <w:sz w:val="20"/>
                <w:szCs w:val="20"/>
                <w:shd w:val="clear" w:color="auto" w:fill="FCFCFC"/>
              </w:rPr>
            </m:ctrlPr>
          </m:sSubPr>
          <m:e>
            <m:r>
              <w:rPr>
                <w:rFonts w:ascii="Cambria Math" w:eastAsiaTheme="minorEastAsia" w:hAnsi="Cambria Math" w:cs="Arial"/>
                <w:color w:val="333333"/>
                <w:sz w:val="20"/>
                <w:szCs w:val="20"/>
                <w:shd w:val="clear" w:color="auto" w:fill="FCFCFC"/>
              </w:rPr>
              <m:t>Y</m:t>
            </m:r>
          </m:e>
          <m:sub>
            <m:r>
              <w:rPr>
                <w:rFonts w:ascii="Cambria Math" w:eastAsiaTheme="minorEastAsia" w:hAnsi="Cambria Math" w:cs="Arial"/>
                <w:color w:val="333333"/>
                <w:sz w:val="20"/>
                <w:szCs w:val="20"/>
                <w:shd w:val="clear" w:color="auto" w:fill="FCFCFC"/>
              </w:rPr>
              <m:t>N</m:t>
            </m:r>
          </m:sub>
        </m:sSub>
        <m:r>
          <w:rPr>
            <w:rFonts w:ascii="Cambria Math" w:eastAsiaTheme="minorEastAsia" w:hAnsi="Cambria Math" w:cs="Arial"/>
            <w:color w:val="333333"/>
            <w:sz w:val="20"/>
            <w:szCs w:val="20"/>
            <w:shd w:val="clear" w:color="auto" w:fill="FCFCFC"/>
          </w:rPr>
          <m:t xml:space="preserve"> </m:t>
        </m:r>
      </m:oMath>
      <w:r w:rsidRPr="00EA4251">
        <w:rPr>
          <w:rFonts w:ascii="Arial" w:eastAsiaTheme="minorEastAsia" w:hAnsi="Arial" w:cs="Arial"/>
          <w:color w:val="333333"/>
          <w:sz w:val="20"/>
          <w:szCs w:val="20"/>
          <w:shd w:val="clear" w:color="auto" w:fill="FCFCFC"/>
        </w:rPr>
        <w:t>,</w:t>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t xml:space="preserve">       </w:t>
      </w:r>
      <w:proofErr w:type="gramStart"/>
      <w:r w:rsidRPr="00EA4251">
        <w:rPr>
          <w:rFonts w:ascii="Arial" w:eastAsiaTheme="minorEastAsia" w:hAnsi="Arial" w:cs="Arial"/>
          <w:color w:val="333333"/>
          <w:sz w:val="20"/>
          <w:szCs w:val="20"/>
          <w:shd w:val="clear" w:color="auto" w:fill="FCFCFC"/>
        </w:rPr>
        <w:t xml:space="preserve">   (</w:t>
      </w:r>
      <w:proofErr w:type="gramEnd"/>
      <w:r w:rsidRPr="00EA4251">
        <w:rPr>
          <w:rFonts w:ascii="Arial" w:eastAsiaTheme="minorEastAsia" w:hAnsi="Arial" w:cs="Arial"/>
          <w:color w:val="333333"/>
          <w:sz w:val="20"/>
          <w:szCs w:val="20"/>
          <w:shd w:val="clear" w:color="auto" w:fill="FCFCFC"/>
        </w:rPr>
        <w:t>7)</w:t>
      </w:r>
    </w:p>
    <w:p w14:paraId="55DC7FA1"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where </w:t>
      </w:r>
      <m:oMath>
        <m:r>
          <w:rPr>
            <w:rFonts w:ascii="Cambria Math" w:eastAsiaTheme="minorEastAsia" w:hAnsi="Cambria Math" w:cs="Arial"/>
            <w:color w:val="333333"/>
            <w:sz w:val="20"/>
            <w:szCs w:val="20"/>
            <w:shd w:val="clear" w:color="auto" w:fill="FCFCFC"/>
          </w:rPr>
          <m:t>B=</m:t>
        </m:r>
        <m:d>
          <m:dPr>
            <m:ctrlPr>
              <w:rPr>
                <w:rFonts w:ascii="Cambria Math" w:eastAsiaTheme="minorEastAsia" w:hAnsi="Cambria Math" w:cs="Arial"/>
                <w:i/>
                <w:color w:val="333333"/>
                <w:sz w:val="20"/>
                <w:szCs w:val="20"/>
                <w:shd w:val="clear" w:color="auto" w:fill="FCFCFC"/>
              </w:rPr>
            </m:ctrlPr>
          </m:dPr>
          <m:e>
            <m:m>
              <m:mPr>
                <m:mcs>
                  <m:mc>
                    <m:mcPr>
                      <m:count m:val="2"/>
                      <m:mcJc m:val="center"/>
                    </m:mcPr>
                  </m:mc>
                </m:mcs>
                <m:ctrlPr>
                  <w:rPr>
                    <w:rFonts w:ascii="Cambria Math" w:eastAsiaTheme="minorEastAsia" w:hAnsi="Cambria Math" w:cs="Arial"/>
                    <w:i/>
                    <w:color w:val="333333"/>
                    <w:sz w:val="20"/>
                    <w:szCs w:val="20"/>
                    <w:shd w:val="clear" w:color="auto" w:fill="FCFCFC"/>
                  </w:rPr>
                </m:ctrlPr>
              </m:mPr>
              <m:m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-z</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(2)</m:t>
                  </m:r>
                </m:e>
                <m:e>
                  <m:r>
                    <w:rPr>
                      <w:rFonts w:ascii="Cambria Math" w:eastAsiaTheme="minorEastAsia" w:hAnsi="Cambria Math" w:cs="Arial"/>
                      <w:color w:val="333333"/>
                      <w:sz w:val="20"/>
                      <w:szCs w:val="20"/>
                      <w:shd w:val="clear" w:color="auto" w:fill="FCFCFC"/>
                    </w:rPr>
                    <m:t>1</m:t>
                  </m:r>
                </m:e>
              </m:mr>
              <m:m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-z</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(3)</m:t>
                  </m:r>
                </m:e>
                <m:e>
                  <m:r>
                    <w:rPr>
                      <w:rFonts w:ascii="Cambria Math" w:eastAsiaTheme="minorEastAsia" w:hAnsi="Cambria Math" w:cs="Arial"/>
                      <w:color w:val="333333"/>
                      <w:sz w:val="20"/>
                      <w:szCs w:val="20"/>
                      <w:shd w:val="clear" w:color="auto" w:fill="FCFCFC"/>
                    </w:rPr>
                    <m:t>1</m:t>
                  </m:r>
                </m:e>
              </m:mr>
              <m:mr>
                <m:e>
                  <m:r>
                    <w:rPr>
                      <w:rFonts w:ascii="Cambria Math" w:hAnsi="Cambria Math" w:cs="Arial"/>
                      <w:color w:val="333333"/>
                      <w:sz w:val="20"/>
                      <w:szCs w:val="20"/>
                      <w:shd w:val="clear" w:color="auto" w:fill="FCFCFC"/>
                    </w:rPr>
                    <m:t>⋮</m:t>
                  </m:r>
                  <m:ctrlPr>
                    <w:rPr>
                      <w:rFonts w:ascii="Cambria Math" w:eastAsia="Cambria Math" w:hAnsi="Cambria Math" w:cs="Arial"/>
                      <w:i/>
                      <w:color w:val="333333"/>
                      <w:sz w:val="20"/>
                      <w:szCs w:val="20"/>
                      <w:shd w:val="clear" w:color="auto" w:fill="FCFCFC"/>
                    </w:rPr>
                  </m:ctrlPr>
                </m:e>
                <m:e>
                  <m:r>
                    <w:rPr>
                      <w:rFonts w:ascii="Cambria Math" w:eastAsia="Cambria Math" w:hAnsi="Cambria Math" w:cs="Arial"/>
                      <w:color w:val="333333"/>
                      <w:sz w:val="20"/>
                      <w:szCs w:val="20"/>
                      <w:shd w:val="clear" w:color="auto" w:fill="FCFCFC"/>
                    </w:rPr>
                    <m:t>⋮</m:t>
                  </m:r>
                  <m:ctrlPr>
                    <w:rPr>
                      <w:rFonts w:ascii="Cambria Math" w:eastAsia="Cambria Math" w:hAnsi="Cambria Math" w:cs="Arial"/>
                      <w:i/>
                      <w:color w:val="333333"/>
                      <w:sz w:val="20"/>
                      <w:szCs w:val="20"/>
                      <w:shd w:val="clear" w:color="auto" w:fill="FCFCFC"/>
                    </w:rPr>
                  </m:ctrlPr>
                </m:e>
              </m:mr>
              <m:mr>
                <m:e>
                  <m:sSup>
                    <m:sSupPr>
                      <m:ctrlPr>
                        <w:rPr>
                          <w:rFonts w:ascii="Cambria Math" w:eastAsia="Cambria Math" w:hAnsi="Cambria Math" w:cs="Arial"/>
                          <w:i/>
                          <w:color w:val="333333"/>
                          <w:sz w:val="20"/>
                          <w:szCs w:val="20"/>
                          <w:shd w:val="clear" w:color="auto" w:fill="FCFCFC"/>
                        </w:rPr>
                      </m:ctrlPr>
                    </m:sSupPr>
                    <m:e>
                      <m:r>
                        <w:rPr>
                          <w:rFonts w:ascii="Cambria Math" w:eastAsia="Cambria Math" w:hAnsi="Cambria Math" w:cs="Arial"/>
                          <w:color w:val="333333"/>
                          <w:sz w:val="20"/>
                          <w:szCs w:val="20"/>
                          <w:shd w:val="clear" w:color="auto" w:fill="FCFCFC"/>
                        </w:rPr>
                        <m:t>-z</m:t>
                      </m:r>
                    </m:e>
                    <m:sup>
                      <m:r>
                        <w:rPr>
                          <w:rFonts w:ascii="Cambria Math" w:eastAsia="Cambria Math" w:hAnsi="Cambria Math" w:cs="Arial"/>
                          <w:color w:val="333333"/>
                          <w:sz w:val="20"/>
                          <w:szCs w:val="20"/>
                          <w:shd w:val="clear" w:color="auto" w:fill="FCFCFC"/>
                        </w:rPr>
                        <m:t>(1)</m:t>
                      </m:r>
                    </m:sup>
                  </m:sSup>
                  <m:r>
                    <w:rPr>
                      <w:rFonts w:ascii="Cambria Math" w:eastAsia="Cambria Math" w:hAnsi="Cambria Math" w:cs="Arial"/>
                      <w:color w:val="333333"/>
                      <w:sz w:val="20"/>
                      <w:szCs w:val="20"/>
                      <w:shd w:val="clear" w:color="auto" w:fill="FCFCFC"/>
                    </w:rPr>
                    <m:t>(n)</m:t>
                  </m:r>
                </m:e>
                <m:e>
                  <m:r>
                    <w:rPr>
                      <w:rFonts w:ascii="Cambria Math" w:eastAsiaTheme="minorEastAsia" w:hAnsi="Cambria Math" w:cs="Arial"/>
                      <w:color w:val="333333"/>
                      <w:sz w:val="20"/>
                      <w:szCs w:val="20"/>
                      <w:shd w:val="clear" w:color="auto" w:fill="FCFCFC"/>
                    </w:rPr>
                    <m:t>1</m:t>
                  </m:r>
                </m:e>
              </m:mr>
            </m:m>
          </m:e>
        </m:d>
      </m:oMath>
      <w:r w:rsidRPr="00EA4251">
        <w:rPr>
          <w:rFonts w:ascii="Arial" w:eastAsiaTheme="minorEastAsia" w:hAnsi="Arial" w:cs="Arial"/>
          <w:color w:val="333333"/>
          <w:sz w:val="20"/>
          <w:szCs w:val="20"/>
          <w:shd w:val="clear" w:color="auto" w:fill="FCFCFC"/>
        </w:rPr>
        <w:t xml:space="preserve"> , and Y</w:t>
      </w:r>
      <w:r w:rsidRPr="00EA4251">
        <w:rPr>
          <w:rFonts w:ascii="Arial" w:eastAsiaTheme="minorEastAsia" w:hAnsi="Arial" w:cs="Arial"/>
          <w:color w:val="333333"/>
          <w:sz w:val="20"/>
          <w:szCs w:val="20"/>
          <w:shd w:val="clear" w:color="auto" w:fill="FCFCFC"/>
          <w:vertAlign w:val="subscript"/>
        </w:rPr>
        <w:t>N</w:t>
      </w:r>
      <w:r w:rsidRPr="00EA4251">
        <w:rPr>
          <w:rFonts w:ascii="Arial" w:eastAsiaTheme="minorEastAsia" w:hAnsi="Arial" w:cs="Arial"/>
          <w:color w:val="333333"/>
          <w:sz w:val="20"/>
          <w:szCs w:val="20"/>
          <w:shd w:val="clear" w:color="auto" w:fill="FCFCFC"/>
        </w:rPr>
        <w:t xml:space="preserve"> = </w:t>
      </w:r>
      <m:oMath>
        <m:d>
          <m:dPr>
            <m:ctrlPr>
              <w:rPr>
                <w:rFonts w:ascii="Cambria Math" w:eastAsiaTheme="minorEastAsia" w:hAnsi="Cambria Math" w:cs="Arial"/>
                <w:i/>
                <w:color w:val="333333"/>
                <w:sz w:val="20"/>
                <w:szCs w:val="20"/>
                <w:shd w:val="clear" w:color="auto" w:fill="FCFCFC"/>
              </w:rPr>
            </m:ctrlPr>
          </m:dPr>
          <m:e>
            <m:m>
              <m:mPr>
                <m:mcs>
                  <m:mc>
                    <m:mcPr>
                      <m:count m:val="1"/>
                      <m:mcJc m:val="center"/>
                    </m:mcPr>
                  </m:mc>
                </m:mcs>
                <m:ctrlPr>
                  <w:rPr>
                    <w:rFonts w:ascii="Cambria Math" w:eastAsiaTheme="minorEastAsia" w:hAnsi="Cambria Math" w:cs="Arial"/>
                    <w:i/>
                    <w:color w:val="333333"/>
                    <w:sz w:val="20"/>
                    <w:szCs w:val="20"/>
                    <w:shd w:val="clear" w:color="auto" w:fill="FCFCFC"/>
                  </w:rPr>
                </m:ctrlPr>
              </m:mPr>
              <m:m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r>
                    <w:rPr>
                      <w:rFonts w:ascii="Cambria Math" w:eastAsiaTheme="minorEastAsia" w:hAnsi="Cambria Math" w:cs="Arial"/>
                      <w:color w:val="333333"/>
                      <w:sz w:val="20"/>
                      <w:szCs w:val="20"/>
                      <w:shd w:val="clear" w:color="auto" w:fill="FCFCFC"/>
                    </w:rPr>
                    <m:t>(2)</m:t>
                  </m:r>
                </m:e>
              </m:mr>
              <m:m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r>
                    <w:rPr>
                      <w:rFonts w:ascii="Cambria Math" w:eastAsiaTheme="minorEastAsia" w:hAnsi="Cambria Math" w:cs="Arial"/>
                      <w:color w:val="333333"/>
                      <w:sz w:val="20"/>
                      <w:szCs w:val="20"/>
                      <w:shd w:val="clear" w:color="auto" w:fill="FCFCFC"/>
                    </w:rPr>
                    <m:t>(3)</m:t>
                  </m:r>
                </m:e>
              </m:mr>
              <m:mr>
                <m:e>
                  <m:r>
                    <w:rPr>
                      <w:rFonts w:ascii="Cambria Math" w:hAnsi="Cambria Math" w:cs="Arial"/>
                      <w:color w:val="333333"/>
                      <w:sz w:val="20"/>
                      <w:szCs w:val="20"/>
                      <w:shd w:val="clear" w:color="auto" w:fill="FCFCFC"/>
                    </w:rPr>
                    <m:t>⋮</m:t>
                  </m:r>
                  <m:ctrlPr>
                    <w:rPr>
                      <w:rFonts w:ascii="Cambria Math" w:eastAsia="Cambria Math" w:hAnsi="Cambria Math" w:cs="Arial"/>
                      <w:i/>
                      <w:color w:val="333333"/>
                      <w:sz w:val="20"/>
                      <w:szCs w:val="20"/>
                      <w:shd w:val="clear" w:color="auto" w:fill="FCFCFC"/>
                    </w:rPr>
                  </m:ctrlPr>
                </m:e>
              </m:mr>
              <m:mr>
                <m:e>
                  <m:sSup>
                    <m:sSupPr>
                      <m:ctrlPr>
                        <w:rPr>
                          <w:rFonts w:ascii="Cambria Math" w:eastAsia="Cambria Math" w:hAnsi="Cambria Math" w:cs="Arial"/>
                          <w:i/>
                          <w:color w:val="333333"/>
                          <w:sz w:val="20"/>
                          <w:szCs w:val="20"/>
                          <w:shd w:val="clear" w:color="auto" w:fill="FCFCFC"/>
                        </w:rPr>
                      </m:ctrlPr>
                    </m:sSupPr>
                    <m:e>
                      <m:r>
                        <w:rPr>
                          <w:rFonts w:ascii="Cambria Math" w:eastAsia="Cambria Math" w:hAnsi="Cambria Math" w:cs="Arial"/>
                          <w:color w:val="333333"/>
                          <w:sz w:val="20"/>
                          <w:szCs w:val="20"/>
                          <w:shd w:val="clear" w:color="auto" w:fill="FCFCFC"/>
                        </w:rPr>
                        <m:t>x</m:t>
                      </m:r>
                    </m:e>
                    <m:sup>
                      <m:r>
                        <w:rPr>
                          <w:rFonts w:ascii="Cambria Math" w:eastAsia="Cambria Math" w:hAnsi="Cambria Math" w:cs="Arial"/>
                          <w:color w:val="333333"/>
                          <w:sz w:val="20"/>
                          <w:szCs w:val="20"/>
                          <w:shd w:val="clear" w:color="auto" w:fill="FCFCFC"/>
                        </w:rPr>
                        <m:t>(0)</m:t>
                      </m:r>
                    </m:sup>
                  </m:sSup>
                  <m:r>
                    <w:rPr>
                      <w:rFonts w:ascii="Cambria Math" w:eastAsia="Cambria Math" w:hAnsi="Cambria Math" w:cs="Arial"/>
                      <w:color w:val="333333"/>
                      <w:sz w:val="20"/>
                      <w:szCs w:val="20"/>
                      <w:shd w:val="clear" w:color="auto" w:fill="FCFCFC"/>
                    </w:rPr>
                    <m:t>(N)</m:t>
                  </m:r>
                </m:e>
              </m:mr>
            </m:m>
          </m:e>
        </m:d>
      </m:oMath>
    </w:p>
    <w:p w14:paraId="071921E7" w14:textId="77777777" w:rsidR="004708FA" w:rsidRPr="00EA4251" w:rsidRDefault="004708FA" w:rsidP="007B18EC">
      <w:pPr>
        <w:spacing w:line="360" w:lineRule="auto"/>
        <w:jc w:val="both"/>
        <w:rPr>
          <w:rFonts w:ascii="Arial" w:eastAsiaTheme="minorEastAsia" w:hAnsi="Arial" w:cs="Arial"/>
          <w:b/>
          <w:bCs/>
          <w:color w:val="333333"/>
          <w:sz w:val="20"/>
          <w:szCs w:val="20"/>
          <w:shd w:val="clear" w:color="auto" w:fill="FCFCFC"/>
        </w:rPr>
      </w:pPr>
      <w:r w:rsidRPr="00EA4251">
        <w:rPr>
          <w:rFonts w:ascii="Arial" w:eastAsiaTheme="minorEastAsia" w:hAnsi="Arial" w:cs="Arial"/>
          <w:b/>
          <w:bCs/>
          <w:color w:val="333333"/>
          <w:sz w:val="20"/>
          <w:szCs w:val="20"/>
          <w:shd w:val="clear" w:color="auto" w:fill="FCFCFC"/>
        </w:rPr>
        <w:t>Step 6: Construct the Time Response Function</w:t>
      </w:r>
    </w:p>
    <w:p w14:paraId="6A36494C"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 By employing the white process, Equation (6) can be reformulated as a grey difference equation, as shown below:</w:t>
      </w:r>
    </w:p>
    <w:p w14:paraId="3FA6D328"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d</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(k)</m:t>
            </m:r>
          </m:num>
          <m:den>
            <m:r>
              <w:rPr>
                <w:rFonts w:ascii="Cambria Math" w:eastAsiaTheme="minorEastAsia" w:hAnsi="Cambria Math" w:cs="Arial"/>
                <w:color w:val="333333"/>
                <w:sz w:val="20"/>
                <w:szCs w:val="20"/>
                <w:shd w:val="clear" w:color="auto" w:fill="FCFCFC"/>
              </w:rPr>
              <m:t>dk</m:t>
            </m:r>
          </m:den>
        </m:f>
        <m:r>
          <w:rPr>
            <w:rFonts w:ascii="Cambria Math" w:eastAsiaTheme="minorEastAsia" w:hAnsi="Cambria Math" w:cs="Arial"/>
            <w:color w:val="333333"/>
            <w:sz w:val="20"/>
            <w:szCs w:val="20"/>
            <w:shd w:val="clear" w:color="auto" w:fill="FCFCFC"/>
          </w:rPr>
          <m:t>+a</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(1)</m:t>
            </m:r>
          </m:sup>
        </m:sSup>
        <m:r>
          <w:rPr>
            <w:rFonts w:ascii="Cambria Math" w:eastAsiaTheme="minorEastAsia" w:hAnsi="Cambria Math" w:cs="Arial"/>
            <w:color w:val="333333"/>
            <w:sz w:val="20"/>
            <w:szCs w:val="20"/>
            <w:shd w:val="clear" w:color="auto" w:fill="FCFCFC"/>
          </w:rPr>
          <m:t>(k)=b</m:t>
        </m:r>
      </m:oMath>
      <w:r w:rsidRPr="00EA4251">
        <w:rPr>
          <w:rFonts w:ascii="Arial" w:eastAsiaTheme="minorEastAsia" w:hAnsi="Arial" w:cs="Arial"/>
          <w:color w:val="333333"/>
          <w:sz w:val="20"/>
          <w:szCs w:val="20"/>
          <w:shd w:val="clear" w:color="auto" w:fill="FCFCFC"/>
        </w:rPr>
        <w:t xml:space="preserve"> </w:t>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t>(8)</w:t>
      </w:r>
    </w:p>
    <w:p w14:paraId="7DFF8A9B"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lastRenderedPageBreak/>
        <w:t xml:space="preserve">To solve Eq. (8), the discrete sequence </w:t>
      </w:r>
      <w:proofErr w:type="gramStart"/>
      <w:r w:rsidRPr="00EA4251">
        <w:rPr>
          <w:rFonts w:ascii="Arial" w:eastAsiaTheme="minorEastAsia" w:hAnsi="Arial" w:cs="Arial"/>
          <w:color w:val="333333"/>
          <w:sz w:val="20"/>
          <w:szCs w:val="20"/>
          <w:shd w:val="clear" w:color="auto" w:fill="FCFCFC"/>
        </w:rPr>
        <w:t>x</w:t>
      </w:r>
      <w:r w:rsidRPr="00EA4251">
        <w:rPr>
          <w:rFonts w:ascii="Arial" w:eastAsiaTheme="minorEastAsia" w:hAnsi="Arial" w:cs="Arial"/>
          <w:color w:val="333333"/>
          <w:sz w:val="20"/>
          <w:szCs w:val="20"/>
          <w:shd w:val="clear" w:color="auto" w:fill="FCFCFC"/>
          <w:vertAlign w:val="superscript"/>
        </w:rPr>
        <w:t>(</w:t>
      </w:r>
      <w:proofErr w:type="gramEnd"/>
      <w:r w:rsidRPr="00EA4251">
        <w:rPr>
          <w:rFonts w:ascii="Arial" w:eastAsiaTheme="minorEastAsia" w:hAnsi="Arial" w:cs="Arial"/>
          <w:color w:val="333333"/>
          <w:sz w:val="20"/>
          <w:szCs w:val="20"/>
          <w:shd w:val="clear" w:color="auto" w:fill="FCFCFC"/>
          <w:vertAlign w:val="superscript"/>
        </w:rPr>
        <w:t xml:space="preserve">1) </w:t>
      </w:r>
      <w:r w:rsidRPr="00EA4251">
        <w:rPr>
          <w:rFonts w:ascii="Arial" w:eastAsiaTheme="minorEastAsia" w:hAnsi="Arial" w:cs="Arial"/>
          <w:color w:val="333333"/>
          <w:sz w:val="20"/>
          <w:szCs w:val="20"/>
          <w:shd w:val="clear" w:color="auto" w:fill="FCFCFC"/>
        </w:rPr>
        <w:t>whitening equations are used:</w:t>
      </w:r>
    </w:p>
    <w:p w14:paraId="4F755DC9"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k+1</m:t>
            </m:r>
          </m:e>
        </m:d>
        <m:r>
          <w:rPr>
            <w:rFonts w:ascii="Cambria Math" w:eastAsiaTheme="minorEastAsia" w:hAnsi="Cambria Math" w:cs="Arial"/>
            <w:color w:val="333333"/>
            <w:sz w:val="20"/>
            <w:szCs w:val="20"/>
            <w:shd w:val="clear" w:color="auto" w:fill="FCFCFC"/>
          </w:rPr>
          <m:t>=</m:t>
        </m:r>
        <m:d>
          <m:dPr>
            <m:begChr m:val="["/>
            <m:endChr m:val="]"/>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1</m:t>
                </m:r>
              </m:e>
            </m:d>
            <m:r>
              <w:rPr>
                <w:rFonts w:ascii="Cambria Math" w:eastAsiaTheme="minorEastAsia" w:hAnsi="Cambria Math" w:cs="Arial"/>
                <w:color w:val="333333"/>
                <w:sz w:val="20"/>
                <w:szCs w:val="20"/>
                <w:shd w:val="clear" w:color="auto" w:fill="FCFCFC"/>
              </w:rPr>
              <m:t>-</m:t>
            </m:r>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b</m:t>
                </m:r>
              </m:num>
              <m:den>
                <m:r>
                  <w:rPr>
                    <w:rFonts w:ascii="Cambria Math" w:eastAsiaTheme="minorEastAsia" w:hAnsi="Cambria Math" w:cs="Arial"/>
                    <w:color w:val="333333"/>
                    <w:sz w:val="20"/>
                    <w:szCs w:val="20"/>
                    <w:shd w:val="clear" w:color="auto" w:fill="FCFCFC"/>
                  </w:rPr>
                  <m:t>a</m:t>
                </m:r>
              </m:den>
            </m:f>
          </m:e>
        </m:d>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e</m:t>
            </m:r>
          </m:e>
          <m:sup>
            <m:r>
              <w:rPr>
                <w:rFonts w:ascii="Cambria Math" w:eastAsiaTheme="minorEastAsia" w:hAnsi="Cambria Math" w:cs="Arial"/>
                <w:color w:val="333333"/>
                <w:sz w:val="20"/>
                <w:szCs w:val="20"/>
                <w:shd w:val="clear" w:color="auto" w:fill="FCFCFC"/>
              </w:rPr>
              <m:t>-ak</m:t>
            </m:r>
          </m:sup>
        </m:sSup>
        <m:r>
          <w:rPr>
            <w:rFonts w:ascii="Cambria Math" w:eastAsiaTheme="minorEastAsia" w:hAnsi="Cambria Math" w:cs="Arial"/>
            <w:color w:val="333333"/>
            <w:sz w:val="20"/>
            <w:szCs w:val="20"/>
            <w:shd w:val="clear" w:color="auto" w:fill="FCFCFC"/>
          </w:rPr>
          <m:t>+</m:t>
        </m:r>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b</m:t>
            </m:r>
          </m:num>
          <m:den>
            <m:r>
              <w:rPr>
                <w:rFonts w:ascii="Cambria Math" w:eastAsiaTheme="minorEastAsia" w:hAnsi="Cambria Math" w:cs="Arial"/>
                <w:color w:val="333333"/>
                <w:sz w:val="20"/>
                <w:szCs w:val="20"/>
                <w:shd w:val="clear" w:color="auto" w:fill="FCFCFC"/>
              </w:rPr>
              <m:t>a</m:t>
            </m:r>
          </m:den>
        </m:f>
      </m:oMath>
      <w:r w:rsidRPr="00EA4251">
        <w:rPr>
          <w:rFonts w:ascii="Arial" w:eastAsiaTheme="minorEastAsia" w:hAnsi="Arial" w:cs="Arial"/>
          <w:color w:val="333333"/>
          <w:sz w:val="20"/>
          <w:szCs w:val="20"/>
          <w:shd w:val="clear" w:color="auto" w:fill="FCFCFC"/>
        </w:rPr>
        <w:t xml:space="preserve"> </w:t>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t>(10)</w:t>
      </w:r>
    </w:p>
    <w:p w14:paraId="649BBD10" w14:textId="77777777" w:rsidR="004708FA" w:rsidRPr="00EA4251" w:rsidRDefault="004708FA" w:rsidP="007B18EC">
      <w:pPr>
        <w:spacing w:line="360" w:lineRule="auto"/>
        <w:jc w:val="both"/>
        <w:rPr>
          <w:rFonts w:ascii="Arial" w:eastAsiaTheme="minorEastAsia" w:hAnsi="Arial" w:cs="Arial"/>
          <w:b/>
          <w:bCs/>
          <w:color w:val="333333"/>
          <w:sz w:val="20"/>
          <w:szCs w:val="20"/>
          <w:shd w:val="clear" w:color="auto" w:fill="FCFCFC"/>
        </w:rPr>
      </w:pPr>
      <w:r w:rsidRPr="00EA4251">
        <w:rPr>
          <w:rFonts w:ascii="Arial" w:eastAsiaTheme="minorEastAsia" w:hAnsi="Arial" w:cs="Arial"/>
          <w:b/>
          <w:bCs/>
          <w:color w:val="333333"/>
          <w:sz w:val="20"/>
          <w:szCs w:val="20"/>
          <w:shd w:val="clear" w:color="auto" w:fill="FCFCFC"/>
        </w:rPr>
        <w:t xml:space="preserve">Step 7: Apply Inverse Accumulated Generating Operation (AGO) </w:t>
      </w:r>
    </w:p>
    <w:p w14:paraId="45B0EEDF"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The grey forecasting model relies on data derived from the Accumulated Generating Operation (AGO) instead of the original dataset, allowing the Inverse Accumulated Generation Operation (IAGO) to be employed for reversing the forecasted values.</w:t>
      </w:r>
    </w:p>
    <w:p w14:paraId="2FC8B59B"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Then, </w:t>
      </w:r>
      <m:oMath>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r>
              <w:rPr>
                <w:rFonts w:ascii="Cambria Math" w:eastAsiaTheme="minorEastAsia" w:hAnsi="Cambria Math" w:cs="Arial"/>
                <w:color w:val="333333"/>
                <w:sz w:val="20"/>
                <w:szCs w:val="20"/>
                <w:shd w:val="clear" w:color="auto" w:fill="FCFCFC"/>
              </w:rPr>
              <m:t>(0)</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r>
              <w:rPr>
                <w:rFonts w:ascii="Cambria Math" w:eastAsiaTheme="minorEastAsia" w:hAnsi="Cambria Math" w:cs="Arial"/>
                <w:color w:val="333333"/>
                <w:sz w:val="20"/>
                <w:szCs w:val="20"/>
                <w:shd w:val="clear" w:color="auto" w:fill="FCFCFC"/>
              </w:rPr>
              <m:t>(1)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k-1</m:t>
            </m:r>
          </m:e>
        </m:d>
      </m:oMath>
      <w:r w:rsidRPr="00EA4251">
        <w:rPr>
          <w:rFonts w:ascii="Arial" w:eastAsiaTheme="minorEastAsia" w:hAnsi="Arial" w:cs="Arial"/>
          <w:color w:val="333333"/>
          <w:sz w:val="20"/>
          <w:szCs w:val="20"/>
          <w:shd w:val="clear" w:color="auto" w:fill="FCFCFC"/>
        </w:rPr>
        <w:t xml:space="preserve"> , k = 2,3, </w:t>
      </w:r>
      <w:proofErr w:type="gramStart"/>
      <w:r w:rsidRPr="00EA4251">
        <w:rPr>
          <w:rFonts w:ascii="Arial" w:eastAsiaTheme="minorEastAsia" w:hAnsi="Arial" w:cs="Arial"/>
          <w:color w:val="333333"/>
          <w:sz w:val="20"/>
          <w:szCs w:val="20"/>
          <w:shd w:val="clear" w:color="auto" w:fill="FCFCFC"/>
        </w:rPr>
        <w:t>. . . .</w:t>
      </w:r>
      <w:proofErr w:type="gramEnd"/>
      <w:r w:rsidRPr="00EA4251">
        <w:rPr>
          <w:rFonts w:ascii="Arial" w:eastAsiaTheme="minorEastAsia" w:hAnsi="Arial" w:cs="Arial"/>
          <w:color w:val="333333"/>
          <w:sz w:val="20"/>
          <w:szCs w:val="20"/>
          <w:shd w:val="clear" w:color="auto" w:fill="FCFCFC"/>
        </w:rPr>
        <w:t xml:space="preserve"> , n.</w:t>
      </w:r>
    </w:p>
    <w:p w14:paraId="41EBD7EC" w14:textId="77777777" w:rsidR="004708FA" w:rsidRPr="00EA4251" w:rsidRDefault="004708FA" w:rsidP="007B18EC">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i.e., </w:t>
      </w:r>
      <m:oMath>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r>
              <w:rPr>
                <w:rFonts w:ascii="Cambria Math" w:eastAsiaTheme="minorEastAsia" w:hAnsi="Cambria Math" w:cs="Arial"/>
                <w:color w:val="333333"/>
                <w:sz w:val="20"/>
                <w:szCs w:val="20"/>
                <w:shd w:val="clear" w:color="auto" w:fill="FCFCFC"/>
              </w:rPr>
              <m:t>(0)</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k</m:t>
            </m:r>
          </m:e>
        </m:d>
        <m:r>
          <w:rPr>
            <w:rFonts w:ascii="Cambria Math" w:eastAsiaTheme="minorEastAsia" w:hAnsi="Cambria Math" w:cs="Arial"/>
            <w:color w:val="333333"/>
            <w:sz w:val="20"/>
            <w:szCs w:val="20"/>
            <w:shd w:val="clear" w:color="auto" w:fill="FCFCFC"/>
          </w:rPr>
          <m:t xml:space="preserve">= </m:t>
        </m:r>
        <m:d>
          <m:dPr>
            <m:begChr m:val="["/>
            <m:endChr m:val="]"/>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x</m:t>
                </m:r>
              </m:e>
              <m:sup>
                <m:r>
                  <w:rPr>
                    <w:rFonts w:ascii="Cambria Math" w:eastAsiaTheme="minorEastAsia" w:hAnsi="Cambria Math" w:cs="Arial"/>
                    <w:color w:val="333333"/>
                    <w:sz w:val="20"/>
                    <w:szCs w:val="20"/>
                    <w:shd w:val="clear" w:color="auto" w:fill="FCFCFC"/>
                  </w:rPr>
                  <m:t>(0)</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1</m:t>
                </m:r>
              </m:e>
            </m:d>
            <m:r>
              <w:rPr>
                <w:rFonts w:ascii="Cambria Math" w:eastAsiaTheme="minorEastAsia" w:hAnsi="Cambria Math" w:cs="Arial"/>
                <w:color w:val="333333"/>
                <w:sz w:val="20"/>
                <w:szCs w:val="20"/>
                <w:shd w:val="clear" w:color="auto" w:fill="FCFCFC"/>
              </w:rPr>
              <m:t>-</m:t>
            </m:r>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b</m:t>
                </m:r>
              </m:num>
              <m:den>
                <m:r>
                  <w:rPr>
                    <w:rFonts w:ascii="Cambria Math" w:eastAsiaTheme="minorEastAsia" w:hAnsi="Cambria Math" w:cs="Arial"/>
                    <w:color w:val="333333"/>
                    <w:sz w:val="20"/>
                    <w:szCs w:val="20"/>
                    <w:shd w:val="clear" w:color="auto" w:fill="FCFCFC"/>
                  </w:rPr>
                  <m:t>a</m:t>
                </m:r>
              </m:den>
            </m:f>
          </m:e>
        </m:d>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e</m:t>
            </m:r>
          </m:e>
          <m:sup>
            <m:r>
              <w:rPr>
                <w:rFonts w:ascii="Cambria Math" w:eastAsiaTheme="minorEastAsia" w:hAnsi="Cambria Math" w:cs="Arial"/>
                <w:color w:val="333333"/>
                <w:sz w:val="20"/>
                <w:szCs w:val="20"/>
                <w:shd w:val="clear" w:color="auto" w:fill="FCFCFC"/>
              </w:rPr>
              <m:t>-a(k-1)</m:t>
            </m:r>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1-</m:t>
            </m:r>
            <m:sSup>
              <m:sSupPr>
                <m:ctrlPr>
                  <w:rPr>
                    <w:rFonts w:ascii="Cambria Math" w:eastAsiaTheme="minorEastAsia" w:hAnsi="Cambria Math" w:cs="Arial"/>
                    <w:i/>
                    <w:color w:val="333333"/>
                    <w:sz w:val="20"/>
                    <w:szCs w:val="20"/>
                    <w:shd w:val="clear" w:color="auto" w:fill="FCFCFC"/>
                  </w:rPr>
                </m:ctrlPr>
              </m:sSupPr>
              <m:e>
                <m:r>
                  <w:rPr>
                    <w:rFonts w:ascii="Cambria Math" w:eastAsiaTheme="minorEastAsia" w:hAnsi="Cambria Math" w:cs="Arial"/>
                    <w:color w:val="333333"/>
                    <w:sz w:val="20"/>
                    <w:szCs w:val="20"/>
                    <w:shd w:val="clear" w:color="auto" w:fill="FCFCFC"/>
                  </w:rPr>
                  <m:t>e</m:t>
                </m:r>
              </m:e>
              <m:sup>
                <m:r>
                  <w:rPr>
                    <w:rFonts w:ascii="Cambria Math" w:eastAsiaTheme="minorEastAsia" w:hAnsi="Cambria Math" w:cs="Arial"/>
                    <w:color w:val="333333"/>
                    <w:sz w:val="20"/>
                    <w:szCs w:val="20"/>
                    <w:shd w:val="clear" w:color="auto" w:fill="FCFCFC"/>
                  </w:rPr>
                  <m:t>a</m:t>
                </m:r>
              </m:sup>
            </m:sSup>
          </m:e>
        </m:d>
      </m:oMath>
      <w:r w:rsidRPr="00EA4251">
        <w:rPr>
          <w:rFonts w:ascii="Arial" w:eastAsiaTheme="minorEastAsia" w:hAnsi="Arial" w:cs="Arial"/>
          <w:color w:val="333333"/>
          <w:sz w:val="20"/>
          <w:szCs w:val="20"/>
          <w:shd w:val="clear" w:color="auto" w:fill="FCFCFC"/>
        </w:rPr>
        <w:t xml:space="preserve"> , k = 2,3, </w:t>
      </w:r>
      <w:proofErr w:type="gramStart"/>
      <w:r w:rsidRPr="00EA4251">
        <w:rPr>
          <w:rFonts w:ascii="Arial" w:eastAsiaTheme="minorEastAsia" w:hAnsi="Arial" w:cs="Arial"/>
          <w:color w:val="333333"/>
          <w:sz w:val="20"/>
          <w:szCs w:val="20"/>
          <w:shd w:val="clear" w:color="auto" w:fill="FCFCFC"/>
        </w:rPr>
        <w:t>. . . .</w:t>
      </w:r>
      <w:proofErr w:type="gramEnd"/>
      <w:r w:rsidRPr="00EA4251">
        <w:rPr>
          <w:rFonts w:ascii="Arial" w:eastAsiaTheme="minorEastAsia" w:hAnsi="Arial" w:cs="Arial"/>
          <w:color w:val="333333"/>
          <w:sz w:val="20"/>
          <w:szCs w:val="20"/>
          <w:shd w:val="clear" w:color="auto" w:fill="FCFCFC"/>
        </w:rPr>
        <w:t xml:space="preserve"> </w:t>
      </w:r>
      <w:proofErr w:type="gramStart"/>
      <w:r w:rsidRPr="00EA4251">
        <w:rPr>
          <w:rFonts w:ascii="Arial" w:eastAsiaTheme="minorEastAsia" w:hAnsi="Arial" w:cs="Arial"/>
          <w:color w:val="333333"/>
          <w:sz w:val="20"/>
          <w:szCs w:val="20"/>
          <w:shd w:val="clear" w:color="auto" w:fill="FCFCFC"/>
        </w:rPr>
        <w:t>,n.</w:t>
      </w:r>
      <w:proofErr w:type="gramEnd"/>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r>
      <w:r w:rsidRPr="00EA4251">
        <w:rPr>
          <w:rFonts w:ascii="Arial" w:eastAsiaTheme="minorEastAsia" w:hAnsi="Arial" w:cs="Arial"/>
          <w:color w:val="333333"/>
          <w:sz w:val="20"/>
          <w:szCs w:val="20"/>
          <w:shd w:val="clear" w:color="auto" w:fill="FCFCFC"/>
        </w:rPr>
        <w:tab/>
        <w:t>(11)</w:t>
      </w:r>
    </w:p>
    <w:p w14:paraId="0FC73FB2" w14:textId="77777777" w:rsidR="004708FA" w:rsidRPr="00EA4251" w:rsidRDefault="004708FA" w:rsidP="004708FA">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Given k = 1,2,</w:t>
      </w:r>
      <w:proofErr w:type="gramStart"/>
      <w:r w:rsidRPr="00EA4251">
        <w:rPr>
          <w:rFonts w:ascii="Arial" w:eastAsiaTheme="minorEastAsia" w:hAnsi="Arial" w:cs="Arial"/>
          <w:color w:val="333333"/>
          <w:sz w:val="20"/>
          <w:szCs w:val="20"/>
          <w:shd w:val="clear" w:color="auto" w:fill="FCFCFC"/>
        </w:rPr>
        <w:t>3,,,...</w:t>
      </w:r>
      <w:proofErr w:type="gramEnd"/>
      <w:r w:rsidRPr="00EA4251">
        <w:rPr>
          <w:rFonts w:ascii="Arial" w:eastAsiaTheme="minorEastAsia" w:hAnsi="Arial" w:cs="Arial"/>
          <w:color w:val="333333"/>
          <w:sz w:val="20"/>
          <w:szCs w:val="20"/>
          <w:shd w:val="clear" w:color="auto" w:fill="FCFCFC"/>
        </w:rPr>
        <w:t>, n, the series of reduction is obtained as follows:</w:t>
      </w:r>
    </w:p>
    <w:p w14:paraId="69E343A9" w14:textId="77777777" w:rsidR="004708FA" w:rsidRPr="00EA4251" w:rsidRDefault="004708FA" w:rsidP="004708FA">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r>
      <m:oMath>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r>
              <w:rPr>
                <w:rFonts w:ascii="Cambria Math" w:eastAsiaTheme="minorEastAsia" w:hAnsi="Cambria Math" w:cs="Arial"/>
                <w:color w:val="333333"/>
                <w:sz w:val="20"/>
                <w:szCs w:val="20"/>
                <w:shd w:val="clear" w:color="auto" w:fill="FCFCFC"/>
              </w:rPr>
              <m:t>(0)</m:t>
            </m:r>
          </m:sup>
        </m:sSup>
        <m:r>
          <w:rPr>
            <w:rFonts w:ascii="Cambria Math" w:eastAsiaTheme="minorEastAsia" w:hAnsi="Cambria Math" w:cs="Arial"/>
            <w:color w:val="333333"/>
            <w:sz w:val="20"/>
            <w:szCs w:val="20"/>
            <w:shd w:val="clear" w:color="auto" w:fill="FCFCFC"/>
          </w:rPr>
          <m:t xml:space="preserve">= </m:t>
        </m:r>
        <m:d>
          <m:dPr>
            <m:ctrlPr>
              <w:rPr>
                <w:rFonts w:ascii="Cambria Math" w:eastAsiaTheme="minorEastAsia" w:hAnsi="Cambria Math" w:cs="Arial"/>
                <w:i/>
                <w:color w:val="333333"/>
                <w:sz w:val="20"/>
                <w:szCs w:val="20"/>
                <w:shd w:val="clear" w:color="auto" w:fill="FCFCFC"/>
              </w:rPr>
            </m:ctrlPr>
          </m:dPr>
          <m:e>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0</m:t>
                    </m:r>
                  </m:e>
                </m:d>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1</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0</m:t>
                    </m:r>
                  </m:e>
                </m:d>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2</m:t>
                </m:r>
              </m:e>
            </m:d>
            <m:r>
              <w:rPr>
                <w:rFonts w:ascii="Cambria Math" w:eastAsiaTheme="minorEastAsia" w:hAnsi="Cambria Math" w:cs="Arial"/>
                <w:color w:val="333333"/>
                <w:sz w:val="20"/>
                <w:szCs w:val="20"/>
                <w:shd w:val="clear" w:color="auto" w:fill="FCFCFC"/>
              </w:rPr>
              <m:t>,</m:t>
            </m:r>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0</m:t>
                    </m:r>
                  </m:e>
                </m:d>
              </m:sup>
            </m:s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3</m:t>
                </m:r>
              </m:e>
            </m:d>
            <m:r>
              <w:rPr>
                <w:rFonts w:ascii="Cambria Math" w:eastAsiaTheme="minorEastAsia" w:hAnsi="Cambria Math" w:cs="Arial"/>
                <w:color w:val="333333"/>
                <w:sz w:val="20"/>
                <w:szCs w:val="20"/>
                <w:shd w:val="clear" w:color="auto" w:fill="FCFCFC"/>
              </w:rPr>
              <m:t>, . . . .,</m:t>
            </m:r>
            <m:sSup>
              <m:sSupPr>
                <m:ctrlPr>
                  <w:rPr>
                    <w:rFonts w:ascii="Cambria Math" w:eastAsiaTheme="minorEastAsia" w:hAnsi="Cambria Math" w:cs="Arial"/>
                    <w:i/>
                    <w:color w:val="333333"/>
                    <w:sz w:val="20"/>
                    <w:szCs w:val="20"/>
                    <w:shd w:val="clear" w:color="auto" w:fill="FCFCFC"/>
                  </w:rPr>
                </m:ctrlPr>
              </m:sSup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x</m:t>
                    </m:r>
                  </m:e>
                </m:acc>
              </m:e>
              <m:sup>
                <m:d>
                  <m:dPr>
                    <m:ctrlPr>
                      <w:rPr>
                        <w:rFonts w:ascii="Cambria Math" w:eastAsiaTheme="minorEastAsia" w:hAnsi="Cambria Math" w:cs="Arial"/>
                        <w:i/>
                        <w:color w:val="333333"/>
                        <w:sz w:val="20"/>
                        <w:szCs w:val="20"/>
                        <w:shd w:val="clear" w:color="auto" w:fill="FCFCFC"/>
                      </w:rPr>
                    </m:ctrlPr>
                  </m:dPr>
                  <m:e>
                    <m:r>
                      <w:rPr>
                        <w:rFonts w:ascii="Cambria Math" w:eastAsiaTheme="minorEastAsia" w:hAnsi="Cambria Math" w:cs="Arial"/>
                        <w:color w:val="333333"/>
                        <w:sz w:val="20"/>
                        <w:szCs w:val="20"/>
                        <w:shd w:val="clear" w:color="auto" w:fill="FCFCFC"/>
                      </w:rPr>
                      <m:t>0</m:t>
                    </m:r>
                  </m:e>
                </m:d>
              </m:sup>
            </m:sSup>
            <m:r>
              <w:rPr>
                <w:rFonts w:ascii="Cambria Math" w:eastAsiaTheme="minorEastAsia" w:hAnsi="Cambria Math" w:cs="Arial"/>
                <w:color w:val="333333"/>
                <w:sz w:val="20"/>
                <w:szCs w:val="20"/>
                <w:shd w:val="clear" w:color="auto" w:fill="FCFCFC"/>
              </w:rPr>
              <m:t>(n)</m:t>
            </m:r>
          </m:e>
        </m:d>
        <m:r>
          <w:rPr>
            <w:rFonts w:ascii="Cambria Math" w:eastAsiaTheme="minorEastAsia" w:hAnsi="Cambria Math" w:cs="Arial"/>
            <w:color w:val="333333"/>
            <w:sz w:val="20"/>
            <w:szCs w:val="20"/>
            <w:shd w:val="clear" w:color="auto" w:fill="FCFCFC"/>
          </w:rPr>
          <m:t>.</m:t>
        </m:r>
      </m:oMath>
      <w:r w:rsidRPr="00EA4251">
        <w:rPr>
          <w:rFonts w:ascii="Arial" w:eastAsiaTheme="minorEastAsia" w:hAnsi="Arial" w:cs="Arial"/>
          <w:color w:val="333333"/>
          <w:sz w:val="20"/>
          <w:szCs w:val="20"/>
          <w:shd w:val="clear" w:color="auto" w:fill="FCFCFC"/>
        </w:rPr>
        <w:t xml:space="preserve"> </w:t>
      </w:r>
    </w:p>
    <w:p w14:paraId="4EA7ACD8" w14:textId="77777777" w:rsidR="004708FA" w:rsidRPr="00356C10" w:rsidRDefault="004708FA" w:rsidP="004708FA">
      <w:pPr>
        <w:spacing w:line="360" w:lineRule="auto"/>
        <w:jc w:val="both"/>
        <w:rPr>
          <w:rFonts w:ascii="Arial" w:eastAsiaTheme="minorEastAsia" w:hAnsi="Arial" w:cs="Arial"/>
          <w:b/>
          <w:bCs/>
          <w:color w:val="333333"/>
          <w:shd w:val="clear" w:color="auto" w:fill="FCFCFC"/>
        </w:rPr>
      </w:pPr>
      <w:r w:rsidRPr="00356C10">
        <w:rPr>
          <w:rFonts w:ascii="Arial" w:eastAsiaTheme="minorEastAsia" w:hAnsi="Arial" w:cs="Arial"/>
          <w:b/>
          <w:bCs/>
          <w:color w:val="333333"/>
          <w:shd w:val="clear" w:color="auto" w:fill="FCFCFC"/>
        </w:rPr>
        <w:t>2.3 Forecasting Performance:</w:t>
      </w:r>
    </w:p>
    <w:p w14:paraId="119EBD61" w14:textId="77777777" w:rsidR="004708FA" w:rsidRPr="00EA4251" w:rsidRDefault="004708FA" w:rsidP="004708FA">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Mean Absolute Percentage Error (MAPE)</w:t>
      </w:r>
      <w:r>
        <w:rPr>
          <w:rFonts w:ascii="Arial" w:eastAsiaTheme="minorEastAsia" w:hAnsi="Arial" w:cs="Arial"/>
          <w:color w:val="333333"/>
          <w:sz w:val="20"/>
          <w:szCs w:val="20"/>
          <w:shd w:val="clear" w:color="auto" w:fill="FCFCFC"/>
        </w:rPr>
        <w:t xml:space="preserve"> and Root Mean Square Error (RMSE)</w:t>
      </w:r>
      <w:r w:rsidRPr="00EA4251">
        <w:rPr>
          <w:rFonts w:ascii="Arial" w:eastAsiaTheme="minorEastAsia" w:hAnsi="Arial" w:cs="Arial"/>
          <w:color w:val="333333"/>
          <w:sz w:val="20"/>
          <w:szCs w:val="20"/>
          <w:shd w:val="clear" w:color="auto" w:fill="FCFCFC"/>
        </w:rPr>
        <w:t xml:space="preserve"> </w:t>
      </w:r>
      <w:r>
        <w:rPr>
          <w:rFonts w:ascii="Arial" w:eastAsiaTheme="minorEastAsia" w:hAnsi="Arial" w:cs="Arial"/>
          <w:color w:val="333333"/>
          <w:sz w:val="20"/>
          <w:szCs w:val="20"/>
          <w:shd w:val="clear" w:color="auto" w:fill="FCFCFC"/>
        </w:rPr>
        <w:t>are</w:t>
      </w:r>
      <w:r w:rsidRPr="00EA4251">
        <w:rPr>
          <w:rFonts w:ascii="Arial" w:eastAsiaTheme="minorEastAsia" w:hAnsi="Arial" w:cs="Arial"/>
          <w:color w:val="333333"/>
          <w:sz w:val="20"/>
          <w:szCs w:val="20"/>
          <w:shd w:val="clear" w:color="auto" w:fill="FCFCFC"/>
        </w:rPr>
        <w:t xml:space="preserve"> used to measure the accuracy of the forecast:</w:t>
      </w:r>
    </w:p>
    <w:p w14:paraId="11D3DCBA" w14:textId="77777777" w:rsidR="004708FA" w:rsidRDefault="004708FA" w:rsidP="004708FA">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ab/>
        <w:t xml:space="preserve">MAPE = </w:t>
      </w:r>
      <m:oMath>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1</m:t>
            </m:r>
          </m:num>
          <m:den>
            <m:r>
              <w:rPr>
                <w:rFonts w:ascii="Cambria Math" w:eastAsiaTheme="minorEastAsia" w:hAnsi="Cambria Math" w:cs="Arial"/>
                <w:color w:val="333333"/>
                <w:sz w:val="20"/>
                <w:szCs w:val="20"/>
                <w:shd w:val="clear" w:color="auto" w:fill="FCFCFC"/>
              </w:rPr>
              <m:t>n</m:t>
            </m:r>
          </m:den>
        </m:f>
        <m:nary>
          <m:naryPr>
            <m:chr m:val="∑"/>
            <m:limLoc m:val="undOvr"/>
            <m:ctrlPr>
              <w:rPr>
                <w:rFonts w:ascii="Cambria Math" w:eastAsiaTheme="minorEastAsia" w:hAnsi="Cambria Math" w:cs="Arial"/>
                <w:i/>
                <w:color w:val="333333"/>
                <w:sz w:val="20"/>
                <w:szCs w:val="20"/>
                <w:shd w:val="clear" w:color="auto" w:fill="FCFCFC"/>
              </w:rPr>
            </m:ctrlPr>
          </m:naryPr>
          <m:sub>
            <m:r>
              <w:rPr>
                <w:rFonts w:ascii="Cambria Math" w:eastAsiaTheme="minorEastAsia" w:hAnsi="Cambria Math" w:cs="Arial"/>
                <w:color w:val="333333"/>
                <w:sz w:val="20"/>
                <w:szCs w:val="20"/>
                <w:shd w:val="clear" w:color="auto" w:fill="FCFCFC"/>
              </w:rPr>
              <m:t>i=1</m:t>
            </m:r>
          </m:sub>
          <m:sup>
            <m:r>
              <w:rPr>
                <w:rFonts w:ascii="Cambria Math" w:eastAsiaTheme="minorEastAsia" w:hAnsi="Cambria Math" w:cs="Arial"/>
                <w:color w:val="333333"/>
                <w:sz w:val="20"/>
                <w:szCs w:val="20"/>
                <w:shd w:val="clear" w:color="auto" w:fill="FCFCFC"/>
              </w:rPr>
              <m:t>n</m:t>
            </m:r>
          </m:sup>
          <m:e>
            <m:d>
              <m:dPr>
                <m:begChr m:val="|"/>
                <m:endChr m:val="|"/>
                <m:ctrlPr>
                  <w:rPr>
                    <w:rFonts w:ascii="Cambria Math" w:eastAsiaTheme="minorEastAsia" w:hAnsi="Cambria Math" w:cs="Arial"/>
                    <w:i/>
                    <w:color w:val="333333"/>
                    <w:sz w:val="20"/>
                    <w:szCs w:val="20"/>
                    <w:shd w:val="clear" w:color="auto" w:fill="FCFCFC"/>
                  </w:rPr>
                </m:ctrlPr>
              </m:dPr>
              <m:e>
                <m:f>
                  <m:fPr>
                    <m:ctrlPr>
                      <w:rPr>
                        <w:rFonts w:ascii="Cambria Math" w:eastAsiaTheme="minorEastAsia" w:hAnsi="Cambria Math" w:cs="Arial"/>
                        <w:i/>
                        <w:color w:val="333333"/>
                        <w:sz w:val="20"/>
                        <w:szCs w:val="20"/>
                        <w:shd w:val="clear" w:color="auto" w:fill="FCFCFC"/>
                      </w:rPr>
                    </m:ctrlPr>
                  </m:fPr>
                  <m:num>
                    <m:sSub>
                      <m:sSubPr>
                        <m:ctrlPr>
                          <w:rPr>
                            <w:rFonts w:ascii="Cambria Math" w:eastAsiaTheme="minorEastAsia" w:hAnsi="Cambria Math" w:cs="Arial"/>
                            <w:i/>
                            <w:color w:val="333333"/>
                            <w:sz w:val="20"/>
                            <w:szCs w:val="20"/>
                            <w:shd w:val="clear" w:color="auto" w:fill="FCFCFC"/>
                          </w:rPr>
                        </m:ctrlPr>
                      </m:sSubPr>
                      <m:e>
                        <m:r>
                          <w:rPr>
                            <w:rFonts w:ascii="Cambria Math" w:eastAsiaTheme="minorEastAsia" w:hAnsi="Cambria Math" w:cs="Arial"/>
                            <w:color w:val="333333"/>
                            <w:sz w:val="20"/>
                            <w:szCs w:val="20"/>
                            <w:shd w:val="clear" w:color="auto" w:fill="FCFCFC"/>
                          </w:rPr>
                          <m:t>y</m:t>
                        </m:r>
                      </m:e>
                      <m:sub>
                        <m:r>
                          <w:rPr>
                            <w:rFonts w:ascii="Cambria Math" w:eastAsiaTheme="minorEastAsia" w:hAnsi="Cambria Math" w:cs="Arial"/>
                            <w:color w:val="333333"/>
                            <w:sz w:val="20"/>
                            <w:szCs w:val="20"/>
                            <w:shd w:val="clear" w:color="auto" w:fill="FCFCFC"/>
                          </w:rPr>
                          <m:t>t</m:t>
                        </m:r>
                      </m:sub>
                    </m:sSub>
                    <m:r>
                      <w:rPr>
                        <w:rFonts w:ascii="Cambria Math" w:eastAsiaTheme="minorEastAsia" w:hAnsi="Cambria Math" w:cs="Arial"/>
                        <w:color w:val="333333"/>
                        <w:sz w:val="20"/>
                        <w:szCs w:val="20"/>
                        <w:shd w:val="clear" w:color="auto" w:fill="FCFCFC"/>
                      </w:rPr>
                      <m:t>-</m:t>
                    </m:r>
                    <m:sSub>
                      <m:sSubPr>
                        <m:ctrlPr>
                          <w:rPr>
                            <w:rFonts w:ascii="Cambria Math" w:eastAsiaTheme="minorEastAsia" w:hAnsi="Cambria Math" w:cs="Arial"/>
                            <w:i/>
                            <w:color w:val="333333"/>
                            <w:sz w:val="20"/>
                            <w:szCs w:val="20"/>
                            <w:shd w:val="clear" w:color="auto" w:fill="FCFCFC"/>
                          </w:rPr>
                        </m:ctrlPr>
                      </m:sSub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y</m:t>
                            </m:r>
                          </m:e>
                        </m:acc>
                      </m:e>
                      <m:sub>
                        <m:r>
                          <w:rPr>
                            <w:rFonts w:ascii="Cambria Math" w:eastAsiaTheme="minorEastAsia" w:hAnsi="Cambria Math" w:cs="Arial"/>
                            <w:color w:val="333333"/>
                            <w:sz w:val="20"/>
                            <w:szCs w:val="20"/>
                            <w:shd w:val="clear" w:color="auto" w:fill="FCFCFC"/>
                          </w:rPr>
                          <m:t>t</m:t>
                        </m:r>
                      </m:sub>
                    </m:sSub>
                  </m:num>
                  <m:den>
                    <m:sSub>
                      <m:sSubPr>
                        <m:ctrlPr>
                          <w:rPr>
                            <w:rFonts w:ascii="Cambria Math" w:eastAsiaTheme="minorEastAsia" w:hAnsi="Cambria Math" w:cs="Arial"/>
                            <w:i/>
                            <w:color w:val="333333"/>
                            <w:sz w:val="20"/>
                            <w:szCs w:val="20"/>
                            <w:shd w:val="clear" w:color="auto" w:fill="FCFCFC"/>
                          </w:rPr>
                        </m:ctrlPr>
                      </m:sSubPr>
                      <m:e>
                        <m:r>
                          <w:rPr>
                            <w:rFonts w:ascii="Cambria Math" w:eastAsiaTheme="minorEastAsia" w:hAnsi="Cambria Math" w:cs="Arial"/>
                            <w:color w:val="333333"/>
                            <w:sz w:val="20"/>
                            <w:szCs w:val="20"/>
                            <w:shd w:val="clear" w:color="auto" w:fill="FCFCFC"/>
                          </w:rPr>
                          <m:t>y</m:t>
                        </m:r>
                      </m:e>
                      <m:sub>
                        <m:r>
                          <w:rPr>
                            <w:rFonts w:ascii="Cambria Math" w:eastAsiaTheme="minorEastAsia" w:hAnsi="Cambria Math" w:cs="Arial"/>
                            <w:color w:val="333333"/>
                            <w:sz w:val="20"/>
                            <w:szCs w:val="20"/>
                            <w:shd w:val="clear" w:color="auto" w:fill="FCFCFC"/>
                          </w:rPr>
                          <m:t>t</m:t>
                        </m:r>
                      </m:sub>
                    </m:sSub>
                  </m:den>
                </m:f>
              </m:e>
            </m:d>
            <m:r>
              <w:rPr>
                <w:rFonts w:ascii="Cambria Math" w:eastAsiaTheme="minorEastAsia" w:hAnsi="Cambria Math" w:cs="Arial"/>
                <w:color w:val="333333"/>
                <w:sz w:val="20"/>
                <w:szCs w:val="20"/>
                <w:shd w:val="clear" w:color="auto" w:fill="FCFCFC"/>
              </w:rPr>
              <m:t>×100</m:t>
            </m:r>
          </m:e>
        </m:nary>
      </m:oMath>
      <w:r w:rsidRPr="00EA4251">
        <w:rPr>
          <w:rFonts w:ascii="Arial" w:eastAsiaTheme="minorEastAsia" w:hAnsi="Arial" w:cs="Arial"/>
          <w:color w:val="333333"/>
          <w:sz w:val="20"/>
          <w:szCs w:val="20"/>
          <w:shd w:val="clear" w:color="auto" w:fill="FCFCFC"/>
        </w:rPr>
        <w:t xml:space="preserve"> ,</w:t>
      </w:r>
    </w:p>
    <w:p w14:paraId="07C77EAD" w14:textId="77777777" w:rsidR="004708FA" w:rsidRPr="00EA4251" w:rsidRDefault="004708FA" w:rsidP="004708FA">
      <w:pPr>
        <w:spacing w:line="360" w:lineRule="auto"/>
        <w:jc w:val="both"/>
        <w:rPr>
          <w:rFonts w:ascii="Arial" w:eastAsiaTheme="minorEastAsia" w:hAnsi="Arial" w:cs="Arial"/>
          <w:color w:val="333333"/>
          <w:sz w:val="20"/>
          <w:szCs w:val="20"/>
          <w:shd w:val="clear" w:color="auto" w:fill="FCFCFC"/>
        </w:rPr>
      </w:pPr>
      <w:r>
        <w:rPr>
          <w:rFonts w:ascii="Arial" w:eastAsiaTheme="minorEastAsia" w:hAnsi="Arial" w:cs="Arial"/>
          <w:color w:val="333333"/>
          <w:sz w:val="20"/>
          <w:szCs w:val="20"/>
          <w:shd w:val="clear" w:color="auto" w:fill="FCFCFC"/>
        </w:rPr>
        <w:tab/>
        <w:t>RMSE=</w:t>
      </w:r>
      <m:oMath>
        <m:rad>
          <m:radPr>
            <m:degHide m:val="1"/>
            <m:ctrlPr>
              <w:rPr>
                <w:rFonts w:ascii="Cambria Math" w:eastAsiaTheme="minorEastAsia" w:hAnsi="Cambria Math" w:cs="Arial"/>
                <w:i/>
                <w:color w:val="333333"/>
                <w:sz w:val="20"/>
                <w:szCs w:val="20"/>
                <w:shd w:val="clear" w:color="auto" w:fill="FCFCFC"/>
              </w:rPr>
            </m:ctrlPr>
          </m:radPr>
          <m:deg/>
          <m:e>
            <m:f>
              <m:fPr>
                <m:ctrlPr>
                  <w:rPr>
                    <w:rFonts w:ascii="Cambria Math" w:eastAsiaTheme="minorEastAsia" w:hAnsi="Cambria Math" w:cs="Arial"/>
                    <w:i/>
                    <w:color w:val="333333"/>
                    <w:sz w:val="20"/>
                    <w:szCs w:val="20"/>
                    <w:shd w:val="clear" w:color="auto" w:fill="FCFCFC"/>
                  </w:rPr>
                </m:ctrlPr>
              </m:fPr>
              <m:num>
                <m:r>
                  <w:rPr>
                    <w:rFonts w:ascii="Cambria Math" w:eastAsiaTheme="minorEastAsia" w:hAnsi="Cambria Math" w:cs="Arial"/>
                    <w:color w:val="333333"/>
                    <w:sz w:val="20"/>
                    <w:szCs w:val="20"/>
                    <w:shd w:val="clear" w:color="auto" w:fill="FCFCFC"/>
                  </w:rPr>
                  <m:t>1</m:t>
                </m:r>
              </m:num>
              <m:den>
                <m:r>
                  <w:rPr>
                    <w:rFonts w:ascii="Cambria Math" w:eastAsiaTheme="minorEastAsia" w:hAnsi="Cambria Math" w:cs="Arial"/>
                    <w:color w:val="333333"/>
                    <w:sz w:val="20"/>
                    <w:szCs w:val="20"/>
                    <w:shd w:val="clear" w:color="auto" w:fill="FCFCFC"/>
                  </w:rPr>
                  <m:t>n</m:t>
                </m:r>
              </m:den>
            </m:f>
            <m:nary>
              <m:naryPr>
                <m:chr m:val="∑"/>
                <m:limLoc m:val="undOvr"/>
                <m:ctrlPr>
                  <w:rPr>
                    <w:rFonts w:ascii="Cambria Math" w:eastAsiaTheme="minorEastAsia" w:hAnsi="Cambria Math" w:cs="Arial"/>
                    <w:i/>
                    <w:color w:val="333333"/>
                    <w:sz w:val="20"/>
                    <w:szCs w:val="20"/>
                    <w:shd w:val="clear" w:color="auto" w:fill="FCFCFC"/>
                  </w:rPr>
                </m:ctrlPr>
              </m:naryPr>
              <m:sub>
                <m:r>
                  <w:rPr>
                    <w:rFonts w:ascii="Cambria Math" w:eastAsiaTheme="minorEastAsia" w:hAnsi="Cambria Math" w:cs="Arial"/>
                    <w:color w:val="333333"/>
                    <w:sz w:val="20"/>
                    <w:szCs w:val="20"/>
                    <w:shd w:val="clear" w:color="auto" w:fill="FCFCFC"/>
                  </w:rPr>
                  <m:t>i=1</m:t>
                </m:r>
              </m:sub>
              <m:sup>
                <m:r>
                  <w:rPr>
                    <w:rFonts w:ascii="Cambria Math" w:eastAsiaTheme="minorEastAsia" w:hAnsi="Cambria Math" w:cs="Arial"/>
                    <w:color w:val="333333"/>
                    <w:sz w:val="20"/>
                    <w:szCs w:val="20"/>
                    <w:shd w:val="clear" w:color="auto" w:fill="FCFCFC"/>
                  </w:rPr>
                  <m:t>n</m:t>
                </m:r>
              </m:sup>
              <m:e>
                <m:sSup>
                  <m:sSupPr>
                    <m:ctrlPr>
                      <w:rPr>
                        <w:rFonts w:ascii="Cambria Math" w:eastAsiaTheme="minorEastAsia" w:hAnsi="Cambria Math" w:cs="Arial"/>
                        <w:i/>
                        <w:color w:val="333333"/>
                        <w:sz w:val="20"/>
                        <w:szCs w:val="20"/>
                        <w:shd w:val="clear" w:color="auto" w:fill="FCFCFC"/>
                      </w:rPr>
                    </m:ctrlPr>
                  </m:sSupPr>
                  <m:e>
                    <m:d>
                      <m:dPr>
                        <m:ctrlPr>
                          <w:rPr>
                            <w:rFonts w:ascii="Cambria Math" w:eastAsiaTheme="minorEastAsia" w:hAnsi="Cambria Math" w:cs="Arial"/>
                            <w:i/>
                            <w:color w:val="333333"/>
                            <w:sz w:val="20"/>
                            <w:szCs w:val="20"/>
                            <w:shd w:val="clear" w:color="auto" w:fill="FCFCFC"/>
                          </w:rPr>
                        </m:ctrlPr>
                      </m:dPr>
                      <m:e>
                        <m:sSub>
                          <m:sSubPr>
                            <m:ctrlPr>
                              <w:rPr>
                                <w:rFonts w:ascii="Cambria Math" w:eastAsiaTheme="minorEastAsia" w:hAnsi="Cambria Math" w:cs="Arial"/>
                                <w:i/>
                                <w:color w:val="333333"/>
                                <w:sz w:val="20"/>
                                <w:szCs w:val="20"/>
                                <w:shd w:val="clear" w:color="auto" w:fill="FCFCFC"/>
                              </w:rPr>
                            </m:ctrlPr>
                          </m:sSubPr>
                          <m:e>
                            <m:r>
                              <w:rPr>
                                <w:rFonts w:ascii="Cambria Math" w:eastAsiaTheme="minorEastAsia" w:hAnsi="Cambria Math" w:cs="Arial"/>
                                <w:color w:val="333333"/>
                                <w:sz w:val="20"/>
                                <w:szCs w:val="20"/>
                                <w:shd w:val="clear" w:color="auto" w:fill="FCFCFC"/>
                              </w:rPr>
                              <m:t>y</m:t>
                            </m:r>
                          </m:e>
                          <m:sub>
                            <m:r>
                              <w:rPr>
                                <w:rFonts w:ascii="Cambria Math" w:eastAsiaTheme="minorEastAsia" w:hAnsi="Cambria Math" w:cs="Arial"/>
                                <w:color w:val="333333"/>
                                <w:sz w:val="20"/>
                                <w:szCs w:val="20"/>
                                <w:shd w:val="clear" w:color="auto" w:fill="FCFCFC"/>
                              </w:rPr>
                              <m:t>t</m:t>
                            </m:r>
                          </m:sub>
                        </m:sSub>
                        <m:r>
                          <w:rPr>
                            <w:rFonts w:ascii="Cambria Math" w:eastAsiaTheme="minorEastAsia" w:hAnsi="Cambria Math" w:cs="Arial"/>
                            <w:color w:val="333333"/>
                            <w:sz w:val="20"/>
                            <w:szCs w:val="20"/>
                            <w:shd w:val="clear" w:color="auto" w:fill="FCFCFC"/>
                          </w:rPr>
                          <m:t>-</m:t>
                        </m:r>
                        <m:acc>
                          <m:accPr>
                            <m:ctrlPr>
                              <w:rPr>
                                <w:rFonts w:ascii="Cambria Math" w:eastAsiaTheme="minorEastAsia" w:hAnsi="Cambria Math" w:cs="Arial"/>
                                <w:i/>
                                <w:color w:val="333333"/>
                                <w:sz w:val="20"/>
                                <w:szCs w:val="20"/>
                                <w:shd w:val="clear" w:color="auto" w:fill="FCFCFC"/>
                              </w:rPr>
                            </m:ctrlPr>
                          </m:accPr>
                          <m:e>
                            <m:sSub>
                              <m:sSubPr>
                                <m:ctrlPr>
                                  <w:rPr>
                                    <w:rFonts w:ascii="Cambria Math" w:eastAsiaTheme="minorEastAsia" w:hAnsi="Cambria Math" w:cs="Arial"/>
                                    <w:i/>
                                    <w:color w:val="333333"/>
                                    <w:sz w:val="20"/>
                                    <w:szCs w:val="20"/>
                                    <w:shd w:val="clear" w:color="auto" w:fill="FCFCFC"/>
                                  </w:rPr>
                                </m:ctrlPr>
                              </m:sSubPr>
                              <m:e>
                                <m:r>
                                  <w:rPr>
                                    <w:rFonts w:ascii="Cambria Math" w:eastAsiaTheme="minorEastAsia" w:hAnsi="Cambria Math" w:cs="Arial"/>
                                    <w:color w:val="333333"/>
                                    <w:sz w:val="20"/>
                                    <w:szCs w:val="20"/>
                                    <w:shd w:val="clear" w:color="auto" w:fill="FCFCFC"/>
                                  </w:rPr>
                                  <m:t>y</m:t>
                                </m:r>
                              </m:e>
                              <m:sub>
                                <m:r>
                                  <w:rPr>
                                    <w:rFonts w:ascii="Cambria Math" w:eastAsiaTheme="minorEastAsia" w:hAnsi="Cambria Math" w:cs="Arial"/>
                                    <w:color w:val="333333"/>
                                    <w:sz w:val="20"/>
                                    <w:szCs w:val="20"/>
                                    <w:shd w:val="clear" w:color="auto" w:fill="FCFCFC"/>
                                  </w:rPr>
                                  <m:t>t</m:t>
                                </m:r>
                              </m:sub>
                            </m:sSub>
                          </m:e>
                        </m:acc>
                      </m:e>
                    </m:d>
                  </m:e>
                  <m:sup>
                    <m:r>
                      <w:rPr>
                        <w:rFonts w:ascii="Cambria Math" w:eastAsiaTheme="minorEastAsia" w:hAnsi="Cambria Math" w:cs="Arial"/>
                        <w:color w:val="333333"/>
                        <w:sz w:val="20"/>
                        <w:szCs w:val="20"/>
                        <w:shd w:val="clear" w:color="auto" w:fill="FCFCFC"/>
                      </w:rPr>
                      <m:t>2</m:t>
                    </m:r>
                  </m:sup>
                </m:sSup>
              </m:e>
            </m:nary>
          </m:e>
        </m:rad>
      </m:oMath>
      <w:r>
        <w:rPr>
          <w:rFonts w:ascii="Arial" w:eastAsiaTheme="minorEastAsia" w:hAnsi="Arial" w:cs="Arial"/>
          <w:color w:val="333333"/>
          <w:sz w:val="20"/>
          <w:szCs w:val="20"/>
          <w:shd w:val="clear" w:color="auto" w:fill="FCFCFC"/>
        </w:rPr>
        <w:t xml:space="preserve"> ,</w:t>
      </w:r>
    </w:p>
    <w:p w14:paraId="0B5361AE" w14:textId="77777777" w:rsidR="004708FA" w:rsidRPr="00EA4251" w:rsidRDefault="004708FA" w:rsidP="004708FA">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 xml:space="preserve">where </w:t>
      </w:r>
      <m:oMath>
        <m:sSub>
          <m:sSubPr>
            <m:ctrlPr>
              <w:rPr>
                <w:rFonts w:ascii="Cambria Math" w:eastAsiaTheme="minorEastAsia" w:hAnsi="Cambria Math" w:cs="Arial"/>
                <w:i/>
                <w:color w:val="333333"/>
                <w:sz w:val="20"/>
                <w:szCs w:val="20"/>
                <w:shd w:val="clear" w:color="auto" w:fill="FCFCFC"/>
              </w:rPr>
            </m:ctrlPr>
          </m:sSubPr>
          <m:e>
            <m:r>
              <w:rPr>
                <w:rFonts w:ascii="Cambria Math" w:eastAsiaTheme="minorEastAsia" w:hAnsi="Cambria Math" w:cs="Arial"/>
                <w:color w:val="333333"/>
                <w:sz w:val="20"/>
                <w:szCs w:val="20"/>
                <w:shd w:val="clear" w:color="auto" w:fill="FCFCFC"/>
              </w:rPr>
              <m:t>y</m:t>
            </m:r>
          </m:e>
          <m:sub>
            <m:r>
              <w:rPr>
                <w:rFonts w:ascii="Cambria Math" w:eastAsiaTheme="minorEastAsia" w:hAnsi="Cambria Math" w:cs="Arial"/>
                <w:color w:val="333333"/>
                <w:sz w:val="20"/>
                <w:szCs w:val="20"/>
                <w:shd w:val="clear" w:color="auto" w:fill="FCFCFC"/>
              </w:rPr>
              <m:t>t</m:t>
            </m:r>
          </m:sub>
        </m:sSub>
      </m:oMath>
      <w:r w:rsidRPr="00EA4251">
        <w:rPr>
          <w:rFonts w:ascii="Arial" w:eastAsiaTheme="minorEastAsia" w:hAnsi="Arial" w:cs="Arial"/>
          <w:color w:val="333333"/>
          <w:sz w:val="20"/>
          <w:szCs w:val="20"/>
          <w:shd w:val="clear" w:color="auto" w:fill="FCFCFC"/>
        </w:rPr>
        <w:t xml:space="preserve"> represents the actual value of the data at time t, </w:t>
      </w:r>
      <m:oMath>
        <m:sSub>
          <m:sSubPr>
            <m:ctrlPr>
              <w:rPr>
                <w:rFonts w:ascii="Cambria Math" w:eastAsiaTheme="minorEastAsia" w:hAnsi="Cambria Math" w:cs="Arial"/>
                <w:i/>
                <w:color w:val="333333"/>
                <w:sz w:val="20"/>
                <w:szCs w:val="20"/>
                <w:shd w:val="clear" w:color="auto" w:fill="FCFCFC"/>
              </w:rPr>
            </m:ctrlPr>
          </m:sSubPr>
          <m:e>
            <m:acc>
              <m:accPr>
                <m:ctrlPr>
                  <w:rPr>
                    <w:rFonts w:ascii="Cambria Math" w:eastAsiaTheme="minorEastAsia" w:hAnsi="Cambria Math" w:cs="Arial"/>
                    <w:i/>
                    <w:color w:val="333333"/>
                    <w:sz w:val="20"/>
                    <w:szCs w:val="20"/>
                    <w:shd w:val="clear" w:color="auto" w:fill="FCFCFC"/>
                  </w:rPr>
                </m:ctrlPr>
              </m:accPr>
              <m:e>
                <m:r>
                  <w:rPr>
                    <w:rFonts w:ascii="Cambria Math" w:eastAsiaTheme="minorEastAsia" w:hAnsi="Cambria Math" w:cs="Arial"/>
                    <w:color w:val="333333"/>
                    <w:sz w:val="20"/>
                    <w:szCs w:val="20"/>
                    <w:shd w:val="clear" w:color="auto" w:fill="FCFCFC"/>
                  </w:rPr>
                  <m:t>y</m:t>
                </m:r>
              </m:e>
            </m:acc>
          </m:e>
          <m:sub>
            <m:r>
              <w:rPr>
                <w:rFonts w:ascii="Cambria Math" w:eastAsiaTheme="minorEastAsia" w:hAnsi="Cambria Math" w:cs="Arial"/>
                <w:color w:val="333333"/>
                <w:sz w:val="20"/>
                <w:szCs w:val="20"/>
                <w:shd w:val="clear" w:color="auto" w:fill="FCFCFC"/>
              </w:rPr>
              <m:t>t</m:t>
            </m:r>
          </m:sub>
        </m:sSub>
      </m:oMath>
      <w:r w:rsidRPr="00EA4251">
        <w:rPr>
          <w:rFonts w:ascii="Arial" w:eastAsiaTheme="minorEastAsia" w:hAnsi="Arial" w:cs="Arial"/>
          <w:color w:val="333333"/>
          <w:sz w:val="20"/>
          <w:szCs w:val="20"/>
          <w:shd w:val="clear" w:color="auto" w:fill="FCFCFC"/>
        </w:rPr>
        <w:t xml:space="preserve"> represents the predicted value of the data at time t, and n represents the total amount of data (Darvishi </w:t>
      </w:r>
      <w:r w:rsidRPr="00EA4251">
        <w:rPr>
          <w:rFonts w:ascii="Arial" w:hAnsi="Arial" w:cs="Arial"/>
          <w:i/>
          <w:iCs/>
          <w:color w:val="333333"/>
          <w:sz w:val="20"/>
          <w:szCs w:val="20"/>
          <w:shd w:val="clear" w:color="auto" w:fill="FCFCFC"/>
        </w:rPr>
        <w:t>et al.</w:t>
      </w:r>
      <w:r w:rsidRPr="00EA4251">
        <w:rPr>
          <w:rFonts w:ascii="Arial" w:hAnsi="Arial" w:cs="Arial"/>
          <w:color w:val="333333"/>
          <w:sz w:val="20"/>
          <w:szCs w:val="20"/>
          <w:shd w:val="clear" w:color="auto" w:fill="FCFCFC"/>
        </w:rPr>
        <w:t>, 2017)</w:t>
      </w:r>
      <w:r w:rsidRPr="00EA4251">
        <w:rPr>
          <w:rFonts w:ascii="Arial" w:eastAsiaTheme="minorEastAsia" w:hAnsi="Arial" w:cs="Arial"/>
          <w:color w:val="333333"/>
          <w:sz w:val="20"/>
          <w:szCs w:val="20"/>
          <w:shd w:val="clear" w:color="auto" w:fill="FCFCFC"/>
        </w:rPr>
        <w:t>. According to standard criteria, a MAPE value of less than 10% indicates highly accurate forecasting power. If the MAPE falls between 10% and 20%, the forecast is considered good. A MAPE in the range of 20% to 50% is generally seen as reasonable, while a value greater than 50% suggests the forecast is inaccurate.</w:t>
      </w:r>
      <w:r>
        <w:rPr>
          <w:rFonts w:ascii="Arial" w:eastAsiaTheme="minorEastAsia" w:hAnsi="Arial" w:cs="Arial"/>
          <w:color w:val="333333"/>
          <w:sz w:val="20"/>
          <w:szCs w:val="20"/>
          <w:shd w:val="clear" w:color="auto" w:fill="FCFCFC"/>
        </w:rPr>
        <w:t xml:space="preserve"> The criteria for RMSE are the same as MAPE. </w:t>
      </w:r>
      <w:r w:rsidRPr="00EA4251">
        <w:rPr>
          <w:rFonts w:ascii="Arial" w:eastAsiaTheme="minorEastAsia" w:hAnsi="Arial" w:cs="Arial"/>
          <w:color w:val="333333"/>
          <w:sz w:val="20"/>
          <w:szCs w:val="20"/>
          <w:shd w:val="clear" w:color="auto" w:fill="FCFCFC"/>
        </w:rPr>
        <w:t xml:space="preserve">These thresholds provide a practical framework for interpreting MAPE </w:t>
      </w:r>
      <w:r>
        <w:rPr>
          <w:rFonts w:ascii="Arial" w:eastAsiaTheme="minorEastAsia" w:hAnsi="Arial" w:cs="Arial"/>
          <w:color w:val="333333"/>
          <w:sz w:val="20"/>
          <w:szCs w:val="20"/>
          <w:shd w:val="clear" w:color="auto" w:fill="FCFCFC"/>
        </w:rPr>
        <w:t xml:space="preserve">&amp; RMSE </w:t>
      </w:r>
      <w:r w:rsidRPr="00EA4251">
        <w:rPr>
          <w:rFonts w:ascii="Arial" w:eastAsiaTheme="minorEastAsia" w:hAnsi="Arial" w:cs="Arial"/>
          <w:color w:val="333333"/>
          <w:sz w:val="20"/>
          <w:szCs w:val="20"/>
          <w:shd w:val="clear" w:color="auto" w:fill="FCFCFC"/>
        </w:rPr>
        <w:t>results and assessing the reliability of different forecasting approaches.</w:t>
      </w:r>
    </w:p>
    <w:p w14:paraId="18D717D8" w14:textId="77777777" w:rsidR="004708FA" w:rsidRPr="00EA4251" w:rsidRDefault="004708FA" w:rsidP="004708FA">
      <w:pPr>
        <w:spacing w:line="360" w:lineRule="auto"/>
        <w:jc w:val="both"/>
        <w:rPr>
          <w:rFonts w:ascii="Arial" w:eastAsiaTheme="minorEastAsia" w:hAnsi="Arial" w:cs="Arial"/>
          <w:color w:val="333333"/>
          <w:sz w:val="20"/>
          <w:szCs w:val="20"/>
          <w:shd w:val="clear" w:color="auto" w:fill="FCFCFC"/>
        </w:rPr>
      </w:pPr>
      <w:r w:rsidRPr="00EA4251">
        <w:rPr>
          <w:rFonts w:ascii="Arial" w:eastAsiaTheme="minorEastAsia" w:hAnsi="Arial" w:cs="Arial"/>
          <w:color w:val="333333"/>
          <w:sz w:val="20"/>
          <w:szCs w:val="20"/>
          <w:shd w:val="clear" w:color="auto" w:fill="FCFCFC"/>
        </w:rPr>
        <w:t>The data suggests that the grey GM (1,1) model parameters for a, b, as well as performance indicators, differ across NTZ, STZ, and CTZ zones with respect to paddy price forecasting in Telangana.</w:t>
      </w:r>
    </w:p>
    <w:p w14:paraId="0EBA85D3" w14:textId="77777777" w:rsidR="004708FA" w:rsidRPr="00EA4251"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3. RESULTS AND DISCUSSION</w:t>
      </w:r>
    </w:p>
    <w:p w14:paraId="24ACA6A7" w14:textId="77777777" w:rsidR="004708FA" w:rsidRPr="00356C10" w:rsidRDefault="004708FA" w:rsidP="004708FA">
      <w:pPr>
        <w:spacing w:line="360" w:lineRule="auto"/>
        <w:jc w:val="both"/>
        <w:rPr>
          <w:rFonts w:ascii="Arial" w:eastAsiaTheme="minorEastAsia" w:hAnsi="Arial" w:cs="Arial"/>
          <w:b/>
          <w:bCs/>
          <w:color w:val="333333"/>
          <w:shd w:val="clear" w:color="auto" w:fill="FCFCFC"/>
        </w:rPr>
      </w:pPr>
      <w:r w:rsidRPr="00356C10">
        <w:rPr>
          <w:rFonts w:ascii="Arial" w:eastAsiaTheme="minorEastAsia" w:hAnsi="Arial" w:cs="Arial"/>
          <w:b/>
          <w:bCs/>
          <w:color w:val="333333"/>
          <w:shd w:val="clear" w:color="auto" w:fill="FCFCFC"/>
        </w:rPr>
        <w:t>3.1 Model Parameters</w:t>
      </w:r>
    </w:p>
    <w:p w14:paraId="0E821496" w14:textId="77777777" w:rsidR="004708FA" w:rsidRPr="00356C10"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b/>
          <w:bCs/>
          <w:color w:val="333333"/>
          <w:sz w:val="20"/>
          <w:szCs w:val="20"/>
          <w:shd w:val="clear" w:color="auto" w:fill="FCFCFC"/>
        </w:rPr>
        <w:t>Table 1</w:t>
      </w:r>
      <w:r w:rsidRPr="00356C10">
        <w:rPr>
          <w:rFonts w:ascii="Arial" w:eastAsiaTheme="minorEastAsia" w:hAnsi="Arial" w:cs="Arial"/>
          <w:color w:val="333333"/>
          <w:sz w:val="20"/>
          <w:szCs w:val="20"/>
          <w:shd w:val="clear" w:color="auto" w:fill="FCFCFC"/>
        </w:rPr>
        <w:t>. Forecasting Performance Metrics and Model Parameters for the three zones</w:t>
      </w:r>
    </w:p>
    <w:tbl>
      <w:tblPr>
        <w:tblStyle w:val="TableGrid"/>
        <w:tblW w:w="0" w:type="auto"/>
        <w:tblLook w:val="04A0" w:firstRow="1" w:lastRow="0" w:firstColumn="1" w:lastColumn="0" w:noHBand="0" w:noVBand="1"/>
      </w:tblPr>
      <w:tblGrid>
        <w:gridCol w:w="2254"/>
        <w:gridCol w:w="2254"/>
        <w:gridCol w:w="2254"/>
        <w:gridCol w:w="2254"/>
      </w:tblGrid>
      <w:tr w:rsidR="004708FA" w14:paraId="2A2E0DBB" w14:textId="77777777" w:rsidTr="008C5F04">
        <w:tc>
          <w:tcPr>
            <w:tcW w:w="2254" w:type="dxa"/>
          </w:tcPr>
          <w:p w14:paraId="2F5C6FA6" w14:textId="77777777" w:rsidR="004708FA" w:rsidRPr="00356C10" w:rsidRDefault="004708FA" w:rsidP="008C5F04">
            <w:pPr>
              <w:spacing w:line="360" w:lineRule="auto"/>
              <w:jc w:val="both"/>
              <w:rPr>
                <w:rFonts w:ascii="Arial" w:eastAsiaTheme="minorEastAsia" w:hAnsi="Arial" w:cs="Arial"/>
                <w:b/>
                <w:bCs/>
                <w:color w:val="333333"/>
                <w:sz w:val="20"/>
                <w:szCs w:val="20"/>
                <w:shd w:val="clear" w:color="auto" w:fill="FCFCFC"/>
              </w:rPr>
            </w:pPr>
            <w:r w:rsidRPr="00356C10">
              <w:rPr>
                <w:rFonts w:ascii="Arial" w:eastAsiaTheme="minorEastAsia" w:hAnsi="Arial" w:cs="Arial"/>
                <w:b/>
                <w:bCs/>
                <w:color w:val="333333"/>
                <w:sz w:val="20"/>
                <w:szCs w:val="20"/>
                <w:shd w:val="clear" w:color="auto" w:fill="FCFCFC"/>
              </w:rPr>
              <w:t>Value</w:t>
            </w:r>
          </w:p>
        </w:tc>
        <w:tc>
          <w:tcPr>
            <w:tcW w:w="2254" w:type="dxa"/>
          </w:tcPr>
          <w:p w14:paraId="0833ECC7" w14:textId="77777777" w:rsidR="004708FA" w:rsidRPr="00356C10" w:rsidRDefault="004708FA" w:rsidP="008C5F04">
            <w:pPr>
              <w:spacing w:line="360" w:lineRule="auto"/>
              <w:jc w:val="both"/>
              <w:rPr>
                <w:rFonts w:ascii="Arial" w:eastAsiaTheme="minorEastAsia" w:hAnsi="Arial" w:cs="Arial"/>
                <w:b/>
                <w:bCs/>
                <w:color w:val="333333"/>
                <w:sz w:val="20"/>
                <w:szCs w:val="20"/>
                <w:shd w:val="clear" w:color="auto" w:fill="FCFCFC"/>
              </w:rPr>
            </w:pPr>
            <w:r w:rsidRPr="00356C10">
              <w:rPr>
                <w:rFonts w:ascii="Arial" w:eastAsiaTheme="minorEastAsia" w:hAnsi="Arial" w:cs="Arial"/>
                <w:b/>
                <w:bCs/>
                <w:color w:val="333333"/>
                <w:sz w:val="20"/>
                <w:szCs w:val="20"/>
                <w:shd w:val="clear" w:color="auto" w:fill="FCFCFC"/>
              </w:rPr>
              <w:t>NTZ</w:t>
            </w:r>
          </w:p>
        </w:tc>
        <w:tc>
          <w:tcPr>
            <w:tcW w:w="2254" w:type="dxa"/>
          </w:tcPr>
          <w:p w14:paraId="4B0F4DFB" w14:textId="77777777" w:rsidR="004708FA" w:rsidRPr="00356C10" w:rsidRDefault="004708FA" w:rsidP="008C5F04">
            <w:pPr>
              <w:spacing w:line="360" w:lineRule="auto"/>
              <w:jc w:val="both"/>
              <w:rPr>
                <w:rFonts w:ascii="Arial" w:eastAsiaTheme="minorEastAsia" w:hAnsi="Arial" w:cs="Arial"/>
                <w:b/>
                <w:bCs/>
                <w:color w:val="333333"/>
                <w:sz w:val="20"/>
                <w:szCs w:val="20"/>
                <w:shd w:val="clear" w:color="auto" w:fill="FCFCFC"/>
              </w:rPr>
            </w:pPr>
            <w:r w:rsidRPr="00356C10">
              <w:rPr>
                <w:rFonts w:ascii="Arial" w:eastAsiaTheme="minorEastAsia" w:hAnsi="Arial" w:cs="Arial"/>
                <w:b/>
                <w:bCs/>
                <w:color w:val="333333"/>
                <w:sz w:val="20"/>
                <w:szCs w:val="20"/>
                <w:shd w:val="clear" w:color="auto" w:fill="FCFCFC"/>
              </w:rPr>
              <w:t>STZ</w:t>
            </w:r>
          </w:p>
        </w:tc>
        <w:tc>
          <w:tcPr>
            <w:tcW w:w="2254" w:type="dxa"/>
          </w:tcPr>
          <w:p w14:paraId="252F7F29" w14:textId="77777777" w:rsidR="004708FA" w:rsidRPr="00356C10" w:rsidRDefault="004708FA" w:rsidP="008C5F04">
            <w:pPr>
              <w:spacing w:line="360" w:lineRule="auto"/>
              <w:jc w:val="both"/>
              <w:rPr>
                <w:rFonts w:ascii="Arial" w:eastAsiaTheme="minorEastAsia" w:hAnsi="Arial" w:cs="Arial"/>
                <w:b/>
                <w:bCs/>
                <w:color w:val="333333"/>
                <w:sz w:val="20"/>
                <w:szCs w:val="20"/>
                <w:shd w:val="clear" w:color="auto" w:fill="FCFCFC"/>
              </w:rPr>
            </w:pPr>
            <w:r>
              <w:rPr>
                <w:rFonts w:ascii="Arial" w:eastAsiaTheme="minorEastAsia" w:hAnsi="Arial" w:cs="Arial"/>
                <w:b/>
                <w:bCs/>
                <w:color w:val="333333"/>
                <w:sz w:val="20"/>
                <w:szCs w:val="20"/>
                <w:shd w:val="clear" w:color="auto" w:fill="FCFCFC"/>
              </w:rPr>
              <w:t>CTZ</w:t>
            </w:r>
          </w:p>
        </w:tc>
      </w:tr>
      <w:tr w:rsidR="004708FA" w14:paraId="71F77807" w14:textId="77777777" w:rsidTr="008C5F04">
        <w:tc>
          <w:tcPr>
            <w:tcW w:w="2254" w:type="dxa"/>
          </w:tcPr>
          <w:p w14:paraId="43D17D80"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a</w:t>
            </w:r>
          </w:p>
        </w:tc>
        <w:tc>
          <w:tcPr>
            <w:tcW w:w="2254" w:type="dxa"/>
          </w:tcPr>
          <w:p w14:paraId="56C864AD"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-0.0501</w:t>
            </w:r>
          </w:p>
        </w:tc>
        <w:tc>
          <w:tcPr>
            <w:tcW w:w="2254" w:type="dxa"/>
          </w:tcPr>
          <w:p w14:paraId="60CB1E22"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-0.0498</w:t>
            </w:r>
          </w:p>
        </w:tc>
        <w:tc>
          <w:tcPr>
            <w:tcW w:w="2254" w:type="dxa"/>
          </w:tcPr>
          <w:p w14:paraId="6B4FDDA8"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-0.042</w:t>
            </w:r>
          </w:p>
        </w:tc>
      </w:tr>
      <w:tr w:rsidR="004708FA" w14:paraId="0693E7E2" w14:textId="77777777" w:rsidTr="008C5F04">
        <w:tc>
          <w:tcPr>
            <w:tcW w:w="2254" w:type="dxa"/>
          </w:tcPr>
          <w:p w14:paraId="3DC4AA71"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b</w:t>
            </w:r>
          </w:p>
        </w:tc>
        <w:tc>
          <w:tcPr>
            <w:tcW w:w="2254" w:type="dxa"/>
          </w:tcPr>
          <w:p w14:paraId="3CCB7B4E"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1294.211</w:t>
            </w:r>
          </w:p>
        </w:tc>
        <w:tc>
          <w:tcPr>
            <w:tcW w:w="2254" w:type="dxa"/>
          </w:tcPr>
          <w:p w14:paraId="65463966"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1283.137</w:t>
            </w:r>
          </w:p>
        </w:tc>
        <w:tc>
          <w:tcPr>
            <w:tcW w:w="2254" w:type="dxa"/>
          </w:tcPr>
          <w:p w14:paraId="5214E4A1"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1369.857</w:t>
            </w:r>
          </w:p>
        </w:tc>
      </w:tr>
      <w:tr w:rsidR="004708FA" w14:paraId="5D939BA5" w14:textId="77777777" w:rsidTr="008C5F04">
        <w:tc>
          <w:tcPr>
            <w:tcW w:w="2254" w:type="dxa"/>
          </w:tcPr>
          <w:p w14:paraId="73337216"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lastRenderedPageBreak/>
              <w:t>MAPE</w:t>
            </w:r>
          </w:p>
        </w:tc>
        <w:tc>
          <w:tcPr>
            <w:tcW w:w="2254" w:type="dxa"/>
          </w:tcPr>
          <w:p w14:paraId="17AC9D8C"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1.193</w:t>
            </w:r>
          </w:p>
        </w:tc>
        <w:tc>
          <w:tcPr>
            <w:tcW w:w="2254" w:type="dxa"/>
          </w:tcPr>
          <w:p w14:paraId="5424B888"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1.935</w:t>
            </w:r>
          </w:p>
        </w:tc>
        <w:tc>
          <w:tcPr>
            <w:tcW w:w="2254" w:type="dxa"/>
          </w:tcPr>
          <w:p w14:paraId="1FC82DD9" w14:textId="77777777" w:rsidR="004708FA" w:rsidRPr="00356C10" w:rsidRDefault="004708FA" w:rsidP="008C5F04">
            <w:pPr>
              <w:spacing w:line="360" w:lineRule="auto"/>
              <w:jc w:val="both"/>
              <w:rPr>
                <w:rFonts w:ascii="Arial" w:eastAsiaTheme="minorEastAsia" w:hAnsi="Arial" w:cs="Arial"/>
                <w:color w:val="333333"/>
                <w:sz w:val="20"/>
                <w:szCs w:val="20"/>
                <w:shd w:val="clear" w:color="auto" w:fill="FCFCFC"/>
              </w:rPr>
            </w:pPr>
            <w:r w:rsidRPr="00356C10">
              <w:rPr>
                <w:rFonts w:ascii="Arial" w:hAnsi="Arial" w:cs="Arial"/>
                <w:sz w:val="20"/>
                <w:szCs w:val="20"/>
              </w:rPr>
              <w:t>3.467</w:t>
            </w:r>
          </w:p>
        </w:tc>
      </w:tr>
      <w:tr w:rsidR="004708FA" w14:paraId="3AF40887" w14:textId="77777777" w:rsidTr="008C5F04">
        <w:tc>
          <w:tcPr>
            <w:tcW w:w="2254" w:type="dxa"/>
          </w:tcPr>
          <w:p w14:paraId="02C70387" w14:textId="77777777" w:rsidR="004708FA" w:rsidRPr="00356C10" w:rsidRDefault="004708FA" w:rsidP="008C5F04">
            <w:pPr>
              <w:spacing w:line="360" w:lineRule="auto"/>
              <w:jc w:val="both"/>
              <w:rPr>
                <w:rFonts w:ascii="Arial" w:hAnsi="Arial" w:cs="Arial"/>
                <w:sz w:val="20"/>
                <w:szCs w:val="20"/>
              </w:rPr>
            </w:pPr>
            <w:r w:rsidRPr="00356C10">
              <w:rPr>
                <w:rFonts w:ascii="Arial" w:hAnsi="Arial" w:cs="Arial"/>
                <w:sz w:val="20"/>
                <w:szCs w:val="20"/>
              </w:rPr>
              <w:t>RMSE</w:t>
            </w:r>
          </w:p>
        </w:tc>
        <w:tc>
          <w:tcPr>
            <w:tcW w:w="2254" w:type="dxa"/>
          </w:tcPr>
          <w:p w14:paraId="27DF0BD1" w14:textId="77777777" w:rsidR="004708FA" w:rsidRPr="00356C10" w:rsidRDefault="004708FA" w:rsidP="008C5F04">
            <w:pPr>
              <w:spacing w:line="360" w:lineRule="auto"/>
              <w:jc w:val="both"/>
              <w:rPr>
                <w:rFonts w:ascii="Arial" w:hAnsi="Arial" w:cs="Arial"/>
                <w:sz w:val="20"/>
                <w:szCs w:val="20"/>
              </w:rPr>
            </w:pPr>
            <w:r w:rsidRPr="00356C10">
              <w:rPr>
                <w:rFonts w:ascii="Arial" w:hAnsi="Arial" w:cs="Arial"/>
                <w:sz w:val="20"/>
                <w:szCs w:val="20"/>
              </w:rPr>
              <w:t>23.809</w:t>
            </w:r>
          </w:p>
        </w:tc>
        <w:tc>
          <w:tcPr>
            <w:tcW w:w="2254" w:type="dxa"/>
          </w:tcPr>
          <w:p w14:paraId="32D50621" w14:textId="77777777" w:rsidR="004708FA" w:rsidRPr="00356C10" w:rsidRDefault="004708FA" w:rsidP="008C5F04">
            <w:pPr>
              <w:spacing w:line="360" w:lineRule="auto"/>
              <w:jc w:val="both"/>
              <w:rPr>
                <w:rFonts w:ascii="Arial" w:hAnsi="Arial" w:cs="Arial"/>
                <w:sz w:val="20"/>
                <w:szCs w:val="20"/>
              </w:rPr>
            </w:pPr>
            <w:r w:rsidRPr="00356C10">
              <w:rPr>
                <w:rFonts w:ascii="Arial" w:hAnsi="Arial" w:cs="Arial"/>
                <w:sz w:val="20"/>
                <w:szCs w:val="20"/>
              </w:rPr>
              <w:t>42.188</w:t>
            </w:r>
          </w:p>
        </w:tc>
        <w:tc>
          <w:tcPr>
            <w:tcW w:w="2254" w:type="dxa"/>
          </w:tcPr>
          <w:p w14:paraId="3158E91F" w14:textId="77777777" w:rsidR="004708FA" w:rsidRPr="00356C10" w:rsidRDefault="004708FA" w:rsidP="008C5F04">
            <w:pPr>
              <w:spacing w:line="360" w:lineRule="auto"/>
              <w:jc w:val="both"/>
              <w:rPr>
                <w:rFonts w:ascii="Arial" w:hAnsi="Arial" w:cs="Arial"/>
                <w:sz w:val="20"/>
                <w:szCs w:val="20"/>
              </w:rPr>
            </w:pPr>
            <w:r w:rsidRPr="00356C10">
              <w:rPr>
                <w:rFonts w:ascii="Arial" w:hAnsi="Arial" w:cs="Arial"/>
                <w:sz w:val="20"/>
                <w:szCs w:val="20"/>
              </w:rPr>
              <w:t>74.614</w:t>
            </w:r>
          </w:p>
        </w:tc>
      </w:tr>
    </w:tbl>
    <w:p w14:paraId="3EF7FAB6" w14:textId="77777777" w:rsidR="004708FA" w:rsidRDefault="004708FA" w:rsidP="004708FA">
      <w:pPr>
        <w:spacing w:line="360" w:lineRule="auto"/>
        <w:jc w:val="both"/>
        <w:rPr>
          <w:rFonts w:ascii="Times New Roman" w:eastAsiaTheme="minorEastAsia" w:hAnsi="Times New Roman" w:cs="Times New Roman"/>
          <w:b/>
          <w:bCs/>
          <w:color w:val="333333"/>
          <w:sz w:val="24"/>
          <w:szCs w:val="24"/>
          <w:shd w:val="clear" w:color="auto" w:fill="FCFCFC"/>
        </w:rPr>
      </w:pPr>
    </w:p>
    <w:p w14:paraId="4A59DF86" w14:textId="77777777" w:rsidR="004708FA" w:rsidRPr="00356C10" w:rsidRDefault="004708FA" w:rsidP="004708FA">
      <w:pPr>
        <w:spacing w:line="360" w:lineRule="auto"/>
        <w:jc w:val="both"/>
        <w:rPr>
          <w:rFonts w:ascii="Arial" w:eastAsiaTheme="minorEastAsia" w:hAnsi="Arial" w:cs="Arial"/>
          <w:b/>
          <w:bCs/>
          <w:color w:val="333333"/>
          <w:sz w:val="20"/>
          <w:szCs w:val="20"/>
          <w:shd w:val="clear" w:color="auto" w:fill="FCFCFC"/>
        </w:rPr>
      </w:pPr>
      <w:r w:rsidRPr="00356C10">
        <w:rPr>
          <w:rFonts w:ascii="Arial" w:eastAsiaTheme="minorEastAsia" w:hAnsi="Arial" w:cs="Arial"/>
          <w:color w:val="333333"/>
          <w:sz w:val="20"/>
          <w:szCs w:val="20"/>
          <w:shd w:val="clear" w:color="auto" w:fill="FCFCFC"/>
        </w:rPr>
        <w:t>For all three zones, the class ratio test confirms the validity of the GM (1,1) grey model, and the error metrics support the reliability of the forecasts</w:t>
      </w:r>
      <w:r>
        <w:rPr>
          <w:rFonts w:ascii="Arial" w:eastAsiaTheme="minorEastAsia" w:hAnsi="Arial" w:cs="Arial"/>
          <w:color w:val="333333"/>
          <w:sz w:val="20"/>
          <w:szCs w:val="20"/>
          <w:shd w:val="clear" w:color="auto" w:fill="FCFCFC"/>
        </w:rPr>
        <w:t xml:space="preserve"> (Table 2)</w:t>
      </w:r>
      <w:r w:rsidRPr="00356C10">
        <w:rPr>
          <w:rFonts w:ascii="Arial" w:eastAsiaTheme="minorEastAsia" w:hAnsi="Arial" w:cs="Arial"/>
          <w:color w:val="333333"/>
          <w:sz w:val="20"/>
          <w:szCs w:val="20"/>
          <w:shd w:val="clear" w:color="auto" w:fill="FCFCFC"/>
        </w:rPr>
        <w:t>. </w:t>
      </w:r>
    </w:p>
    <w:p w14:paraId="74E0F57D" w14:textId="77777777" w:rsidR="004708FA" w:rsidRPr="00356C10" w:rsidRDefault="004708FA" w:rsidP="004708FA">
      <w:pPr>
        <w:spacing w:line="360" w:lineRule="auto"/>
        <w:jc w:val="both"/>
        <w:rPr>
          <w:rFonts w:ascii="Arial" w:eastAsiaTheme="minorEastAsia" w:hAnsi="Arial" w:cs="Arial"/>
          <w:b/>
          <w:bCs/>
          <w:color w:val="333333"/>
          <w:shd w:val="clear" w:color="auto" w:fill="FCFCFC"/>
        </w:rPr>
      </w:pPr>
      <w:r w:rsidRPr="00356C10">
        <w:rPr>
          <w:rFonts w:ascii="Arial" w:eastAsiaTheme="minorEastAsia" w:hAnsi="Arial" w:cs="Arial"/>
          <w:b/>
          <w:bCs/>
          <w:color w:val="333333"/>
          <w:shd w:val="clear" w:color="auto" w:fill="FCFCFC"/>
        </w:rPr>
        <w:t>3.2 Northern Telangana Zone (NTZ)</w:t>
      </w:r>
    </w:p>
    <w:p w14:paraId="7536A622" w14:textId="77777777" w:rsidR="004708FA" w:rsidRPr="00356C10"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For the NTZ, the grey model GM (1,1) was applied to forecast modal prices, yielding strong statistical performance. The model parameters were estimated as a=−0.0501 and b=1294.211</w:t>
      </w:r>
      <w:r>
        <w:rPr>
          <w:rFonts w:ascii="Arial" w:eastAsiaTheme="minorEastAsia" w:hAnsi="Arial" w:cs="Arial"/>
          <w:color w:val="333333"/>
          <w:sz w:val="20"/>
          <w:szCs w:val="20"/>
          <w:shd w:val="clear" w:color="auto" w:fill="FCFCFC"/>
        </w:rPr>
        <w:t>(Table 1)</w:t>
      </w:r>
      <w:r w:rsidRPr="00356C10">
        <w:rPr>
          <w:rFonts w:ascii="Arial" w:eastAsiaTheme="minorEastAsia" w:hAnsi="Arial" w:cs="Arial"/>
          <w:color w:val="333333"/>
          <w:sz w:val="20"/>
          <w:szCs w:val="20"/>
          <w:shd w:val="clear" w:color="auto" w:fill="FCFCFC"/>
        </w:rPr>
        <w:t>. The Mean Absolute Percentage Error (MAPE) was 1.193, and the Root Mean Squared Error (RMSE) was 23.809, indicating high accuracy and a reliable fit to the historical data. The class ratio test was valid for this zone, confirming the appropriateness of the grey model. The forecasted modal prices for the next three years are 2306.050 in 2025, 2424.642 in 2026, and 2549.333 in 2027, suggesting a steady upward price trend. These results provide confidence in the model's ability to predict future price movements in NTZ.</w:t>
      </w:r>
    </w:p>
    <w:p w14:paraId="4C904B94" w14:textId="77777777" w:rsidR="004708FA" w:rsidRPr="00EA4251"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3.3 Southern Telangana Zone (STZ)</w:t>
      </w:r>
    </w:p>
    <w:p w14:paraId="56B055E4" w14:textId="77777777" w:rsidR="004708FA" w:rsidRPr="00356C10"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 xml:space="preserve">In the STZ, the GM (1,1) grey model provided effective forecasts for the modal prices. The estimated parameters for this zone are a=−0.0498 and b=1283.137. The model achieved an MAPE of 1.935 and an RMSE of 42.188, reflecting good accuracy and reliability in its </w:t>
      </w:r>
      <w:proofErr w:type="gramStart"/>
      <w:r w:rsidRPr="00356C10">
        <w:rPr>
          <w:rFonts w:ascii="Arial" w:eastAsiaTheme="minorEastAsia" w:hAnsi="Arial" w:cs="Arial"/>
          <w:color w:val="333333"/>
          <w:sz w:val="20"/>
          <w:szCs w:val="20"/>
          <w:shd w:val="clear" w:color="auto" w:fill="FCFCFC"/>
        </w:rPr>
        <w:t>predictions</w:t>
      </w:r>
      <w:r>
        <w:rPr>
          <w:rFonts w:ascii="Arial" w:eastAsiaTheme="minorEastAsia" w:hAnsi="Arial" w:cs="Arial"/>
          <w:color w:val="333333"/>
          <w:sz w:val="20"/>
          <w:szCs w:val="20"/>
          <w:shd w:val="clear" w:color="auto" w:fill="FCFCFC"/>
        </w:rPr>
        <w:t>(</w:t>
      </w:r>
      <w:proofErr w:type="gramEnd"/>
      <w:r>
        <w:rPr>
          <w:rFonts w:ascii="Arial" w:eastAsiaTheme="minorEastAsia" w:hAnsi="Arial" w:cs="Arial"/>
          <w:color w:val="333333"/>
          <w:sz w:val="20"/>
          <w:szCs w:val="20"/>
          <w:shd w:val="clear" w:color="auto" w:fill="FCFCFC"/>
        </w:rPr>
        <w:t>Table 1)</w:t>
      </w:r>
      <w:r w:rsidRPr="00356C10">
        <w:rPr>
          <w:rFonts w:ascii="Arial" w:eastAsiaTheme="minorEastAsia" w:hAnsi="Arial" w:cs="Arial"/>
          <w:color w:val="333333"/>
          <w:sz w:val="20"/>
          <w:szCs w:val="20"/>
          <w:shd w:val="clear" w:color="auto" w:fill="FCFCFC"/>
        </w:rPr>
        <w:t>. The class ratio test was satisfied, indicating that the model suits this data series. The forecasted modal prices for 2025, 2026, and 2027 are 2278.113, 2394.448, and 2516.723, respectively. These forecasts indicate a consistent upward trend in modal prices for the STZ.</w:t>
      </w:r>
    </w:p>
    <w:p w14:paraId="45DBDF99" w14:textId="77777777" w:rsidR="004708FA" w:rsidRPr="00EA4251"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3.4 Central Telangana Zone (CTZ)</w:t>
      </w:r>
    </w:p>
    <w:p w14:paraId="1F1DCD45" w14:textId="77777777" w:rsidR="004708FA" w:rsidRPr="00356C10"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For the CTZ, applying the GM (1,1) grey model resulted in the following parameter estimates: a=−0.042</w:t>
      </w:r>
      <w:r w:rsidRPr="00356C10">
        <w:rPr>
          <w:rFonts w:ascii="Arial" w:eastAsiaTheme="minorEastAsia" w:hAnsi="Arial" w:cs="Arial"/>
          <w:i/>
          <w:iCs/>
          <w:color w:val="333333"/>
          <w:sz w:val="20"/>
          <w:szCs w:val="20"/>
          <w:shd w:val="clear" w:color="auto" w:fill="FCFCFC"/>
        </w:rPr>
        <w:t xml:space="preserve"> </w:t>
      </w:r>
      <w:r w:rsidRPr="00356C10">
        <w:rPr>
          <w:rFonts w:ascii="Arial" w:eastAsiaTheme="minorEastAsia" w:hAnsi="Arial" w:cs="Arial"/>
          <w:color w:val="333333"/>
          <w:sz w:val="20"/>
          <w:szCs w:val="20"/>
          <w:shd w:val="clear" w:color="auto" w:fill="FCFCFC"/>
        </w:rPr>
        <w:t xml:space="preserve">and b=1369.857. The model's MAPE is 3.467, and the RMSE is 74.614, which are within acceptable limits for forecasting in this </w:t>
      </w:r>
      <w:proofErr w:type="gramStart"/>
      <w:r w:rsidRPr="00356C10">
        <w:rPr>
          <w:rFonts w:ascii="Arial" w:eastAsiaTheme="minorEastAsia" w:hAnsi="Arial" w:cs="Arial"/>
          <w:color w:val="333333"/>
          <w:sz w:val="20"/>
          <w:szCs w:val="20"/>
          <w:shd w:val="clear" w:color="auto" w:fill="FCFCFC"/>
        </w:rPr>
        <w:t>context</w:t>
      </w:r>
      <w:r>
        <w:rPr>
          <w:rFonts w:ascii="Arial" w:eastAsiaTheme="minorEastAsia" w:hAnsi="Arial" w:cs="Arial"/>
          <w:color w:val="333333"/>
          <w:sz w:val="20"/>
          <w:szCs w:val="20"/>
          <w:shd w:val="clear" w:color="auto" w:fill="FCFCFC"/>
        </w:rPr>
        <w:t>(</w:t>
      </w:r>
      <w:proofErr w:type="gramEnd"/>
      <w:r>
        <w:rPr>
          <w:rFonts w:ascii="Arial" w:eastAsiaTheme="minorEastAsia" w:hAnsi="Arial" w:cs="Arial"/>
          <w:color w:val="333333"/>
          <w:sz w:val="20"/>
          <w:szCs w:val="20"/>
          <w:shd w:val="clear" w:color="auto" w:fill="FCFCFC"/>
        </w:rPr>
        <w:t>Table 1)</w:t>
      </w:r>
      <w:r w:rsidRPr="00356C10">
        <w:rPr>
          <w:rFonts w:ascii="Arial" w:eastAsiaTheme="minorEastAsia" w:hAnsi="Arial" w:cs="Arial"/>
          <w:color w:val="333333"/>
          <w:sz w:val="20"/>
          <w:szCs w:val="20"/>
          <w:shd w:val="clear" w:color="auto" w:fill="FCFCFC"/>
        </w:rPr>
        <w:t>. The class ratio test was valid, confirming the model's suitability for the CTZ time series. The predicted modal prices for the next three years are 2222.494 for 2025, 2318.066 for 2026, and 2417.748 for 2027. These results indicate a positive trend in modal prices, and the model demonstrates reasonable accuracy for future projections in the CTZ.</w:t>
      </w:r>
    </w:p>
    <w:p w14:paraId="55589DFE" w14:textId="77777777" w:rsidR="004708FA" w:rsidRPr="00356C10"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 xml:space="preserve">A comparative analysis of three zones of Telangana (NTZ, CTZ, STZ) reveals notable differences in forecasting performance and model fit. It can be clearly seen that NTZ has the least MAPE and RMSE values, which validates the hypothesis that the price series in NTZ is more stable and the GM (1,1) model is very efficient here as it prolongs forecast error. STZ also performs well in accuracy, though its relatively high errors indicate that the price data in STZ is significantly more volatile or complex compared to NTZ. Meanwhile, CTZ has the highest MAPE and RMSE out of all the regions, meaning that its price trends are highly volatile. This may come into conflict with the accuracy of the model, but still remains within acceptable limits. Regardless of these distinctive features, all zones are consistent </w:t>
      </w:r>
      <w:r w:rsidRPr="00356C10">
        <w:rPr>
          <w:rFonts w:ascii="Arial" w:eastAsiaTheme="minorEastAsia" w:hAnsi="Arial" w:cs="Arial"/>
          <w:color w:val="333333"/>
          <w:sz w:val="20"/>
          <w:szCs w:val="20"/>
          <w:shd w:val="clear" w:color="auto" w:fill="FCFCFC"/>
        </w:rPr>
        <w:lastRenderedPageBreak/>
        <w:t>in their expectations of an increase in modal prices for the next three years, although NTZ and STZ are predicted to achieve higher prices than CTZ. The pattern suggests that there are regional differences in market dynamics, which could be driven by differences in supply, demand, or structural elements. Nonetheless, its efficacy may change due to the behaviour and the nature of the time series. All in all, the GM (1,1) model offers good forecasting capability across all three zones.</w:t>
      </w:r>
    </w:p>
    <w:p w14:paraId="43B1EF84" w14:textId="77777777" w:rsidR="004708FA" w:rsidRPr="00356C10"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The results of this study highlight the effectiveness of the GM (1,1) grey model in forecasting modal prices across the NTZ, STZ, and CTZ zones. The low MAPE and RMSE values obtained for each zone indicate a high level of predictive accuracy, while the class ratio test confirms the model’s validity for all datasets. These findings are consistent with previous research in other agricultural and economic forecasting contexts, where the grey model has demonstrated versatility and robustness, especially in data-scarce environments. The consistent upward trend in forecasted prices across all zones suggests that market fundamentals, such as demand growth, production costs, and policy interventions, will likely sustain price increases in the short term. This trend aligns with the broader context of rising agricultural input costs and evolving market dynamics in Telangana. The consistent upward trend in forecasted prices for the next three years underscores the model’s ability to capture underlying market dynamics. These findings suggest that the GM (1,1) model can serve as a reliable decision-support tool for stakeholders in the agricultural sector. Moreover, the approach is particularly valuable in contexts with limited or uncertain data, as is often the case in agricultural markets. This study's high accuracy of the GM (1,1) model highlights its potential as a practical tool for stakeholders. For farmers, accurate price forecasts can inform planting and marketing decisions, helping to mitigate price risk. Policymakers and market regulators can use these forecasts to design interventions that enhance market stability and food security. Additionally, the model’s ability to function effectively with limited data makes it especially valuable in regions without comprehensive datasets. The study thus contributes to the growing body of evidence supporting grey models for practical, data-driven forecasting in agriculture.</w:t>
      </w:r>
    </w:p>
    <w:p w14:paraId="1C3E776B" w14:textId="77777777" w:rsidR="004708FA" w:rsidRPr="00EA4251"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t>4. CONCLUSION</w:t>
      </w:r>
    </w:p>
    <w:p w14:paraId="2377FCE5" w14:textId="77777777" w:rsidR="004708FA" w:rsidRPr="00356C10" w:rsidRDefault="004708FA" w:rsidP="004708FA">
      <w:pPr>
        <w:spacing w:line="360" w:lineRule="auto"/>
        <w:jc w:val="both"/>
        <w:rPr>
          <w:rFonts w:ascii="Arial" w:eastAsiaTheme="minorEastAsia" w:hAnsi="Arial" w:cs="Arial"/>
          <w:color w:val="333333"/>
          <w:sz w:val="20"/>
          <w:szCs w:val="20"/>
          <w:shd w:val="clear" w:color="auto" w:fill="FCFCFC"/>
        </w:rPr>
      </w:pPr>
      <w:r w:rsidRPr="00356C10">
        <w:rPr>
          <w:rFonts w:ascii="Arial" w:eastAsiaTheme="minorEastAsia" w:hAnsi="Arial" w:cs="Arial"/>
          <w:color w:val="333333"/>
          <w:sz w:val="20"/>
          <w:szCs w:val="20"/>
          <w:shd w:val="clear" w:color="auto" w:fill="FCFCFC"/>
        </w:rPr>
        <w:t>The application of the GM (1,1) grey model across the NTZ, STZ, and CTZ has demonstrated strong forecasting performance, as evidenced by low MAPE and RMSE values in each zone and the validation of the class ratio test throughout. The model parameters were robust, and the forecasted modal prices for 2025, 2026, and 2027 consistently indicate an upward trend across all regions. This suggests that the grey model is practically reliable for predicting future price movements in these agricultural zones. The accurate and consistent forecasts provided by the model offer valuable insights for policymakers, traders, and farmers, enabling informed decision-making and strategic planning for the coming years.</w:t>
      </w:r>
      <w:r w:rsidRPr="00356C10">
        <w:rPr>
          <w:rFonts w:ascii="Arial" w:hAnsi="Arial" w:cs="Arial"/>
          <w:sz w:val="20"/>
          <w:szCs w:val="20"/>
        </w:rPr>
        <w:t xml:space="preserve"> </w:t>
      </w:r>
      <w:r w:rsidRPr="00356C10">
        <w:rPr>
          <w:rFonts w:ascii="Arial" w:eastAsiaTheme="minorEastAsia" w:hAnsi="Arial" w:cs="Arial"/>
          <w:color w:val="333333"/>
          <w:sz w:val="20"/>
          <w:szCs w:val="20"/>
          <w:shd w:val="clear" w:color="auto" w:fill="FCFCFC"/>
        </w:rPr>
        <w:t>And also, the results accord with the previous studies that predicted that the GM (1,1) model could be a suitable method for pattern change to price and could result in a high simulation performance, even in the case of limited or uncertain information. Recent works have also demonstrated that the approach can be flexible and more accurate than other methods, especially in cases with limited or missing historical data. Overall, the GM (1,1) grey model is a powerful and effective tool for short-term price forecasting in the agricultural sector.</w:t>
      </w:r>
    </w:p>
    <w:p w14:paraId="4D2D996F" w14:textId="77777777" w:rsidR="004708FA" w:rsidRPr="00EA4251" w:rsidRDefault="004708FA" w:rsidP="004708FA">
      <w:pPr>
        <w:spacing w:line="360" w:lineRule="auto"/>
        <w:jc w:val="both"/>
        <w:rPr>
          <w:rFonts w:ascii="Arial" w:eastAsiaTheme="minorEastAsia" w:hAnsi="Arial" w:cs="Arial"/>
          <w:b/>
          <w:bCs/>
          <w:color w:val="333333"/>
          <w:shd w:val="clear" w:color="auto" w:fill="FCFCFC"/>
        </w:rPr>
      </w:pPr>
      <w:r w:rsidRPr="00EA4251">
        <w:rPr>
          <w:rFonts w:ascii="Arial" w:eastAsiaTheme="minorEastAsia" w:hAnsi="Arial" w:cs="Arial"/>
          <w:b/>
          <w:bCs/>
          <w:color w:val="333333"/>
          <w:shd w:val="clear" w:color="auto" w:fill="FCFCFC"/>
        </w:rPr>
        <w:lastRenderedPageBreak/>
        <w:t>REFERENCES</w:t>
      </w:r>
    </w:p>
    <w:p w14:paraId="696412A9"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Mahajan, G., Kumar, V.</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&amp; Chauhan, B.S. (2017). Rice production in India. Rice production worldwide,</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53-91.</w:t>
      </w:r>
    </w:p>
    <w:p w14:paraId="3F2CC758"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Tothova</w:t>
      </w:r>
      <w:proofErr w:type="spellEnd"/>
      <w:r w:rsidRPr="00345F6A">
        <w:rPr>
          <w:rFonts w:ascii="Arial" w:eastAsiaTheme="minorEastAsia" w:hAnsi="Arial" w:cs="Arial"/>
          <w:color w:val="333333"/>
          <w:sz w:val="20"/>
          <w:szCs w:val="20"/>
          <w:shd w:val="clear" w:color="auto" w:fill="FCFCFC"/>
        </w:rPr>
        <w:t>, M.</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2011</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Main Challenges of Price Volatility in Agricultural Commodity Markets. In Methods to Analyse Agricultural Commodity Price Volatility</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13–29. </w:t>
      </w:r>
    </w:p>
    <w:p w14:paraId="33E84EAA"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Aguiar, D.R.</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Santana, J.A. </w:t>
      </w:r>
      <w:r>
        <w:rPr>
          <w:rFonts w:ascii="Arial" w:eastAsiaTheme="minorEastAsia" w:hAnsi="Arial" w:cs="Arial"/>
          <w:color w:val="333333"/>
          <w:sz w:val="20"/>
          <w:szCs w:val="20"/>
          <w:shd w:val="clear" w:color="auto" w:fill="FCFCFC"/>
        </w:rPr>
        <w:t xml:space="preserve">(2002). </w:t>
      </w:r>
      <w:r w:rsidRPr="00345F6A">
        <w:rPr>
          <w:rFonts w:ascii="Arial" w:eastAsiaTheme="minorEastAsia" w:hAnsi="Arial" w:cs="Arial"/>
          <w:color w:val="333333"/>
          <w:sz w:val="20"/>
          <w:szCs w:val="20"/>
          <w:shd w:val="clear" w:color="auto" w:fill="FCFCFC"/>
        </w:rPr>
        <w:t>Asymmetry in farm to retail price transmission</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Evidence from Brazil</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18, 37–48. </w:t>
      </w:r>
    </w:p>
    <w:p w14:paraId="721EA579"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Ward, R.W. </w:t>
      </w:r>
      <w:r>
        <w:rPr>
          <w:rFonts w:ascii="Arial" w:eastAsiaTheme="minorEastAsia" w:hAnsi="Arial" w:cs="Arial"/>
          <w:color w:val="333333"/>
          <w:sz w:val="20"/>
          <w:szCs w:val="20"/>
          <w:shd w:val="clear" w:color="auto" w:fill="FCFCFC"/>
        </w:rPr>
        <w:t xml:space="preserve">(1982). </w:t>
      </w:r>
      <w:r w:rsidRPr="00345F6A">
        <w:rPr>
          <w:rFonts w:ascii="Arial" w:eastAsiaTheme="minorEastAsia" w:hAnsi="Arial" w:cs="Arial"/>
          <w:color w:val="333333"/>
          <w:sz w:val="20"/>
          <w:szCs w:val="20"/>
          <w:shd w:val="clear" w:color="auto" w:fill="FCFCFC"/>
        </w:rPr>
        <w:t>Asymmetry in retail, wholesale, and shipping point pricing for fresh vegetable, 64, 205–212</w:t>
      </w:r>
      <w:r>
        <w:rPr>
          <w:rFonts w:ascii="Arial" w:eastAsiaTheme="minorEastAsia" w:hAnsi="Arial" w:cs="Arial"/>
          <w:color w:val="333333"/>
          <w:sz w:val="20"/>
          <w:szCs w:val="20"/>
          <w:shd w:val="clear" w:color="auto" w:fill="FCFCFC"/>
        </w:rPr>
        <w:t>.</w:t>
      </w:r>
    </w:p>
    <w:p w14:paraId="1CBF0B5F"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Zheng, L.</w:t>
      </w:r>
      <w:r>
        <w:rPr>
          <w:rFonts w:ascii="Arial" w:eastAsiaTheme="minorEastAsia" w:hAnsi="Arial" w:cs="Arial"/>
          <w:color w:val="333333"/>
          <w:sz w:val="20"/>
          <w:szCs w:val="20"/>
          <w:shd w:val="clear" w:color="auto" w:fill="FCFCFC"/>
        </w:rPr>
        <w:t xml:space="preserve"> (2013)</w:t>
      </w:r>
      <w:r w:rsidRPr="00345F6A">
        <w:rPr>
          <w:rFonts w:ascii="Arial" w:eastAsiaTheme="minorEastAsia" w:hAnsi="Arial" w:cs="Arial"/>
          <w:color w:val="333333"/>
          <w:sz w:val="20"/>
          <w:szCs w:val="20"/>
          <w:shd w:val="clear" w:color="auto" w:fill="FCFCFC"/>
        </w:rPr>
        <w:t xml:space="preserve"> Model Construction and Empirical Study on Production and Consumption Forecasting of Major Agricultural Products in China. Master’s Thesis, University of Chinese Academy of Sciences, Beijing, China</w:t>
      </w:r>
      <w:r>
        <w:rPr>
          <w:rFonts w:ascii="Arial" w:eastAsiaTheme="minorEastAsia" w:hAnsi="Arial" w:cs="Arial"/>
          <w:color w:val="333333"/>
          <w:sz w:val="20"/>
          <w:szCs w:val="20"/>
          <w:shd w:val="clear" w:color="auto" w:fill="FCFCFC"/>
        </w:rPr>
        <w:t>.</w:t>
      </w:r>
    </w:p>
    <w:p w14:paraId="6823EB17"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Sun, F., Meng, X., Zhang, Y., Wang, Y., Jiang, H.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Liu, P.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2023</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Agricultural product price forecasting methods: A review. </w:t>
      </w:r>
      <w:r w:rsidRPr="00133C79">
        <w:rPr>
          <w:rFonts w:ascii="Arial" w:eastAsiaTheme="minorEastAsia" w:hAnsi="Arial" w:cs="Arial"/>
          <w:color w:val="333333"/>
          <w:sz w:val="20"/>
          <w:szCs w:val="20"/>
          <w:shd w:val="clear" w:color="auto" w:fill="FCFCFC"/>
        </w:rPr>
        <w:t>Agriculture</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13</w:t>
      </w:r>
      <w:r w:rsidRPr="00345F6A">
        <w:rPr>
          <w:rFonts w:ascii="Arial" w:eastAsiaTheme="minorEastAsia" w:hAnsi="Arial" w:cs="Arial"/>
          <w:color w:val="333333"/>
          <w:sz w:val="20"/>
          <w:szCs w:val="20"/>
          <w:shd w:val="clear" w:color="auto" w:fill="FCFCFC"/>
        </w:rPr>
        <w:t>(9), 1671.</w:t>
      </w:r>
    </w:p>
    <w:p w14:paraId="44FEB84F"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Zeng, M., Liu, R., Gao, M.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Jiang, Y.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2022</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Demand Forecasting for Rural E</w:t>
      </w:r>
      <w:r w:rsidRPr="00345F6A">
        <w:rPr>
          <w:rFonts w:ascii="Cambria Math" w:eastAsiaTheme="minorEastAsia" w:hAnsi="Cambria Math" w:cs="Cambria Math"/>
          <w:color w:val="333333"/>
          <w:sz w:val="20"/>
          <w:szCs w:val="20"/>
          <w:shd w:val="clear" w:color="auto" w:fill="FCFCFC"/>
        </w:rPr>
        <w:t>‐</w:t>
      </w:r>
      <w:r w:rsidRPr="00345F6A">
        <w:rPr>
          <w:rFonts w:ascii="Arial" w:eastAsiaTheme="minorEastAsia" w:hAnsi="Arial" w:cs="Arial"/>
          <w:color w:val="333333"/>
          <w:sz w:val="20"/>
          <w:szCs w:val="20"/>
          <w:shd w:val="clear" w:color="auto" w:fill="FCFCFC"/>
        </w:rPr>
        <w:t>Commerce Logistics: A Gray Prediction Model Based on Weakening Buffer Operator. </w:t>
      </w:r>
      <w:r w:rsidRPr="00133C79">
        <w:rPr>
          <w:rFonts w:ascii="Arial" w:eastAsiaTheme="minorEastAsia" w:hAnsi="Arial" w:cs="Arial"/>
          <w:color w:val="333333"/>
          <w:sz w:val="20"/>
          <w:szCs w:val="20"/>
          <w:shd w:val="clear" w:color="auto" w:fill="FCFCFC"/>
        </w:rPr>
        <w:t>Mobile information systems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2022</w:t>
      </w:r>
      <w:r w:rsidRPr="00345F6A">
        <w:rPr>
          <w:rFonts w:ascii="Arial" w:eastAsiaTheme="minorEastAsia" w:hAnsi="Arial" w:cs="Arial"/>
          <w:color w:val="333333"/>
          <w:sz w:val="20"/>
          <w:szCs w:val="20"/>
          <w:shd w:val="clear" w:color="auto" w:fill="FCFCFC"/>
        </w:rPr>
        <w:t>(1), 3395757.</w:t>
      </w:r>
    </w:p>
    <w:p w14:paraId="7AF17833"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Nguyen, P.H., Tsai, J.F., </w:t>
      </w:r>
      <w:proofErr w:type="spellStart"/>
      <w:r w:rsidRPr="00345F6A">
        <w:rPr>
          <w:rFonts w:ascii="Arial" w:eastAsiaTheme="minorEastAsia" w:hAnsi="Arial" w:cs="Arial"/>
          <w:color w:val="333333"/>
          <w:sz w:val="20"/>
          <w:szCs w:val="20"/>
          <w:shd w:val="clear" w:color="auto" w:fill="FCFCFC"/>
        </w:rPr>
        <w:t>Kayral</w:t>
      </w:r>
      <w:proofErr w:type="spellEnd"/>
      <w:r w:rsidRPr="00345F6A">
        <w:rPr>
          <w:rFonts w:ascii="Arial" w:eastAsiaTheme="minorEastAsia" w:hAnsi="Arial" w:cs="Arial"/>
          <w:color w:val="333333"/>
          <w:sz w:val="20"/>
          <w:szCs w:val="20"/>
          <w:shd w:val="clear" w:color="auto" w:fill="FCFCFC"/>
        </w:rPr>
        <w:t xml:space="preserve">, I.E. </w:t>
      </w:r>
      <w:r>
        <w:rPr>
          <w:rFonts w:ascii="Arial" w:eastAsiaTheme="minorEastAsia" w:hAnsi="Arial" w:cs="Arial"/>
          <w:color w:val="333333"/>
          <w:sz w:val="20"/>
          <w:szCs w:val="20"/>
          <w:shd w:val="clear" w:color="auto" w:fill="FCFCFC"/>
        </w:rPr>
        <w:t xml:space="preserve">&amp; </w:t>
      </w:r>
      <w:r w:rsidRPr="00345F6A">
        <w:rPr>
          <w:rFonts w:ascii="Arial" w:eastAsiaTheme="minorEastAsia" w:hAnsi="Arial" w:cs="Arial"/>
          <w:color w:val="333333"/>
          <w:sz w:val="20"/>
          <w:szCs w:val="20"/>
          <w:shd w:val="clear" w:color="auto" w:fill="FCFCFC"/>
        </w:rPr>
        <w:t xml:space="preserve">Lin, M.H.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2021</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Unemployment rates forecasting with grey-based models in the post-COVID-19 period: A case study from Vietnam. </w:t>
      </w:r>
      <w:r w:rsidRPr="00133C79">
        <w:rPr>
          <w:rFonts w:ascii="Arial" w:eastAsiaTheme="minorEastAsia" w:hAnsi="Arial" w:cs="Arial"/>
          <w:color w:val="333333"/>
          <w:sz w:val="20"/>
          <w:szCs w:val="20"/>
          <w:shd w:val="clear" w:color="auto" w:fill="FCFCFC"/>
        </w:rPr>
        <w:t>Sustainability</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13</w:t>
      </w:r>
      <w:r w:rsidRPr="00345F6A">
        <w:rPr>
          <w:rFonts w:ascii="Arial" w:eastAsiaTheme="minorEastAsia" w:hAnsi="Arial" w:cs="Arial"/>
          <w:color w:val="333333"/>
          <w:sz w:val="20"/>
          <w:szCs w:val="20"/>
          <w:shd w:val="clear" w:color="auto" w:fill="FCFCFC"/>
        </w:rPr>
        <w:t>(14),</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7879.</w:t>
      </w:r>
    </w:p>
    <w:p w14:paraId="1C9D4400"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Pavithra, V., Gupta, D.S., Basak, P., Debnath, M.K.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Mula, G.</w:t>
      </w:r>
      <w:r>
        <w:rPr>
          <w:rFonts w:ascii="Arial" w:eastAsiaTheme="minorEastAsia" w:hAnsi="Arial" w:cs="Arial"/>
          <w:color w:val="333333"/>
          <w:sz w:val="20"/>
          <w:szCs w:val="20"/>
          <w:shd w:val="clear" w:color="auto" w:fill="FCFCFC"/>
        </w:rPr>
        <w:t xml:space="preserve"> (2024). </w:t>
      </w:r>
      <w:r w:rsidRPr="00345F6A">
        <w:rPr>
          <w:rFonts w:ascii="Arial" w:eastAsiaTheme="minorEastAsia" w:hAnsi="Arial" w:cs="Arial"/>
          <w:color w:val="333333"/>
          <w:sz w:val="20"/>
          <w:szCs w:val="20"/>
          <w:shd w:val="clear" w:color="auto" w:fill="FCFCFC"/>
        </w:rPr>
        <w:t xml:space="preserve"> Prediction of Annual Rural Unemployment Rate in West Bengal using Grey Model. </w:t>
      </w:r>
      <w:r w:rsidRPr="00133C79">
        <w:rPr>
          <w:rFonts w:ascii="Arial" w:eastAsiaTheme="minorEastAsia" w:hAnsi="Arial" w:cs="Arial"/>
          <w:color w:val="333333"/>
          <w:sz w:val="20"/>
          <w:szCs w:val="20"/>
          <w:shd w:val="clear" w:color="auto" w:fill="FCFCFC"/>
        </w:rPr>
        <w:t>Journal of the Indian Society of Agricultural Statistics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78</w:t>
      </w:r>
      <w:r w:rsidRPr="00345F6A">
        <w:rPr>
          <w:rFonts w:ascii="Arial" w:eastAsiaTheme="minorEastAsia" w:hAnsi="Arial" w:cs="Arial"/>
          <w:color w:val="333333"/>
          <w:sz w:val="20"/>
          <w:szCs w:val="20"/>
          <w:shd w:val="clear" w:color="auto" w:fill="FCFCFC"/>
        </w:rPr>
        <w:t>(1),</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47-52.</w:t>
      </w:r>
    </w:p>
    <w:p w14:paraId="5846770F"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Chutiman</w:t>
      </w:r>
      <w:proofErr w:type="spellEnd"/>
      <w:r w:rsidRPr="00345F6A">
        <w:rPr>
          <w:rFonts w:ascii="Arial" w:eastAsiaTheme="minorEastAsia" w:hAnsi="Arial" w:cs="Arial"/>
          <w:color w:val="333333"/>
          <w:sz w:val="20"/>
          <w:szCs w:val="20"/>
          <w:shd w:val="clear" w:color="auto" w:fill="FCFCFC"/>
        </w:rPr>
        <w:t xml:space="preserve">, N., </w:t>
      </w:r>
      <w:proofErr w:type="spellStart"/>
      <w:r w:rsidRPr="00345F6A">
        <w:rPr>
          <w:rFonts w:ascii="Arial" w:eastAsiaTheme="minorEastAsia" w:hAnsi="Arial" w:cs="Arial"/>
          <w:color w:val="333333"/>
          <w:sz w:val="20"/>
          <w:szCs w:val="20"/>
          <w:shd w:val="clear" w:color="auto" w:fill="FCFCFC"/>
        </w:rPr>
        <w:t>Chiangpradit</w:t>
      </w:r>
      <w:proofErr w:type="spellEnd"/>
      <w:r w:rsidRPr="00345F6A">
        <w:rPr>
          <w:rFonts w:ascii="Arial" w:eastAsiaTheme="minorEastAsia" w:hAnsi="Arial" w:cs="Arial"/>
          <w:color w:val="333333"/>
          <w:sz w:val="20"/>
          <w:szCs w:val="20"/>
          <w:shd w:val="clear" w:color="auto" w:fill="FCFCFC"/>
        </w:rPr>
        <w:t>, M., Kong-</w:t>
      </w:r>
      <w:proofErr w:type="spellStart"/>
      <w:r w:rsidRPr="00345F6A">
        <w:rPr>
          <w:rFonts w:ascii="Arial" w:eastAsiaTheme="minorEastAsia" w:hAnsi="Arial" w:cs="Arial"/>
          <w:color w:val="333333"/>
          <w:sz w:val="20"/>
          <w:szCs w:val="20"/>
          <w:shd w:val="clear" w:color="auto" w:fill="FCFCFC"/>
        </w:rPr>
        <w:t>ied</w:t>
      </w:r>
      <w:proofErr w:type="spellEnd"/>
      <w:r w:rsidRPr="00345F6A">
        <w:rPr>
          <w:rFonts w:ascii="Arial" w:eastAsiaTheme="minorEastAsia" w:hAnsi="Arial" w:cs="Arial"/>
          <w:color w:val="333333"/>
          <w:sz w:val="20"/>
          <w:szCs w:val="20"/>
          <w:shd w:val="clear" w:color="auto" w:fill="FCFCFC"/>
        </w:rPr>
        <w:t xml:space="preserve">, B., </w:t>
      </w:r>
      <w:proofErr w:type="spellStart"/>
      <w:r w:rsidRPr="00345F6A">
        <w:rPr>
          <w:rFonts w:ascii="Arial" w:eastAsiaTheme="minorEastAsia" w:hAnsi="Arial" w:cs="Arial"/>
          <w:color w:val="333333"/>
          <w:sz w:val="20"/>
          <w:szCs w:val="20"/>
          <w:shd w:val="clear" w:color="auto" w:fill="FCFCFC"/>
        </w:rPr>
        <w:t>Busababodhin</w:t>
      </w:r>
      <w:proofErr w:type="spellEnd"/>
      <w:r w:rsidRPr="00345F6A">
        <w:rPr>
          <w:rFonts w:ascii="Arial" w:eastAsiaTheme="minorEastAsia" w:hAnsi="Arial" w:cs="Arial"/>
          <w:color w:val="333333"/>
          <w:sz w:val="20"/>
          <w:szCs w:val="20"/>
          <w:shd w:val="clear" w:color="auto" w:fill="FCFCFC"/>
        </w:rPr>
        <w:t xml:space="preserve">, P., </w:t>
      </w:r>
      <w:proofErr w:type="spellStart"/>
      <w:r w:rsidRPr="00345F6A">
        <w:rPr>
          <w:rFonts w:ascii="Arial" w:eastAsiaTheme="minorEastAsia" w:hAnsi="Arial" w:cs="Arial"/>
          <w:color w:val="333333"/>
          <w:sz w:val="20"/>
          <w:szCs w:val="20"/>
          <w:shd w:val="clear" w:color="auto" w:fill="FCFCFC"/>
        </w:rPr>
        <w:t>Chaiyasaen</w:t>
      </w:r>
      <w:proofErr w:type="spellEnd"/>
      <w:r w:rsidRPr="00345F6A">
        <w:rPr>
          <w:rFonts w:ascii="Arial" w:eastAsiaTheme="minorEastAsia" w:hAnsi="Arial" w:cs="Arial"/>
          <w:color w:val="333333"/>
          <w:sz w:val="20"/>
          <w:szCs w:val="20"/>
          <w:shd w:val="clear" w:color="auto" w:fill="FCFCFC"/>
        </w:rPr>
        <w:t xml:space="preserve">, C.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w:t>
      </w:r>
      <w:proofErr w:type="spellStart"/>
      <w:r w:rsidRPr="00345F6A">
        <w:rPr>
          <w:rFonts w:ascii="Arial" w:eastAsiaTheme="minorEastAsia" w:hAnsi="Arial" w:cs="Arial"/>
          <w:color w:val="333333"/>
          <w:sz w:val="20"/>
          <w:szCs w:val="20"/>
          <w:shd w:val="clear" w:color="auto" w:fill="FCFCFC"/>
        </w:rPr>
        <w:t>Guayjarernpanishk</w:t>
      </w:r>
      <w:proofErr w:type="spellEnd"/>
      <w:r w:rsidRPr="00345F6A">
        <w:rPr>
          <w:rFonts w:ascii="Arial" w:eastAsiaTheme="minorEastAsia" w:hAnsi="Arial" w:cs="Arial"/>
          <w:color w:val="333333"/>
          <w:sz w:val="20"/>
          <w:szCs w:val="20"/>
          <w:shd w:val="clear" w:color="auto" w:fill="FCFCFC"/>
        </w:rPr>
        <w:t xml:space="preserve">, P.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2022</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Daily maximum rainfall forecast affected by tropical cyclones using grey theory. </w:t>
      </w:r>
      <w:r w:rsidRPr="00133C79">
        <w:rPr>
          <w:rFonts w:ascii="Arial" w:eastAsiaTheme="minorEastAsia" w:hAnsi="Arial" w:cs="Arial"/>
          <w:color w:val="333333"/>
          <w:sz w:val="20"/>
          <w:szCs w:val="20"/>
          <w:shd w:val="clear" w:color="auto" w:fill="FCFCFC"/>
        </w:rPr>
        <w:t>Civil Engineering Journal</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8</w:t>
      </w:r>
      <w:r w:rsidRPr="00345F6A">
        <w:rPr>
          <w:rFonts w:ascii="Arial" w:eastAsiaTheme="minorEastAsia" w:hAnsi="Arial" w:cs="Arial"/>
          <w:color w:val="333333"/>
          <w:sz w:val="20"/>
          <w:szCs w:val="20"/>
          <w:shd w:val="clear" w:color="auto" w:fill="FCFCFC"/>
        </w:rPr>
        <w:t>(8), 1565-1573.</w:t>
      </w:r>
    </w:p>
    <w:p w14:paraId="22526A18"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Kartikasari</w:t>
      </w:r>
      <w:proofErr w:type="spellEnd"/>
      <w:r w:rsidRPr="00345F6A">
        <w:rPr>
          <w:rFonts w:ascii="Arial" w:eastAsiaTheme="minorEastAsia" w:hAnsi="Arial" w:cs="Arial"/>
          <w:color w:val="333333"/>
          <w:sz w:val="20"/>
          <w:szCs w:val="20"/>
          <w:shd w:val="clear" w:color="auto" w:fill="FCFCFC"/>
        </w:rPr>
        <w:t xml:space="preserve">, M.D.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w:t>
      </w:r>
      <w:proofErr w:type="spellStart"/>
      <w:r w:rsidRPr="00345F6A">
        <w:rPr>
          <w:rFonts w:ascii="Arial" w:eastAsiaTheme="minorEastAsia" w:hAnsi="Arial" w:cs="Arial"/>
          <w:color w:val="333333"/>
          <w:sz w:val="20"/>
          <w:szCs w:val="20"/>
          <w:shd w:val="clear" w:color="auto" w:fill="FCFCFC"/>
        </w:rPr>
        <w:t>Prayogi</w:t>
      </w:r>
      <w:proofErr w:type="spellEnd"/>
      <w:r w:rsidRPr="00345F6A">
        <w:rPr>
          <w:rFonts w:ascii="Arial" w:eastAsiaTheme="minorEastAsia" w:hAnsi="Arial" w:cs="Arial"/>
          <w:color w:val="333333"/>
          <w:sz w:val="20"/>
          <w:szCs w:val="20"/>
          <w:shd w:val="clear" w:color="auto" w:fill="FCFCFC"/>
        </w:rPr>
        <w:t xml:space="preserve">, A.R.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2018</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Demand forecasting of electricity in Indonesia with limited historical data. In </w:t>
      </w:r>
      <w:r w:rsidRPr="00133C79">
        <w:rPr>
          <w:rFonts w:ascii="Arial" w:eastAsiaTheme="minorEastAsia" w:hAnsi="Arial" w:cs="Arial"/>
          <w:color w:val="333333"/>
          <w:sz w:val="20"/>
          <w:szCs w:val="20"/>
          <w:shd w:val="clear" w:color="auto" w:fill="FCFCFC"/>
        </w:rPr>
        <w:t>Journal of Physics: Conference Series</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974</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1</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 xml:space="preserve">012040. </w:t>
      </w:r>
    </w:p>
    <w:p w14:paraId="4EBCE6EC"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Gao, H., Yao, T. </w:t>
      </w:r>
      <w:r>
        <w:rPr>
          <w:rFonts w:ascii="Arial" w:eastAsiaTheme="minorEastAsia" w:hAnsi="Arial" w:cs="Arial"/>
          <w:color w:val="333333"/>
          <w:sz w:val="20"/>
          <w:szCs w:val="20"/>
          <w:shd w:val="clear" w:color="auto" w:fill="FCFCFC"/>
        </w:rPr>
        <w:t xml:space="preserve">&amp; </w:t>
      </w:r>
      <w:r w:rsidRPr="00345F6A">
        <w:rPr>
          <w:rFonts w:ascii="Arial" w:eastAsiaTheme="minorEastAsia" w:hAnsi="Arial" w:cs="Arial"/>
          <w:color w:val="333333"/>
          <w:sz w:val="20"/>
          <w:szCs w:val="20"/>
          <w:shd w:val="clear" w:color="auto" w:fill="FCFCFC"/>
        </w:rPr>
        <w:t xml:space="preserve">Kang, X.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2017</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Population forecast of Anhui province based on the GM (1, 1) model. </w:t>
      </w:r>
      <w:r w:rsidRPr="00133C79">
        <w:rPr>
          <w:rFonts w:ascii="Arial" w:eastAsiaTheme="minorEastAsia" w:hAnsi="Arial" w:cs="Arial"/>
          <w:color w:val="333333"/>
          <w:sz w:val="20"/>
          <w:szCs w:val="20"/>
          <w:shd w:val="clear" w:color="auto" w:fill="FCFCFC"/>
        </w:rPr>
        <w:t>Grey Systems: Theory and Application</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7</w:t>
      </w:r>
      <w:r w:rsidRPr="00345F6A">
        <w:rPr>
          <w:rFonts w:ascii="Arial" w:eastAsiaTheme="minorEastAsia" w:hAnsi="Arial" w:cs="Arial"/>
          <w:color w:val="333333"/>
          <w:sz w:val="20"/>
          <w:szCs w:val="20"/>
          <w:shd w:val="clear" w:color="auto" w:fill="FCFCFC"/>
        </w:rPr>
        <w:t>(1),</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19-30.</w:t>
      </w:r>
    </w:p>
    <w:p w14:paraId="3FF3BB29"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Lin, W.Z., Fang, J.A., Xiao, X.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Chou, K.C.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2011</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w:t>
      </w:r>
      <w:proofErr w:type="spellStart"/>
      <w:r w:rsidRPr="00345F6A">
        <w:rPr>
          <w:rFonts w:ascii="Arial" w:eastAsiaTheme="minorEastAsia" w:hAnsi="Arial" w:cs="Arial"/>
          <w:color w:val="333333"/>
          <w:sz w:val="20"/>
          <w:szCs w:val="20"/>
          <w:shd w:val="clear" w:color="auto" w:fill="FCFCFC"/>
        </w:rPr>
        <w:t>iDNA</w:t>
      </w:r>
      <w:proofErr w:type="spellEnd"/>
      <w:r w:rsidRPr="00345F6A">
        <w:rPr>
          <w:rFonts w:ascii="Arial" w:eastAsiaTheme="minorEastAsia" w:hAnsi="Arial" w:cs="Arial"/>
          <w:color w:val="333333"/>
          <w:sz w:val="20"/>
          <w:szCs w:val="20"/>
          <w:shd w:val="clear" w:color="auto" w:fill="FCFCFC"/>
        </w:rPr>
        <w:t>-Prot: identification of DNA binding proteins using random forest with grey model. </w:t>
      </w:r>
      <w:proofErr w:type="spellStart"/>
      <w:r w:rsidRPr="00AC667D">
        <w:rPr>
          <w:rFonts w:ascii="Arial" w:eastAsiaTheme="minorEastAsia" w:hAnsi="Arial" w:cs="Arial"/>
          <w:color w:val="333333"/>
          <w:sz w:val="20"/>
          <w:szCs w:val="20"/>
          <w:shd w:val="clear" w:color="auto" w:fill="FCFCFC"/>
        </w:rPr>
        <w:t>PloS</w:t>
      </w:r>
      <w:proofErr w:type="spellEnd"/>
      <w:r w:rsidRPr="00AC667D">
        <w:rPr>
          <w:rFonts w:ascii="Arial" w:eastAsiaTheme="minorEastAsia" w:hAnsi="Arial" w:cs="Arial"/>
          <w:color w:val="333333"/>
          <w:sz w:val="20"/>
          <w:szCs w:val="20"/>
          <w:shd w:val="clear" w:color="auto" w:fill="FCFCFC"/>
        </w:rPr>
        <w:t xml:space="preserve"> one</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6</w:t>
      </w:r>
      <w:r w:rsidRPr="00345F6A">
        <w:rPr>
          <w:rFonts w:ascii="Arial" w:eastAsiaTheme="minorEastAsia" w:hAnsi="Arial" w:cs="Arial"/>
          <w:color w:val="333333"/>
          <w:sz w:val="20"/>
          <w:szCs w:val="20"/>
          <w:shd w:val="clear" w:color="auto" w:fill="FCFCFC"/>
        </w:rPr>
        <w:t>(9), 24756.</w:t>
      </w:r>
    </w:p>
    <w:p w14:paraId="045FDC0E"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Wang, Y., Qi, H., Yang, Y., Qin, Z., Meng, G.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Xia, Y.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2022</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Prediction and Analysis of Regional Economy Based on Grey Prediction Model GM (1,1). </w:t>
      </w:r>
      <w:r w:rsidRPr="00AC667D">
        <w:rPr>
          <w:rFonts w:ascii="Arial" w:eastAsiaTheme="minorEastAsia" w:hAnsi="Arial" w:cs="Arial"/>
          <w:color w:val="333333"/>
          <w:sz w:val="20"/>
          <w:szCs w:val="20"/>
          <w:shd w:val="clear" w:color="auto" w:fill="FCFCFC"/>
        </w:rPr>
        <w:t>2nd International Conference on Business Administration and Data Science</w:t>
      </w:r>
      <w:r w:rsidRPr="00345F6A">
        <w:rPr>
          <w:rFonts w:ascii="Arial" w:eastAsiaTheme="minorEastAsia" w:hAnsi="Arial" w:cs="Arial"/>
          <w:i/>
          <w:iCs/>
          <w:color w:val="333333"/>
          <w:sz w:val="20"/>
          <w:szCs w:val="20"/>
          <w:shd w:val="clear" w:color="auto" w:fill="FCFCFC"/>
        </w:rPr>
        <w:t xml:space="preserve"> </w:t>
      </w:r>
      <w:r w:rsidRPr="00AC667D">
        <w:rPr>
          <w:rFonts w:ascii="Arial" w:eastAsiaTheme="minorEastAsia" w:hAnsi="Arial" w:cs="Arial"/>
          <w:color w:val="333333"/>
          <w:sz w:val="20"/>
          <w:szCs w:val="20"/>
          <w:shd w:val="clear" w:color="auto" w:fill="FCFCFC"/>
        </w:rPr>
        <w:t>(BADS</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1363-1370</w:t>
      </w:r>
      <w:r>
        <w:rPr>
          <w:rFonts w:ascii="Arial" w:eastAsiaTheme="minorEastAsia" w:hAnsi="Arial" w:cs="Arial"/>
          <w:color w:val="333333"/>
          <w:sz w:val="20"/>
          <w:szCs w:val="20"/>
          <w:shd w:val="clear" w:color="auto" w:fill="FCFCFC"/>
        </w:rPr>
        <w:t>.</w:t>
      </w:r>
    </w:p>
    <w:p w14:paraId="6C89B57D"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Iqelan</w:t>
      </w:r>
      <w:proofErr w:type="spellEnd"/>
      <w:r w:rsidRPr="00345F6A">
        <w:rPr>
          <w:rFonts w:ascii="Arial" w:eastAsiaTheme="minorEastAsia" w:hAnsi="Arial" w:cs="Arial"/>
          <w:color w:val="333333"/>
          <w:sz w:val="20"/>
          <w:szCs w:val="20"/>
          <w:shd w:val="clear" w:color="auto" w:fill="FCFCFC"/>
        </w:rPr>
        <w:t xml:space="preserve">, B.M.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2017</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Forecasts of female breast cancer referrals using grey prediction model GM (1,1). </w:t>
      </w:r>
      <w:r w:rsidRPr="00AC667D">
        <w:rPr>
          <w:rFonts w:ascii="Arial" w:eastAsiaTheme="minorEastAsia" w:hAnsi="Arial" w:cs="Arial"/>
          <w:color w:val="333333"/>
          <w:sz w:val="20"/>
          <w:szCs w:val="20"/>
          <w:shd w:val="clear" w:color="auto" w:fill="FCFCFC"/>
        </w:rPr>
        <w:t>Applied Mathematical Sciences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11</w:t>
      </w:r>
      <w:r w:rsidRPr="00345F6A">
        <w:rPr>
          <w:rFonts w:ascii="Arial" w:eastAsiaTheme="minorEastAsia" w:hAnsi="Arial" w:cs="Arial"/>
          <w:color w:val="333333"/>
          <w:sz w:val="20"/>
          <w:szCs w:val="20"/>
          <w:shd w:val="clear" w:color="auto" w:fill="FCFCFC"/>
        </w:rPr>
        <w:t>(54),</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2647-2662.</w:t>
      </w:r>
    </w:p>
    <w:p w14:paraId="7A046349"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Lixia</w:t>
      </w:r>
      <w:proofErr w:type="spellEnd"/>
      <w:r w:rsidRPr="00345F6A">
        <w:rPr>
          <w:rFonts w:ascii="Arial" w:eastAsiaTheme="minorEastAsia" w:hAnsi="Arial" w:cs="Arial"/>
          <w:color w:val="333333"/>
          <w:sz w:val="20"/>
          <w:szCs w:val="20"/>
          <w:shd w:val="clear" w:color="auto" w:fill="FCFCFC"/>
        </w:rPr>
        <w:t xml:space="preserve">, Z., Hong, T.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Miao, H.</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2019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Grey system analysis in the field of medicine and health. </w:t>
      </w:r>
      <w:r w:rsidRPr="00AC667D">
        <w:rPr>
          <w:rFonts w:ascii="Arial" w:eastAsiaTheme="minorEastAsia" w:hAnsi="Arial" w:cs="Arial"/>
          <w:color w:val="333333"/>
          <w:sz w:val="20"/>
          <w:szCs w:val="20"/>
          <w:shd w:val="clear" w:color="auto" w:fill="FCFCFC"/>
        </w:rPr>
        <w:t>Grey systems: theory and application</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9</w:t>
      </w:r>
      <w:r w:rsidRPr="00345F6A">
        <w:rPr>
          <w:rFonts w:ascii="Arial" w:eastAsiaTheme="minorEastAsia" w:hAnsi="Arial" w:cs="Arial"/>
          <w:color w:val="333333"/>
          <w:sz w:val="20"/>
          <w:szCs w:val="20"/>
          <w:shd w:val="clear" w:color="auto" w:fill="FCFCFC"/>
        </w:rPr>
        <w:t>(2),</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251-258.</w:t>
      </w:r>
    </w:p>
    <w:p w14:paraId="1561D07F"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lastRenderedPageBreak/>
        <w:t xml:space="preserve">Ye, X., Liu, J.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Yi, Z.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Trends in the epidemiology of sexually transmitted disease, acquired immune deficiency syndrome (AIDS), </w:t>
      </w:r>
      <w:proofErr w:type="spellStart"/>
      <w:r w:rsidRPr="00345F6A">
        <w:rPr>
          <w:rFonts w:ascii="Arial" w:eastAsiaTheme="minorEastAsia" w:hAnsi="Arial" w:cs="Arial"/>
          <w:color w:val="333333"/>
          <w:sz w:val="20"/>
          <w:szCs w:val="20"/>
          <w:shd w:val="clear" w:color="auto" w:fill="FCFCFC"/>
        </w:rPr>
        <w:t>gonorrhea</w:t>
      </w:r>
      <w:proofErr w:type="spellEnd"/>
      <w:r w:rsidRPr="00345F6A">
        <w:rPr>
          <w:rFonts w:ascii="Arial" w:eastAsiaTheme="minorEastAsia" w:hAnsi="Arial" w:cs="Arial"/>
          <w:color w:val="333333"/>
          <w:sz w:val="20"/>
          <w:szCs w:val="20"/>
          <w:shd w:val="clear" w:color="auto" w:fill="FCFCFC"/>
        </w:rPr>
        <w:t>, and syphilis, in the 31 provinces of mainland China. </w:t>
      </w:r>
      <w:r w:rsidRPr="00AC667D">
        <w:rPr>
          <w:rFonts w:ascii="Arial" w:eastAsiaTheme="minorEastAsia" w:hAnsi="Arial" w:cs="Arial"/>
          <w:color w:val="333333"/>
          <w:sz w:val="20"/>
          <w:szCs w:val="20"/>
          <w:shd w:val="clear" w:color="auto" w:fill="FCFCFC"/>
        </w:rPr>
        <w:t>Medical science monitor: international medical journal of experimental and clinical research</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25</w:t>
      </w:r>
      <w:r w:rsidRPr="00345F6A">
        <w:rPr>
          <w:rFonts w:ascii="Arial" w:eastAsiaTheme="minorEastAsia" w:hAnsi="Arial" w:cs="Arial"/>
          <w:color w:val="333333"/>
          <w:sz w:val="20"/>
          <w:szCs w:val="20"/>
          <w:shd w:val="clear" w:color="auto" w:fill="FCFCFC"/>
        </w:rPr>
        <w:t>, 5657.</w:t>
      </w:r>
    </w:p>
    <w:p w14:paraId="64885E0B"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Nieszporska</w:t>
      </w:r>
      <w:proofErr w:type="spellEnd"/>
      <w:r w:rsidRPr="00345F6A">
        <w:rPr>
          <w:rFonts w:ascii="Arial" w:eastAsiaTheme="minorEastAsia" w:hAnsi="Arial" w:cs="Arial"/>
          <w:color w:val="333333"/>
          <w:sz w:val="20"/>
          <w:szCs w:val="20"/>
          <w:shd w:val="clear" w:color="auto" w:fill="FCFCFC"/>
        </w:rPr>
        <w:t xml:space="preserve">, S.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2022</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Grey systems in the management of demand for palliative care services in Poland. </w:t>
      </w:r>
      <w:r w:rsidRPr="00AC667D">
        <w:rPr>
          <w:rFonts w:ascii="Arial" w:eastAsiaTheme="minorEastAsia" w:hAnsi="Arial" w:cs="Arial"/>
          <w:color w:val="333333"/>
          <w:sz w:val="20"/>
          <w:szCs w:val="20"/>
          <w:shd w:val="clear" w:color="auto" w:fill="FCFCFC"/>
        </w:rPr>
        <w:t>Health Economics Review</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12</w:t>
      </w:r>
      <w:r w:rsidRPr="00345F6A">
        <w:rPr>
          <w:rFonts w:ascii="Arial" w:eastAsiaTheme="minorEastAsia" w:hAnsi="Arial" w:cs="Arial"/>
          <w:color w:val="333333"/>
          <w:sz w:val="20"/>
          <w:szCs w:val="20"/>
          <w:shd w:val="clear" w:color="auto" w:fill="FCFCFC"/>
        </w:rPr>
        <w:t>, 1-13.</w:t>
      </w:r>
    </w:p>
    <w:p w14:paraId="5E8CB7E4"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Yang, X.Y.</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2024</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Prediction of Medical Trauma Rehabilitation by GM (1, 1) Model. </w:t>
      </w:r>
      <w:r w:rsidRPr="00AC667D">
        <w:rPr>
          <w:rFonts w:ascii="Arial" w:eastAsiaTheme="minorEastAsia" w:hAnsi="Arial" w:cs="Arial"/>
          <w:color w:val="333333"/>
          <w:sz w:val="20"/>
          <w:szCs w:val="20"/>
          <w:shd w:val="clear" w:color="auto" w:fill="FCFCFC"/>
        </w:rPr>
        <w:t>Academic Journal of Science and Technology</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9</w:t>
      </w:r>
      <w:r w:rsidRPr="00345F6A">
        <w:rPr>
          <w:rFonts w:ascii="Arial" w:eastAsiaTheme="minorEastAsia" w:hAnsi="Arial" w:cs="Arial"/>
          <w:color w:val="333333"/>
          <w:sz w:val="20"/>
          <w:szCs w:val="20"/>
          <w:shd w:val="clear" w:color="auto" w:fill="FCFCFC"/>
        </w:rPr>
        <w:t>(1), 241-244.</w:t>
      </w:r>
    </w:p>
    <w:p w14:paraId="5777953F"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Muqtadir, A., </w:t>
      </w:r>
      <w:proofErr w:type="spellStart"/>
      <w:r w:rsidRPr="00345F6A">
        <w:rPr>
          <w:rFonts w:ascii="Arial" w:eastAsiaTheme="minorEastAsia" w:hAnsi="Arial" w:cs="Arial"/>
          <w:color w:val="333333"/>
          <w:sz w:val="20"/>
          <w:szCs w:val="20"/>
          <w:shd w:val="clear" w:color="auto" w:fill="FCFCFC"/>
        </w:rPr>
        <w:t>Suryono</w:t>
      </w:r>
      <w:proofErr w:type="spellEnd"/>
      <w:r w:rsidRPr="00345F6A">
        <w:rPr>
          <w:rFonts w:ascii="Arial" w:eastAsiaTheme="minorEastAsia" w:hAnsi="Arial" w:cs="Arial"/>
          <w:color w:val="333333"/>
          <w:sz w:val="20"/>
          <w:szCs w:val="20"/>
          <w:shd w:val="clear" w:color="auto" w:fill="FCFCFC"/>
        </w:rPr>
        <w:t xml:space="preserve">, S.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Gunawan, V.</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2016</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The Implementation of Grey Forecasting Model for Forecast Result’s Food Crop Agricultural. </w:t>
      </w:r>
      <w:r w:rsidRPr="00AC667D">
        <w:rPr>
          <w:rFonts w:ascii="Arial" w:eastAsiaTheme="minorEastAsia" w:hAnsi="Arial" w:cs="Arial"/>
          <w:color w:val="333333"/>
          <w:sz w:val="20"/>
          <w:szCs w:val="20"/>
          <w:shd w:val="clear" w:color="auto" w:fill="FCFCFC"/>
        </w:rPr>
        <w:t>Scientific Journal of Informatics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3</w:t>
      </w:r>
      <w:r w:rsidRPr="00345F6A">
        <w:rPr>
          <w:rFonts w:ascii="Arial" w:eastAsiaTheme="minorEastAsia" w:hAnsi="Arial" w:cs="Arial"/>
          <w:color w:val="333333"/>
          <w:sz w:val="20"/>
          <w:szCs w:val="20"/>
          <w:shd w:val="clear" w:color="auto" w:fill="FCFCFC"/>
        </w:rPr>
        <w:t>(2),</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159-166.</w:t>
      </w:r>
    </w:p>
    <w:p w14:paraId="21A56F8D"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Zhang, F., Li, C., Yu, Y.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Johnson, D.M.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Resources and future availability of agricultural biomass for energy use in Beijing. </w:t>
      </w:r>
      <w:r w:rsidRPr="00AC667D">
        <w:rPr>
          <w:rFonts w:ascii="Arial" w:eastAsiaTheme="minorEastAsia" w:hAnsi="Arial" w:cs="Arial"/>
          <w:color w:val="333333"/>
          <w:sz w:val="20"/>
          <w:szCs w:val="20"/>
          <w:shd w:val="clear" w:color="auto" w:fill="FCFCFC"/>
        </w:rPr>
        <w:t>Energies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12</w:t>
      </w:r>
      <w:r w:rsidRPr="00345F6A">
        <w:rPr>
          <w:rFonts w:ascii="Arial" w:eastAsiaTheme="minorEastAsia" w:hAnsi="Arial" w:cs="Arial"/>
          <w:color w:val="333333"/>
          <w:sz w:val="20"/>
          <w:szCs w:val="20"/>
          <w:shd w:val="clear" w:color="auto" w:fill="FCFCFC"/>
        </w:rPr>
        <w:t>(10), 1828.</w:t>
      </w:r>
    </w:p>
    <w:p w14:paraId="62B529A5"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Wang, T.C.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w:t>
      </w:r>
      <w:proofErr w:type="spellStart"/>
      <w:r w:rsidRPr="00345F6A">
        <w:rPr>
          <w:rFonts w:ascii="Arial" w:eastAsiaTheme="minorEastAsia" w:hAnsi="Arial" w:cs="Arial"/>
          <w:color w:val="333333"/>
          <w:sz w:val="20"/>
          <w:szCs w:val="20"/>
          <w:shd w:val="clear" w:color="auto" w:fill="FCFCFC"/>
        </w:rPr>
        <w:t>Ghalih</w:t>
      </w:r>
      <w:proofErr w:type="spellEnd"/>
      <w:r w:rsidRPr="00345F6A">
        <w:rPr>
          <w:rFonts w:ascii="Arial" w:eastAsiaTheme="minorEastAsia" w:hAnsi="Arial" w:cs="Arial"/>
          <w:color w:val="333333"/>
          <w:sz w:val="20"/>
          <w:szCs w:val="20"/>
          <w:shd w:val="clear" w:color="auto" w:fill="FCFCFC"/>
        </w:rPr>
        <w:t xml:space="preserve">, M.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2017</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Evaluation of grey forecasting method of total domestic coffee consumption in Indonesia. </w:t>
      </w:r>
      <w:r w:rsidRPr="00AC667D">
        <w:rPr>
          <w:rFonts w:ascii="Arial" w:eastAsiaTheme="minorEastAsia" w:hAnsi="Arial" w:cs="Arial"/>
          <w:color w:val="333333"/>
          <w:sz w:val="20"/>
          <w:szCs w:val="20"/>
          <w:shd w:val="clear" w:color="auto" w:fill="FCFCFC"/>
        </w:rPr>
        <w:t>Int. J. Bus. Econ. Res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6</w:t>
      </w:r>
      <w:r w:rsidRPr="00345F6A">
        <w:rPr>
          <w:rFonts w:ascii="Arial" w:eastAsiaTheme="minorEastAsia" w:hAnsi="Arial" w:cs="Arial"/>
          <w:color w:val="333333"/>
          <w:sz w:val="20"/>
          <w:szCs w:val="20"/>
          <w:shd w:val="clear" w:color="auto" w:fill="FCFCFC"/>
        </w:rPr>
        <w:t>(4), 67-72.</w:t>
      </w:r>
    </w:p>
    <w:p w14:paraId="5B0B8C56"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proofErr w:type="spellStart"/>
      <w:r w:rsidRPr="00345F6A">
        <w:rPr>
          <w:rFonts w:ascii="Arial" w:eastAsiaTheme="minorEastAsia" w:hAnsi="Arial" w:cs="Arial"/>
          <w:color w:val="333333"/>
          <w:sz w:val="20"/>
          <w:szCs w:val="20"/>
          <w:shd w:val="clear" w:color="auto" w:fill="FCFCFC"/>
        </w:rPr>
        <w:t>Julong</w:t>
      </w:r>
      <w:proofErr w:type="spellEnd"/>
      <w:r w:rsidRPr="00345F6A">
        <w:rPr>
          <w:rFonts w:ascii="Arial" w:eastAsiaTheme="minorEastAsia" w:hAnsi="Arial" w:cs="Arial"/>
          <w:color w:val="333333"/>
          <w:sz w:val="20"/>
          <w:szCs w:val="20"/>
          <w:shd w:val="clear" w:color="auto" w:fill="FCFCFC"/>
        </w:rPr>
        <w:t xml:space="preserve">, D.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1989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Introduction to grey system theory. </w:t>
      </w:r>
      <w:r w:rsidRPr="00AC667D">
        <w:rPr>
          <w:rFonts w:ascii="Arial" w:eastAsiaTheme="minorEastAsia" w:hAnsi="Arial" w:cs="Arial"/>
          <w:color w:val="333333"/>
          <w:sz w:val="20"/>
          <w:szCs w:val="20"/>
          <w:shd w:val="clear" w:color="auto" w:fill="FCFCFC"/>
        </w:rPr>
        <w:t>The Journal of grey system</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w:t>
      </w:r>
      <w:r w:rsidRPr="00345F6A">
        <w:rPr>
          <w:rFonts w:ascii="Arial" w:eastAsiaTheme="minorEastAsia" w:hAnsi="Arial" w:cs="Arial"/>
          <w:color w:val="333333"/>
          <w:sz w:val="20"/>
          <w:szCs w:val="20"/>
          <w:shd w:val="clear" w:color="auto" w:fill="FCFCFC"/>
        </w:rPr>
        <w:t>(1),</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1-24.</w:t>
      </w:r>
    </w:p>
    <w:p w14:paraId="6513A092"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Zeng, B., Duan, H.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Zhou, Y.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A new multivariable grey prediction model with structure compatibility. </w:t>
      </w:r>
      <w:r w:rsidRPr="00AC667D">
        <w:rPr>
          <w:rFonts w:ascii="Arial" w:eastAsiaTheme="minorEastAsia" w:hAnsi="Arial" w:cs="Arial"/>
          <w:color w:val="333333"/>
          <w:sz w:val="20"/>
          <w:szCs w:val="20"/>
          <w:shd w:val="clear" w:color="auto" w:fill="FCFCFC"/>
        </w:rPr>
        <w:t>Applied Mathematical Modelling</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75</w:t>
      </w:r>
      <w:r w:rsidRPr="00345F6A">
        <w:rPr>
          <w:rFonts w:ascii="Arial" w:eastAsiaTheme="minorEastAsia" w:hAnsi="Arial" w:cs="Arial"/>
          <w:color w:val="333333"/>
          <w:sz w:val="20"/>
          <w:szCs w:val="20"/>
          <w:shd w:val="clear" w:color="auto" w:fill="FCFCFC"/>
        </w:rPr>
        <w:t>,</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385-397.</w:t>
      </w:r>
    </w:p>
    <w:p w14:paraId="3D03FF5E"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Ding, S., Dang, Y., Xu, N. </w:t>
      </w:r>
      <w:r>
        <w:rPr>
          <w:rFonts w:ascii="Arial" w:eastAsiaTheme="minorEastAsia" w:hAnsi="Arial" w:cs="Arial"/>
          <w:color w:val="333333"/>
          <w:sz w:val="20"/>
          <w:szCs w:val="20"/>
          <w:shd w:val="clear" w:color="auto" w:fill="FCFCFC"/>
        </w:rPr>
        <w:t xml:space="preserve">&amp; </w:t>
      </w:r>
      <w:r w:rsidRPr="00345F6A">
        <w:rPr>
          <w:rFonts w:ascii="Arial" w:eastAsiaTheme="minorEastAsia" w:hAnsi="Arial" w:cs="Arial"/>
          <w:color w:val="333333"/>
          <w:sz w:val="20"/>
          <w:szCs w:val="20"/>
          <w:shd w:val="clear" w:color="auto" w:fill="FCFCFC"/>
        </w:rPr>
        <w:t xml:space="preserve">Xu, Z.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2018</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A Novel Grey Model Based on the Trends of Driving Factors and Its Application. </w:t>
      </w:r>
      <w:r w:rsidRPr="00AC667D">
        <w:rPr>
          <w:rFonts w:ascii="Arial" w:eastAsiaTheme="minorEastAsia" w:hAnsi="Arial" w:cs="Arial"/>
          <w:color w:val="333333"/>
          <w:sz w:val="20"/>
          <w:szCs w:val="20"/>
          <w:shd w:val="clear" w:color="auto" w:fill="FCFCFC"/>
        </w:rPr>
        <w:t>Journal of Grey System</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30</w:t>
      </w:r>
      <w:r w:rsidRPr="00345F6A">
        <w:rPr>
          <w:rFonts w:ascii="Arial" w:eastAsiaTheme="minorEastAsia" w:hAnsi="Arial" w:cs="Arial"/>
          <w:color w:val="333333"/>
          <w:sz w:val="20"/>
          <w:szCs w:val="20"/>
          <w:shd w:val="clear" w:color="auto" w:fill="FCFCFC"/>
        </w:rPr>
        <w:t>(3).</w:t>
      </w:r>
    </w:p>
    <w:p w14:paraId="5D689C6D"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Liu, S., Yang, Y., Xie, N.</w:t>
      </w:r>
      <w:r>
        <w:rPr>
          <w:rFonts w:ascii="Arial" w:eastAsiaTheme="minorEastAsia" w:hAnsi="Arial" w:cs="Arial"/>
          <w:color w:val="333333"/>
          <w:sz w:val="20"/>
          <w:szCs w:val="20"/>
          <w:shd w:val="clear" w:color="auto" w:fill="FCFCFC"/>
        </w:rPr>
        <w:t xml:space="preserve">&amp; </w:t>
      </w:r>
      <w:r w:rsidRPr="00345F6A">
        <w:rPr>
          <w:rFonts w:ascii="Arial" w:eastAsiaTheme="minorEastAsia" w:hAnsi="Arial" w:cs="Arial"/>
          <w:color w:val="333333"/>
          <w:sz w:val="20"/>
          <w:szCs w:val="20"/>
          <w:shd w:val="clear" w:color="auto" w:fill="FCFCFC"/>
        </w:rPr>
        <w:t xml:space="preserve">Forrest, J.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2016</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New progress of grey system theory in the new millennium. </w:t>
      </w:r>
      <w:r w:rsidRPr="00AC667D">
        <w:rPr>
          <w:rFonts w:ascii="Arial" w:eastAsiaTheme="minorEastAsia" w:hAnsi="Arial" w:cs="Arial"/>
          <w:color w:val="333333"/>
          <w:sz w:val="20"/>
          <w:szCs w:val="20"/>
          <w:shd w:val="clear" w:color="auto" w:fill="FCFCFC"/>
        </w:rPr>
        <w:t>Grey Systems: Theory and Application</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6</w:t>
      </w:r>
      <w:r w:rsidRPr="00345F6A">
        <w:rPr>
          <w:rFonts w:ascii="Arial" w:eastAsiaTheme="minorEastAsia" w:hAnsi="Arial" w:cs="Arial"/>
          <w:color w:val="333333"/>
          <w:sz w:val="20"/>
          <w:szCs w:val="20"/>
          <w:shd w:val="clear" w:color="auto" w:fill="FCFCFC"/>
        </w:rPr>
        <w:t>(1),</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2-31.</w:t>
      </w:r>
    </w:p>
    <w:p w14:paraId="1145F54A"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Deng, J.L.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2002</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Grey forecasting and grey decision-making. </w:t>
      </w:r>
      <w:r w:rsidRPr="00931AE9">
        <w:rPr>
          <w:rFonts w:ascii="Arial" w:eastAsiaTheme="minorEastAsia" w:hAnsi="Arial" w:cs="Arial"/>
          <w:color w:val="333333"/>
          <w:sz w:val="20"/>
          <w:szCs w:val="20"/>
          <w:shd w:val="clear" w:color="auto" w:fill="FCFCFC"/>
        </w:rPr>
        <w:t>Huazhong University of Science and Technology Press, Wuhan</w:t>
      </w:r>
      <w:r w:rsidRPr="00345F6A">
        <w:rPr>
          <w:rFonts w:ascii="Arial" w:eastAsiaTheme="minorEastAsia" w:hAnsi="Arial" w:cs="Arial"/>
          <w:color w:val="333333"/>
          <w:sz w:val="20"/>
          <w:szCs w:val="20"/>
          <w:shd w:val="clear" w:color="auto" w:fill="FCFCFC"/>
        </w:rPr>
        <w:t>.</w:t>
      </w:r>
    </w:p>
    <w:p w14:paraId="43DFDCBE"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Chen, Y.S.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Chen, B.Y.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2011</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Applying DEA, MPI, and grey model to explore the operation performance of the Taiwanese wafer fabrication industry. </w:t>
      </w:r>
      <w:r w:rsidRPr="00931AE9">
        <w:rPr>
          <w:rFonts w:ascii="Arial" w:eastAsiaTheme="minorEastAsia" w:hAnsi="Arial" w:cs="Arial"/>
          <w:color w:val="333333"/>
          <w:sz w:val="20"/>
          <w:szCs w:val="20"/>
          <w:shd w:val="clear" w:color="auto" w:fill="FCFCFC"/>
        </w:rPr>
        <w:t>Technological forecasting and social change</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78</w:t>
      </w:r>
      <w:r w:rsidRPr="00345F6A">
        <w:rPr>
          <w:rFonts w:ascii="Arial" w:eastAsiaTheme="minorEastAsia" w:hAnsi="Arial" w:cs="Arial"/>
          <w:color w:val="333333"/>
          <w:sz w:val="20"/>
          <w:szCs w:val="20"/>
          <w:shd w:val="clear" w:color="auto" w:fill="FCFCFC"/>
        </w:rPr>
        <w:t>(3),</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536-546.</w:t>
      </w:r>
    </w:p>
    <w:p w14:paraId="7E243C16"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Hung, K.C., Chien, C.Y., Wu, K.J. </w:t>
      </w:r>
      <w:r>
        <w:rPr>
          <w:rFonts w:ascii="Arial" w:eastAsiaTheme="minorEastAsia" w:hAnsi="Arial" w:cs="Arial"/>
          <w:color w:val="333333"/>
          <w:sz w:val="20"/>
          <w:szCs w:val="20"/>
          <w:shd w:val="clear" w:color="auto" w:fill="FCFCFC"/>
        </w:rPr>
        <w:t xml:space="preserve">&amp; </w:t>
      </w:r>
      <w:r w:rsidRPr="00345F6A">
        <w:rPr>
          <w:rFonts w:ascii="Arial" w:eastAsiaTheme="minorEastAsia" w:hAnsi="Arial" w:cs="Arial"/>
          <w:color w:val="333333"/>
          <w:sz w:val="20"/>
          <w:szCs w:val="20"/>
          <w:shd w:val="clear" w:color="auto" w:fill="FCFCFC"/>
        </w:rPr>
        <w:t xml:space="preserve">Hsu, F.Y.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2009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Optimal alpha level setting in GM (1, 1) model based on genetic algorithm. </w:t>
      </w:r>
      <w:r w:rsidRPr="00931AE9">
        <w:rPr>
          <w:rFonts w:ascii="Arial" w:eastAsiaTheme="minorEastAsia" w:hAnsi="Arial" w:cs="Arial"/>
          <w:color w:val="333333"/>
          <w:sz w:val="20"/>
          <w:szCs w:val="20"/>
          <w:shd w:val="clear" w:color="auto" w:fill="FCFCFC"/>
        </w:rPr>
        <w:t>Journal of Grey System</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12</w:t>
      </w:r>
      <w:r w:rsidRPr="00345F6A">
        <w:rPr>
          <w:rFonts w:ascii="Arial" w:eastAsiaTheme="minorEastAsia" w:hAnsi="Arial" w:cs="Arial"/>
          <w:color w:val="333333"/>
          <w:sz w:val="20"/>
          <w:szCs w:val="20"/>
          <w:shd w:val="clear" w:color="auto" w:fill="FCFCFC"/>
        </w:rPr>
        <w:t>(1),</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23-31.</w:t>
      </w:r>
    </w:p>
    <w:p w14:paraId="4F221ABE"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Wang, Y.T., Yu, H.F.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Chiou, D.C.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2010</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xml:space="preserve">. A </w:t>
      </w:r>
      <w:proofErr w:type="spellStart"/>
      <w:r w:rsidRPr="00345F6A">
        <w:rPr>
          <w:rFonts w:ascii="Arial" w:eastAsiaTheme="minorEastAsia" w:hAnsi="Arial" w:cs="Arial"/>
          <w:color w:val="333333"/>
          <w:sz w:val="20"/>
          <w:szCs w:val="20"/>
          <w:shd w:val="clear" w:color="auto" w:fill="FCFCFC"/>
        </w:rPr>
        <w:t>greyfuzzy</w:t>
      </w:r>
      <w:proofErr w:type="spellEnd"/>
      <w:r w:rsidRPr="00345F6A">
        <w:rPr>
          <w:rFonts w:ascii="Arial" w:eastAsiaTheme="minorEastAsia" w:hAnsi="Arial" w:cs="Arial"/>
          <w:color w:val="333333"/>
          <w:sz w:val="20"/>
          <w:szCs w:val="20"/>
          <w:shd w:val="clear" w:color="auto" w:fill="FCFCFC"/>
        </w:rPr>
        <w:t xml:space="preserve"> controller for optimization technique in wireless networks. </w:t>
      </w:r>
      <w:r w:rsidRPr="00931AE9">
        <w:rPr>
          <w:rFonts w:ascii="Arial" w:eastAsiaTheme="minorEastAsia" w:hAnsi="Arial" w:cs="Arial"/>
          <w:color w:val="333333"/>
          <w:sz w:val="20"/>
          <w:szCs w:val="20"/>
          <w:shd w:val="clear" w:color="auto" w:fill="FCFCFC"/>
        </w:rPr>
        <w:t>Proc. World Academy of Science, Engineering and Technology</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65</w:t>
      </w:r>
      <w:r w:rsidRPr="00345F6A">
        <w:rPr>
          <w:rFonts w:ascii="Arial" w:eastAsiaTheme="minorEastAsia" w:hAnsi="Arial" w:cs="Arial"/>
          <w:color w:val="333333"/>
          <w:sz w:val="20"/>
          <w:szCs w:val="20"/>
          <w:shd w:val="clear" w:color="auto" w:fill="FCFCFC"/>
        </w:rPr>
        <w:t>, 1126-1134.</w:t>
      </w:r>
    </w:p>
    <w:p w14:paraId="6A68C383"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Wei, J., Zhou, L., Wang, F.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Wu, D.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2015</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Work safety evaluation in Mainland China using grey theory.</w:t>
      </w:r>
      <w:r w:rsidRPr="00931AE9">
        <w:rPr>
          <w:rFonts w:ascii="Arial" w:eastAsiaTheme="minorEastAsia" w:hAnsi="Arial" w:cs="Arial"/>
          <w:color w:val="333333"/>
          <w:sz w:val="20"/>
          <w:szCs w:val="20"/>
          <w:shd w:val="clear" w:color="auto" w:fill="FCFCFC"/>
        </w:rPr>
        <w:t> Applied mathematical modelling</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39</w:t>
      </w:r>
      <w:r w:rsidRPr="00345F6A">
        <w:rPr>
          <w:rFonts w:ascii="Arial" w:eastAsiaTheme="minorEastAsia" w:hAnsi="Arial" w:cs="Arial"/>
          <w:color w:val="333333"/>
          <w:sz w:val="20"/>
          <w:szCs w:val="20"/>
          <w:shd w:val="clear" w:color="auto" w:fill="FCFCFC"/>
        </w:rPr>
        <w:t>(2),</w:t>
      </w:r>
      <w:r>
        <w:rPr>
          <w:rFonts w:ascii="Arial" w:eastAsiaTheme="minorEastAsia" w:hAnsi="Arial" w:cs="Arial"/>
          <w:color w:val="333333"/>
          <w:sz w:val="20"/>
          <w:szCs w:val="20"/>
          <w:shd w:val="clear" w:color="auto" w:fill="FCFCFC"/>
        </w:rPr>
        <w:t xml:space="preserve"> </w:t>
      </w:r>
      <w:r w:rsidRPr="00345F6A">
        <w:rPr>
          <w:rFonts w:ascii="Arial" w:eastAsiaTheme="minorEastAsia" w:hAnsi="Arial" w:cs="Arial"/>
          <w:color w:val="333333"/>
          <w:sz w:val="20"/>
          <w:szCs w:val="20"/>
          <w:shd w:val="clear" w:color="auto" w:fill="FCFCFC"/>
        </w:rPr>
        <w:t>924-933.</w:t>
      </w:r>
    </w:p>
    <w:p w14:paraId="50216649"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Xie, N.M. and Liu, S.F.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2009</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Discrete grey forecasting model and its optimization. </w:t>
      </w:r>
      <w:r w:rsidRPr="00931AE9">
        <w:rPr>
          <w:rFonts w:ascii="Arial" w:eastAsiaTheme="minorEastAsia" w:hAnsi="Arial" w:cs="Arial"/>
          <w:color w:val="333333"/>
          <w:sz w:val="20"/>
          <w:szCs w:val="20"/>
          <w:shd w:val="clear" w:color="auto" w:fill="FCFCFC"/>
        </w:rPr>
        <w:t>Applied mathematical modelling</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33</w:t>
      </w:r>
      <w:r w:rsidRPr="00345F6A">
        <w:rPr>
          <w:rFonts w:ascii="Arial" w:eastAsiaTheme="minorEastAsia" w:hAnsi="Arial" w:cs="Arial"/>
          <w:color w:val="333333"/>
          <w:sz w:val="20"/>
          <w:szCs w:val="20"/>
          <w:shd w:val="clear" w:color="auto" w:fill="FCFCFC"/>
        </w:rPr>
        <w:t>(2), 1173-1186.</w:t>
      </w:r>
    </w:p>
    <w:p w14:paraId="2C5DD55D" w14:textId="77777777" w:rsidR="004708FA" w:rsidRPr="00345F6A" w:rsidRDefault="004708FA" w:rsidP="004708FA">
      <w:pPr>
        <w:pStyle w:val="ListParagraph"/>
        <w:numPr>
          <w:ilvl w:val="0"/>
          <w:numId w:val="1"/>
        </w:numPr>
        <w:spacing w:line="360" w:lineRule="auto"/>
        <w:jc w:val="both"/>
        <w:rPr>
          <w:rFonts w:ascii="Arial" w:eastAsiaTheme="minorEastAsia" w:hAnsi="Arial" w:cs="Arial"/>
          <w:color w:val="333333"/>
          <w:sz w:val="20"/>
          <w:szCs w:val="20"/>
          <w:shd w:val="clear" w:color="auto" w:fill="FCFCFC"/>
        </w:rPr>
      </w:pPr>
      <w:r w:rsidRPr="00345F6A">
        <w:rPr>
          <w:rFonts w:ascii="Arial" w:eastAsiaTheme="minorEastAsia" w:hAnsi="Arial" w:cs="Arial"/>
          <w:color w:val="333333"/>
          <w:sz w:val="20"/>
          <w:szCs w:val="20"/>
          <w:shd w:val="clear" w:color="auto" w:fill="FCFCFC"/>
        </w:rPr>
        <w:t xml:space="preserve">Darvishi </w:t>
      </w:r>
      <w:proofErr w:type="spellStart"/>
      <w:r w:rsidRPr="00345F6A">
        <w:rPr>
          <w:rFonts w:ascii="Arial" w:eastAsiaTheme="minorEastAsia" w:hAnsi="Arial" w:cs="Arial"/>
          <w:color w:val="333333"/>
          <w:sz w:val="20"/>
          <w:szCs w:val="20"/>
          <w:shd w:val="clear" w:color="auto" w:fill="FCFCFC"/>
        </w:rPr>
        <w:t>Salookolaei</w:t>
      </w:r>
      <w:proofErr w:type="spellEnd"/>
      <w:r w:rsidRPr="00345F6A">
        <w:rPr>
          <w:rFonts w:ascii="Arial" w:eastAsiaTheme="minorEastAsia" w:hAnsi="Arial" w:cs="Arial"/>
          <w:color w:val="333333"/>
          <w:sz w:val="20"/>
          <w:szCs w:val="20"/>
          <w:shd w:val="clear" w:color="auto" w:fill="FCFCFC"/>
        </w:rPr>
        <w:t xml:space="preserve">, D., Liu, S. </w:t>
      </w:r>
      <w:r>
        <w:rPr>
          <w:rFonts w:ascii="Arial" w:eastAsiaTheme="minorEastAsia" w:hAnsi="Arial" w:cs="Arial"/>
          <w:color w:val="333333"/>
          <w:sz w:val="20"/>
          <w:szCs w:val="20"/>
          <w:shd w:val="clear" w:color="auto" w:fill="FCFCFC"/>
        </w:rPr>
        <w:t>&amp;</w:t>
      </w:r>
      <w:r w:rsidRPr="00345F6A">
        <w:rPr>
          <w:rFonts w:ascii="Arial" w:eastAsiaTheme="minorEastAsia" w:hAnsi="Arial" w:cs="Arial"/>
          <w:color w:val="333333"/>
          <w:sz w:val="20"/>
          <w:szCs w:val="20"/>
          <w:shd w:val="clear" w:color="auto" w:fill="FCFCFC"/>
        </w:rPr>
        <w:t xml:space="preserve"> Babaei, P. </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2017</w:t>
      </w:r>
      <w:r>
        <w:rPr>
          <w:rFonts w:ascii="Arial" w:eastAsiaTheme="minorEastAsia" w:hAnsi="Arial" w:cs="Arial"/>
          <w:color w:val="333333"/>
          <w:sz w:val="20"/>
          <w:szCs w:val="20"/>
          <w:shd w:val="clear" w:color="auto" w:fill="FCFCFC"/>
        </w:rPr>
        <w:t>)</w:t>
      </w:r>
      <w:r w:rsidRPr="00345F6A">
        <w:rPr>
          <w:rFonts w:ascii="Arial" w:eastAsiaTheme="minorEastAsia" w:hAnsi="Arial" w:cs="Arial"/>
          <w:color w:val="333333"/>
          <w:sz w:val="20"/>
          <w:szCs w:val="20"/>
          <w:shd w:val="clear" w:color="auto" w:fill="FCFCFC"/>
        </w:rPr>
        <w:t>. Application of grey system theory in rainfall estimation. </w:t>
      </w:r>
      <w:r w:rsidRPr="00931AE9">
        <w:rPr>
          <w:rFonts w:ascii="Arial" w:eastAsiaTheme="minorEastAsia" w:hAnsi="Arial" w:cs="Arial"/>
          <w:color w:val="333333"/>
          <w:sz w:val="20"/>
          <w:szCs w:val="20"/>
          <w:shd w:val="clear" w:color="auto" w:fill="FCFCFC"/>
        </w:rPr>
        <w:t>Control and optimization in applied mathematics</w:t>
      </w:r>
      <w:r w:rsidRPr="00345F6A">
        <w:rPr>
          <w:rFonts w:ascii="Arial" w:eastAsiaTheme="minorEastAsia" w:hAnsi="Arial" w:cs="Arial"/>
          <w:color w:val="333333"/>
          <w:sz w:val="20"/>
          <w:szCs w:val="20"/>
          <w:shd w:val="clear" w:color="auto" w:fill="FCFCFC"/>
        </w:rPr>
        <w:t>, </w:t>
      </w:r>
      <w:r w:rsidRPr="00345F6A">
        <w:rPr>
          <w:rFonts w:ascii="Arial" w:eastAsiaTheme="minorEastAsia" w:hAnsi="Arial" w:cs="Arial"/>
          <w:i/>
          <w:iCs/>
          <w:color w:val="333333"/>
          <w:sz w:val="20"/>
          <w:szCs w:val="20"/>
          <w:shd w:val="clear" w:color="auto" w:fill="FCFCFC"/>
        </w:rPr>
        <w:t>2</w:t>
      </w:r>
      <w:r w:rsidRPr="00345F6A">
        <w:rPr>
          <w:rFonts w:ascii="Arial" w:eastAsiaTheme="minorEastAsia" w:hAnsi="Arial" w:cs="Arial"/>
          <w:color w:val="333333"/>
          <w:sz w:val="20"/>
          <w:szCs w:val="20"/>
          <w:shd w:val="clear" w:color="auto" w:fill="FCFCFC"/>
        </w:rPr>
        <w:t>(2), 15-32.</w:t>
      </w:r>
    </w:p>
    <w:p w14:paraId="26CF1845" w14:textId="77777777" w:rsidR="004708FA" w:rsidRPr="00E72A3C" w:rsidRDefault="004708FA" w:rsidP="004708FA">
      <w:pPr>
        <w:pStyle w:val="ListParagraph"/>
        <w:spacing w:line="360" w:lineRule="auto"/>
        <w:jc w:val="both"/>
        <w:rPr>
          <w:rFonts w:ascii="Arial" w:eastAsiaTheme="minorEastAsia" w:hAnsi="Arial" w:cs="Arial"/>
          <w:b/>
          <w:bCs/>
          <w:color w:val="333333"/>
          <w:sz w:val="20"/>
          <w:szCs w:val="20"/>
          <w:shd w:val="clear" w:color="auto" w:fill="FCFCFC"/>
        </w:rPr>
      </w:pPr>
      <w:r w:rsidRPr="00E72A3C">
        <w:rPr>
          <w:rFonts w:ascii="Arial" w:eastAsiaTheme="minorEastAsia" w:hAnsi="Arial" w:cs="Arial"/>
          <w:b/>
          <w:bCs/>
          <w:color w:val="333333"/>
          <w:sz w:val="20"/>
          <w:szCs w:val="20"/>
          <w:shd w:val="clear" w:color="auto" w:fill="FCFCFC"/>
        </w:rPr>
        <w:t>Table 2:</w:t>
      </w:r>
      <w:r>
        <w:rPr>
          <w:rFonts w:ascii="Arial" w:eastAsiaTheme="minorEastAsia" w:hAnsi="Arial" w:cs="Arial"/>
          <w:b/>
          <w:bCs/>
          <w:color w:val="333333"/>
          <w:sz w:val="20"/>
          <w:szCs w:val="20"/>
          <w:shd w:val="clear" w:color="auto" w:fill="FCFCFC"/>
        </w:rPr>
        <w:t xml:space="preserve"> Comparison of Class Ratio Values </w:t>
      </w:r>
    </w:p>
    <w:tbl>
      <w:tblPr>
        <w:tblStyle w:val="TableGrid"/>
        <w:tblW w:w="0" w:type="auto"/>
        <w:tblInd w:w="720" w:type="dxa"/>
        <w:tblLook w:val="04A0" w:firstRow="1" w:lastRow="0" w:firstColumn="1" w:lastColumn="0" w:noHBand="0" w:noVBand="1"/>
      </w:tblPr>
      <w:tblGrid>
        <w:gridCol w:w="2087"/>
        <w:gridCol w:w="2087"/>
        <w:gridCol w:w="2087"/>
      </w:tblGrid>
      <w:tr w:rsidR="004708FA" w14:paraId="75AE5DEA" w14:textId="77777777" w:rsidTr="008C5F04">
        <w:tc>
          <w:tcPr>
            <w:tcW w:w="2087" w:type="dxa"/>
          </w:tcPr>
          <w:p w14:paraId="71E2CD7B" w14:textId="77777777" w:rsidR="004708FA" w:rsidRPr="00E72A3C" w:rsidRDefault="004708FA" w:rsidP="008C5F04">
            <w:pPr>
              <w:pStyle w:val="ListParagraph"/>
              <w:spacing w:line="360" w:lineRule="auto"/>
              <w:ind w:left="0"/>
              <w:jc w:val="both"/>
              <w:rPr>
                <w:rFonts w:ascii="Arial" w:eastAsiaTheme="minorEastAsia" w:hAnsi="Arial" w:cs="Arial"/>
                <w:b/>
                <w:bCs/>
                <w:color w:val="333333"/>
                <w:sz w:val="20"/>
                <w:szCs w:val="20"/>
                <w:shd w:val="clear" w:color="auto" w:fill="FCFCFC"/>
              </w:rPr>
            </w:pPr>
            <w:r w:rsidRPr="00E72A3C">
              <w:rPr>
                <w:rFonts w:ascii="Arial" w:eastAsiaTheme="minorEastAsia" w:hAnsi="Arial" w:cs="Arial"/>
                <w:b/>
                <w:bCs/>
                <w:color w:val="333333"/>
                <w:sz w:val="20"/>
                <w:szCs w:val="20"/>
                <w:shd w:val="clear" w:color="auto" w:fill="FCFCFC"/>
              </w:rPr>
              <w:t>NTZ</w:t>
            </w:r>
          </w:p>
        </w:tc>
        <w:tc>
          <w:tcPr>
            <w:tcW w:w="2087" w:type="dxa"/>
          </w:tcPr>
          <w:p w14:paraId="24F1CD4A" w14:textId="77777777" w:rsidR="004708FA" w:rsidRPr="00E72A3C" w:rsidRDefault="004708FA" w:rsidP="008C5F04">
            <w:pPr>
              <w:pStyle w:val="ListParagraph"/>
              <w:spacing w:line="360" w:lineRule="auto"/>
              <w:ind w:left="0"/>
              <w:jc w:val="both"/>
              <w:rPr>
                <w:rFonts w:ascii="Arial" w:eastAsiaTheme="minorEastAsia" w:hAnsi="Arial" w:cs="Arial"/>
                <w:b/>
                <w:bCs/>
                <w:color w:val="333333"/>
                <w:sz w:val="20"/>
                <w:szCs w:val="20"/>
                <w:shd w:val="clear" w:color="auto" w:fill="FCFCFC"/>
              </w:rPr>
            </w:pPr>
            <w:r w:rsidRPr="00E72A3C">
              <w:rPr>
                <w:rFonts w:ascii="Arial" w:eastAsiaTheme="minorEastAsia" w:hAnsi="Arial" w:cs="Arial"/>
                <w:b/>
                <w:bCs/>
                <w:color w:val="333333"/>
                <w:sz w:val="20"/>
                <w:szCs w:val="20"/>
                <w:shd w:val="clear" w:color="auto" w:fill="FCFCFC"/>
              </w:rPr>
              <w:t>STZ</w:t>
            </w:r>
          </w:p>
        </w:tc>
        <w:tc>
          <w:tcPr>
            <w:tcW w:w="2087" w:type="dxa"/>
          </w:tcPr>
          <w:p w14:paraId="6B5D4F0C" w14:textId="77777777" w:rsidR="004708FA" w:rsidRPr="00E72A3C" w:rsidRDefault="004708FA" w:rsidP="008C5F04">
            <w:pPr>
              <w:pStyle w:val="ListParagraph"/>
              <w:spacing w:line="360" w:lineRule="auto"/>
              <w:ind w:left="0"/>
              <w:jc w:val="both"/>
              <w:rPr>
                <w:rFonts w:ascii="Arial" w:eastAsiaTheme="minorEastAsia" w:hAnsi="Arial" w:cs="Arial"/>
                <w:b/>
                <w:bCs/>
                <w:color w:val="333333"/>
                <w:sz w:val="20"/>
                <w:szCs w:val="20"/>
                <w:shd w:val="clear" w:color="auto" w:fill="FCFCFC"/>
              </w:rPr>
            </w:pPr>
            <w:r w:rsidRPr="00E72A3C">
              <w:rPr>
                <w:rFonts w:ascii="Arial" w:eastAsiaTheme="minorEastAsia" w:hAnsi="Arial" w:cs="Arial"/>
                <w:b/>
                <w:bCs/>
                <w:color w:val="333333"/>
                <w:sz w:val="20"/>
                <w:szCs w:val="20"/>
                <w:shd w:val="clear" w:color="auto" w:fill="FCFCFC"/>
              </w:rPr>
              <w:t>CTZ</w:t>
            </w:r>
          </w:p>
        </w:tc>
      </w:tr>
      <w:tr w:rsidR="004708FA" w14:paraId="77E2B0E0" w14:textId="77777777" w:rsidTr="008C5F04">
        <w:tc>
          <w:tcPr>
            <w:tcW w:w="2087" w:type="dxa"/>
          </w:tcPr>
          <w:p w14:paraId="3D55E334"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lastRenderedPageBreak/>
              <w:t>0.9621</w:t>
            </w:r>
          </w:p>
        </w:tc>
        <w:tc>
          <w:tcPr>
            <w:tcW w:w="2087" w:type="dxa"/>
          </w:tcPr>
          <w:p w14:paraId="22FA0BD9"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0.9702</w:t>
            </w:r>
          </w:p>
        </w:tc>
        <w:tc>
          <w:tcPr>
            <w:tcW w:w="2087" w:type="dxa"/>
          </w:tcPr>
          <w:p w14:paraId="6DA54205"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0.9715</w:t>
            </w:r>
          </w:p>
        </w:tc>
      </w:tr>
      <w:tr w:rsidR="004708FA" w14:paraId="3D5246DB" w14:textId="77777777" w:rsidTr="008C5F04">
        <w:tc>
          <w:tcPr>
            <w:tcW w:w="2087" w:type="dxa"/>
          </w:tcPr>
          <w:p w14:paraId="4EA87357"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0.9385</w:t>
            </w:r>
          </w:p>
        </w:tc>
        <w:tc>
          <w:tcPr>
            <w:tcW w:w="2087" w:type="dxa"/>
          </w:tcPr>
          <w:p w14:paraId="2F5DB516"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0.9436</w:t>
            </w:r>
          </w:p>
        </w:tc>
        <w:tc>
          <w:tcPr>
            <w:tcW w:w="2087" w:type="dxa"/>
          </w:tcPr>
          <w:p w14:paraId="38F8D6B9"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0.9381</w:t>
            </w:r>
          </w:p>
        </w:tc>
      </w:tr>
      <w:tr w:rsidR="004708FA" w14:paraId="1131E351" w14:textId="77777777" w:rsidTr="008C5F04">
        <w:tc>
          <w:tcPr>
            <w:tcW w:w="2087" w:type="dxa"/>
          </w:tcPr>
          <w:p w14:paraId="18751C9F"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0.9778</w:t>
            </w:r>
          </w:p>
        </w:tc>
        <w:tc>
          <w:tcPr>
            <w:tcW w:w="2087" w:type="dxa"/>
          </w:tcPr>
          <w:p w14:paraId="5FD7CA2A"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0.9465</w:t>
            </w:r>
          </w:p>
        </w:tc>
        <w:tc>
          <w:tcPr>
            <w:tcW w:w="2087" w:type="dxa"/>
          </w:tcPr>
          <w:p w14:paraId="74739541"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0.9108</w:t>
            </w:r>
          </w:p>
        </w:tc>
      </w:tr>
      <w:tr w:rsidR="004708FA" w14:paraId="265018AC" w14:textId="77777777" w:rsidTr="008C5F04">
        <w:tc>
          <w:tcPr>
            <w:tcW w:w="2087" w:type="dxa"/>
          </w:tcPr>
          <w:p w14:paraId="41EA41EA"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0.9590</w:t>
            </w:r>
          </w:p>
        </w:tc>
        <w:tc>
          <w:tcPr>
            <w:tcW w:w="2087" w:type="dxa"/>
          </w:tcPr>
          <w:p w14:paraId="52EF7D48"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0.9890</w:t>
            </w:r>
          </w:p>
        </w:tc>
        <w:tc>
          <w:tcPr>
            <w:tcW w:w="2087" w:type="dxa"/>
          </w:tcPr>
          <w:p w14:paraId="48A613BD"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1.0248</w:t>
            </w:r>
          </w:p>
        </w:tc>
      </w:tr>
      <w:tr w:rsidR="004708FA" w14:paraId="18E6C6A9" w14:textId="77777777" w:rsidTr="008C5F04">
        <w:tc>
          <w:tcPr>
            <w:tcW w:w="2087" w:type="dxa"/>
          </w:tcPr>
          <w:p w14:paraId="69CF3E3F"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0.9095</w:t>
            </w:r>
          </w:p>
        </w:tc>
        <w:tc>
          <w:tcPr>
            <w:tcW w:w="2087" w:type="dxa"/>
          </w:tcPr>
          <w:p w14:paraId="4E93E6D4"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0.9121</w:t>
            </w:r>
          </w:p>
        </w:tc>
        <w:tc>
          <w:tcPr>
            <w:tcW w:w="2087" w:type="dxa"/>
          </w:tcPr>
          <w:p w14:paraId="1B0B3B18"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0.8895</w:t>
            </w:r>
          </w:p>
        </w:tc>
      </w:tr>
      <w:tr w:rsidR="004708FA" w14:paraId="6F64F7F9" w14:textId="77777777" w:rsidTr="008C5F04">
        <w:tc>
          <w:tcPr>
            <w:tcW w:w="2087" w:type="dxa"/>
          </w:tcPr>
          <w:p w14:paraId="68600B0C"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0.9841</w:t>
            </w:r>
          </w:p>
        </w:tc>
        <w:tc>
          <w:tcPr>
            <w:tcW w:w="2087" w:type="dxa"/>
          </w:tcPr>
          <w:p w14:paraId="4794BA67"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0.9575</w:t>
            </w:r>
          </w:p>
        </w:tc>
        <w:tc>
          <w:tcPr>
            <w:tcW w:w="2087" w:type="dxa"/>
          </w:tcPr>
          <w:p w14:paraId="2FBFE29A"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1.0402</w:t>
            </w:r>
          </w:p>
        </w:tc>
      </w:tr>
      <w:tr w:rsidR="004708FA" w14:paraId="65466FD3" w14:textId="77777777" w:rsidTr="008C5F04">
        <w:tc>
          <w:tcPr>
            <w:tcW w:w="2087" w:type="dxa"/>
          </w:tcPr>
          <w:p w14:paraId="0F89F6FB"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0.9581</w:t>
            </w:r>
          </w:p>
        </w:tc>
        <w:tc>
          <w:tcPr>
            <w:tcW w:w="2087" w:type="dxa"/>
          </w:tcPr>
          <w:p w14:paraId="3AD4C7D6"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0.9983</w:t>
            </w:r>
          </w:p>
        </w:tc>
        <w:tc>
          <w:tcPr>
            <w:tcW w:w="2087" w:type="dxa"/>
          </w:tcPr>
          <w:p w14:paraId="10032F9E"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0.9946</w:t>
            </w:r>
          </w:p>
        </w:tc>
      </w:tr>
      <w:tr w:rsidR="004708FA" w14:paraId="2D8A9ACC" w14:textId="77777777" w:rsidTr="008C5F04">
        <w:tc>
          <w:tcPr>
            <w:tcW w:w="2087" w:type="dxa"/>
          </w:tcPr>
          <w:p w14:paraId="5A3CF107"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0.9439</w:t>
            </w:r>
          </w:p>
        </w:tc>
        <w:tc>
          <w:tcPr>
            <w:tcW w:w="2087" w:type="dxa"/>
          </w:tcPr>
          <w:p w14:paraId="6EF791A7"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0.9573</w:t>
            </w:r>
          </w:p>
        </w:tc>
        <w:tc>
          <w:tcPr>
            <w:tcW w:w="2087" w:type="dxa"/>
          </w:tcPr>
          <w:p w14:paraId="2A9B9407"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0.9370</w:t>
            </w:r>
          </w:p>
        </w:tc>
      </w:tr>
      <w:tr w:rsidR="004708FA" w14:paraId="63A7D9F4" w14:textId="77777777" w:rsidTr="008C5F04">
        <w:tc>
          <w:tcPr>
            <w:tcW w:w="2087" w:type="dxa"/>
          </w:tcPr>
          <w:p w14:paraId="39615E2D"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0.9413</w:t>
            </w:r>
          </w:p>
        </w:tc>
        <w:tc>
          <w:tcPr>
            <w:tcW w:w="2087" w:type="dxa"/>
          </w:tcPr>
          <w:p w14:paraId="6766A48F"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0.9045</w:t>
            </w:r>
          </w:p>
        </w:tc>
        <w:tc>
          <w:tcPr>
            <w:tcW w:w="2087" w:type="dxa"/>
          </w:tcPr>
          <w:p w14:paraId="67C3F556"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0.9491</w:t>
            </w:r>
          </w:p>
        </w:tc>
      </w:tr>
      <w:tr w:rsidR="004708FA" w14:paraId="6099E61B" w14:textId="77777777" w:rsidTr="008C5F04">
        <w:tc>
          <w:tcPr>
            <w:tcW w:w="2087" w:type="dxa"/>
          </w:tcPr>
          <w:p w14:paraId="39614D31"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0.9448</w:t>
            </w:r>
          </w:p>
        </w:tc>
        <w:tc>
          <w:tcPr>
            <w:tcW w:w="2087" w:type="dxa"/>
          </w:tcPr>
          <w:p w14:paraId="64DB2BB0"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0.9362</w:t>
            </w:r>
          </w:p>
        </w:tc>
        <w:tc>
          <w:tcPr>
            <w:tcW w:w="2087" w:type="dxa"/>
          </w:tcPr>
          <w:p w14:paraId="4727E570" w14:textId="77777777" w:rsidR="004708FA" w:rsidRPr="00E72A3C" w:rsidRDefault="004708FA" w:rsidP="008C5F04">
            <w:pPr>
              <w:pStyle w:val="ListParagraph"/>
              <w:spacing w:line="360" w:lineRule="auto"/>
              <w:ind w:left="0"/>
              <w:jc w:val="both"/>
              <w:rPr>
                <w:rFonts w:ascii="Arial" w:eastAsiaTheme="minorEastAsia" w:hAnsi="Arial" w:cs="Arial"/>
                <w:color w:val="333333"/>
                <w:sz w:val="20"/>
                <w:szCs w:val="20"/>
                <w:shd w:val="clear" w:color="auto" w:fill="FCFCFC"/>
              </w:rPr>
            </w:pPr>
            <w:r w:rsidRPr="00E72A3C">
              <w:rPr>
                <w:rFonts w:ascii="Arial" w:eastAsiaTheme="minorEastAsia" w:hAnsi="Arial" w:cs="Arial"/>
                <w:color w:val="333333"/>
                <w:sz w:val="20"/>
                <w:szCs w:val="20"/>
                <w:shd w:val="clear" w:color="auto" w:fill="FCFCFC"/>
              </w:rPr>
              <w:t>0.8832</w:t>
            </w:r>
          </w:p>
        </w:tc>
      </w:tr>
    </w:tbl>
    <w:p w14:paraId="0B1D93A5" w14:textId="77777777" w:rsidR="004708FA" w:rsidRPr="008C5F04" w:rsidRDefault="004708FA" w:rsidP="004708FA">
      <w:pPr>
        <w:spacing w:line="360" w:lineRule="auto"/>
        <w:jc w:val="both"/>
        <w:rPr>
          <w:rFonts w:ascii="Times New Roman" w:eastAsiaTheme="minorEastAsia" w:hAnsi="Times New Roman" w:cs="Times New Roman"/>
          <w:color w:val="333333"/>
          <w:sz w:val="24"/>
          <w:szCs w:val="24"/>
          <w:shd w:val="clear" w:color="auto" w:fill="FCFCFC"/>
        </w:rPr>
      </w:pPr>
    </w:p>
    <w:p w14:paraId="08B5E1C2" w14:textId="77777777" w:rsidR="004708FA" w:rsidRPr="00FD2524" w:rsidRDefault="004708FA" w:rsidP="004708FA">
      <w:pPr>
        <w:pStyle w:val="ListParagraph"/>
        <w:spacing w:line="360" w:lineRule="auto"/>
        <w:jc w:val="both"/>
        <w:rPr>
          <w:rFonts w:ascii="Times New Roman" w:eastAsiaTheme="minorEastAsia" w:hAnsi="Times New Roman" w:cs="Times New Roman"/>
          <w:noProof/>
          <w:color w:val="333333"/>
          <w:sz w:val="24"/>
          <w:szCs w:val="24"/>
          <w:shd w:val="clear" w:color="auto" w:fill="FCFCFC"/>
        </w:rPr>
      </w:pPr>
      <w:r>
        <w:rPr>
          <w:rFonts w:ascii="Times New Roman" w:eastAsiaTheme="minorEastAsia" w:hAnsi="Times New Roman" w:cs="Times New Roman"/>
          <w:noProof/>
          <w:color w:val="333333"/>
          <w:sz w:val="24"/>
          <w:szCs w:val="24"/>
          <w:shd w:val="clear" w:color="auto" w:fill="FCFCFC"/>
          <w:lang w:eastAsia="en-IN"/>
        </w:rPr>
        <w:lastRenderedPageBreak/>
        <w:drawing>
          <wp:inline distT="0" distB="0" distL="0" distR="0" wp14:anchorId="2A35F46D" wp14:editId="72EEBDC8">
            <wp:extent cx="5730875" cy="8187690"/>
            <wp:effectExtent l="0" t="0" r="3175" b="0"/>
            <wp:docPr id="5629619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8187690"/>
                    </a:xfrm>
                    <a:prstGeom prst="rect">
                      <a:avLst/>
                    </a:prstGeom>
                    <a:noFill/>
                  </pic:spPr>
                </pic:pic>
              </a:graphicData>
            </a:graphic>
          </wp:inline>
        </w:drawing>
      </w:r>
    </w:p>
    <w:p w14:paraId="0BEB6D0D" w14:textId="1EAD95AF" w:rsidR="00425A2A" w:rsidRPr="00BA2587" w:rsidRDefault="004708FA" w:rsidP="00BA2587">
      <w:pPr>
        <w:pStyle w:val="ListParagraph"/>
        <w:spacing w:line="360" w:lineRule="auto"/>
        <w:jc w:val="both"/>
        <w:rPr>
          <w:rFonts w:eastAsiaTheme="minorEastAsia"/>
          <w:shd w:val="clear" w:color="auto" w:fill="FCFCFC"/>
        </w:rPr>
      </w:pPr>
      <w:r w:rsidRPr="005A6F47">
        <w:rPr>
          <w:rFonts w:ascii="Arial" w:eastAsiaTheme="minorEastAsia" w:hAnsi="Arial" w:cs="Arial"/>
          <w:color w:val="333333"/>
          <w:sz w:val="20"/>
          <w:szCs w:val="20"/>
          <w:shd w:val="clear" w:color="auto" w:fill="FCFCFC"/>
        </w:rPr>
        <w:t xml:space="preserve">Fig </w:t>
      </w:r>
      <w:r>
        <w:rPr>
          <w:rFonts w:ascii="Arial" w:eastAsiaTheme="minorEastAsia" w:hAnsi="Arial" w:cs="Arial"/>
          <w:color w:val="333333"/>
          <w:sz w:val="20"/>
          <w:szCs w:val="20"/>
          <w:shd w:val="clear" w:color="auto" w:fill="FCFCFC"/>
        </w:rPr>
        <w:t>1</w:t>
      </w:r>
      <w:r w:rsidRPr="005A6F47">
        <w:rPr>
          <w:rFonts w:ascii="Arial" w:eastAsiaTheme="minorEastAsia" w:hAnsi="Arial" w:cs="Arial"/>
          <w:color w:val="333333"/>
          <w:sz w:val="20"/>
          <w:szCs w:val="20"/>
          <w:shd w:val="clear" w:color="auto" w:fill="FCFCFC"/>
        </w:rPr>
        <w:t xml:space="preserve">: Actual vs Fitted </w:t>
      </w:r>
      <w:r w:rsidRPr="005A6F47">
        <w:rPr>
          <w:rFonts w:ascii="Arial" w:hAnsi="Arial" w:cs="Arial"/>
          <w:color w:val="333333"/>
          <w:sz w:val="20"/>
          <w:szCs w:val="20"/>
          <w:shd w:val="clear" w:color="auto" w:fill="FCFCFC"/>
        </w:rPr>
        <w:t>Modal Prices (Rs/</w:t>
      </w:r>
      <w:proofErr w:type="spellStart"/>
      <w:r w:rsidRPr="005A6F47">
        <w:rPr>
          <w:rFonts w:ascii="Arial" w:hAnsi="Arial" w:cs="Arial"/>
          <w:color w:val="333333"/>
          <w:sz w:val="20"/>
          <w:szCs w:val="20"/>
          <w:shd w:val="clear" w:color="auto" w:fill="FCFCFC"/>
        </w:rPr>
        <w:t>Qtl</w:t>
      </w:r>
      <w:proofErr w:type="spellEnd"/>
      <w:r w:rsidRPr="005A6F47">
        <w:rPr>
          <w:rFonts w:ascii="Arial" w:hAnsi="Arial" w:cs="Arial"/>
          <w:color w:val="333333"/>
          <w:sz w:val="20"/>
          <w:szCs w:val="20"/>
          <w:shd w:val="clear" w:color="auto" w:fill="FCFCFC"/>
        </w:rPr>
        <w:t xml:space="preserve">) </w:t>
      </w:r>
      <w:r>
        <w:rPr>
          <w:rFonts w:ascii="Arial" w:hAnsi="Arial" w:cs="Arial"/>
          <w:color w:val="333333"/>
          <w:sz w:val="20"/>
          <w:szCs w:val="20"/>
          <w:shd w:val="clear" w:color="auto" w:fill="FCFCFC"/>
        </w:rPr>
        <w:t>of (a)</w:t>
      </w:r>
      <w:r w:rsidRPr="005A6F47">
        <w:rPr>
          <w:rFonts w:ascii="Arial" w:hAnsi="Arial" w:cs="Arial"/>
          <w:color w:val="333333"/>
          <w:sz w:val="20"/>
          <w:szCs w:val="20"/>
          <w:shd w:val="clear" w:color="auto" w:fill="FCFCFC"/>
        </w:rPr>
        <w:t xml:space="preserve"> NTZ </w:t>
      </w:r>
      <w:r>
        <w:rPr>
          <w:rFonts w:ascii="Arial" w:hAnsi="Arial" w:cs="Arial"/>
          <w:color w:val="333333"/>
          <w:sz w:val="20"/>
          <w:szCs w:val="20"/>
          <w:shd w:val="clear" w:color="auto" w:fill="FCFCFC"/>
        </w:rPr>
        <w:t xml:space="preserve">(b) STZ and (c) CTZ </w:t>
      </w:r>
      <w:r w:rsidRPr="005A6F47">
        <w:rPr>
          <w:rFonts w:ascii="Arial" w:hAnsi="Arial" w:cs="Arial"/>
          <w:color w:val="333333"/>
          <w:sz w:val="20"/>
          <w:szCs w:val="20"/>
          <w:shd w:val="clear" w:color="auto" w:fill="FCFCFC"/>
        </w:rPr>
        <w:t>from 2014 to 2024</w:t>
      </w:r>
    </w:p>
    <w:sectPr w:rsidR="00425A2A" w:rsidRPr="00BA2587" w:rsidSect="006029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504BB" w14:textId="77777777" w:rsidR="000E7EF4" w:rsidRDefault="000E7EF4" w:rsidP="0060299F">
      <w:pPr>
        <w:spacing w:after="0" w:line="240" w:lineRule="auto"/>
      </w:pPr>
      <w:r>
        <w:separator/>
      </w:r>
    </w:p>
  </w:endnote>
  <w:endnote w:type="continuationSeparator" w:id="0">
    <w:p w14:paraId="13DAB1F1" w14:textId="77777777" w:rsidR="000E7EF4" w:rsidRDefault="000E7EF4" w:rsidP="0060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5BAF" w14:textId="77777777" w:rsidR="0060299F" w:rsidRDefault="00602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0721" w14:textId="77777777" w:rsidR="0060299F" w:rsidRDefault="00602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A3F0C" w14:textId="77777777" w:rsidR="0060299F" w:rsidRDefault="0060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B179D" w14:textId="77777777" w:rsidR="000E7EF4" w:rsidRDefault="000E7EF4" w:rsidP="0060299F">
      <w:pPr>
        <w:spacing w:after="0" w:line="240" w:lineRule="auto"/>
      </w:pPr>
      <w:r>
        <w:separator/>
      </w:r>
    </w:p>
  </w:footnote>
  <w:footnote w:type="continuationSeparator" w:id="0">
    <w:p w14:paraId="1BEEBEE9" w14:textId="77777777" w:rsidR="000E7EF4" w:rsidRDefault="000E7EF4" w:rsidP="00602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605D" w14:textId="62B5EA13" w:rsidR="0060299F" w:rsidRDefault="0060299F">
    <w:pPr>
      <w:pStyle w:val="Header"/>
    </w:pPr>
    <w:r>
      <w:rPr>
        <w:noProof/>
      </w:rPr>
      <w:pict w14:anchorId="4A380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0254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02674" w14:textId="15FB52D0" w:rsidR="0060299F" w:rsidRDefault="0060299F">
    <w:pPr>
      <w:pStyle w:val="Header"/>
    </w:pPr>
    <w:r>
      <w:rPr>
        <w:noProof/>
      </w:rPr>
      <w:pict w14:anchorId="4977D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0254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7116" w14:textId="1F8EA1F9" w:rsidR="0060299F" w:rsidRDefault="0060299F">
    <w:pPr>
      <w:pStyle w:val="Header"/>
    </w:pPr>
    <w:r>
      <w:rPr>
        <w:noProof/>
      </w:rPr>
      <w:pict w14:anchorId="66672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0254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35601"/>
    <w:multiLevelType w:val="multilevel"/>
    <w:tmpl w:val="4D6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1C3764"/>
    <w:multiLevelType w:val="hybridMultilevel"/>
    <w:tmpl w:val="B8B0B2D8"/>
    <w:lvl w:ilvl="0" w:tplc="6D944FD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A44130"/>
    <w:multiLevelType w:val="hybridMultilevel"/>
    <w:tmpl w:val="3912C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FD18F6"/>
    <w:multiLevelType w:val="hybridMultilevel"/>
    <w:tmpl w:val="1C7AC72A"/>
    <w:lvl w:ilvl="0" w:tplc="DD7EEBA8">
      <w:start w:val="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10654757">
    <w:abstractNumId w:val="2"/>
  </w:num>
  <w:num w:numId="2" w16cid:durableId="488058720">
    <w:abstractNumId w:val="1"/>
  </w:num>
  <w:num w:numId="3" w16cid:durableId="44137725">
    <w:abstractNumId w:val="0"/>
  </w:num>
  <w:num w:numId="4" w16cid:durableId="1666080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FA"/>
    <w:rsid w:val="00036853"/>
    <w:rsid w:val="000769DB"/>
    <w:rsid w:val="000E7EF4"/>
    <w:rsid w:val="003A0494"/>
    <w:rsid w:val="003F22F6"/>
    <w:rsid w:val="0040385D"/>
    <w:rsid w:val="00414C31"/>
    <w:rsid w:val="00425A2A"/>
    <w:rsid w:val="004708FA"/>
    <w:rsid w:val="00495BCF"/>
    <w:rsid w:val="005055B4"/>
    <w:rsid w:val="0060299F"/>
    <w:rsid w:val="00672E55"/>
    <w:rsid w:val="006C316F"/>
    <w:rsid w:val="007460F4"/>
    <w:rsid w:val="007812BA"/>
    <w:rsid w:val="00795723"/>
    <w:rsid w:val="007B18EC"/>
    <w:rsid w:val="0097496F"/>
    <w:rsid w:val="00990015"/>
    <w:rsid w:val="00B636C0"/>
    <w:rsid w:val="00BA2587"/>
    <w:rsid w:val="00BB2C26"/>
    <w:rsid w:val="00DB1D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DE31A"/>
  <w15:chartTrackingRefBased/>
  <w15:docId w15:val="{F001A492-3D18-494D-9D52-658881C9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8FA"/>
  </w:style>
  <w:style w:type="paragraph" w:styleId="Heading1">
    <w:name w:val="heading 1"/>
    <w:basedOn w:val="Normal"/>
    <w:next w:val="Normal"/>
    <w:link w:val="Heading1Char"/>
    <w:uiPriority w:val="9"/>
    <w:qFormat/>
    <w:rsid w:val="004708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08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08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08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08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0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8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08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08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08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08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0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8FA"/>
    <w:rPr>
      <w:rFonts w:eastAsiaTheme="majorEastAsia" w:cstheme="majorBidi"/>
      <w:color w:val="272727" w:themeColor="text1" w:themeTint="D8"/>
    </w:rPr>
  </w:style>
  <w:style w:type="paragraph" w:styleId="Title">
    <w:name w:val="Title"/>
    <w:basedOn w:val="Normal"/>
    <w:next w:val="Normal"/>
    <w:link w:val="TitleChar"/>
    <w:uiPriority w:val="10"/>
    <w:qFormat/>
    <w:rsid w:val="00470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8FA"/>
    <w:pPr>
      <w:spacing w:before="160"/>
      <w:jc w:val="center"/>
    </w:pPr>
    <w:rPr>
      <w:i/>
      <w:iCs/>
      <w:color w:val="404040" w:themeColor="text1" w:themeTint="BF"/>
    </w:rPr>
  </w:style>
  <w:style w:type="character" w:customStyle="1" w:styleId="QuoteChar">
    <w:name w:val="Quote Char"/>
    <w:basedOn w:val="DefaultParagraphFont"/>
    <w:link w:val="Quote"/>
    <w:uiPriority w:val="29"/>
    <w:rsid w:val="004708FA"/>
    <w:rPr>
      <w:i/>
      <w:iCs/>
      <w:color w:val="404040" w:themeColor="text1" w:themeTint="BF"/>
    </w:rPr>
  </w:style>
  <w:style w:type="paragraph" w:styleId="ListParagraph">
    <w:name w:val="List Paragraph"/>
    <w:basedOn w:val="Normal"/>
    <w:uiPriority w:val="34"/>
    <w:qFormat/>
    <w:rsid w:val="004708FA"/>
    <w:pPr>
      <w:ind w:left="720"/>
      <w:contextualSpacing/>
    </w:pPr>
  </w:style>
  <w:style w:type="character" w:styleId="IntenseEmphasis">
    <w:name w:val="Intense Emphasis"/>
    <w:basedOn w:val="DefaultParagraphFont"/>
    <w:uiPriority w:val="21"/>
    <w:qFormat/>
    <w:rsid w:val="004708FA"/>
    <w:rPr>
      <w:i/>
      <w:iCs/>
      <w:color w:val="2F5496" w:themeColor="accent1" w:themeShade="BF"/>
    </w:rPr>
  </w:style>
  <w:style w:type="paragraph" w:styleId="IntenseQuote">
    <w:name w:val="Intense Quote"/>
    <w:basedOn w:val="Normal"/>
    <w:next w:val="Normal"/>
    <w:link w:val="IntenseQuoteChar"/>
    <w:uiPriority w:val="30"/>
    <w:qFormat/>
    <w:rsid w:val="00470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08FA"/>
    <w:rPr>
      <w:i/>
      <w:iCs/>
      <w:color w:val="2F5496" w:themeColor="accent1" w:themeShade="BF"/>
    </w:rPr>
  </w:style>
  <w:style w:type="character" w:styleId="IntenseReference">
    <w:name w:val="Intense Reference"/>
    <w:basedOn w:val="DefaultParagraphFont"/>
    <w:uiPriority w:val="32"/>
    <w:qFormat/>
    <w:rsid w:val="004708FA"/>
    <w:rPr>
      <w:b/>
      <w:bCs/>
      <w:smallCaps/>
      <w:color w:val="2F5496" w:themeColor="accent1" w:themeShade="BF"/>
      <w:spacing w:val="5"/>
    </w:rPr>
  </w:style>
  <w:style w:type="table" w:styleId="TableGrid">
    <w:name w:val="Table Grid"/>
    <w:basedOn w:val="TableNormal"/>
    <w:uiPriority w:val="39"/>
    <w:rsid w:val="0047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708FA"/>
  </w:style>
  <w:style w:type="character" w:styleId="PlaceholderText">
    <w:name w:val="Placeholder Text"/>
    <w:basedOn w:val="DefaultParagraphFont"/>
    <w:uiPriority w:val="99"/>
    <w:semiHidden/>
    <w:rsid w:val="004708FA"/>
    <w:rPr>
      <w:color w:val="666666"/>
    </w:rPr>
  </w:style>
  <w:style w:type="paragraph" w:styleId="Revision">
    <w:name w:val="Revision"/>
    <w:hidden/>
    <w:uiPriority w:val="99"/>
    <w:semiHidden/>
    <w:rsid w:val="004708FA"/>
    <w:pPr>
      <w:spacing w:after="0" w:line="240" w:lineRule="auto"/>
    </w:pPr>
  </w:style>
  <w:style w:type="character" w:styleId="Hyperlink">
    <w:name w:val="Hyperlink"/>
    <w:basedOn w:val="DefaultParagraphFont"/>
    <w:uiPriority w:val="99"/>
    <w:unhideWhenUsed/>
    <w:rsid w:val="000769DB"/>
    <w:rPr>
      <w:color w:val="0563C1" w:themeColor="hyperlink"/>
      <w:u w:val="single"/>
    </w:rPr>
  </w:style>
  <w:style w:type="character" w:styleId="UnresolvedMention">
    <w:name w:val="Unresolved Mention"/>
    <w:basedOn w:val="DefaultParagraphFont"/>
    <w:uiPriority w:val="99"/>
    <w:semiHidden/>
    <w:unhideWhenUsed/>
    <w:rsid w:val="000769DB"/>
    <w:rPr>
      <w:color w:val="605E5C"/>
      <w:shd w:val="clear" w:color="auto" w:fill="E1DFDD"/>
    </w:rPr>
  </w:style>
  <w:style w:type="paragraph" w:styleId="Header">
    <w:name w:val="header"/>
    <w:basedOn w:val="Normal"/>
    <w:link w:val="HeaderChar"/>
    <w:uiPriority w:val="99"/>
    <w:unhideWhenUsed/>
    <w:rsid w:val="00602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99F"/>
  </w:style>
  <w:style w:type="paragraph" w:styleId="Footer">
    <w:name w:val="footer"/>
    <w:basedOn w:val="Normal"/>
    <w:link w:val="FooterChar"/>
    <w:uiPriority w:val="99"/>
    <w:unhideWhenUsed/>
    <w:rsid w:val="00602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5393</TotalTime>
  <Pages>12</Pages>
  <Words>4320</Words>
  <Characters>24628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Sri</dc:creator>
  <cp:keywords/>
  <dc:description/>
  <cp:lastModifiedBy>Editor-22</cp:lastModifiedBy>
  <cp:revision>9</cp:revision>
  <dcterms:created xsi:type="dcterms:W3CDTF">2025-05-29T22:03:00Z</dcterms:created>
  <dcterms:modified xsi:type="dcterms:W3CDTF">2025-06-02T11:00:00Z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402bcefb-dbc0-4b51-8f41-019a4695b75b</vt:lpwstr>
  </property>
</Properties>
</file>