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763E" w14:textId="77777777" w:rsidR="00FF53C8" w:rsidRPr="00AD5781" w:rsidRDefault="00FF53C8">
      <w:pPr>
        <w:pStyle w:val="NormalWeb"/>
        <w:spacing w:line="360" w:lineRule="auto"/>
        <w:jc w:val="both"/>
        <w:rPr>
          <w:rFonts w:ascii="Arial" w:hAnsi="Arial" w:cs="Arial"/>
          <w:b/>
          <w:bCs/>
          <w:sz w:val="36"/>
          <w:szCs w:val="36"/>
        </w:rPr>
      </w:pPr>
      <w:r w:rsidRPr="00AD5781">
        <w:rPr>
          <w:rFonts w:ascii="Arial" w:hAnsi="Arial" w:cs="Arial"/>
          <w:b/>
          <w:bCs/>
          <w:sz w:val="36"/>
          <w:szCs w:val="36"/>
        </w:rPr>
        <w:t xml:space="preserve">Original Research Article </w:t>
      </w:r>
    </w:p>
    <w:p w14:paraId="51C96E15" w14:textId="77777777" w:rsidR="00FF53C8" w:rsidRPr="00AD5781" w:rsidRDefault="00FF53C8">
      <w:pPr>
        <w:pStyle w:val="NormalWeb"/>
        <w:spacing w:line="360" w:lineRule="auto"/>
        <w:jc w:val="both"/>
        <w:rPr>
          <w:rFonts w:ascii="Arial" w:hAnsi="Arial" w:cs="Arial"/>
          <w:b/>
          <w:bCs/>
          <w:sz w:val="36"/>
          <w:szCs w:val="36"/>
        </w:rPr>
      </w:pPr>
    </w:p>
    <w:p w14:paraId="6C01141C" w14:textId="68A30A27" w:rsidR="00AE72D7" w:rsidRPr="00AD5781" w:rsidRDefault="000857AD">
      <w:pPr>
        <w:pStyle w:val="NormalWeb"/>
        <w:spacing w:line="360" w:lineRule="auto"/>
        <w:jc w:val="both"/>
        <w:rPr>
          <w:rFonts w:ascii="Arial" w:eastAsia="Times New Roman" w:hAnsi="Arial" w:cs="Arial"/>
          <w:b/>
          <w:bCs/>
          <w:sz w:val="28"/>
          <w:szCs w:val="28"/>
        </w:rPr>
      </w:pPr>
      <w:r w:rsidRPr="00AD5781">
        <w:rPr>
          <w:rFonts w:ascii="Arial" w:hAnsi="Arial" w:cs="Arial"/>
          <w:b/>
          <w:bCs/>
          <w:sz w:val="36"/>
          <w:szCs w:val="36"/>
        </w:rPr>
        <w:t>Orthodontic movement associated with hypothalamic obesity reduces tooth movement and increases the inflammation, dystrophic and hemodynamic changes in the dental pulp of rats</w:t>
      </w:r>
    </w:p>
    <w:p w14:paraId="006D66F1" w14:textId="77777777" w:rsidR="00AE72D7" w:rsidRPr="00AD5781" w:rsidRDefault="00AE72D7">
      <w:pPr>
        <w:pStyle w:val="NormalWeb"/>
        <w:spacing w:line="360" w:lineRule="auto"/>
        <w:jc w:val="both"/>
        <w:rPr>
          <w:rFonts w:ascii="Arial" w:eastAsia="Times New Roman" w:hAnsi="Arial" w:cs="Arial"/>
          <w:b/>
          <w:bCs/>
          <w:sz w:val="28"/>
          <w:szCs w:val="28"/>
        </w:rPr>
      </w:pPr>
    </w:p>
    <w:p w14:paraId="046BB684" w14:textId="77777777" w:rsidR="007E5670" w:rsidRPr="00AD5781" w:rsidRDefault="007E5670">
      <w:pPr>
        <w:pStyle w:val="NormalWeb"/>
        <w:spacing w:line="360" w:lineRule="auto"/>
        <w:jc w:val="both"/>
        <w:rPr>
          <w:rFonts w:ascii="Arial" w:eastAsia="Times New Roman" w:hAnsi="Arial" w:cs="Arial"/>
          <w:b/>
          <w:bCs/>
          <w:sz w:val="28"/>
          <w:szCs w:val="28"/>
        </w:rPr>
      </w:pPr>
    </w:p>
    <w:p w14:paraId="0AE4677F" w14:textId="77777777" w:rsidR="00AE72D7" w:rsidRPr="00AD5781" w:rsidRDefault="00AE72D7">
      <w:pPr>
        <w:pStyle w:val="NormalWeb"/>
        <w:spacing w:line="480" w:lineRule="auto"/>
        <w:jc w:val="both"/>
        <w:rPr>
          <w:rFonts w:ascii="Arial" w:eastAsia="Times New Roman" w:hAnsi="Arial" w:cs="Arial"/>
          <w:lang w:val="pt-PT"/>
        </w:rPr>
      </w:pPr>
    </w:p>
    <w:p w14:paraId="5E1347E3" w14:textId="23C4F144" w:rsidR="007E5670" w:rsidRPr="00AD5781" w:rsidRDefault="007F10CE">
      <w:pPr>
        <w:pStyle w:val="NormalWeb"/>
        <w:spacing w:line="480" w:lineRule="auto"/>
        <w:rPr>
          <w:rFonts w:ascii="Arial" w:hAnsi="Arial" w:cs="Arial"/>
          <w:b/>
          <w:bCs/>
        </w:rPr>
      </w:pPr>
      <w:r w:rsidRPr="00AD5781">
        <w:rPr>
          <w:rFonts w:ascii="Arial" w:hAnsi="Arial" w:cs="Arial"/>
          <w:b/>
          <w:bCs/>
        </w:rPr>
        <w:t>ABSTRACT</w:t>
      </w:r>
    </w:p>
    <w:p w14:paraId="564B4A19" w14:textId="77777777" w:rsidR="00AE72D7" w:rsidRPr="00AD5781" w:rsidRDefault="007F10CE">
      <w:pPr>
        <w:pStyle w:val="NormalWeb"/>
        <w:spacing w:line="480" w:lineRule="auto"/>
        <w:jc w:val="both"/>
        <w:rPr>
          <w:rFonts w:ascii="Arial" w:eastAsia="Times New Roman" w:hAnsi="Arial" w:cs="Arial"/>
          <w:lang w:val="pt-PT"/>
        </w:rPr>
      </w:pPr>
      <w:r w:rsidRPr="00AD5781">
        <w:rPr>
          <w:rFonts w:ascii="Arial" w:hAnsi="Arial" w:cs="Arial"/>
          <w:b/>
          <w:bCs/>
        </w:rPr>
        <w:t>Aims:</w:t>
      </w:r>
      <w:r w:rsidRPr="00AD5781">
        <w:rPr>
          <w:rFonts w:ascii="Arial" w:hAnsi="Arial" w:cs="Arial"/>
        </w:rPr>
        <w:t xml:space="preserve"> To evaluate whether hypothalamic obesity, when associated with induced tooth movement, can influence the histological structure of the dental pulp in rats.</w:t>
      </w:r>
      <w:r w:rsidRPr="00AD5781">
        <w:rPr>
          <w:rFonts w:ascii="Arial" w:hAnsi="Arial" w:cs="Arial"/>
          <w:lang w:val="pt-PT"/>
        </w:rPr>
        <w:t xml:space="preserve"> </w:t>
      </w:r>
    </w:p>
    <w:p w14:paraId="21668171" w14:textId="77777777" w:rsidR="00AE72D7" w:rsidRPr="00AD5781" w:rsidRDefault="007F10CE">
      <w:pPr>
        <w:pStyle w:val="NormalWeb"/>
        <w:spacing w:line="480" w:lineRule="auto"/>
        <w:jc w:val="both"/>
        <w:rPr>
          <w:rFonts w:ascii="Arial" w:eastAsia="Times New Roman" w:hAnsi="Arial" w:cs="Arial"/>
          <w:lang w:val="pt-PT"/>
        </w:rPr>
      </w:pPr>
      <w:r w:rsidRPr="00AD5781">
        <w:rPr>
          <w:rFonts w:ascii="Arial" w:hAnsi="Arial" w:cs="Arial"/>
          <w:b/>
          <w:bCs/>
        </w:rPr>
        <w:t>Type of Study</w:t>
      </w:r>
      <w:r w:rsidRPr="00AD5781">
        <w:rPr>
          <w:rFonts w:ascii="Arial" w:hAnsi="Arial" w:cs="Arial"/>
        </w:rPr>
        <w:t>: Experimental research.</w:t>
      </w:r>
      <w:r w:rsidRPr="00AD5781">
        <w:rPr>
          <w:rFonts w:ascii="Arial" w:hAnsi="Arial" w:cs="Arial"/>
          <w:lang w:val="pt-PT"/>
        </w:rPr>
        <w:t xml:space="preserve"> </w:t>
      </w:r>
    </w:p>
    <w:p w14:paraId="74809627" w14:textId="77777777" w:rsidR="00AE72D7" w:rsidRPr="00AD5781" w:rsidRDefault="007F10CE">
      <w:pPr>
        <w:pStyle w:val="NormalWeb"/>
        <w:spacing w:line="480" w:lineRule="auto"/>
        <w:jc w:val="both"/>
        <w:rPr>
          <w:rFonts w:ascii="Arial" w:eastAsia="Times New Roman" w:hAnsi="Arial" w:cs="Arial"/>
        </w:rPr>
      </w:pPr>
      <w:r w:rsidRPr="00AD5781">
        <w:rPr>
          <w:rFonts w:ascii="Arial" w:hAnsi="Arial" w:cs="Arial"/>
          <w:b/>
          <w:bCs/>
        </w:rPr>
        <w:t>Methodology:</w:t>
      </w:r>
      <w:r w:rsidRPr="00AD5781">
        <w:rPr>
          <w:rFonts w:ascii="Arial" w:hAnsi="Arial" w:cs="Arial"/>
        </w:rPr>
        <w:t xml:space="preserve"> Forty five-day-old male Wistar rats were obtained from the Central Animal Facility of the Western Paraná State University. Twenty pups received daily subcutaneous injections of monosodium glutamate (4 g/kg/day) in the cervical region during the first five days of life to induce obesity (MSG group). The remaining twenty animals received injections of hyperosmotic saline solution (1.25 g/kg/day) and served as the non-obese control group (CTL). The animals were then divided into four experimental groups (n = 10/group): Group 1: Non-obese rats not subjected to induced tooth movement (CTL); Group 2: Non-obese rats subjected to induced tooth movement (CTL + ITM); Group 3: Obese rats not subjected to induced tooth movement (MSG); Group 4: Obese rats subjected to induced tooth movement (MSG + ITM).</w:t>
      </w:r>
    </w:p>
    <w:p w14:paraId="040D48AA" w14:textId="370819C1" w:rsidR="00AE72D7" w:rsidRPr="00AD5781" w:rsidRDefault="007F10CE">
      <w:pPr>
        <w:pStyle w:val="NormalWeb"/>
        <w:spacing w:line="480" w:lineRule="auto"/>
        <w:jc w:val="both"/>
        <w:rPr>
          <w:rFonts w:ascii="Arial" w:eastAsia="Times New Roman" w:hAnsi="Arial" w:cs="Arial"/>
          <w:lang w:val="pt-PT"/>
        </w:rPr>
      </w:pPr>
      <w:r w:rsidRPr="00AD5781">
        <w:rPr>
          <w:rFonts w:ascii="Arial" w:hAnsi="Arial" w:cs="Arial"/>
        </w:rPr>
        <w:t xml:space="preserve">At 97 days, all animals were weighed and euthanized. </w:t>
      </w:r>
    </w:p>
    <w:p w14:paraId="0CA943DB" w14:textId="00A69443" w:rsidR="00AE72D7" w:rsidRPr="00AD5781" w:rsidRDefault="007F10CE">
      <w:pPr>
        <w:pStyle w:val="NormalWeb"/>
        <w:spacing w:line="480" w:lineRule="auto"/>
        <w:jc w:val="both"/>
        <w:rPr>
          <w:rFonts w:ascii="Arial" w:eastAsia="Times New Roman" w:hAnsi="Arial" w:cs="Arial"/>
          <w:lang w:val="pt-PT"/>
        </w:rPr>
      </w:pPr>
      <w:r w:rsidRPr="00AD5781">
        <w:rPr>
          <w:rFonts w:ascii="Arial" w:hAnsi="Arial" w:cs="Arial"/>
          <w:b/>
          <w:bCs/>
        </w:rPr>
        <w:t>Results:</w:t>
      </w:r>
      <w:r w:rsidRPr="00AD5781">
        <w:rPr>
          <w:rFonts w:ascii="Arial" w:hAnsi="Arial" w:cs="Arial"/>
        </w:rPr>
        <w:t xml:space="preserve"> Obese animals in the MSG+ITM group exhibited a higher Lee index and increased retroperitoneal and perigonadal fat deposits compared to the CTL+ITM group (P &lt; 0.05). They also showed a lower rate of tooth movement than the non-obese animals in the CTL+ITM group (P&lt;0.05). Furthermore, obese animals subjected to tooth movement (MSG+ITM) demonstrated </w:t>
      </w:r>
      <w:r w:rsidRPr="00AD5781">
        <w:rPr>
          <w:rFonts w:ascii="Arial" w:hAnsi="Arial" w:cs="Arial"/>
        </w:rPr>
        <w:lastRenderedPageBreak/>
        <w:t>more frequent occurrences of mild inflammatory infiltrate, increased cellularity, and dystrophic and hemodynamic changes compared to the other groups.</w:t>
      </w:r>
      <w:r w:rsidRPr="00AD5781">
        <w:rPr>
          <w:rFonts w:ascii="Arial" w:hAnsi="Arial" w:cs="Arial"/>
          <w:lang w:val="pt-PT"/>
        </w:rPr>
        <w:t xml:space="preserve"> </w:t>
      </w:r>
    </w:p>
    <w:p w14:paraId="549CCE79" w14:textId="77777777" w:rsidR="00AE72D7" w:rsidRPr="00AD5781" w:rsidRDefault="007F10CE">
      <w:pPr>
        <w:pStyle w:val="NormalWeb"/>
        <w:spacing w:line="480" w:lineRule="auto"/>
        <w:jc w:val="both"/>
        <w:rPr>
          <w:rFonts w:ascii="Arial" w:hAnsi="Arial" w:cs="Arial"/>
        </w:rPr>
      </w:pPr>
      <w:r w:rsidRPr="00AD5781">
        <w:rPr>
          <w:rFonts w:ascii="Arial" w:hAnsi="Arial" w:cs="Arial"/>
          <w:b/>
          <w:bCs/>
        </w:rPr>
        <w:t>Conclusion:</w:t>
      </w:r>
      <w:r w:rsidRPr="00AD5781">
        <w:rPr>
          <w:rFonts w:ascii="Arial" w:hAnsi="Arial" w:cs="Arial"/>
        </w:rPr>
        <w:t xml:space="preserve"> Hypothalamic obesity associated with induced tooth movement leads to reduced tooth movement and increased occurrences of inflammatory infiltrate, as well as dystrophic and hemodynamic changes in the dental pulp.</w:t>
      </w:r>
    </w:p>
    <w:p w14:paraId="39CAC049" w14:textId="77777777" w:rsidR="005F694F" w:rsidRPr="00AD5781" w:rsidRDefault="005F694F">
      <w:pPr>
        <w:pStyle w:val="NormalWeb"/>
        <w:spacing w:line="480" w:lineRule="auto"/>
        <w:jc w:val="both"/>
        <w:rPr>
          <w:rFonts w:ascii="Arial" w:eastAsia="Times New Roman" w:hAnsi="Arial" w:cs="Arial"/>
        </w:rPr>
      </w:pPr>
    </w:p>
    <w:p w14:paraId="1EA9CE5A" w14:textId="77777777" w:rsidR="00AE72D7" w:rsidRPr="00AD5781" w:rsidRDefault="007F10CE">
      <w:pPr>
        <w:pStyle w:val="NormalWeb"/>
        <w:spacing w:line="480" w:lineRule="auto"/>
        <w:jc w:val="both"/>
        <w:rPr>
          <w:rFonts w:ascii="Arial" w:eastAsia="Times New Roman" w:hAnsi="Arial" w:cs="Arial"/>
        </w:rPr>
      </w:pPr>
      <w:r w:rsidRPr="00AD5781">
        <w:rPr>
          <w:rFonts w:ascii="Arial" w:hAnsi="Arial" w:cs="Arial"/>
          <w:b/>
          <w:bCs/>
        </w:rPr>
        <w:t>Keywords:</w:t>
      </w:r>
      <w:r w:rsidRPr="00AD5781">
        <w:rPr>
          <w:rFonts w:ascii="Arial" w:hAnsi="Arial" w:cs="Arial"/>
        </w:rPr>
        <w:t xml:space="preserve"> Obesity, Orthodontic Tooth Movement, Periodontal Tissue.</w:t>
      </w:r>
    </w:p>
    <w:p w14:paraId="01562A60" w14:textId="77777777" w:rsidR="007E5670" w:rsidRPr="00AD5781" w:rsidRDefault="007E5670">
      <w:pPr>
        <w:pStyle w:val="NormalWeb"/>
        <w:spacing w:line="480" w:lineRule="auto"/>
        <w:jc w:val="both"/>
        <w:rPr>
          <w:rFonts w:ascii="Arial" w:eastAsia="Times New Roman" w:hAnsi="Arial" w:cs="Arial"/>
        </w:rPr>
      </w:pPr>
    </w:p>
    <w:p w14:paraId="779C54DA" w14:textId="77777777" w:rsidR="007E5670" w:rsidRPr="00AD5781" w:rsidRDefault="007E5670">
      <w:pPr>
        <w:pStyle w:val="NormalWeb"/>
        <w:spacing w:line="480" w:lineRule="auto"/>
        <w:jc w:val="both"/>
        <w:rPr>
          <w:rFonts w:ascii="Arial" w:eastAsia="Times New Roman" w:hAnsi="Arial" w:cs="Arial"/>
        </w:rPr>
      </w:pPr>
    </w:p>
    <w:p w14:paraId="7ED34B54" w14:textId="77777777" w:rsidR="00AE72D7" w:rsidRPr="00AD5781" w:rsidRDefault="007F10CE">
      <w:pPr>
        <w:pStyle w:val="NormalWeb"/>
        <w:spacing w:line="480" w:lineRule="auto"/>
        <w:jc w:val="both"/>
        <w:rPr>
          <w:rFonts w:ascii="Arial" w:eastAsia="Times New Roman" w:hAnsi="Arial" w:cs="Arial"/>
          <w:b/>
          <w:bCs/>
          <w:lang w:val="pt-PT"/>
        </w:rPr>
      </w:pPr>
      <w:r w:rsidRPr="00AD5781">
        <w:rPr>
          <w:rFonts w:ascii="Arial" w:hAnsi="Arial" w:cs="Arial"/>
          <w:b/>
          <w:bCs/>
          <w:lang w:val="pt-PT"/>
        </w:rPr>
        <w:t>1. INTRODUCTION</w:t>
      </w:r>
    </w:p>
    <w:p w14:paraId="0AFDD738"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Obesity has been increasing at alarming rates and has become a global public health concern. According to the World Health Organization (WHO), approximately 43% of the world’s adult population is overweight, and 16% is obese. Among children and adolescents, obesity has tripled since 1990 (Abeso, 2016; WHO, 2022). Obesity is a risk factor for several comorbidities, such as hypertension, dyslipidemia, coronary heart disease, and stroke. Additionally, there is evidence linking obesity to periodontitis (Cullinan et al., 2009). Studies suggest that obesity during childhood and adolescence may be associated with caries in both deciduous and permanent teeth, early craniofacial growth, and accelerated dental development (Öhrn et al., 2002; Hilgers et al., 2006; Werner et al., 2012). Moreover, the rising obesity rates have led to an increase in the number of obese patients seeking dental treatment across various specialties (Roberto et al., 2015; Afshin et al., 2017).</w:t>
      </w:r>
    </w:p>
    <w:p w14:paraId="47364301"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Adipose tissue contributes to the altered release of various inflammatory cytokines and adipokines, including tumor necrosis factor-alpha (TNF-α) and interleukins (ILs) (Leal &amp; Mafra, 2013; Suvan et al., 2018). TNF-α is one of the main pro-inflammatory cytokines and plays a critical role in the immune response. Adipokines are bioactive peptides that regulate both metabolism and inflammation (Jaganathan &amp; Dhanasekaran, 2018). Because of their impact on immune-inflammatory processes, adipokines are closely associated with the development of various chronic inflammatory diseases, including oral pathologies (Sharma, Gupta, Srivastava, et al., 2017; Khan et al., 2019).</w:t>
      </w:r>
    </w:p>
    <w:p w14:paraId="07B55808"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lastRenderedPageBreak/>
        <w:t>The interrelationship between periodontal and endodontic diseases has long been debated due to the close anatomical and functional connection between the periodontium and the pulp tissue (Simring &amp; Goldberg, 1964). Studies suggest that periodontal disease may directly cause atrophy and necrosis of the dental pulp (Petka, 2001), and that both the disease and its treatment should be considered potential causes of pulpitis and pulp necrosis (Wang &amp; Glickman, 2002). Dental pulp is a loose connective tissue rich in vasculature, cellularity, and extracellular matrix. It is also highly innervated. Like other connective tissues, it has a strong capacity for repair under favorable conditions. Although protected by dentin and enamel, when its physiological tolerance is exceeded by external physical, chemical, or bacterial stimuli, this protection may fail—triggering inflammatory or degenerative responses and increasing intrapulpal pressure (Cuoghi et al., 2018).</w:t>
      </w:r>
    </w:p>
    <w:p w14:paraId="52FED624"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Histological studies have shown that dental pulp responses to the pressure exerted during orthodontic movement can range from vascular stagnation to necrosis (Alattas, 2023). Orthodontic tooth movement occurs through pressure and/or tension applied under appropriate and controlled conditions, resulting in dynamic changes to the bone structure. The periodontal ligament transmits this mechanical force, which is essential for effective tooth movement (Kubo et al., 2018). Meikle (2006) describes orthodontic movement as a periodontal inflammatory process characterized by bone resorption mediated by osteoclasts and bone remodeling mediated by osteoblasts, in which the tooth is repositioned within the periodontium.</w:t>
      </w:r>
    </w:p>
    <w:p w14:paraId="1569F581"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When orthodontic forces are applied to the pulp tissue, inflammatory mediators are released and accumulate, prompting odontoblasts and associated cells to respond either by resorbing or depositing tertiary dentin (Patel et al., 2010). Changes in the dentin-pulp complex associated with induced tooth movement include pulp calcifications, rupture of the odontoblastic layer, hypoxia, microcirculatory alterations, osteoclastogenesis, increased fibrosis, and necrosis (Goga et al., 2008; Cuoghi et al., 2018; Yan et al., 2018). Orthodontic treatment can therefore affect the pulp by reducing tissue oxygenation, decreasing alkaline phosphatase activity, and inducing apoptosis and tissue damage. Factors such as the type and direction of movement, as well as the distribution, intensity, and duration of the applied force, can directly influence the pulp response (Vitali et al., 2021).</w:t>
      </w:r>
    </w:p>
    <w:p w14:paraId="1CFC01D9" w14:textId="77777777" w:rsidR="00AE72D7" w:rsidRPr="00AD5781" w:rsidRDefault="007F10CE">
      <w:pPr>
        <w:pStyle w:val="NormalWeb"/>
        <w:spacing w:line="480" w:lineRule="auto"/>
        <w:ind w:firstLine="708"/>
        <w:jc w:val="both"/>
        <w:rPr>
          <w:rFonts w:ascii="Arial" w:eastAsia="SimSun" w:hAnsi="Arial" w:cs="Arial"/>
        </w:rPr>
      </w:pPr>
      <w:r w:rsidRPr="00AD5781">
        <w:rPr>
          <w:rFonts w:ascii="Arial" w:hAnsi="Arial" w:cs="Arial"/>
        </w:rPr>
        <w:lastRenderedPageBreak/>
        <w:t>Studies have shown that induced tooth movement triggers several biological responses, including changes in blood flow and angiogenesis (Massaro et al., 2009). The pulp and periodontal tissues are highly cellular and metabolically active, with rates adapted to their functional demands. Vascular alterations in the pulp resulting from orthodontic movement have been associated with disruption of the odontoblastic layer, pulp obliteration, root resorption, and pulp necrosis (Abi-Ramia et al., 2010). One of the primary indicators of pulp vitality is the presence of blood flow; thus, brief ischemia or reduced perfusion may lead to diminished sensory response and reduced dental sensitivity (Butt &amp; Harris, 2022).</w:t>
      </w:r>
    </w:p>
    <w:p w14:paraId="0ADFAD37"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Therefore, as both orthodontic movement and obesity involve the release and accumulation of cytokines and adipokines—key inflammatory mediators—the response of the pulp tissue may be influenced by the interaction of these two factors (Mark E. Molitch, 2012).</w:t>
      </w:r>
    </w:p>
    <w:p w14:paraId="4204C01E"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The aim of this study is to evaluate whether hypothalamic obesity, when associated with induced tooth movement, can alter the histological structure of the dental pulp in rats.</w:t>
      </w:r>
    </w:p>
    <w:p w14:paraId="4B4B0E06" w14:textId="77777777" w:rsidR="00AE72D7" w:rsidRPr="00AD5781" w:rsidRDefault="00AE72D7">
      <w:pPr>
        <w:pStyle w:val="NormalWeb"/>
        <w:spacing w:line="480" w:lineRule="auto"/>
        <w:ind w:firstLine="708"/>
        <w:jc w:val="both"/>
        <w:rPr>
          <w:rFonts w:ascii="Arial" w:eastAsia="Times New Roman" w:hAnsi="Arial" w:cs="Arial"/>
        </w:rPr>
      </w:pPr>
    </w:p>
    <w:p w14:paraId="1965CED4" w14:textId="77777777" w:rsidR="00AE72D7" w:rsidRPr="00AD5781" w:rsidRDefault="007F10CE">
      <w:pPr>
        <w:pStyle w:val="NormalWeb"/>
        <w:spacing w:line="480" w:lineRule="auto"/>
        <w:rPr>
          <w:rFonts w:ascii="Arial" w:hAnsi="Arial" w:cs="Arial"/>
          <w:b/>
          <w:bCs/>
        </w:rPr>
      </w:pPr>
      <w:r w:rsidRPr="00AD5781">
        <w:rPr>
          <w:rFonts w:ascii="Arial" w:hAnsi="Arial" w:cs="Arial"/>
          <w:b/>
          <w:bCs/>
        </w:rPr>
        <w:t>2. METHODOLOGY</w:t>
      </w:r>
    </w:p>
    <w:p w14:paraId="71BC5BE7" w14:textId="77777777" w:rsidR="00AE72D7" w:rsidRPr="00AD5781" w:rsidRDefault="00AE72D7">
      <w:pPr>
        <w:pStyle w:val="NormalWeb"/>
        <w:spacing w:line="480" w:lineRule="auto"/>
        <w:rPr>
          <w:rFonts w:ascii="Arial" w:eastAsia="Times New Roman" w:hAnsi="Arial" w:cs="Arial"/>
        </w:rPr>
      </w:pPr>
    </w:p>
    <w:p w14:paraId="621E924B"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2.1 Sample Size Calculation</w:t>
      </w:r>
    </w:p>
    <w:p w14:paraId="49DF3E4F" w14:textId="77777777" w:rsidR="00AE72D7" w:rsidRPr="00AD5781" w:rsidRDefault="007F10CE">
      <w:pPr>
        <w:pStyle w:val="NormalWeb"/>
        <w:spacing w:line="480" w:lineRule="auto"/>
        <w:jc w:val="both"/>
        <w:rPr>
          <w:rFonts w:ascii="Arial" w:hAnsi="Arial" w:cs="Arial"/>
        </w:rPr>
      </w:pPr>
      <w:r w:rsidRPr="00AD5781">
        <w:rPr>
          <w:rFonts w:ascii="Arial" w:eastAsia="Times New Roman" w:hAnsi="Arial" w:cs="Arial"/>
          <w:lang w:val="pt-PT"/>
        </w:rPr>
        <w:tab/>
      </w:r>
      <w:r w:rsidRPr="00AD5781">
        <w:rPr>
          <w:rFonts w:ascii="Arial" w:hAnsi="Arial" w:cs="Arial"/>
        </w:rPr>
        <w:t>A sample size of 40 rats (n = 10 per group) was calculated based on the variables obesity and induced tooth movement, using a significance level (α) of 5% and a statistical power of 80%, with G*Power 3.1 software (University of Düsseldorf; Faul et al., 2007; Faul et al., 2009).</w:t>
      </w:r>
    </w:p>
    <w:p w14:paraId="1466283B" w14:textId="77777777" w:rsidR="00AE72D7" w:rsidRPr="00AD5781" w:rsidRDefault="00AE72D7">
      <w:pPr>
        <w:pStyle w:val="NormalWeb"/>
        <w:spacing w:line="480" w:lineRule="auto"/>
        <w:jc w:val="both"/>
        <w:rPr>
          <w:rFonts w:ascii="Arial" w:eastAsia="Times New Roman" w:hAnsi="Arial" w:cs="Arial"/>
        </w:rPr>
      </w:pPr>
    </w:p>
    <w:p w14:paraId="2E221682"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2.2 Animals</w:t>
      </w:r>
    </w:p>
    <w:p w14:paraId="0C964592" w14:textId="28C2140D" w:rsidR="00AE72D7" w:rsidRPr="00AD5781" w:rsidRDefault="007F10CE">
      <w:pPr>
        <w:pStyle w:val="NormalWeb"/>
        <w:spacing w:line="480" w:lineRule="auto"/>
        <w:jc w:val="both"/>
        <w:rPr>
          <w:rFonts w:ascii="Arial" w:hAnsi="Arial" w:cs="Arial"/>
        </w:rPr>
      </w:pPr>
      <w:r w:rsidRPr="00AD5781">
        <w:rPr>
          <w:rFonts w:ascii="Arial" w:eastAsia="Times New Roman" w:hAnsi="Arial" w:cs="Arial"/>
          <w:lang w:val="pt-PT"/>
        </w:rPr>
        <w:tab/>
      </w:r>
      <w:r w:rsidRPr="00AD5781">
        <w:rPr>
          <w:rFonts w:ascii="Arial" w:hAnsi="Arial" w:cs="Arial"/>
        </w:rPr>
        <w:t xml:space="preserve">Forty </w:t>
      </w:r>
      <w:r w:rsidR="009E6657" w:rsidRPr="00AD5781">
        <w:rPr>
          <w:rFonts w:ascii="Arial" w:hAnsi="Arial" w:cs="Arial"/>
        </w:rPr>
        <w:t>fe</w:t>
      </w:r>
      <w:r w:rsidRPr="00AD5781">
        <w:rPr>
          <w:rFonts w:ascii="Arial" w:hAnsi="Arial" w:cs="Arial"/>
        </w:rPr>
        <w:t>male Wistar rats were used in this study. Twenty of them received subcutaneous injections of monosodium glutamate (4 g/kg/day) in the cervical region during the first five days of life to induce obesity (MSG group, n = 20), according to Olney (1969). The remaining twenty animals received injections of hyperosmotic saline solution (1.25 g/kg/day) and served as the non-obese control group (CTL, n = 20).</w:t>
      </w:r>
      <w:r w:rsidR="00513EF9" w:rsidRPr="00AD5781">
        <w:rPr>
          <w:rFonts w:ascii="Arial" w:hAnsi="Arial" w:cs="Arial"/>
        </w:rPr>
        <w:t xml:space="preserve"> </w:t>
      </w:r>
      <w:r w:rsidRPr="00AD5781">
        <w:rPr>
          <w:rFonts w:ascii="Arial" w:hAnsi="Arial" w:cs="Arial"/>
        </w:rPr>
        <w:t xml:space="preserve">The experiment was conducted in the animal facility of the Center for Biological and Health Sciences (CCBS) at Western Paraná State University (UNIOESTE). Animals were housed in polyethylene cages (43 × 30 × 15 cm) </w:t>
      </w:r>
      <w:r w:rsidRPr="00AD5781">
        <w:rPr>
          <w:rFonts w:ascii="Arial" w:hAnsi="Arial" w:cs="Arial"/>
        </w:rPr>
        <w:lastRenderedPageBreak/>
        <w:t>under controlled conditions of temperature (22–25°C), relative humidity (≈ 55%), and a 12-hour light/dark cycle (7:00 AM–7:00 PM). They had ad libitum access to food and water. All procedures complied with the Ethical Principles in Animal Experimentation established by the Brazilian College of Animal Experimentation (COBEA) and were approved by the UNIOESTE Animal Ethics Committee (CEUA; Protocol No. 1022/2023).</w:t>
      </w:r>
    </w:p>
    <w:p w14:paraId="02FB559D" w14:textId="77777777" w:rsidR="007E5670" w:rsidRPr="00AD5781" w:rsidRDefault="007E5670">
      <w:pPr>
        <w:pStyle w:val="NormalWeb"/>
        <w:spacing w:line="480" w:lineRule="auto"/>
        <w:jc w:val="both"/>
        <w:rPr>
          <w:rFonts w:ascii="Arial" w:eastAsia="Times New Roman" w:hAnsi="Arial" w:cs="Arial"/>
        </w:rPr>
      </w:pPr>
    </w:p>
    <w:p w14:paraId="678CBF80" w14:textId="77777777" w:rsidR="00AE72D7" w:rsidRPr="00AD5781" w:rsidRDefault="007F10CE">
      <w:pPr>
        <w:pStyle w:val="NormalWeb"/>
        <w:numPr>
          <w:ilvl w:val="1"/>
          <w:numId w:val="1"/>
        </w:numPr>
        <w:spacing w:line="480" w:lineRule="auto"/>
        <w:jc w:val="both"/>
        <w:rPr>
          <w:rFonts w:ascii="Arial" w:hAnsi="Arial" w:cs="Arial"/>
          <w:b/>
          <w:bCs/>
        </w:rPr>
      </w:pPr>
      <w:r w:rsidRPr="00AD5781">
        <w:rPr>
          <w:rFonts w:ascii="Arial" w:hAnsi="Arial" w:cs="Arial"/>
          <w:b/>
          <w:bCs/>
        </w:rPr>
        <w:t>Experimental Groups</w:t>
      </w:r>
    </w:p>
    <w:p w14:paraId="1D9B881D" w14:textId="77777777" w:rsidR="00AE72D7" w:rsidRPr="00AD5781" w:rsidRDefault="007F10CE">
      <w:pPr>
        <w:pStyle w:val="NormalWeb"/>
        <w:spacing w:line="480" w:lineRule="auto"/>
        <w:jc w:val="both"/>
        <w:rPr>
          <w:rFonts w:ascii="Arial" w:hAnsi="Arial" w:cs="Arial"/>
        </w:rPr>
      </w:pPr>
      <w:r w:rsidRPr="00AD5781">
        <w:rPr>
          <w:rFonts w:ascii="Arial" w:eastAsia="Times New Roman" w:hAnsi="Arial" w:cs="Arial"/>
        </w:rPr>
        <w:br/>
      </w:r>
      <w:r w:rsidRPr="00AD5781">
        <w:rPr>
          <w:rFonts w:ascii="Arial" w:eastAsia="Times New Roman" w:hAnsi="Arial" w:cs="Arial"/>
          <w:lang w:val="pt-PT"/>
        </w:rPr>
        <w:tab/>
      </w:r>
      <w:r w:rsidRPr="00AD5781">
        <w:rPr>
          <w:rFonts w:ascii="Arial" w:hAnsi="Arial" w:cs="Arial"/>
        </w:rPr>
        <w:t>The animals were divided into four experimental groups (n = 10 per group):</w:t>
      </w:r>
      <w:r w:rsidRPr="00AD5781">
        <w:rPr>
          <w:rFonts w:ascii="Arial" w:eastAsia="Times New Roman" w:hAnsi="Arial" w:cs="Arial"/>
        </w:rPr>
        <w:t xml:space="preserve"> </w:t>
      </w:r>
      <w:r w:rsidRPr="00AD5781">
        <w:rPr>
          <w:rFonts w:ascii="Arial" w:hAnsi="Arial" w:cs="Arial"/>
        </w:rPr>
        <w:t>Group 1: Non-obese rats not subjected to induced tooth movement (Control – CTL); Group 2: Non-obese rats subjected to induced tooth movement (CTL + ITM); Group 3: Obese rats not subjected to induced tooth movement (MSG); Group 4: Obese rats subjected to induced tooth movement (MSG + ITM).</w:t>
      </w:r>
    </w:p>
    <w:p w14:paraId="72C1889D" w14:textId="77777777" w:rsidR="00AE72D7" w:rsidRPr="00AD5781" w:rsidRDefault="00AE72D7">
      <w:pPr>
        <w:pStyle w:val="NormalWeb"/>
        <w:spacing w:line="480" w:lineRule="auto"/>
        <w:ind w:left="158"/>
        <w:jc w:val="both"/>
        <w:rPr>
          <w:rFonts w:ascii="Arial" w:hAnsi="Arial" w:cs="Arial"/>
        </w:rPr>
      </w:pPr>
    </w:p>
    <w:p w14:paraId="05A2E533"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2.4 Installation of the Device for Induced Tooth Movement (ITM)</w:t>
      </w:r>
    </w:p>
    <w:p w14:paraId="553F9A3C" w14:textId="558D2B5A" w:rsidR="00AE72D7" w:rsidRPr="00AD5781" w:rsidRDefault="007F10CE">
      <w:pPr>
        <w:pStyle w:val="NormalWeb"/>
        <w:spacing w:line="480" w:lineRule="auto"/>
        <w:jc w:val="both"/>
        <w:rPr>
          <w:rFonts w:ascii="Arial" w:eastAsia="Times New Roman" w:hAnsi="Arial" w:cs="Arial"/>
        </w:rPr>
      </w:pPr>
      <w:r w:rsidRPr="00AD5781">
        <w:rPr>
          <w:rFonts w:ascii="Arial" w:eastAsia="Times New Roman" w:hAnsi="Arial" w:cs="Arial"/>
          <w:lang w:val="pt-PT"/>
        </w:rPr>
        <w:tab/>
      </w:r>
      <w:r w:rsidRPr="00AD5781">
        <w:rPr>
          <w:rFonts w:ascii="Arial" w:hAnsi="Arial" w:cs="Arial"/>
        </w:rPr>
        <w:t>At 90 days of age, the ITM device was installed in animals from groups G2 and G4. The device used was based on the model proposed by Heller and Nanda (1979) an</w:t>
      </w:r>
      <w:r w:rsidR="007E5670" w:rsidRPr="00AD5781">
        <w:rPr>
          <w:rFonts w:ascii="Arial" w:hAnsi="Arial" w:cs="Arial"/>
        </w:rPr>
        <w:t>d</w:t>
      </w:r>
      <w:r w:rsidRPr="00AD5781">
        <w:rPr>
          <w:rFonts w:ascii="Arial" w:hAnsi="Arial" w:cs="Arial"/>
        </w:rPr>
        <w:t xml:space="preserve"> Pasa et al. (2024) and was kept in place for 7 days. It consisted of a closed-section nickel–titanium coil spring (Morelli®, Sorocaba, São Paulo, Brazil) delivering a constant force of 50 cN. The force magnitude was previously confirmed using a Zeusan tensiometer (Zeusan Exporting Ltda, Campinas, São Paulo, Brazil). Animals were anesthetized via intraperitoneal injection of ketamine hydrochloride (DOPALEN, Sespo Indústria e Comércio, Paulínia-SP; 75 mg/kg) and xylazine hydrochloride (ANASEDAN, Sespo Indústria e Comércio, Paulínia-SP; 15 mg/kg). Two segments of 0.25 mm ligature wire (Morelli, Sorocaba, SP, Brazil) were attached to the ends of the coil: one encircling the upper right first molar and the other encircling the upper right central incisor. To stabilize the wire on the labial surface of the incisor, a groove was made in the cervical region and sealed with light-cured composite resin (Filtek™ Z350XT, 3M Company, St. Paul, MN, USA) to prevent displacement.</w:t>
      </w:r>
    </w:p>
    <w:p w14:paraId="040CDF4B" w14:textId="77777777" w:rsidR="00AE72D7" w:rsidRPr="00AD5781" w:rsidRDefault="00AE72D7">
      <w:pPr>
        <w:pStyle w:val="NormalWeb"/>
        <w:spacing w:line="480" w:lineRule="auto"/>
        <w:jc w:val="both"/>
        <w:rPr>
          <w:rFonts w:ascii="Arial" w:eastAsia="Times New Roman" w:hAnsi="Arial" w:cs="Arial"/>
        </w:rPr>
      </w:pPr>
    </w:p>
    <w:p w14:paraId="7CDEFE82"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2.5 Euthanasia and Biological Material Collection</w:t>
      </w:r>
    </w:p>
    <w:p w14:paraId="11D6BF42" w14:textId="77777777" w:rsidR="00AE72D7" w:rsidRPr="00AD5781" w:rsidRDefault="007F10CE">
      <w:pPr>
        <w:pStyle w:val="NormalWeb"/>
        <w:spacing w:line="480" w:lineRule="auto"/>
        <w:jc w:val="both"/>
        <w:rPr>
          <w:rFonts w:ascii="Arial" w:eastAsia="Times New Roman" w:hAnsi="Arial" w:cs="Arial"/>
        </w:rPr>
      </w:pPr>
      <w:r w:rsidRPr="00AD5781">
        <w:rPr>
          <w:rFonts w:ascii="Arial" w:eastAsia="Times New Roman" w:hAnsi="Arial" w:cs="Arial"/>
          <w:lang w:val="pt-PT"/>
        </w:rPr>
        <w:lastRenderedPageBreak/>
        <w:tab/>
      </w:r>
      <w:r w:rsidRPr="00AD5781">
        <w:rPr>
          <w:rFonts w:ascii="Arial" w:hAnsi="Arial" w:cs="Arial"/>
        </w:rPr>
        <w:t>At 97 days of age, all animals were weighed and euthanized in a CO</w:t>
      </w:r>
      <w:r w:rsidRPr="00AD5781">
        <w:rPr>
          <w:rFonts w:ascii="Cambria Math" w:hAnsi="Cambria Math" w:cs="Cambria Math"/>
        </w:rPr>
        <w:t>₂</w:t>
      </w:r>
      <w:r w:rsidRPr="00AD5781">
        <w:rPr>
          <w:rFonts w:ascii="Arial" w:hAnsi="Arial" w:cs="Arial"/>
        </w:rPr>
        <w:t xml:space="preserve"> chamber, followed by decapitation. To confirm the induction of obesity, the Lee index was calculated [cube root of body weight (g) divided by naso-anal length (cm)], along with the measurement of perigonadal and retroperitoneal fat deposits.</w:t>
      </w:r>
      <w:r w:rsidRPr="00AD5781">
        <w:rPr>
          <w:rFonts w:ascii="Arial" w:eastAsia="Times New Roman" w:hAnsi="Arial" w:cs="Arial"/>
        </w:rPr>
        <w:t xml:space="preserve"> </w:t>
      </w:r>
      <w:r w:rsidRPr="00AD5781">
        <w:rPr>
          <w:rFonts w:ascii="Arial" w:hAnsi="Arial" w:cs="Arial"/>
        </w:rPr>
        <w:t>The right hemimaxillae were then removed, fixed in 10% buffered formalin for 24 hours, rinsed under running water for 48 hours, and stored in 70% ethanol.</w:t>
      </w:r>
    </w:p>
    <w:p w14:paraId="76740E88" w14:textId="77777777" w:rsidR="00AE72D7" w:rsidRPr="00AD5781" w:rsidRDefault="00AE72D7">
      <w:pPr>
        <w:pStyle w:val="NormalWeb"/>
        <w:spacing w:line="480" w:lineRule="auto"/>
        <w:jc w:val="both"/>
        <w:rPr>
          <w:rFonts w:ascii="Arial" w:eastAsia="Times New Roman" w:hAnsi="Arial" w:cs="Arial"/>
        </w:rPr>
      </w:pPr>
    </w:p>
    <w:p w14:paraId="5D5E6327"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2.6 Quantitative Analysis of Tooth Movement</w:t>
      </w:r>
    </w:p>
    <w:p w14:paraId="090EB0CE" w14:textId="54DB86ED" w:rsidR="00AE72D7" w:rsidRPr="00AD5781" w:rsidRDefault="007F10CE">
      <w:pPr>
        <w:pStyle w:val="NormalWeb"/>
        <w:spacing w:line="480" w:lineRule="auto"/>
        <w:jc w:val="both"/>
        <w:rPr>
          <w:rFonts w:ascii="Arial" w:hAnsi="Arial" w:cs="Arial"/>
        </w:rPr>
      </w:pPr>
      <w:r w:rsidRPr="00AD5781">
        <w:rPr>
          <w:rFonts w:ascii="Arial" w:eastAsia="Times New Roman" w:hAnsi="Arial" w:cs="Arial"/>
          <w:lang w:val="pt-PT"/>
        </w:rPr>
        <w:tab/>
      </w:r>
      <w:r w:rsidRPr="00AD5781">
        <w:rPr>
          <w:rFonts w:ascii="Arial" w:hAnsi="Arial" w:cs="Arial"/>
        </w:rPr>
        <w:t>Immediately after euthanasia, the amount of tooth movement was determined by measuring the difference in distance between the mesial surface of the upper first molar and the distal surface of the upper third molar on the right (moved) and left (non-moved) sides (Gameiro et al., 2008; Pasa et al., 2024). Measurements were recorded in millimeters (mm) using a digital caliper (Mitutoyo, São Paulo, Brazil)</w:t>
      </w:r>
      <w:r w:rsidR="007E5670" w:rsidRPr="00AD5781">
        <w:rPr>
          <w:rFonts w:ascii="Arial" w:hAnsi="Arial" w:cs="Arial"/>
        </w:rPr>
        <w:t>.</w:t>
      </w:r>
    </w:p>
    <w:p w14:paraId="13A175F4" w14:textId="77777777" w:rsidR="00AE72D7" w:rsidRPr="00AD5781" w:rsidRDefault="00AE72D7">
      <w:pPr>
        <w:pStyle w:val="NormalWeb"/>
        <w:spacing w:line="480" w:lineRule="auto"/>
        <w:jc w:val="both"/>
        <w:rPr>
          <w:rFonts w:ascii="Arial" w:eastAsia="Times New Roman" w:hAnsi="Arial" w:cs="Arial"/>
        </w:rPr>
      </w:pPr>
    </w:p>
    <w:p w14:paraId="66BAEE83" w14:textId="77777777" w:rsidR="007E5670" w:rsidRPr="00AD5781" w:rsidRDefault="007E5670">
      <w:pPr>
        <w:pStyle w:val="NormalWeb"/>
        <w:spacing w:line="480" w:lineRule="auto"/>
        <w:jc w:val="both"/>
        <w:rPr>
          <w:rFonts w:ascii="Arial" w:eastAsia="Times New Roman" w:hAnsi="Arial" w:cs="Arial"/>
        </w:rPr>
      </w:pPr>
    </w:p>
    <w:p w14:paraId="06224991" w14:textId="77777777" w:rsidR="007E5670" w:rsidRPr="00AD5781" w:rsidRDefault="007E5670">
      <w:pPr>
        <w:pStyle w:val="NormalWeb"/>
        <w:spacing w:line="480" w:lineRule="auto"/>
        <w:jc w:val="both"/>
        <w:rPr>
          <w:rFonts w:ascii="Arial" w:eastAsia="Times New Roman" w:hAnsi="Arial" w:cs="Arial"/>
        </w:rPr>
      </w:pPr>
    </w:p>
    <w:p w14:paraId="299F3D84" w14:textId="77777777" w:rsidR="007E5670" w:rsidRPr="00AD5781" w:rsidRDefault="007E5670">
      <w:pPr>
        <w:pStyle w:val="NormalWeb"/>
        <w:spacing w:line="480" w:lineRule="auto"/>
        <w:jc w:val="both"/>
        <w:rPr>
          <w:rFonts w:ascii="Arial" w:eastAsia="Times New Roman" w:hAnsi="Arial" w:cs="Arial"/>
        </w:rPr>
      </w:pPr>
    </w:p>
    <w:p w14:paraId="3436BE13"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2.7 Laboratory Processing</w:t>
      </w:r>
    </w:p>
    <w:p w14:paraId="3326ADBA" w14:textId="77777777" w:rsidR="00AE72D7" w:rsidRPr="00AD5781" w:rsidRDefault="007F10CE">
      <w:pPr>
        <w:pStyle w:val="NormalWeb"/>
        <w:spacing w:line="480" w:lineRule="auto"/>
        <w:jc w:val="both"/>
        <w:rPr>
          <w:rFonts w:ascii="Arial" w:eastAsia="Times New Roman" w:hAnsi="Arial" w:cs="Arial"/>
        </w:rPr>
      </w:pPr>
      <w:r w:rsidRPr="00AD5781">
        <w:rPr>
          <w:rFonts w:ascii="Arial" w:eastAsia="Times New Roman" w:hAnsi="Arial" w:cs="Arial"/>
          <w:lang w:val="pt-PT"/>
        </w:rPr>
        <w:tab/>
      </w:r>
      <w:r w:rsidRPr="00AD5781">
        <w:rPr>
          <w:rFonts w:ascii="Arial" w:hAnsi="Arial" w:cs="Arial"/>
        </w:rPr>
        <w:t>After fixation, the right hemimaxillae were decalcified in a decalcifying solution (Allkimia®) for 19 hours, rinsed under running water for 2 hours, dehydrated in a graded series of alcohols, cleared in xylene, and embedded in Paraplast Plus.</w:t>
      </w:r>
    </w:p>
    <w:p w14:paraId="6DE395B4" w14:textId="77777777" w:rsidR="00AE72D7" w:rsidRPr="00AD5781" w:rsidRDefault="007F10CE">
      <w:pPr>
        <w:pStyle w:val="NormalWeb"/>
        <w:spacing w:line="480" w:lineRule="auto"/>
        <w:jc w:val="both"/>
        <w:rPr>
          <w:rFonts w:ascii="Arial" w:eastAsia="Times New Roman" w:hAnsi="Arial" w:cs="Arial"/>
        </w:rPr>
      </w:pPr>
      <w:r w:rsidRPr="00AD5781">
        <w:rPr>
          <w:rFonts w:ascii="Arial" w:hAnsi="Arial" w:cs="Arial"/>
        </w:rPr>
        <w:t>For histological analysis, serial cross-sectional and longitudinal sections of the mesiobuccal and distobuccal roots of the right upper first molar were obtained from mesial to distal at 5 µm thickness using a manual rotary microtome (Olympus 4060) with a steel blade. The sections were deparaffinized in xylene, rehydrated in distilled water, and stained with hematoxylin and eosin (H&amp;E).</w:t>
      </w:r>
      <w:r w:rsidRPr="00AD5781">
        <w:rPr>
          <w:rFonts w:ascii="Arial" w:eastAsia="Times New Roman" w:hAnsi="Arial" w:cs="Arial"/>
        </w:rPr>
        <w:t xml:space="preserve"> </w:t>
      </w:r>
      <w:r w:rsidRPr="00AD5781">
        <w:rPr>
          <w:rFonts w:ascii="Arial" w:hAnsi="Arial" w:cs="Arial"/>
        </w:rPr>
        <w:t>Microscopic analysis was performed using an optical microscope (Olympus BX60). Photomicrographs were captured using an Olympus DP71 digital camera and DP Controller software version 3.2.1.276.</w:t>
      </w:r>
    </w:p>
    <w:p w14:paraId="4EF31220" w14:textId="77777777" w:rsidR="00AE72D7" w:rsidRPr="00AD5781" w:rsidRDefault="00AE72D7">
      <w:pPr>
        <w:pStyle w:val="NormalWeb"/>
        <w:spacing w:line="480" w:lineRule="auto"/>
        <w:jc w:val="both"/>
        <w:rPr>
          <w:rFonts w:ascii="Arial" w:eastAsia="Times New Roman" w:hAnsi="Arial" w:cs="Arial"/>
        </w:rPr>
      </w:pPr>
    </w:p>
    <w:p w14:paraId="5E0B39A7"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2.8 Descriptive Analysis of Histological Slides</w:t>
      </w:r>
    </w:p>
    <w:p w14:paraId="6FAFA850" w14:textId="77777777" w:rsidR="00AE72D7" w:rsidRPr="00AD5781" w:rsidRDefault="007F10CE">
      <w:pPr>
        <w:pStyle w:val="NormalWeb"/>
        <w:spacing w:line="480" w:lineRule="auto"/>
        <w:jc w:val="both"/>
        <w:rPr>
          <w:rFonts w:ascii="Arial" w:hAnsi="Arial" w:cs="Arial"/>
        </w:rPr>
      </w:pPr>
      <w:r w:rsidRPr="00AD5781">
        <w:rPr>
          <w:rFonts w:ascii="Arial" w:eastAsia="Times New Roman" w:hAnsi="Arial" w:cs="Arial"/>
          <w:lang w:val="pt-PT"/>
        </w:rPr>
        <w:lastRenderedPageBreak/>
        <w:tab/>
      </w:r>
      <w:r w:rsidRPr="00AD5781">
        <w:rPr>
          <w:rFonts w:ascii="Arial" w:hAnsi="Arial" w:cs="Arial"/>
        </w:rPr>
        <w:t>The right upper first molars were examined to identify pulp alterations, following the criteria described by Massaro et al. (2009) and Cuoghi et al. (2018). The histological features assessed included: presence or absence of inflammatory infiltrate, reduced cellularity, increased fibrosis, pulp hyalinization, vacuolization, pulp nodules, diffuse calcification, necrosis, vascular congestion, hemorrhage, thrombosis, reactive dentin, dentinal tubules with nuclei, and internal root resorption.</w:t>
      </w:r>
    </w:p>
    <w:p w14:paraId="40D8ED70" w14:textId="77777777" w:rsidR="00AE72D7" w:rsidRPr="00AD5781" w:rsidRDefault="00AE72D7">
      <w:pPr>
        <w:pStyle w:val="NormalWeb"/>
        <w:spacing w:line="480" w:lineRule="auto"/>
        <w:jc w:val="both"/>
        <w:rPr>
          <w:rFonts w:ascii="Arial" w:eastAsia="Times New Roman" w:hAnsi="Arial" w:cs="Arial"/>
        </w:rPr>
      </w:pPr>
    </w:p>
    <w:p w14:paraId="5D19BC93"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2.9 Semi-quantitative Analysis of Histological Slides</w:t>
      </w:r>
    </w:p>
    <w:p w14:paraId="3F6439E8" w14:textId="77777777" w:rsidR="00AE72D7" w:rsidRPr="00AD5781" w:rsidRDefault="007F10CE">
      <w:pPr>
        <w:pStyle w:val="NormalWeb"/>
        <w:spacing w:line="480" w:lineRule="auto"/>
        <w:jc w:val="both"/>
        <w:rPr>
          <w:rFonts w:ascii="Arial" w:eastAsia="Times New Roman" w:hAnsi="Arial" w:cs="Arial"/>
        </w:rPr>
      </w:pPr>
      <w:r w:rsidRPr="00AD5781">
        <w:rPr>
          <w:rFonts w:ascii="Arial" w:eastAsia="Times New Roman" w:hAnsi="Arial" w:cs="Arial"/>
          <w:lang w:val="pt-PT"/>
        </w:rPr>
        <w:tab/>
      </w:r>
      <w:r w:rsidRPr="00AD5781">
        <w:rPr>
          <w:rFonts w:ascii="Arial" w:hAnsi="Arial" w:cs="Arial"/>
        </w:rPr>
        <w:t>For this analysis, five histological slides were evaluated per animal, each containing five sections, totaling 25 sections per specimen. Inflammatory response was scored on a scale from 1 to 4 based on the criteria proposed by McClanahan et al. (1991), as follows:</w:t>
      </w:r>
    </w:p>
    <w:p w14:paraId="030E3F58" w14:textId="77777777" w:rsidR="00AE72D7" w:rsidRPr="00AD5781" w:rsidRDefault="007F10CE">
      <w:pPr>
        <w:pStyle w:val="NormalWeb"/>
        <w:numPr>
          <w:ilvl w:val="0"/>
          <w:numId w:val="2"/>
        </w:numPr>
        <w:spacing w:line="480" w:lineRule="auto"/>
        <w:jc w:val="both"/>
        <w:rPr>
          <w:rFonts w:ascii="Arial" w:hAnsi="Arial" w:cs="Arial"/>
        </w:rPr>
      </w:pPr>
      <w:r w:rsidRPr="00AD5781">
        <w:rPr>
          <w:rFonts w:ascii="Arial" w:hAnsi="Arial" w:cs="Arial"/>
        </w:rPr>
        <w:t>Score 1 – Normal pulp: Intact odontoblastic layer and nerve tissue, with no evidence of inflammatory infiltrate, hyperemia, or edema (0% of the microscopic field affected).</w:t>
      </w:r>
    </w:p>
    <w:p w14:paraId="54A0C013" w14:textId="77777777" w:rsidR="00AE72D7" w:rsidRPr="00AD5781" w:rsidRDefault="007F10CE">
      <w:pPr>
        <w:pStyle w:val="NormalWeb"/>
        <w:numPr>
          <w:ilvl w:val="0"/>
          <w:numId w:val="2"/>
        </w:numPr>
        <w:spacing w:line="480" w:lineRule="auto"/>
        <w:jc w:val="both"/>
        <w:rPr>
          <w:rFonts w:ascii="Arial" w:hAnsi="Arial" w:cs="Arial"/>
        </w:rPr>
      </w:pPr>
      <w:r w:rsidRPr="00AD5781">
        <w:rPr>
          <w:rFonts w:ascii="Arial" w:hAnsi="Arial" w:cs="Arial"/>
        </w:rPr>
        <w:t>Score 2 – Mild inflammation: Mild infiltrate of inflammatory cells (neutrophils, lymphocytes), with no edema or hyperemia (1–33% of the field affected).</w:t>
      </w:r>
    </w:p>
    <w:p w14:paraId="35F58015" w14:textId="77777777" w:rsidR="00AE72D7" w:rsidRPr="00AD5781" w:rsidRDefault="007F10CE">
      <w:pPr>
        <w:pStyle w:val="NormalWeb"/>
        <w:numPr>
          <w:ilvl w:val="0"/>
          <w:numId w:val="2"/>
        </w:numPr>
        <w:spacing w:line="480" w:lineRule="auto"/>
        <w:jc w:val="both"/>
        <w:rPr>
          <w:rFonts w:ascii="Arial" w:hAnsi="Arial" w:cs="Arial"/>
        </w:rPr>
      </w:pPr>
      <w:r w:rsidRPr="00AD5781">
        <w:rPr>
          <w:rFonts w:ascii="Arial" w:hAnsi="Arial" w:cs="Arial"/>
        </w:rPr>
        <w:t>Score 3 – Moderate inflammation: Moderate infiltrate of inflammatory cells, with presence of edema and hyperemia (34–66% of the field affected).</w:t>
      </w:r>
    </w:p>
    <w:p w14:paraId="263F74AE" w14:textId="77777777" w:rsidR="00AE72D7" w:rsidRPr="00AD5781" w:rsidRDefault="007F10CE">
      <w:pPr>
        <w:pStyle w:val="NormalWeb"/>
        <w:numPr>
          <w:ilvl w:val="0"/>
          <w:numId w:val="2"/>
        </w:numPr>
        <w:spacing w:line="480" w:lineRule="auto"/>
        <w:jc w:val="both"/>
        <w:rPr>
          <w:rFonts w:ascii="Arial" w:hAnsi="Arial" w:cs="Arial"/>
        </w:rPr>
      </w:pPr>
      <w:r w:rsidRPr="00AD5781">
        <w:rPr>
          <w:rFonts w:ascii="Arial" w:hAnsi="Arial" w:cs="Arial"/>
        </w:rPr>
        <w:t>Score 4 – Severe inflammation: Dense inflammatory infiltrate (neutrophils, lymphocytes), capillary congestion, hemorrhage, and possible dystrophic calcification (67–100% of the field affected).</w:t>
      </w:r>
    </w:p>
    <w:p w14:paraId="6B6C02E3" w14:textId="77777777" w:rsidR="00AE72D7" w:rsidRPr="00AD5781" w:rsidRDefault="00AE72D7">
      <w:pPr>
        <w:pStyle w:val="NormalWeb"/>
        <w:spacing w:line="480" w:lineRule="auto"/>
        <w:jc w:val="both"/>
        <w:rPr>
          <w:rFonts w:ascii="Arial" w:hAnsi="Arial" w:cs="Arial"/>
        </w:rPr>
      </w:pPr>
    </w:p>
    <w:p w14:paraId="29B7A9D7" w14:textId="77777777" w:rsidR="00AE72D7" w:rsidRPr="00AD5781" w:rsidRDefault="007F10CE">
      <w:pPr>
        <w:spacing w:line="480" w:lineRule="auto"/>
        <w:jc w:val="both"/>
        <w:rPr>
          <w:rFonts w:ascii="Arial" w:hAnsi="Arial" w:cs="Arial"/>
          <w:b/>
          <w:bCs/>
        </w:rPr>
      </w:pPr>
      <w:r w:rsidRPr="00AD5781">
        <w:rPr>
          <w:rFonts w:ascii="Arial" w:hAnsi="Arial" w:cs="Arial"/>
          <w:b/>
          <w:bCs/>
        </w:rPr>
        <w:t>2.10 Statistical Analysis</w:t>
      </w:r>
    </w:p>
    <w:p w14:paraId="05FB5BD3" w14:textId="77777777" w:rsidR="00AE72D7" w:rsidRPr="00AD5781" w:rsidRDefault="007F10CE">
      <w:pPr>
        <w:spacing w:line="480" w:lineRule="auto"/>
        <w:jc w:val="both"/>
        <w:rPr>
          <w:rFonts w:ascii="Arial" w:hAnsi="Arial" w:cs="Arial"/>
        </w:rPr>
      </w:pPr>
      <w:r w:rsidRPr="00AD5781">
        <w:rPr>
          <w:rFonts w:ascii="Arial" w:eastAsia="Times New Roman" w:hAnsi="Arial" w:cs="Arial"/>
          <w:lang w:val="pt-PT"/>
        </w:rPr>
        <w:tab/>
      </w:r>
      <w:r w:rsidRPr="00AD5781">
        <w:rPr>
          <w:rFonts w:ascii="Arial" w:hAnsi="Arial" w:cs="Arial"/>
        </w:rPr>
        <w:t>Data were analyzed using Student’s t-test and analysis of variance (ANOVA) followed by Tukey’s post hoc test. Differences were considered statistically significant at P &lt; 0.05. Statistical analyses were performed using SigmaPlot software, version 11.0 (Systat Software Inc., San Jose, CA, USA).</w:t>
      </w:r>
    </w:p>
    <w:p w14:paraId="16FE6268" w14:textId="77777777" w:rsidR="00AE72D7" w:rsidRPr="00AD5781" w:rsidRDefault="00AE72D7">
      <w:pPr>
        <w:spacing w:line="480" w:lineRule="auto"/>
        <w:jc w:val="both"/>
        <w:rPr>
          <w:rFonts w:ascii="Arial" w:eastAsia="Times New Roman" w:hAnsi="Arial" w:cs="Arial"/>
        </w:rPr>
      </w:pPr>
    </w:p>
    <w:p w14:paraId="3811DE76" w14:textId="77777777" w:rsidR="00AE72D7" w:rsidRPr="00AD5781" w:rsidRDefault="007F10CE">
      <w:pPr>
        <w:spacing w:line="480" w:lineRule="auto"/>
        <w:jc w:val="both"/>
        <w:rPr>
          <w:rFonts w:ascii="Arial" w:hAnsi="Arial" w:cs="Arial"/>
          <w:b/>
          <w:bCs/>
          <w:lang w:val="de-DE"/>
        </w:rPr>
      </w:pPr>
      <w:r w:rsidRPr="00AD5781">
        <w:rPr>
          <w:rFonts w:ascii="Arial" w:hAnsi="Arial" w:cs="Arial"/>
          <w:b/>
          <w:bCs/>
          <w:lang w:val="de-DE"/>
        </w:rPr>
        <w:t>3. RESULTS</w:t>
      </w:r>
    </w:p>
    <w:p w14:paraId="209034ED" w14:textId="77777777" w:rsidR="00AE72D7" w:rsidRPr="00AD5781" w:rsidRDefault="00AE72D7">
      <w:pPr>
        <w:spacing w:line="480" w:lineRule="auto"/>
        <w:jc w:val="both"/>
        <w:rPr>
          <w:rFonts w:ascii="Arial" w:eastAsia="Times New Roman" w:hAnsi="Arial" w:cs="Arial"/>
        </w:rPr>
      </w:pPr>
    </w:p>
    <w:p w14:paraId="574B3CB1"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3.1 Body Parameters and Evaluation of Obesity Induction</w:t>
      </w:r>
    </w:p>
    <w:p w14:paraId="7C642EE9" w14:textId="77777777" w:rsidR="00AE72D7" w:rsidRPr="00AD5781" w:rsidRDefault="007F10CE">
      <w:pPr>
        <w:pStyle w:val="NormalWeb"/>
        <w:spacing w:line="480" w:lineRule="auto"/>
        <w:jc w:val="both"/>
        <w:rPr>
          <w:rFonts w:ascii="Arial" w:hAnsi="Arial" w:cs="Arial"/>
        </w:rPr>
      </w:pPr>
      <w:r w:rsidRPr="00AD5781">
        <w:rPr>
          <w:rFonts w:ascii="Arial" w:eastAsia="Times New Roman" w:hAnsi="Arial" w:cs="Arial"/>
          <w:lang w:val="pt-PT"/>
        </w:rPr>
        <w:lastRenderedPageBreak/>
        <w:tab/>
      </w:r>
      <w:r w:rsidRPr="00AD5781">
        <w:rPr>
          <w:rFonts w:ascii="Arial" w:hAnsi="Arial" w:cs="Arial"/>
        </w:rPr>
        <w:t>Analysis of body parameters showed that body weight and naso-anal length (NAL) were significantly reduced in animals from the obese groups (MSG, MSG+ITM) compared to those from the CTL groups (P &lt; 0.05). Additionally, animals from the MSG groups exhibited increased Lee index and retroperitoneal and perigonadal fat deposits relative to the CTL group (P &lt; 0.05) (Table 1).</w:t>
      </w:r>
    </w:p>
    <w:p w14:paraId="2A688DF7" w14:textId="77777777" w:rsidR="00AE72D7" w:rsidRPr="00AD5781" w:rsidRDefault="00AE72D7">
      <w:pPr>
        <w:pStyle w:val="NormalWeb"/>
        <w:spacing w:line="360" w:lineRule="auto"/>
        <w:jc w:val="both"/>
        <w:rPr>
          <w:rFonts w:ascii="Arial" w:eastAsia="Times New Roman" w:hAnsi="Arial" w:cs="Arial"/>
        </w:rPr>
      </w:pPr>
    </w:p>
    <w:p w14:paraId="081B172C" w14:textId="77777777" w:rsidR="00AE72D7" w:rsidRPr="00AD5781" w:rsidRDefault="007F10CE">
      <w:pPr>
        <w:spacing w:line="360" w:lineRule="auto"/>
        <w:jc w:val="both"/>
        <w:rPr>
          <w:rFonts w:ascii="Arial" w:eastAsia="Times New Roman" w:hAnsi="Arial" w:cs="Arial"/>
        </w:rPr>
      </w:pPr>
      <w:r w:rsidRPr="00AD5781">
        <w:rPr>
          <w:rFonts w:ascii="Arial" w:hAnsi="Arial" w:cs="Arial"/>
          <w:b/>
          <w:bCs/>
        </w:rPr>
        <w:t>Table 1.</w:t>
      </w:r>
      <w:r w:rsidRPr="00AD5781">
        <w:rPr>
          <w:rFonts w:ascii="Arial" w:hAnsi="Arial" w:cs="Arial"/>
        </w:rPr>
        <w:t xml:space="preserve"> Body Parameters and Obesity Evaluation of the Different Experimental Groups.</w:t>
      </w:r>
    </w:p>
    <w:tbl>
      <w:tblPr>
        <w:tblStyle w:val="TableNormal1"/>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78"/>
        <w:gridCol w:w="1252"/>
        <w:gridCol w:w="1253"/>
        <w:gridCol w:w="1504"/>
        <w:gridCol w:w="1813"/>
      </w:tblGrid>
      <w:tr w:rsidR="00AE72D7" w:rsidRPr="00AD5781" w14:paraId="47BA2E5C" w14:textId="77777777">
        <w:trPr>
          <w:trHeight w:val="442"/>
        </w:trPr>
        <w:tc>
          <w:tcPr>
            <w:tcW w:w="2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54AFAE" w14:textId="77777777" w:rsidR="00AE72D7" w:rsidRPr="00AD5781" w:rsidRDefault="00AE72D7">
            <w:pPr>
              <w:suppressAutoHyphens/>
              <w:jc w:val="both"/>
              <w:rPr>
                <w:rFonts w:ascii="Arial" w:eastAsia="Times New Roman" w:hAnsi="Arial" w:cs="Arial"/>
                <w:b/>
                <w:bCs/>
              </w:rPr>
            </w:pPr>
          </w:p>
          <w:p w14:paraId="55E45EA2" w14:textId="77777777" w:rsidR="00AE72D7" w:rsidRPr="00AD5781" w:rsidRDefault="007F10CE">
            <w:pPr>
              <w:suppressAutoHyphens/>
              <w:jc w:val="both"/>
              <w:rPr>
                <w:rFonts w:ascii="Arial" w:hAnsi="Arial" w:cs="Arial"/>
              </w:rPr>
            </w:pPr>
            <w:r w:rsidRPr="00AD5781">
              <w:rPr>
                <w:rFonts w:ascii="Arial" w:hAnsi="Arial" w:cs="Arial"/>
                <w:b/>
                <w:bCs/>
                <w:lang w:val="pt-PT"/>
              </w:rPr>
              <w:t>PARAMETERS</w:t>
            </w:r>
          </w:p>
        </w:tc>
        <w:tc>
          <w:tcPr>
            <w:tcW w:w="125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0F3E13" w14:textId="77777777" w:rsidR="00AE72D7" w:rsidRPr="00AD5781" w:rsidRDefault="00AE72D7">
            <w:pPr>
              <w:suppressAutoHyphens/>
              <w:jc w:val="center"/>
              <w:rPr>
                <w:rFonts w:ascii="Arial" w:eastAsia="Times New Roman" w:hAnsi="Arial" w:cs="Arial"/>
                <w:b/>
                <w:bCs/>
              </w:rPr>
            </w:pPr>
          </w:p>
          <w:p w14:paraId="24CD34D9" w14:textId="77777777" w:rsidR="00AE72D7" w:rsidRPr="00AD5781" w:rsidRDefault="007F10CE">
            <w:pPr>
              <w:suppressAutoHyphens/>
              <w:jc w:val="center"/>
              <w:rPr>
                <w:rFonts w:ascii="Arial" w:hAnsi="Arial" w:cs="Arial"/>
              </w:rPr>
            </w:pPr>
            <w:r w:rsidRPr="00AD5781">
              <w:rPr>
                <w:rFonts w:ascii="Arial" w:hAnsi="Arial" w:cs="Arial"/>
                <w:b/>
                <w:bCs/>
              </w:rPr>
              <w:t>CTL</w:t>
            </w:r>
          </w:p>
        </w:tc>
        <w:tc>
          <w:tcPr>
            <w:tcW w:w="12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71296B" w14:textId="77777777" w:rsidR="00AE72D7" w:rsidRPr="00AD5781" w:rsidRDefault="00AE72D7">
            <w:pPr>
              <w:suppressAutoHyphens/>
              <w:jc w:val="center"/>
              <w:rPr>
                <w:rFonts w:ascii="Arial" w:eastAsia="Times New Roman" w:hAnsi="Arial" w:cs="Arial"/>
                <w:b/>
                <w:bCs/>
              </w:rPr>
            </w:pPr>
          </w:p>
          <w:p w14:paraId="634EDDBD" w14:textId="77777777" w:rsidR="00AE72D7" w:rsidRPr="00AD5781" w:rsidRDefault="007F10CE">
            <w:pPr>
              <w:suppressAutoHyphens/>
              <w:jc w:val="center"/>
              <w:rPr>
                <w:rFonts w:ascii="Arial" w:hAnsi="Arial" w:cs="Arial"/>
              </w:rPr>
            </w:pPr>
            <w:r w:rsidRPr="00AD5781">
              <w:rPr>
                <w:rFonts w:ascii="Arial" w:hAnsi="Arial" w:cs="Arial"/>
                <w:b/>
                <w:bCs/>
              </w:rPr>
              <w:t>MSG</w:t>
            </w:r>
          </w:p>
        </w:tc>
        <w:tc>
          <w:tcPr>
            <w:tcW w:w="15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9D7CD7" w14:textId="77777777" w:rsidR="00AE72D7" w:rsidRPr="00AD5781" w:rsidRDefault="00AE72D7">
            <w:pPr>
              <w:suppressAutoHyphens/>
              <w:jc w:val="center"/>
              <w:rPr>
                <w:rFonts w:ascii="Arial" w:eastAsia="Times New Roman" w:hAnsi="Arial" w:cs="Arial"/>
                <w:b/>
                <w:bCs/>
              </w:rPr>
            </w:pPr>
          </w:p>
          <w:p w14:paraId="2BCB3480" w14:textId="77777777" w:rsidR="00AE72D7" w:rsidRPr="00AD5781" w:rsidRDefault="007F10CE">
            <w:pPr>
              <w:suppressAutoHyphens/>
              <w:jc w:val="center"/>
              <w:rPr>
                <w:rFonts w:ascii="Arial" w:hAnsi="Arial" w:cs="Arial"/>
              </w:rPr>
            </w:pPr>
            <w:r w:rsidRPr="00AD5781">
              <w:rPr>
                <w:rFonts w:ascii="Arial" w:hAnsi="Arial" w:cs="Arial"/>
                <w:b/>
                <w:bCs/>
              </w:rPr>
              <w:t>CTL+ITM</w:t>
            </w:r>
          </w:p>
        </w:tc>
        <w:tc>
          <w:tcPr>
            <w:tcW w:w="18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A9D7A9" w14:textId="77777777" w:rsidR="00AE72D7" w:rsidRPr="00AD5781" w:rsidRDefault="00AE72D7">
            <w:pPr>
              <w:suppressAutoHyphens/>
              <w:jc w:val="center"/>
              <w:rPr>
                <w:rFonts w:ascii="Arial" w:eastAsia="Times New Roman" w:hAnsi="Arial" w:cs="Arial"/>
                <w:b/>
                <w:bCs/>
              </w:rPr>
            </w:pPr>
          </w:p>
          <w:p w14:paraId="67C33AF8" w14:textId="77777777" w:rsidR="00AE72D7" w:rsidRPr="00AD5781" w:rsidRDefault="007F10CE">
            <w:pPr>
              <w:suppressAutoHyphens/>
              <w:jc w:val="center"/>
              <w:rPr>
                <w:rFonts w:ascii="Arial" w:hAnsi="Arial" w:cs="Arial"/>
              </w:rPr>
            </w:pPr>
            <w:r w:rsidRPr="00AD5781">
              <w:rPr>
                <w:rFonts w:ascii="Arial" w:hAnsi="Arial" w:cs="Arial"/>
                <w:b/>
                <w:bCs/>
              </w:rPr>
              <w:t>MSG+ITM</w:t>
            </w:r>
          </w:p>
        </w:tc>
      </w:tr>
      <w:tr w:rsidR="00AE72D7" w:rsidRPr="00AD5781" w14:paraId="50F5E2B8" w14:textId="77777777">
        <w:trPr>
          <w:trHeight w:val="227"/>
        </w:trPr>
        <w:tc>
          <w:tcPr>
            <w:tcW w:w="2477" w:type="dxa"/>
            <w:tcBorders>
              <w:top w:val="single" w:sz="4" w:space="0" w:color="000000"/>
              <w:left w:val="nil"/>
              <w:bottom w:val="nil"/>
              <w:right w:val="nil"/>
            </w:tcBorders>
            <w:shd w:val="clear" w:color="auto" w:fill="auto"/>
            <w:tcMar>
              <w:top w:w="80" w:type="dxa"/>
              <w:left w:w="80" w:type="dxa"/>
              <w:bottom w:w="80" w:type="dxa"/>
              <w:right w:w="80" w:type="dxa"/>
            </w:tcMar>
          </w:tcPr>
          <w:p w14:paraId="4C915956" w14:textId="77777777" w:rsidR="00AE72D7" w:rsidRPr="00AD5781" w:rsidRDefault="007F10CE">
            <w:pPr>
              <w:pStyle w:val="HTMLPreformatted"/>
              <w:shd w:val="clear" w:color="auto" w:fill="F8F9FA"/>
              <w:tabs>
                <w:tab w:val="clear" w:pos="8244"/>
                <w:tab w:val="clear" w:pos="9160"/>
                <w:tab w:val="clear" w:pos="10076"/>
                <w:tab w:val="clear" w:pos="10992"/>
                <w:tab w:val="clear" w:pos="11908"/>
                <w:tab w:val="clear" w:pos="12824"/>
                <w:tab w:val="clear" w:pos="13740"/>
                <w:tab w:val="clear" w:pos="14656"/>
                <w:tab w:val="left" w:pos="7800"/>
              </w:tabs>
              <w:rPr>
                <w:rFonts w:ascii="Arial" w:hAnsi="Arial" w:cs="Arial"/>
                <w:sz w:val="16"/>
                <w:szCs w:val="16"/>
              </w:rPr>
            </w:pPr>
            <w:r w:rsidRPr="00AD5781">
              <w:rPr>
                <w:rFonts w:ascii="Arial" w:hAnsi="Arial" w:cs="Arial"/>
                <w:color w:val="1F1F1F"/>
                <w:sz w:val="16"/>
                <w:szCs w:val="16"/>
                <w:u w:color="1F1F1F"/>
                <w:shd w:val="clear" w:color="auto" w:fill="F8F9FA"/>
                <w:lang w:val="pt-PT"/>
              </w:rPr>
              <w:t>W</w:t>
            </w:r>
            <w:r w:rsidRPr="00AD5781">
              <w:rPr>
                <w:rFonts w:ascii="Arial" w:hAnsi="Arial" w:cs="Arial"/>
                <w:color w:val="1F1F1F"/>
                <w:sz w:val="16"/>
                <w:szCs w:val="16"/>
                <w:u w:color="1F1F1F"/>
                <w:shd w:val="clear" w:color="auto" w:fill="F8F9FA"/>
              </w:rPr>
              <w:t>eight</w:t>
            </w:r>
            <w:r w:rsidRPr="00AD5781">
              <w:rPr>
                <w:rFonts w:ascii="Arial" w:hAnsi="Arial" w:cs="Arial"/>
                <w:sz w:val="16"/>
                <w:szCs w:val="16"/>
              </w:rPr>
              <w:t xml:space="preserve"> (g)</w:t>
            </w:r>
          </w:p>
        </w:tc>
        <w:tc>
          <w:tcPr>
            <w:tcW w:w="1252" w:type="dxa"/>
            <w:tcBorders>
              <w:top w:val="single" w:sz="4" w:space="0" w:color="000000"/>
              <w:left w:val="nil"/>
              <w:bottom w:val="nil"/>
              <w:right w:val="nil"/>
            </w:tcBorders>
            <w:shd w:val="clear" w:color="auto" w:fill="auto"/>
            <w:tcMar>
              <w:top w:w="80" w:type="dxa"/>
              <w:left w:w="80" w:type="dxa"/>
              <w:bottom w:w="80" w:type="dxa"/>
              <w:right w:w="80" w:type="dxa"/>
            </w:tcMar>
          </w:tcPr>
          <w:p w14:paraId="7F1D10E1"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291,71±1,48</w:t>
            </w:r>
            <w:r w:rsidRPr="00AD5781">
              <w:rPr>
                <w:rFonts w:ascii="Arial" w:hAnsi="Arial" w:cs="Arial"/>
                <w:sz w:val="16"/>
                <w:szCs w:val="16"/>
                <w:vertAlign w:val="superscript"/>
              </w:rPr>
              <w:t>a</w:t>
            </w:r>
          </w:p>
        </w:tc>
        <w:tc>
          <w:tcPr>
            <w:tcW w:w="1253" w:type="dxa"/>
            <w:tcBorders>
              <w:top w:val="single" w:sz="4" w:space="0" w:color="000000"/>
              <w:left w:val="nil"/>
              <w:bottom w:val="nil"/>
              <w:right w:val="nil"/>
            </w:tcBorders>
            <w:shd w:val="clear" w:color="auto" w:fill="auto"/>
            <w:tcMar>
              <w:top w:w="80" w:type="dxa"/>
              <w:left w:w="80" w:type="dxa"/>
              <w:bottom w:w="80" w:type="dxa"/>
              <w:right w:w="80" w:type="dxa"/>
            </w:tcMar>
          </w:tcPr>
          <w:p w14:paraId="191D835F"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257,59±5,21</w:t>
            </w:r>
            <w:r w:rsidRPr="00AD5781">
              <w:rPr>
                <w:rFonts w:ascii="Arial" w:hAnsi="Arial" w:cs="Arial"/>
                <w:sz w:val="16"/>
                <w:szCs w:val="16"/>
                <w:vertAlign w:val="superscript"/>
              </w:rPr>
              <w:t>b</w:t>
            </w:r>
          </w:p>
        </w:tc>
        <w:tc>
          <w:tcPr>
            <w:tcW w:w="1503" w:type="dxa"/>
            <w:tcBorders>
              <w:top w:val="single" w:sz="4" w:space="0" w:color="000000"/>
              <w:left w:val="nil"/>
              <w:bottom w:val="nil"/>
              <w:right w:val="nil"/>
            </w:tcBorders>
            <w:shd w:val="clear" w:color="auto" w:fill="auto"/>
            <w:tcMar>
              <w:top w:w="80" w:type="dxa"/>
              <w:left w:w="80" w:type="dxa"/>
              <w:bottom w:w="80" w:type="dxa"/>
              <w:right w:w="80" w:type="dxa"/>
            </w:tcMar>
          </w:tcPr>
          <w:p w14:paraId="1C45A244"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303,83±2,47</w:t>
            </w:r>
            <w:r w:rsidRPr="00AD5781">
              <w:rPr>
                <w:rFonts w:ascii="Arial" w:hAnsi="Arial" w:cs="Arial"/>
                <w:sz w:val="16"/>
                <w:szCs w:val="16"/>
                <w:vertAlign w:val="superscript"/>
              </w:rPr>
              <w:t>a</w:t>
            </w:r>
          </w:p>
        </w:tc>
        <w:tc>
          <w:tcPr>
            <w:tcW w:w="1812" w:type="dxa"/>
            <w:tcBorders>
              <w:top w:val="single" w:sz="4" w:space="0" w:color="000000"/>
              <w:left w:val="nil"/>
              <w:bottom w:val="nil"/>
              <w:right w:val="nil"/>
            </w:tcBorders>
            <w:shd w:val="clear" w:color="auto" w:fill="auto"/>
            <w:tcMar>
              <w:top w:w="80" w:type="dxa"/>
              <w:left w:w="80" w:type="dxa"/>
              <w:bottom w:w="80" w:type="dxa"/>
              <w:right w:w="80" w:type="dxa"/>
            </w:tcMar>
          </w:tcPr>
          <w:p w14:paraId="366EBA82"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248,37±1,45</w:t>
            </w:r>
            <w:r w:rsidRPr="00AD5781">
              <w:rPr>
                <w:rFonts w:ascii="Arial" w:hAnsi="Arial" w:cs="Arial"/>
                <w:sz w:val="16"/>
                <w:szCs w:val="16"/>
                <w:vertAlign w:val="superscript"/>
              </w:rPr>
              <w:t>b</w:t>
            </w:r>
          </w:p>
        </w:tc>
      </w:tr>
      <w:tr w:rsidR="00AE72D7" w:rsidRPr="00AD5781" w14:paraId="14B5DFF3" w14:textId="77777777">
        <w:trPr>
          <w:trHeight w:val="232"/>
        </w:trPr>
        <w:tc>
          <w:tcPr>
            <w:tcW w:w="2477" w:type="dxa"/>
            <w:tcBorders>
              <w:top w:val="nil"/>
              <w:left w:val="nil"/>
              <w:bottom w:val="nil"/>
              <w:right w:val="nil"/>
            </w:tcBorders>
            <w:shd w:val="clear" w:color="auto" w:fill="auto"/>
            <w:tcMar>
              <w:top w:w="80" w:type="dxa"/>
              <w:left w:w="80" w:type="dxa"/>
              <w:bottom w:w="80" w:type="dxa"/>
              <w:right w:w="80" w:type="dxa"/>
            </w:tcMar>
          </w:tcPr>
          <w:p w14:paraId="0407905A" w14:textId="77777777" w:rsidR="00AE72D7" w:rsidRPr="00AD5781" w:rsidRDefault="007F10CE">
            <w:pPr>
              <w:suppressAutoHyphens/>
              <w:jc w:val="both"/>
              <w:rPr>
                <w:rFonts w:ascii="Arial" w:hAnsi="Arial" w:cs="Arial"/>
                <w:sz w:val="16"/>
                <w:szCs w:val="16"/>
              </w:rPr>
            </w:pPr>
            <w:r w:rsidRPr="00AD5781">
              <w:rPr>
                <w:rFonts w:ascii="Arial" w:hAnsi="Arial" w:cs="Arial"/>
                <w:sz w:val="16"/>
                <w:szCs w:val="16"/>
                <w:lang w:val="pt-PT"/>
              </w:rPr>
              <w:t>NAL</w:t>
            </w:r>
            <w:r w:rsidRPr="00AD5781">
              <w:rPr>
                <w:rFonts w:ascii="Arial" w:hAnsi="Arial" w:cs="Arial"/>
                <w:sz w:val="16"/>
                <w:szCs w:val="16"/>
              </w:rPr>
              <w:t xml:space="preserve"> (cm)</w:t>
            </w:r>
          </w:p>
        </w:tc>
        <w:tc>
          <w:tcPr>
            <w:tcW w:w="1252" w:type="dxa"/>
            <w:tcBorders>
              <w:top w:val="nil"/>
              <w:left w:val="nil"/>
              <w:bottom w:val="nil"/>
              <w:right w:val="nil"/>
            </w:tcBorders>
            <w:shd w:val="clear" w:color="auto" w:fill="auto"/>
            <w:tcMar>
              <w:top w:w="80" w:type="dxa"/>
              <w:left w:w="80" w:type="dxa"/>
              <w:bottom w:w="80" w:type="dxa"/>
              <w:right w:w="80" w:type="dxa"/>
            </w:tcMar>
          </w:tcPr>
          <w:p w14:paraId="31398890"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21,25±0,07</w:t>
            </w:r>
            <w:r w:rsidRPr="00AD5781">
              <w:rPr>
                <w:rFonts w:ascii="Arial" w:hAnsi="Arial" w:cs="Arial"/>
                <w:sz w:val="16"/>
                <w:szCs w:val="16"/>
                <w:vertAlign w:val="superscript"/>
              </w:rPr>
              <w:t>a</w:t>
            </w:r>
          </w:p>
        </w:tc>
        <w:tc>
          <w:tcPr>
            <w:tcW w:w="1253" w:type="dxa"/>
            <w:tcBorders>
              <w:top w:val="nil"/>
              <w:left w:val="nil"/>
              <w:bottom w:val="nil"/>
              <w:right w:val="nil"/>
            </w:tcBorders>
            <w:shd w:val="clear" w:color="auto" w:fill="auto"/>
            <w:tcMar>
              <w:top w:w="80" w:type="dxa"/>
              <w:left w:w="80" w:type="dxa"/>
              <w:bottom w:w="80" w:type="dxa"/>
              <w:right w:w="80" w:type="dxa"/>
            </w:tcMar>
          </w:tcPr>
          <w:p w14:paraId="0738DB2D"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19,33±0,09</w:t>
            </w:r>
            <w:r w:rsidRPr="00AD5781">
              <w:rPr>
                <w:rFonts w:ascii="Arial" w:hAnsi="Arial" w:cs="Arial"/>
                <w:sz w:val="16"/>
                <w:szCs w:val="16"/>
                <w:vertAlign w:val="superscript"/>
              </w:rPr>
              <w:t>b</w:t>
            </w:r>
          </w:p>
        </w:tc>
        <w:tc>
          <w:tcPr>
            <w:tcW w:w="1503" w:type="dxa"/>
            <w:tcBorders>
              <w:top w:val="nil"/>
              <w:left w:val="nil"/>
              <w:bottom w:val="nil"/>
              <w:right w:val="nil"/>
            </w:tcBorders>
            <w:shd w:val="clear" w:color="auto" w:fill="auto"/>
            <w:tcMar>
              <w:top w:w="80" w:type="dxa"/>
              <w:left w:w="80" w:type="dxa"/>
              <w:bottom w:w="80" w:type="dxa"/>
              <w:right w:w="80" w:type="dxa"/>
            </w:tcMar>
          </w:tcPr>
          <w:p w14:paraId="2B3CFF2D"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21,00±0,06</w:t>
            </w:r>
            <w:r w:rsidRPr="00AD5781">
              <w:rPr>
                <w:rFonts w:ascii="Arial" w:hAnsi="Arial" w:cs="Arial"/>
                <w:sz w:val="16"/>
                <w:szCs w:val="16"/>
                <w:vertAlign w:val="superscript"/>
              </w:rPr>
              <w:t>a</w:t>
            </w:r>
          </w:p>
        </w:tc>
        <w:tc>
          <w:tcPr>
            <w:tcW w:w="1812" w:type="dxa"/>
            <w:tcBorders>
              <w:top w:val="nil"/>
              <w:left w:val="nil"/>
              <w:bottom w:val="nil"/>
              <w:right w:val="nil"/>
            </w:tcBorders>
            <w:shd w:val="clear" w:color="auto" w:fill="auto"/>
            <w:tcMar>
              <w:top w:w="80" w:type="dxa"/>
              <w:left w:w="80" w:type="dxa"/>
              <w:bottom w:w="80" w:type="dxa"/>
              <w:right w:w="80" w:type="dxa"/>
            </w:tcMar>
          </w:tcPr>
          <w:p w14:paraId="5E16332B"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19,12±0,05</w:t>
            </w:r>
            <w:r w:rsidRPr="00AD5781">
              <w:rPr>
                <w:rFonts w:ascii="Arial" w:hAnsi="Arial" w:cs="Arial"/>
                <w:sz w:val="16"/>
                <w:szCs w:val="16"/>
                <w:vertAlign w:val="superscript"/>
              </w:rPr>
              <w:t>b</w:t>
            </w:r>
          </w:p>
        </w:tc>
      </w:tr>
      <w:tr w:rsidR="00AE72D7" w:rsidRPr="00AD5781" w14:paraId="567991B8" w14:textId="77777777">
        <w:trPr>
          <w:trHeight w:val="232"/>
        </w:trPr>
        <w:tc>
          <w:tcPr>
            <w:tcW w:w="2477" w:type="dxa"/>
            <w:tcBorders>
              <w:top w:val="nil"/>
              <w:left w:val="nil"/>
              <w:bottom w:val="nil"/>
              <w:right w:val="nil"/>
            </w:tcBorders>
            <w:shd w:val="clear" w:color="auto" w:fill="auto"/>
            <w:tcMar>
              <w:top w:w="80" w:type="dxa"/>
              <w:left w:w="80" w:type="dxa"/>
              <w:bottom w:w="80" w:type="dxa"/>
              <w:right w:w="80" w:type="dxa"/>
            </w:tcMar>
          </w:tcPr>
          <w:p w14:paraId="205D3343" w14:textId="77777777" w:rsidR="00AE72D7" w:rsidRPr="00AD5781" w:rsidRDefault="007F10CE">
            <w:pPr>
              <w:suppressAutoHyphens/>
              <w:jc w:val="both"/>
              <w:rPr>
                <w:rFonts w:ascii="Arial" w:hAnsi="Arial" w:cs="Arial"/>
                <w:sz w:val="16"/>
                <w:szCs w:val="16"/>
              </w:rPr>
            </w:pPr>
            <w:r w:rsidRPr="00AD5781">
              <w:rPr>
                <w:rFonts w:ascii="Arial" w:hAnsi="Arial" w:cs="Arial"/>
                <w:sz w:val="16"/>
                <w:szCs w:val="16"/>
              </w:rPr>
              <w:t>Lee</w:t>
            </w:r>
            <w:r w:rsidRPr="00AD5781">
              <w:rPr>
                <w:rFonts w:ascii="Arial" w:hAnsi="Arial" w:cs="Arial"/>
                <w:sz w:val="16"/>
                <w:szCs w:val="16"/>
                <w:lang w:val="pt-PT"/>
              </w:rPr>
              <w:t xml:space="preserve"> Index</w:t>
            </w:r>
          </w:p>
        </w:tc>
        <w:tc>
          <w:tcPr>
            <w:tcW w:w="1252" w:type="dxa"/>
            <w:tcBorders>
              <w:top w:val="nil"/>
              <w:left w:val="nil"/>
              <w:bottom w:val="nil"/>
              <w:right w:val="nil"/>
            </w:tcBorders>
            <w:shd w:val="clear" w:color="auto" w:fill="auto"/>
            <w:tcMar>
              <w:top w:w="80" w:type="dxa"/>
              <w:left w:w="80" w:type="dxa"/>
              <w:bottom w:w="80" w:type="dxa"/>
              <w:right w:w="80" w:type="dxa"/>
            </w:tcMar>
          </w:tcPr>
          <w:p w14:paraId="32845DD8"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312,14±0,73</w:t>
            </w:r>
          </w:p>
        </w:tc>
        <w:tc>
          <w:tcPr>
            <w:tcW w:w="1253" w:type="dxa"/>
            <w:tcBorders>
              <w:top w:val="nil"/>
              <w:left w:val="nil"/>
              <w:bottom w:val="nil"/>
              <w:right w:val="nil"/>
            </w:tcBorders>
            <w:shd w:val="clear" w:color="auto" w:fill="auto"/>
            <w:tcMar>
              <w:top w:w="80" w:type="dxa"/>
              <w:left w:w="80" w:type="dxa"/>
              <w:bottom w:w="80" w:type="dxa"/>
              <w:right w:w="80" w:type="dxa"/>
            </w:tcMar>
          </w:tcPr>
          <w:p w14:paraId="1B10EC68"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328,73±1,16</w:t>
            </w:r>
            <w:r w:rsidRPr="00AD5781">
              <w:rPr>
                <w:rFonts w:ascii="Arial" w:hAnsi="Arial" w:cs="Arial"/>
                <w:sz w:val="16"/>
                <w:szCs w:val="16"/>
                <w:vertAlign w:val="superscript"/>
              </w:rPr>
              <w:t>b</w:t>
            </w:r>
          </w:p>
        </w:tc>
        <w:tc>
          <w:tcPr>
            <w:tcW w:w="1503" w:type="dxa"/>
            <w:tcBorders>
              <w:top w:val="nil"/>
              <w:left w:val="nil"/>
              <w:bottom w:val="nil"/>
              <w:right w:val="nil"/>
            </w:tcBorders>
            <w:shd w:val="clear" w:color="auto" w:fill="auto"/>
            <w:tcMar>
              <w:top w:w="80" w:type="dxa"/>
              <w:left w:w="80" w:type="dxa"/>
              <w:bottom w:w="80" w:type="dxa"/>
              <w:right w:w="80" w:type="dxa"/>
            </w:tcMar>
          </w:tcPr>
          <w:p w14:paraId="734A0973"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320,08±0,67</w:t>
            </w:r>
            <w:r w:rsidRPr="00AD5781">
              <w:rPr>
                <w:rFonts w:ascii="Arial" w:hAnsi="Arial" w:cs="Arial"/>
                <w:sz w:val="16"/>
                <w:szCs w:val="16"/>
                <w:vertAlign w:val="superscript"/>
              </w:rPr>
              <w:t>a</w:t>
            </w:r>
          </w:p>
        </w:tc>
        <w:tc>
          <w:tcPr>
            <w:tcW w:w="1812" w:type="dxa"/>
            <w:tcBorders>
              <w:top w:val="nil"/>
              <w:left w:val="nil"/>
              <w:bottom w:val="nil"/>
              <w:right w:val="nil"/>
            </w:tcBorders>
            <w:shd w:val="clear" w:color="auto" w:fill="auto"/>
            <w:tcMar>
              <w:top w:w="80" w:type="dxa"/>
              <w:left w:w="80" w:type="dxa"/>
              <w:bottom w:w="80" w:type="dxa"/>
              <w:right w:w="80" w:type="dxa"/>
            </w:tcMar>
          </w:tcPr>
          <w:p w14:paraId="7A597F67"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328,50±0,40</w:t>
            </w:r>
            <w:r w:rsidRPr="00AD5781">
              <w:rPr>
                <w:rFonts w:ascii="Arial" w:hAnsi="Arial" w:cs="Arial"/>
                <w:sz w:val="16"/>
                <w:szCs w:val="16"/>
                <w:vertAlign w:val="superscript"/>
              </w:rPr>
              <w:t>b</w:t>
            </w:r>
          </w:p>
        </w:tc>
      </w:tr>
      <w:tr w:rsidR="00AE72D7" w:rsidRPr="00AD5781" w14:paraId="48DBCAD3" w14:textId="77777777">
        <w:trPr>
          <w:trHeight w:val="232"/>
        </w:trPr>
        <w:tc>
          <w:tcPr>
            <w:tcW w:w="2477" w:type="dxa"/>
            <w:tcBorders>
              <w:top w:val="nil"/>
              <w:left w:val="nil"/>
              <w:bottom w:val="nil"/>
              <w:right w:val="nil"/>
            </w:tcBorders>
            <w:shd w:val="clear" w:color="auto" w:fill="auto"/>
            <w:tcMar>
              <w:top w:w="80" w:type="dxa"/>
              <w:left w:w="80" w:type="dxa"/>
              <w:bottom w:w="80" w:type="dxa"/>
              <w:right w:w="80" w:type="dxa"/>
            </w:tcMar>
          </w:tcPr>
          <w:p w14:paraId="10D83110" w14:textId="77777777" w:rsidR="00AE72D7" w:rsidRPr="00AD5781" w:rsidRDefault="007F10CE">
            <w:pPr>
              <w:suppressAutoHyphens/>
              <w:jc w:val="both"/>
              <w:rPr>
                <w:rFonts w:ascii="Arial" w:hAnsi="Arial" w:cs="Arial"/>
                <w:sz w:val="16"/>
                <w:szCs w:val="16"/>
              </w:rPr>
            </w:pPr>
            <w:r w:rsidRPr="00AD5781">
              <w:rPr>
                <w:rFonts w:ascii="Arial" w:hAnsi="Arial" w:cs="Arial"/>
                <w:sz w:val="16"/>
                <w:szCs w:val="16"/>
              </w:rPr>
              <w:t>Retroperitoneal</w:t>
            </w:r>
            <w:r w:rsidRPr="00AD5781">
              <w:rPr>
                <w:rFonts w:ascii="Arial" w:hAnsi="Arial" w:cs="Arial"/>
                <w:sz w:val="16"/>
                <w:szCs w:val="16"/>
                <w:lang w:val="pt-PT"/>
              </w:rPr>
              <w:t xml:space="preserve"> fat</w:t>
            </w:r>
            <w:r w:rsidRPr="00AD5781">
              <w:rPr>
                <w:rFonts w:ascii="Arial" w:hAnsi="Arial" w:cs="Arial"/>
                <w:sz w:val="16"/>
                <w:szCs w:val="16"/>
              </w:rPr>
              <w:t xml:space="preserve"> (g/100g)</w:t>
            </w:r>
          </w:p>
        </w:tc>
        <w:tc>
          <w:tcPr>
            <w:tcW w:w="1252" w:type="dxa"/>
            <w:tcBorders>
              <w:top w:val="nil"/>
              <w:left w:val="nil"/>
              <w:bottom w:val="nil"/>
              <w:right w:val="nil"/>
            </w:tcBorders>
            <w:shd w:val="clear" w:color="auto" w:fill="auto"/>
            <w:tcMar>
              <w:top w:w="80" w:type="dxa"/>
              <w:left w:w="80" w:type="dxa"/>
              <w:bottom w:w="80" w:type="dxa"/>
              <w:right w:w="80" w:type="dxa"/>
            </w:tcMar>
          </w:tcPr>
          <w:p w14:paraId="50DEF7E5"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0,66±0,06</w:t>
            </w:r>
            <w:r w:rsidRPr="00AD5781">
              <w:rPr>
                <w:rFonts w:ascii="Arial" w:hAnsi="Arial" w:cs="Arial"/>
                <w:sz w:val="16"/>
                <w:szCs w:val="16"/>
                <w:vertAlign w:val="superscript"/>
              </w:rPr>
              <w:t>a</w:t>
            </w:r>
          </w:p>
        </w:tc>
        <w:tc>
          <w:tcPr>
            <w:tcW w:w="1253" w:type="dxa"/>
            <w:tcBorders>
              <w:top w:val="nil"/>
              <w:left w:val="nil"/>
              <w:bottom w:val="nil"/>
              <w:right w:val="nil"/>
            </w:tcBorders>
            <w:shd w:val="clear" w:color="auto" w:fill="auto"/>
            <w:tcMar>
              <w:top w:w="80" w:type="dxa"/>
              <w:left w:w="80" w:type="dxa"/>
              <w:bottom w:w="80" w:type="dxa"/>
              <w:right w:w="80" w:type="dxa"/>
            </w:tcMar>
          </w:tcPr>
          <w:p w14:paraId="14D8F82B"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1,58±0,14</w:t>
            </w:r>
            <w:r w:rsidRPr="00AD5781">
              <w:rPr>
                <w:rFonts w:ascii="Arial" w:hAnsi="Arial" w:cs="Arial"/>
                <w:sz w:val="16"/>
                <w:szCs w:val="16"/>
                <w:vertAlign w:val="superscript"/>
              </w:rPr>
              <w:t>b</w:t>
            </w:r>
          </w:p>
        </w:tc>
        <w:tc>
          <w:tcPr>
            <w:tcW w:w="1503" w:type="dxa"/>
            <w:tcBorders>
              <w:top w:val="nil"/>
              <w:left w:val="nil"/>
              <w:bottom w:val="nil"/>
              <w:right w:val="nil"/>
            </w:tcBorders>
            <w:shd w:val="clear" w:color="auto" w:fill="auto"/>
            <w:tcMar>
              <w:top w:w="80" w:type="dxa"/>
              <w:left w:w="80" w:type="dxa"/>
              <w:bottom w:w="80" w:type="dxa"/>
              <w:right w:w="80" w:type="dxa"/>
            </w:tcMar>
          </w:tcPr>
          <w:p w14:paraId="62B53348"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0,71±0,10</w:t>
            </w:r>
            <w:r w:rsidRPr="00AD5781">
              <w:rPr>
                <w:rFonts w:ascii="Arial" w:hAnsi="Arial" w:cs="Arial"/>
                <w:sz w:val="16"/>
                <w:szCs w:val="16"/>
                <w:vertAlign w:val="superscript"/>
              </w:rPr>
              <w:t>a</w:t>
            </w:r>
          </w:p>
        </w:tc>
        <w:tc>
          <w:tcPr>
            <w:tcW w:w="1812" w:type="dxa"/>
            <w:tcBorders>
              <w:top w:val="nil"/>
              <w:left w:val="nil"/>
              <w:bottom w:val="nil"/>
              <w:right w:val="nil"/>
            </w:tcBorders>
            <w:shd w:val="clear" w:color="auto" w:fill="auto"/>
            <w:tcMar>
              <w:top w:w="80" w:type="dxa"/>
              <w:left w:w="80" w:type="dxa"/>
              <w:bottom w:w="80" w:type="dxa"/>
              <w:right w:w="80" w:type="dxa"/>
            </w:tcMar>
          </w:tcPr>
          <w:p w14:paraId="5C7D2AB2"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1,61±0,15</w:t>
            </w:r>
            <w:r w:rsidRPr="00AD5781">
              <w:rPr>
                <w:rFonts w:ascii="Arial" w:hAnsi="Arial" w:cs="Arial"/>
                <w:sz w:val="16"/>
                <w:szCs w:val="16"/>
                <w:vertAlign w:val="superscript"/>
              </w:rPr>
              <w:t>b</w:t>
            </w:r>
          </w:p>
        </w:tc>
      </w:tr>
      <w:tr w:rsidR="00AE72D7" w:rsidRPr="00AD5781" w14:paraId="3ABAB1A2" w14:textId="77777777">
        <w:trPr>
          <w:trHeight w:val="552"/>
        </w:trPr>
        <w:tc>
          <w:tcPr>
            <w:tcW w:w="2477" w:type="dxa"/>
            <w:tcBorders>
              <w:top w:val="nil"/>
              <w:left w:val="nil"/>
              <w:bottom w:val="single" w:sz="4" w:space="0" w:color="000000"/>
              <w:right w:val="nil"/>
            </w:tcBorders>
            <w:shd w:val="clear" w:color="auto" w:fill="auto"/>
            <w:tcMar>
              <w:top w:w="80" w:type="dxa"/>
              <w:left w:w="80" w:type="dxa"/>
              <w:bottom w:w="80" w:type="dxa"/>
              <w:right w:w="80" w:type="dxa"/>
            </w:tcMar>
          </w:tcPr>
          <w:p w14:paraId="3300EA87" w14:textId="77777777" w:rsidR="00AE72D7" w:rsidRPr="00AD5781" w:rsidRDefault="007F10CE">
            <w:pPr>
              <w:suppressAutoHyphens/>
              <w:jc w:val="both"/>
              <w:rPr>
                <w:rFonts w:ascii="Arial" w:hAnsi="Arial" w:cs="Arial"/>
                <w:sz w:val="16"/>
                <w:szCs w:val="16"/>
              </w:rPr>
            </w:pPr>
            <w:r w:rsidRPr="00AD5781">
              <w:rPr>
                <w:rFonts w:ascii="Arial" w:hAnsi="Arial" w:cs="Arial"/>
                <w:sz w:val="16"/>
                <w:szCs w:val="16"/>
                <w:lang w:val="pt-PT"/>
              </w:rPr>
              <w:t>P</w:t>
            </w:r>
            <w:r w:rsidRPr="00AD5781">
              <w:rPr>
                <w:rFonts w:ascii="Arial" w:hAnsi="Arial" w:cs="Arial"/>
                <w:sz w:val="16"/>
                <w:szCs w:val="16"/>
              </w:rPr>
              <w:t>erigonadal</w:t>
            </w:r>
            <w:r w:rsidRPr="00AD5781">
              <w:rPr>
                <w:rFonts w:ascii="Arial" w:hAnsi="Arial" w:cs="Arial"/>
                <w:sz w:val="16"/>
                <w:szCs w:val="16"/>
                <w:lang w:val="pt-PT"/>
              </w:rPr>
              <w:t xml:space="preserve"> fat</w:t>
            </w:r>
            <w:r w:rsidRPr="00AD5781">
              <w:rPr>
                <w:rFonts w:ascii="Arial" w:hAnsi="Arial" w:cs="Arial"/>
                <w:sz w:val="16"/>
                <w:szCs w:val="16"/>
              </w:rPr>
              <w:t xml:space="preserve"> (g/100g)</w:t>
            </w:r>
          </w:p>
        </w:tc>
        <w:tc>
          <w:tcPr>
            <w:tcW w:w="1252" w:type="dxa"/>
            <w:tcBorders>
              <w:top w:val="nil"/>
              <w:left w:val="nil"/>
              <w:bottom w:val="single" w:sz="4" w:space="0" w:color="000000"/>
              <w:right w:val="nil"/>
            </w:tcBorders>
            <w:shd w:val="clear" w:color="auto" w:fill="auto"/>
            <w:tcMar>
              <w:top w:w="80" w:type="dxa"/>
              <w:left w:w="80" w:type="dxa"/>
              <w:bottom w:w="80" w:type="dxa"/>
              <w:right w:w="80" w:type="dxa"/>
            </w:tcMar>
          </w:tcPr>
          <w:p w14:paraId="453209C5"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0,67±0,06</w:t>
            </w:r>
            <w:r w:rsidRPr="00AD5781">
              <w:rPr>
                <w:rFonts w:ascii="Arial" w:hAnsi="Arial" w:cs="Arial"/>
                <w:sz w:val="16"/>
                <w:szCs w:val="16"/>
                <w:vertAlign w:val="superscript"/>
              </w:rPr>
              <w:t>a</w:t>
            </w:r>
          </w:p>
        </w:tc>
        <w:tc>
          <w:tcPr>
            <w:tcW w:w="1253" w:type="dxa"/>
            <w:tcBorders>
              <w:top w:val="nil"/>
              <w:left w:val="nil"/>
              <w:bottom w:val="single" w:sz="4" w:space="0" w:color="000000"/>
              <w:right w:val="nil"/>
            </w:tcBorders>
            <w:shd w:val="clear" w:color="auto" w:fill="auto"/>
            <w:tcMar>
              <w:top w:w="80" w:type="dxa"/>
              <w:left w:w="80" w:type="dxa"/>
              <w:bottom w:w="80" w:type="dxa"/>
              <w:right w:w="80" w:type="dxa"/>
            </w:tcMar>
          </w:tcPr>
          <w:p w14:paraId="2BADA468"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1,58±0,09</w:t>
            </w:r>
            <w:r w:rsidRPr="00AD5781">
              <w:rPr>
                <w:rFonts w:ascii="Arial" w:hAnsi="Arial" w:cs="Arial"/>
                <w:sz w:val="16"/>
                <w:szCs w:val="16"/>
                <w:vertAlign w:val="superscript"/>
              </w:rPr>
              <w:t>b</w:t>
            </w:r>
          </w:p>
        </w:tc>
        <w:tc>
          <w:tcPr>
            <w:tcW w:w="1503" w:type="dxa"/>
            <w:tcBorders>
              <w:top w:val="nil"/>
              <w:left w:val="nil"/>
              <w:bottom w:val="single" w:sz="4" w:space="0" w:color="000000"/>
              <w:right w:val="nil"/>
            </w:tcBorders>
            <w:shd w:val="clear" w:color="auto" w:fill="auto"/>
            <w:tcMar>
              <w:top w:w="80" w:type="dxa"/>
              <w:left w:w="80" w:type="dxa"/>
              <w:bottom w:w="80" w:type="dxa"/>
              <w:right w:w="80" w:type="dxa"/>
            </w:tcMar>
          </w:tcPr>
          <w:p w14:paraId="3F88FB74"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0,73±0,09</w:t>
            </w:r>
            <w:r w:rsidRPr="00AD5781">
              <w:rPr>
                <w:rFonts w:ascii="Arial" w:hAnsi="Arial" w:cs="Arial"/>
                <w:sz w:val="16"/>
                <w:szCs w:val="16"/>
                <w:vertAlign w:val="superscript"/>
              </w:rPr>
              <w:t>a</w:t>
            </w:r>
          </w:p>
        </w:tc>
        <w:tc>
          <w:tcPr>
            <w:tcW w:w="1812" w:type="dxa"/>
            <w:tcBorders>
              <w:top w:val="nil"/>
              <w:left w:val="nil"/>
              <w:bottom w:val="single" w:sz="4" w:space="0" w:color="000000"/>
              <w:right w:val="nil"/>
            </w:tcBorders>
            <w:shd w:val="clear" w:color="auto" w:fill="auto"/>
            <w:tcMar>
              <w:top w:w="80" w:type="dxa"/>
              <w:left w:w="80" w:type="dxa"/>
              <w:bottom w:w="80" w:type="dxa"/>
              <w:right w:w="80" w:type="dxa"/>
            </w:tcMar>
          </w:tcPr>
          <w:p w14:paraId="05236A89" w14:textId="77777777" w:rsidR="00AE72D7" w:rsidRPr="00AD5781" w:rsidRDefault="007F10CE">
            <w:pPr>
              <w:suppressAutoHyphens/>
              <w:jc w:val="center"/>
              <w:rPr>
                <w:rFonts w:ascii="Arial" w:hAnsi="Arial" w:cs="Arial"/>
                <w:sz w:val="16"/>
                <w:szCs w:val="16"/>
              </w:rPr>
            </w:pPr>
            <w:r w:rsidRPr="00AD5781">
              <w:rPr>
                <w:rFonts w:ascii="Arial" w:hAnsi="Arial" w:cs="Arial"/>
                <w:sz w:val="16"/>
                <w:szCs w:val="16"/>
              </w:rPr>
              <w:t>1,72±0,10</w:t>
            </w:r>
            <w:r w:rsidRPr="00AD5781">
              <w:rPr>
                <w:rFonts w:ascii="Arial" w:hAnsi="Arial" w:cs="Arial"/>
                <w:sz w:val="16"/>
                <w:szCs w:val="16"/>
                <w:vertAlign w:val="superscript"/>
              </w:rPr>
              <w:t>b</w:t>
            </w:r>
          </w:p>
        </w:tc>
      </w:tr>
    </w:tbl>
    <w:p w14:paraId="273D5F9B" w14:textId="77777777" w:rsidR="00AE72D7" w:rsidRPr="00AD5781" w:rsidRDefault="00AE72D7">
      <w:pPr>
        <w:widowControl w:val="0"/>
        <w:jc w:val="both"/>
        <w:rPr>
          <w:rFonts w:ascii="Arial" w:eastAsia="Times New Roman" w:hAnsi="Arial" w:cs="Arial"/>
        </w:rPr>
      </w:pPr>
    </w:p>
    <w:p w14:paraId="78898948" w14:textId="77777777" w:rsidR="00AE72D7" w:rsidRPr="00AD5781" w:rsidRDefault="007F10CE">
      <w:pPr>
        <w:pStyle w:val="NormalWeb"/>
        <w:jc w:val="both"/>
        <w:rPr>
          <w:rFonts w:ascii="Arial" w:hAnsi="Arial" w:cs="Arial"/>
        </w:rPr>
      </w:pPr>
      <w:r w:rsidRPr="00AD5781">
        <w:rPr>
          <w:rFonts w:ascii="Arial" w:hAnsi="Arial" w:cs="Arial"/>
        </w:rPr>
        <w:t xml:space="preserve">Values expressed as mean ± standard error. N = 10 animals/group. Analysis of variance (ANOVA), </w:t>
      </w:r>
      <w:r w:rsidRPr="00AD5781">
        <w:rPr>
          <w:rFonts w:ascii="Arial" w:hAnsi="Arial" w:cs="Arial"/>
          <w:lang w:val="pt-PT"/>
        </w:rPr>
        <w:t>w</w:t>
      </w:r>
      <w:r w:rsidRPr="00AD5781">
        <w:rPr>
          <w:rFonts w:ascii="Arial" w:hAnsi="Arial" w:cs="Arial"/>
        </w:rPr>
        <w:t xml:space="preserve">ith Tukey's post-test. In the same row, values followed by different letters (a, b) indicate statistically </w:t>
      </w:r>
      <w:r w:rsidRPr="00AD5781">
        <w:rPr>
          <w:rFonts w:ascii="Arial" w:hAnsi="Arial" w:cs="Arial"/>
          <w:lang w:val="pt-PT"/>
        </w:rPr>
        <w:t>s</w:t>
      </w:r>
      <w:r w:rsidRPr="00AD5781">
        <w:rPr>
          <w:rFonts w:ascii="Arial" w:hAnsi="Arial" w:cs="Arial"/>
        </w:rPr>
        <w:t>ignificant differences between groups (P&lt;0.05).</w:t>
      </w:r>
    </w:p>
    <w:p w14:paraId="4F649667" w14:textId="77777777" w:rsidR="00AE72D7" w:rsidRPr="00AD5781" w:rsidRDefault="00AE72D7">
      <w:pPr>
        <w:pStyle w:val="NormalWeb"/>
        <w:jc w:val="both"/>
        <w:rPr>
          <w:rFonts w:ascii="Arial" w:eastAsia="Times New Roman" w:hAnsi="Arial" w:cs="Arial"/>
        </w:rPr>
      </w:pPr>
    </w:p>
    <w:p w14:paraId="60EAC203" w14:textId="77777777" w:rsidR="00AE72D7" w:rsidRPr="00AD5781" w:rsidRDefault="00AE72D7">
      <w:pPr>
        <w:pStyle w:val="NormalWeb"/>
        <w:jc w:val="both"/>
        <w:rPr>
          <w:rFonts w:ascii="Arial" w:eastAsia="Times New Roman" w:hAnsi="Arial" w:cs="Arial"/>
        </w:rPr>
      </w:pPr>
    </w:p>
    <w:p w14:paraId="4868871D" w14:textId="77777777" w:rsidR="005F694F" w:rsidRPr="00AD5781" w:rsidRDefault="005F694F">
      <w:pPr>
        <w:pStyle w:val="NormalWeb"/>
        <w:jc w:val="both"/>
        <w:rPr>
          <w:rFonts w:ascii="Arial" w:eastAsia="Times New Roman" w:hAnsi="Arial" w:cs="Arial"/>
        </w:rPr>
      </w:pPr>
    </w:p>
    <w:p w14:paraId="2921C9B4" w14:textId="77777777" w:rsidR="00AE72D7" w:rsidRPr="00AD5781" w:rsidRDefault="00AE72D7">
      <w:pPr>
        <w:pStyle w:val="NormalWeb"/>
        <w:jc w:val="both"/>
        <w:rPr>
          <w:rFonts w:ascii="Arial" w:eastAsia="Times New Roman" w:hAnsi="Arial" w:cs="Arial"/>
        </w:rPr>
      </w:pPr>
    </w:p>
    <w:p w14:paraId="1043C55A"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3.2 Analysis of Dental Movement</w:t>
      </w:r>
    </w:p>
    <w:p w14:paraId="12F6C1B3" w14:textId="77777777" w:rsidR="00AE72D7" w:rsidRPr="00AD5781" w:rsidRDefault="007F10CE">
      <w:pPr>
        <w:pStyle w:val="NormalWeb"/>
        <w:spacing w:line="480" w:lineRule="auto"/>
        <w:jc w:val="both"/>
        <w:rPr>
          <w:rFonts w:ascii="Arial" w:hAnsi="Arial" w:cs="Arial"/>
        </w:rPr>
      </w:pPr>
      <w:r w:rsidRPr="00AD5781">
        <w:rPr>
          <w:rFonts w:ascii="Arial" w:eastAsia="Times New Roman" w:hAnsi="Arial" w:cs="Arial"/>
          <w:lang w:val="pt-PT"/>
        </w:rPr>
        <w:tab/>
      </w:r>
      <w:r w:rsidRPr="00AD5781">
        <w:rPr>
          <w:rFonts w:ascii="Arial" w:hAnsi="Arial" w:cs="Arial"/>
        </w:rPr>
        <w:t>Obese animals in the MSG+ITM group exhibited a significantly lower dental movement rate compared to non-obese animals in the CTL+ITM group (P &lt; 0.05) (Table 2).</w:t>
      </w:r>
    </w:p>
    <w:p w14:paraId="1F71A5C1" w14:textId="77777777" w:rsidR="00AE72D7" w:rsidRPr="00AD5781" w:rsidRDefault="00AE72D7">
      <w:pPr>
        <w:pStyle w:val="NormalWeb"/>
        <w:spacing w:line="360" w:lineRule="auto"/>
        <w:jc w:val="both"/>
        <w:rPr>
          <w:rFonts w:ascii="Arial" w:eastAsia="Times New Roman" w:hAnsi="Arial" w:cs="Arial"/>
        </w:rPr>
      </w:pPr>
    </w:p>
    <w:p w14:paraId="65F099A7" w14:textId="77777777" w:rsidR="00AE72D7" w:rsidRPr="00AD5781" w:rsidRDefault="007F10CE">
      <w:pPr>
        <w:pStyle w:val="NormalWeb"/>
        <w:spacing w:line="360" w:lineRule="auto"/>
        <w:jc w:val="both"/>
        <w:rPr>
          <w:rFonts w:ascii="Arial" w:eastAsia="SimSun" w:hAnsi="Arial" w:cs="Arial"/>
        </w:rPr>
      </w:pPr>
      <w:r w:rsidRPr="00AD5781">
        <w:rPr>
          <w:rFonts w:ascii="Arial" w:hAnsi="Arial" w:cs="Arial"/>
          <w:b/>
          <w:bCs/>
        </w:rPr>
        <w:t>Table 2.</w:t>
      </w:r>
      <w:r w:rsidRPr="00AD5781">
        <w:rPr>
          <w:rFonts w:ascii="Arial" w:hAnsi="Arial" w:cs="Arial"/>
        </w:rPr>
        <w:t xml:space="preserve"> Dental Movement Rate of the Different Experimental Groups.</w:t>
      </w:r>
    </w:p>
    <w:tbl>
      <w:tblPr>
        <w:tblStyle w:val="TableNormal1"/>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2"/>
        <w:gridCol w:w="6318"/>
      </w:tblGrid>
      <w:tr w:rsidR="00AE72D7" w:rsidRPr="00AD5781" w14:paraId="145CEF16" w14:textId="77777777">
        <w:trPr>
          <w:trHeight w:val="300"/>
        </w:trPr>
        <w:tc>
          <w:tcPr>
            <w:tcW w:w="1982" w:type="dxa"/>
            <w:tcBorders>
              <w:top w:val="single" w:sz="4" w:space="0" w:color="000000"/>
              <w:left w:val="nil"/>
              <w:bottom w:val="single" w:sz="4" w:space="0" w:color="000000"/>
              <w:right w:val="nil"/>
            </w:tcBorders>
            <w:shd w:val="clear" w:color="auto" w:fill="auto"/>
            <w:tcMar>
              <w:top w:w="80" w:type="dxa"/>
              <w:left w:w="312" w:type="dxa"/>
              <w:bottom w:w="80" w:type="dxa"/>
              <w:right w:w="80" w:type="dxa"/>
            </w:tcMar>
          </w:tcPr>
          <w:p w14:paraId="5A4392E1" w14:textId="77777777" w:rsidR="00AE72D7" w:rsidRPr="00AD5781" w:rsidRDefault="007F10CE">
            <w:pPr>
              <w:spacing w:line="360" w:lineRule="auto"/>
              <w:ind w:left="232" w:hanging="11"/>
              <w:jc w:val="center"/>
              <w:rPr>
                <w:rFonts w:ascii="Arial" w:hAnsi="Arial" w:cs="Arial"/>
              </w:rPr>
            </w:pPr>
            <w:r w:rsidRPr="00AD5781">
              <w:rPr>
                <w:rFonts w:ascii="Arial" w:hAnsi="Arial" w:cs="Arial"/>
                <w:b/>
                <w:bCs/>
              </w:rPr>
              <w:t>GR</w:t>
            </w:r>
            <w:r w:rsidRPr="00AD5781">
              <w:rPr>
                <w:rFonts w:ascii="Arial" w:hAnsi="Arial" w:cs="Arial"/>
                <w:b/>
                <w:bCs/>
                <w:lang w:val="pt-PT"/>
              </w:rPr>
              <w:t>O</w:t>
            </w:r>
            <w:r w:rsidRPr="00AD5781">
              <w:rPr>
                <w:rFonts w:ascii="Arial" w:hAnsi="Arial" w:cs="Arial"/>
                <w:b/>
                <w:bCs/>
              </w:rPr>
              <w:t xml:space="preserve">UPS </w:t>
            </w:r>
          </w:p>
        </w:tc>
        <w:tc>
          <w:tcPr>
            <w:tcW w:w="6317" w:type="dxa"/>
            <w:tcBorders>
              <w:top w:val="single" w:sz="4" w:space="0" w:color="000000"/>
              <w:left w:val="nil"/>
              <w:bottom w:val="single" w:sz="4" w:space="0" w:color="000000"/>
              <w:right w:val="nil"/>
            </w:tcBorders>
            <w:shd w:val="clear" w:color="auto" w:fill="auto"/>
            <w:tcMar>
              <w:top w:w="80" w:type="dxa"/>
              <w:left w:w="312" w:type="dxa"/>
              <w:bottom w:w="80" w:type="dxa"/>
              <w:right w:w="80" w:type="dxa"/>
            </w:tcMar>
          </w:tcPr>
          <w:p w14:paraId="6D669B33" w14:textId="77777777" w:rsidR="00AE72D7" w:rsidRPr="00AD5781" w:rsidRDefault="007F10CE">
            <w:pPr>
              <w:spacing w:line="360" w:lineRule="auto"/>
              <w:ind w:left="232" w:hanging="11"/>
              <w:jc w:val="center"/>
              <w:rPr>
                <w:rFonts w:ascii="Arial" w:hAnsi="Arial" w:cs="Arial"/>
              </w:rPr>
            </w:pPr>
            <w:r w:rsidRPr="00AD5781">
              <w:rPr>
                <w:rFonts w:ascii="Arial" w:hAnsi="Arial" w:cs="Arial"/>
                <w:b/>
                <w:bCs/>
              </w:rPr>
              <w:t>DENTAL MOVEMENT RATE (mm)</w:t>
            </w:r>
          </w:p>
        </w:tc>
      </w:tr>
      <w:tr w:rsidR="00AE72D7" w:rsidRPr="00AD5781" w14:paraId="23541393" w14:textId="77777777">
        <w:trPr>
          <w:trHeight w:val="305"/>
        </w:trPr>
        <w:tc>
          <w:tcPr>
            <w:tcW w:w="1982" w:type="dxa"/>
            <w:tcBorders>
              <w:top w:val="single" w:sz="4" w:space="0" w:color="000000"/>
              <w:left w:val="nil"/>
              <w:bottom w:val="nil"/>
              <w:right w:val="nil"/>
            </w:tcBorders>
            <w:shd w:val="clear" w:color="auto" w:fill="auto"/>
            <w:tcMar>
              <w:top w:w="80" w:type="dxa"/>
              <w:left w:w="312" w:type="dxa"/>
              <w:bottom w:w="80" w:type="dxa"/>
              <w:right w:w="80" w:type="dxa"/>
            </w:tcMar>
          </w:tcPr>
          <w:p w14:paraId="4C4CE6B3" w14:textId="77777777" w:rsidR="00AE72D7" w:rsidRPr="00AD5781" w:rsidRDefault="007F10CE">
            <w:pPr>
              <w:ind w:left="232" w:hanging="11"/>
              <w:jc w:val="center"/>
              <w:rPr>
                <w:rFonts w:ascii="Arial" w:hAnsi="Arial" w:cs="Arial"/>
              </w:rPr>
            </w:pPr>
            <w:r w:rsidRPr="00AD5781">
              <w:rPr>
                <w:rFonts w:ascii="Arial" w:hAnsi="Arial" w:cs="Arial"/>
              </w:rPr>
              <w:t>CTL+ITM</w:t>
            </w:r>
          </w:p>
        </w:tc>
        <w:tc>
          <w:tcPr>
            <w:tcW w:w="6317" w:type="dxa"/>
            <w:tcBorders>
              <w:top w:val="single" w:sz="4" w:space="0" w:color="000000"/>
              <w:left w:val="nil"/>
              <w:bottom w:val="nil"/>
              <w:right w:val="nil"/>
            </w:tcBorders>
            <w:shd w:val="clear" w:color="auto" w:fill="auto"/>
            <w:tcMar>
              <w:top w:w="80" w:type="dxa"/>
              <w:left w:w="312" w:type="dxa"/>
              <w:bottom w:w="80" w:type="dxa"/>
              <w:right w:w="80" w:type="dxa"/>
            </w:tcMar>
          </w:tcPr>
          <w:p w14:paraId="3D3B3459" w14:textId="77777777" w:rsidR="00AE72D7" w:rsidRPr="00AD5781" w:rsidRDefault="007F10CE">
            <w:pPr>
              <w:ind w:left="232" w:hanging="11"/>
              <w:jc w:val="center"/>
              <w:rPr>
                <w:rFonts w:ascii="Arial" w:hAnsi="Arial" w:cs="Arial"/>
              </w:rPr>
            </w:pPr>
            <w:r w:rsidRPr="00AD5781">
              <w:rPr>
                <w:rFonts w:ascii="Arial" w:hAnsi="Arial" w:cs="Arial"/>
              </w:rPr>
              <w:t>0,18±1,05</w:t>
            </w:r>
            <w:r w:rsidRPr="00AD5781">
              <w:rPr>
                <w:rFonts w:ascii="Arial" w:hAnsi="Arial" w:cs="Arial"/>
                <w:vertAlign w:val="superscript"/>
              </w:rPr>
              <w:t>a</w:t>
            </w:r>
          </w:p>
        </w:tc>
      </w:tr>
      <w:tr w:rsidR="00AE72D7" w:rsidRPr="00AD5781" w14:paraId="4C757EE9" w14:textId="77777777">
        <w:trPr>
          <w:trHeight w:val="305"/>
        </w:trPr>
        <w:tc>
          <w:tcPr>
            <w:tcW w:w="1982" w:type="dxa"/>
            <w:tcBorders>
              <w:top w:val="nil"/>
              <w:left w:val="nil"/>
              <w:bottom w:val="single" w:sz="4" w:space="0" w:color="000000"/>
              <w:right w:val="nil"/>
            </w:tcBorders>
            <w:shd w:val="clear" w:color="auto" w:fill="auto"/>
            <w:tcMar>
              <w:top w:w="80" w:type="dxa"/>
              <w:left w:w="312" w:type="dxa"/>
              <w:bottom w:w="80" w:type="dxa"/>
              <w:right w:w="80" w:type="dxa"/>
            </w:tcMar>
          </w:tcPr>
          <w:p w14:paraId="6B7FAEB0" w14:textId="77777777" w:rsidR="00AE72D7" w:rsidRPr="00AD5781" w:rsidRDefault="007F10CE">
            <w:pPr>
              <w:ind w:left="232" w:hanging="11"/>
              <w:jc w:val="center"/>
              <w:rPr>
                <w:rFonts w:ascii="Arial" w:hAnsi="Arial" w:cs="Arial"/>
              </w:rPr>
            </w:pPr>
            <w:r w:rsidRPr="00AD5781">
              <w:rPr>
                <w:rFonts w:ascii="Arial" w:hAnsi="Arial" w:cs="Arial"/>
              </w:rPr>
              <w:t>MSG+ITM</w:t>
            </w:r>
          </w:p>
        </w:tc>
        <w:tc>
          <w:tcPr>
            <w:tcW w:w="6317" w:type="dxa"/>
            <w:tcBorders>
              <w:top w:val="nil"/>
              <w:left w:val="nil"/>
              <w:bottom w:val="single" w:sz="4" w:space="0" w:color="000000"/>
              <w:right w:val="nil"/>
            </w:tcBorders>
            <w:shd w:val="clear" w:color="auto" w:fill="auto"/>
            <w:tcMar>
              <w:top w:w="80" w:type="dxa"/>
              <w:left w:w="312" w:type="dxa"/>
              <w:bottom w:w="80" w:type="dxa"/>
              <w:right w:w="80" w:type="dxa"/>
            </w:tcMar>
          </w:tcPr>
          <w:p w14:paraId="1C5D904C" w14:textId="77777777" w:rsidR="00AE72D7" w:rsidRPr="00AD5781" w:rsidRDefault="007F10CE">
            <w:pPr>
              <w:ind w:left="232" w:hanging="11"/>
              <w:jc w:val="center"/>
              <w:rPr>
                <w:rFonts w:ascii="Arial" w:hAnsi="Arial" w:cs="Arial"/>
              </w:rPr>
            </w:pPr>
            <w:r w:rsidRPr="00AD5781">
              <w:rPr>
                <w:rFonts w:ascii="Arial" w:hAnsi="Arial" w:cs="Arial"/>
              </w:rPr>
              <w:t>0,15±0,96</w:t>
            </w:r>
            <w:r w:rsidRPr="00AD5781">
              <w:rPr>
                <w:rFonts w:ascii="Arial" w:hAnsi="Arial" w:cs="Arial"/>
                <w:vertAlign w:val="superscript"/>
              </w:rPr>
              <w:t>b</w:t>
            </w:r>
          </w:p>
        </w:tc>
      </w:tr>
    </w:tbl>
    <w:p w14:paraId="52929F8A" w14:textId="77777777" w:rsidR="00AE72D7" w:rsidRPr="00AD5781" w:rsidRDefault="00AE72D7">
      <w:pPr>
        <w:pStyle w:val="NormalWeb"/>
        <w:widowControl w:val="0"/>
        <w:jc w:val="both"/>
        <w:rPr>
          <w:rFonts w:ascii="Arial" w:eastAsia="SimSun" w:hAnsi="Arial" w:cs="Arial"/>
        </w:rPr>
      </w:pPr>
    </w:p>
    <w:p w14:paraId="5DFF4460" w14:textId="77777777" w:rsidR="00AE72D7" w:rsidRPr="00AD5781" w:rsidRDefault="007F10CE">
      <w:pPr>
        <w:pStyle w:val="NormalWeb"/>
        <w:jc w:val="both"/>
        <w:rPr>
          <w:rFonts w:ascii="Arial" w:hAnsi="Arial" w:cs="Arial"/>
        </w:rPr>
      </w:pPr>
      <w:r w:rsidRPr="00AD5781">
        <w:rPr>
          <w:rFonts w:ascii="Arial" w:hAnsi="Arial" w:cs="Arial"/>
        </w:rPr>
        <w:t>Values expressed as mean ± standard deviation. N = 10 animals/group. Student's t-test. Different letters (a, b) indicate P&lt;0.05.</w:t>
      </w:r>
    </w:p>
    <w:p w14:paraId="24EF0F83" w14:textId="77777777" w:rsidR="00AE72D7" w:rsidRPr="00AD5781" w:rsidRDefault="00AE72D7">
      <w:pPr>
        <w:pStyle w:val="NormalWeb"/>
        <w:jc w:val="both"/>
        <w:rPr>
          <w:rFonts w:ascii="Arial" w:eastAsia="Times New Roman" w:hAnsi="Arial" w:cs="Arial"/>
        </w:rPr>
      </w:pPr>
    </w:p>
    <w:p w14:paraId="0232D901" w14:textId="77777777" w:rsidR="00AE72D7" w:rsidRPr="00AD5781" w:rsidRDefault="00AE72D7">
      <w:pPr>
        <w:pStyle w:val="NormalWeb"/>
        <w:jc w:val="both"/>
        <w:rPr>
          <w:rFonts w:ascii="Arial" w:eastAsia="Times New Roman" w:hAnsi="Arial" w:cs="Arial"/>
        </w:rPr>
      </w:pPr>
    </w:p>
    <w:p w14:paraId="73BBA89E" w14:textId="77777777" w:rsidR="00AE72D7" w:rsidRPr="00AD5781" w:rsidRDefault="00AE72D7">
      <w:pPr>
        <w:pStyle w:val="NormalWeb"/>
        <w:jc w:val="both"/>
        <w:rPr>
          <w:rFonts w:ascii="Arial" w:eastAsia="Times New Roman" w:hAnsi="Arial" w:cs="Arial"/>
        </w:rPr>
      </w:pPr>
    </w:p>
    <w:p w14:paraId="0140AA85" w14:textId="77777777" w:rsidR="00AE72D7" w:rsidRPr="00AD5781" w:rsidRDefault="007F10CE">
      <w:pPr>
        <w:pStyle w:val="NormalWeb"/>
        <w:spacing w:line="480" w:lineRule="auto"/>
        <w:jc w:val="both"/>
        <w:rPr>
          <w:rFonts w:ascii="Arial" w:hAnsi="Arial" w:cs="Arial"/>
          <w:b/>
          <w:bCs/>
        </w:rPr>
      </w:pPr>
      <w:r w:rsidRPr="00AD5781">
        <w:rPr>
          <w:rFonts w:ascii="Arial" w:hAnsi="Arial" w:cs="Arial"/>
          <w:b/>
          <w:bCs/>
        </w:rPr>
        <w:t>3.3 Descriptive Analysis of Pulpal Structure</w:t>
      </w:r>
    </w:p>
    <w:p w14:paraId="28DA50C3" w14:textId="77777777" w:rsidR="00AE72D7" w:rsidRPr="00AD5781" w:rsidRDefault="007F10CE">
      <w:pPr>
        <w:pStyle w:val="NormalWeb"/>
        <w:spacing w:line="480" w:lineRule="auto"/>
        <w:jc w:val="both"/>
        <w:rPr>
          <w:rFonts w:ascii="Arial" w:eastAsia="Times New Roman" w:hAnsi="Arial" w:cs="Arial"/>
        </w:rPr>
      </w:pPr>
      <w:r w:rsidRPr="00AD5781">
        <w:rPr>
          <w:rFonts w:ascii="Arial" w:eastAsia="Times New Roman" w:hAnsi="Arial" w:cs="Arial"/>
          <w:lang w:val="pt-PT"/>
        </w:rPr>
        <w:lastRenderedPageBreak/>
        <w:tab/>
      </w:r>
      <w:r w:rsidRPr="00AD5781">
        <w:rPr>
          <w:rFonts w:ascii="Arial" w:hAnsi="Arial" w:cs="Arial"/>
        </w:rPr>
        <w:t>Histological analysis of the pulpal tissue in the control group (CTL) revealed uniform pulp morphology, intact blood vessels, a non-thickened predentin and odontoblastic layer, as well as normal and organized pulp cells (Table 3, Fig. 1A).</w:t>
      </w:r>
    </w:p>
    <w:p w14:paraId="5A591544" w14:textId="77777777" w:rsidR="00AE72D7" w:rsidRPr="00AD5781" w:rsidRDefault="007F10CE">
      <w:pPr>
        <w:pStyle w:val="NormalWeb"/>
        <w:spacing w:line="480" w:lineRule="auto"/>
        <w:jc w:val="both"/>
        <w:rPr>
          <w:rFonts w:ascii="Arial" w:eastAsia="Times New Roman" w:hAnsi="Arial" w:cs="Arial"/>
        </w:rPr>
      </w:pPr>
      <w:r w:rsidRPr="00AD5781">
        <w:rPr>
          <w:rFonts w:ascii="Arial" w:hAnsi="Arial" w:cs="Arial"/>
        </w:rPr>
        <w:t>No fibrosis, pulp nodules, or necrosis were observed in any of the experimental groups.</w:t>
      </w:r>
    </w:p>
    <w:p w14:paraId="2691C189" w14:textId="77777777" w:rsidR="00AE72D7" w:rsidRPr="00AD5781" w:rsidRDefault="007F10CE">
      <w:pPr>
        <w:pStyle w:val="NormalWeb"/>
        <w:spacing w:line="480" w:lineRule="auto"/>
        <w:jc w:val="both"/>
        <w:rPr>
          <w:rFonts w:ascii="Arial" w:hAnsi="Arial" w:cs="Arial"/>
        </w:rPr>
      </w:pPr>
      <w:r w:rsidRPr="00AD5781">
        <w:rPr>
          <w:rFonts w:ascii="Arial" w:eastAsia="Times New Roman" w:hAnsi="Arial" w:cs="Arial"/>
        </w:rPr>
        <w:tab/>
      </w:r>
      <w:r w:rsidRPr="00AD5781">
        <w:rPr>
          <w:rFonts w:ascii="Arial" w:hAnsi="Arial" w:cs="Arial"/>
        </w:rPr>
        <w:t>Obese animals subjected to induced tooth movement (MSG+ITM) presented higher frequencies of mild inflammatory infiltrate, increased cellularity (Fig. 1B), and dystrophic (Fig. 1F) and hemodynamic changes (Fig. 1C–E) compared to the other groups.</w:t>
      </w:r>
    </w:p>
    <w:p w14:paraId="40BA6F40" w14:textId="77777777" w:rsidR="00AE72D7" w:rsidRPr="00AD5781" w:rsidRDefault="00AE72D7">
      <w:pPr>
        <w:pStyle w:val="NormalWeb"/>
        <w:spacing w:line="480" w:lineRule="auto"/>
        <w:jc w:val="both"/>
        <w:rPr>
          <w:rFonts w:ascii="Arial" w:hAnsi="Arial" w:cs="Arial"/>
        </w:rPr>
      </w:pPr>
    </w:p>
    <w:p w14:paraId="4B4AB2DB" w14:textId="77777777" w:rsidR="00AE72D7" w:rsidRPr="00AD5781" w:rsidRDefault="007F10CE">
      <w:pPr>
        <w:pStyle w:val="NormalWeb"/>
        <w:spacing w:line="360" w:lineRule="auto"/>
        <w:jc w:val="both"/>
        <w:rPr>
          <w:rFonts w:ascii="Arial" w:hAnsi="Arial" w:cs="Arial"/>
        </w:rPr>
      </w:pPr>
      <w:r w:rsidRPr="00AD5781">
        <w:rPr>
          <w:noProof/>
        </w:rPr>
        <w:lastRenderedPageBreak/>
        <w:drawing>
          <wp:anchor distT="0" distB="0" distL="114300" distR="114300" simplePos="0" relativeHeight="251659264" behindDoc="1" locked="0" layoutInCell="1" allowOverlap="1" wp14:anchorId="60BBCE96" wp14:editId="1FF12E3B">
            <wp:simplePos x="0" y="0"/>
            <wp:positionH relativeFrom="column">
              <wp:posOffset>-121920</wp:posOffset>
            </wp:positionH>
            <wp:positionV relativeFrom="paragraph">
              <wp:posOffset>0</wp:posOffset>
            </wp:positionV>
            <wp:extent cx="5471160" cy="6333490"/>
            <wp:effectExtent l="0" t="0" r="0" b="0"/>
            <wp:wrapTight wrapText="bothSides">
              <wp:wrapPolygon edited="0">
                <wp:start x="0" y="0"/>
                <wp:lineTo x="0" y="21505"/>
                <wp:lineTo x="21510" y="21505"/>
                <wp:lineTo x="21510" y="0"/>
                <wp:lineTo x="0" y="0"/>
              </wp:wrapPolygon>
            </wp:wrapTight>
            <wp:docPr id="1891473535" name="Imagem 2" descr="Padrão do plano de fundo, 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73535" name="Imagem 2" descr="Padrão do plano de fundo, Mapa&#10;&#10;O conteúdo gerado por IA pode estar incorr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71160" cy="6333490"/>
                    </a:xfrm>
                    <a:prstGeom prst="rect">
                      <a:avLst/>
                    </a:prstGeom>
                    <a:noFill/>
                    <a:ln>
                      <a:noFill/>
                    </a:ln>
                  </pic:spPr>
                </pic:pic>
              </a:graphicData>
            </a:graphic>
          </wp:anchor>
        </w:drawing>
      </w:r>
      <w:r w:rsidRPr="00AD5781">
        <w:rPr>
          <w:rFonts w:ascii="Arial" w:hAnsi="Arial" w:cs="Arial"/>
          <w:b/>
          <w:bCs/>
        </w:rPr>
        <w:t>Figure 1.</w:t>
      </w:r>
      <w:r w:rsidRPr="00AD5781">
        <w:rPr>
          <w:rFonts w:ascii="Arial" w:hAnsi="Arial" w:cs="Arial"/>
        </w:rPr>
        <w:t xml:space="preserve"> Photomicrograph of the dental pulp from animals of the different experimental groups. A. Right upper first molar showing dentin (D), predentin (PreD), odontoblastic layer (OL), and dental pulp (DP) with a normal appearance; B. Dentin (D) and dental pulp (DP) showing increased cellularity (asterisk); C. Dental pulp (PD) showing vascular congestion (arrow) and thrombosis (head of arrow); D. Dentin (D) and dental pulp (PD) showing thrombosis (head of arrow); E. Dentin (D) and dental pulp (DP) showing blood vessels with hemorrhage (asterisk); F. Dentin (D) and dental pulp (DP) with hyaline areas (triangle). Staining = Hematoxylin and Eosin.</w:t>
      </w:r>
    </w:p>
    <w:p w14:paraId="0BBC55C7" w14:textId="77777777" w:rsidR="00AE72D7" w:rsidRPr="00AD5781" w:rsidRDefault="00AE72D7">
      <w:pPr>
        <w:pStyle w:val="NormalWeb"/>
        <w:spacing w:line="480" w:lineRule="auto"/>
        <w:jc w:val="both"/>
        <w:rPr>
          <w:rFonts w:ascii="Arial" w:hAnsi="Arial" w:cs="Arial"/>
        </w:rPr>
      </w:pPr>
    </w:p>
    <w:p w14:paraId="53335B14" w14:textId="77777777" w:rsidR="00AE72D7" w:rsidRPr="00AD5781" w:rsidRDefault="00AE72D7">
      <w:pPr>
        <w:pStyle w:val="NormalWeb"/>
        <w:spacing w:line="480" w:lineRule="auto"/>
        <w:jc w:val="both"/>
        <w:rPr>
          <w:rFonts w:ascii="Arial" w:hAnsi="Arial" w:cs="Arial"/>
        </w:rPr>
      </w:pPr>
    </w:p>
    <w:p w14:paraId="7439F969" w14:textId="77777777" w:rsidR="00AE72D7" w:rsidRPr="00AD5781" w:rsidRDefault="007F10CE">
      <w:pPr>
        <w:pStyle w:val="NormalWeb"/>
        <w:spacing w:line="480" w:lineRule="auto"/>
        <w:jc w:val="both"/>
        <w:rPr>
          <w:rFonts w:ascii="Arial" w:eastAsia="Times New Roman" w:hAnsi="Arial" w:cs="Arial"/>
        </w:rPr>
      </w:pPr>
      <w:r w:rsidRPr="00AD5781">
        <w:rPr>
          <w:rFonts w:ascii="Arial" w:eastAsia="Times New Roman" w:hAnsi="Arial" w:cs="Arial"/>
        </w:rPr>
        <w:lastRenderedPageBreak/>
        <w:tab/>
      </w:r>
      <w:r w:rsidRPr="00AD5781">
        <w:rPr>
          <w:rFonts w:ascii="Arial" w:hAnsi="Arial" w:cs="Arial"/>
        </w:rPr>
        <w:t>Animals subjected to induced tooth movement (CTL+ITM and MSG+ITM), regardless of obesity status, exhibited more frequent dentin alterations—such as the presence of tubules with nuclei and formation of reactive dentin—than animals without ITM.</w:t>
      </w:r>
      <w:r w:rsidRPr="00AD5781">
        <w:rPr>
          <w:rFonts w:ascii="Arial" w:eastAsia="Times New Roman" w:hAnsi="Arial" w:cs="Arial"/>
        </w:rPr>
        <w:t xml:space="preserve"> </w:t>
      </w:r>
      <w:r w:rsidRPr="00AD5781">
        <w:rPr>
          <w:rFonts w:ascii="Arial" w:hAnsi="Arial" w:cs="Arial"/>
        </w:rPr>
        <w:t>However, internal root resorption was observed only in the non-obese animals (CTL and CTL+ITM) (Table 3).</w:t>
      </w:r>
    </w:p>
    <w:p w14:paraId="6F22279B" w14:textId="77777777" w:rsidR="00AE72D7" w:rsidRPr="00AD5781" w:rsidRDefault="00AE72D7">
      <w:pPr>
        <w:pStyle w:val="NormalWeb"/>
        <w:spacing w:line="360" w:lineRule="auto"/>
        <w:jc w:val="both"/>
        <w:rPr>
          <w:rFonts w:ascii="Arial" w:eastAsia="Times New Roman" w:hAnsi="Arial" w:cs="Arial"/>
        </w:rPr>
      </w:pPr>
    </w:p>
    <w:p w14:paraId="0C5645E5" w14:textId="77777777" w:rsidR="00AE72D7" w:rsidRPr="00AD5781" w:rsidRDefault="007F10CE">
      <w:pPr>
        <w:pStyle w:val="NormalWeb"/>
        <w:spacing w:line="360" w:lineRule="auto"/>
        <w:jc w:val="both"/>
        <w:rPr>
          <w:rFonts w:ascii="Arial" w:hAnsi="Arial" w:cs="Arial"/>
          <w:lang w:val="pt-PT"/>
        </w:rPr>
      </w:pPr>
      <w:r w:rsidRPr="00AD5781">
        <w:rPr>
          <w:rFonts w:ascii="Arial" w:hAnsi="Arial" w:cs="Arial"/>
          <w:b/>
          <w:bCs/>
        </w:rPr>
        <w:t>Table 3.</w:t>
      </w:r>
      <w:r w:rsidRPr="00AD5781">
        <w:rPr>
          <w:rFonts w:ascii="Arial" w:hAnsi="Arial" w:cs="Arial"/>
        </w:rPr>
        <w:t xml:space="preserve"> Frequency of changes in the dentin-pulp complex observed in different experimental groups. N = 6/group</w:t>
      </w:r>
      <w:r w:rsidRPr="00AD5781">
        <w:rPr>
          <w:rFonts w:ascii="Arial" w:hAnsi="Arial" w:cs="Arial"/>
          <w:lang w:val="pt-PT"/>
        </w:rPr>
        <w:t>.</w:t>
      </w:r>
    </w:p>
    <w:p w14:paraId="64C41AE9" w14:textId="77777777" w:rsidR="00AE72D7" w:rsidRPr="00AD5781" w:rsidRDefault="00AE72D7">
      <w:pPr>
        <w:pStyle w:val="NormalWeb"/>
        <w:spacing w:line="360" w:lineRule="auto"/>
        <w:jc w:val="both"/>
        <w:rPr>
          <w:rFonts w:ascii="Arial" w:eastAsia="Times New Roman" w:hAnsi="Arial" w:cs="Arial"/>
        </w:rPr>
      </w:pPr>
    </w:p>
    <w:tbl>
      <w:tblPr>
        <w:tblStyle w:val="TableNormal1"/>
        <w:tblW w:w="779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0"/>
        <w:gridCol w:w="1134"/>
        <w:gridCol w:w="1134"/>
        <w:gridCol w:w="1275"/>
        <w:gridCol w:w="1418"/>
      </w:tblGrid>
      <w:tr w:rsidR="00AE72D7" w:rsidRPr="00AD5781" w14:paraId="27A64DB4"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949BD" w14:textId="77777777" w:rsidR="00AE72D7" w:rsidRPr="00AD5781" w:rsidRDefault="007F10CE">
            <w:pPr>
              <w:jc w:val="center"/>
              <w:rPr>
                <w:rFonts w:ascii="Arial" w:hAnsi="Arial" w:cs="Arial"/>
              </w:rPr>
            </w:pPr>
            <w:r w:rsidRPr="00AD5781">
              <w:rPr>
                <w:rFonts w:ascii="Arial" w:hAnsi="Arial" w:cs="Arial"/>
                <w:b/>
                <w:bCs/>
              </w:rPr>
              <w:t>PULP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EC37B" w14:textId="77777777" w:rsidR="00AE72D7" w:rsidRPr="00AD5781" w:rsidRDefault="00AE72D7">
            <w:pPr>
              <w:jc w:val="both"/>
              <w:rPr>
                <w:rFonts w:ascii="Arial" w:eastAsia="Times New Roman" w:hAnsi="Arial" w:cs="Arial"/>
                <w:b/>
                <w:bCs/>
              </w:rPr>
            </w:pPr>
          </w:p>
          <w:p w14:paraId="45BE2E22" w14:textId="77777777" w:rsidR="00AE72D7" w:rsidRPr="00AD5781" w:rsidRDefault="007F10CE">
            <w:pPr>
              <w:jc w:val="both"/>
              <w:rPr>
                <w:rFonts w:ascii="Arial" w:hAnsi="Arial" w:cs="Arial"/>
              </w:rPr>
            </w:pPr>
            <w:r w:rsidRPr="00AD5781">
              <w:rPr>
                <w:rFonts w:ascii="Arial" w:hAnsi="Arial" w:cs="Arial"/>
                <w:b/>
                <w:bCs/>
              </w:rPr>
              <w:t>CTL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CB022" w14:textId="77777777" w:rsidR="00AE72D7" w:rsidRPr="00AD5781" w:rsidRDefault="00AE72D7">
            <w:pPr>
              <w:jc w:val="both"/>
              <w:rPr>
                <w:rFonts w:ascii="Arial" w:eastAsia="Times New Roman" w:hAnsi="Arial" w:cs="Arial"/>
                <w:b/>
                <w:bCs/>
              </w:rPr>
            </w:pPr>
          </w:p>
          <w:p w14:paraId="17FDE3C4" w14:textId="77777777" w:rsidR="00AE72D7" w:rsidRPr="00AD5781" w:rsidRDefault="007F10CE">
            <w:pPr>
              <w:jc w:val="both"/>
              <w:rPr>
                <w:rFonts w:ascii="Arial" w:hAnsi="Arial" w:cs="Arial"/>
              </w:rPr>
            </w:pPr>
            <w:r w:rsidRPr="00AD5781">
              <w:rPr>
                <w:rFonts w:ascii="Arial" w:hAnsi="Arial" w:cs="Arial"/>
                <w:b/>
                <w:bCs/>
              </w:rPr>
              <w:t>MSG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7A0C3" w14:textId="77777777" w:rsidR="00AE72D7" w:rsidRPr="00AD5781" w:rsidRDefault="00AE72D7">
            <w:pPr>
              <w:jc w:val="both"/>
              <w:rPr>
                <w:rFonts w:ascii="Arial" w:eastAsia="Times New Roman" w:hAnsi="Arial" w:cs="Arial"/>
                <w:b/>
                <w:bCs/>
              </w:rPr>
            </w:pPr>
          </w:p>
          <w:p w14:paraId="5F7F020C" w14:textId="77777777" w:rsidR="00AE72D7" w:rsidRPr="00AD5781" w:rsidRDefault="007F10CE">
            <w:pPr>
              <w:jc w:val="both"/>
              <w:rPr>
                <w:rFonts w:ascii="Arial" w:hAnsi="Arial" w:cs="Arial"/>
              </w:rPr>
            </w:pPr>
            <w:r w:rsidRPr="00AD5781">
              <w:rPr>
                <w:rFonts w:ascii="Arial" w:hAnsi="Arial" w:cs="Arial"/>
                <w:b/>
                <w:bCs/>
              </w:rPr>
              <w:t>CTL+ITM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E82D2" w14:textId="77777777" w:rsidR="00AE72D7" w:rsidRPr="00AD5781" w:rsidRDefault="00AE72D7">
            <w:pPr>
              <w:jc w:val="both"/>
              <w:rPr>
                <w:rFonts w:ascii="Arial" w:eastAsia="Times New Roman" w:hAnsi="Arial" w:cs="Arial"/>
                <w:b/>
                <w:bCs/>
              </w:rPr>
            </w:pPr>
          </w:p>
          <w:p w14:paraId="5E6D7174" w14:textId="77777777" w:rsidR="00AE72D7" w:rsidRPr="00AD5781" w:rsidRDefault="007F10CE">
            <w:pPr>
              <w:jc w:val="both"/>
              <w:rPr>
                <w:rFonts w:ascii="Arial" w:hAnsi="Arial" w:cs="Arial"/>
              </w:rPr>
            </w:pPr>
            <w:r w:rsidRPr="00AD5781">
              <w:rPr>
                <w:rFonts w:ascii="Arial" w:hAnsi="Arial" w:cs="Arial"/>
                <w:b/>
                <w:bCs/>
              </w:rPr>
              <w:t>MSG+ITM</w:t>
            </w:r>
          </w:p>
        </w:tc>
      </w:tr>
      <w:tr w:rsidR="00AE72D7" w:rsidRPr="00AD5781" w14:paraId="5EDE627D" w14:textId="77777777">
        <w:trPr>
          <w:trHeight w:val="23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FAEB6" w14:textId="77777777" w:rsidR="00AE72D7" w:rsidRPr="00AD5781" w:rsidRDefault="007F10CE">
            <w:pPr>
              <w:jc w:val="center"/>
              <w:rPr>
                <w:rFonts w:ascii="Arial" w:hAnsi="Arial" w:cs="Arial"/>
              </w:rPr>
            </w:pPr>
            <w:r w:rsidRPr="00AD5781">
              <w:rPr>
                <w:rFonts w:ascii="Arial" w:hAnsi="Arial" w:cs="Arial"/>
                <w:b/>
                <w:bCs/>
              </w:rPr>
              <w:t>Cellularity Pattern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E3810" w14:textId="77777777" w:rsidR="00AE72D7" w:rsidRPr="00AD5781" w:rsidRDefault="00AE72D7">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97D47" w14:textId="77777777" w:rsidR="00AE72D7" w:rsidRPr="00AD5781" w:rsidRDefault="00AE72D7">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7E0DD" w14:textId="77777777" w:rsidR="00AE72D7" w:rsidRPr="00AD5781" w:rsidRDefault="00AE72D7">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A507B" w14:textId="77777777" w:rsidR="00AE72D7" w:rsidRPr="00AD5781" w:rsidRDefault="00AE72D7">
            <w:pPr>
              <w:rPr>
                <w:rFonts w:ascii="Arial" w:hAnsi="Arial" w:cs="Arial"/>
              </w:rPr>
            </w:pPr>
          </w:p>
        </w:tc>
      </w:tr>
      <w:tr w:rsidR="00AE72D7" w:rsidRPr="00AD5781" w14:paraId="3D22CBC4"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52D27" w14:textId="77777777" w:rsidR="00AE72D7" w:rsidRPr="00AD5781" w:rsidRDefault="007F10CE">
            <w:pPr>
              <w:jc w:val="center"/>
              <w:rPr>
                <w:rFonts w:ascii="Arial" w:hAnsi="Arial" w:cs="Arial"/>
              </w:rPr>
            </w:pPr>
            <w:r w:rsidRPr="00AD5781">
              <w:rPr>
                <w:rFonts w:ascii="Arial" w:hAnsi="Arial" w:cs="Arial"/>
              </w:rPr>
              <w:t>Inflammatory Infiltrate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1FF8A"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5512F" w14:textId="77777777" w:rsidR="00AE72D7" w:rsidRPr="00AD5781" w:rsidRDefault="007F10CE">
            <w:pPr>
              <w:jc w:val="both"/>
              <w:rPr>
                <w:rFonts w:ascii="Arial" w:hAnsi="Arial" w:cs="Arial"/>
              </w:rPr>
            </w:pPr>
            <w:r w:rsidRPr="00AD5781">
              <w:rPr>
                <w:rFonts w:ascii="Arial" w:hAnsi="Arial" w:cs="Arial"/>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8623F" w14:textId="77777777" w:rsidR="00AE72D7" w:rsidRPr="00AD5781" w:rsidRDefault="007F10CE">
            <w:pPr>
              <w:jc w:val="both"/>
              <w:rPr>
                <w:rFonts w:ascii="Arial" w:hAnsi="Arial" w:cs="Arial"/>
              </w:rPr>
            </w:pPr>
            <w:r w:rsidRPr="00AD5781">
              <w:rPr>
                <w:rFonts w:ascii="Arial" w:hAnsi="Arial" w:cs="Arial"/>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DF37D" w14:textId="77777777" w:rsidR="00AE72D7" w:rsidRPr="00AD5781" w:rsidRDefault="007F10CE">
            <w:pPr>
              <w:jc w:val="both"/>
              <w:rPr>
                <w:rFonts w:ascii="Arial" w:hAnsi="Arial" w:cs="Arial"/>
              </w:rPr>
            </w:pPr>
            <w:r w:rsidRPr="00AD5781">
              <w:rPr>
                <w:rFonts w:ascii="Arial" w:hAnsi="Arial" w:cs="Arial"/>
              </w:rPr>
              <w:t>3/6</w:t>
            </w:r>
          </w:p>
        </w:tc>
      </w:tr>
      <w:tr w:rsidR="00AE72D7" w:rsidRPr="00AD5781" w14:paraId="21E5B8B8"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FF15F" w14:textId="77777777" w:rsidR="00AE72D7" w:rsidRPr="00AD5781" w:rsidRDefault="007F10CE">
            <w:pPr>
              <w:jc w:val="center"/>
              <w:rPr>
                <w:rFonts w:ascii="Arial" w:hAnsi="Arial" w:cs="Arial"/>
              </w:rPr>
            </w:pPr>
            <w:r w:rsidRPr="00AD5781">
              <w:rPr>
                <w:rFonts w:ascii="Arial" w:hAnsi="Arial" w:cs="Arial"/>
              </w:rPr>
              <w:t>Increased Cellularity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BBB2D"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89C50" w14:textId="77777777" w:rsidR="00AE72D7" w:rsidRPr="00AD5781" w:rsidRDefault="007F10CE">
            <w:pPr>
              <w:jc w:val="both"/>
              <w:rPr>
                <w:rFonts w:ascii="Arial" w:hAnsi="Arial" w:cs="Arial"/>
              </w:rPr>
            </w:pPr>
            <w:r w:rsidRPr="00AD5781">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1A9A5" w14:textId="77777777" w:rsidR="00AE72D7" w:rsidRPr="00AD5781" w:rsidRDefault="007F10CE">
            <w:pPr>
              <w:jc w:val="both"/>
              <w:rPr>
                <w:rFonts w:ascii="Arial" w:hAnsi="Arial" w:cs="Arial"/>
              </w:rPr>
            </w:pPr>
            <w:r w:rsidRPr="00AD5781">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5C6BB" w14:textId="77777777" w:rsidR="00AE72D7" w:rsidRPr="00AD5781" w:rsidRDefault="007F10CE">
            <w:pPr>
              <w:jc w:val="both"/>
              <w:rPr>
                <w:rFonts w:ascii="Arial" w:hAnsi="Arial" w:cs="Arial"/>
              </w:rPr>
            </w:pPr>
            <w:r w:rsidRPr="00AD5781">
              <w:rPr>
                <w:rFonts w:ascii="Arial" w:hAnsi="Arial" w:cs="Arial"/>
              </w:rPr>
              <w:t>1/6</w:t>
            </w:r>
          </w:p>
        </w:tc>
      </w:tr>
      <w:tr w:rsidR="00AE72D7" w:rsidRPr="00AD5781" w14:paraId="36D27F12"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C3AF2" w14:textId="77777777" w:rsidR="00AE72D7" w:rsidRPr="00AD5781" w:rsidRDefault="007F10CE">
            <w:pPr>
              <w:jc w:val="center"/>
              <w:rPr>
                <w:rFonts w:ascii="Arial" w:hAnsi="Arial" w:cs="Arial"/>
              </w:rPr>
            </w:pPr>
            <w:r w:rsidRPr="00AD5781">
              <w:rPr>
                <w:rFonts w:ascii="Arial" w:hAnsi="Arial" w:cs="Arial"/>
              </w:rPr>
              <w:t>Increased Fibrosis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E100E"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AE77D" w14:textId="77777777" w:rsidR="00AE72D7" w:rsidRPr="00AD5781" w:rsidRDefault="007F10CE">
            <w:pPr>
              <w:jc w:val="both"/>
              <w:rPr>
                <w:rFonts w:ascii="Arial" w:hAnsi="Arial" w:cs="Arial"/>
              </w:rPr>
            </w:pPr>
            <w:r w:rsidRPr="00AD5781">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F90BC" w14:textId="77777777" w:rsidR="00AE72D7" w:rsidRPr="00AD5781" w:rsidRDefault="007F10CE">
            <w:pPr>
              <w:jc w:val="both"/>
              <w:rPr>
                <w:rFonts w:ascii="Arial" w:hAnsi="Arial" w:cs="Arial"/>
              </w:rPr>
            </w:pPr>
            <w:r w:rsidRPr="00AD5781">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04C79" w14:textId="77777777" w:rsidR="00AE72D7" w:rsidRPr="00AD5781" w:rsidRDefault="007F10CE">
            <w:pPr>
              <w:jc w:val="both"/>
              <w:rPr>
                <w:rFonts w:ascii="Arial" w:hAnsi="Arial" w:cs="Arial"/>
              </w:rPr>
            </w:pPr>
            <w:r w:rsidRPr="00AD5781">
              <w:rPr>
                <w:rFonts w:ascii="Arial" w:hAnsi="Arial" w:cs="Arial"/>
              </w:rPr>
              <w:t>0/6</w:t>
            </w:r>
          </w:p>
        </w:tc>
      </w:tr>
      <w:tr w:rsidR="00AE72D7" w:rsidRPr="00AD5781" w14:paraId="2C724CEC"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1A975" w14:textId="77777777" w:rsidR="00AE72D7" w:rsidRPr="00AD5781" w:rsidRDefault="00AE72D7">
            <w:pPr>
              <w:jc w:val="center"/>
              <w:rPr>
                <w:rFonts w:ascii="Arial" w:eastAsia="Times New Roman" w:hAnsi="Arial" w:cs="Arial"/>
                <w:b/>
                <w:bCs/>
              </w:rPr>
            </w:pPr>
          </w:p>
          <w:p w14:paraId="71AED820" w14:textId="77777777" w:rsidR="00AE72D7" w:rsidRPr="00AD5781" w:rsidRDefault="007F10CE">
            <w:pPr>
              <w:jc w:val="center"/>
              <w:rPr>
                <w:rFonts w:ascii="Arial" w:hAnsi="Arial" w:cs="Arial"/>
              </w:rPr>
            </w:pPr>
            <w:r w:rsidRPr="00AD5781">
              <w:rPr>
                <w:rFonts w:ascii="Arial" w:hAnsi="Arial" w:cs="Arial"/>
                <w:b/>
                <w:bCs/>
              </w:rPr>
              <w:t>DYSTROPHIC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62FAC" w14:textId="77777777" w:rsidR="00AE72D7" w:rsidRPr="00AD5781" w:rsidRDefault="00AE72D7">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FB0A1" w14:textId="77777777" w:rsidR="00AE72D7" w:rsidRPr="00AD5781" w:rsidRDefault="00AE72D7">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7CD7A" w14:textId="77777777" w:rsidR="00AE72D7" w:rsidRPr="00AD5781" w:rsidRDefault="00AE72D7">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2BBFA" w14:textId="77777777" w:rsidR="00AE72D7" w:rsidRPr="00AD5781" w:rsidRDefault="00AE72D7">
            <w:pPr>
              <w:rPr>
                <w:rFonts w:ascii="Arial" w:hAnsi="Arial" w:cs="Arial"/>
              </w:rPr>
            </w:pPr>
          </w:p>
        </w:tc>
      </w:tr>
      <w:tr w:rsidR="00AE72D7" w:rsidRPr="00AD5781" w14:paraId="2EDA6B17"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DD12D" w14:textId="77777777" w:rsidR="00AE72D7" w:rsidRPr="00AD5781" w:rsidRDefault="007F10CE">
            <w:pPr>
              <w:jc w:val="center"/>
              <w:rPr>
                <w:rFonts w:ascii="Arial" w:hAnsi="Arial" w:cs="Arial"/>
              </w:rPr>
            </w:pPr>
            <w:r w:rsidRPr="00AD5781">
              <w:rPr>
                <w:rFonts w:ascii="Arial" w:hAnsi="Arial" w:cs="Arial"/>
              </w:rPr>
              <w:t>Hyalinization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E8437" w14:textId="77777777" w:rsidR="00AE72D7" w:rsidRPr="00AD5781" w:rsidRDefault="007F10CE">
            <w:pPr>
              <w:jc w:val="both"/>
              <w:rPr>
                <w:rFonts w:ascii="Arial" w:hAnsi="Arial" w:cs="Arial"/>
              </w:rPr>
            </w:pPr>
            <w:r w:rsidRPr="00AD5781">
              <w:rPr>
                <w:rFonts w:ascii="Arial" w:hAnsi="Arial" w:cs="Arial"/>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2F5CB" w14:textId="77777777" w:rsidR="00AE72D7" w:rsidRPr="00AD5781" w:rsidRDefault="007F10CE">
            <w:pPr>
              <w:jc w:val="both"/>
              <w:rPr>
                <w:rFonts w:ascii="Arial" w:hAnsi="Arial" w:cs="Arial"/>
              </w:rPr>
            </w:pPr>
            <w:r w:rsidRPr="00AD5781">
              <w:rPr>
                <w:rFonts w:ascii="Arial" w:hAnsi="Arial" w:cs="Arial"/>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C2EFC" w14:textId="77777777" w:rsidR="00AE72D7" w:rsidRPr="00AD5781" w:rsidRDefault="007F10CE">
            <w:pPr>
              <w:jc w:val="both"/>
              <w:rPr>
                <w:rFonts w:ascii="Arial" w:hAnsi="Arial" w:cs="Arial"/>
              </w:rPr>
            </w:pPr>
            <w:r w:rsidRPr="00AD5781">
              <w:rPr>
                <w:rFonts w:ascii="Arial" w:hAnsi="Arial" w:cs="Arial"/>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342E7" w14:textId="77777777" w:rsidR="00AE72D7" w:rsidRPr="00AD5781" w:rsidRDefault="007F10CE">
            <w:pPr>
              <w:jc w:val="both"/>
              <w:rPr>
                <w:rFonts w:ascii="Arial" w:hAnsi="Arial" w:cs="Arial"/>
              </w:rPr>
            </w:pPr>
            <w:r w:rsidRPr="00AD5781">
              <w:rPr>
                <w:rFonts w:ascii="Arial" w:hAnsi="Arial" w:cs="Arial"/>
              </w:rPr>
              <w:t>6/6</w:t>
            </w:r>
          </w:p>
        </w:tc>
      </w:tr>
      <w:tr w:rsidR="00AE72D7" w:rsidRPr="00AD5781" w14:paraId="2328F672"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B1CA9" w14:textId="77777777" w:rsidR="00AE72D7" w:rsidRPr="00AD5781" w:rsidRDefault="007F10CE">
            <w:pPr>
              <w:jc w:val="center"/>
              <w:rPr>
                <w:rFonts w:ascii="Arial" w:hAnsi="Arial" w:cs="Arial"/>
              </w:rPr>
            </w:pPr>
            <w:r w:rsidRPr="00AD5781">
              <w:rPr>
                <w:rFonts w:ascii="Arial" w:hAnsi="Arial" w:cs="Arial"/>
              </w:rPr>
              <w:t>Vacoulation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747ED" w14:textId="77777777" w:rsidR="00AE72D7" w:rsidRPr="00AD5781" w:rsidRDefault="007F10CE">
            <w:pPr>
              <w:jc w:val="both"/>
              <w:rPr>
                <w:rFonts w:ascii="Arial" w:hAnsi="Arial" w:cs="Arial"/>
              </w:rPr>
            </w:pPr>
            <w:r w:rsidRPr="00AD5781">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F2258" w14:textId="77777777" w:rsidR="00AE72D7" w:rsidRPr="00AD5781" w:rsidRDefault="007F10CE">
            <w:pPr>
              <w:jc w:val="both"/>
              <w:rPr>
                <w:rFonts w:ascii="Arial" w:hAnsi="Arial" w:cs="Arial"/>
              </w:rPr>
            </w:pPr>
            <w:r w:rsidRPr="00AD5781">
              <w:rPr>
                <w:rFonts w:ascii="Arial" w:hAnsi="Arial" w:cs="Arial"/>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55C3E" w14:textId="77777777" w:rsidR="00AE72D7" w:rsidRPr="00AD5781" w:rsidRDefault="007F10CE">
            <w:pPr>
              <w:jc w:val="both"/>
              <w:rPr>
                <w:rFonts w:ascii="Arial" w:hAnsi="Arial" w:cs="Arial"/>
              </w:rPr>
            </w:pPr>
            <w:r w:rsidRPr="00AD5781">
              <w:rPr>
                <w:rFonts w:ascii="Arial" w:hAnsi="Arial" w:cs="Arial"/>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07AF0" w14:textId="77777777" w:rsidR="00AE72D7" w:rsidRPr="00AD5781" w:rsidRDefault="007F10CE">
            <w:pPr>
              <w:jc w:val="both"/>
              <w:rPr>
                <w:rFonts w:ascii="Arial" w:hAnsi="Arial" w:cs="Arial"/>
              </w:rPr>
            </w:pPr>
            <w:r w:rsidRPr="00AD5781">
              <w:rPr>
                <w:rFonts w:ascii="Arial" w:hAnsi="Arial" w:cs="Arial"/>
              </w:rPr>
              <w:t>6/6</w:t>
            </w:r>
          </w:p>
        </w:tc>
      </w:tr>
      <w:tr w:rsidR="00AE72D7" w:rsidRPr="00AD5781" w14:paraId="434E286F"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34229" w14:textId="77777777" w:rsidR="00AE72D7" w:rsidRPr="00AD5781" w:rsidRDefault="007F10CE">
            <w:pPr>
              <w:jc w:val="center"/>
              <w:rPr>
                <w:rFonts w:ascii="Arial" w:hAnsi="Arial" w:cs="Arial"/>
              </w:rPr>
            </w:pPr>
            <w:r w:rsidRPr="00AD5781">
              <w:rPr>
                <w:rFonts w:ascii="Arial" w:hAnsi="Arial" w:cs="Arial"/>
              </w:rPr>
              <w:t>Nodules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E1B6D"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EFA3E" w14:textId="77777777" w:rsidR="00AE72D7" w:rsidRPr="00AD5781" w:rsidRDefault="007F10CE">
            <w:pPr>
              <w:jc w:val="both"/>
              <w:rPr>
                <w:rFonts w:ascii="Arial" w:hAnsi="Arial" w:cs="Arial"/>
              </w:rPr>
            </w:pPr>
            <w:r w:rsidRPr="00AD5781">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2E79B" w14:textId="77777777" w:rsidR="00AE72D7" w:rsidRPr="00AD5781" w:rsidRDefault="007F10CE">
            <w:pPr>
              <w:jc w:val="both"/>
              <w:rPr>
                <w:rFonts w:ascii="Arial" w:hAnsi="Arial" w:cs="Arial"/>
              </w:rPr>
            </w:pPr>
            <w:r w:rsidRPr="00AD5781">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BD8EF" w14:textId="77777777" w:rsidR="00AE72D7" w:rsidRPr="00AD5781" w:rsidRDefault="007F10CE">
            <w:pPr>
              <w:jc w:val="both"/>
              <w:rPr>
                <w:rFonts w:ascii="Arial" w:hAnsi="Arial" w:cs="Arial"/>
              </w:rPr>
            </w:pPr>
            <w:r w:rsidRPr="00AD5781">
              <w:rPr>
                <w:rFonts w:ascii="Arial" w:hAnsi="Arial" w:cs="Arial"/>
              </w:rPr>
              <w:t>0/6</w:t>
            </w:r>
          </w:p>
        </w:tc>
      </w:tr>
      <w:tr w:rsidR="00AE72D7" w:rsidRPr="00AD5781" w14:paraId="3A2E56BE"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1FB79" w14:textId="77777777" w:rsidR="00AE72D7" w:rsidRPr="00AD5781" w:rsidRDefault="007F10CE">
            <w:pPr>
              <w:jc w:val="center"/>
              <w:rPr>
                <w:rFonts w:ascii="Arial" w:hAnsi="Arial" w:cs="Arial"/>
              </w:rPr>
            </w:pPr>
            <w:r w:rsidRPr="00AD5781">
              <w:rPr>
                <w:rFonts w:ascii="Arial" w:hAnsi="Arial" w:cs="Arial"/>
              </w:rPr>
              <w:t>Diffuse Calcification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91FEF"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AD889" w14:textId="77777777" w:rsidR="00AE72D7" w:rsidRPr="00AD5781" w:rsidRDefault="007F10CE">
            <w:pPr>
              <w:jc w:val="both"/>
              <w:rPr>
                <w:rFonts w:ascii="Arial" w:hAnsi="Arial" w:cs="Arial"/>
              </w:rPr>
            </w:pPr>
            <w:r w:rsidRPr="00AD5781">
              <w:rPr>
                <w:rFonts w:ascii="Arial" w:hAnsi="Arial" w:cs="Arial"/>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1C8E7" w14:textId="77777777" w:rsidR="00AE72D7" w:rsidRPr="00AD5781" w:rsidRDefault="007F10CE">
            <w:pPr>
              <w:jc w:val="both"/>
              <w:rPr>
                <w:rFonts w:ascii="Arial" w:hAnsi="Arial" w:cs="Arial"/>
              </w:rPr>
            </w:pPr>
            <w:r w:rsidRPr="00AD5781">
              <w:rPr>
                <w:rFonts w:ascii="Arial" w:hAnsi="Arial" w:cs="Arial"/>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50430" w14:textId="77777777" w:rsidR="00AE72D7" w:rsidRPr="00AD5781" w:rsidRDefault="007F10CE">
            <w:pPr>
              <w:jc w:val="both"/>
              <w:rPr>
                <w:rFonts w:ascii="Arial" w:hAnsi="Arial" w:cs="Arial"/>
              </w:rPr>
            </w:pPr>
            <w:r w:rsidRPr="00AD5781">
              <w:rPr>
                <w:rFonts w:ascii="Arial" w:hAnsi="Arial" w:cs="Arial"/>
              </w:rPr>
              <w:t>4/6</w:t>
            </w:r>
          </w:p>
        </w:tc>
      </w:tr>
      <w:tr w:rsidR="00AE72D7" w:rsidRPr="00AD5781" w14:paraId="3AD0129E"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27E6F" w14:textId="77777777" w:rsidR="00AE72D7" w:rsidRPr="00AD5781" w:rsidRDefault="007F10CE">
            <w:pPr>
              <w:jc w:val="center"/>
              <w:rPr>
                <w:rFonts w:ascii="Arial" w:hAnsi="Arial" w:cs="Arial"/>
              </w:rPr>
            </w:pPr>
            <w:r w:rsidRPr="00AD5781">
              <w:rPr>
                <w:rFonts w:ascii="Arial" w:hAnsi="Arial" w:cs="Arial"/>
              </w:rPr>
              <w:t>Necros</w:t>
            </w:r>
            <w:r w:rsidRPr="00AD5781">
              <w:rPr>
                <w:rFonts w:ascii="Arial" w:hAnsi="Arial" w:cs="Arial"/>
                <w:lang w:val="pt-PT"/>
              </w:rPr>
              <w: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91FC6"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4B24B" w14:textId="77777777" w:rsidR="00AE72D7" w:rsidRPr="00AD5781" w:rsidRDefault="007F10CE">
            <w:pPr>
              <w:jc w:val="both"/>
              <w:rPr>
                <w:rFonts w:ascii="Arial" w:hAnsi="Arial" w:cs="Arial"/>
              </w:rPr>
            </w:pPr>
            <w:r w:rsidRPr="00AD5781">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8A60A" w14:textId="77777777" w:rsidR="00AE72D7" w:rsidRPr="00AD5781" w:rsidRDefault="007F10CE">
            <w:pPr>
              <w:jc w:val="both"/>
              <w:rPr>
                <w:rFonts w:ascii="Arial" w:hAnsi="Arial" w:cs="Arial"/>
              </w:rPr>
            </w:pPr>
            <w:r w:rsidRPr="00AD5781">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68959" w14:textId="77777777" w:rsidR="00AE72D7" w:rsidRPr="00AD5781" w:rsidRDefault="007F10CE">
            <w:pPr>
              <w:jc w:val="both"/>
              <w:rPr>
                <w:rFonts w:ascii="Arial" w:hAnsi="Arial" w:cs="Arial"/>
              </w:rPr>
            </w:pPr>
            <w:r w:rsidRPr="00AD5781">
              <w:rPr>
                <w:rFonts w:ascii="Arial" w:hAnsi="Arial" w:cs="Arial"/>
              </w:rPr>
              <w:t>0/6</w:t>
            </w:r>
          </w:p>
        </w:tc>
      </w:tr>
      <w:tr w:rsidR="00AE72D7" w:rsidRPr="00AD5781" w14:paraId="36B854F2"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717D4" w14:textId="77777777" w:rsidR="00AE72D7" w:rsidRPr="00AD5781" w:rsidRDefault="00AE72D7">
            <w:pPr>
              <w:jc w:val="center"/>
              <w:rPr>
                <w:rFonts w:ascii="Arial" w:eastAsia="Times New Roman" w:hAnsi="Arial" w:cs="Arial"/>
                <w:b/>
                <w:bCs/>
              </w:rPr>
            </w:pPr>
          </w:p>
          <w:p w14:paraId="1D0A1774" w14:textId="77777777" w:rsidR="00AE72D7" w:rsidRPr="00AD5781" w:rsidRDefault="007F10CE">
            <w:pPr>
              <w:jc w:val="center"/>
              <w:rPr>
                <w:rFonts w:ascii="Arial" w:hAnsi="Arial" w:cs="Arial"/>
              </w:rPr>
            </w:pPr>
            <w:r w:rsidRPr="00AD5781">
              <w:rPr>
                <w:rFonts w:ascii="Arial" w:hAnsi="Arial" w:cs="Arial"/>
                <w:b/>
                <w:bCs/>
              </w:rPr>
              <w:t>HEMODYNAMIC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28526" w14:textId="77777777" w:rsidR="00AE72D7" w:rsidRPr="00AD5781" w:rsidRDefault="00AE72D7">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ACBA2" w14:textId="77777777" w:rsidR="00AE72D7" w:rsidRPr="00AD5781" w:rsidRDefault="00AE72D7">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2F4F8" w14:textId="77777777" w:rsidR="00AE72D7" w:rsidRPr="00AD5781" w:rsidRDefault="00AE72D7">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CB63F" w14:textId="77777777" w:rsidR="00AE72D7" w:rsidRPr="00AD5781" w:rsidRDefault="00AE72D7">
            <w:pPr>
              <w:rPr>
                <w:rFonts w:ascii="Arial" w:hAnsi="Arial" w:cs="Arial"/>
              </w:rPr>
            </w:pPr>
          </w:p>
        </w:tc>
      </w:tr>
      <w:tr w:rsidR="00AE72D7" w:rsidRPr="00AD5781" w14:paraId="0C2839A3"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F9B62" w14:textId="77777777" w:rsidR="00AE72D7" w:rsidRPr="00AD5781" w:rsidRDefault="007F10CE">
            <w:pPr>
              <w:jc w:val="center"/>
              <w:rPr>
                <w:rFonts w:ascii="Arial" w:hAnsi="Arial" w:cs="Arial"/>
              </w:rPr>
            </w:pPr>
            <w:r w:rsidRPr="00AD5781">
              <w:rPr>
                <w:rFonts w:ascii="Arial" w:hAnsi="Arial" w:cs="Arial"/>
              </w:rPr>
              <w:t>Vascular Congestion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8E5C6" w14:textId="77777777" w:rsidR="00AE72D7" w:rsidRPr="00AD5781" w:rsidRDefault="007F10CE">
            <w:pPr>
              <w:jc w:val="both"/>
              <w:rPr>
                <w:rFonts w:ascii="Arial" w:hAnsi="Arial" w:cs="Arial"/>
              </w:rPr>
            </w:pPr>
            <w:r w:rsidRPr="00AD5781">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3E1B5" w14:textId="77777777" w:rsidR="00AE72D7" w:rsidRPr="00AD5781" w:rsidRDefault="007F10CE">
            <w:pPr>
              <w:jc w:val="both"/>
              <w:rPr>
                <w:rFonts w:ascii="Arial" w:hAnsi="Arial" w:cs="Arial"/>
              </w:rPr>
            </w:pPr>
            <w:r w:rsidRPr="00AD5781">
              <w:rPr>
                <w:rFonts w:ascii="Arial" w:hAnsi="Arial" w:cs="Arial"/>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68B23" w14:textId="77777777" w:rsidR="00AE72D7" w:rsidRPr="00AD5781" w:rsidRDefault="007F10CE">
            <w:pPr>
              <w:jc w:val="both"/>
              <w:rPr>
                <w:rFonts w:ascii="Arial" w:hAnsi="Arial" w:cs="Arial"/>
              </w:rPr>
            </w:pPr>
            <w:r w:rsidRPr="00AD5781">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481E7" w14:textId="77777777" w:rsidR="00AE72D7" w:rsidRPr="00AD5781" w:rsidRDefault="007F10CE">
            <w:pPr>
              <w:jc w:val="both"/>
              <w:rPr>
                <w:rFonts w:ascii="Arial" w:hAnsi="Arial" w:cs="Arial"/>
              </w:rPr>
            </w:pPr>
            <w:r w:rsidRPr="00AD5781">
              <w:rPr>
                <w:rFonts w:ascii="Arial" w:hAnsi="Arial" w:cs="Arial"/>
              </w:rPr>
              <w:t>6/6</w:t>
            </w:r>
          </w:p>
        </w:tc>
      </w:tr>
      <w:tr w:rsidR="00AE72D7" w:rsidRPr="00AD5781" w14:paraId="395F877B"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7D6F6" w14:textId="77777777" w:rsidR="00AE72D7" w:rsidRPr="00AD5781" w:rsidRDefault="007F10CE">
            <w:pPr>
              <w:jc w:val="center"/>
              <w:rPr>
                <w:rFonts w:ascii="Arial" w:hAnsi="Arial" w:cs="Arial"/>
              </w:rPr>
            </w:pPr>
            <w:r w:rsidRPr="00AD5781">
              <w:rPr>
                <w:rFonts w:ascii="Arial" w:hAnsi="Arial" w:cs="Arial"/>
              </w:rPr>
              <w:t>Hemorrhage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96C6" w14:textId="77777777" w:rsidR="00AE72D7" w:rsidRPr="00AD5781" w:rsidRDefault="007F10CE">
            <w:pPr>
              <w:jc w:val="both"/>
              <w:rPr>
                <w:rFonts w:ascii="Arial" w:hAnsi="Arial" w:cs="Arial"/>
              </w:rPr>
            </w:pPr>
            <w:r w:rsidRPr="00AD5781">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B0A10" w14:textId="77777777" w:rsidR="00AE72D7" w:rsidRPr="00AD5781" w:rsidRDefault="007F10CE">
            <w:pPr>
              <w:jc w:val="both"/>
              <w:rPr>
                <w:rFonts w:ascii="Arial" w:hAnsi="Arial" w:cs="Arial"/>
              </w:rPr>
            </w:pPr>
            <w:r w:rsidRPr="00AD5781">
              <w:rPr>
                <w:rFonts w:ascii="Arial" w:hAnsi="Arial" w:cs="Arial"/>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DE361" w14:textId="77777777" w:rsidR="00AE72D7" w:rsidRPr="00AD5781" w:rsidRDefault="007F10CE">
            <w:pPr>
              <w:jc w:val="both"/>
              <w:rPr>
                <w:rFonts w:ascii="Arial" w:hAnsi="Arial" w:cs="Arial"/>
              </w:rPr>
            </w:pPr>
            <w:r w:rsidRPr="00AD5781">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8B25E" w14:textId="77777777" w:rsidR="00AE72D7" w:rsidRPr="00AD5781" w:rsidRDefault="007F10CE">
            <w:pPr>
              <w:jc w:val="both"/>
              <w:rPr>
                <w:rFonts w:ascii="Arial" w:hAnsi="Arial" w:cs="Arial"/>
              </w:rPr>
            </w:pPr>
            <w:r w:rsidRPr="00AD5781">
              <w:rPr>
                <w:rFonts w:ascii="Arial" w:hAnsi="Arial" w:cs="Arial"/>
              </w:rPr>
              <w:t>6/6</w:t>
            </w:r>
          </w:p>
        </w:tc>
      </w:tr>
      <w:tr w:rsidR="00AE72D7" w:rsidRPr="00AD5781" w14:paraId="4EB23BE0"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D5087" w14:textId="77777777" w:rsidR="00AE72D7" w:rsidRPr="00AD5781" w:rsidRDefault="007F10CE">
            <w:pPr>
              <w:jc w:val="center"/>
              <w:rPr>
                <w:rFonts w:ascii="Arial" w:hAnsi="Arial" w:cs="Arial"/>
              </w:rPr>
            </w:pPr>
            <w:r w:rsidRPr="00AD5781">
              <w:rPr>
                <w:rFonts w:ascii="Arial" w:hAnsi="Arial" w:cs="Arial"/>
              </w:rPr>
              <w:t>Thrombosis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71286" w14:textId="77777777" w:rsidR="00AE72D7" w:rsidRPr="00AD5781" w:rsidRDefault="007F10CE">
            <w:pPr>
              <w:jc w:val="both"/>
              <w:rPr>
                <w:rFonts w:ascii="Arial" w:hAnsi="Arial" w:cs="Arial"/>
              </w:rPr>
            </w:pPr>
            <w:r w:rsidRPr="00AD5781">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E8375" w14:textId="77777777" w:rsidR="00AE72D7" w:rsidRPr="00AD5781" w:rsidRDefault="007F10CE">
            <w:pPr>
              <w:jc w:val="both"/>
              <w:rPr>
                <w:rFonts w:ascii="Arial" w:hAnsi="Arial" w:cs="Arial"/>
              </w:rPr>
            </w:pPr>
            <w:r w:rsidRPr="00AD5781">
              <w:rPr>
                <w:rFonts w:ascii="Arial" w:hAnsi="Arial" w:cs="Arial"/>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6051A" w14:textId="77777777" w:rsidR="00AE72D7" w:rsidRPr="00AD5781" w:rsidRDefault="007F10CE">
            <w:pPr>
              <w:jc w:val="both"/>
              <w:rPr>
                <w:rFonts w:ascii="Arial" w:hAnsi="Arial" w:cs="Arial"/>
              </w:rPr>
            </w:pPr>
            <w:r w:rsidRPr="00AD5781">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EC256" w14:textId="77777777" w:rsidR="00AE72D7" w:rsidRPr="00AD5781" w:rsidRDefault="007F10CE">
            <w:pPr>
              <w:jc w:val="both"/>
              <w:rPr>
                <w:rFonts w:ascii="Arial" w:hAnsi="Arial" w:cs="Arial"/>
              </w:rPr>
            </w:pPr>
            <w:r w:rsidRPr="00AD5781">
              <w:rPr>
                <w:rFonts w:ascii="Arial" w:hAnsi="Arial" w:cs="Arial"/>
              </w:rPr>
              <w:t>6/6</w:t>
            </w:r>
          </w:p>
        </w:tc>
      </w:tr>
      <w:tr w:rsidR="00AE72D7" w:rsidRPr="00AD5781" w14:paraId="78F96847"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FEA07" w14:textId="77777777" w:rsidR="00AE72D7" w:rsidRPr="00AD5781" w:rsidRDefault="00AE72D7">
            <w:pPr>
              <w:jc w:val="center"/>
              <w:rPr>
                <w:rFonts w:ascii="Arial" w:eastAsia="Times New Roman" w:hAnsi="Arial" w:cs="Arial"/>
                <w:b/>
                <w:bCs/>
              </w:rPr>
            </w:pPr>
          </w:p>
          <w:p w14:paraId="45B1C65D" w14:textId="77777777" w:rsidR="00AE72D7" w:rsidRPr="00AD5781" w:rsidRDefault="007F10CE">
            <w:pPr>
              <w:jc w:val="center"/>
              <w:rPr>
                <w:rFonts w:ascii="Arial" w:hAnsi="Arial" w:cs="Arial"/>
              </w:rPr>
            </w:pPr>
            <w:r w:rsidRPr="00AD5781">
              <w:rPr>
                <w:rFonts w:ascii="Arial" w:hAnsi="Arial" w:cs="Arial"/>
                <w:b/>
                <w:bCs/>
              </w:rPr>
              <w:t>DENTINAL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3C3FD" w14:textId="77777777" w:rsidR="00AE72D7" w:rsidRPr="00AD5781" w:rsidRDefault="00AE72D7">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29176" w14:textId="77777777" w:rsidR="00AE72D7" w:rsidRPr="00AD5781" w:rsidRDefault="00AE72D7">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31975" w14:textId="77777777" w:rsidR="00AE72D7" w:rsidRPr="00AD5781" w:rsidRDefault="00AE72D7">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4832E" w14:textId="77777777" w:rsidR="00AE72D7" w:rsidRPr="00AD5781" w:rsidRDefault="00AE72D7">
            <w:pPr>
              <w:rPr>
                <w:rFonts w:ascii="Arial" w:hAnsi="Arial" w:cs="Arial"/>
              </w:rPr>
            </w:pPr>
          </w:p>
        </w:tc>
      </w:tr>
      <w:tr w:rsidR="00AE72D7" w:rsidRPr="00AD5781" w14:paraId="123399A2"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27391" w14:textId="77777777" w:rsidR="00AE72D7" w:rsidRPr="00AD5781" w:rsidRDefault="007F10CE">
            <w:pPr>
              <w:jc w:val="center"/>
              <w:rPr>
                <w:rFonts w:ascii="Arial" w:hAnsi="Arial" w:cs="Arial"/>
              </w:rPr>
            </w:pPr>
            <w:r w:rsidRPr="00AD5781">
              <w:rPr>
                <w:rFonts w:ascii="Arial" w:hAnsi="Arial" w:cs="Arial"/>
              </w:rPr>
              <w:t>Reactive Dentin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83A40"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F620B" w14:textId="77777777" w:rsidR="00AE72D7" w:rsidRPr="00AD5781" w:rsidRDefault="007F10CE">
            <w:pPr>
              <w:jc w:val="both"/>
              <w:rPr>
                <w:rFonts w:ascii="Arial" w:hAnsi="Arial" w:cs="Arial"/>
              </w:rPr>
            </w:pPr>
            <w:r w:rsidRPr="00AD5781">
              <w:rPr>
                <w:rFonts w:ascii="Arial" w:hAnsi="Arial" w:cs="Arial"/>
              </w:rPr>
              <w:t>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1340F" w14:textId="77777777" w:rsidR="00AE72D7" w:rsidRPr="00AD5781" w:rsidRDefault="007F10CE">
            <w:pPr>
              <w:jc w:val="both"/>
              <w:rPr>
                <w:rFonts w:ascii="Arial" w:hAnsi="Arial" w:cs="Arial"/>
              </w:rPr>
            </w:pPr>
            <w:r w:rsidRPr="00AD5781">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70B27" w14:textId="77777777" w:rsidR="00AE72D7" w:rsidRPr="00AD5781" w:rsidRDefault="007F10CE">
            <w:pPr>
              <w:jc w:val="both"/>
              <w:rPr>
                <w:rFonts w:ascii="Arial" w:hAnsi="Arial" w:cs="Arial"/>
              </w:rPr>
            </w:pPr>
            <w:r w:rsidRPr="00AD5781">
              <w:rPr>
                <w:rFonts w:ascii="Arial" w:hAnsi="Arial" w:cs="Arial"/>
              </w:rPr>
              <w:t>4/6</w:t>
            </w:r>
          </w:p>
        </w:tc>
      </w:tr>
      <w:tr w:rsidR="00AE72D7" w:rsidRPr="00AD5781" w14:paraId="7F70C13F"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993BF" w14:textId="77777777" w:rsidR="00AE72D7" w:rsidRPr="00AD5781" w:rsidRDefault="007F10CE">
            <w:pPr>
              <w:jc w:val="center"/>
              <w:rPr>
                <w:rFonts w:ascii="Arial" w:hAnsi="Arial" w:cs="Arial"/>
              </w:rPr>
            </w:pPr>
            <w:r w:rsidRPr="00AD5781">
              <w:rPr>
                <w:rFonts w:ascii="Arial" w:hAnsi="Arial" w:cs="Arial"/>
              </w:rPr>
              <w:t>Tubes with Nucleus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5F38E"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D8161" w14:textId="77777777" w:rsidR="00AE72D7" w:rsidRPr="00AD5781" w:rsidRDefault="007F10CE">
            <w:pPr>
              <w:jc w:val="both"/>
              <w:rPr>
                <w:rFonts w:ascii="Arial" w:hAnsi="Arial" w:cs="Arial"/>
              </w:rPr>
            </w:pPr>
            <w:r w:rsidRPr="00AD5781">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92435" w14:textId="77777777" w:rsidR="00AE72D7" w:rsidRPr="00AD5781" w:rsidRDefault="007F10CE">
            <w:pPr>
              <w:jc w:val="both"/>
              <w:rPr>
                <w:rFonts w:ascii="Arial" w:hAnsi="Arial" w:cs="Arial"/>
              </w:rPr>
            </w:pPr>
            <w:r w:rsidRPr="00AD5781">
              <w:rPr>
                <w:rFonts w:ascii="Arial" w:hAnsi="Arial" w:cs="Arial"/>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EC10C" w14:textId="77777777" w:rsidR="00AE72D7" w:rsidRPr="00AD5781" w:rsidRDefault="007F10CE">
            <w:pPr>
              <w:jc w:val="both"/>
              <w:rPr>
                <w:rFonts w:ascii="Arial" w:hAnsi="Arial" w:cs="Arial"/>
              </w:rPr>
            </w:pPr>
            <w:r w:rsidRPr="00AD5781">
              <w:rPr>
                <w:rFonts w:ascii="Arial" w:hAnsi="Arial" w:cs="Arial"/>
              </w:rPr>
              <w:t>1/6</w:t>
            </w:r>
          </w:p>
        </w:tc>
      </w:tr>
      <w:tr w:rsidR="00AE72D7" w:rsidRPr="00AD5781" w14:paraId="49D30436"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29090" w14:textId="77777777" w:rsidR="00AE72D7" w:rsidRPr="00AD5781" w:rsidRDefault="007F10CE">
            <w:pPr>
              <w:jc w:val="center"/>
              <w:rPr>
                <w:rFonts w:ascii="Arial" w:hAnsi="Arial" w:cs="Arial"/>
              </w:rPr>
            </w:pPr>
            <w:r w:rsidRPr="00AD5781">
              <w:rPr>
                <w:rFonts w:ascii="Arial" w:hAnsi="Arial" w:cs="Arial"/>
              </w:rPr>
              <w:t>Internal Resorption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0B5C3" w14:textId="77777777" w:rsidR="00AE72D7" w:rsidRPr="00AD5781" w:rsidRDefault="007F10CE">
            <w:pPr>
              <w:jc w:val="both"/>
              <w:rPr>
                <w:rFonts w:ascii="Arial" w:hAnsi="Arial" w:cs="Arial"/>
              </w:rPr>
            </w:pPr>
            <w:r w:rsidRPr="00AD5781">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9BE53" w14:textId="77777777" w:rsidR="00AE72D7" w:rsidRPr="00AD5781" w:rsidRDefault="007F10CE">
            <w:pPr>
              <w:jc w:val="both"/>
              <w:rPr>
                <w:rFonts w:ascii="Arial" w:hAnsi="Arial" w:cs="Arial"/>
              </w:rPr>
            </w:pPr>
            <w:r w:rsidRPr="00AD5781">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750BE" w14:textId="77777777" w:rsidR="00AE72D7" w:rsidRPr="00AD5781" w:rsidRDefault="007F10CE">
            <w:pPr>
              <w:jc w:val="both"/>
              <w:rPr>
                <w:rFonts w:ascii="Arial" w:hAnsi="Arial" w:cs="Arial"/>
              </w:rPr>
            </w:pPr>
            <w:r w:rsidRPr="00AD5781">
              <w:rPr>
                <w:rFonts w:ascii="Arial" w:hAnsi="Arial" w:cs="Arial"/>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153A6" w14:textId="77777777" w:rsidR="00AE72D7" w:rsidRPr="00AD5781" w:rsidRDefault="007F10CE">
            <w:pPr>
              <w:jc w:val="both"/>
              <w:rPr>
                <w:rFonts w:ascii="Arial" w:hAnsi="Arial" w:cs="Arial"/>
              </w:rPr>
            </w:pPr>
            <w:r w:rsidRPr="00AD5781">
              <w:rPr>
                <w:rFonts w:ascii="Arial" w:hAnsi="Arial" w:cs="Arial"/>
              </w:rPr>
              <w:t>0/6</w:t>
            </w:r>
          </w:p>
        </w:tc>
      </w:tr>
    </w:tbl>
    <w:p w14:paraId="3F555DAA" w14:textId="77777777" w:rsidR="00AE72D7" w:rsidRPr="00AD5781" w:rsidRDefault="00AE72D7">
      <w:pPr>
        <w:pStyle w:val="NormalWeb"/>
        <w:widowControl w:val="0"/>
        <w:jc w:val="center"/>
        <w:rPr>
          <w:rFonts w:ascii="Arial" w:eastAsia="Times New Roman" w:hAnsi="Arial" w:cs="Arial"/>
        </w:rPr>
      </w:pPr>
    </w:p>
    <w:p w14:paraId="48F718A0" w14:textId="77777777" w:rsidR="00AE72D7" w:rsidRPr="00AD5781" w:rsidRDefault="00AE72D7">
      <w:pPr>
        <w:pStyle w:val="NormalWeb"/>
        <w:rPr>
          <w:rFonts w:ascii="Arial" w:eastAsia="SimSun" w:hAnsi="Arial" w:cs="Arial"/>
          <w:lang w:val="pt-PT"/>
        </w:rPr>
      </w:pPr>
    </w:p>
    <w:p w14:paraId="4A78921C" w14:textId="77777777" w:rsidR="00AE72D7" w:rsidRPr="00AD5781" w:rsidRDefault="00AE72D7">
      <w:pPr>
        <w:pStyle w:val="NormalWeb"/>
        <w:rPr>
          <w:rFonts w:ascii="Arial" w:eastAsia="SimSun" w:hAnsi="Arial" w:cs="Arial"/>
          <w:lang w:val="pt-PT"/>
        </w:rPr>
      </w:pPr>
    </w:p>
    <w:p w14:paraId="0E8A09CD" w14:textId="77777777" w:rsidR="00AE72D7" w:rsidRPr="00AD5781" w:rsidRDefault="00AE72D7">
      <w:pPr>
        <w:pStyle w:val="NormalWeb"/>
        <w:rPr>
          <w:rFonts w:ascii="Arial" w:eastAsia="SimSun" w:hAnsi="Arial" w:cs="Arial"/>
          <w:lang w:val="pt-PT"/>
        </w:rPr>
      </w:pPr>
    </w:p>
    <w:p w14:paraId="60A6B7D7" w14:textId="77777777" w:rsidR="00AE72D7" w:rsidRPr="00AD5781" w:rsidRDefault="00AE72D7">
      <w:pPr>
        <w:pStyle w:val="NormalWeb"/>
        <w:rPr>
          <w:rFonts w:ascii="Arial" w:eastAsia="SimSun" w:hAnsi="Arial" w:cs="Arial"/>
          <w:lang w:val="pt-PT"/>
        </w:rPr>
      </w:pPr>
    </w:p>
    <w:p w14:paraId="76E7A00C" w14:textId="77777777" w:rsidR="00AE72D7" w:rsidRPr="00AD5781" w:rsidRDefault="00AE72D7">
      <w:pPr>
        <w:pStyle w:val="NormalWeb"/>
        <w:rPr>
          <w:rFonts w:ascii="Arial" w:eastAsia="SimSun" w:hAnsi="Arial" w:cs="Arial"/>
          <w:lang w:val="pt-PT"/>
        </w:rPr>
      </w:pPr>
    </w:p>
    <w:p w14:paraId="2EF3F09C" w14:textId="77777777" w:rsidR="00AE72D7" w:rsidRPr="00AD5781" w:rsidRDefault="00AE72D7">
      <w:pPr>
        <w:pStyle w:val="NormalWeb"/>
        <w:rPr>
          <w:rFonts w:ascii="Arial" w:eastAsia="SimSun" w:hAnsi="Arial" w:cs="Arial"/>
          <w:lang w:val="pt-PT"/>
        </w:rPr>
      </w:pPr>
    </w:p>
    <w:p w14:paraId="5F625B13" w14:textId="77777777" w:rsidR="00AE72D7" w:rsidRPr="00AD5781" w:rsidRDefault="00AE72D7">
      <w:pPr>
        <w:pStyle w:val="NormalWeb"/>
        <w:rPr>
          <w:rFonts w:ascii="Arial" w:eastAsia="SimSun" w:hAnsi="Arial" w:cs="Arial"/>
          <w:lang w:val="pt-PT"/>
        </w:rPr>
      </w:pPr>
    </w:p>
    <w:p w14:paraId="5B4CCFE7" w14:textId="77777777" w:rsidR="00AE72D7" w:rsidRPr="00AD5781" w:rsidRDefault="00AE72D7">
      <w:pPr>
        <w:pStyle w:val="NormalWeb"/>
        <w:rPr>
          <w:rFonts w:ascii="Arial" w:eastAsia="SimSun" w:hAnsi="Arial" w:cs="Arial"/>
          <w:lang w:val="pt-PT"/>
        </w:rPr>
      </w:pPr>
    </w:p>
    <w:p w14:paraId="2CD0AF41" w14:textId="77777777" w:rsidR="00AE72D7" w:rsidRPr="00AD5781" w:rsidRDefault="00AE72D7">
      <w:pPr>
        <w:pStyle w:val="NormalWeb"/>
        <w:rPr>
          <w:rFonts w:ascii="Arial" w:eastAsia="SimSun" w:hAnsi="Arial" w:cs="Arial"/>
          <w:lang w:val="pt-PT"/>
        </w:rPr>
      </w:pPr>
    </w:p>
    <w:p w14:paraId="5CE01E63" w14:textId="77777777" w:rsidR="00AE72D7" w:rsidRPr="00AD5781" w:rsidRDefault="007F10CE">
      <w:pPr>
        <w:pStyle w:val="NormalWeb"/>
        <w:spacing w:line="480" w:lineRule="auto"/>
        <w:jc w:val="both"/>
        <w:rPr>
          <w:rFonts w:ascii="Arial" w:eastAsia="Times New Roman" w:hAnsi="Arial" w:cs="Arial"/>
        </w:rPr>
      </w:pPr>
      <w:r w:rsidRPr="00AD5781">
        <w:rPr>
          <w:rFonts w:ascii="Arial" w:hAnsi="Arial" w:cs="Arial"/>
          <w:b/>
          <w:bCs/>
        </w:rPr>
        <w:t>4. DISCUSSION</w:t>
      </w:r>
    </w:p>
    <w:p w14:paraId="1CFAAAA3"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Animals in the MSG groups exhibited increased Lee index and greater retroperitoneal and perigonadal fat deposits, confirming the success of the obesity induction model. The administration of monosodium glutamate in rodents is widely used to induce lesions in the arcuate nucleus and median eminence of the hypothalamus, resulting in the development of hypothalamic obesity. Consequently, the animals display excessive fat accumulation, disturbances in energy absorption and expenditure mechanisms, insulin resistance, and impaired satiety regulation (Olney et al., 1971; Brandelero et al., 2012; Fernandes et al., 2012).</w:t>
      </w:r>
    </w:p>
    <w:p w14:paraId="5770ED8E"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In the analysis of tooth movement, obese animals (MSG+ITM) exhibited a lower rate of movement compared to non-obese animals. This finding suggests that, although obesity is considered a health risk factor, it may exert a protective effect on bone tissue (Felson et al., 1993; Colaianni et al., 2014; Evans et al., 2015). In such cases, a positive correlation is observed between increased body mass index and higher bone mineral density, with the mechanical load associated with excess weight acting as a stimulatory factor for bone formation and maintenance (Colaianni et al., 2014; Lecka-Czernik et al., 2015; Maggio et al., 2014).</w:t>
      </w:r>
    </w:p>
    <w:p w14:paraId="22563F39"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Obese animals subjected to tooth movement (MSG+ITM) showed higher frequencies of mild inflammatory infiltrate and increased cellularity. The orthodontic force applied likely induced hypoxia in the pulp tissue by compressing apical blood vessels, triggering an inflammatory response (Li et al., 2024). Furthermore, the greater incidence of inflammatory processes in the MSG+ITM group compared to non-obese animals can be attributed to the secretion of cytokines and leptin by adipose tissue into the bloodstream, which may promote and intensify inflammation (Mattia et al., 2017). Loss of adipose tissue homeostasis increases and activates immune cells, leading to altered immune function in obesity (Wróblewski et al., 2019; Iwashita et al., 2021).</w:t>
      </w:r>
    </w:p>
    <w:p w14:paraId="61C430FE"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 xml:space="preserve">The MSG+ITM group also showed a higher frequency of dystrophic changes, such as diffuse calcification, vacuolization, and hyalinization compared to the other groups. Pulp calcification is known to occur around degenerating cells, blood clots, or collagen fibers, characterizing dystrophic calcification (Cohen et al., 1998). Cellular vacuolization is one of the earliest histological signs of reversible cell injury due to hypoxia and impaired aerobic respiration. This swelling results from dysfunction of plasma membrane ion pumps, particularly </w:t>
      </w:r>
      <w:r w:rsidRPr="00AD5781">
        <w:rPr>
          <w:rFonts w:ascii="Arial" w:hAnsi="Arial" w:cs="Arial"/>
        </w:rPr>
        <w:lastRenderedPageBreak/>
        <w:t>the sodium-potassium pump (Na</w:t>
      </w:r>
      <w:r w:rsidRPr="00AD5781">
        <w:rPr>
          <w:rFonts w:ascii="Cambria Math" w:hAnsi="Cambria Math" w:cs="Cambria Math"/>
        </w:rPr>
        <w:t>⁺</w:t>
      </w:r>
      <w:r w:rsidRPr="00AD5781">
        <w:rPr>
          <w:rFonts w:ascii="Arial" w:hAnsi="Arial" w:cs="Arial"/>
        </w:rPr>
        <w:t>/K</w:t>
      </w:r>
      <w:r w:rsidRPr="00AD5781">
        <w:rPr>
          <w:rFonts w:ascii="Cambria Math" w:hAnsi="Cambria Math" w:cs="Cambria Math"/>
        </w:rPr>
        <w:t>⁺</w:t>
      </w:r>
      <w:r w:rsidRPr="00AD5781">
        <w:rPr>
          <w:rFonts w:ascii="Arial" w:hAnsi="Arial" w:cs="Arial"/>
        </w:rPr>
        <w:t>-ATPase), leading to intracellular accumulation of ions and water. Increased lipid storage contributes to adipocyte hypertrophy, hypoxia, and elevated cell death, culminating in low ATP production, which explains the dysfunction of these ion pumps (Kumar et al., 1992; Taylor, 2021).</w:t>
      </w:r>
    </w:p>
    <w:p w14:paraId="3E985E75"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Hyalinization refers to the deposition of homogeneous, eosinophilic, glassy material, often associated with pathological changes that impair vascular integrity and function (Santamaria et al., 2007; Cuoghi et al., 2018). Pulp aging, which may be accelerated by trauma, results in reduced cellularity due to gradual apical foramen closure, compromising nutrition and favoring hyalinization, fibrosis, and pulp nodule formation (Consolaro, 2005).</w:t>
      </w:r>
    </w:p>
    <w:p w14:paraId="766C94B4"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The MSG+ITM group also showed a higher frequency of hemodynamic changes, including vascular congestion, hemorrhage, and thrombosis. Vascular congestion occurs when interstitial fluid is displaced in response to increased blood flow, characterizing an acute inflammatory reaction (Kim, 1985).</w:t>
      </w:r>
    </w:p>
    <w:p w14:paraId="3E91B44D"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In obesity, the interplay between metabolism and the immune system becomes dysregulated, as adipocytes—the primary cells of adipose tissue—possess endocrine functions and can release various adipokines such as leptin, adiponectin, and resistin, which directly influence the acute inflammatory process (Ouchi et al., 2011; Rosen &amp; Spiegelman, 2014; Taylor, 2021).</w:t>
      </w:r>
    </w:p>
    <w:p w14:paraId="76BED200"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Additionally, vascular congestion, thrombosis, and hemorrhage may stem from alterations in the dental pulp microcirculation, resulting in elevated tissue pressure. This pressure can compromise vascular integrity, leading to rupture of the endothelial lining and hemorrhage. However, no evidence of pulp necrosis was found, suggesting that the observed alterations are consistent with reversible pulpitis. This implies that the pulp tissue is capable of full recovery if the harmful stimuli are eliminated (Vandevska et al., 1997; Santamaria et al., 2007; Cuoghi et al., 2018).</w:t>
      </w:r>
    </w:p>
    <w:p w14:paraId="118B36A6" w14:textId="77777777" w:rsidR="00AE72D7" w:rsidRPr="00AD5781" w:rsidRDefault="007F10CE">
      <w:pPr>
        <w:pStyle w:val="NormalWeb"/>
        <w:spacing w:line="480" w:lineRule="auto"/>
        <w:ind w:firstLine="708"/>
        <w:jc w:val="both"/>
        <w:rPr>
          <w:rFonts w:ascii="Arial" w:eastAsia="Times New Roman" w:hAnsi="Arial" w:cs="Arial"/>
        </w:rPr>
      </w:pPr>
      <w:r w:rsidRPr="00AD5781">
        <w:rPr>
          <w:rFonts w:ascii="Arial" w:hAnsi="Arial" w:cs="Arial"/>
        </w:rPr>
        <w:t xml:space="preserve">In this study, the formation of reactionary dentin was observed in the groups with obesity and induced tooth movement (MSG, CTL+ITM, MSG+ITM). Odontoblasts play a central role in the production of the dentin matrix throughout the tooth’s lifespan. Under physiological conditions, this process occurs slowly and continuously, characterizing secondary dentin formation. However, in response to non-physiological stimuli, such as orthodontic forces, </w:t>
      </w:r>
      <w:r w:rsidRPr="00AD5781">
        <w:rPr>
          <w:rFonts w:ascii="Arial" w:hAnsi="Arial" w:cs="Arial"/>
        </w:rPr>
        <w:lastRenderedPageBreak/>
        <w:t>odontoblasts become more active and initiate the production of tertiary dentin—classified as reactionary or reparative (Estrela et al., 2023). The application of light orthodontic forces promotes the release of calcitonin gene-related peptide (CGRP), which can stimulate dentin deposition by odontoblasts as a protective mechanism (Cuoghi et al., 2018).</w:t>
      </w:r>
    </w:p>
    <w:p w14:paraId="24BC4078" w14:textId="77777777" w:rsidR="00AE72D7" w:rsidRPr="00AD5781" w:rsidRDefault="007F10CE">
      <w:pPr>
        <w:pStyle w:val="NormalWeb"/>
        <w:spacing w:line="480" w:lineRule="auto"/>
        <w:ind w:firstLine="708"/>
        <w:jc w:val="both"/>
        <w:rPr>
          <w:rFonts w:ascii="Arial" w:hAnsi="Arial" w:cs="Arial"/>
        </w:rPr>
      </w:pPr>
      <w:r w:rsidRPr="00AD5781">
        <w:rPr>
          <w:rFonts w:ascii="Arial" w:hAnsi="Arial" w:cs="Arial"/>
        </w:rPr>
        <w:t>Therefore, orthodontists should pay closer attention to procedures performed on patients with overweight or obesity, ensuring careful monitoring throughout the treatment period. It is important to recognize that obesity is directly linked to the immune system and, like dental movement, influences systemic inflammatory responses—including those in the oral cavity—which can affect pulp tissue integrity.</w:t>
      </w:r>
    </w:p>
    <w:p w14:paraId="6501FDFA" w14:textId="77777777" w:rsidR="00AE72D7" w:rsidRPr="00AD5781" w:rsidRDefault="00AE72D7">
      <w:pPr>
        <w:pStyle w:val="NormalWeb"/>
        <w:spacing w:line="480" w:lineRule="auto"/>
        <w:ind w:firstLine="708"/>
        <w:jc w:val="both"/>
        <w:rPr>
          <w:rFonts w:ascii="Arial" w:eastAsia="Times New Roman" w:hAnsi="Arial" w:cs="Arial"/>
        </w:rPr>
      </w:pPr>
    </w:p>
    <w:p w14:paraId="18795D7A" w14:textId="77777777" w:rsidR="00AE72D7" w:rsidRPr="00AD5781" w:rsidRDefault="007F10CE">
      <w:pPr>
        <w:pStyle w:val="NormalWeb"/>
        <w:spacing w:line="480" w:lineRule="auto"/>
        <w:rPr>
          <w:rFonts w:ascii="Arial" w:hAnsi="Arial" w:cs="Arial"/>
          <w:b/>
          <w:bCs/>
        </w:rPr>
      </w:pPr>
      <w:r w:rsidRPr="00AD5781">
        <w:rPr>
          <w:rFonts w:ascii="Arial" w:hAnsi="Arial" w:cs="Arial"/>
          <w:b/>
          <w:bCs/>
        </w:rPr>
        <w:t>5. CONCLUSION</w:t>
      </w:r>
    </w:p>
    <w:p w14:paraId="0303DC41" w14:textId="77777777" w:rsidR="00AE72D7" w:rsidRPr="00AD5781" w:rsidRDefault="007F10CE">
      <w:pPr>
        <w:pStyle w:val="NormalWeb"/>
        <w:spacing w:line="480" w:lineRule="auto"/>
        <w:ind w:firstLine="708"/>
        <w:rPr>
          <w:rFonts w:ascii="Arial" w:hAnsi="Arial" w:cs="Arial"/>
        </w:rPr>
      </w:pPr>
      <w:r w:rsidRPr="00AD5781">
        <w:rPr>
          <w:rFonts w:ascii="Arial" w:hAnsi="Arial" w:cs="Arial"/>
        </w:rPr>
        <w:t>Hypothalamic obesity associated with induced tooth movement results in reduced tooth movement and increased occurrences of inflammatory infiltrate, as well as dystrophic and hemodynamic changes in the dental pulp.</w:t>
      </w:r>
    </w:p>
    <w:p w14:paraId="46254F4D" w14:textId="77777777" w:rsidR="00AE72D7" w:rsidRPr="00AD5781" w:rsidRDefault="00AE72D7">
      <w:pPr>
        <w:pStyle w:val="NormalWeb"/>
        <w:spacing w:line="480" w:lineRule="auto"/>
        <w:ind w:firstLine="708"/>
        <w:rPr>
          <w:rFonts w:ascii="Arial" w:hAnsi="Arial" w:cs="Arial"/>
        </w:rPr>
      </w:pPr>
    </w:p>
    <w:p w14:paraId="5A7AE912" w14:textId="77777777" w:rsidR="00AE72D7" w:rsidRPr="00AD5781" w:rsidRDefault="007F10CE">
      <w:pPr>
        <w:spacing w:line="480" w:lineRule="auto"/>
        <w:jc w:val="both"/>
        <w:rPr>
          <w:rFonts w:ascii="Arial" w:hAnsi="Arial" w:cs="Arial"/>
          <w:b/>
        </w:rPr>
      </w:pPr>
      <w:r w:rsidRPr="00AD5781">
        <w:rPr>
          <w:rFonts w:ascii="Arial" w:hAnsi="Arial" w:cs="Arial"/>
          <w:b/>
        </w:rPr>
        <w:t xml:space="preserve">CONSENT </w:t>
      </w:r>
    </w:p>
    <w:p w14:paraId="384C5040" w14:textId="77777777" w:rsidR="00AE72D7" w:rsidRPr="00AD5781" w:rsidRDefault="007F10CE">
      <w:pPr>
        <w:autoSpaceDE w:val="0"/>
        <w:autoSpaceDN w:val="0"/>
        <w:adjustRightInd w:val="0"/>
        <w:spacing w:line="480" w:lineRule="auto"/>
        <w:ind w:right="28"/>
        <w:jc w:val="both"/>
        <w:rPr>
          <w:rFonts w:ascii="Arial" w:eastAsia="Calibri" w:hAnsi="Arial" w:cs="Arial"/>
        </w:rPr>
      </w:pPr>
      <w:r w:rsidRPr="00AD5781">
        <w:rPr>
          <w:rFonts w:ascii="Arial" w:eastAsia="Calibri" w:hAnsi="Arial" w:cs="Arial"/>
        </w:rPr>
        <w:t>It is not applicable.</w:t>
      </w:r>
    </w:p>
    <w:p w14:paraId="62AF72A0" w14:textId="77777777" w:rsidR="00AE72D7" w:rsidRPr="00AD5781" w:rsidRDefault="00AE72D7">
      <w:pPr>
        <w:spacing w:line="480" w:lineRule="auto"/>
        <w:jc w:val="both"/>
        <w:rPr>
          <w:rFonts w:ascii="Arial" w:hAnsi="Arial" w:cs="Arial"/>
          <w:b/>
        </w:rPr>
      </w:pPr>
    </w:p>
    <w:p w14:paraId="7FCD59FC" w14:textId="77777777" w:rsidR="00AE72D7" w:rsidRPr="00AD5781" w:rsidRDefault="007F10CE">
      <w:pPr>
        <w:spacing w:line="480" w:lineRule="auto"/>
        <w:jc w:val="both"/>
        <w:rPr>
          <w:rFonts w:ascii="Arial" w:hAnsi="Arial" w:cs="Arial"/>
          <w:b/>
        </w:rPr>
      </w:pPr>
      <w:r w:rsidRPr="00AD5781">
        <w:rPr>
          <w:rFonts w:ascii="Arial" w:hAnsi="Arial" w:cs="Arial"/>
          <w:b/>
        </w:rPr>
        <w:t xml:space="preserve">ETHICAL APPROVAL </w:t>
      </w:r>
    </w:p>
    <w:p w14:paraId="04020E0A" w14:textId="77777777" w:rsidR="00AE72D7" w:rsidRPr="00AD5781" w:rsidRDefault="007F10CE">
      <w:pPr>
        <w:spacing w:line="480" w:lineRule="auto"/>
        <w:ind w:firstLine="709"/>
        <w:jc w:val="both"/>
        <w:rPr>
          <w:rFonts w:ascii="Arial" w:hAnsi="Arial" w:cs="Arial"/>
          <w:color w:val="000000" w:themeColor="text1"/>
        </w:rPr>
      </w:pPr>
      <w:r w:rsidRPr="00AD5781">
        <w:rPr>
          <w:rFonts w:ascii="Arial" w:hAnsi="Arial" w:cs="Arial"/>
        </w:rPr>
        <w:t>This study was in accordance with the Ethical Principles in Animal Experimentation adopted by the Brazilian College of Animal Experimentation (COBEA) and were approved by the Committee on Ethics in the Use of Animals (CEUA) of UNIOESTE (Protocol No. 1022/2023).</w:t>
      </w:r>
    </w:p>
    <w:p w14:paraId="5DE141EA" w14:textId="77777777" w:rsidR="00AE72D7" w:rsidRPr="00AD5781" w:rsidRDefault="00AE72D7">
      <w:pPr>
        <w:spacing w:line="480" w:lineRule="auto"/>
        <w:jc w:val="both"/>
        <w:rPr>
          <w:rFonts w:ascii="Arial" w:hAnsi="Arial" w:cs="Arial"/>
          <w:b/>
          <w:bCs/>
        </w:rPr>
      </w:pPr>
    </w:p>
    <w:p w14:paraId="25AA9543" w14:textId="77777777" w:rsidR="00AE72D7" w:rsidRPr="00AD5781" w:rsidRDefault="007F10CE">
      <w:pPr>
        <w:spacing w:line="480" w:lineRule="auto"/>
        <w:jc w:val="both"/>
        <w:rPr>
          <w:rFonts w:ascii="Arial" w:hAnsi="Arial" w:cs="Arial"/>
          <w:b/>
          <w:bCs/>
        </w:rPr>
      </w:pPr>
      <w:r w:rsidRPr="00AD5781">
        <w:rPr>
          <w:rFonts w:ascii="Arial" w:hAnsi="Arial" w:cs="Arial"/>
          <w:b/>
          <w:bCs/>
        </w:rPr>
        <w:t>REFERENCES</w:t>
      </w:r>
    </w:p>
    <w:p w14:paraId="1C2CEA5B" w14:textId="77777777" w:rsidR="00AE72D7" w:rsidRPr="00AD5781" w:rsidRDefault="00AE72D7">
      <w:pPr>
        <w:spacing w:line="480" w:lineRule="auto"/>
        <w:jc w:val="both"/>
        <w:rPr>
          <w:rFonts w:ascii="Arial" w:hAnsi="Arial" w:cs="Arial"/>
          <w:b/>
          <w:bCs/>
        </w:rPr>
      </w:pPr>
    </w:p>
    <w:p w14:paraId="022775AF" w14:textId="77777777" w:rsidR="00AE72D7" w:rsidRPr="00AD5781" w:rsidRDefault="007F10CE">
      <w:pPr>
        <w:spacing w:line="360" w:lineRule="auto"/>
        <w:jc w:val="both"/>
        <w:rPr>
          <w:rFonts w:ascii="Arial" w:eastAsia="Arial" w:hAnsi="Arial" w:cs="Arial"/>
          <w:color w:val="212121"/>
          <w:shd w:val="clear" w:color="auto" w:fill="FFFFFF"/>
        </w:rPr>
      </w:pPr>
      <w:r w:rsidRPr="00AD5781">
        <w:rPr>
          <w:rFonts w:ascii="Arial" w:eastAsia="Arial" w:hAnsi="Arial" w:cs="Arial"/>
          <w:color w:val="212121"/>
          <w:shd w:val="clear" w:color="auto" w:fill="FFFFFF"/>
        </w:rPr>
        <w:t xml:space="preserve">Abi-Ramia, L.B., Stuani, A.S., Stuani, M.B., Mendes, A.M. (2010). Effects of low-level laser therapy and orthodontic tooth movement on dental pulps in rats. </w:t>
      </w:r>
      <w:r w:rsidRPr="00AD5781">
        <w:rPr>
          <w:rFonts w:ascii="Arial" w:eastAsia="Arial" w:hAnsi="Arial" w:cs="Arial"/>
          <w:i/>
          <w:iCs/>
          <w:color w:val="212121"/>
          <w:shd w:val="clear" w:color="auto" w:fill="FFFFFF"/>
        </w:rPr>
        <w:t>The Angle Orthodontist,</w:t>
      </w:r>
      <w:r w:rsidRPr="00AD5781">
        <w:rPr>
          <w:rFonts w:ascii="Arial" w:eastAsia="Arial" w:hAnsi="Arial" w:cs="Arial"/>
          <w:color w:val="212121"/>
          <w:shd w:val="clear" w:color="auto" w:fill="FFFFFF"/>
        </w:rPr>
        <w:t xml:space="preserve">  80, 116-122.</w:t>
      </w:r>
    </w:p>
    <w:p w14:paraId="3EDA7F22" w14:textId="77777777" w:rsidR="00AE72D7" w:rsidRPr="00AD5781" w:rsidRDefault="00AE72D7">
      <w:pPr>
        <w:spacing w:line="360" w:lineRule="auto"/>
        <w:jc w:val="both"/>
        <w:rPr>
          <w:rFonts w:ascii="Arial" w:eastAsia="Franklin Gothic Book" w:hAnsi="Arial" w:cs="Arial"/>
          <w:color w:val="231F20"/>
          <w:lang w:eastAsia="zh-CN" w:bidi="ar"/>
        </w:rPr>
      </w:pPr>
    </w:p>
    <w:p w14:paraId="5F4C1CE9" w14:textId="77777777" w:rsidR="00AE72D7" w:rsidRPr="00AD5781" w:rsidRDefault="007F10CE">
      <w:pPr>
        <w:spacing w:line="360" w:lineRule="auto"/>
        <w:jc w:val="both"/>
        <w:rPr>
          <w:rFonts w:ascii="Arial" w:eastAsia="Franklin Gothic Book" w:hAnsi="Arial" w:cs="Arial"/>
          <w:color w:val="231F20"/>
          <w:lang w:eastAsia="zh-CN" w:bidi="ar"/>
        </w:rPr>
      </w:pPr>
      <w:r w:rsidRPr="00AD5781">
        <w:rPr>
          <w:rFonts w:ascii="Arial" w:eastAsia="Franklin Gothic Book" w:hAnsi="Arial" w:cs="Arial"/>
          <w:color w:val="231F20"/>
          <w:lang w:eastAsia="zh-CN" w:bidi="ar"/>
        </w:rPr>
        <w:t>Afshin, A.</w:t>
      </w:r>
      <w:r w:rsidRPr="00AD5781">
        <w:rPr>
          <w:rFonts w:ascii="Arial" w:eastAsia="Franklin Gothic Book" w:hAnsi="Arial" w:cs="Arial"/>
          <w:color w:val="231F20"/>
          <w:lang w:val="pt-BR" w:eastAsia="zh-CN" w:bidi="ar"/>
        </w:rPr>
        <w:t>,</w:t>
      </w:r>
      <w:r w:rsidRPr="00AD5781">
        <w:rPr>
          <w:rFonts w:ascii="Arial" w:eastAsia="Franklin Gothic Book" w:hAnsi="Arial" w:cs="Arial"/>
          <w:color w:val="231F20"/>
          <w:lang w:eastAsia="zh-CN" w:bidi="ar"/>
        </w:rPr>
        <w:t xml:space="preserve"> Forouzanfar, M.H.</w:t>
      </w:r>
      <w:r w:rsidRPr="00AD5781">
        <w:rPr>
          <w:rFonts w:ascii="Arial" w:eastAsia="Franklin Gothic Book" w:hAnsi="Arial" w:cs="Arial"/>
          <w:color w:val="231F20"/>
          <w:lang w:val="pt-BR" w:eastAsia="zh-CN" w:bidi="ar"/>
        </w:rPr>
        <w:t>,</w:t>
      </w:r>
      <w:r w:rsidRPr="00AD5781">
        <w:rPr>
          <w:rFonts w:ascii="Arial" w:eastAsia="Franklin Gothic Book" w:hAnsi="Arial" w:cs="Arial"/>
          <w:color w:val="231F20"/>
          <w:lang w:eastAsia="zh-CN" w:bidi="ar"/>
        </w:rPr>
        <w:t xml:space="preserve"> Reitsma, M.B. et al</w:t>
      </w:r>
      <w:r w:rsidRPr="00AD5781">
        <w:rPr>
          <w:rFonts w:ascii="Arial" w:eastAsia="Franklin Gothic Book" w:hAnsi="Arial" w:cs="Arial"/>
          <w:color w:val="231F20"/>
          <w:lang w:val="pt-BR" w:eastAsia="zh-CN" w:bidi="ar"/>
        </w:rPr>
        <w:t>. (</w:t>
      </w:r>
      <w:r w:rsidRPr="00AD5781">
        <w:rPr>
          <w:rFonts w:ascii="Arial" w:eastAsia="Franklin Gothic Book" w:hAnsi="Arial" w:cs="Arial"/>
          <w:color w:val="231F20"/>
          <w:lang w:eastAsia="zh-CN" w:bidi="ar"/>
        </w:rPr>
        <w:t>2017</w:t>
      </w:r>
      <w:r w:rsidRPr="00AD5781">
        <w:rPr>
          <w:rFonts w:ascii="Arial" w:eastAsia="Franklin Gothic Book" w:hAnsi="Arial" w:cs="Arial"/>
          <w:color w:val="231F20"/>
          <w:lang w:val="pt-BR" w:eastAsia="zh-CN" w:bidi="ar"/>
        </w:rPr>
        <w:t>).</w:t>
      </w:r>
      <w:r w:rsidRPr="00AD5781">
        <w:rPr>
          <w:rFonts w:ascii="Arial" w:eastAsia="Franklin Gothic Book" w:hAnsi="Arial" w:cs="Arial"/>
          <w:color w:val="231F20"/>
          <w:lang w:eastAsia="zh-CN" w:bidi="ar"/>
        </w:rPr>
        <w:t xml:space="preserve"> Health effects of overweight and obesity in 195 countries over 25 years. </w:t>
      </w:r>
      <w:r w:rsidRPr="00AD5781">
        <w:rPr>
          <w:rFonts w:ascii="Arial" w:eastAsia="Franklin Gothic Book" w:hAnsi="Arial" w:cs="Arial"/>
          <w:i/>
          <w:iCs/>
          <w:color w:val="231F20"/>
          <w:lang w:eastAsia="zh-CN" w:bidi="ar"/>
        </w:rPr>
        <w:t>N Engl J Med</w:t>
      </w:r>
      <w:r w:rsidRPr="00AD5781">
        <w:rPr>
          <w:rFonts w:ascii="Arial" w:eastAsia="Franklin Gothic Book" w:hAnsi="Arial" w:cs="Arial"/>
          <w:color w:val="231F20"/>
          <w:lang w:eastAsia="zh-CN" w:bidi="ar"/>
        </w:rPr>
        <w:t>. 377: 13-27.</w:t>
      </w:r>
    </w:p>
    <w:p w14:paraId="05FDF429" w14:textId="77777777" w:rsidR="00AE72D7" w:rsidRPr="00AD5781" w:rsidRDefault="00AE72D7">
      <w:pPr>
        <w:spacing w:line="360" w:lineRule="auto"/>
        <w:jc w:val="both"/>
        <w:rPr>
          <w:rFonts w:ascii="Arial" w:eastAsia="Segoe UI" w:hAnsi="Arial" w:cs="Arial"/>
          <w:color w:val="212121"/>
          <w:shd w:val="clear" w:color="auto" w:fill="FFFFFF"/>
        </w:rPr>
      </w:pPr>
    </w:p>
    <w:p w14:paraId="7A8C7061" w14:textId="77777777" w:rsidR="00AE72D7" w:rsidRPr="00AD5781" w:rsidRDefault="007F10CE" w:rsidP="00471E8A">
      <w:pPr>
        <w:spacing w:line="360" w:lineRule="auto"/>
        <w:jc w:val="both"/>
        <w:rPr>
          <w:rFonts w:ascii="Arial" w:eastAsia="Segoe UI" w:hAnsi="Arial" w:cs="Arial"/>
          <w:color w:val="212121"/>
          <w:shd w:val="clear" w:color="auto" w:fill="FFFFFF"/>
          <w:lang w:val="pt-BR"/>
        </w:rPr>
      </w:pPr>
      <w:r w:rsidRPr="00AD5781">
        <w:rPr>
          <w:rFonts w:ascii="Arial" w:eastAsia="Segoe UI" w:hAnsi="Arial" w:cs="Arial"/>
          <w:color w:val="212121"/>
          <w:shd w:val="clear" w:color="auto" w:fill="FFFFFF"/>
        </w:rPr>
        <w:t xml:space="preserve">Alattas, M.H. </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2023</w:t>
      </w:r>
      <w:r w:rsidRPr="00AD5781">
        <w:rPr>
          <w:rFonts w:ascii="Arial" w:eastAsia="Segoe UI" w:hAnsi="Arial" w:cs="Arial"/>
          <w:color w:val="212121"/>
          <w:shd w:val="clear" w:color="auto" w:fill="FFFFFF"/>
          <w:lang w:val="pt-BR"/>
        </w:rPr>
        <w:t xml:space="preserve">). </w:t>
      </w:r>
      <w:r w:rsidRPr="00AD5781">
        <w:rPr>
          <w:rFonts w:ascii="Arial" w:eastAsia="Segoe UI" w:hAnsi="Arial" w:cs="Arial"/>
          <w:color w:val="212121"/>
          <w:shd w:val="clear" w:color="auto" w:fill="FFFFFF"/>
        </w:rPr>
        <w:t xml:space="preserve">Pulp Changes Secondary to Orthodontic Forces: A Review of Literature. </w:t>
      </w:r>
      <w:r w:rsidRPr="00AD5781">
        <w:rPr>
          <w:rFonts w:ascii="Arial" w:eastAsia="Segoe UI" w:hAnsi="Arial" w:cs="Arial"/>
          <w:i/>
          <w:iCs/>
          <w:color w:val="212121"/>
          <w:shd w:val="clear" w:color="auto" w:fill="FFFFFF"/>
        </w:rPr>
        <w:t>Cureus</w:t>
      </w:r>
      <w:r w:rsidRPr="00AD5781">
        <w:rPr>
          <w:rFonts w:ascii="Arial" w:eastAsia="Segoe UI" w:hAnsi="Arial" w:cs="Arial"/>
          <w:color w:val="212121"/>
          <w:shd w:val="clear" w:color="auto" w:fill="FFFFFF"/>
        </w:rPr>
        <w:t>. 15(6): e40573</w:t>
      </w:r>
      <w:r w:rsidRPr="00AD5781">
        <w:rPr>
          <w:rFonts w:ascii="Arial" w:eastAsia="Segoe UI" w:hAnsi="Arial" w:cs="Arial"/>
          <w:color w:val="212121"/>
          <w:shd w:val="clear" w:color="auto" w:fill="FFFFFF"/>
          <w:lang w:val="pt-BR"/>
        </w:rPr>
        <w:t>.</w:t>
      </w:r>
    </w:p>
    <w:p w14:paraId="78C02EDF" w14:textId="77777777" w:rsidR="00AE72D7" w:rsidRPr="00AD5781" w:rsidRDefault="00AE72D7" w:rsidP="00471E8A">
      <w:pPr>
        <w:widowControl w:val="0"/>
        <w:spacing w:line="360" w:lineRule="auto"/>
        <w:jc w:val="both"/>
        <w:rPr>
          <w:rFonts w:ascii="Arial" w:eastAsia="Times New Roman" w:hAnsi="Arial" w:cs="Arial"/>
        </w:rPr>
      </w:pPr>
    </w:p>
    <w:p w14:paraId="5769053E" w14:textId="77777777" w:rsidR="00471E8A" w:rsidRPr="00AD5781" w:rsidRDefault="00471E8A" w:rsidP="00471E8A">
      <w:pPr>
        <w:pStyle w:val="Heading1"/>
        <w:spacing w:before="0" w:after="0" w:line="360" w:lineRule="auto"/>
        <w:jc w:val="both"/>
        <w:rPr>
          <w:rFonts w:ascii="Arial" w:eastAsia="Times New Roman" w:hAnsi="Arial" w:cs="Arial"/>
          <w:b w:val="0"/>
          <w:bCs w:val="0"/>
          <w:sz w:val="20"/>
          <w:szCs w:val="20"/>
          <w:lang w:val="pt-BR"/>
        </w:rPr>
      </w:pPr>
      <w:r w:rsidRPr="00AD5781">
        <w:rPr>
          <w:rFonts w:ascii="Arial" w:eastAsia="Times New Roman" w:hAnsi="Arial" w:cs="Arial"/>
          <w:b w:val="0"/>
          <w:bCs w:val="0"/>
          <w:sz w:val="20"/>
          <w:szCs w:val="20"/>
          <w:lang w:val="pt-BR"/>
        </w:rPr>
        <w:t>Brazilian Association for the Study of Obesity and Metabolic Syndrome (Abeso). (2019). Obesity Map. São Paulo: ABESO.</w:t>
      </w:r>
    </w:p>
    <w:p w14:paraId="62B680D4" w14:textId="77777777" w:rsidR="00AE72D7" w:rsidRPr="00AD5781" w:rsidRDefault="00AE72D7" w:rsidP="00471E8A">
      <w:pPr>
        <w:shd w:val="clear" w:color="auto" w:fill="FFFFFF"/>
        <w:spacing w:line="360" w:lineRule="auto"/>
        <w:ind w:right="-2"/>
        <w:jc w:val="both"/>
        <w:rPr>
          <w:rFonts w:ascii="Arial" w:eastAsia="Times New Roman" w:hAnsi="Arial" w:cs="Arial"/>
        </w:rPr>
      </w:pPr>
    </w:p>
    <w:p w14:paraId="0E7929F3" w14:textId="77777777" w:rsidR="00AE72D7" w:rsidRPr="00AD5781" w:rsidRDefault="007F10CE" w:rsidP="00471E8A">
      <w:pPr>
        <w:shd w:val="clear" w:color="auto" w:fill="FFFFFF"/>
        <w:spacing w:line="360" w:lineRule="auto"/>
        <w:jc w:val="both"/>
        <w:rPr>
          <w:rFonts w:ascii="Arial" w:eastAsia="Times New Roman" w:hAnsi="Arial" w:cs="Arial"/>
        </w:rPr>
      </w:pPr>
      <w:r w:rsidRPr="00AD5781">
        <w:rPr>
          <w:rFonts w:ascii="Arial" w:eastAsia="Times New Roman" w:hAnsi="Arial" w:cs="Arial"/>
        </w:rPr>
        <w:t>Brandelero J.S.</w:t>
      </w:r>
      <w:r w:rsidRPr="00AD5781">
        <w:rPr>
          <w:rFonts w:ascii="Arial" w:eastAsia="Times New Roman" w:hAnsi="Arial" w:cs="Arial"/>
          <w:lang w:val="pt-BR"/>
        </w:rPr>
        <w:t>,</w:t>
      </w:r>
      <w:r w:rsidRPr="00AD5781">
        <w:rPr>
          <w:rFonts w:ascii="Arial" w:eastAsia="Times New Roman" w:hAnsi="Arial" w:cs="Arial"/>
        </w:rPr>
        <w:t xml:space="preserve"> Bonfleur M.L.</w:t>
      </w:r>
      <w:r w:rsidRPr="00AD5781">
        <w:rPr>
          <w:rFonts w:ascii="Arial" w:eastAsia="Times New Roman" w:hAnsi="Arial" w:cs="Arial"/>
          <w:lang w:val="pt-BR"/>
        </w:rPr>
        <w:t>,</w:t>
      </w:r>
      <w:r w:rsidRPr="00AD5781">
        <w:rPr>
          <w:rFonts w:ascii="Arial" w:eastAsia="Times New Roman" w:hAnsi="Arial" w:cs="Arial"/>
        </w:rPr>
        <w:t xml:space="preserve"> Ribeiro L.A.</w:t>
      </w:r>
      <w:r w:rsidRPr="00AD5781">
        <w:rPr>
          <w:rFonts w:ascii="Arial" w:eastAsia="Times New Roman" w:hAnsi="Arial" w:cs="Arial"/>
          <w:lang w:val="pt-BR"/>
        </w:rPr>
        <w:t>,</w:t>
      </w:r>
      <w:r w:rsidRPr="00AD5781">
        <w:rPr>
          <w:rFonts w:ascii="Arial" w:eastAsia="Times New Roman" w:hAnsi="Arial" w:cs="Arial"/>
        </w:rPr>
        <w:t xml:space="preserve"> Vanzela E.C.</w:t>
      </w:r>
      <w:r w:rsidRPr="00AD5781">
        <w:rPr>
          <w:rFonts w:ascii="Arial" w:eastAsia="Times New Roman" w:hAnsi="Arial" w:cs="Arial"/>
          <w:lang w:val="pt-BR"/>
        </w:rPr>
        <w:t>,</w:t>
      </w:r>
      <w:r w:rsidRPr="00AD5781">
        <w:rPr>
          <w:rFonts w:ascii="Arial" w:eastAsia="Times New Roman" w:hAnsi="Arial" w:cs="Arial"/>
        </w:rPr>
        <w:t xml:space="preserve"> Nassar C.A.</w:t>
      </w:r>
      <w:r w:rsidRPr="00AD5781">
        <w:rPr>
          <w:rFonts w:ascii="Arial" w:eastAsia="Times New Roman" w:hAnsi="Arial" w:cs="Arial"/>
          <w:lang w:val="pt-BR"/>
        </w:rPr>
        <w:t>,</w:t>
      </w:r>
      <w:r w:rsidRPr="00AD5781">
        <w:rPr>
          <w:rFonts w:ascii="Arial" w:eastAsia="Times New Roman" w:hAnsi="Arial" w:cs="Arial"/>
        </w:rPr>
        <w:t xml:space="preserve"> Nassar P.O. </w:t>
      </w:r>
      <w:r w:rsidRPr="00AD5781">
        <w:rPr>
          <w:rFonts w:ascii="Arial" w:eastAsia="Times New Roman" w:hAnsi="Arial" w:cs="Arial"/>
          <w:lang w:val="pt-BR"/>
        </w:rPr>
        <w:t>(</w:t>
      </w:r>
      <w:r w:rsidRPr="00AD5781">
        <w:rPr>
          <w:rFonts w:ascii="Arial" w:eastAsia="Times New Roman" w:hAnsi="Arial" w:cs="Arial"/>
        </w:rPr>
        <w:t>2012</w:t>
      </w:r>
      <w:r w:rsidRPr="00AD5781">
        <w:rPr>
          <w:rFonts w:ascii="Arial" w:eastAsia="Times New Roman" w:hAnsi="Arial" w:cs="Arial"/>
          <w:lang w:val="pt-BR"/>
        </w:rPr>
        <w:t>).</w:t>
      </w:r>
      <w:r w:rsidRPr="00AD5781">
        <w:rPr>
          <w:rFonts w:ascii="Arial" w:eastAsia="Times New Roman" w:hAnsi="Arial" w:cs="Arial"/>
        </w:rPr>
        <w:t xml:space="preserve"> Decreased TNF-α gene expression in periodontal ligature in msg obese rats: a possible protective effect of hypothalamic obesity against periodontal disease? </w:t>
      </w:r>
      <w:r w:rsidRPr="00AD5781">
        <w:rPr>
          <w:rFonts w:ascii="Arial" w:eastAsia="Times New Roman" w:hAnsi="Arial" w:cs="Arial"/>
          <w:i/>
          <w:iCs/>
        </w:rPr>
        <w:t>Arch Oral Biol</w:t>
      </w:r>
      <w:r w:rsidRPr="00AD5781">
        <w:rPr>
          <w:rFonts w:ascii="Arial" w:eastAsia="Times New Roman" w:hAnsi="Arial" w:cs="Arial"/>
        </w:rPr>
        <w:t>, 57(3): 300-306.</w:t>
      </w:r>
    </w:p>
    <w:p w14:paraId="594AF617" w14:textId="77777777" w:rsidR="00AE72D7" w:rsidRPr="00AD5781" w:rsidRDefault="00AE72D7">
      <w:pPr>
        <w:shd w:val="clear" w:color="auto" w:fill="FFFFFF"/>
        <w:spacing w:line="360" w:lineRule="auto"/>
        <w:ind w:right="-2"/>
        <w:jc w:val="both"/>
        <w:rPr>
          <w:rFonts w:ascii="Arial" w:eastAsia="Times New Roman" w:hAnsi="Arial" w:cs="Arial"/>
        </w:rPr>
      </w:pPr>
    </w:p>
    <w:p w14:paraId="2BCFADA5" w14:textId="77777777" w:rsidR="00AE72D7" w:rsidRPr="00AD5781" w:rsidRDefault="007F10CE">
      <w:pPr>
        <w:widowControl w:val="0"/>
        <w:spacing w:line="360" w:lineRule="auto"/>
        <w:jc w:val="both"/>
        <w:rPr>
          <w:rFonts w:ascii="Arial" w:eastAsia="Segoe UI" w:hAnsi="Arial" w:cs="Arial"/>
          <w:color w:val="212121"/>
          <w:shd w:val="clear" w:color="auto" w:fill="FFFFFF"/>
        </w:rPr>
      </w:pPr>
      <w:r w:rsidRPr="00AD5781">
        <w:rPr>
          <w:rFonts w:ascii="Arial" w:eastAsia="Segoe UI" w:hAnsi="Arial" w:cs="Arial"/>
          <w:color w:val="212121"/>
          <w:shd w:val="clear" w:color="auto" w:fill="FFFFFF"/>
        </w:rPr>
        <w:t>Butt, K.</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Harris, I</w:t>
      </w:r>
      <w:r w:rsidRPr="00AD5781">
        <w:rPr>
          <w:rFonts w:ascii="Arial" w:eastAsia="Segoe UI" w:hAnsi="Arial" w:cs="Arial"/>
          <w:color w:val="212121"/>
          <w:shd w:val="clear" w:color="auto" w:fill="FFFFFF"/>
          <w:lang w:val="pt-BR"/>
        </w:rPr>
        <w:t>. (2022).</w:t>
      </w:r>
      <w:r w:rsidRPr="00AD5781">
        <w:rPr>
          <w:rFonts w:ascii="Arial" w:eastAsia="Segoe UI" w:hAnsi="Arial" w:cs="Arial"/>
          <w:color w:val="212121"/>
          <w:shd w:val="clear" w:color="auto" w:fill="FFFFFF"/>
        </w:rPr>
        <w:t xml:space="preserve"> Making sense of sensibility: part 1. </w:t>
      </w:r>
      <w:r w:rsidRPr="00AD5781">
        <w:rPr>
          <w:rFonts w:ascii="Arial" w:eastAsia="Segoe UI" w:hAnsi="Arial" w:cs="Arial"/>
          <w:i/>
          <w:iCs/>
          <w:color w:val="212121"/>
          <w:shd w:val="clear" w:color="auto" w:fill="FFFFFF"/>
        </w:rPr>
        <w:t>Br Dent J</w:t>
      </w:r>
      <w:r w:rsidRPr="00AD5781">
        <w:rPr>
          <w:rFonts w:ascii="Arial" w:eastAsia="Segoe UI" w:hAnsi="Arial" w:cs="Arial"/>
          <w:color w:val="212121"/>
          <w:shd w:val="clear" w:color="auto" w:fill="FFFFFF"/>
        </w:rPr>
        <w:t>. 232(5): 307-310.</w:t>
      </w:r>
    </w:p>
    <w:p w14:paraId="59454BE3" w14:textId="77777777" w:rsidR="00AE72D7" w:rsidRPr="00AD5781" w:rsidRDefault="00AE72D7">
      <w:pPr>
        <w:spacing w:line="360" w:lineRule="auto"/>
        <w:jc w:val="both"/>
        <w:rPr>
          <w:rFonts w:ascii="Arial" w:eastAsia="SimSun" w:hAnsi="Arial" w:cs="Arial"/>
          <w:color w:val="222222"/>
          <w:shd w:val="clear" w:color="auto" w:fill="FFFFFF"/>
        </w:rPr>
      </w:pPr>
    </w:p>
    <w:p w14:paraId="527D1F1A" w14:textId="77777777" w:rsidR="00AE72D7" w:rsidRPr="00AD5781" w:rsidRDefault="007F10CE">
      <w:pPr>
        <w:spacing w:line="360" w:lineRule="auto"/>
        <w:jc w:val="both"/>
        <w:rPr>
          <w:rFonts w:ascii="Arial" w:eastAsia="SimSun" w:hAnsi="Arial" w:cs="Arial"/>
          <w:color w:val="222222"/>
          <w:shd w:val="clear" w:color="auto" w:fill="FFFFFF"/>
        </w:rPr>
      </w:pPr>
      <w:r w:rsidRPr="00AD5781">
        <w:rPr>
          <w:rFonts w:ascii="Arial" w:eastAsia="SimSun" w:hAnsi="Arial" w:cs="Arial"/>
          <w:color w:val="222222"/>
          <w:shd w:val="clear" w:color="auto" w:fill="FFFFFF"/>
        </w:rPr>
        <w:t>Cohen S.</w:t>
      </w:r>
      <w:r w:rsidRPr="00AD5781">
        <w:rPr>
          <w:rFonts w:ascii="Arial" w:eastAsia="SimSun" w:hAnsi="Arial" w:cs="Arial"/>
          <w:color w:val="222222"/>
          <w:shd w:val="clear" w:color="auto" w:fill="FFFFFF"/>
          <w:lang w:val="pt-BR"/>
        </w:rPr>
        <w:t>,</w:t>
      </w:r>
      <w:r w:rsidRPr="00AD5781">
        <w:rPr>
          <w:rFonts w:ascii="Arial" w:eastAsia="SimSun" w:hAnsi="Arial" w:cs="Arial"/>
          <w:color w:val="222222"/>
          <w:shd w:val="clear" w:color="auto" w:fill="FFFFFF"/>
        </w:rPr>
        <w:t xml:space="preserve"> Burns R.C.</w:t>
      </w:r>
      <w:r w:rsidRPr="00AD5781">
        <w:rPr>
          <w:rFonts w:ascii="Arial" w:eastAsia="SimSun" w:hAnsi="Arial" w:cs="Arial"/>
          <w:color w:val="222222"/>
          <w:shd w:val="clear" w:color="auto" w:fill="FFFFFF"/>
          <w:lang w:val="pt-BR"/>
        </w:rPr>
        <w:t>,</w:t>
      </w:r>
      <w:r w:rsidRPr="00AD5781">
        <w:rPr>
          <w:rFonts w:ascii="Arial" w:eastAsia="SimSun" w:hAnsi="Arial" w:cs="Arial"/>
          <w:color w:val="222222"/>
          <w:shd w:val="clear" w:color="auto" w:fill="FFFFFF"/>
        </w:rPr>
        <w:t xml:space="preserve"> Keiser, K. </w:t>
      </w:r>
      <w:r w:rsidRPr="00AD5781">
        <w:rPr>
          <w:rFonts w:ascii="Arial" w:eastAsia="SimSun" w:hAnsi="Arial" w:cs="Arial"/>
          <w:color w:val="222222"/>
          <w:shd w:val="clear" w:color="auto" w:fill="FFFFFF"/>
          <w:lang w:val="pt-BR"/>
        </w:rPr>
        <w:t xml:space="preserve">(1998). </w:t>
      </w:r>
      <w:r w:rsidRPr="00AD5781">
        <w:rPr>
          <w:rFonts w:ascii="Arial" w:eastAsia="SimSun" w:hAnsi="Arial" w:cs="Arial"/>
          <w:color w:val="222222"/>
          <w:shd w:val="clear" w:color="auto" w:fill="FFFFFF"/>
        </w:rPr>
        <w:t xml:space="preserve">Editors. </w:t>
      </w:r>
      <w:r w:rsidRPr="00AD5781">
        <w:rPr>
          <w:rFonts w:ascii="Arial" w:eastAsia="SimSun" w:hAnsi="Arial" w:cs="Arial"/>
          <w:i/>
          <w:iCs/>
          <w:color w:val="222222"/>
          <w:shd w:val="clear" w:color="auto" w:fill="FFFFFF"/>
        </w:rPr>
        <w:t>Pathways of the pulp</w:t>
      </w:r>
      <w:r w:rsidRPr="00AD5781">
        <w:rPr>
          <w:rFonts w:ascii="Arial" w:eastAsia="SimSun" w:hAnsi="Arial" w:cs="Arial"/>
          <w:color w:val="222222"/>
          <w:shd w:val="clear" w:color="auto" w:fill="FFFFFF"/>
        </w:rPr>
        <w:t>. St. Louis: Mosby.</w:t>
      </w:r>
    </w:p>
    <w:p w14:paraId="251F07E8" w14:textId="77777777" w:rsidR="00AE72D7" w:rsidRPr="00AD5781" w:rsidRDefault="00AE72D7">
      <w:pPr>
        <w:autoSpaceDE w:val="0"/>
        <w:autoSpaceDN w:val="0"/>
        <w:adjustRightInd w:val="0"/>
        <w:spacing w:line="360" w:lineRule="auto"/>
        <w:ind w:right="-2"/>
        <w:jc w:val="both"/>
        <w:rPr>
          <w:rFonts w:ascii="Arial" w:hAnsi="Arial" w:cs="Arial"/>
          <w:shd w:val="clear" w:color="auto" w:fill="FFFFFF"/>
        </w:rPr>
      </w:pPr>
    </w:p>
    <w:p w14:paraId="327F127E" w14:textId="77777777" w:rsidR="00AE72D7" w:rsidRPr="00AD5781" w:rsidRDefault="007F10CE">
      <w:pPr>
        <w:autoSpaceDE w:val="0"/>
        <w:autoSpaceDN w:val="0"/>
        <w:adjustRightInd w:val="0"/>
        <w:spacing w:line="360" w:lineRule="auto"/>
        <w:ind w:right="-2"/>
        <w:jc w:val="both"/>
        <w:rPr>
          <w:rFonts w:ascii="Arial" w:hAnsi="Arial" w:cs="Arial"/>
          <w:shd w:val="clear" w:color="auto" w:fill="FFFFFF"/>
        </w:rPr>
      </w:pPr>
      <w:r w:rsidRPr="00AD5781">
        <w:rPr>
          <w:rFonts w:ascii="Arial" w:hAnsi="Arial" w:cs="Arial"/>
          <w:shd w:val="clear" w:color="auto" w:fill="FFFFFF"/>
        </w:rPr>
        <w:t>Colaianni G.</w:t>
      </w:r>
      <w:r w:rsidRPr="00AD5781">
        <w:rPr>
          <w:rFonts w:ascii="Arial" w:hAnsi="Arial" w:cs="Arial"/>
          <w:shd w:val="clear" w:color="auto" w:fill="FFFFFF"/>
          <w:lang w:val="pt-BR"/>
        </w:rPr>
        <w:t>,</w:t>
      </w:r>
      <w:r w:rsidRPr="00AD5781">
        <w:rPr>
          <w:rFonts w:ascii="Arial" w:hAnsi="Arial" w:cs="Arial"/>
          <w:shd w:val="clear" w:color="auto" w:fill="FFFFFF"/>
        </w:rPr>
        <w:t xml:space="preserve"> Brunetti G.</w:t>
      </w:r>
      <w:r w:rsidRPr="00AD5781">
        <w:rPr>
          <w:rFonts w:ascii="Arial" w:hAnsi="Arial" w:cs="Arial"/>
          <w:shd w:val="clear" w:color="auto" w:fill="FFFFFF"/>
          <w:lang w:val="pt-BR"/>
        </w:rPr>
        <w:t>,</w:t>
      </w:r>
      <w:r w:rsidRPr="00AD5781">
        <w:rPr>
          <w:rFonts w:ascii="Arial" w:hAnsi="Arial" w:cs="Arial"/>
          <w:shd w:val="clear" w:color="auto" w:fill="FFFFFF"/>
        </w:rPr>
        <w:t xml:space="preserve"> Faienza M.F.</w:t>
      </w:r>
      <w:r w:rsidRPr="00AD5781">
        <w:rPr>
          <w:rFonts w:ascii="Arial" w:hAnsi="Arial" w:cs="Arial"/>
          <w:shd w:val="clear" w:color="auto" w:fill="FFFFFF"/>
          <w:lang w:val="pt-BR"/>
        </w:rPr>
        <w:t>,</w:t>
      </w:r>
      <w:r w:rsidRPr="00AD5781">
        <w:rPr>
          <w:rFonts w:ascii="Arial" w:hAnsi="Arial" w:cs="Arial"/>
          <w:shd w:val="clear" w:color="auto" w:fill="FFFFFF"/>
        </w:rPr>
        <w:t xml:space="preserve"> Colucci S.</w:t>
      </w:r>
      <w:r w:rsidRPr="00AD5781">
        <w:rPr>
          <w:rFonts w:ascii="Arial" w:hAnsi="Arial" w:cs="Arial"/>
          <w:shd w:val="clear" w:color="auto" w:fill="FFFFFF"/>
          <w:lang w:val="pt-BR"/>
        </w:rPr>
        <w:t>,</w:t>
      </w:r>
      <w:r w:rsidRPr="00AD5781">
        <w:rPr>
          <w:rFonts w:ascii="Arial" w:hAnsi="Arial" w:cs="Arial"/>
          <w:shd w:val="clear" w:color="auto" w:fill="FFFFFF"/>
        </w:rPr>
        <w:t xml:space="preserve"> Grano M.</w:t>
      </w:r>
      <w:r w:rsidRPr="00AD5781">
        <w:rPr>
          <w:rFonts w:ascii="Arial" w:hAnsi="Arial" w:cs="Arial"/>
          <w:shd w:val="clear" w:color="auto" w:fill="FFFFFF"/>
          <w:lang w:val="pt-BR"/>
        </w:rPr>
        <w:t xml:space="preserve"> (2014).</w:t>
      </w:r>
      <w:r w:rsidRPr="00AD5781">
        <w:rPr>
          <w:rFonts w:ascii="Arial" w:hAnsi="Arial" w:cs="Arial"/>
          <w:shd w:val="clear" w:color="auto" w:fill="FFFFFF"/>
        </w:rPr>
        <w:t xml:space="preserve"> Osteoporosis and obesity: Role of Wnt pathway in human and murine models. </w:t>
      </w:r>
      <w:r w:rsidRPr="00AD5781">
        <w:rPr>
          <w:rFonts w:ascii="Arial" w:hAnsi="Arial" w:cs="Arial"/>
          <w:i/>
          <w:iCs/>
          <w:shd w:val="clear" w:color="auto" w:fill="FFFFFF"/>
        </w:rPr>
        <w:t>World J Orthop</w:t>
      </w:r>
      <w:r w:rsidRPr="00AD5781">
        <w:rPr>
          <w:rFonts w:ascii="Arial" w:hAnsi="Arial" w:cs="Arial"/>
          <w:shd w:val="clear" w:color="auto" w:fill="FFFFFF"/>
        </w:rPr>
        <w:t>. 5(3): 242-246.</w:t>
      </w:r>
    </w:p>
    <w:p w14:paraId="4FF542FD" w14:textId="77777777" w:rsidR="00AE72D7" w:rsidRPr="00AD5781" w:rsidRDefault="00AE72D7">
      <w:pPr>
        <w:spacing w:line="360" w:lineRule="auto"/>
        <w:jc w:val="both"/>
        <w:rPr>
          <w:rFonts w:ascii="Arial" w:eastAsia="sans-serif" w:hAnsi="Arial" w:cs="Arial"/>
          <w:color w:val="333333"/>
        </w:rPr>
      </w:pPr>
    </w:p>
    <w:p w14:paraId="0F17CE3D" w14:textId="77777777" w:rsidR="00AE72D7" w:rsidRPr="00AD5781" w:rsidRDefault="007F10CE">
      <w:pPr>
        <w:spacing w:line="360" w:lineRule="auto"/>
        <w:jc w:val="both"/>
        <w:rPr>
          <w:rFonts w:ascii="Arial" w:eastAsia="sans-serif" w:hAnsi="Arial" w:cs="Arial"/>
          <w:color w:val="333333"/>
        </w:rPr>
      </w:pPr>
      <w:r w:rsidRPr="00AD5781">
        <w:rPr>
          <w:rFonts w:ascii="Arial" w:eastAsia="sans-serif" w:hAnsi="Arial" w:cs="Arial"/>
          <w:color w:val="333333"/>
        </w:rPr>
        <w:t>Consolaro, R.B.</w:t>
      </w:r>
      <w:r w:rsidRPr="00AD5781">
        <w:rPr>
          <w:rFonts w:ascii="Arial" w:eastAsia="sans-serif" w:hAnsi="Arial" w:cs="Arial"/>
          <w:color w:val="333333"/>
          <w:lang w:val="pt-BR"/>
        </w:rPr>
        <w:t xml:space="preserve"> (2005).</w:t>
      </w:r>
      <w:r w:rsidRPr="00AD5781">
        <w:rPr>
          <w:rFonts w:ascii="Arial" w:eastAsia="sans-serif" w:hAnsi="Arial" w:cs="Arial"/>
          <w:color w:val="333333"/>
        </w:rPr>
        <w:t xml:space="preserve"> Análise do complexo dentino pulpar em dentes submetidos a movimentação dentaria induzida em ratos. </w:t>
      </w:r>
      <w:r w:rsidRPr="00AD5781">
        <w:rPr>
          <w:rFonts w:ascii="Arial" w:eastAsia="sans-serif" w:hAnsi="Arial" w:cs="Arial"/>
          <w:i/>
          <w:iCs/>
          <w:color w:val="333333"/>
        </w:rPr>
        <w:t>Dissertação (Mestrado) - Curso de Odontologia, Universidade de São Paulo</w:t>
      </w:r>
      <w:r w:rsidRPr="00AD5781">
        <w:rPr>
          <w:rFonts w:ascii="Arial" w:eastAsia="sans-serif" w:hAnsi="Arial" w:cs="Arial"/>
          <w:color w:val="333333"/>
        </w:rPr>
        <w:t>, Bauru, p. 115.</w:t>
      </w:r>
    </w:p>
    <w:p w14:paraId="1F4FA3F9" w14:textId="77777777" w:rsidR="00AE72D7" w:rsidRPr="00AD5781" w:rsidRDefault="00AE72D7">
      <w:pPr>
        <w:widowControl w:val="0"/>
        <w:spacing w:line="360" w:lineRule="auto"/>
        <w:jc w:val="both"/>
        <w:rPr>
          <w:rFonts w:ascii="Arial" w:eastAsia="Times New Roman" w:hAnsi="Arial" w:cs="Arial"/>
        </w:rPr>
      </w:pPr>
    </w:p>
    <w:p w14:paraId="4D524892" w14:textId="77777777" w:rsidR="00AE72D7" w:rsidRPr="00AD5781" w:rsidRDefault="007F10CE">
      <w:pPr>
        <w:widowControl w:val="0"/>
        <w:spacing w:line="360" w:lineRule="auto"/>
        <w:jc w:val="both"/>
        <w:rPr>
          <w:rFonts w:ascii="Arial" w:eastAsia="Times New Roman" w:hAnsi="Arial" w:cs="Arial"/>
        </w:rPr>
      </w:pPr>
      <w:r w:rsidRPr="00AD5781">
        <w:rPr>
          <w:rFonts w:ascii="Arial" w:eastAsia="Times New Roman" w:hAnsi="Arial" w:cs="Arial"/>
        </w:rPr>
        <w:t>Cullinan, M.P.</w:t>
      </w:r>
      <w:r w:rsidRPr="00AD5781">
        <w:rPr>
          <w:rFonts w:ascii="Arial" w:eastAsia="Times New Roman" w:hAnsi="Arial" w:cs="Arial"/>
          <w:lang w:val="pt-BR"/>
        </w:rPr>
        <w:t>,</w:t>
      </w:r>
      <w:r w:rsidRPr="00AD5781">
        <w:rPr>
          <w:rFonts w:ascii="Arial" w:eastAsia="Times New Roman" w:hAnsi="Arial" w:cs="Arial"/>
        </w:rPr>
        <w:t xml:space="preserve"> Ford, P.J.</w:t>
      </w:r>
      <w:r w:rsidRPr="00AD5781">
        <w:rPr>
          <w:rFonts w:ascii="Arial" w:eastAsia="Times New Roman" w:hAnsi="Arial" w:cs="Arial"/>
          <w:lang w:val="pt-BR"/>
        </w:rPr>
        <w:t>,</w:t>
      </w:r>
      <w:r w:rsidRPr="00AD5781">
        <w:rPr>
          <w:rFonts w:ascii="Arial" w:eastAsia="Times New Roman" w:hAnsi="Arial" w:cs="Arial"/>
        </w:rPr>
        <w:t xml:space="preserve"> Seymour, G.J.</w:t>
      </w:r>
      <w:r w:rsidRPr="00AD5781">
        <w:rPr>
          <w:rFonts w:ascii="Arial" w:eastAsia="Times New Roman" w:hAnsi="Arial" w:cs="Arial"/>
          <w:lang w:val="pt-BR"/>
        </w:rPr>
        <w:t xml:space="preserve"> (2009).</w:t>
      </w:r>
      <w:r w:rsidRPr="00AD5781">
        <w:rPr>
          <w:rFonts w:ascii="Arial" w:eastAsia="Times New Roman" w:hAnsi="Arial" w:cs="Arial"/>
        </w:rPr>
        <w:t xml:space="preserve"> Periodontal disease and systemic health: current status. </w:t>
      </w:r>
      <w:r w:rsidRPr="00AD5781">
        <w:rPr>
          <w:rFonts w:ascii="Arial" w:eastAsia="Times New Roman" w:hAnsi="Arial" w:cs="Arial"/>
          <w:i/>
          <w:iCs/>
        </w:rPr>
        <w:t>Australian Dental Journal.</w:t>
      </w:r>
      <w:r w:rsidRPr="00AD5781">
        <w:rPr>
          <w:rFonts w:ascii="Arial" w:eastAsia="Times New Roman" w:hAnsi="Arial" w:cs="Arial"/>
        </w:rPr>
        <w:t xml:space="preserve"> 54(1): 62–69.</w:t>
      </w:r>
    </w:p>
    <w:p w14:paraId="68B6DCF5" w14:textId="77777777" w:rsidR="00AE72D7" w:rsidRPr="00AD5781" w:rsidRDefault="00AE72D7">
      <w:pPr>
        <w:spacing w:line="360" w:lineRule="auto"/>
        <w:jc w:val="both"/>
        <w:rPr>
          <w:rFonts w:ascii="Arial" w:hAnsi="Arial" w:cs="Arial"/>
        </w:rPr>
      </w:pPr>
    </w:p>
    <w:p w14:paraId="4A478DA0" w14:textId="77777777" w:rsidR="00AE72D7" w:rsidRPr="00AD5781" w:rsidRDefault="007F10CE">
      <w:pPr>
        <w:spacing w:line="360" w:lineRule="auto"/>
        <w:jc w:val="both"/>
        <w:rPr>
          <w:rFonts w:ascii="Arial" w:hAnsi="Arial" w:cs="Arial"/>
        </w:rPr>
      </w:pPr>
      <w:r w:rsidRPr="00AD5781">
        <w:rPr>
          <w:rFonts w:ascii="Arial" w:hAnsi="Arial" w:cs="Arial"/>
        </w:rPr>
        <w:t>Cuoghi, O.A.</w:t>
      </w:r>
      <w:r w:rsidRPr="00AD5781">
        <w:rPr>
          <w:rFonts w:ascii="Arial" w:hAnsi="Arial" w:cs="Arial"/>
          <w:lang w:val="pt-BR"/>
        </w:rPr>
        <w:t>,</w:t>
      </w:r>
      <w:r w:rsidRPr="00AD5781">
        <w:rPr>
          <w:rFonts w:ascii="Arial" w:hAnsi="Arial" w:cs="Arial"/>
        </w:rPr>
        <w:t xml:space="preserve"> Faria, L.P.</w:t>
      </w:r>
      <w:r w:rsidRPr="00AD5781">
        <w:rPr>
          <w:rFonts w:ascii="Arial" w:hAnsi="Arial" w:cs="Arial"/>
          <w:lang w:val="pt-BR"/>
        </w:rPr>
        <w:t>,</w:t>
      </w:r>
      <w:r w:rsidRPr="00AD5781">
        <w:rPr>
          <w:rFonts w:ascii="Arial" w:hAnsi="Arial" w:cs="Arial"/>
        </w:rPr>
        <w:t xml:space="preserve"> Ervolino, E.</w:t>
      </w:r>
      <w:r w:rsidRPr="00AD5781">
        <w:rPr>
          <w:rFonts w:ascii="Arial" w:hAnsi="Arial" w:cs="Arial"/>
          <w:lang w:val="pt-BR"/>
        </w:rPr>
        <w:t>,</w:t>
      </w:r>
      <w:r w:rsidRPr="00AD5781">
        <w:rPr>
          <w:rFonts w:ascii="Arial" w:hAnsi="Arial" w:cs="Arial"/>
        </w:rPr>
        <w:t xml:space="preserve"> Barioni, S.R.P.</w:t>
      </w:r>
      <w:r w:rsidRPr="00AD5781">
        <w:rPr>
          <w:rFonts w:ascii="Arial" w:hAnsi="Arial" w:cs="Arial"/>
          <w:lang w:val="pt-BR"/>
        </w:rPr>
        <w:t>,</w:t>
      </w:r>
      <w:r w:rsidRPr="00AD5781">
        <w:rPr>
          <w:rFonts w:ascii="Arial" w:hAnsi="Arial" w:cs="Arial"/>
        </w:rPr>
        <w:t xml:space="preserve"> Topolski, F.</w:t>
      </w:r>
      <w:r w:rsidRPr="00AD5781">
        <w:rPr>
          <w:rFonts w:ascii="Arial" w:hAnsi="Arial" w:cs="Arial"/>
          <w:lang w:val="pt-BR"/>
        </w:rPr>
        <w:t>,</w:t>
      </w:r>
      <w:r w:rsidRPr="00AD5781">
        <w:rPr>
          <w:rFonts w:ascii="Arial" w:hAnsi="Arial" w:cs="Arial"/>
        </w:rPr>
        <w:t xml:space="preserve"> Arana-Chavez, V.E.</w:t>
      </w:r>
      <w:r w:rsidRPr="00AD5781">
        <w:rPr>
          <w:rFonts w:ascii="Arial" w:hAnsi="Arial" w:cs="Arial"/>
          <w:lang w:val="pt-BR"/>
        </w:rPr>
        <w:t>,</w:t>
      </w:r>
      <w:r w:rsidRPr="00AD5781">
        <w:rPr>
          <w:rFonts w:ascii="Arial" w:hAnsi="Arial" w:cs="Arial"/>
        </w:rPr>
        <w:t xml:space="preserve"> Mendonça, M.R. </w:t>
      </w:r>
      <w:r w:rsidRPr="00AD5781">
        <w:rPr>
          <w:rFonts w:ascii="Arial" w:hAnsi="Arial" w:cs="Arial"/>
          <w:lang w:val="pt-BR"/>
        </w:rPr>
        <w:t xml:space="preserve">(2018). </w:t>
      </w:r>
      <w:r w:rsidRPr="00AD5781">
        <w:rPr>
          <w:rFonts w:ascii="Arial" w:hAnsi="Arial" w:cs="Arial"/>
        </w:rPr>
        <w:t xml:space="preserve">Pulp analysis of teeth submitted to different types of forces: a histological study in rats. </w:t>
      </w:r>
      <w:r w:rsidRPr="00AD5781">
        <w:rPr>
          <w:rFonts w:ascii="Arial" w:hAnsi="Arial" w:cs="Arial"/>
          <w:i/>
          <w:iCs/>
        </w:rPr>
        <w:t>J Appl Oral Sci.</w:t>
      </w:r>
      <w:r w:rsidRPr="00AD5781">
        <w:rPr>
          <w:rFonts w:ascii="Arial" w:hAnsi="Arial" w:cs="Arial"/>
        </w:rPr>
        <w:t xml:space="preserve"> v. 26, e2017062</w:t>
      </w:r>
      <w:r w:rsidRPr="00AD5781">
        <w:rPr>
          <w:rFonts w:ascii="Arial" w:hAnsi="Arial" w:cs="Arial"/>
          <w:lang w:val="pt-BR"/>
        </w:rPr>
        <w:t>6</w:t>
      </w:r>
      <w:r w:rsidRPr="00AD5781">
        <w:rPr>
          <w:rFonts w:ascii="Arial" w:hAnsi="Arial" w:cs="Arial"/>
        </w:rPr>
        <w:t>.</w:t>
      </w:r>
    </w:p>
    <w:p w14:paraId="36111F2C" w14:textId="77777777" w:rsidR="00AE72D7" w:rsidRPr="00AD5781" w:rsidRDefault="00AE72D7">
      <w:pPr>
        <w:spacing w:line="360" w:lineRule="auto"/>
        <w:jc w:val="both"/>
        <w:rPr>
          <w:rFonts w:ascii="Arial" w:hAnsi="Arial" w:cs="Arial"/>
        </w:rPr>
      </w:pPr>
    </w:p>
    <w:p w14:paraId="49E5B1FA" w14:textId="77777777" w:rsidR="00AE72D7" w:rsidRPr="00AD5781" w:rsidRDefault="007F10CE">
      <w:pPr>
        <w:spacing w:line="360" w:lineRule="auto"/>
        <w:jc w:val="both"/>
        <w:rPr>
          <w:rFonts w:ascii="Arial" w:hAnsi="Arial" w:cs="Arial"/>
        </w:rPr>
      </w:pPr>
      <w:r w:rsidRPr="00AD5781">
        <w:rPr>
          <w:rFonts w:ascii="Arial" w:hAnsi="Arial" w:cs="Arial"/>
        </w:rPr>
        <w:t>Estrela, C.; Bueno, M.</w:t>
      </w:r>
      <w:r w:rsidRPr="00AD5781">
        <w:rPr>
          <w:rFonts w:ascii="Arial" w:hAnsi="Arial" w:cs="Arial"/>
          <w:lang w:val="pt-BR"/>
        </w:rPr>
        <w:t xml:space="preserve"> (2023).</w:t>
      </w:r>
      <w:r w:rsidRPr="00AD5781">
        <w:rPr>
          <w:rFonts w:ascii="Arial" w:hAnsi="Arial" w:cs="Arial"/>
        </w:rPr>
        <w:t xml:space="preserve"> </w:t>
      </w:r>
      <w:r w:rsidRPr="00AD5781">
        <w:rPr>
          <w:rFonts w:ascii="Arial" w:hAnsi="Arial" w:cs="Arial"/>
          <w:i/>
          <w:iCs/>
        </w:rPr>
        <w:t>Ciência endodôntica</w:t>
      </w:r>
      <w:r w:rsidRPr="00AD5781">
        <w:rPr>
          <w:rFonts w:ascii="Arial" w:hAnsi="Arial" w:cs="Arial"/>
        </w:rPr>
        <w:t>. Vol. 1. 3ª edição.</w:t>
      </w:r>
    </w:p>
    <w:p w14:paraId="0BE9993E" w14:textId="77777777" w:rsidR="00AE72D7" w:rsidRPr="00AD5781" w:rsidRDefault="00AE72D7">
      <w:pPr>
        <w:spacing w:line="360" w:lineRule="auto"/>
        <w:jc w:val="both"/>
        <w:rPr>
          <w:rFonts w:ascii="Arial" w:eastAsia="SimSun" w:hAnsi="Arial" w:cs="Arial"/>
        </w:rPr>
      </w:pPr>
    </w:p>
    <w:p w14:paraId="1BA895B3" w14:textId="77777777" w:rsidR="00AE72D7" w:rsidRPr="00AD5781" w:rsidRDefault="007F10CE">
      <w:pPr>
        <w:spacing w:line="360" w:lineRule="auto"/>
        <w:jc w:val="both"/>
        <w:rPr>
          <w:rFonts w:ascii="Arial" w:hAnsi="Arial" w:cs="Arial"/>
          <w:shd w:val="clear" w:color="auto" w:fill="FFFFFF"/>
        </w:rPr>
      </w:pPr>
      <w:r w:rsidRPr="00AD5781">
        <w:rPr>
          <w:rFonts w:ascii="Arial" w:hAnsi="Arial" w:cs="Arial"/>
          <w:shd w:val="clear" w:color="auto" w:fill="FFFFFF"/>
        </w:rPr>
        <w:t>Evans A.L.</w:t>
      </w:r>
      <w:r w:rsidRPr="00AD5781">
        <w:rPr>
          <w:rFonts w:ascii="Arial" w:hAnsi="Arial" w:cs="Arial"/>
          <w:shd w:val="clear" w:color="auto" w:fill="FFFFFF"/>
          <w:lang w:val="pt-BR"/>
        </w:rPr>
        <w:t>,</w:t>
      </w:r>
      <w:r w:rsidRPr="00AD5781">
        <w:rPr>
          <w:rFonts w:ascii="Arial" w:hAnsi="Arial" w:cs="Arial"/>
          <w:shd w:val="clear" w:color="auto" w:fill="FFFFFF"/>
        </w:rPr>
        <w:t xml:space="preserve"> Paggiosi M.A.</w:t>
      </w:r>
      <w:r w:rsidRPr="00AD5781">
        <w:rPr>
          <w:rFonts w:ascii="Arial" w:hAnsi="Arial" w:cs="Arial"/>
          <w:shd w:val="clear" w:color="auto" w:fill="FFFFFF"/>
          <w:lang w:val="pt-BR"/>
        </w:rPr>
        <w:t>,</w:t>
      </w:r>
      <w:r w:rsidRPr="00AD5781">
        <w:rPr>
          <w:rFonts w:ascii="Arial" w:hAnsi="Arial" w:cs="Arial"/>
          <w:shd w:val="clear" w:color="auto" w:fill="FFFFFF"/>
        </w:rPr>
        <w:t xml:space="preserve"> Eastell R.</w:t>
      </w:r>
      <w:r w:rsidRPr="00AD5781">
        <w:rPr>
          <w:rFonts w:ascii="Arial" w:hAnsi="Arial" w:cs="Arial"/>
          <w:shd w:val="clear" w:color="auto" w:fill="FFFFFF"/>
          <w:lang w:val="pt-BR"/>
        </w:rPr>
        <w:t>,</w:t>
      </w:r>
      <w:r w:rsidRPr="00AD5781">
        <w:rPr>
          <w:rFonts w:ascii="Arial" w:hAnsi="Arial" w:cs="Arial"/>
          <w:shd w:val="clear" w:color="auto" w:fill="FFFFFF"/>
        </w:rPr>
        <w:t xml:space="preserve"> Walsh J.S.</w:t>
      </w:r>
      <w:r w:rsidRPr="00AD5781">
        <w:rPr>
          <w:rFonts w:ascii="Arial" w:hAnsi="Arial" w:cs="Arial"/>
          <w:shd w:val="clear" w:color="auto" w:fill="FFFFFF"/>
          <w:lang w:val="pt-BR"/>
        </w:rPr>
        <w:t xml:space="preserve"> (2015).</w:t>
      </w:r>
      <w:r w:rsidRPr="00AD5781">
        <w:rPr>
          <w:rFonts w:ascii="Arial" w:hAnsi="Arial" w:cs="Arial"/>
          <w:shd w:val="clear" w:color="auto" w:fill="FFFFFF"/>
        </w:rPr>
        <w:t xml:space="preserve"> Bone density, microstructure and strength in obese and normal weight men and women in younger and older adulthood. </w:t>
      </w:r>
      <w:r w:rsidRPr="00AD5781">
        <w:rPr>
          <w:rFonts w:ascii="Arial" w:hAnsi="Arial" w:cs="Arial"/>
          <w:i/>
          <w:iCs/>
          <w:shd w:val="clear" w:color="auto" w:fill="FFFFFF"/>
        </w:rPr>
        <w:t xml:space="preserve">J Bone Miner Res. </w:t>
      </w:r>
      <w:r w:rsidRPr="00AD5781">
        <w:rPr>
          <w:rFonts w:ascii="Arial" w:hAnsi="Arial" w:cs="Arial"/>
          <w:shd w:val="clear" w:color="auto" w:fill="FFFFFF"/>
        </w:rPr>
        <w:t>30(5): 920-928.</w:t>
      </w:r>
    </w:p>
    <w:p w14:paraId="2D83B404" w14:textId="77777777" w:rsidR="00AE72D7" w:rsidRPr="00AD5781" w:rsidRDefault="00AE72D7">
      <w:pPr>
        <w:pStyle w:val="bodytext"/>
        <w:shd w:val="clear" w:color="auto" w:fill="FFFFFF"/>
        <w:spacing w:before="0" w:beforeAutospacing="0" w:after="0" w:afterAutospacing="0" w:line="360" w:lineRule="auto"/>
        <w:jc w:val="both"/>
        <w:rPr>
          <w:rFonts w:ascii="Arial" w:hAnsi="Arial" w:cs="Arial"/>
          <w:sz w:val="20"/>
          <w:szCs w:val="20"/>
          <w:lang w:val="en-US"/>
        </w:rPr>
      </w:pPr>
    </w:p>
    <w:p w14:paraId="309DDBF0" w14:textId="77777777" w:rsidR="00AE72D7" w:rsidRPr="00AD5781" w:rsidRDefault="007F10CE">
      <w:pPr>
        <w:pStyle w:val="bodytext"/>
        <w:shd w:val="clear" w:color="auto" w:fill="FFFFFF"/>
        <w:spacing w:before="0" w:beforeAutospacing="0" w:after="0" w:afterAutospacing="0" w:line="360" w:lineRule="auto"/>
        <w:jc w:val="both"/>
        <w:rPr>
          <w:rFonts w:ascii="Arial" w:hAnsi="Arial" w:cs="Arial"/>
          <w:sz w:val="20"/>
          <w:szCs w:val="20"/>
          <w:lang w:val="en-US"/>
        </w:rPr>
      </w:pPr>
      <w:r w:rsidRPr="00AD5781">
        <w:rPr>
          <w:rFonts w:ascii="Arial" w:hAnsi="Arial" w:cs="Arial"/>
          <w:sz w:val="20"/>
          <w:szCs w:val="20"/>
          <w:lang w:val="en-US"/>
        </w:rPr>
        <w:t>Faul, F.</w:t>
      </w:r>
      <w:r w:rsidRPr="00AD5781">
        <w:rPr>
          <w:rFonts w:ascii="Arial" w:hAnsi="Arial" w:cs="Arial"/>
          <w:sz w:val="20"/>
          <w:szCs w:val="20"/>
        </w:rPr>
        <w:t>,</w:t>
      </w:r>
      <w:r w:rsidRPr="00AD5781">
        <w:rPr>
          <w:rFonts w:ascii="Arial" w:hAnsi="Arial" w:cs="Arial"/>
          <w:sz w:val="20"/>
          <w:szCs w:val="20"/>
          <w:lang w:val="en-US"/>
        </w:rPr>
        <w:t xml:space="preserve"> Erdfelder, E.</w:t>
      </w:r>
      <w:r w:rsidRPr="00AD5781">
        <w:rPr>
          <w:rFonts w:ascii="Arial" w:hAnsi="Arial" w:cs="Arial"/>
          <w:sz w:val="20"/>
          <w:szCs w:val="20"/>
        </w:rPr>
        <w:t>,</w:t>
      </w:r>
      <w:r w:rsidRPr="00AD5781">
        <w:rPr>
          <w:rFonts w:ascii="Arial" w:hAnsi="Arial" w:cs="Arial"/>
          <w:sz w:val="20"/>
          <w:szCs w:val="20"/>
          <w:lang w:val="en-US"/>
        </w:rPr>
        <w:t xml:space="preserve"> Buchner, A.</w:t>
      </w:r>
      <w:r w:rsidRPr="00AD5781">
        <w:rPr>
          <w:rFonts w:ascii="Arial" w:hAnsi="Arial" w:cs="Arial"/>
          <w:sz w:val="20"/>
          <w:szCs w:val="20"/>
        </w:rPr>
        <w:t>,</w:t>
      </w:r>
      <w:r w:rsidRPr="00AD5781">
        <w:rPr>
          <w:rFonts w:ascii="Arial" w:hAnsi="Arial" w:cs="Arial"/>
          <w:sz w:val="20"/>
          <w:szCs w:val="20"/>
          <w:lang w:val="en-US"/>
        </w:rPr>
        <w:t xml:space="preserve"> Lang, A.G. </w:t>
      </w:r>
      <w:r w:rsidRPr="00AD5781">
        <w:rPr>
          <w:rFonts w:ascii="Arial" w:hAnsi="Arial" w:cs="Arial"/>
          <w:sz w:val="20"/>
          <w:szCs w:val="20"/>
        </w:rPr>
        <w:t xml:space="preserve">(2009). </w:t>
      </w:r>
      <w:r w:rsidRPr="00AD5781">
        <w:rPr>
          <w:rFonts w:ascii="Arial" w:hAnsi="Arial" w:cs="Arial"/>
          <w:sz w:val="20"/>
          <w:szCs w:val="20"/>
          <w:lang w:val="en-US"/>
        </w:rPr>
        <w:t>Statistical power analyses using G*Power 3.1: Tests for correlation and regression analyses. </w:t>
      </w:r>
      <w:r w:rsidRPr="00AD5781">
        <w:rPr>
          <w:rFonts w:ascii="Arial" w:hAnsi="Arial" w:cs="Arial"/>
          <w:i/>
          <w:sz w:val="20"/>
          <w:szCs w:val="20"/>
          <w:lang w:val="en-US"/>
        </w:rPr>
        <w:t>Behavior Research Methods</w:t>
      </w:r>
      <w:r w:rsidRPr="00AD5781">
        <w:rPr>
          <w:rFonts w:ascii="Arial" w:hAnsi="Arial" w:cs="Arial"/>
          <w:sz w:val="20"/>
          <w:szCs w:val="20"/>
          <w:lang w:val="en-US"/>
        </w:rPr>
        <w:t>. </w:t>
      </w:r>
      <w:r w:rsidRPr="00AD5781">
        <w:rPr>
          <w:rFonts w:ascii="Arial" w:hAnsi="Arial" w:cs="Arial"/>
          <w:iCs/>
          <w:sz w:val="20"/>
          <w:szCs w:val="20"/>
          <w:lang w:val="en-US"/>
        </w:rPr>
        <w:t>41</w:t>
      </w:r>
      <w:r w:rsidRPr="00AD5781">
        <w:rPr>
          <w:rFonts w:ascii="Arial" w:hAnsi="Arial" w:cs="Arial"/>
          <w:sz w:val="20"/>
          <w:szCs w:val="20"/>
          <w:lang w:val="en-US"/>
        </w:rPr>
        <w:t>(4): 1149-1160.</w:t>
      </w:r>
    </w:p>
    <w:p w14:paraId="330B61E7" w14:textId="77777777" w:rsidR="00AE72D7" w:rsidRPr="00AD5781" w:rsidRDefault="00AE72D7">
      <w:pPr>
        <w:pStyle w:val="bodytext"/>
        <w:shd w:val="clear" w:color="auto" w:fill="FFFFFF"/>
        <w:spacing w:before="0" w:beforeAutospacing="0" w:after="0" w:afterAutospacing="0" w:line="360" w:lineRule="auto"/>
        <w:jc w:val="both"/>
        <w:rPr>
          <w:rFonts w:ascii="Arial" w:hAnsi="Arial" w:cs="Arial"/>
          <w:sz w:val="20"/>
          <w:szCs w:val="20"/>
          <w:lang w:val="en-US"/>
        </w:rPr>
      </w:pPr>
    </w:p>
    <w:p w14:paraId="56B79AFB" w14:textId="77777777" w:rsidR="00AE72D7" w:rsidRPr="00AD5781" w:rsidRDefault="007F10CE">
      <w:pPr>
        <w:pStyle w:val="bodytext"/>
        <w:shd w:val="clear" w:color="auto" w:fill="FFFFFF"/>
        <w:spacing w:before="0" w:beforeAutospacing="0" w:after="0" w:afterAutospacing="0" w:line="360" w:lineRule="auto"/>
        <w:jc w:val="both"/>
        <w:rPr>
          <w:rFonts w:ascii="Arial" w:hAnsi="Arial" w:cs="Arial"/>
          <w:sz w:val="20"/>
          <w:szCs w:val="20"/>
          <w:lang w:val="en-US"/>
        </w:rPr>
      </w:pPr>
      <w:r w:rsidRPr="00AD5781">
        <w:rPr>
          <w:rFonts w:ascii="Arial" w:hAnsi="Arial" w:cs="Arial"/>
          <w:sz w:val="20"/>
          <w:szCs w:val="20"/>
          <w:lang w:val="en-US"/>
        </w:rPr>
        <w:lastRenderedPageBreak/>
        <w:t>Faul, F.; Erdfelder, E.; Lang, A.G.; Buchner, A.</w:t>
      </w:r>
      <w:r w:rsidRPr="00AD5781">
        <w:rPr>
          <w:rFonts w:ascii="Arial" w:hAnsi="Arial" w:cs="Arial"/>
          <w:sz w:val="20"/>
          <w:szCs w:val="20"/>
        </w:rPr>
        <w:t xml:space="preserve"> (2007).</w:t>
      </w:r>
      <w:r w:rsidRPr="00AD5781">
        <w:rPr>
          <w:rFonts w:ascii="Arial" w:hAnsi="Arial" w:cs="Arial"/>
          <w:sz w:val="20"/>
          <w:szCs w:val="20"/>
          <w:lang w:val="en-US"/>
        </w:rPr>
        <w:t xml:space="preserve"> G*Power 3: A flexible statistical power analysis program for the social, behavioral, and biomedical sciences. </w:t>
      </w:r>
      <w:r w:rsidRPr="00AD5781">
        <w:rPr>
          <w:rFonts w:ascii="Arial" w:hAnsi="Arial" w:cs="Arial"/>
          <w:i/>
          <w:sz w:val="20"/>
          <w:szCs w:val="20"/>
          <w:lang w:val="en-US"/>
        </w:rPr>
        <w:t>Behavior Research Methods.</w:t>
      </w:r>
      <w:r w:rsidRPr="00AD5781">
        <w:rPr>
          <w:rFonts w:ascii="Arial" w:hAnsi="Arial" w:cs="Arial"/>
          <w:sz w:val="20"/>
          <w:szCs w:val="20"/>
          <w:lang w:val="en-US"/>
        </w:rPr>
        <w:t> </w:t>
      </w:r>
      <w:r w:rsidRPr="00AD5781">
        <w:rPr>
          <w:rFonts w:ascii="Arial" w:hAnsi="Arial" w:cs="Arial"/>
          <w:iCs/>
          <w:sz w:val="20"/>
          <w:szCs w:val="20"/>
          <w:lang w:val="en-US"/>
        </w:rPr>
        <w:t>39</w:t>
      </w:r>
      <w:r w:rsidRPr="00AD5781">
        <w:rPr>
          <w:rFonts w:ascii="Arial" w:hAnsi="Arial" w:cs="Arial"/>
          <w:sz w:val="20"/>
          <w:szCs w:val="20"/>
          <w:lang w:val="en-US"/>
        </w:rPr>
        <w:t>(2): 175-19</w:t>
      </w:r>
      <w:r w:rsidRPr="00AD5781">
        <w:rPr>
          <w:rFonts w:ascii="Arial" w:hAnsi="Arial" w:cs="Arial"/>
          <w:sz w:val="20"/>
          <w:szCs w:val="20"/>
        </w:rPr>
        <w:t>1</w:t>
      </w:r>
      <w:r w:rsidRPr="00AD5781">
        <w:rPr>
          <w:rFonts w:ascii="Arial" w:hAnsi="Arial" w:cs="Arial"/>
          <w:sz w:val="20"/>
          <w:szCs w:val="20"/>
          <w:lang w:val="en-US"/>
        </w:rPr>
        <w:t>.</w:t>
      </w:r>
    </w:p>
    <w:p w14:paraId="5CC174A3" w14:textId="77777777" w:rsidR="00AE72D7" w:rsidRPr="00AD5781" w:rsidRDefault="00AE72D7">
      <w:pPr>
        <w:autoSpaceDE w:val="0"/>
        <w:autoSpaceDN w:val="0"/>
        <w:adjustRightInd w:val="0"/>
        <w:spacing w:line="360" w:lineRule="auto"/>
        <w:ind w:right="-2"/>
        <w:jc w:val="both"/>
        <w:rPr>
          <w:rFonts w:ascii="Arial" w:hAnsi="Arial" w:cs="Arial"/>
          <w:shd w:val="clear" w:color="auto" w:fill="FFFFFF"/>
        </w:rPr>
      </w:pPr>
    </w:p>
    <w:p w14:paraId="04A468CF" w14:textId="77777777" w:rsidR="00AE72D7" w:rsidRPr="00AD5781" w:rsidRDefault="007F10CE">
      <w:pPr>
        <w:autoSpaceDE w:val="0"/>
        <w:autoSpaceDN w:val="0"/>
        <w:adjustRightInd w:val="0"/>
        <w:spacing w:line="360" w:lineRule="auto"/>
        <w:ind w:right="-2"/>
        <w:jc w:val="both"/>
        <w:rPr>
          <w:rFonts w:ascii="Arial" w:hAnsi="Arial" w:cs="Arial"/>
          <w:shd w:val="clear" w:color="auto" w:fill="FFFFFF"/>
        </w:rPr>
      </w:pPr>
      <w:r w:rsidRPr="00AD5781">
        <w:rPr>
          <w:rFonts w:ascii="Arial" w:hAnsi="Arial" w:cs="Arial"/>
          <w:shd w:val="clear" w:color="auto" w:fill="FFFFFF"/>
        </w:rPr>
        <w:t>Felson D.T</w:t>
      </w:r>
      <w:r w:rsidRPr="00AD5781">
        <w:rPr>
          <w:rFonts w:ascii="Arial" w:hAnsi="Arial" w:cs="Arial"/>
          <w:shd w:val="clear" w:color="auto" w:fill="FFFFFF"/>
          <w:lang w:val="pt-BR"/>
        </w:rPr>
        <w:t>,</w:t>
      </w:r>
      <w:r w:rsidRPr="00AD5781">
        <w:rPr>
          <w:rFonts w:ascii="Arial" w:hAnsi="Arial" w:cs="Arial"/>
          <w:shd w:val="clear" w:color="auto" w:fill="FFFFFF"/>
        </w:rPr>
        <w:t xml:space="preserve"> Zhang Y.</w:t>
      </w:r>
      <w:r w:rsidRPr="00AD5781">
        <w:rPr>
          <w:rFonts w:ascii="Arial" w:hAnsi="Arial" w:cs="Arial"/>
          <w:shd w:val="clear" w:color="auto" w:fill="FFFFFF"/>
          <w:lang w:val="pt-BR"/>
        </w:rPr>
        <w:t>,</w:t>
      </w:r>
      <w:r w:rsidRPr="00AD5781">
        <w:rPr>
          <w:rFonts w:ascii="Arial" w:hAnsi="Arial" w:cs="Arial"/>
          <w:shd w:val="clear" w:color="auto" w:fill="FFFFFF"/>
        </w:rPr>
        <w:t xml:space="preserve"> Hannan M.T</w:t>
      </w:r>
      <w:r w:rsidRPr="00AD5781">
        <w:rPr>
          <w:rFonts w:ascii="Arial" w:hAnsi="Arial" w:cs="Arial"/>
          <w:shd w:val="clear" w:color="auto" w:fill="FFFFFF"/>
          <w:lang w:val="pt-BR"/>
        </w:rPr>
        <w:t>,</w:t>
      </w:r>
      <w:r w:rsidRPr="00AD5781">
        <w:rPr>
          <w:rFonts w:ascii="Arial" w:hAnsi="Arial" w:cs="Arial"/>
          <w:shd w:val="clear" w:color="auto" w:fill="FFFFFF"/>
        </w:rPr>
        <w:t xml:space="preserve"> Anderson J.J.</w:t>
      </w:r>
      <w:r w:rsidRPr="00AD5781">
        <w:rPr>
          <w:rFonts w:ascii="Arial" w:hAnsi="Arial" w:cs="Arial"/>
          <w:shd w:val="clear" w:color="auto" w:fill="FFFFFF"/>
          <w:lang w:val="pt-BR"/>
        </w:rPr>
        <w:t xml:space="preserve"> (1993).</w:t>
      </w:r>
      <w:r w:rsidRPr="00AD5781">
        <w:rPr>
          <w:rFonts w:ascii="Arial" w:hAnsi="Arial" w:cs="Arial"/>
          <w:shd w:val="clear" w:color="auto" w:fill="FFFFFF"/>
        </w:rPr>
        <w:t xml:space="preserve"> Effects of weight and body mass index on bone mineral density in men and women: the Framingham study. </w:t>
      </w:r>
      <w:r w:rsidRPr="00AD5781">
        <w:rPr>
          <w:rFonts w:ascii="Arial" w:hAnsi="Arial" w:cs="Arial"/>
          <w:i/>
          <w:iCs/>
          <w:shd w:val="clear" w:color="auto" w:fill="FFFFFF"/>
        </w:rPr>
        <w:t xml:space="preserve">J Bone and Min Res. </w:t>
      </w:r>
      <w:r w:rsidRPr="00AD5781">
        <w:rPr>
          <w:rFonts w:ascii="Arial" w:hAnsi="Arial" w:cs="Arial"/>
          <w:shd w:val="clear" w:color="auto" w:fill="FFFFFF"/>
        </w:rPr>
        <w:t>8(5): 567-573.</w:t>
      </w:r>
    </w:p>
    <w:p w14:paraId="32558DA4" w14:textId="77777777" w:rsidR="00AE72D7" w:rsidRPr="00AD5781" w:rsidRDefault="00AE72D7">
      <w:pPr>
        <w:shd w:val="clear" w:color="auto" w:fill="FFFFFF"/>
        <w:spacing w:line="360" w:lineRule="auto"/>
        <w:ind w:right="-2"/>
        <w:jc w:val="both"/>
        <w:rPr>
          <w:rFonts w:ascii="Arial" w:eastAsia="Times New Roman" w:hAnsi="Arial" w:cs="Arial"/>
        </w:rPr>
      </w:pPr>
    </w:p>
    <w:p w14:paraId="17278826" w14:textId="77777777" w:rsidR="00AE72D7" w:rsidRPr="00AD5781" w:rsidRDefault="007F10CE">
      <w:pPr>
        <w:spacing w:line="360" w:lineRule="auto"/>
        <w:jc w:val="both"/>
        <w:rPr>
          <w:rFonts w:ascii="Arial" w:eastAsia="sans-serif" w:hAnsi="Arial" w:cs="Arial"/>
          <w:color w:val="333333"/>
          <w:lang w:val="pt-BR"/>
        </w:rPr>
      </w:pPr>
      <w:r w:rsidRPr="00AD5781">
        <w:rPr>
          <w:rFonts w:ascii="Arial" w:eastAsia="sans-serif" w:hAnsi="Arial" w:cs="Arial"/>
          <w:color w:val="333333"/>
        </w:rPr>
        <w:t>Fernandes, G.S.A.</w:t>
      </w:r>
      <w:r w:rsidRPr="00AD5781">
        <w:rPr>
          <w:rFonts w:ascii="Arial" w:eastAsia="sans-serif" w:hAnsi="Arial" w:cs="Arial"/>
          <w:color w:val="333333"/>
          <w:lang w:val="pt-BR"/>
        </w:rPr>
        <w:t>,</w:t>
      </w:r>
      <w:r w:rsidRPr="00AD5781">
        <w:rPr>
          <w:rFonts w:ascii="Arial" w:eastAsia="sans-serif" w:hAnsi="Arial" w:cs="Arial"/>
          <w:color w:val="333333"/>
        </w:rPr>
        <w:t xml:space="preserve"> Arena, A.C.</w:t>
      </w:r>
      <w:r w:rsidRPr="00AD5781">
        <w:rPr>
          <w:rFonts w:ascii="Arial" w:eastAsia="sans-serif" w:hAnsi="Arial" w:cs="Arial"/>
          <w:color w:val="333333"/>
          <w:lang w:val="pt-BR"/>
        </w:rPr>
        <w:t>,</w:t>
      </w:r>
      <w:r w:rsidRPr="00AD5781">
        <w:rPr>
          <w:rFonts w:ascii="Arial" w:eastAsia="sans-serif" w:hAnsi="Arial" w:cs="Arial"/>
          <w:color w:val="333333"/>
        </w:rPr>
        <w:t xml:space="preserve"> Campos, K.E.</w:t>
      </w:r>
      <w:r w:rsidRPr="00AD5781">
        <w:rPr>
          <w:rFonts w:ascii="Arial" w:eastAsia="sans-serif" w:hAnsi="Arial" w:cs="Arial"/>
          <w:color w:val="333333"/>
          <w:lang w:val="pt-BR"/>
        </w:rPr>
        <w:t>,</w:t>
      </w:r>
      <w:r w:rsidRPr="00AD5781">
        <w:rPr>
          <w:rFonts w:ascii="Arial" w:eastAsia="sans-serif" w:hAnsi="Arial" w:cs="Arial"/>
          <w:color w:val="333333"/>
        </w:rPr>
        <w:t xml:space="preserve"> Volpato, G.T.</w:t>
      </w:r>
      <w:r w:rsidRPr="00AD5781">
        <w:rPr>
          <w:rFonts w:ascii="Arial" w:eastAsia="sans-serif" w:hAnsi="Arial" w:cs="Arial"/>
          <w:color w:val="333333"/>
          <w:lang w:val="pt-BR"/>
        </w:rPr>
        <w:t>,</w:t>
      </w:r>
      <w:r w:rsidRPr="00AD5781">
        <w:rPr>
          <w:rFonts w:ascii="Arial" w:eastAsia="sans-serif" w:hAnsi="Arial" w:cs="Arial"/>
          <w:color w:val="333333"/>
        </w:rPr>
        <w:t xml:space="preserve"> Anselmo-Franci, J.A</w:t>
      </w:r>
      <w:r w:rsidRPr="00AD5781">
        <w:rPr>
          <w:rFonts w:ascii="Arial" w:eastAsia="sans-serif" w:hAnsi="Arial" w:cs="Arial"/>
          <w:color w:val="333333"/>
          <w:lang w:val="pt-BR"/>
        </w:rPr>
        <w:t>,</w:t>
      </w:r>
      <w:r w:rsidRPr="00AD5781">
        <w:rPr>
          <w:rFonts w:ascii="Arial" w:eastAsia="sans-serif" w:hAnsi="Arial" w:cs="Arial"/>
          <w:color w:val="333333"/>
        </w:rPr>
        <w:t xml:space="preserve"> Damasceno, D.C.</w:t>
      </w:r>
      <w:r w:rsidRPr="00AD5781">
        <w:rPr>
          <w:rFonts w:ascii="Arial" w:eastAsia="sans-serif" w:hAnsi="Arial" w:cs="Arial"/>
          <w:color w:val="333333"/>
          <w:lang w:val="pt-BR"/>
        </w:rPr>
        <w:t xml:space="preserve"> (2012).</w:t>
      </w:r>
      <w:r w:rsidRPr="00AD5781">
        <w:rPr>
          <w:rFonts w:ascii="Arial" w:eastAsia="sans-serif" w:hAnsi="Arial" w:cs="Arial"/>
          <w:color w:val="333333"/>
        </w:rPr>
        <w:t xml:space="preserve"> A obesidade induzida por glutamato leva à diminuição das reservas de espermatozoides e à aceleração do tempo de trânsito no epidídimo de ratos machos adultos. </w:t>
      </w:r>
      <w:r w:rsidRPr="00AD5781">
        <w:rPr>
          <w:rFonts w:ascii="Arial" w:eastAsia="sans-serif" w:hAnsi="Arial" w:cs="Arial"/>
          <w:i/>
          <w:iCs/>
          <w:color w:val="333333"/>
        </w:rPr>
        <w:t>Reprod Biol Endocrinol</w:t>
      </w:r>
      <w:r w:rsidRPr="00AD5781">
        <w:rPr>
          <w:rFonts w:ascii="Arial" w:eastAsia="sans-serif" w:hAnsi="Arial" w:cs="Arial"/>
          <w:color w:val="333333"/>
        </w:rPr>
        <w:t>. 10:105</w:t>
      </w:r>
      <w:r w:rsidRPr="00AD5781">
        <w:rPr>
          <w:rFonts w:ascii="Arial" w:eastAsia="sans-serif" w:hAnsi="Arial" w:cs="Arial"/>
          <w:color w:val="333333"/>
          <w:lang w:val="pt-BR"/>
        </w:rPr>
        <w:t>.</w:t>
      </w:r>
    </w:p>
    <w:p w14:paraId="629EDCCA" w14:textId="77777777" w:rsidR="00AE72D7" w:rsidRPr="00AD5781" w:rsidRDefault="00AE72D7">
      <w:pPr>
        <w:widowControl w:val="0"/>
        <w:spacing w:line="360" w:lineRule="auto"/>
        <w:jc w:val="both"/>
        <w:rPr>
          <w:rFonts w:ascii="Arial" w:eastAsia="Times New Roman" w:hAnsi="Arial" w:cs="Arial"/>
        </w:rPr>
      </w:pPr>
    </w:p>
    <w:p w14:paraId="03891A10" w14:textId="77777777" w:rsidR="00AE72D7" w:rsidRPr="00AD5781" w:rsidRDefault="007F10CE">
      <w:pPr>
        <w:widowControl w:val="0"/>
        <w:spacing w:line="360" w:lineRule="auto"/>
        <w:jc w:val="both"/>
        <w:rPr>
          <w:rFonts w:ascii="Arial" w:eastAsia="Times New Roman" w:hAnsi="Arial" w:cs="Arial"/>
        </w:rPr>
      </w:pPr>
      <w:r w:rsidRPr="00AD5781">
        <w:rPr>
          <w:rFonts w:ascii="Arial" w:eastAsia="Times New Roman" w:hAnsi="Arial" w:cs="Arial"/>
        </w:rPr>
        <w:t>Gameiro, G.H.</w:t>
      </w:r>
      <w:r w:rsidRPr="00AD5781">
        <w:rPr>
          <w:rFonts w:ascii="Arial" w:eastAsia="Times New Roman" w:hAnsi="Arial" w:cs="Arial"/>
          <w:lang w:val="pt-BR"/>
        </w:rPr>
        <w:t>,</w:t>
      </w:r>
      <w:r w:rsidRPr="00AD5781">
        <w:rPr>
          <w:rFonts w:ascii="Arial" w:eastAsia="Times New Roman" w:hAnsi="Arial" w:cs="Arial"/>
        </w:rPr>
        <w:t xml:space="preserve"> Nouer, D.F.</w:t>
      </w:r>
      <w:r w:rsidRPr="00AD5781">
        <w:rPr>
          <w:rFonts w:ascii="Arial" w:eastAsia="Times New Roman" w:hAnsi="Arial" w:cs="Arial"/>
          <w:lang w:val="pt-BR"/>
        </w:rPr>
        <w:t>,</w:t>
      </w:r>
      <w:r w:rsidRPr="00AD5781">
        <w:rPr>
          <w:rFonts w:ascii="Arial" w:eastAsia="Times New Roman" w:hAnsi="Arial" w:cs="Arial"/>
        </w:rPr>
        <w:t xml:space="preserve"> Neto, J.S.P.</w:t>
      </w:r>
      <w:r w:rsidRPr="00AD5781">
        <w:rPr>
          <w:rFonts w:ascii="Arial" w:eastAsia="Times New Roman" w:hAnsi="Arial" w:cs="Arial"/>
          <w:lang w:val="pt-BR"/>
        </w:rPr>
        <w:t>,</w:t>
      </w:r>
      <w:r w:rsidRPr="00AD5781">
        <w:rPr>
          <w:rFonts w:ascii="Arial" w:eastAsia="Times New Roman" w:hAnsi="Arial" w:cs="Arial"/>
        </w:rPr>
        <w:t xml:space="preserve"> Siqueira, V.C.</w:t>
      </w:r>
      <w:r w:rsidRPr="00AD5781">
        <w:rPr>
          <w:rFonts w:ascii="Arial" w:eastAsia="Times New Roman" w:hAnsi="Arial" w:cs="Arial"/>
          <w:lang w:val="pt-BR"/>
        </w:rPr>
        <w:t>,</w:t>
      </w:r>
      <w:r w:rsidRPr="00AD5781">
        <w:rPr>
          <w:rFonts w:ascii="Arial" w:eastAsia="Times New Roman" w:hAnsi="Arial" w:cs="Arial"/>
        </w:rPr>
        <w:t xml:space="preserve"> Andrade, E.D.</w:t>
      </w:r>
      <w:r w:rsidRPr="00AD5781">
        <w:rPr>
          <w:rFonts w:ascii="Arial" w:eastAsia="Times New Roman" w:hAnsi="Arial" w:cs="Arial"/>
          <w:lang w:val="pt-BR"/>
        </w:rPr>
        <w:t>,</w:t>
      </w:r>
      <w:r w:rsidRPr="00AD5781">
        <w:rPr>
          <w:rFonts w:ascii="Arial" w:eastAsia="Times New Roman" w:hAnsi="Arial" w:cs="Arial"/>
        </w:rPr>
        <w:t xml:space="preserve"> Novaes, P.D.</w:t>
      </w:r>
      <w:r w:rsidRPr="00AD5781">
        <w:rPr>
          <w:rFonts w:ascii="Arial" w:eastAsia="Times New Roman" w:hAnsi="Arial" w:cs="Arial"/>
          <w:lang w:val="pt-BR"/>
        </w:rPr>
        <w:t>,</w:t>
      </w:r>
      <w:r w:rsidRPr="00AD5781">
        <w:rPr>
          <w:rFonts w:ascii="Arial" w:eastAsia="Times New Roman" w:hAnsi="Arial" w:cs="Arial"/>
        </w:rPr>
        <w:t xml:space="preserve"> Veiga, M. C. F. </w:t>
      </w:r>
      <w:r w:rsidRPr="00AD5781">
        <w:rPr>
          <w:rFonts w:ascii="Arial" w:eastAsia="Times New Roman" w:hAnsi="Arial" w:cs="Arial"/>
          <w:lang w:val="pt-BR"/>
        </w:rPr>
        <w:t xml:space="preserve">(2008). </w:t>
      </w:r>
      <w:r w:rsidRPr="00AD5781">
        <w:rPr>
          <w:rFonts w:ascii="Arial" w:eastAsia="Times New Roman" w:hAnsi="Arial" w:cs="Arial"/>
        </w:rPr>
        <w:t xml:space="preserve">Effects of short- and long-term celecoxib on orthodontic tooth movement. </w:t>
      </w:r>
      <w:r w:rsidRPr="00AD5781">
        <w:rPr>
          <w:rFonts w:ascii="Arial" w:eastAsia="Times New Roman" w:hAnsi="Arial" w:cs="Arial"/>
          <w:i/>
          <w:iCs/>
        </w:rPr>
        <w:t xml:space="preserve">Angle Orthodontist. </w:t>
      </w:r>
      <w:r w:rsidRPr="00AD5781">
        <w:rPr>
          <w:rFonts w:ascii="Arial" w:eastAsia="Times New Roman" w:hAnsi="Arial" w:cs="Arial"/>
        </w:rPr>
        <w:t>78(5): 860–865.</w:t>
      </w:r>
    </w:p>
    <w:p w14:paraId="3DB981C6" w14:textId="77777777" w:rsidR="00AE72D7" w:rsidRPr="00AD5781" w:rsidRDefault="00AE72D7">
      <w:pPr>
        <w:widowControl w:val="0"/>
        <w:spacing w:line="360" w:lineRule="auto"/>
        <w:jc w:val="both"/>
        <w:rPr>
          <w:rFonts w:ascii="Arial" w:eastAsia="Frutiger-LightCn" w:hAnsi="Arial" w:cs="Arial"/>
          <w:lang w:eastAsia="zh-CN" w:bidi="ar"/>
        </w:rPr>
      </w:pPr>
    </w:p>
    <w:p w14:paraId="10B457FB" w14:textId="77777777" w:rsidR="00AE72D7" w:rsidRPr="00AD5781" w:rsidRDefault="007F10CE">
      <w:pPr>
        <w:widowControl w:val="0"/>
        <w:spacing w:line="360" w:lineRule="auto"/>
        <w:jc w:val="both"/>
        <w:rPr>
          <w:rFonts w:ascii="Arial" w:eastAsia="Frutiger-LightCn" w:hAnsi="Arial" w:cs="Arial"/>
          <w:lang w:eastAsia="zh-CN" w:bidi="ar"/>
        </w:rPr>
      </w:pPr>
      <w:r w:rsidRPr="00AD5781">
        <w:rPr>
          <w:rFonts w:ascii="Arial" w:eastAsia="Frutiger-LightCn" w:hAnsi="Arial" w:cs="Arial"/>
          <w:lang w:eastAsia="zh-CN" w:bidi="ar"/>
        </w:rPr>
        <w:t>Goga R.</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Chandler N.</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Oginni, A. </w:t>
      </w:r>
      <w:r w:rsidRPr="00AD5781">
        <w:rPr>
          <w:rFonts w:ascii="Arial" w:eastAsia="Frutiger-LightCn" w:hAnsi="Arial" w:cs="Arial"/>
          <w:lang w:val="pt-BR" w:eastAsia="zh-CN" w:bidi="ar"/>
        </w:rPr>
        <w:t xml:space="preserve">(2008). </w:t>
      </w:r>
      <w:r w:rsidRPr="00AD5781">
        <w:rPr>
          <w:rFonts w:ascii="Arial" w:eastAsia="Frutiger-LightCn" w:hAnsi="Arial" w:cs="Arial"/>
          <w:lang w:eastAsia="zh-CN" w:bidi="ar"/>
        </w:rPr>
        <w:t>Pulp stones: a review.</w:t>
      </w:r>
      <w:r w:rsidRPr="00AD5781">
        <w:rPr>
          <w:rFonts w:ascii="Arial" w:eastAsia="Frutiger-LightCn" w:hAnsi="Arial" w:cs="Arial"/>
          <w:i/>
          <w:iCs/>
          <w:lang w:eastAsia="zh-CN" w:bidi="ar"/>
        </w:rPr>
        <w:t xml:space="preserve"> Int Endod J. </w:t>
      </w:r>
      <w:r w:rsidRPr="00AD5781">
        <w:rPr>
          <w:rFonts w:ascii="Arial" w:eastAsia="Frutiger-LightCn" w:hAnsi="Arial" w:cs="Arial"/>
          <w:lang w:eastAsia="zh-CN" w:bidi="ar"/>
        </w:rPr>
        <w:t>41, 457-468.</w:t>
      </w:r>
    </w:p>
    <w:p w14:paraId="71A003DC" w14:textId="77777777" w:rsidR="00AE72D7" w:rsidRPr="00AD5781" w:rsidRDefault="00AE72D7">
      <w:pPr>
        <w:spacing w:line="360" w:lineRule="auto"/>
        <w:jc w:val="both"/>
        <w:rPr>
          <w:rFonts w:ascii="Arial" w:eastAsia="Segoe UI" w:hAnsi="Arial" w:cs="Arial"/>
          <w:color w:val="212121"/>
          <w:shd w:val="clear" w:color="auto" w:fill="FFFFFF"/>
        </w:rPr>
      </w:pPr>
    </w:p>
    <w:p w14:paraId="22C0FA4C" w14:textId="77777777" w:rsidR="00AE72D7" w:rsidRPr="00AD5781" w:rsidRDefault="007F10CE">
      <w:pPr>
        <w:widowControl w:val="0"/>
        <w:spacing w:line="360" w:lineRule="auto"/>
        <w:jc w:val="both"/>
        <w:rPr>
          <w:rFonts w:ascii="Arial" w:eastAsia="Times New Roman" w:hAnsi="Arial" w:cs="Arial"/>
        </w:rPr>
      </w:pPr>
      <w:r w:rsidRPr="00AD5781">
        <w:rPr>
          <w:rFonts w:ascii="Arial" w:eastAsia="Times New Roman" w:hAnsi="Arial" w:cs="Arial"/>
        </w:rPr>
        <w:t>Heller, I.J.</w:t>
      </w:r>
      <w:r w:rsidRPr="00AD5781">
        <w:rPr>
          <w:rFonts w:ascii="Arial" w:eastAsia="Times New Roman" w:hAnsi="Arial" w:cs="Arial"/>
          <w:lang w:val="pt-BR"/>
        </w:rPr>
        <w:t>,</w:t>
      </w:r>
      <w:r w:rsidRPr="00AD5781">
        <w:rPr>
          <w:rFonts w:ascii="Arial" w:eastAsia="Times New Roman" w:hAnsi="Arial" w:cs="Arial"/>
        </w:rPr>
        <w:t xml:space="preserve"> Nanda, R.</w:t>
      </w:r>
      <w:r w:rsidRPr="00AD5781">
        <w:rPr>
          <w:rFonts w:ascii="Arial" w:eastAsia="Times New Roman" w:hAnsi="Arial" w:cs="Arial"/>
          <w:lang w:val="pt-BR"/>
        </w:rPr>
        <w:t xml:space="preserve"> (1979).</w:t>
      </w:r>
      <w:r w:rsidRPr="00AD5781">
        <w:rPr>
          <w:rFonts w:ascii="Arial" w:eastAsia="Times New Roman" w:hAnsi="Arial" w:cs="Arial"/>
        </w:rPr>
        <w:t xml:space="preserve"> The effect of metabolic alteration of periodontal fibres on orthodontic tooth movement.</w:t>
      </w:r>
      <w:r w:rsidRPr="00AD5781">
        <w:rPr>
          <w:rFonts w:ascii="Arial" w:eastAsia="Times New Roman" w:hAnsi="Arial" w:cs="Arial"/>
          <w:i/>
          <w:iCs/>
        </w:rPr>
        <w:t xml:space="preserve"> American Journal of Orthodontics</w:t>
      </w:r>
      <w:r w:rsidRPr="00AD5781">
        <w:rPr>
          <w:rFonts w:ascii="Arial" w:eastAsia="Times New Roman" w:hAnsi="Arial" w:cs="Arial"/>
        </w:rPr>
        <w:t>. 75 (75): 239–257.</w:t>
      </w:r>
    </w:p>
    <w:p w14:paraId="604EF453" w14:textId="77777777" w:rsidR="00AE72D7" w:rsidRPr="00AD5781" w:rsidRDefault="00AE72D7" w:rsidP="007E5670">
      <w:pPr>
        <w:widowControl w:val="0"/>
        <w:spacing w:line="360" w:lineRule="auto"/>
        <w:jc w:val="both"/>
        <w:rPr>
          <w:rFonts w:ascii="Arial" w:eastAsia="Frutiger-LightCn" w:hAnsi="Arial" w:cs="Arial"/>
          <w:lang w:eastAsia="zh-CN" w:bidi="ar"/>
        </w:rPr>
      </w:pPr>
    </w:p>
    <w:p w14:paraId="4FFFEF44" w14:textId="77777777" w:rsidR="00AE72D7" w:rsidRPr="00AD5781" w:rsidRDefault="007F10CE" w:rsidP="007E5670">
      <w:pPr>
        <w:widowControl w:val="0"/>
        <w:spacing w:line="360" w:lineRule="auto"/>
        <w:jc w:val="both"/>
        <w:rPr>
          <w:rFonts w:ascii="Arial" w:eastAsia="Frutiger-LightCn" w:hAnsi="Arial" w:cs="Arial"/>
          <w:lang w:eastAsia="zh-CN" w:bidi="ar"/>
        </w:rPr>
      </w:pPr>
      <w:r w:rsidRPr="00AD5781">
        <w:rPr>
          <w:rFonts w:ascii="Arial" w:eastAsia="Frutiger-LightCn" w:hAnsi="Arial" w:cs="Arial"/>
          <w:lang w:eastAsia="zh-CN" w:bidi="ar"/>
        </w:rPr>
        <w:t>Hilgers, K.K.</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Akridge, M.</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Scheetz, J.P.</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Kinane. D.F.</w:t>
      </w:r>
      <w:r w:rsidRPr="00AD5781">
        <w:rPr>
          <w:rFonts w:ascii="Arial" w:eastAsia="Frutiger-LightCn" w:hAnsi="Arial" w:cs="Arial"/>
          <w:lang w:val="pt-BR" w:eastAsia="zh-CN" w:bidi="ar"/>
        </w:rPr>
        <w:t xml:space="preserve"> (2006).</w:t>
      </w:r>
      <w:r w:rsidRPr="00AD5781">
        <w:rPr>
          <w:rFonts w:ascii="Arial" w:eastAsia="Frutiger-LightCn" w:hAnsi="Arial" w:cs="Arial"/>
          <w:lang w:eastAsia="zh-CN" w:bidi="ar"/>
        </w:rPr>
        <w:t xml:space="preserve"> Childhood obesity and dental development. </w:t>
      </w:r>
      <w:r w:rsidRPr="00AD5781">
        <w:rPr>
          <w:rFonts w:ascii="Arial" w:eastAsia="Frutiger-LightCn" w:hAnsi="Arial" w:cs="Arial"/>
          <w:i/>
          <w:iCs/>
          <w:lang w:eastAsia="zh-CN" w:bidi="ar"/>
        </w:rPr>
        <w:t>Pediatr Dent</w:t>
      </w:r>
      <w:r w:rsidRPr="00AD5781">
        <w:rPr>
          <w:rFonts w:ascii="Arial" w:eastAsia="Frutiger-LightCn" w:hAnsi="Arial" w:cs="Arial"/>
          <w:lang w:eastAsia="zh-CN" w:bidi="ar"/>
        </w:rPr>
        <w:t>. 28(1): 18-22.</w:t>
      </w:r>
    </w:p>
    <w:p w14:paraId="288AD8C0" w14:textId="77777777" w:rsidR="00AE72D7" w:rsidRPr="00AD5781" w:rsidRDefault="00AE72D7" w:rsidP="007E5670">
      <w:pPr>
        <w:spacing w:line="360" w:lineRule="auto"/>
        <w:jc w:val="both"/>
        <w:rPr>
          <w:rFonts w:ascii="Arial" w:hAnsi="Arial" w:cs="Arial"/>
        </w:rPr>
      </w:pPr>
    </w:p>
    <w:p w14:paraId="71A9F771" w14:textId="77777777" w:rsidR="00AE72D7" w:rsidRPr="00AD5781" w:rsidRDefault="007F10CE" w:rsidP="007E5670">
      <w:pPr>
        <w:spacing w:line="360" w:lineRule="auto"/>
        <w:jc w:val="both"/>
        <w:rPr>
          <w:rFonts w:ascii="Arial" w:hAnsi="Arial" w:cs="Arial"/>
        </w:rPr>
      </w:pPr>
      <w:r w:rsidRPr="00AD5781">
        <w:rPr>
          <w:rFonts w:ascii="Arial" w:hAnsi="Arial" w:cs="Arial"/>
        </w:rPr>
        <w:t>Iwashita, M.</w:t>
      </w:r>
      <w:r w:rsidRPr="00AD5781">
        <w:rPr>
          <w:rFonts w:ascii="Arial" w:hAnsi="Arial" w:cs="Arial"/>
          <w:lang w:val="pt-BR"/>
        </w:rPr>
        <w:t>,</w:t>
      </w:r>
      <w:r w:rsidRPr="00AD5781">
        <w:rPr>
          <w:rFonts w:ascii="Arial" w:hAnsi="Arial" w:cs="Arial"/>
        </w:rPr>
        <w:t xml:space="preserve"> Hayashi, M.</w:t>
      </w:r>
      <w:r w:rsidRPr="00AD5781">
        <w:rPr>
          <w:rFonts w:ascii="Arial" w:hAnsi="Arial" w:cs="Arial"/>
          <w:lang w:val="pt-BR"/>
        </w:rPr>
        <w:t>,</w:t>
      </w:r>
      <w:r w:rsidRPr="00AD5781">
        <w:rPr>
          <w:rFonts w:ascii="Arial" w:hAnsi="Arial" w:cs="Arial"/>
        </w:rPr>
        <w:t xml:space="preserve"> Nishimura, Y.</w:t>
      </w:r>
      <w:r w:rsidRPr="00AD5781">
        <w:rPr>
          <w:rFonts w:ascii="Arial" w:hAnsi="Arial" w:cs="Arial"/>
          <w:lang w:val="pt-BR"/>
        </w:rPr>
        <w:t>,</w:t>
      </w:r>
      <w:r w:rsidRPr="00AD5781">
        <w:rPr>
          <w:rFonts w:ascii="Arial" w:hAnsi="Arial" w:cs="Arial"/>
        </w:rPr>
        <w:t xml:space="preserve"> Yamashita, A.</w:t>
      </w:r>
      <w:r w:rsidRPr="00AD5781">
        <w:rPr>
          <w:rFonts w:ascii="Arial" w:hAnsi="Arial" w:cs="Arial"/>
          <w:lang w:val="pt-BR"/>
        </w:rPr>
        <w:t xml:space="preserve"> (2021).</w:t>
      </w:r>
      <w:r w:rsidRPr="00AD5781">
        <w:rPr>
          <w:rFonts w:ascii="Arial" w:hAnsi="Arial" w:cs="Arial"/>
        </w:rPr>
        <w:t xml:space="preserve"> The Link Between Periodontal Inflammation and Obesity. </w:t>
      </w:r>
      <w:r w:rsidRPr="00AD5781">
        <w:rPr>
          <w:rFonts w:ascii="Arial" w:hAnsi="Arial" w:cs="Arial"/>
          <w:i/>
          <w:iCs/>
        </w:rPr>
        <w:t>Current oral health reports</w:t>
      </w:r>
      <w:r w:rsidRPr="00AD5781">
        <w:rPr>
          <w:rFonts w:ascii="Arial" w:hAnsi="Arial" w:cs="Arial"/>
        </w:rPr>
        <w:t>, 8(4), 76–83.</w:t>
      </w:r>
    </w:p>
    <w:p w14:paraId="2086A503" w14:textId="77777777" w:rsidR="00AE72D7" w:rsidRPr="00AD5781" w:rsidRDefault="00AE72D7" w:rsidP="007E5670">
      <w:pPr>
        <w:spacing w:line="360" w:lineRule="auto"/>
        <w:jc w:val="both"/>
        <w:rPr>
          <w:rFonts w:ascii="Arial" w:hAnsi="Arial" w:cs="Arial"/>
        </w:rPr>
      </w:pPr>
    </w:p>
    <w:p w14:paraId="68751A69" w14:textId="77777777" w:rsidR="00AE72D7" w:rsidRPr="00AD5781" w:rsidRDefault="007F10CE" w:rsidP="007E5670">
      <w:pPr>
        <w:spacing w:line="360" w:lineRule="auto"/>
        <w:jc w:val="both"/>
        <w:rPr>
          <w:rFonts w:ascii="Arial" w:eastAsia="SimSun" w:hAnsi="Arial" w:cs="Arial"/>
          <w:color w:val="222222"/>
          <w:shd w:val="clear" w:color="auto" w:fill="FFFFFF"/>
        </w:rPr>
      </w:pPr>
      <w:r w:rsidRPr="00AD5781">
        <w:rPr>
          <w:rFonts w:ascii="Arial" w:eastAsia="SimSun" w:hAnsi="Arial" w:cs="Arial"/>
          <w:color w:val="222222"/>
          <w:shd w:val="clear" w:color="auto" w:fill="FFFFFF"/>
        </w:rPr>
        <w:t>Jaganathan, R.</w:t>
      </w:r>
      <w:r w:rsidRPr="00AD5781">
        <w:rPr>
          <w:rFonts w:ascii="Arial" w:eastAsia="SimSun" w:hAnsi="Arial" w:cs="Arial"/>
          <w:color w:val="222222"/>
          <w:shd w:val="clear" w:color="auto" w:fill="FFFFFF"/>
          <w:lang w:val="pt-BR"/>
        </w:rPr>
        <w:t>,</w:t>
      </w:r>
      <w:r w:rsidRPr="00AD5781">
        <w:rPr>
          <w:rFonts w:ascii="Arial" w:eastAsia="SimSun" w:hAnsi="Arial" w:cs="Arial"/>
          <w:color w:val="222222"/>
          <w:shd w:val="clear" w:color="auto" w:fill="FFFFFF"/>
        </w:rPr>
        <w:t xml:space="preserve"> Ravindran, R.</w:t>
      </w:r>
      <w:r w:rsidRPr="00AD5781">
        <w:rPr>
          <w:rFonts w:ascii="Arial" w:eastAsia="SimSun" w:hAnsi="Arial" w:cs="Arial"/>
          <w:color w:val="222222"/>
          <w:shd w:val="clear" w:color="auto" w:fill="FFFFFF"/>
          <w:lang w:val="pt-BR"/>
        </w:rPr>
        <w:t>,</w:t>
      </w:r>
      <w:r w:rsidRPr="00AD5781">
        <w:rPr>
          <w:rFonts w:ascii="Arial" w:eastAsia="SimSun" w:hAnsi="Arial" w:cs="Arial"/>
          <w:color w:val="222222"/>
          <w:shd w:val="clear" w:color="auto" w:fill="FFFFFF"/>
        </w:rPr>
        <w:t xml:space="preserve"> Dhanasekaran, S.</w:t>
      </w:r>
      <w:r w:rsidRPr="00AD5781">
        <w:rPr>
          <w:rFonts w:ascii="Arial" w:eastAsia="SimSun" w:hAnsi="Arial" w:cs="Arial"/>
          <w:color w:val="222222"/>
          <w:shd w:val="clear" w:color="auto" w:fill="FFFFFF"/>
          <w:lang w:val="pt-BR"/>
        </w:rPr>
        <w:t xml:space="preserve"> (2018).</w:t>
      </w:r>
      <w:r w:rsidRPr="00AD5781">
        <w:rPr>
          <w:rFonts w:ascii="Arial" w:eastAsia="SimSun" w:hAnsi="Arial" w:cs="Arial"/>
          <w:color w:val="222222"/>
          <w:shd w:val="clear" w:color="auto" w:fill="FFFFFF"/>
        </w:rPr>
        <w:t xml:space="preserve"> Emerging Role of Adipocytokines in Type 2 Diabetes as Mediators of Insulin Resistance and Cardiovascular Disease. </w:t>
      </w:r>
      <w:r w:rsidRPr="00AD5781">
        <w:rPr>
          <w:rFonts w:ascii="Arial" w:eastAsia="SimSun" w:hAnsi="Arial" w:cs="Arial"/>
          <w:i/>
          <w:iCs/>
          <w:color w:val="222222"/>
          <w:shd w:val="clear" w:color="auto" w:fill="FFFFFF"/>
        </w:rPr>
        <w:t>Can. J. Diabetes</w:t>
      </w:r>
      <w:r w:rsidRPr="00AD5781">
        <w:rPr>
          <w:rFonts w:ascii="Arial" w:eastAsia="SimSun" w:hAnsi="Arial" w:cs="Arial"/>
          <w:color w:val="222222"/>
          <w:shd w:val="clear" w:color="auto" w:fill="FFFFFF"/>
        </w:rPr>
        <w:t>, </w:t>
      </w:r>
      <w:r w:rsidRPr="00AD5781">
        <w:rPr>
          <w:rFonts w:ascii="Arial" w:eastAsia="SimSun" w:hAnsi="Arial" w:cs="Arial"/>
          <w:i/>
          <w:iCs/>
          <w:color w:val="222222"/>
          <w:shd w:val="clear" w:color="auto" w:fill="FFFFFF"/>
        </w:rPr>
        <w:t>42</w:t>
      </w:r>
      <w:r w:rsidRPr="00AD5781">
        <w:rPr>
          <w:rFonts w:ascii="Arial" w:eastAsia="SimSun" w:hAnsi="Arial" w:cs="Arial"/>
          <w:color w:val="222222"/>
          <w:shd w:val="clear" w:color="auto" w:fill="FFFFFF"/>
        </w:rPr>
        <w:t>, 446–456.</w:t>
      </w:r>
    </w:p>
    <w:p w14:paraId="6F83226E" w14:textId="77777777" w:rsidR="00AE72D7" w:rsidRPr="00AD5781" w:rsidRDefault="00AE72D7" w:rsidP="007E5670">
      <w:pPr>
        <w:spacing w:line="360" w:lineRule="auto"/>
        <w:jc w:val="both"/>
        <w:rPr>
          <w:rFonts w:ascii="Arial" w:eastAsia="SimSun" w:hAnsi="Arial" w:cs="Arial"/>
          <w:color w:val="222222"/>
          <w:shd w:val="clear" w:color="auto" w:fill="FFFFFF"/>
        </w:rPr>
      </w:pPr>
    </w:p>
    <w:p w14:paraId="14CCD292" w14:textId="77777777" w:rsidR="00AE72D7" w:rsidRPr="00AD5781" w:rsidRDefault="007F10CE" w:rsidP="007E5670">
      <w:pPr>
        <w:spacing w:line="360" w:lineRule="auto"/>
        <w:jc w:val="both"/>
        <w:rPr>
          <w:rFonts w:ascii="Arial" w:eastAsia="sans-serif" w:hAnsi="Arial" w:cs="Arial"/>
          <w:color w:val="1C1D1E"/>
          <w:shd w:val="clear" w:color="auto" w:fill="FFFFFF"/>
        </w:rPr>
      </w:pPr>
      <w:r w:rsidRPr="00AD5781">
        <w:rPr>
          <w:rFonts w:ascii="Arial" w:eastAsia="sans-serif" w:hAnsi="Arial" w:cs="Arial"/>
          <w:color w:val="1C1D1E"/>
          <w:shd w:val="clear" w:color="auto" w:fill="FFFFFF"/>
        </w:rPr>
        <w:t>Khan, S.</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Barrington, G.</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Bettiol, S.</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Barnett, T.</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Crocombe, L.</w:t>
      </w:r>
      <w:r w:rsidRPr="00AD5781">
        <w:rPr>
          <w:rFonts w:ascii="Arial" w:eastAsia="sans-serif" w:hAnsi="Arial" w:cs="Arial"/>
          <w:color w:val="1C1D1E"/>
          <w:shd w:val="clear" w:color="auto" w:fill="FFFFFF"/>
          <w:lang w:val="pt-BR"/>
        </w:rPr>
        <w:t xml:space="preserve"> (2019).</w:t>
      </w:r>
      <w:r w:rsidRPr="00AD5781">
        <w:rPr>
          <w:rFonts w:ascii="Arial" w:eastAsia="sans-serif" w:hAnsi="Arial" w:cs="Arial"/>
          <w:color w:val="1C1D1E"/>
          <w:shd w:val="clear" w:color="auto" w:fill="FFFFFF"/>
        </w:rPr>
        <w:t> Is overweight/obesity a risk factor for periodontitis in young adults and adolescents? A systematic review. </w:t>
      </w:r>
      <w:r w:rsidRPr="00AD5781">
        <w:rPr>
          <w:rFonts w:ascii="Arial" w:eastAsia="sans-serif" w:hAnsi="Arial" w:cs="Arial"/>
          <w:i/>
          <w:iCs/>
          <w:color w:val="1C1D1E"/>
          <w:shd w:val="clear" w:color="auto" w:fill="FFFFFF"/>
        </w:rPr>
        <w:t>Obes Rev.</w:t>
      </w:r>
      <w:r w:rsidRPr="00AD5781">
        <w:rPr>
          <w:rFonts w:ascii="Arial" w:eastAsia="sans-serif" w:hAnsi="Arial" w:cs="Arial"/>
          <w:i/>
          <w:iCs/>
          <w:color w:val="1C1D1E"/>
          <w:shd w:val="clear" w:color="auto" w:fill="FFFFFF"/>
          <w:lang w:val="pt-BR"/>
        </w:rPr>
        <w:t>,</w:t>
      </w:r>
      <w:r w:rsidRPr="00AD5781">
        <w:rPr>
          <w:rFonts w:ascii="Arial" w:eastAsia="sans-serif" w:hAnsi="Arial" w:cs="Arial"/>
          <w:color w:val="1C1D1E"/>
          <w:shd w:val="clear" w:color="auto" w:fill="FFFFFF"/>
        </w:rPr>
        <w:t> 19: 852–883.</w:t>
      </w:r>
    </w:p>
    <w:p w14:paraId="10B6E137" w14:textId="77777777" w:rsidR="00AE72D7" w:rsidRPr="00AD5781" w:rsidRDefault="00AE72D7" w:rsidP="007E5670">
      <w:pPr>
        <w:spacing w:line="360" w:lineRule="auto"/>
        <w:jc w:val="both"/>
        <w:rPr>
          <w:rFonts w:ascii="Arial" w:eastAsia="sans-serif" w:hAnsi="Arial" w:cs="Arial"/>
          <w:color w:val="1C1D1E"/>
          <w:shd w:val="clear" w:color="auto" w:fill="FFFFFF"/>
        </w:rPr>
      </w:pPr>
    </w:p>
    <w:p w14:paraId="52EABAF8" w14:textId="77777777" w:rsidR="00AE72D7" w:rsidRPr="00AD5781" w:rsidRDefault="007F10CE" w:rsidP="007E5670">
      <w:pPr>
        <w:spacing w:line="360" w:lineRule="auto"/>
        <w:jc w:val="both"/>
        <w:rPr>
          <w:rFonts w:ascii="Arial" w:eastAsia="Consolas" w:hAnsi="Arial" w:cs="Arial"/>
          <w:color w:val="1B1B1B"/>
          <w:shd w:val="clear" w:color="auto" w:fill="FFFFFF"/>
        </w:rPr>
      </w:pPr>
      <w:r w:rsidRPr="00AD5781">
        <w:rPr>
          <w:rFonts w:ascii="Arial" w:eastAsia="SimSun" w:hAnsi="Arial" w:cs="Arial"/>
          <w:color w:val="222222"/>
          <w:shd w:val="clear" w:color="auto" w:fill="FFFFFF"/>
        </w:rPr>
        <w:t>Kim, S.</w:t>
      </w:r>
      <w:r w:rsidRPr="00AD5781">
        <w:rPr>
          <w:rFonts w:ascii="Arial" w:eastAsia="SimSun" w:hAnsi="Arial" w:cs="Arial"/>
          <w:color w:val="222222"/>
          <w:shd w:val="clear" w:color="auto" w:fill="FFFFFF"/>
          <w:lang w:val="pt-BR"/>
        </w:rPr>
        <w:t xml:space="preserve"> (1985).</w:t>
      </w:r>
      <w:r w:rsidRPr="00AD5781">
        <w:rPr>
          <w:rFonts w:ascii="Arial" w:eastAsia="SimSun" w:hAnsi="Arial" w:cs="Arial"/>
          <w:color w:val="222222"/>
          <w:shd w:val="clear" w:color="auto" w:fill="FFFFFF"/>
        </w:rPr>
        <w:t xml:space="preserve"> Microcirculation of the dental pulp in health and disease. </w:t>
      </w:r>
      <w:r w:rsidRPr="00AD5781">
        <w:rPr>
          <w:rFonts w:ascii="Arial" w:eastAsia="SimSun" w:hAnsi="Arial" w:cs="Arial"/>
          <w:i/>
          <w:iCs/>
          <w:color w:val="222222"/>
          <w:shd w:val="clear" w:color="auto" w:fill="FFFFFF"/>
        </w:rPr>
        <w:t>Journal of endodontics</w:t>
      </w:r>
      <w:r w:rsidRPr="00AD5781">
        <w:rPr>
          <w:rFonts w:ascii="Arial" w:eastAsia="SimSun" w:hAnsi="Arial" w:cs="Arial"/>
          <w:i/>
          <w:iCs/>
          <w:color w:val="222222"/>
          <w:shd w:val="clear" w:color="auto" w:fill="FFFFFF"/>
          <w:lang w:val="pt-BR"/>
        </w:rPr>
        <w:t>,</w:t>
      </w:r>
      <w:r w:rsidRPr="00AD5781">
        <w:rPr>
          <w:rFonts w:ascii="Arial" w:eastAsia="SimSun" w:hAnsi="Arial" w:cs="Arial"/>
          <w:color w:val="222222"/>
          <w:shd w:val="clear" w:color="auto" w:fill="FFFFFF"/>
        </w:rPr>
        <w:t xml:space="preserve"> 11(11): 465-71.</w:t>
      </w:r>
    </w:p>
    <w:p w14:paraId="12139A95" w14:textId="77777777" w:rsidR="00AE72D7" w:rsidRPr="00AD5781" w:rsidRDefault="00AE72D7" w:rsidP="007E5670">
      <w:pPr>
        <w:spacing w:line="360" w:lineRule="auto"/>
        <w:jc w:val="both"/>
        <w:rPr>
          <w:rFonts w:ascii="Arial" w:eastAsia="Times New Roman" w:hAnsi="Arial" w:cs="Arial"/>
        </w:rPr>
      </w:pPr>
    </w:p>
    <w:p w14:paraId="151DFB7B" w14:textId="77777777" w:rsidR="00AE72D7" w:rsidRPr="00AD5781" w:rsidRDefault="007F10CE" w:rsidP="007E5670">
      <w:pPr>
        <w:spacing w:line="360" w:lineRule="auto"/>
        <w:jc w:val="both"/>
        <w:rPr>
          <w:rFonts w:ascii="Arial" w:eastAsia="Times New Roman" w:hAnsi="Arial" w:cs="Arial"/>
        </w:rPr>
      </w:pPr>
      <w:r w:rsidRPr="00AD5781">
        <w:rPr>
          <w:rFonts w:ascii="Arial" w:eastAsia="Times New Roman" w:hAnsi="Arial" w:cs="Arial"/>
        </w:rPr>
        <w:lastRenderedPageBreak/>
        <w:t>Kubo, H.</w:t>
      </w:r>
      <w:r w:rsidRPr="00AD5781">
        <w:rPr>
          <w:rFonts w:ascii="Arial" w:eastAsia="Times New Roman" w:hAnsi="Arial" w:cs="Arial"/>
          <w:lang w:val="pt-BR"/>
        </w:rPr>
        <w:t>,</w:t>
      </w:r>
      <w:r w:rsidRPr="00AD5781">
        <w:rPr>
          <w:rFonts w:ascii="Arial" w:eastAsia="Times New Roman" w:hAnsi="Arial" w:cs="Arial"/>
        </w:rPr>
        <w:t xml:space="preserve"> Leal, T.</w:t>
      </w:r>
      <w:r w:rsidRPr="00AD5781">
        <w:rPr>
          <w:rFonts w:ascii="Arial" w:eastAsia="Times New Roman" w:hAnsi="Arial" w:cs="Arial"/>
          <w:lang w:val="pt-BR"/>
        </w:rPr>
        <w:t>,</w:t>
      </w:r>
      <w:r w:rsidRPr="00AD5781">
        <w:rPr>
          <w:rFonts w:ascii="Arial" w:eastAsia="Times New Roman" w:hAnsi="Arial" w:cs="Arial"/>
        </w:rPr>
        <w:t xml:space="preserve"> Bruder, C.</w:t>
      </w:r>
      <w:r w:rsidRPr="00AD5781">
        <w:rPr>
          <w:rFonts w:ascii="Arial" w:eastAsia="Times New Roman" w:hAnsi="Arial" w:cs="Arial"/>
          <w:lang w:val="pt-BR"/>
        </w:rPr>
        <w:t>,</w:t>
      </w:r>
      <w:r w:rsidRPr="00AD5781">
        <w:rPr>
          <w:rFonts w:ascii="Arial" w:eastAsia="Times New Roman" w:hAnsi="Arial" w:cs="Arial"/>
        </w:rPr>
        <w:t xml:space="preserve"> Bertolo, C.</w:t>
      </w:r>
      <w:r w:rsidRPr="00AD5781">
        <w:rPr>
          <w:rFonts w:ascii="Arial" w:eastAsia="Times New Roman" w:hAnsi="Arial" w:cs="Arial"/>
          <w:lang w:val="pt-BR"/>
        </w:rPr>
        <w:t>,</w:t>
      </w:r>
      <w:r w:rsidRPr="00AD5781">
        <w:rPr>
          <w:rFonts w:ascii="Arial" w:eastAsia="Times New Roman" w:hAnsi="Arial" w:cs="Arial"/>
        </w:rPr>
        <w:t xml:space="preserve"> Feijó, C.O.</w:t>
      </w:r>
      <w:r w:rsidRPr="00AD5781">
        <w:rPr>
          <w:rFonts w:ascii="Arial" w:eastAsia="Times New Roman" w:hAnsi="Arial" w:cs="Arial"/>
          <w:lang w:val="pt-BR"/>
        </w:rPr>
        <w:t>,</w:t>
      </w:r>
      <w:r w:rsidRPr="00AD5781">
        <w:rPr>
          <w:rFonts w:ascii="Arial" w:eastAsia="Times New Roman" w:hAnsi="Arial" w:cs="Arial"/>
        </w:rPr>
        <w:t xml:space="preserve"> Fukuda, T. </w:t>
      </w:r>
      <w:r w:rsidRPr="00AD5781">
        <w:rPr>
          <w:rFonts w:ascii="Arial" w:eastAsia="Times New Roman" w:hAnsi="Arial" w:cs="Arial"/>
          <w:lang w:val="pt-BR"/>
        </w:rPr>
        <w:t xml:space="preserve">(2018). </w:t>
      </w:r>
      <w:r w:rsidRPr="00AD5781">
        <w:rPr>
          <w:rFonts w:ascii="Arial" w:eastAsia="Times New Roman" w:hAnsi="Arial" w:cs="Arial"/>
        </w:rPr>
        <w:t xml:space="preserve">Disfunção da glândula tireoide e o tratamento ortodôntico: revisão integrativa da literatura. </w:t>
      </w:r>
      <w:r w:rsidRPr="00AD5781">
        <w:rPr>
          <w:rFonts w:ascii="Arial" w:eastAsia="Times New Roman" w:hAnsi="Arial" w:cs="Arial"/>
          <w:i/>
          <w:iCs/>
        </w:rPr>
        <w:t>Rev. UNINGÁ</w:t>
      </w:r>
      <w:r w:rsidRPr="00AD5781">
        <w:rPr>
          <w:rFonts w:ascii="Arial" w:eastAsia="Times New Roman" w:hAnsi="Arial" w:cs="Arial"/>
          <w:i/>
          <w:iCs/>
          <w:lang w:val="pt-BR"/>
        </w:rPr>
        <w:t>,</w:t>
      </w:r>
      <w:r w:rsidRPr="00AD5781">
        <w:rPr>
          <w:rFonts w:ascii="Arial" w:eastAsia="Times New Roman" w:hAnsi="Arial" w:cs="Arial"/>
        </w:rPr>
        <w:t xml:space="preserve"> 55(3): 100-110.</w:t>
      </w:r>
    </w:p>
    <w:p w14:paraId="3A455DBF" w14:textId="77777777" w:rsidR="00AE72D7" w:rsidRPr="00AD5781" w:rsidRDefault="00AE72D7" w:rsidP="007E5670">
      <w:pPr>
        <w:shd w:val="clear" w:color="auto" w:fill="FFFFFF"/>
        <w:spacing w:line="360" w:lineRule="auto"/>
        <w:jc w:val="both"/>
        <w:rPr>
          <w:rFonts w:ascii="Arial" w:eastAsia="Arial" w:hAnsi="Arial" w:cs="Arial"/>
          <w:shd w:val="clear" w:color="auto" w:fill="FFFFFF"/>
          <w:lang w:eastAsia="zh-CN" w:bidi="ar"/>
        </w:rPr>
      </w:pPr>
    </w:p>
    <w:p w14:paraId="122A4DD8" w14:textId="77777777" w:rsidR="00AE72D7" w:rsidRPr="00AD5781" w:rsidRDefault="007F10CE" w:rsidP="007E5670">
      <w:pPr>
        <w:shd w:val="clear" w:color="auto" w:fill="FFFFFF"/>
        <w:spacing w:line="360" w:lineRule="auto"/>
        <w:jc w:val="both"/>
        <w:rPr>
          <w:rFonts w:ascii="Arial" w:eastAsia="Arial" w:hAnsi="Arial" w:cs="Arial"/>
          <w:shd w:val="clear" w:color="auto" w:fill="FFFFFF"/>
          <w:lang w:eastAsia="zh-CN" w:bidi="ar"/>
        </w:rPr>
      </w:pPr>
      <w:r w:rsidRPr="00AD5781">
        <w:rPr>
          <w:rFonts w:ascii="Arial" w:eastAsia="Arial" w:hAnsi="Arial" w:cs="Arial"/>
          <w:shd w:val="clear" w:color="auto" w:fill="FFFFFF"/>
          <w:lang w:eastAsia="zh-CN" w:bidi="ar"/>
        </w:rPr>
        <w:t>Kumar, V.</w:t>
      </w:r>
      <w:r w:rsidRPr="00AD5781">
        <w:rPr>
          <w:rFonts w:ascii="Arial" w:eastAsia="Arial" w:hAnsi="Arial" w:cs="Arial"/>
          <w:shd w:val="clear" w:color="auto" w:fill="FFFFFF"/>
          <w:lang w:val="pt-BR" w:eastAsia="zh-CN" w:bidi="ar"/>
        </w:rPr>
        <w:t>,</w:t>
      </w:r>
      <w:r w:rsidRPr="00AD5781">
        <w:rPr>
          <w:rFonts w:ascii="Arial" w:eastAsia="Arial" w:hAnsi="Arial" w:cs="Arial"/>
          <w:shd w:val="clear" w:color="auto" w:fill="FFFFFF"/>
          <w:lang w:eastAsia="zh-CN" w:bidi="ar"/>
        </w:rPr>
        <w:t> Cotran, R.S.</w:t>
      </w:r>
      <w:r w:rsidRPr="00AD5781">
        <w:rPr>
          <w:rFonts w:ascii="Arial" w:eastAsia="Arial" w:hAnsi="Arial" w:cs="Arial"/>
          <w:shd w:val="clear" w:color="auto" w:fill="FFFFFF"/>
          <w:lang w:val="pt-BR" w:eastAsia="zh-CN" w:bidi="ar"/>
        </w:rPr>
        <w:t>,</w:t>
      </w:r>
      <w:r w:rsidRPr="00AD5781">
        <w:rPr>
          <w:rFonts w:ascii="Arial" w:eastAsia="Arial" w:hAnsi="Arial" w:cs="Arial"/>
          <w:shd w:val="clear" w:color="auto" w:fill="FFFFFF"/>
          <w:lang w:eastAsia="zh-CN" w:bidi="ar"/>
        </w:rPr>
        <w:t xml:space="preserve"> Robbins, S.L. </w:t>
      </w:r>
      <w:r w:rsidRPr="00AD5781">
        <w:rPr>
          <w:rFonts w:ascii="Arial" w:eastAsia="Arial" w:hAnsi="Arial" w:cs="Arial"/>
          <w:shd w:val="clear" w:color="auto" w:fill="FFFFFF"/>
          <w:lang w:val="pt-BR" w:eastAsia="zh-CN" w:bidi="ar"/>
        </w:rPr>
        <w:t xml:space="preserve">(1992). </w:t>
      </w:r>
      <w:r w:rsidRPr="00AD5781">
        <w:rPr>
          <w:rFonts w:ascii="Arial" w:eastAsia="Arial" w:hAnsi="Arial" w:cs="Arial"/>
          <w:i/>
          <w:iCs/>
          <w:shd w:val="clear" w:color="auto" w:fill="FFFFFF"/>
          <w:lang w:eastAsia="zh-CN" w:bidi="ar"/>
        </w:rPr>
        <w:t>Patologia básica</w:t>
      </w:r>
      <w:r w:rsidRPr="00AD5781">
        <w:rPr>
          <w:rFonts w:ascii="Arial" w:eastAsia="Arial" w:hAnsi="Arial" w:cs="Arial"/>
          <w:shd w:val="clear" w:color="auto" w:fill="FFFFFF"/>
          <w:lang w:eastAsia="zh-CN" w:bidi="ar"/>
        </w:rPr>
        <w:t> (5ª ed.), WB Saunders, Filadélfia, pp. 3 – 24.</w:t>
      </w:r>
    </w:p>
    <w:p w14:paraId="7BF908B1" w14:textId="77777777" w:rsidR="00AE72D7" w:rsidRPr="00AD5781" w:rsidRDefault="00AE72D7" w:rsidP="007E5670">
      <w:pPr>
        <w:shd w:val="clear" w:color="auto" w:fill="FFFFFF"/>
        <w:spacing w:line="360" w:lineRule="auto"/>
        <w:jc w:val="both"/>
        <w:rPr>
          <w:rFonts w:ascii="Arial" w:eastAsia="Arial" w:hAnsi="Arial" w:cs="Arial"/>
          <w:shd w:val="clear" w:color="auto" w:fill="FFFFFF"/>
          <w:lang w:eastAsia="zh-CN" w:bidi="ar"/>
        </w:rPr>
      </w:pPr>
    </w:p>
    <w:p w14:paraId="1BCF7B78" w14:textId="77777777" w:rsidR="00AE72D7" w:rsidRPr="00AD5781" w:rsidRDefault="007F10CE" w:rsidP="007E5670">
      <w:pPr>
        <w:spacing w:line="360" w:lineRule="auto"/>
        <w:jc w:val="both"/>
        <w:rPr>
          <w:rFonts w:ascii="Arial" w:eastAsia="sans-serif" w:hAnsi="Arial" w:cs="Arial"/>
          <w:color w:val="1C1D1E"/>
          <w:shd w:val="clear" w:color="auto" w:fill="FFFFFF"/>
        </w:rPr>
      </w:pPr>
      <w:r w:rsidRPr="00AD5781">
        <w:rPr>
          <w:rFonts w:ascii="Arial" w:eastAsia="sans-serif" w:hAnsi="Arial" w:cs="Arial"/>
          <w:color w:val="1C1D1E"/>
          <w:shd w:val="clear" w:color="auto" w:fill="FFFFFF"/>
        </w:rPr>
        <w:t>Leal, V.O.</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Mafra, D.</w:t>
      </w:r>
      <w:r w:rsidRPr="00AD5781">
        <w:rPr>
          <w:rFonts w:ascii="Arial" w:eastAsia="sans-serif" w:hAnsi="Arial" w:cs="Arial"/>
          <w:color w:val="1C1D1E"/>
          <w:shd w:val="clear" w:color="auto" w:fill="FFFFFF"/>
          <w:lang w:val="pt-BR"/>
        </w:rPr>
        <w:t xml:space="preserve"> (2013).</w:t>
      </w:r>
      <w:r w:rsidRPr="00AD5781">
        <w:rPr>
          <w:rFonts w:ascii="Arial" w:eastAsia="sans-serif" w:hAnsi="Arial" w:cs="Arial"/>
          <w:color w:val="1C1D1E"/>
          <w:shd w:val="clear" w:color="auto" w:fill="FFFFFF"/>
        </w:rPr>
        <w:t> Adipokines in obesity. </w:t>
      </w:r>
      <w:r w:rsidRPr="00AD5781">
        <w:rPr>
          <w:rFonts w:ascii="Arial" w:eastAsia="sans-serif" w:hAnsi="Arial" w:cs="Arial"/>
          <w:i/>
          <w:iCs/>
          <w:color w:val="1C1D1E"/>
          <w:shd w:val="clear" w:color="auto" w:fill="FFFFFF"/>
        </w:rPr>
        <w:t>Clin Chim Acta</w:t>
      </w:r>
      <w:r w:rsidRPr="00AD5781">
        <w:rPr>
          <w:rFonts w:ascii="Arial" w:eastAsia="sans-serif" w:hAnsi="Arial" w:cs="Arial"/>
          <w:color w:val="1C1D1E"/>
          <w:shd w:val="clear" w:color="auto" w:fill="FFFFFF"/>
        </w:rPr>
        <w:t>.</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419: 87–94.</w:t>
      </w:r>
    </w:p>
    <w:p w14:paraId="01C0662A" w14:textId="77777777" w:rsidR="00AE72D7" w:rsidRPr="00AD5781" w:rsidRDefault="00AE72D7" w:rsidP="007E5670">
      <w:pPr>
        <w:spacing w:line="360" w:lineRule="auto"/>
        <w:jc w:val="both"/>
        <w:rPr>
          <w:rFonts w:ascii="Arial" w:eastAsia="Arial" w:hAnsi="Arial" w:cs="Arial"/>
          <w:shd w:val="clear" w:color="auto" w:fill="FFFFFF"/>
          <w:lang w:eastAsia="zh-CN" w:bidi="ar"/>
        </w:rPr>
      </w:pPr>
    </w:p>
    <w:p w14:paraId="4D1C1C3E" w14:textId="77777777" w:rsidR="00AE72D7" w:rsidRPr="00AD5781" w:rsidRDefault="007F10CE" w:rsidP="007E5670">
      <w:pPr>
        <w:autoSpaceDE w:val="0"/>
        <w:autoSpaceDN w:val="0"/>
        <w:adjustRightInd w:val="0"/>
        <w:spacing w:line="360" w:lineRule="auto"/>
        <w:ind w:right="-2"/>
        <w:jc w:val="both"/>
        <w:rPr>
          <w:rFonts w:ascii="Arial" w:hAnsi="Arial" w:cs="Arial"/>
          <w:shd w:val="clear" w:color="auto" w:fill="FFFFFF"/>
        </w:rPr>
      </w:pPr>
      <w:r w:rsidRPr="00AD5781">
        <w:rPr>
          <w:rFonts w:ascii="Arial" w:hAnsi="Arial" w:cs="Arial"/>
          <w:shd w:val="clear" w:color="auto" w:fill="FFFFFF"/>
        </w:rPr>
        <w:t>Lecka-Czernik B.</w:t>
      </w:r>
      <w:r w:rsidRPr="00AD5781">
        <w:rPr>
          <w:rFonts w:ascii="Arial" w:hAnsi="Arial" w:cs="Arial"/>
          <w:shd w:val="clear" w:color="auto" w:fill="FFFFFF"/>
          <w:lang w:val="pt-BR"/>
        </w:rPr>
        <w:t>,</w:t>
      </w:r>
      <w:r w:rsidRPr="00AD5781">
        <w:rPr>
          <w:rFonts w:ascii="Arial" w:hAnsi="Arial" w:cs="Arial"/>
          <w:shd w:val="clear" w:color="auto" w:fill="FFFFFF"/>
        </w:rPr>
        <w:t xml:space="preserve"> Stechschulte L.A.</w:t>
      </w:r>
      <w:r w:rsidRPr="00AD5781">
        <w:rPr>
          <w:rFonts w:ascii="Arial" w:hAnsi="Arial" w:cs="Arial"/>
          <w:shd w:val="clear" w:color="auto" w:fill="FFFFFF"/>
          <w:lang w:val="pt-BR"/>
        </w:rPr>
        <w:t>,</w:t>
      </w:r>
      <w:r w:rsidRPr="00AD5781">
        <w:rPr>
          <w:rFonts w:ascii="Arial" w:hAnsi="Arial" w:cs="Arial"/>
          <w:shd w:val="clear" w:color="auto" w:fill="FFFFFF"/>
        </w:rPr>
        <w:t xml:space="preserve"> Czernik P.J.</w:t>
      </w:r>
      <w:r w:rsidRPr="00AD5781">
        <w:rPr>
          <w:rFonts w:ascii="Arial" w:hAnsi="Arial" w:cs="Arial"/>
          <w:shd w:val="clear" w:color="auto" w:fill="FFFFFF"/>
          <w:lang w:val="pt-BR"/>
        </w:rPr>
        <w:t>,</w:t>
      </w:r>
      <w:r w:rsidRPr="00AD5781">
        <w:rPr>
          <w:rFonts w:ascii="Arial" w:hAnsi="Arial" w:cs="Arial"/>
          <w:shd w:val="clear" w:color="auto" w:fill="FFFFFF"/>
        </w:rPr>
        <w:t xml:space="preserve"> Dowling A.R.</w:t>
      </w:r>
      <w:r w:rsidRPr="00AD5781">
        <w:rPr>
          <w:rFonts w:ascii="Arial" w:hAnsi="Arial" w:cs="Arial"/>
          <w:shd w:val="clear" w:color="auto" w:fill="FFFFFF"/>
          <w:lang w:val="pt-BR"/>
        </w:rPr>
        <w:t xml:space="preserve"> (2015).</w:t>
      </w:r>
      <w:r w:rsidRPr="00AD5781">
        <w:rPr>
          <w:rFonts w:ascii="Arial" w:hAnsi="Arial" w:cs="Arial"/>
          <w:shd w:val="clear" w:color="auto" w:fill="FFFFFF"/>
        </w:rPr>
        <w:t xml:space="preserve"> High bone mass in adult mice with diet-induced obesity results from a combination of initial increase in bone mass followed by attenuation in bone formation; implications for hight bone mass and decreased bone quality in obesity. </w:t>
      </w:r>
      <w:r w:rsidRPr="00AD5781">
        <w:rPr>
          <w:rFonts w:ascii="Arial" w:hAnsi="Arial" w:cs="Arial"/>
          <w:i/>
          <w:iCs/>
          <w:shd w:val="clear" w:color="auto" w:fill="FFFFFF"/>
        </w:rPr>
        <w:t>Mol Cell Endocrinol</w:t>
      </w:r>
      <w:r w:rsidRPr="00AD5781">
        <w:rPr>
          <w:rFonts w:ascii="Arial" w:hAnsi="Arial" w:cs="Arial"/>
          <w:i/>
          <w:iCs/>
          <w:shd w:val="clear" w:color="auto" w:fill="FFFFFF"/>
          <w:lang w:val="pt-BR"/>
        </w:rPr>
        <w:t>.,</w:t>
      </w:r>
      <w:r w:rsidRPr="00AD5781">
        <w:rPr>
          <w:rFonts w:ascii="Arial" w:hAnsi="Arial" w:cs="Arial"/>
          <w:shd w:val="clear" w:color="auto" w:fill="FFFFFF"/>
        </w:rPr>
        <w:t xml:space="preserve"> 410: 35-41.</w:t>
      </w:r>
    </w:p>
    <w:p w14:paraId="4A745F33" w14:textId="77777777" w:rsidR="00AE72D7" w:rsidRPr="00AD5781" w:rsidRDefault="00AE72D7" w:rsidP="007E5670">
      <w:pPr>
        <w:spacing w:line="360" w:lineRule="auto"/>
        <w:jc w:val="both"/>
        <w:rPr>
          <w:rFonts w:ascii="Arial" w:hAnsi="Arial" w:cs="Arial"/>
        </w:rPr>
      </w:pPr>
    </w:p>
    <w:p w14:paraId="6D750EDA" w14:textId="77777777" w:rsidR="00AE72D7" w:rsidRPr="00AD5781" w:rsidRDefault="007F10CE" w:rsidP="007E5670">
      <w:pPr>
        <w:spacing w:line="360" w:lineRule="auto"/>
        <w:jc w:val="both"/>
        <w:rPr>
          <w:rFonts w:ascii="Arial" w:hAnsi="Arial" w:cs="Arial"/>
        </w:rPr>
      </w:pPr>
      <w:r w:rsidRPr="00AD5781">
        <w:rPr>
          <w:rFonts w:ascii="Arial" w:hAnsi="Arial" w:cs="Arial"/>
        </w:rPr>
        <w:t>Li, J.</w:t>
      </w:r>
      <w:r w:rsidRPr="00AD5781">
        <w:rPr>
          <w:rFonts w:ascii="Arial" w:hAnsi="Arial" w:cs="Arial"/>
          <w:lang w:val="pt-BR"/>
        </w:rPr>
        <w:t>,</w:t>
      </w:r>
      <w:r w:rsidRPr="00AD5781">
        <w:rPr>
          <w:rFonts w:ascii="Arial" w:hAnsi="Arial" w:cs="Arial"/>
        </w:rPr>
        <w:t xml:space="preserve"> Ren, H.</w:t>
      </w:r>
      <w:r w:rsidRPr="00AD5781">
        <w:rPr>
          <w:rFonts w:ascii="Arial" w:hAnsi="Arial" w:cs="Arial"/>
          <w:lang w:val="pt-BR"/>
        </w:rPr>
        <w:t>,</w:t>
      </w:r>
      <w:r w:rsidRPr="00AD5781">
        <w:rPr>
          <w:rFonts w:ascii="Arial" w:hAnsi="Arial" w:cs="Arial"/>
        </w:rPr>
        <w:t xml:space="preserve"> Zhang, Z.</w:t>
      </w:r>
      <w:r w:rsidRPr="00AD5781">
        <w:rPr>
          <w:rFonts w:ascii="Arial" w:hAnsi="Arial" w:cs="Arial"/>
          <w:lang w:val="pt-BR"/>
        </w:rPr>
        <w:t>,</w:t>
      </w:r>
      <w:r w:rsidRPr="00AD5781">
        <w:rPr>
          <w:rFonts w:ascii="Arial" w:hAnsi="Arial" w:cs="Arial"/>
        </w:rPr>
        <w:t xml:space="preserve"> Zhang, J.</w:t>
      </w:r>
      <w:r w:rsidRPr="00AD5781">
        <w:rPr>
          <w:rFonts w:ascii="Arial" w:hAnsi="Arial" w:cs="Arial"/>
          <w:lang w:val="pt-BR"/>
        </w:rPr>
        <w:t>,</w:t>
      </w:r>
      <w:r w:rsidRPr="00AD5781">
        <w:rPr>
          <w:rFonts w:ascii="Arial" w:hAnsi="Arial" w:cs="Arial"/>
        </w:rPr>
        <w:t xml:space="preserve"> Wei, F.</w:t>
      </w:r>
      <w:r w:rsidRPr="00AD5781">
        <w:rPr>
          <w:rFonts w:ascii="Arial" w:hAnsi="Arial" w:cs="Arial"/>
          <w:lang w:val="pt-BR"/>
        </w:rPr>
        <w:t xml:space="preserve"> (2024).</w:t>
      </w:r>
      <w:r w:rsidRPr="00AD5781">
        <w:rPr>
          <w:rFonts w:ascii="Arial" w:hAnsi="Arial" w:cs="Arial"/>
        </w:rPr>
        <w:t xml:space="preserve"> Macrophage M2 polarization promotes pulpal inflammation resolution during orthodontic tooth movement. </w:t>
      </w:r>
      <w:r w:rsidRPr="00AD5781">
        <w:rPr>
          <w:rFonts w:ascii="Arial" w:hAnsi="Arial" w:cs="Arial"/>
          <w:i/>
          <w:iCs/>
        </w:rPr>
        <w:t>Journal of cellular and molecular medicin</w:t>
      </w:r>
      <w:r w:rsidRPr="00AD5781">
        <w:rPr>
          <w:rFonts w:ascii="Arial" w:hAnsi="Arial" w:cs="Arial"/>
          <w:i/>
          <w:iCs/>
          <w:lang w:val="pt-BR"/>
        </w:rPr>
        <w:t xml:space="preserve">e, </w:t>
      </w:r>
      <w:r w:rsidRPr="00AD5781">
        <w:rPr>
          <w:rFonts w:ascii="Arial" w:hAnsi="Arial" w:cs="Arial"/>
          <w:i/>
          <w:iCs/>
        </w:rPr>
        <w:t>28</w:t>
      </w:r>
      <w:r w:rsidRPr="00AD5781">
        <w:rPr>
          <w:rFonts w:ascii="Arial" w:hAnsi="Arial" w:cs="Arial"/>
        </w:rPr>
        <w:t>(9): e18350.</w:t>
      </w:r>
    </w:p>
    <w:p w14:paraId="3EC7AD8B" w14:textId="77777777" w:rsidR="00AE72D7" w:rsidRPr="00AD5781" w:rsidRDefault="00AE72D7" w:rsidP="007E5670">
      <w:pPr>
        <w:spacing w:line="360" w:lineRule="auto"/>
        <w:jc w:val="both"/>
        <w:rPr>
          <w:rFonts w:ascii="Arial" w:hAnsi="Arial" w:cs="Arial"/>
        </w:rPr>
      </w:pPr>
    </w:p>
    <w:p w14:paraId="0D597A27" w14:textId="77777777" w:rsidR="00AE72D7" w:rsidRPr="00AD5781" w:rsidRDefault="007F10CE" w:rsidP="007E5670">
      <w:pPr>
        <w:autoSpaceDE w:val="0"/>
        <w:autoSpaceDN w:val="0"/>
        <w:adjustRightInd w:val="0"/>
        <w:spacing w:line="360" w:lineRule="auto"/>
        <w:ind w:right="-2"/>
        <w:jc w:val="both"/>
        <w:rPr>
          <w:rFonts w:ascii="Arial" w:hAnsi="Arial" w:cs="Arial"/>
          <w:shd w:val="clear" w:color="auto" w:fill="FFFFFF"/>
        </w:rPr>
      </w:pPr>
      <w:r w:rsidRPr="00AD5781">
        <w:rPr>
          <w:rFonts w:ascii="Arial" w:hAnsi="Arial" w:cs="Arial"/>
          <w:shd w:val="clear" w:color="auto" w:fill="FFFFFF"/>
        </w:rPr>
        <w:t>Maggio, A.B.</w:t>
      </w:r>
      <w:r w:rsidRPr="00AD5781">
        <w:rPr>
          <w:rFonts w:ascii="Arial" w:hAnsi="Arial" w:cs="Arial"/>
          <w:shd w:val="clear" w:color="auto" w:fill="FFFFFF"/>
          <w:lang w:val="pt-BR"/>
        </w:rPr>
        <w:t>,</w:t>
      </w:r>
      <w:r w:rsidRPr="00AD5781">
        <w:rPr>
          <w:rFonts w:ascii="Arial" w:hAnsi="Arial" w:cs="Arial"/>
          <w:shd w:val="clear" w:color="auto" w:fill="FFFFFF"/>
        </w:rPr>
        <w:t xml:space="preserve"> Belli, D.C.</w:t>
      </w:r>
      <w:r w:rsidRPr="00AD5781">
        <w:rPr>
          <w:rFonts w:ascii="Arial" w:hAnsi="Arial" w:cs="Arial"/>
          <w:shd w:val="clear" w:color="auto" w:fill="FFFFFF"/>
          <w:lang w:val="pt-BR"/>
        </w:rPr>
        <w:t>,</w:t>
      </w:r>
      <w:r w:rsidRPr="00AD5781">
        <w:rPr>
          <w:rFonts w:ascii="Arial" w:hAnsi="Arial" w:cs="Arial"/>
          <w:shd w:val="clear" w:color="auto" w:fill="FFFFFF"/>
        </w:rPr>
        <w:t xml:space="preserve"> Puigdefabregas, J.W.</w:t>
      </w:r>
      <w:r w:rsidRPr="00AD5781">
        <w:rPr>
          <w:rFonts w:ascii="Arial" w:hAnsi="Arial" w:cs="Arial"/>
          <w:shd w:val="clear" w:color="auto" w:fill="FFFFFF"/>
          <w:lang w:val="pt-BR"/>
        </w:rPr>
        <w:t>,</w:t>
      </w:r>
      <w:r w:rsidRPr="00AD5781">
        <w:rPr>
          <w:rFonts w:ascii="Arial" w:hAnsi="Arial" w:cs="Arial"/>
          <w:shd w:val="clear" w:color="auto" w:fill="FFFFFF"/>
        </w:rPr>
        <w:t xml:space="preserve"> Rizzoli, R.</w:t>
      </w:r>
      <w:r w:rsidRPr="00AD5781">
        <w:rPr>
          <w:rFonts w:ascii="Arial" w:hAnsi="Arial" w:cs="Arial"/>
          <w:shd w:val="clear" w:color="auto" w:fill="FFFFFF"/>
          <w:lang w:val="pt-BR"/>
        </w:rPr>
        <w:t>,</w:t>
      </w:r>
      <w:r w:rsidRPr="00AD5781">
        <w:rPr>
          <w:rFonts w:ascii="Arial" w:hAnsi="Arial" w:cs="Arial"/>
          <w:shd w:val="clear" w:color="auto" w:fill="FFFFFF"/>
        </w:rPr>
        <w:t xml:space="preserve"> Farpour-Lambert, N.J.</w:t>
      </w:r>
      <w:r w:rsidRPr="00AD5781">
        <w:rPr>
          <w:rFonts w:ascii="Arial" w:hAnsi="Arial" w:cs="Arial"/>
          <w:shd w:val="clear" w:color="auto" w:fill="FFFFFF"/>
          <w:lang w:val="pt-BR"/>
        </w:rPr>
        <w:t>,</w:t>
      </w:r>
      <w:r w:rsidRPr="00AD5781">
        <w:rPr>
          <w:rFonts w:ascii="Arial" w:hAnsi="Arial" w:cs="Arial"/>
          <w:shd w:val="clear" w:color="auto" w:fill="FFFFFF"/>
        </w:rPr>
        <w:t xml:space="preserve"> Beghetti, M. </w:t>
      </w:r>
      <w:r w:rsidRPr="00AD5781">
        <w:rPr>
          <w:rFonts w:ascii="Arial" w:hAnsi="Arial" w:cs="Arial"/>
          <w:shd w:val="clear" w:color="auto" w:fill="FFFFFF"/>
          <w:lang w:val="pt-BR"/>
        </w:rPr>
        <w:t xml:space="preserve">(2014). </w:t>
      </w:r>
      <w:r w:rsidRPr="00AD5781">
        <w:rPr>
          <w:rFonts w:ascii="Arial" w:hAnsi="Arial" w:cs="Arial"/>
          <w:shd w:val="clear" w:color="auto" w:fill="FFFFFF"/>
        </w:rPr>
        <w:t xml:space="preserve">High bone density in adolescents with obesity is related to fat mass and serum leptin concentrations. </w:t>
      </w:r>
      <w:r w:rsidRPr="00AD5781">
        <w:rPr>
          <w:rFonts w:ascii="Arial" w:hAnsi="Arial" w:cs="Arial"/>
          <w:i/>
          <w:iCs/>
          <w:shd w:val="clear" w:color="auto" w:fill="FFFFFF"/>
        </w:rPr>
        <w:t>J Pediatr Gastroenterol Nutr</w:t>
      </w:r>
      <w:r w:rsidRPr="00AD5781">
        <w:rPr>
          <w:rFonts w:ascii="Arial" w:hAnsi="Arial" w:cs="Arial"/>
          <w:shd w:val="clear" w:color="auto" w:fill="FFFFFF"/>
        </w:rPr>
        <w:t>. 58(6): 723-728.</w:t>
      </w:r>
    </w:p>
    <w:p w14:paraId="3CAFD6AD" w14:textId="77777777" w:rsidR="00AE72D7" w:rsidRPr="00AD5781" w:rsidRDefault="00AE72D7" w:rsidP="007E5670">
      <w:pPr>
        <w:autoSpaceDE w:val="0"/>
        <w:autoSpaceDN w:val="0"/>
        <w:adjustRightInd w:val="0"/>
        <w:spacing w:line="360" w:lineRule="auto"/>
        <w:ind w:right="-2"/>
        <w:jc w:val="both"/>
        <w:rPr>
          <w:rFonts w:ascii="Arial" w:hAnsi="Arial" w:cs="Arial"/>
          <w:shd w:val="clear" w:color="auto" w:fill="FFFFFF"/>
        </w:rPr>
      </w:pPr>
    </w:p>
    <w:p w14:paraId="40CB80A4" w14:textId="77777777" w:rsidR="00AE72D7" w:rsidRPr="00AD5781" w:rsidRDefault="007F10CE" w:rsidP="007E5670">
      <w:pPr>
        <w:spacing w:line="360" w:lineRule="auto"/>
        <w:jc w:val="both"/>
        <w:rPr>
          <w:rFonts w:ascii="Arial" w:hAnsi="Arial" w:cs="Arial"/>
        </w:rPr>
      </w:pPr>
      <w:r w:rsidRPr="00AD5781">
        <w:rPr>
          <w:rFonts w:ascii="Arial" w:hAnsi="Arial" w:cs="Arial"/>
        </w:rPr>
        <w:t>Molitch, M. E.</w:t>
      </w:r>
      <w:r w:rsidRPr="00AD5781">
        <w:rPr>
          <w:rFonts w:ascii="Arial" w:hAnsi="Arial" w:cs="Arial"/>
          <w:lang w:val="pt-BR"/>
        </w:rPr>
        <w:t xml:space="preserve"> (2012).</w:t>
      </w:r>
      <w:r w:rsidRPr="00AD5781">
        <w:rPr>
          <w:rFonts w:ascii="Arial" w:hAnsi="Arial" w:cs="Arial"/>
        </w:rPr>
        <w:t xml:space="preserve">  230 - Neuroendocrinology and the Neuroendocrine System, Editor(s): Lee Goldman, Andrew I. Schafer, </w:t>
      </w:r>
      <w:r w:rsidRPr="00AD5781">
        <w:rPr>
          <w:rFonts w:ascii="Arial" w:hAnsi="Arial" w:cs="Arial"/>
          <w:i/>
          <w:iCs/>
        </w:rPr>
        <w:t>Goldman's Cecil Medicine</w:t>
      </w:r>
      <w:r w:rsidRPr="00AD5781">
        <w:rPr>
          <w:rFonts w:ascii="Arial" w:hAnsi="Arial" w:cs="Arial"/>
        </w:rPr>
        <w:t xml:space="preserve"> (Twenty Fourth Edition), W.B. Saunders, Pages 1425-1431, ISBN 9781437716047.</w:t>
      </w:r>
    </w:p>
    <w:p w14:paraId="5A12EC97" w14:textId="77777777" w:rsidR="00AE72D7" w:rsidRPr="00AD5781" w:rsidRDefault="00AE72D7" w:rsidP="007E5670">
      <w:pPr>
        <w:spacing w:line="360" w:lineRule="auto"/>
        <w:jc w:val="both"/>
        <w:rPr>
          <w:rFonts w:ascii="Arial" w:hAnsi="Arial" w:cs="Arial"/>
        </w:rPr>
      </w:pPr>
    </w:p>
    <w:p w14:paraId="230B54F8" w14:textId="77777777" w:rsidR="00AE72D7" w:rsidRPr="00AD5781" w:rsidRDefault="007F10CE" w:rsidP="007E5670">
      <w:pPr>
        <w:spacing w:line="360" w:lineRule="auto"/>
        <w:jc w:val="both"/>
        <w:rPr>
          <w:rFonts w:ascii="Arial" w:hAnsi="Arial" w:cs="Arial"/>
        </w:rPr>
      </w:pPr>
      <w:r w:rsidRPr="00AD5781">
        <w:rPr>
          <w:rFonts w:ascii="Arial" w:hAnsi="Arial" w:cs="Arial"/>
        </w:rPr>
        <w:t>Massaro, C.S.</w:t>
      </w:r>
      <w:r w:rsidRPr="00AD5781">
        <w:rPr>
          <w:rFonts w:ascii="Arial" w:hAnsi="Arial" w:cs="Arial"/>
          <w:lang w:val="pt-BR"/>
        </w:rPr>
        <w:t>,</w:t>
      </w:r>
      <w:r w:rsidRPr="00AD5781">
        <w:rPr>
          <w:rFonts w:ascii="Arial" w:hAnsi="Arial" w:cs="Arial"/>
        </w:rPr>
        <w:t xml:space="preserve"> Consolaro, R.B.</w:t>
      </w:r>
      <w:r w:rsidRPr="00AD5781">
        <w:rPr>
          <w:rFonts w:ascii="Arial" w:hAnsi="Arial" w:cs="Arial"/>
          <w:lang w:val="pt-BR"/>
        </w:rPr>
        <w:t>,</w:t>
      </w:r>
      <w:r w:rsidRPr="00AD5781">
        <w:rPr>
          <w:rFonts w:ascii="Arial" w:hAnsi="Arial" w:cs="Arial"/>
        </w:rPr>
        <w:t xml:space="preserve"> Santamaria, M.JR.</w:t>
      </w:r>
      <w:r w:rsidRPr="00AD5781">
        <w:rPr>
          <w:rFonts w:ascii="Arial" w:hAnsi="Arial" w:cs="Arial"/>
          <w:lang w:val="pt-BR"/>
        </w:rPr>
        <w:t>,</w:t>
      </w:r>
      <w:r w:rsidRPr="00AD5781">
        <w:rPr>
          <w:rFonts w:ascii="Arial" w:hAnsi="Arial" w:cs="Arial"/>
        </w:rPr>
        <w:t xml:space="preserve"> Consolaro, M.F.M.O.</w:t>
      </w:r>
      <w:r w:rsidRPr="00AD5781">
        <w:rPr>
          <w:rFonts w:ascii="Arial" w:hAnsi="Arial" w:cs="Arial"/>
          <w:lang w:val="pt-BR"/>
        </w:rPr>
        <w:t>,</w:t>
      </w:r>
      <w:r w:rsidRPr="00AD5781">
        <w:rPr>
          <w:rFonts w:ascii="Arial" w:hAnsi="Arial" w:cs="Arial"/>
        </w:rPr>
        <w:t xml:space="preserve"> Consolaro, A.</w:t>
      </w:r>
      <w:r w:rsidRPr="00AD5781">
        <w:rPr>
          <w:rFonts w:ascii="Arial" w:hAnsi="Arial" w:cs="Arial"/>
          <w:lang w:val="pt-BR"/>
        </w:rPr>
        <w:t xml:space="preserve"> (2009).</w:t>
      </w:r>
      <w:r w:rsidRPr="00AD5781">
        <w:rPr>
          <w:rFonts w:ascii="Arial" w:hAnsi="Arial" w:cs="Arial"/>
        </w:rPr>
        <w:t xml:space="preserve"> Analysis of the dentin-pulp complex in teeth submitted to orthodontic movement in rats. </w:t>
      </w:r>
      <w:r w:rsidRPr="00AD5781">
        <w:rPr>
          <w:rStyle w:val="Emphasis"/>
          <w:rFonts w:ascii="Arial" w:hAnsi="Arial" w:cs="Arial"/>
          <w:shd w:val="clear" w:color="auto" w:fill="FFFFFF"/>
        </w:rPr>
        <w:t>Journal of Applied Oral Science</w:t>
      </w:r>
      <w:r w:rsidRPr="00AD5781">
        <w:rPr>
          <w:rStyle w:val="Emphasis"/>
          <w:rFonts w:ascii="Arial" w:hAnsi="Arial" w:cs="Arial"/>
          <w:shd w:val="clear" w:color="auto" w:fill="FFFFFF"/>
          <w:lang w:val="pt-BR"/>
        </w:rPr>
        <w:t>,</w:t>
      </w:r>
      <w:r w:rsidRPr="00AD5781">
        <w:rPr>
          <w:rFonts w:ascii="Arial" w:hAnsi="Arial" w:cs="Arial"/>
        </w:rPr>
        <w:t xml:space="preserve"> 17(17): 35-42.</w:t>
      </w:r>
    </w:p>
    <w:p w14:paraId="04C76818" w14:textId="77777777" w:rsidR="00AE72D7" w:rsidRPr="00AD5781" w:rsidRDefault="00AE72D7" w:rsidP="007E5670">
      <w:pPr>
        <w:spacing w:line="360" w:lineRule="auto"/>
        <w:jc w:val="both"/>
        <w:rPr>
          <w:rFonts w:ascii="Arial" w:hAnsi="Arial" w:cs="Arial"/>
        </w:rPr>
      </w:pPr>
      <w:bookmarkStart w:id="0" w:name="_Hlk181227652"/>
    </w:p>
    <w:p w14:paraId="70F10475" w14:textId="77777777" w:rsidR="00AE72D7" w:rsidRPr="00AD5781" w:rsidRDefault="007F10CE" w:rsidP="007E5670">
      <w:pPr>
        <w:spacing w:line="360" w:lineRule="auto"/>
        <w:jc w:val="both"/>
        <w:rPr>
          <w:rFonts w:ascii="Arial" w:hAnsi="Arial" w:cs="Arial"/>
        </w:rPr>
      </w:pPr>
      <w:r w:rsidRPr="00AD5781">
        <w:rPr>
          <w:rFonts w:ascii="Arial" w:hAnsi="Arial" w:cs="Arial"/>
        </w:rPr>
        <w:t>Mattia, T.M.</w:t>
      </w:r>
      <w:r w:rsidRPr="00AD5781">
        <w:rPr>
          <w:rFonts w:ascii="Arial" w:hAnsi="Arial" w:cs="Arial"/>
          <w:lang w:val="pt-BR"/>
        </w:rPr>
        <w:t>,</w:t>
      </w:r>
      <w:r w:rsidRPr="00AD5781">
        <w:rPr>
          <w:rFonts w:ascii="Arial" w:hAnsi="Arial" w:cs="Arial"/>
        </w:rPr>
        <w:t xml:space="preserve"> Leite</w:t>
      </w:r>
      <w:bookmarkEnd w:id="0"/>
      <w:r w:rsidRPr="00AD5781">
        <w:rPr>
          <w:rFonts w:ascii="Arial" w:hAnsi="Arial" w:cs="Arial"/>
        </w:rPr>
        <w:t>, M.A.</w:t>
      </w:r>
      <w:r w:rsidRPr="00AD5781">
        <w:rPr>
          <w:rFonts w:ascii="Arial" w:hAnsi="Arial" w:cs="Arial"/>
          <w:lang w:val="pt-BR"/>
        </w:rPr>
        <w:t>,</w:t>
      </w:r>
      <w:r w:rsidRPr="00AD5781">
        <w:rPr>
          <w:rFonts w:ascii="Arial" w:hAnsi="Arial" w:cs="Arial"/>
        </w:rPr>
        <w:t xml:space="preserve"> Alegre-Maller, C.P.</w:t>
      </w:r>
      <w:r w:rsidRPr="00AD5781">
        <w:rPr>
          <w:rFonts w:ascii="Arial" w:hAnsi="Arial" w:cs="Arial"/>
          <w:lang w:val="pt-BR"/>
        </w:rPr>
        <w:t>,</w:t>
      </w:r>
      <w:r w:rsidRPr="00AD5781">
        <w:rPr>
          <w:rFonts w:ascii="Arial" w:hAnsi="Arial" w:cs="Arial"/>
        </w:rPr>
        <w:t xml:space="preserve"> Nassar, C.A. </w:t>
      </w:r>
      <w:r w:rsidRPr="00AD5781">
        <w:rPr>
          <w:rFonts w:ascii="Arial" w:hAnsi="Arial" w:cs="Arial"/>
          <w:lang w:val="pt-BR"/>
        </w:rPr>
        <w:t xml:space="preserve">(2017). </w:t>
      </w:r>
      <w:r w:rsidRPr="00AD5781">
        <w:rPr>
          <w:rFonts w:ascii="Arial" w:hAnsi="Arial" w:cs="Arial"/>
        </w:rPr>
        <w:t>The Influence of Obesity Induced by Monosodium Glutamate in Periodontal Tissues of Female Wister Rats with Experimental Periodontitis.</w:t>
      </w:r>
      <w:r w:rsidRPr="00AD5781">
        <w:rPr>
          <w:rFonts w:ascii="Arial" w:hAnsi="Arial" w:cs="Arial"/>
          <w:i/>
          <w:iCs/>
        </w:rPr>
        <w:t xml:space="preserve"> American International Journal of Contemporary Research</w:t>
      </w:r>
      <w:r w:rsidRPr="00AD5781">
        <w:rPr>
          <w:rFonts w:ascii="Arial" w:hAnsi="Arial" w:cs="Arial"/>
          <w:i/>
          <w:iCs/>
          <w:lang w:val="pt-BR"/>
        </w:rPr>
        <w:t>,</w:t>
      </w:r>
      <w:r w:rsidRPr="00AD5781">
        <w:rPr>
          <w:rFonts w:ascii="Arial" w:hAnsi="Arial" w:cs="Arial"/>
        </w:rPr>
        <w:t xml:space="preserve"> 7(3): 28-40.</w:t>
      </w:r>
    </w:p>
    <w:p w14:paraId="6944EEFE" w14:textId="77777777" w:rsidR="00AE72D7" w:rsidRPr="00AD5781" w:rsidRDefault="00AE72D7" w:rsidP="007E5670">
      <w:pPr>
        <w:spacing w:line="360" w:lineRule="auto"/>
        <w:jc w:val="both"/>
        <w:rPr>
          <w:rFonts w:ascii="Arial" w:hAnsi="Arial" w:cs="Arial"/>
        </w:rPr>
      </w:pPr>
    </w:p>
    <w:p w14:paraId="14917518" w14:textId="77777777" w:rsidR="00AE72D7" w:rsidRPr="00AD5781" w:rsidRDefault="007F10CE" w:rsidP="007E5670">
      <w:pPr>
        <w:spacing w:line="360" w:lineRule="auto"/>
        <w:jc w:val="both"/>
        <w:rPr>
          <w:rFonts w:ascii="Arial" w:hAnsi="Arial" w:cs="Arial"/>
        </w:rPr>
      </w:pPr>
      <w:r w:rsidRPr="00AD5781">
        <w:rPr>
          <w:rFonts w:ascii="Arial" w:hAnsi="Arial" w:cs="Arial"/>
        </w:rPr>
        <w:t>Mcclanaham, S.B.</w:t>
      </w:r>
      <w:r w:rsidRPr="00AD5781">
        <w:rPr>
          <w:rFonts w:ascii="Arial" w:hAnsi="Arial" w:cs="Arial"/>
          <w:lang w:val="pt-BR"/>
        </w:rPr>
        <w:t>,</w:t>
      </w:r>
      <w:r w:rsidRPr="00AD5781">
        <w:rPr>
          <w:rFonts w:ascii="Arial" w:hAnsi="Arial" w:cs="Arial"/>
        </w:rPr>
        <w:t xml:space="preserve"> Turner, D.W.</w:t>
      </w:r>
      <w:r w:rsidRPr="00AD5781">
        <w:rPr>
          <w:rFonts w:ascii="Arial" w:hAnsi="Arial" w:cs="Arial"/>
          <w:lang w:val="pt-BR"/>
        </w:rPr>
        <w:t>,</w:t>
      </w:r>
      <w:r w:rsidRPr="00AD5781">
        <w:rPr>
          <w:rFonts w:ascii="Arial" w:hAnsi="Arial" w:cs="Arial"/>
        </w:rPr>
        <w:t xml:space="preserve"> Kaminski, E.J.</w:t>
      </w:r>
      <w:r w:rsidRPr="00AD5781">
        <w:rPr>
          <w:rFonts w:ascii="Arial" w:hAnsi="Arial" w:cs="Arial"/>
          <w:lang w:val="pt-BR"/>
        </w:rPr>
        <w:t>,</w:t>
      </w:r>
      <w:r w:rsidRPr="00AD5781">
        <w:rPr>
          <w:rFonts w:ascii="Arial" w:hAnsi="Arial" w:cs="Arial"/>
        </w:rPr>
        <w:t xml:space="preserve"> Osetek, E. M.</w:t>
      </w:r>
      <w:r w:rsidRPr="00AD5781">
        <w:rPr>
          <w:rFonts w:ascii="Arial" w:hAnsi="Arial" w:cs="Arial"/>
          <w:lang w:val="pt-BR"/>
        </w:rPr>
        <w:t>,</w:t>
      </w:r>
      <w:r w:rsidRPr="00AD5781">
        <w:rPr>
          <w:rFonts w:ascii="Arial" w:hAnsi="Arial" w:cs="Arial"/>
        </w:rPr>
        <w:t xml:space="preserve"> Heuer, M.A.</w:t>
      </w:r>
      <w:r w:rsidRPr="00AD5781">
        <w:rPr>
          <w:rFonts w:ascii="Arial" w:hAnsi="Arial" w:cs="Arial"/>
          <w:lang w:val="pt-BR"/>
        </w:rPr>
        <w:t xml:space="preserve"> (1991).</w:t>
      </w:r>
      <w:r w:rsidRPr="00AD5781">
        <w:rPr>
          <w:rFonts w:ascii="Arial" w:hAnsi="Arial" w:cs="Arial"/>
        </w:rPr>
        <w:t xml:space="preserve"> Natural modifiers of the inflammatory process in the human dental pulp. </w:t>
      </w:r>
      <w:r w:rsidRPr="00AD5781">
        <w:rPr>
          <w:rFonts w:ascii="Arial" w:hAnsi="Arial" w:cs="Arial"/>
          <w:i/>
          <w:iCs/>
          <w:shd w:val="clear" w:color="auto" w:fill="FFFFFF"/>
        </w:rPr>
        <w:t>Journal of </w:t>
      </w:r>
      <w:r w:rsidRPr="00AD5781">
        <w:rPr>
          <w:rStyle w:val="Emphasis"/>
          <w:rFonts w:ascii="Arial" w:hAnsi="Arial" w:cs="Arial"/>
          <w:shd w:val="clear" w:color="auto" w:fill="FFFFFF"/>
        </w:rPr>
        <w:t>Endodontics</w:t>
      </w:r>
      <w:r w:rsidRPr="00AD5781">
        <w:rPr>
          <w:rStyle w:val="Emphasis"/>
          <w:rFonts w:ascii="Arial" w:hAnsi="Arial" w:cs="Arial"/>
          <w:shd w:val="clear" w:color="auto" w:fill="FFFFFF"/>
          <w:lang w:val="pt-BR"/>
        </w:rPr>
        <w:t>,</w:t>
      </w:r>
      <w:r w:rsidRPr="00AD5781">
        <w:rPr>
          <w:rFonts w:ascii="Arial" w:hAnsi="Arial" w:cs="Arial"/>
        </w:rPr>
        <w:t xml:space="preserve"> 17(17): 589-593.</w:t>
      </w:r>
    </w:p>
    <w:p w14:paraId="2B45E5FF" w14:textId="77777777" w:rsidR="00AE72D7" w:rsidRPr="00AD5781" w:rsidRDefault="00AE72D7" w:rsidP="007E5670">
      <w:pPr>
        <w:widowControl w:val="0"/>
        <w:spacing w:line="360" w:lineRule="auto"/>
        <w:jc w:val="both"/>
        <w:rPr>
          <w:rFonts w:ascii="Arial" w:eastAsia="Times New Roman" w:hAnsi="Arial" w:cs="Arial"/>
        </w:rPr>
      </w:pPr>
    </w:p>
    <w:p w14:paraId="33953E08" w14:textId="77777777" w:rsidR="00AE72D7" w:rsidRPr="00AD5781" w:rsidRDefault="007F10CE" w:rsidP="007E5670">
      <w:pPr>
        <w:widowControl w:val="0"/>
        <w:spacing w:line="360" w:lineRule="auto"/>
        <w:jc w:val="both"/>
        <w:rPr>
          <w:rFonts w:ascii="Arial" w:eastAsia="Times New Roman" w:hAnsi="Arial" w:cs="Arial"/>
        </w:rPr>
      </w:pPr>
      <w:r w:rsidRPr="00AD5781">
        <w:rPr>
          <w:rFonts w:ascii="Arial" w:eastAsia="Times New Roman" w:hAnsi="Arial" w:cs="Arial"/>
        </w:rPr>
        <w:t xml:space="preserve">Meikle, M.C. </w:t>
      </w:r>
      <w:r w:rsidRPr="00AD5781">
        <w:rPr>
          <w:rFonts w:ascii="Arial" w:eastAsia="Times New Roman" w:hAnsi="Arial" w:cs="Arial"/>
          <w:lang w:val="pt-BR"/>
        </w:rPr>
        <w:t xml:space="preserve">(2006). </w:t>
      </w:r>
      <w:r w:rsidRPr="00AD5781">
        <w:rPr>
          <w:rFonts w:ascii="Arial" w:eastAsia="Times New Roman" w:hAnsi="Arial" w:cs="Arial"/>
        </w:rPr>
        <w:t xml:space="preserve">The tissue, cellular, and molecular regulation of orthodontic tooth </w:t>
      </w:r>
      <w:r w:rsidRPr="00AD5781">
        <w:rPr>
          <w:rFonts w:ascii="Arial" w:eastAsia="Times New Roman" w:hAnsi="Arial" w:cs="Arial"/>
        </w:rPr>
        <w:lastRenderedPageBreak/>
        <w:t xml:space="preserve">movement: 100 years after Carl Sandstedt. </w:t>
      </w:r>
      <w:r w:rsidRPr="00AD5781">
        <w:rPr>
          <w:rFonts w:ascii="Arial" w:eastAsia="Times New Roman" w:hAnsi="Arial" w:cs="Arial"/>
          <w:i/>
          <w:iCs/>
        </w:rPr>
        <w:t>The European Journal of Orthodontics</w:t>
      </w:r>
      <w:r w:rsidRPr="00AD5781">
        <w:rPr>
          <w:rFonts w:ascii="Arial" w:eastAsia="Times New Roman" w:hAnsi="Arial" w:cs="Arial"/>
        </w:rPr>
        <w:t>. 28(3): 221-240.</w:t>
      </w:r>
    </w:p>
    <w:p w14:paraId="7F797CF0" w14:textId="77777777" w:rsidR="00AE72D7" w:rsidRPr="00AD5781" w:rsidRDefault="00AE72D7" w:rsidP="007E5670">
      <w:pPr>
        <w:spacing w:line="360" w:lineRule="auto"/>
        <w:jc w:val="both"/>
        <w:rPr>
          <w:rFonts w:ascii="Arial" w:eastAsia="Frutiger-LightCn" w:hAnsi="Arial" w:cs="Arial"/>
          <w:lang w:eastAsia="zh-CN" w:bidi="ar"/>
        </w:rPr>
      </w:pPr>
    </w:p>
    <w:p w14:paraId="72BB00B1" w14:textId="77777777" w:rsidR="00AE72D7" w:rsidRPr="00AD5781" w:rsidRDefault="007F10CE" w:rsidP="007E5670">
      <w:pPr>
        <w:spacing w:line="360" w:lineRule="auto"/>
        <w:jc w:val="both"/>
        <w:rPr>
          <w:rFonts w:ascii="Arial" w:eastAsia="Frutiger-LightCn" w:hAnsi="Arial" w:cs="Arial"/>
          <w:lang w:eastAsia="zh-CN" w:bidi="ar"/>
        </w:rPr>
      </w:pPr>
      <w:r w:rsidRPr="00AD5781">
        <w:rPr>
          <w:rFonts w:ascii="Arial" w:eastAsia="Frutiger-LightCn" w:hAnsi="Arial" w:cs="Arial"/>
          <w:lang w:eastAsia="zh-CN" w:bidi="ar"/>
        </w:rPr>
        <w:t>Öhrn, K.</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A</w:t>
      </w:r>
      <w:r w:rsidRPr="00AD5781">
        <w:rPr>
          <w:rFonts w:ascii="Arial" w:eastAsia="Frutiger-LightCn" w:hAnsi="Arial" w:cs="Arial"/>
          <w:lang w:val="pt-BR" w:eastAsia="zh-CN" w:bidi="ar"/>
        </w:rPr>
        <w:t>l</w:t>
      </w:r>
      <w:r w:rsidRPr="00AD5781">
        <w:rPr>
          <w:rFonts w:ascii="Arial" w:eastAsia="Frutiger-LightCn" w:hAnsi="Arial" w:cs="Arial"/>
          <w:lang w:eastAsia="zh-CN" w:bidi="ar"/>
        </w:rPr>
        <w:t>-Kahlili, B.</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Huggare, J.</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Forsberg, C.M.</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Marcus, C.</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Dahllöf, G. </w:t>
      </w:r>
      <w:r w:rsidRPr="00AD5781">
        <w:rPr>
          <w:rFonts w:ascii="Arial" w:eastAsia="Frutiger-LightCn" w:hAnsi="Arial" w:cs="Arial"/>
          <w:lang w:val="pt-BR" w:eastAsia="zh-CN" w:bidi="ar"/>
        </w:rPr>
        <w:t xml:space="preserve">(2002). </w:t>
      </w:r>
      <w:r w:rsidRPr="00AD5781">
        <w:rPr>
          <w:rFonts w:ascii="Arial" w:eastAsia="Frutiger-LightCn" w:hAnsi="Arial" w:cs="Arial"/>
          <w:lang w:eastAsia="zh-CN" w:bidi="ar"/>
        </w:rPr>
        <w:t xml:space="preserve">Craniofacial morphology in obese adolescents. </w:t>
      </w:r>
      <w:r w:rsidRPr="00AD5781">
        <w:rPr>
          <w:rFonts w:ascii="Arial" w:eastAsia="Frutiger-LightCn" w:hAnsi="Arial" w:cs="Arial"/>
          <w:i/>
          <w:iCs/>
          <w:lang w:eastAsia="zh-CN" w:bidi="ar"/>
        </w:rPr>
        <w:t>Acta Odontol Scand.</w:t>
      </w:r>
      <w:r w:rsidRPr="00AD5781">
        <w:rPr>
          <w:rFonts w:ascii="Arial" w:eastAsia="Frutiger-LightCn" w:hAnsi="Arial" w:cs="Arial"/>
          <w:i/>
          <w:iCs/>
          <w:lang w:val="pt-BR" w:eastAsia="zh-CN" w:bidi="ar"/>
        </w:rPr>
        <w:t>,</w:t>
      </w:r>
      <w:r w:rsidRPr="00AD5781">
        <w:rPr>
          <w:rFonts w:ascii="Arial" w:eastAsia="Frutiger-LightCn" w:hAnsi="Arial" w:cs="Arial"/>
          <w:i/>
          <w:iCs/>
          <w:lang w:eastAsia="zh-CN" w:bidi="ar"/>
        </w:rPr>
        <w:t xml:space="preserve"> </w:t>
      </w:r>
      <w:r w:rsidRPr="00AD5781">
        <w:rPr>
          <w:rFonts w:ascii="Arial" w:eastAsia="Frutiger-LightCn" w:hAnsi="Arial" w:cs="Arial"/>
          <w:lang w:eastAsia="zh-CN" w:bidi="ar"/>
        </w:rPr>
        <w:t>60, 193-197.</w:t>
      </w:r>
    </w:p>
    <w:p w14:paraId="0B1669BC" w14:textId="77777777" w:rsidR="00AE72D7" w:rsidRPr="00AD5781" w:rsidRDefault="00AE72D7" w:rsidP="007E5670">
      <w:pPr>
        <w:shd w:val="clear" w:color="auto" w:fill="FFFFFF"/>
        <w:spacing w:line="360" w:lineRule="auto"/>
        <w:ind w:right="-2"/>
        <w:jc w:val="both"/>
        <w:rPr>
          <w:rFonts w:ascii="Arial" w:eastAsia="Times New Roman" w:hAnsi="Arial" w:cs="Arial"/>
        </w:rPr>
      </w:pPr>
    </w:p>
    <w:p w14:paraId="75E30645" w14:textId="77777777" w:rsidR="00AE72D7" w:rsidRPr="00AD5781" w:rsidRDefault="007F10CE" w:rsidP="007E5670">
      <w:pPr>
        <w:spacing w:line="360" w:lineRule="auto"/>
        <w:ind w:right="-2"/>
        <w:jc w:val="both"/>
        <w:rPr>
          <w:rFonts w:ascii="Arial" w:hAnsi="Arial" w:cs="Arial"/>
        </w:rPr>
      </w:pPr>
      <w:r w:rsidRPr="00AD5781">
        <w:rPr>
          <w:rFonts w:ascii="Arial" w:hAnsi="Arial" w:cs="Arial"/>
        </w:rPr>
        <w:t>Olney, J.W.</w:t>
      </w:r>
      <w:r w:rsidRPr="00AD5781">
        <w:rPr>
          <w:rFonts w:ascii="Arial" w:hAnsi="Arial" w:cs="Arial"/>
          <w:lang w:val="pt-BR"/>
        </w:rPr>
        <w:t xml:space="preserve"> (1969).</w:t>
      </w:r>
      <w:r w:rsidRPr="00AD5781">
        <w:rPr>
          <w:rFonts w:ascii="Arial" w:hAnsi="Arial" w:cs="Arial"/>
        </w:rPr>
        <w:t xml:space="preserve"> Brain lesions, obesity and other disturbances in mice treated with monosodium glutamate. </w:t>
      </w:r>
      <w:r w:rsidRPr="00AD5781">
        <w:rPr>
          <w:rFonts w:ascii="Arial" w:hAnsi="Arial" w:cs="Arial"/>
          <w:i/>
          <w:iCs/>
        </w:rPr>
        <w:t>Science</w:t>
      </w:r>
      <w:r w:rsidRPr="00AD5781">
        <w:rPr>
          <w:rFonts w:ascii="Arial" w:hAnsi="Arial" w:cs="Arial"/>
        </w:rPr>
        <w:t xml:space="preserve">. 164(3880):719-721. </w:t>
      </w:r>
    </w:p>
    <w:p w14:paraId="21746F04" w14:textId="77777777" w:rsidR="00AE72D7" w:rsidRPr="00AD5781" w:rsidRDefault="00AE72D7" w:rsidP="007E5670">
      <w:pPr>
        <w:spacing w:line="360" w:lineRule="auto"/>
        <w:ind w:right="-2"/>
        <w:jc w:val="both"/>
        <w:rPr>
          <w:rFonts w:ascii="Arial" w:hAnsi="Arial" w:cs="Arial"/>
        </w:rPr>
      </w:pPr>
    </w:p>
    <w:p w14:paraId="0AD3C04D" w14:textId="77777777" w:rsidR="00AE72D7" w:rsidRPr="00AD5781" w:rsidRDefault="007F10CE" w:rsidP="007E5670">
      <w:pPr>
        <w:shd w:val="clear" w:color="auto" w:fill="FFFFFF"/>
        <w:spacing w:line="360" w:lineRule="auto"/>
        <w:ind w:right="-2"/>
        <w:jc w:val="both"/>
        <w:rPr>
          <w:rFonts w:ascii="Arial" w:eastAsia="Times New Roman" w:hAnsi="Arial" w:cs="Arial"/>
        </w:rPr>
      </w:pPr>
      <w:r w:rsidRPr="00AD5781">
        <w:rPr>
          <w:rFonts w:ascii="Arial" w:eastAsia="Times New Roman" w:hAnsi="Arial" w:cs="Arial"/>
        </w:rPr>
        <w:t>Olney, J.W.</w:t>
      </w:r>
      <w:r w:rsidRPr="00AD5781">
        <w:rPr>
          <w:rFonts w:ascii="Arial" w:eastAsia="Times New Roman" w:hAnsi="Arial" w:cs="Arial"/>
          <w:lang w:val="pt-BR"/>
        </w:rPr>
        <w:t>,</w:t>
      </w:r>
      <w:r w:rsidRPr="00AD5781">
        <w:rPr>
          <w:rFonts w:ascii="Arial" w:eastAsia="Times New Roman" w:hAnsi="Arial" w:cs="Arial"/>
        </w:rPr>
        <w:t xml:space="preserve"> Adamo, N.J.</w:t>
      </w:r>
      <w:r w:rsidRPr="00AD5781">
        <w:rPr>
          <w:rFonts w:ascii="Arial" w:eastAsia="Times New Roman" w:hAnsi="Arial" w:cs="Arial"/>
          <w:lang w:val="pt-BR"/>
        </w:rPr>
        <w:t>,</w:t>
      </w:r>
      <w:r w:rsidRPr="00AD5781">
        <w:rPr>
          <w:rFonts w:ascii="Arial" w:eastAsia="Times New Roman" w:hAnsi="Arial" w:cs="Arial"/>
        </w:rPr>
        <w:t xml:space="preserve"> Ratner, A. </w:t>
      </w:r>
      <w:r w:rsidRPr="00AD5781">
        <w:rPr>
          <w:rFonts w:ascii="Arial" w:eastAsia="Times New Roman" w:hAnsi="Arial" w:cs="Arial"/>
          <w:lang w:val="pt-BR"/>
        </w:rPr>
        <w:t xml:space="preserve">(1971). </w:t>
      </w:r>
      <w:r w:rsidRPr="00AD5781">
        <w:rPr>
          <w:rFonts w:ascii="Arial" w:eastAsia="Times New Roman" w:hAnsi="Arial" w:cs="Arial"/>
        </w:rPr>
        <w:t xml:space="preserve">Monosodium glutamate effects. </w:t>
      </w:r>
      <w:r w:rsidRPr="00AD5781">
        <w:rPr>
          <w:rFonts w:ascii="Arial" w:eastAsia="Times New Roman" w:hAnsi="Arial" w:cs="Arial"/>
          <w:i/>
          <w:iCs/>
        </w:rPr>
        <w:t>Science</w:t>
      </w:r>
      <w:r w:rsidRPr="00AD5781">
        <w:rPr>
          <w:rFonts w:ascii="Arial" w:eastAsia="Times New Roman" w:hAnsi="Arial" w:cs="Arial"/>
        </w:rPr>
        <w:t>. 172(3980): 29</w:t>
      </w:r>
      <w:r w:rsidRPr="00AD5781">
        <w:rPr>
          <w:rFonts w:ascii="Arial" w:eastAsia="Times New Roman" w:hAnsi="Arial" w:cs="Arial"/>
          <w:lang w:val="pt-BR"/>
        </w:rPr>
        <w:t>4</w:t>
      </w:r>
      <w:r w:rsidRPr="00AD5781">
        <w:rPr>
          <w:rFonts w:ascii="Arial" w:eastAsia="Times New Roman" w:hAnsi="Arial" w:cs="Arial"/>
        </w:rPr>
        <w:t>.</w:t>
      </w:r>
    </w:p>
    <w:p w14:paraId="78850743" w14:textId="77777777" w:rsidR="00AE72D7" w:rsidRPr="00AD5781" w:rsidRDefault="00AE72D7" w:rsidP="007E5670">
      <w:pPr>
        <w:shd w:val="clear" w:color="auto" w:fill="FFFFFF"/>
        <w:spacing w:line="360" w:lineRule="auto"/>
        <w:ind w:right="-2"/>
        <w:jc w:val="both"/>
        <w:rPr>
          <w:rFonts w:ascii="Arial" w:eastAsia="Times New Roman" w:hAnsi="Arial" w:cs="Arial"/>
        </w:rPr>
      </w:pPr>
    </w:p>
    <w:p w14:paraId="22748582" w14:textId="77777777" w:rsidR="00AE72D7" w:rsidRPr="00AD5781" w:rsidRDefault="007F10CE" w:rsidP="007E5670">
      <w:pPr>
        <w:spacing w:line="360" w:lineRule="auto"/>
        <w:jc w:val="both"/>
        <w:rPr>
          <w:rFonts w:ascii="Arial" w:eastAsia="Segoe UI" w:hAnsi="Arial" w:cs="Arial"/>
          <w:color w:val="212121"/>
          <w:shd w:val="clear" w:color="auto" w:fill="FFFFFF"/>
        </w:rPr>
      </w:pPr>
      <w:r w:rsidRPr="00AD5781">
        <w:rPr>
          <w:rFonts w:ascii="Arial" w:eastAsia="Segoe UI" w:hAnsi="Arial" w:cs="Arial"/>
          <w:color w:val="212121"/>
          <w:shd w:val="clear" w:color="auto" w:fill="FFFFFF"/>
        </w:rPr>
        <w:t>Ouchi</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N., Parker</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J.L., Lugus</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J.J., Walsh</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K. </w:t>
      </w:r>
      <w:r w:rsidRPr="00AD5781">
        <w:rPr>
          <w:rFonts w:ascii="Arial" w:eastAsia="Segoe UI" w:hAnsi="Arial" w:cs="Arial"/>
          <w:color w:val="212121"/>
          <w:shd w:val="clear" w:color="auto" w:fill="FFFFFF"/>
          <w:lang w:val="pt-BR"/>
        </w:rPr>
        <w:t xml:space="preserve">(2011). </w:t>
      </w:r>
      <w:r w:rsidRPr="00AD5781">
        <w:rPr>
          <w:rFonts w:ascii="Arial" w:eastAsia="Segoe UI" w:hAnsi="Arial" w:cs="Arial"/>
          <w:color w:val="212121"/>
          <w:shd w:val="clear" w:color="auto" w:fill="FFFFFF"/>
        </w:rPr>
        <w:t>Adipokines in inflammation and metabolic disease.</w:t>
      </w:r>
      <w:r w:rsidRPr="00AD5781">
        <w:rPr>
          <w:rFonts w:ascii="Arial" w:eastAsia="Segoe UI" w:hAnsi="Arial" w:cs="Arial"/>
          <w:i/>
          <w:iCs/>
          <w:color w:val="212121"/>
          <w:shd w:val="clear" w:color="auto" w:fill="FFFFFF"/>
        </w:rPr>
        <w:t xml:space="preserve"> Nat Rev Immunol</w:t>
      </w:r>
      <w:r w:rsidRPr="00AD5781">
        <w:rPr>
          <w:rFonts w:ascii="Arial" w:eastAsia="Segoe UI" w:hAnsi="Arial" w:cs="Arial"/>
          <w:i/>
          <w:iCs/>
          <w:color w:val="212121"/>
          <w:shd w:val="clear" w:color="auto" w:fill="FFFFFF"/>
          <w:lang w:val="pt-BR"/>
        </w:rPr>
        <w:t xml:space="preserve">., </w:t>
      </w:r>
      <w:r w:rsidRPr="00AD5781">
        <w:rPr>
          <w:rFonts w:ascii="Arial" w:eastAsia="Segoe UI" w:hAnsi="Arial" w:cs="Arial"/>
          <w:color w:val="212121"/>
          <w:shd w:val="clear" w:color="auto" w:fill="FFFFFF"/>
        </w:rPr>
        <w:t>11:85–97.</w:t>
      </w:r>
    </w:p>
    <w:p w14:paraId="6B32A2EB" w14:textId="77777777" w:rsidR="00AE72D7" w:rsidRPr="00AD5781" w:rsidRDefault="007F10CE" w:rsidP="007E5670">
      <w:pPr>
        <w:pStyle w:val="Heading1"/>
        <w:spacing w:line="360" w:lineRule="auto"/>
        <w:jc w:val="both"/>
        <w:rPr>
          <w:rFonts w:ascii="Arial" w:eastAsia="Times New Roman" w:hAnsi="Arial" w:cs="Arial"/>
          <w:b w:val="0"/>
          <w:bCs w:val="0"/>
          <w:sz w:val="20"/>
          <w:szCs w:val="20"/>
        </w:rPr>
      </w:pPr>
      <w:r w:rsidRPr="00AD5781">
        <w:rPr>
          <w:rFonts w:ascii="Arial" w:eastAsia="Times New Roman" w:hAnsi="Arial" w:cs="Arial"/>
          <w:b w:val="0"/>
          <w:bCs w:val="0"/>
          <w:sz w:val="20"/>
          <w:szCs w:val="20"/>
        </w:rPr>
        <w:t xml:space="preserve">Pasa, A.P.B.C., Brandão, H.C.B., Busato M.C.A., Porto E.M., Amorim, J.P.A. </w:t>
      </w:r>
      <w:r w:rsidRPr="00AD5781">
        <w:rPr>
          <w:rFonts w:ascii="Arial" w:eastAsia="Times New Roman" w:hAnsi="Arial" w:cs="Arial"/>
          <w:b w:val="0"/>
          <w:bCs w:val="0"/>
          <w:sz w:val="20"/>
          <w:szCs w:val="20"/>
          <w:lang w:val="pt-BR"/>
        </w:rPr>
        <w:t xml:space="preserve">(2024). </w:t>
      </w:r>
      <w:r w:rsidRPr="00AD5781">
        <w:rPr>
          <w:rFonts w:ascii="Arial" w:eastAsia="Times New Roman" w:hAnsi="Arial" w:cs="Arial"/>
          <w:b w:val="0"/>
          <w:bCs w:val="0"/>
          <w:sz w:val="20"/>
          <w:szCs w:val="20"/>
        </w:rPr>
        <w:t xml:space="preserve">Effects of Ovariectomy on the Structure of the Periodontium and Root Resorption During Orthodontic Tooth Movement in Rats. </w:t>
      </w:r>
      <w:r w:rsidRPr="00AD5781">
        <w:rPr>
          <w:rFonts w:ascii="Arial" w:eastAsia="Times New Roman" w:hAnsi="Arial" w:cs="Arial"/>
          <w:b w:val="0"/>
          <w:bCs w:val="0"/>
          <w:i/>
          <w:iCs/>
          <w:sz w:val="20"/>
          <w:szCs w:val="20"/>
        </w:rPr>
        <w:t>Journal of Advances in Medicine and Medical Research</w:t>
      </w:r>
      <w:r w:rsidRPr="00AD5781">
        <w:rPr>
          <w:rFonts w:ascii="Arial" w:eastAsia="Times New Roman" w:hAnsi="Arial" w:cs="Arial"/>
          <w:b w:val="0"/>
          <w:bCs w:val="0"/>
          <w:i/>
          <w:iCs/>
          <w:sz w:val="20"/>
          <w:szCs w:val="20"/>
          <w:lang w:val="pt-BR"/>
        </w:rPr>
        <w:t>,</w:t>
      </w:r>
      <w:r w:rsidRPr="00AD5781">
        <w:rPr>
          <w:rFonts w:ascii="Arial" w:eastAsia="Times New Roman" w:hAnsi="Arial" w:cs="Arial"/>
          <w:b w:val="0"/>
          <w:bCs w:val="0"/>
          <w:sz w:val="20"/>
          <w:szCs w:val="20"/>
        </w:rPr>
        <w:t xml:space="preserve"> 36: 215-224.</w:t>
      </w:r>
    </w:p>
    <w:p w14:paraId="10A0F148" w14:textId="77777777" w:rsidR="00AE72D7" w:rsidRPr="00AD5781" w:rsidRDefault="00AE72D7" w:rsidP="007E5670">
      <w:pPr>
        <w:spacing w:line="360" w:lineRule="auto"/>
        <w:jc w:val="both"/>
        <w:rPr>
          <w:rFonts w:ascii="Arial" w:eastAsia="Segoe UI" w:hAnsi="Arial" w:cs="Arial"/>
          <w:color w:val="212121"/>
          <w:shd w:val="clear" w:color="auto" w:fill="FFFFFF"/>
        </w:rPr>
      </w:pPr>
    </w:p>
    <w:p w14:paraId="09551DD1" w14:textId="77777777" w:rsidR="00AE72D7" w:rsidRPr="00AD5781" w:rsidRDefault="007F10CE" w:rsidP="007E5670">
      <w:pPr>
        <w:spacing w:line="360" w:lineRule="auto"/>
        <w:jc w:val="both"/>
        <w:rPr>
          <w:rFonts w:ascii="Arial" w:eastAsia="Segoe UI" w:hAnsi="Arial" w:cs="Arial"/>
          <w:color w:val="212121"/>
          <w:shd w:val="clear" w:color="auto" w:fill="FFFFFF"/>
        </w:rPr>
      </w:pPr>
      <w:r w:rsidRPr="00AD5781">
        <w:rPr>
          <w:rFonts w:ascii="Arial" w:eastAsia="Segoe UI" w:hAnsi="Arial" w:cs="Arial"/>
          <w:color w:val="212121"/>
          <w:shd w:val="clear" w:color="auto" w:fill="FFFFFF"/>
        </w:rPr>
        <w:t>Patel, S.</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Ricucci, D.</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Durak, C.</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Tay, F.</w:t>
      </w:r>
      <w:r w:rsidRPr="00AD5781">
        <w:rPr>
          <w:rFonts w:ascii="Arial" w:eastAsia="Segoe UI" w:hAnsi="Arial" w:cs="Arial"/>
          <w:color w:val="212121"/>
          <w:shd w:val="clear" w:color="auto" w:fill="FFFFFF"/>
          <w:lang w:val="pt-BR"/>
        </w:rPr>
        <w:t xml:space="preserve"> (2010).</w:t>
      </w:r>
      <w:r w:rsidRPr="00AD5781">
        <w:rPr>
          <w:rFonts w:ascii="Arial" w:eastAsia="Segoe UI" w:hAnsi="Arial" w:cs="Arial"/>
          <w:color w:val="212121"/>
          <w:shd w:val="clear" w:color="auto" w:fill="FFFFFF"/>
        </w:rPr>
        <w:t xml:space="preserve"> Internal root resorption: a review. </w:t>
      </w:r>
      <w:r w:rsidRPr="00AD5781">
        <w:rPr>
          <w:rFonts w:ascii="Arial" w:eastAsia="Segoe UI" w:hAnsi="Arial" w:cs="Arial"/>
          <w:i/>
          <w:iCs/>
          <w:color w:val="212121"/>
          <w:shd w:val="clear" w:color="auto" w:fill="FFFFFF"/>
        </w:rPr>
        <w:t>J Endod</w:t>
      </w:r>
      <w:r w:rsidRPr="00AD5781">
        <w:rPr>
          <w:rFonts w:ascii="Arial" w:eastAsia="Segoe UI" w:hAnsi="Arial" w:cs="Arial"/>
          <w:color w:val="212121"/>
          <w:shd w:val="clear" w:color="auto" w:fill="FFFFFF"/>
        </w:rPr>
        <w:t>.</w:t>
      </w:r>
      <w:r w:rsidRPr="00AD5781">
        <w:rPr>
          <w:rFonts w:ascii="Arial" w:eastAsia="Segoe UI" w:hAnsi="Arial" w:cs="Arial"/>
          <w:color w:val="212121"/>
          <w:shd w:val="clear" w:color="auto" w:fill="FFFFFF"/>
          <w:lang w:val="pt-BR"/>
        </w:rPr>
        <w:t>,</w:t>
      </w:r>
      <w:r w:rsidRPr="00AD5781">
        <w:rPr>
          <w:rFonts w:ascii="Arial" w:eastAsia="Segoe UI" w:hAnsi="Arial" w:cs="Arial"/>
          <w:color w:val="212121"/>
          <w:shd w:val="clear" w:color="auto" w:fill="FFFFFF"/>
        </w:rPr>
        <w:t xml:space="preserve"> 36(7): 1107-21.</w:t>
      </w:r>
    </w:p>
    <w:p w14:paraId="2165996B" w14:textId="77777777" w:rsidR="00AE72D7" w:rsidRPr="00AD5781" w:rsidRDefault="00AE72D7" w:rsidP="007E5670">
      <w:pPr>
        <w:spacing w:line="360" w:lineRule="auto"/>
        <w:jc w:val="both"/>
        <w:rPr>
          <w:rFonts w:ascii="Arial" w:hAnsi="Arial" w:cs="Arial"/>
        </w:rPr>
      </w:pPr>
    </w:p>
    <w:p w14:paraId="51BB6414" w14:textId="77777777" w:rsidR="00AE72D7" w:rsidRPr="00AD5781" w:rsidRDefault="007F10CE" w:rsidP="007E5670">
      <w:pPr>
        <w:spacing w:line="360" w:lineRule="auto"/>
        <w:jc w:val="both"/>
        <w:rPr>
          <w:rFonts w:ascii="Arial" w:hAnsi="Arial" w:cs="Arial"/>
        </w:rPr>
      </w:pPr>
      <w:r w:rsidRPr="00AD5781">
        <w:rPr>
          <w:rFonts w:ascii="Arial" w:hAnsi="Arial" w:cs="Arial"/>
        </w:rPr>
        <w:t>Petka, K.</w:t>
      </w:r>
      <w:r w:rsidRPr="00AD5781">
        <w:rPr>
          <w:rFonts w:ascii="Arial" w:hAnsi="Arial" w:cs="Arial"/>
          <w:lang w:val="pt-BR"/>
        </w:rPr>
        <w:t xml:space="preserve"> (2001).</w:t>
      </w:r>
      <w:r w:rsidRPr="00AD5781">
        <w:rPr>
          <w:rFonts w:ascii="Arial" w:hAnsi="Arial" w:cs="Arial"/>
        </w:rPr>
        <w:t xml:space="preserve"> The 14 warning signs. </w:t>
      </w:r>
      <w:r w:rsidRPr="00AD5781">
        <w:rPr>
          <w:rFonts w:ascii="Arial" w:hAnsi="Arial" w:cs="Arial"/>
          <w:i/>
          <w:iCs/>
        </w:rPr>
        <w:t>Endodontic Practice</w:t>
      </w:r>
      <w:r w:rsidRPr="00AD5781">
        <w:rPr>
          <w:rFonts w:ascii="Arial" w:hAnsi="Arial" w:cs="Arial"/>
          <w:i/>
          <w:iCs/>
          <w:lang w:val="pt-BR"/>
        </w:rPr>
        <w:t>,</w:t>
      </w:r>
      <w:r w:rsidRPr="00AD5781">
        <w:rPr>
          <w:rFonts w:ascii="Arial" w:hAnsi="Arial" w:cs="Arial"/>
        </w:rPr>
        <w:t xml:space="preserve"> 4, 18-26.</w:t>
      </w:r>
    </w:p>
    <w:p w14:paraId="1CFB34AD" w14:textId="77777777" w:rsidR="00AE72D7" w:rsidRPr="00AD5781" w:rsidRDefault="00AE72D7" w:rsidP="007E5670">
      <w:pPr>
        <w:spacing w:line="360" w:lineRule="auto"/>
        <w:jc w:val="both"/>
        <w:rPr>
          <w:rFonts w:ascii="Arial" w:hAnsi="Arial" w:cs="Arial"/>
        </w:rPr>
      </w:pPr>
    </w:p>
    <w:p w14:paraId="6C20896B" w14:textId="77777777" w:rsidR="00AE72D7" w:rsidRPr="00AD5781" w:rsidRDefault="007F10CE" w:rsidP="007E5670">
      <w:pPr>
        <w:spacing w:line="360" w:lineRule="auto"/>
        <w:jc w:val="both"/>
        <w:rPr>
          <w:rFonts w:ascii="Arial" w:eastAsia="Franklin Gothic Book" w:hAnsi="Arial" w:cs="Arial"/>
          <w:color w:val="231F20"/>
          <w:lang w:eastAsia="zh-CN" w:bidi="ar"/>
        </w:rPr>
      </w:pPr>
      <w:r w:rsidRPr="00AD5781">
        <w:rPr>
          <w:rFonts w:ascii="Arial" w:eastAsia="Franklin Gothic Book" w:hAnsi="Arial" w:cs="Arial"/>
          <w:color w:val="231F20"/>
          <w:lang w:eastAsia="zh-CN" w:bidi="ar"/>
        </w:rPr>
        <w:t>Roberto, C.A.; Swinburn, B.; Hawkes</w:t>
      </w:r>
      <w:r w:rsidRPr="00AD5781">
        <w:rPr>
          <w:rFonts w:ascii="Arial" w:eastAsia="Franklin Gothic Book" w:hAnsi="Arial" w:cs="Arial"/>
          <w:color w:val="231F20"/>
          <w:lang w:val="pt-BR" w:eastAsia="zh-CN" w:bidi="ar"/>
        </w:rPr>
        <w:t>,</w:t>
      </w:r>
      <w:r w:rsidRPr="00AD5781">
        <w:rPr>
          <w:rFonts w:ascii="Arial" w:eastAsia="Franklin Gothic Book" w:hAnsi="Arial" w:cs="Arial"/>
          <w:color w:val="231F20"/>
          <w:lang w:eastAsia="zh-CN" w:bidi="ar"/>
        </w:rPr>
        <w:t xml:space="preserve"> C. </w:t>
      </w:r>
      <w:r w:rsidRPr="00AD5781">
        <w:rPr>
          <w:rFonts w:ascii="Arial" w:eastAsia="Franklin Gothic Book" w:hAnsi="Arial" w:cs="Arial"/>
          <w:color w:val="231F20"/>
          <w:lang w:val="pt-BR" w:eastAsia="zh-CN" w:bidi="ar"/>
        </w:rPr>
        <w:t xml:space="preserve">(2015). </w:t>
      </w:r>
      <w:r w:rsidRPr="00AD5781">
        <w:rPr>
          <w:rFonts w:ascii="Arial" w:eastAsia="Franklin Gothic Book" w:hAnsi="Arial" w:cs="Arial"/>
          <w:color w:val="231F20"/>
          <w:lang w:eastAsia="zh-CN" w:bidi="ar"/>
        </w:rPr>
        <w:t xml:space="preserve">Patchy progress on obesity prevention: emerging examples, entrenched barriers, and new thinking. </w:t>
      </w:r>
      <w:r w:rsidRPr="00AD5781">
        <w:rPr>
          <w:rFonts w:ascii="Arial" w:eastAsia="Franklin Gothic Book" w:hAnsi="Arial" w:cs="Arial"/>
          <w:i/>
          <w:iCs/>
          <w:color w:val="231F20"/>
          <w:lang w:eastAsia="zh-CN" w:bidi="ar"/>
        </w:rPr>
        <w:t>Lancet</w:t>
      </w:r>
      <w:r w:rsidRPr="00AD5781">
        <w:rPr>
          <w:rFonts w:ascii="Arial" w:eastAsia="Franklin Gothic Book" w:hAnsi="Arial" w:cs="Arial"/>
          <w:color w:val="231F20"/>
          <w:lang w:eastAsia="zh-CN" w:bidi="ar"/>
        </w:rPr>
        <w:t>.</w:t>
      </w:r>
      <w:r w:rsidRPr="00AD5781">
        <w:rPr>
          <w:rFonts w:ascii="Arial" w:eastAsia="Franklin Gothic Book" w:hAnsi="Arial" w:cs="Arial"/>
          <w:color w:val="231F20"/>
          <w:lang w:val="pt-BR" w:eastAsia="zh-CN" w:bidi="ar"/>
        </w:rPr>
        <w:t>,</w:t>
      </w:r>
      <w:r w:rsidRPr="00AD5781">
        <w:rPr>
          <w:rFonts w:ascii="Arial" w:eastAsia="Franklin Gothic Book" w:hAnsi="Arial" w:cs="Arial"/>
          <w:color w:val="231F20"/>
          <w:lang w:eastAsia="zh-CN" w:bidi="ar"/>
        </w:rPr>
        <w:t xml:space="preserve"> 385:2400-2409.</w:t>
      </w:r>
    </w:p>
    <w:p w14:paraId="3744AD08" w14:textId="77777777" w:rsidR="00AE72D7" w:rsidRPr="00AD5781" w:rsidRDefault="00AE72D7" w:rsidP="007E5670">
      <w:pPr>
        <w:spacing w:line="360" w:lineRule="auto"/>
        <w:jc w:val="both"/>
        <w:rPr>
          <w:rFonts w:ascii="Arial" w:eastAsia="Franklin Gothic Book" w:hAnsi="Arial" w:cs="Arial"/>
          <w:color w:val="231F20"/>
          <w:lang w:eastAsia="zh-CN" w:bidi="ar"/>
        </w:rPr>
      </w:pPr>
    </w:p>
    <w:p w14:paraId="60AED9C1" w14:textId="77777777" w:rsidR="00AE72D7" w:rsidRPr="00AD5781" w:rsidRDefault="007F10CE" w:rsidP="007E5670">
      <w:pPr>
        <w:spacing w:line="360" w:lineRule="auto"/>
        <w:jc w:val="both"/>
        <w:rPr>
          <w:rFonts w:ascii="Arial" w:eastAsia="Helvetica" w:hAnsi="Arial" w:cs="Arial"/>
          <w:color w:val="282828"/>
          <w:shd w:val="clear" w:color="auto" w:fill="F7F7F7"/>
        </w:rPr>
      </w:pPr>
      <w:r w:rsidRPr="00AD5781">
        <w:rPr>
          <w:rFonts w:ascii="Arial" w:eastAsia="Helvetica" w:hAnsi="Arial" w:cs="Arial"/>
          <w:color w:val="282828"/>
          <w:shd w:val="clear" w:color="auto" w:fill="F7F7F7"/>
        </w:rPr>
        <w:t xml:space="preserve">Rosen E.D., Spiegelman B.M. </w:t>
      </w:r>
      <w:r w:rsidRPr="00AD5781">
        <w:rPr>
          <w:rFonts w:ascii="Arial" w:eastAsia="Helvetica" w:hAnsi="Arial" w:cs="Arial"/>
          <w:color w:val="282828"/>
          <w:shd w:val="clear" w:color="auto" w:fill="F7F7F7"/>
          <w:lang w:val="pt-BR"/>
        </w:rPr>
        <w:t xml:space="preserve">(2014). </w:t>
      </w:r>
      <w:r w:rsidRPr="00AD5781">
        <w:rPr>
          <w:rFonts w:ascii="Arial" w:eastAsia="Helvetica" w:hAnsi="Arial" w:cs="Arial"/>
          <w:color w:val="282828"/>
          <w:shd w:val="clear" w:color="auto" w:fill="F7F7F7"/>
        </w:rPr>
        <w:t>Do que falamos quando falamos de gordura. </w:t>
      </w:r>
      <w:r w:rsidRPr="00AD5781">
        <w:rPr>
          <w:rFonts w:ascii="Arial" w:eastAsia="Helvetica" w:hAnsi="Arial" w:cs="Arial"/>
          <w:i/>
          <w:iCs/>
          <w:color w:val="282828"/>
          <w:shd w:val="clear" w:color="auto" w:fill="F7F7F7"/>
        </w:rPr>
        <w:t>Cell</w:t>
      </w:r>
      <w:r w:rsidRPr="00AD5781">
        <w:rPr>
          <w:rFonts w:ascii="Arial" w:eastAsia="Helvetica" w:hAnsi="Arial" w:cs="Arial"/>
          <w:color w:val="282828"/>
          <w:shd w:val="clear" w:color="auto" w:fill="F7F7F7"/>
          <w:lang w:val="pt-BR"/>
        </w:rPr>
        <w:t>,</w:t>
      </w:r>
      <w:r w:rsidRPr="00AD5781">
        <w:rPr>
          <w:rFonts w:ascii="Arial" w:eastAsia="Helvetica" w:hAnsi="Arial" w:cs="Arial"/>
          <w:color w:val="282828"/>
          <w:shd w:val="clear" w:color="auto" w:fill="F7F7F7"/>
        </w:rPr>
        <w:t xml:space="preserve"> 156:20–44. doi: 10.1016/j.cell.2013.12.012</w:t>
      </w:r>
    </w:p>
    <w:p w14:paraId="2EE4B6C1" w14:textId="77777777" w:rsidR="00AE72D7" w:rsidRPr="00AD5781" w:rsidRDefault="00AE72D7" w:rsidP="007E5670">
      <w:pPr>
        <w:spacing w:line="360" w:lineRule="auto"/>
        <w:jc w:val="both"/>
        <w:rPr>
          <w:rFonts w:ascii="Arial" w:eastAsia="SimSun" w:hAnsi="Arial" w:cs="Arial"/>
        </w:rPr>
      </w:pPr>
    </w:p>
    <w:p w14:paraId="1743C456" w14:textId="77777777" w:rsidR="00AE72D7" w:rsidRPr="00AD5781" w:rsidRDefault="007F10CE" w:rsidP="007E5670">
      <w:pPr>
        <w:spacing w:line="360" w:lineRule="auto"/>
        <w:jc w:val="both"/>
        <w:rPr>
          <w:rFonts w:ascii="Arial" w:eastAsia="SimSun" w:hAnsi="Arial" w:cs="Arial"/>
        </w:rPr>
      </w:pPr>
      <w:r w:rsidRPr="00AD5781">
        <w:rPr>
          <w:rFonts w:ascii="Arial" w:eastAsia="SimSun" w:hAnsi="Arial" w:cs="Arial"/>
        </w:rPr>
        <w:t>Santamaria, M.</w:t>
      </w:r>
      <w:r w:rsidRPr="00AD5781">
        <w:rPr>
          <w:rFonts w:ascii="Arial" w:eastAsia="SimSun" w:hAnsi="Arial" w:cs="Arial"/>
          <w:lang w:val="pt-BR"/>
        </w:rPr>
        <w:t>,</w:t>
      </w:r>
      <w:r w:rsidRPr="00AD5781">
        <w:rPr>
          <w:rFonts w:ascii="Arial" w:eastAsia="SimSun" w:hAnsi="Arial" w:cs="Arial"/>
        </w:rPr>
        <w:t xml:space="preserve"> Milagres, D.</w:t>
      </w:r>
      <w:r w:rsidRPr="00AD5781">
        <w:rPr>
          <w:rFonts w:ascii="Arial" w:eastAsia="SimSun" w:hAnsi="Arial" w:cs="Arial"/>
          <w:lang w:val="pt-BR"/>
        </w:rPr>
        <w:t>,</w:t>
      </w:r>
      <w:r w:rsidRPr="00AD5781">
        <w:rPr>
          <w:rFonts w:ascii="Arial" w:eastAsia="SimSun" w:hAnsi="Arial" w:cs="Arial"/>
        </w:rPr>
        <w:t xml:space="preserve"> Iyomasa, M.M.</w:t>
      </w:r>
      <w:r w:rsidRPr="00AD5781">
        <w:rPr>
          <w:rFonts w:ascii="Arial" w:eastAsia="SimSun" w:hAnsi="Arial" w:cs="Arial"/>
          <w:lang w:val="pt-BR"/>
        </w:rPr>
        <w:t>,</w:t>
      </w:r>
      <w:r w:rsidRPr="00AD5781">
        <w:rPr>
          <w:rFonts w:ascii="Arial" w:eastAsia="SimSun" w:hAnsi="Arial" w:cs="Arial"/>
        </w:rPr>
        <w:t xml:space="preserve"> Stuani, M.B.S.</w:t>
      </w:r>
      <w:r w:rsidRPr="00AD5781">
        <w:rPr>
          <w:rFonts w:ascii="Arial" w:eastAsia="SimSun" w:hAnsi="Arial" w:cs="Arial"/>
          <w:lang w:val="pt-BR"/>
        </w:rPr>
        <w:t>,</w:t>
      </w:r>
      <w:r w:rsidRPr="00AD5781">
        <w:rPr>
          <w:rFonts w:ascii="Arial" w:eastAsia="SimSun" w:hAnsi="Arial" w:cs="Arial"/>
        </w:rPr>
        <w:t xml:space="preserve"> Ruellas, A.C.O. </w:t>
      </w:r>
      <w:r w:rsidRPr="00AD5781">
        <w:rPr>
          <w:rFonts w:ascii="Arial" w:eastAsia="SimSun" w:hAnsi="Arial" w:cs="Arial"/>
          <w:lang w:val="pt-BR"/>
        </w:rPr>
        <w:t xml:space="preserve">(2007). </w:t>
      </w:r>
      <w:r w:rsidRPr="00AD5781">
        <w:rPr>
          <w:rFonts w:ascii="Arial" w:eastAsia="SimSun" w:hAnsi="Arial" w:cs="Arial"/>
        </w:rPr>
        <w:t xml:space="preserve">Initial pulp changes during orthodontic movement: histomorphological evaluation. </w:t>
      </w:r>
      <w:r w:rsidRPr="00AD5781">
        <w:rPr>
          <w:rFonts w:ascii="Arial" w:eastAsia="SimSun" w:hAnsi="Arial" w:cs="Arial"/>
          <w:i/>
          <w:iCs/>
        </w:rPr>
        <w:t>Braz Dent J.</w:t>
      </w:r>
      <w:r w:rsidRPr="00AD5781">
        <w:rPr>
          <w:rFonts w:ascii="Arial" w:eastAsia="SimSun" w:hAnsi="Arial" w:cs="Arial"/>
          <w:i/>
          <w:iCs/>
          <w:lang w:val="pt-BR"/>
        </w:rPr>
        <w:t>,</w:t>
      </w:r>
      <w:r w:rsidRPr="00AD5781">
        <w:rPr>
          <w:rFonts w:ascii="Arial" w:eastAsia="SimSun" w:hAnsi="Arial" w:cs="Arial"/>
        </w:rPr>
        <w:t xml:space="preserve"> 18(1): 34-39.</w:t>
      </w:r>
    </w:p>
    <w:p w14:paraId="1DCFCFE4" w14:textId="77777777" w:rsidR="00AE72D7" w:rsidRPr="00AD5781" w:rsidRDefault="00AE72D7" w:rsidP="007E5670">
      <w:pPr>
        <w:spacing w:line="360" w:lineRule="auto"/>
        <w:jc w:val="both"/>
        <w:rPr>
          <w:rFonts w:ascii="Arial" w:eastAsia="SimSun" w:hAnsi="Arial" w:cs="Arial"/>
        </w:rPr>
      </w:pPr>
    </w:p>
    <w:p w14:paraId="48671D98" w14:textId="77777777" w:rsidR="00AE72D7" w:rsidRPr="00AD5781" w:rsidRDefault="007F10CE" w:rsidP="007E5670">
      <w:pPr>
        <w:spacing w:line="360" w:lineRule="auto"/>
        <w:jc w:val="both"/>
        <w:rPr>
          <w:rFonts w:ascii="Arial" w:eastAsia="sans-serif" w:hAnsi="Arial" w:cs="Arial"/>
          <w:color w:val="1C1D1E"/>
          <w:shd w:val="clear" w:color="auto" w:fill="FFFFFF"/>
        </w:rPr>
      </w:pPr>
      <w:r w:rsidRPr="00AD5781">
        <w:rPr>
          <w:rFonts w:ascii="Arial" w:eastAsia="sans-serif" w:hAnsi="Arial" w:cs="Arial"/>
          <w:color w:val="1C1D1E"/>
          <w:shd w:val="clear" w:color="auto" w:fill="FFFFFF"/>
        </w:rPr>
        <w:t>Sharma, V.</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Gupta, N.</w:t>
      </w:r>
      <w:r w:rsidRPr="00AD5781">
        <w:rPr>
          <w:rFonts w:ascii="Arial" w:eastAsia="sans-serif" w:hAnsi="Arial" w:cs="Arial"/>
          <w:color w:val="1C1D1E"/>
          <w:shd w:val="clear" w:color="auto" w:fill="FFFFFF"/>
          <w:lang w:val="pt-BR"/>
        </w:rPr>
        <w:t>,</w:t>
      </w:r>
      <w:r w:rsidRPr="00AD5781">
        <w:rPr>
          <w:rFonts w:ascii="Arial" w:eastAsia="sans-serif" w:hAnsi="Arial" w:cs="Arial"/>
          <w:color w:val="1C1D1E"/>
          <w:shd w:val="clear" w:color="auto" w:fill="FFFFFF"/>
        </w:rPr>
        <w:t> Srivastava, N.</w:t>
      </w:r>
      <w:r w:rsidRPr="00AD5781">
        <w:rPr>
          <w:rFonts w:ascii="Arial" w:eastAsia="sans-serif" w:hAnsi="Arial" w:cs="Arial"/>
          <w:i/>
          <w:iCs/>
          <w:color w:val="1C1D1E"/>
          <w:shd w:val="clear" w:color="auto" w:fill="FFFFFF"/>
        </w:rPr>
        <w:t xml:space="preserve"> et al</w:t>
      </w:r>
      <w:r w:rsidRPr="00AD5781">
        <w:rPr>
          <w:rFonts w:ascii="Arial" w:eastAsia="sans-serif" w:hAnsi="Arial" w:cs="Arial"/>
          <w:color w:val="1C1D1E"/>
          <w:shd w:val="clear" w:color="auto" w:fill="FFFFFF"/>
        </w:rPr>
        <w:t>.</w:t>
      </w:r>
      <w:r w:rsidRPr="00AD5781">
        <w:rPr>
          <w:rFonts w:ascii="Arial" w:eastAsia="sans-serif" w:hAnsi="Arial" w:cs="Arial"/>
          <w:color w:val="1C1D1E"/>
          <w:shd w:val="clear" w:color="auto" w:fill="FFFFFF"/>
          <w:lang w:val="pt-BR"/>
        </w:rPr>
        <w:t xml:space="preserve"> (2017).</w:t>
      </w:r>
      <w:r w:rsidRPr="00AD5781">
        <w:rPr>
          <w:rFonts w:ascii="Arial" w:eastAsia="sans-serif" w:hAnsi="Arial" w:cs="Arial"/>
          <w:color w:val="1C1D1E"/>
          <w:shd w:val="clear" w:color="auto" w:fill="FFFFFF"/>
        </w:rPr>
        <w:t> Diagnostic potential of inflammatory biomarkers in early childhood caries - A case control study. </w:t>
      </w:r>
      <w:r w:rsidRPr="00AD5781">
        <w:rPr>
          <w:rFonts w:ascii="Arial" w:eastAsia="sans-serif" w:hAnsi="Arial" w:cs="Arial"/>
          <w:i/>
          <w:iCs/>
          <w:color w:val="1C1D1E"/>
          <w:shd w:val="clear" w:color="auto" w:fill="FFFFFF"/>
        </w:rPr>
        <w:t>Clin Chim Acta.</w:t>
      </w:r>
      <w:r w:rsidRPr="00AD5781">
        <w:rPr>
          <w:rFonts w:ascii="Arial" w:eastAsia="sans-serif" w:hAnsi="Arial" w:cs="Arial"/>
          <w:i/>
          <w:iCs/>
          <w:color w:val="1C1D1E"/>
          <w:shd w:val="clear" w:color="auto" w:fill="FFFFFF"/>
          <w:lang w:val="pt-BR"/>
        </w:rPr>
        <w:t>,</w:t>
      </w:r>
      <w:r w:rsidRPr="00AD5781">
        <w:rPr>
          <w:rFonts w:ascii="Arial" w:eastAsia="sans-serif" w:hAnsi="Arial" w:cs="Arial"/>
          <w:color w:val="1C1D1E"/>
          <w:shd w:val="clear" w:color="auto" w:fill="FFFFFF"/>
        </w:rPr>
        <w:t> 471: 158–163.</w:t>
      </w:r>
    </w:p>
    <w:p w14:paraId="36E719CD" w14:textId="77777777" w:rsidR="00AE72D7" w:rsidRPr="00AD5781" w:rsidRDefault="00AE72D7" w:rsidP="007E5670">
      <w:pPr>
        <w:autoSpaceDE w:val="0"/>
        <w:autoSpaceDN w:val="0"/>
        <w:adjustRightInd w:val="0"/>
        <w:spacing w:line="360" w:lineRule="auto"/>
        <w:jc w:val="both"/>
        <w:rPr>
          <w:rFonts w:ascii="Arial" w:hAnsi="Arial" w:cs="Arial"/>
        </w:rPr>
      </w:pPr>
    </w:p>
    <w:p w14:paraId="5AD58F2F" w14:textId="77777777" w:rsidR="00AE72D7" w:rsidRPr="00AD5781" w:rsidRDefault="007F10CE" w:rsidP="007E5670">
      <w:pPr>
        <w:autoSpaceDE w:val="0"/>
        <w:autoSpaceDN w:val="0"/>
        <w:adjustRightInd w:val="0"/>
        <w:spacing w:line="360" w:lineRule="auto"/>
        <w:jc w:val="both"/>
        <w:rPr>
          <w:rFonts w:ascii="Arial" w:hAnsi="Arial" w:cs="Arial"/>
        </w:rPr>
      </w:pPr>
      <w:r w:rsidRPr="00AD5781">
        <w:rPr>
          <w:rFonts w:ascii="Arial" w:hAnsi="Arial" w:cs="Arial"/>
        </w:rPr>
        <w:t>Simring, M.</w:t>
      </w:r>
      <w:r w:rsidRPr="00AD5781">
        <w:rPr>
          <w:rFonts w:ascii="Arial" w:hAnsi="Arial" w:cs="Arial"/>
          <w:lang w:val="pt-BR"/>
        </w:rPr>
        <w:t>,</w:t>
      </w:r>
      <w:r w:rsidRPr="00AD5781">
        <w:rPr>
          <w:rFonts w:ascii="Arial" w:hAnsi="Arial" w:cs="Arial"/>
        </w:rPr>
        <w:t xml:space="preserve"> Goldberg, M.</w:t>
      </w:r>
      <w:r w:rsidRPr="00AD5781">
        <w:rPr>
          <w:rFonts w:ascii="Arial" w:hAnsi="Arial" w:cs="Arial"/>
          <w:lang w:val="pt-BR"/>
        </w:rPr>
        <w:t xml:space="preserve"> (1964).</w:t>
      </w:r>
      <w:r w:rsidRPr="00AD5781">
        <w:rPr>
          <w:rFonts w:ascii="Arial" w:hAnsi="Arial" w:cs="Arial"/>
        </w:rPr>
        <w:t xml:space="preserve"> The pulpal pocket approach: Retrograde periodontitis. </w:t>
      </w:r>
      <w:r w:rsidRPr="00AD5781">
        <w:rPr>
          <w:rFonts w:ascii="Arial" w:hAnsi="Arial" w:cs="Arial"/>
          <w:i/>
          <w:iCs/>
        </w:rPr>
        <w:t>Journal of Periodontology</w:t>
      </w:r>
      <w:r w:rsidRPr="00AD5781">
        <w:rPr>
          <w:rFonts w:ascii="Arial" w:hAnsi="Arial" w:cs="Arial"/>
          <w:i/>
          <w:iCs/>
          <w:lang w:val="pt-BR"/>
        </w:rPr>
        <w:t>,</w:t>
      </w:r>
      <w:r w:rsidRPr="00AD5781">
        <w:rPr>
          <w:rFonts w:ascii="Arial" w:hAnsi="Arial" w:cs="Arial"/>
        </w:rPr>
        <w:t xml:space="preserve"> 35, 22-48.</w:t>
      </w:r>
    </w:p>
    <w:p w14:paraId="4DE2E360" w14:textId="77777777" w:rsidR="00AE72D7" w:rsidRPr="00AD5781" w:rsidRDefault="00AE72D7" w:rsidP="007E5670">
      <w:pPr>
        <w:spacing w:line="360" w:lineRule="auto"/>
        <w:jc w:val="both"/>
        <w:rPr>
          <w:rFonts w:ascii="Arial" w:eastAsia="Times New Roman" w:hAnsi="Arial" w:cs="Arial"/>
        </w:rPr>
      </w:pPr>
    </w:p>
    <w:p w14:paraId="1439C9E5" w14:textId="77777777" w:rsidR="00AE72D7" w:rsidRPr="00AD5781" w:rsidRDefault="007F10CE" w:rsidP="007E5670">
      <w:pPr>
        <w:spacing w:line="360" w:lineRule="auto"/>
        <w:jc w:val="both"/>
        <w:rPr>
          <w:rFonts w:ascii="Arial" w:eastAsia="Times New Roman" w:hAnsi="Arial" w:cs="Arial"/>
        </w:rPr>
      </w:pPr>
      <w:r w:rsidRPr="00AD5781">
        <w:rPr>
          <w:rFonts w:ascii="Arial" w:eastAsia="Times New Roman" w:hAnsi="Arial" w:cs="Arial"/>
        </w:rPr>
        <w:t>Suvan, J.E.</w:t>
      </w:r>
      <w:r w:rsidRPr="00AD5781">
        <w:rPr>
          <w:rFonts w:ascii="Arial" w:eastAsia="Times New Roman" w:hAnsi="Arial" w:cs="Arial"/>
          <w:lang w:val="pt-BR"/>
        </w:rPr>
        <w:t>,</w:t>
      </w:r>
      <w:r w:rsidRPr="00AD5781">
        <w:rPr>
          <w:rFonts w:ascii="Arial" w:eastAsia="Times New Roman" w:hAnsi="Arial" w:cs="Arial"/>
        </w:rPr>
        <w:t xml:space="preserve"> Finer, N.</w:t>
      </w:r>
      <w:r w:rsidRPr="00AD5781">
        <w:rPr>
          <w:rFonts w:ascii="Arial" w:eastAsia="Times New Roman" w:hAnsi="Arial" w:cs="Arial"/>
          <w:lang w:val="pt-BR"/>
        </w:rPr>
        <w:t>,</w:t>
      </w:r>
      <w:r w:rsidRPr="00AD5781">
        <w:rPr>
          <w:rFonts w:ascii="Arial" w:eastAsia="Times New Roman" w:hAnsi="Arial" w:cs="Arial"/>
        </w:rPr>
        <w:t xml:space="preserve"> D’aiuto, F. </w:t>
      </w:r>
      <w:r w:rsidRPr="00AD5781">
        <w:rPr>
          <w:rFonts w:ascii="Arial" w:eastAsia="Times New Roman" w:hAnsi="Arial" w:cs="Arial"/>
          <w:lang w:val="pt-BR"/>
        </w:rPr>
        <w:t xml:space="preserve">(2018). </w:t>
      </w:r>
      <w:r w:rsidRPr="00AD5781">
        <w:rPr>
          <w:rFonts w:ascii="Arial" w:eastAsia="Times New Roman" w:hAnsi="Arial" w:cs="Arial"/>
        </w:rPr>
        <w:t xml:space="preserve">Periodontal complications with obesity. </w:t>
      </w:r>
      <w:r w:rsidRPr="00AD5781">
        <w:rPr>
          <w:rFonts w:ascii="Arial" w:eastAsia="Times New Roman" w:hAnsi="Arial" w:cs="Arial"/>
          <w:i/>
          <w:iCs/>
        </w:rPr>
        <w:t>Periodontology 2000</w:t>
      </w:r>
      <w:r w:rsidRPr="00AD5781">
        <w:rPr>
          <w:rFonts w:ascii="Arial" w:eastAsia="Times New Roman" w:hAnsi="Arial" w:cs="Arial"/>
          <w:i/>
          <w:iCs/>
          <w:lang w:val="pt-BR"/>
        </w:rPr>
        <w:t>,</w:t>
      </w:r>
      <w:r w:rsidRPr="00AD5781">
        <w:rPr>
          <w:rFonts w:ascii="Arial" w:eastAsia="Times New Roman" w:hAnsi="Arial" w:cs="Arial"/>
        </w:rPr>
        <w:t xml:space="preserve"> 78, 98–128.</w:t>
      </w:r>
    </w:p>
    <w:p w14:paraId="08031EE0" w14:textId="77777777" w:rsidR="00AE72D7" w:rsidRPr="00AD5781" w:rsidRDefault="00AE72D7" w:rsidP="007E5670">
      <w:pPr>
        <w:spacing w:line="360" w:lineRule="auto"/>
        <w:jc w:val="both"/>
        <w:rPr>
          <w:rFonts w:ascii="Arial" w:eastAsia="Times New Roman" w:hAnsi="Arial" w:cs="Arial"/>
        </w:rPr>
      </w:pPr>
    </w:p>
    <w:p w14:paraId="7AC43231" w14:textId="77777777" w:rsidR="00AE72D7" w:rsidRPr="00AD5781" w:rsidRDefault="007F10CE" w:rsidP="007E5670">
      <w:pPr>
        <w:spacing w:line="360" w:lineRule="auto"/>
        <w:jc w:val="both"/>
        <w:rPr>
          <w:rStyle w:val="Hyperlink"/>
          <w:rFonts w:ascii="Arial" w:eastAsia="Helvetica" w:hAnsi="Arial" w:cs="Arial"/>
          <w:color w:val="auto"/>
          <w:u w:val="none"/>
          <w:shd w:val="clear" w:color="auto" w:fill="FFFFFF"/>
          <w:lang w:val="pt-BR"/>
        </w:rPr>
      </w:pPr>
      <w:r w:rsidRPr="00AD5781">
        <w:rPr>
          <w:rFonts w:ascii="Arial" w:eastAsia="Helvetica" w:hAnsi="Arial" w:cs="Arial"/>
          <w:shd w:val="clear" w:color="auto" w:fill="FFFFFF"/>
        </w:rPr>
        <w:t xml:space="preserve">Taylor, E. B. </w:t>
      </w:r>
      <w:r w:rsidRPr="00AD5781">
        <w:rPr>
          <w:rFonts w:ascii="Arial" w:eastAsia="Helvetica" w:hAnsi="Arial" w:cs="Arial"/>
          <w:shd w:val="clear" w:color="auto" w:fill="FFFFFF"/>
          <w:lang w:val="pt-BR"/>
        </w:rPr>
        <w:t xml:space="preserve">(2021). </w:t>
      </w:r>
      <w:r w:rsidRPr="00AD5781">
        <w:rPr>
          <w:rFonts w:ascii="Arial" w:eastAsia="Helvetica" w:hAnsi="Arial" w:cs="Arial"/>
          <w:shd w:val="clear" w:color="auto" w:fill="FFFFFF"/>
        </w:rPr>
        <w:t>O papel complexo das adipocinas na obesidade, inflamação e autoimunidade. </w:t>
      </w:r>
      <w:r w:rsidRPr="00AD5781">
        <w:rPr>
          <w:rStyle w:val="Emphasis"/>
          <w:rFonts w:ascii="Arial" w:eastAsia="Helvetica" w:hAnsi="Arial" w:cs="Arial"/>
          <w:shd w:val="clear" w:color="auto" w:fill="FFFFFF"/>
        </w:rPr>
        <w:t>Clin Sci (Londres)</w:t>
      </w:r>
      <w:r w:rsidRPr="00AD5781">
        <w:rPr>
          <w:rStyle w:val="Emphasis"/>
          <w:rFonts w:ascii="Arial" w:eastAsia="Helvetica" w:hAnsi="Arial" w:cs="Arial"/>
          <w:shd w:val="clear" w:color="auto" w:fill="FFFFFF"/>
          <w:lang w:val="pt-BR"/>
        </w:rPr>
        <w:t>,</w:t>
      </w:r>
      <w:r w:rsidRPr="00AD5781">
        <w:rPr>
          <w:rFonts w:ascii="Arial" w:eastAsia="Helvetica" w:hAnsi="Arial" w:cs="Arial"/>
          <w:shd w:val="clear" w:color="auto" w:fill="FFFFFF"/>
        </w:rPr>
        <w:t> 135 (6): 731–752. doi: </w:t>
      </w:r>
      <w:hyperlink r:id="rId8" w:tgtFrame="https://portlandpress-com.ez89.periodicos.capes.gov.br/clinsci/article/135/6/731/228093/_blank" w:history="1">
        <w:r w:rsidR="00AE72D7" w:rsidRPr="00AD5781">
          <w:rPr>
            <w:rStyle w:val="Hyperlink"/>
            <w:rFonts w:ascii="Arial" w:eastAsia="Helvetica" w:hAnsi="Arial" w:cs="Arial"/>
            <w:color w:val="auto"/>
            <w:u w:val="none"/>
            <w:shd w:val="clear" w:color="auto" w:fill="FFFFFF"/>
          </w:rPr>
          <w:t>https://doi-</w:t>
        </w:r>
        <w:r w:rsidR="00AE72D7" w:rsidRPr="00AD5781">
          <w:rPr>
            <w:rStyle w:val="Hyperlink"/>
            <w:rFonts w:ascii="Arial" w:eastAsia="Helvetica" w:hAnsi="Arial" w:cs="Arial"/>
            <w:color w:val="auto"/>
            <w:u w:val="none"/>
            <w:shd w:val="clear" w:color="auto" w:fill="FFFFFF"/>
            <w:lang w:val="pt-BR"/>
          </w:rPr>
          <w:t>o</w:t>
        </w:r>
        <w:r w:rsidR="00AE72D7" w:rsidRPr="00AD5781">
          <w:rPr>
            <w:rStyle w:val="Hyperlink"/>
            <w:rFonts w:ascii="Arial" w:eastAsia="Helvetica" w:hAnsi="Arial" w:cs="Arial"/>
            <w:color w:val="auto"/>
            <w:u w:val="none"/>
            <w:shd w:val="clear" w:color="auto" w:fill="FFFFFF"/>
          </w:rPr>
          <w:t>rg.ez89.periodicos.capes.gov.br/10.1042/CS20200895</w:t>
        </w:r>
      </w:hyperlink>
      <w:r w:rsidRPr="00AD5781">
        <w:rPr>
          <w:rStyle w:val="Hyperlink"/>
          <w:rFonts w:ascii="Arial" w:eastAsia="Helvetica" w:hAnsi="Arial" w:cs="Arial"/>
          <w:color w:val="auto"/>
          <w:u w:val="none"/>
          <w:shd w:val="clear" w:color="auto" w:fill="FFFFFF"/>
          <w:lang w:val="pt-BR"/>
        </w:rPr>
        <w:t>.</w:t>
      </w:r>
    </w:p>
    <w:p w14:paraId="53C67231" w14:textId="77777777" w:rsidR="00AE72D7" w:rsidRPr="00AD5781" w:rsidRDefault="00AE72D7" w:rsidP="007E5670">
      <w:pPr>
        <w:spacing w:line="360" w:lineRule="auto"/>
        <w:jc w:val="both"/>
        <w:rPr>
          <w:rStyle w:val="Hyperlink"/>
          <w:rFonts w:ascii="Arial" w:eastAsia="Helvetica" w:hAnsi="Arial" w:cs="Arial"/>
          <w:color w:val="auto"/>
          <w:u w:val="none"/>
          <w:shd w:val="clear" w:color="auto" w:fill="FFFFFF"/>
          <w:lang w:val="pt-BR"/>
        </w:rPr>
      </w:pPr>
    </w:p>
    <w:p w14:paraId="7F17AD52" w14:textId="77777777" w:rsidR="00AE72D7" w:rsidRPr="00AD5781" w:rsidRDefault="007F10CE" w:rsidP="007E5670">
      <w:pPr>
        <w:spacing w:line="360" w:lineRule="auto"/>
        <w:jc w:val="both"/>
        <w:rPr>
          <w:rFonts w:ascii="Arial" w:eastAsia="SimSun" w:hAnsi="Arial" w:cs="Arial"/>
          <w:lang w:eastAsia="zh-CN" w:bidi="ar"/>
        </w:rPr>
      </w:pPr>
      <w:r w:rsidRPr="00AD5781">
        <w:rPr>
          <w:rFonts w:ascii="Arial" w:eastAsia="SimSun" w:hAnsi="Arial" w:cs="Arial"/>
          <w:lang w:eastAsia="zh-CN" w:bidi="ar"/>
        </w:rPr>
        <w:t>Vandevska-Radunovic, V.</w:t>
      </w:r>
      <w:r w:rsidRPr="00AD5781">
        <w:rPr>
          <w:rFonts w:ascii="Arial" w:eastAsia="SimSun" w:hAnsi="Arial" w:cs="Arial"/>
          <w:lang w:val="pt-BR" w:eastAsia="zh-CN" w:bidi="ar"/>
        </w:rPr>
        <w:t>,</w:t>
      </w:r>
      <w:r w:rsidRPr="00AD5781">
        <w:rPr>
          <w:rFonts w:ascii="Arial" w:eastAsia="SimSun" w:hAnsi="Arial" w:cs="Arial"/>
          <w:lang w:eastAsia="zh-CN" w:bidi="ar"/>
        </w:rPr>
        <w:t xml:space="preserve"> Kvinnsland, S.</w:t>
      </w:r>
      <w:r w:rsidRPr="00AD5781">
        <w:rPr>
          <w:rFonts w:ascii="Arial" w:eastAsia="SimSun" w:hAnsi="Arial" w:cs="Arial"/>
          <w:lang w:val="pt-BR" w:eastAsia="zh-CN" w:bidi="ar"/>
        </w:rPr>
        <w:t>,</w:t>
      </w:r>
      <w:r w:rsidRPr="00AD5781">
        <w:rPr>
          <w:rFonts w:ascii="Arial" w:eastAsia="SimSun" w:hAnsi="Arial" w:cs="Arial"/>
          <w:lang w:eastAsia="zh-CN" w:bidi="ar"/>
        </w:rPr>
        <w:t xml:space="preserve"> Kvinnsland, I. H.</w:t>
      </w:r>
      <w:r w:rsidRPr="00AD5781">
        <w:rPr>
          <w:rFonts w:ascii="Arial" w:eastAsia="SimSun" w:hAnsi="Arial" w:cs="Arial"/>
          <w:lang w:val="pt-BR" w:eastAsia="zh-CN" w:bidi="ar"/>
        </w:rPr>
        <w:t xml:space="preserve"> (1997).</w:t>
      </w:r>
      <w:r w:rsidRPr="00AD5781">
        <w:rPr>
          <w:rFonts w:ascii="Arial" w:eastAsia="SimSun" w:hAnsi="Arial" w:cs="Arial"/>
          <w:lang w:eastAsia="zh-CN" w:bidi="ar"/>
        </w:rPr>
        <w:t xml:space="preserve"> Effect of experimental tooth movement on nerve fibres immunoreactive to calcitonin gene-related peptide, protein gene product 9.5, and blood vessel density and distribution in rats. </w:t>
      </w:r>
      <w:r w:rsidRPr="00AD5781">
        <w:rPr>
          <w:rFonts w:ascii="Arial" w:eastAsia="SimSun" w:hAnsi="Arial" w:cs="Arial"/>
          <w:i/>
          <w:iCs/>
          <w:lang w:eastAsia="zh-CN" w:bidi="ar"/>
        </w:rPr>
        <w:t>Eur J Orthod.</w:t>
      </w:r>
      <w:r w:rsidRPr="00AD5781">
        <w:rPr>
          <w:rFonts w:ascii="Arial" w:eastAsia="SimSun" w:hAnsi="Arial" w:cs="Arial"/>
          <w:i/>
          <w:iCs/>
          <w:lang w:val="pt-BR" w:eastAsia="zh-CN" w:bidi="ar"/>
        </w:rPr>
        <w:t>,</w:t>
      </w:r>
      <w:r w:rsidRPr="00AD5781">
        <w:rPr>
          <w:rFonts w:ascii="Arial" w:eastAsia="SimSun" w:hAnsi="Arial" w:cs="Arial"/>
          <w:lang w:eastAsia="zh-CN" w:bidi="ar"/>
        </w:rPr>
        <w:t xml:space="preserve"> 19(5):517-29.</w:t>
      </w:r>
    </w:p>
    <w:p w14:paraId="4A6115BB" w14:textId="77777777" w:rsidR="00AE72D7" w:rsidRPr="00AD5781" w:rsidRDefault="00AE72D7" w:rsidP="007E5670">
      <w:pPr>
        <w:spacing w:line="360" w:lineRule="auto"/>
        <w:jc w:val="both"/>
        <w:rPr>
          <w:rFonts w:ascii="Arial" w:eastAsia="SimSun" w:hAnsi="Arial" w:cs="Arial"/>
          <w:lang w:eastAsia="zh-CN" w:bidi="ar"/>
        </w:rPr>
      </w:pPr>
    </w:p>
    <w:p w14:paraId="098B72FD" w14:textId="77777777" w:rsidR="00AE72D7" w:rsidRPr="00AD5781" w:rsidRDefault="007F10CE" w:rsidP="007E5670">
      <w:pPr>
        <w:spacing w:line="360" w:lineRule="auto"/>
        <w:jc w:val="both"/>
        <w:rPr>
          <w:rFonts w:ascii="Arial" w:eastAsia="Times New Roman" w:hAnsi="Arial" w:cs="Arial"/>
        </w:rPr>
      </w:pPr>
      <w:r w:rsidRPr="00AD5781">
        <w:rPr>
          <w:rFonts w:ascii="Arial" w:eastAsia="Arial" w:hAnsi="Arial" w:cs="Arial"/>
          <w:color w:val="212121"/>
          <w:shd w:val="clear" w:color="auto" w:fill="FFFFFF"/>
        </w:rPr>
        <w:t>Vitali, F.C.</w:t>
      </w:r>
      <w:r w:rsidRPr="00AD5781">
        <w:rPr>
          <w:rFonts w:ascii="Arial" w:eastAsia="Arial" w:hAnsi="Arial" w:cs="Arial"/>
          <w:color w:val="212121"/>
          <w:shd w:val="clear" w:color="auto" w:fill="FFFFFF"/>
          <w:lang w:val="pt-BR"/>
        </w:rPr>
        <w:t>,</w:t>
      </w:r>
      <w:r w:rsidRPr="00AD5781">
        <w:rPr>
          <w:rFonts w:ascii="Arial" w:eastAsia="Arial" w:hAnsi="Arial" w:cs="Arial"/>
          <w:color w:val="212121"/>
          <w:shd w:val="clear" w:color="auto" w:fill="FFFFFF"/>
        </w:rPr>
        <w:t xml:space="preserve"> Cardoso, I.V.</w:t>
      </w:r>
      <w:r w:rsidRPr="00AD5781">
        <w:rPr>
          <w:rFonts w:ascii="Arial" w:eastAsia="Arial" w:hAnsi="Arial" w:cs="Arial"/>
          <w:color w:val="212121"/>
          <w:shd w:val="clear" w:color="auto" w:fill="FFFFFF"/>
          <w:lang w:val="pt-BR"/>
        </w:rPr>
        <w:t>,</w:t>
      </w:r>
      <w:r w:rsidRPr="00AD5781">
        <w:rPr>
          <w:rFonts w:ascii="Arial" w:eastAsia="Arial" w:hAnsi="Arial" w:cs="Arial"/>
          <w:color w:val="212121"/>
          <w:shd w:val="clear" w:color="auto" w:fill="FFFFFF"/>
        </w:rPr>
        <w:t xml:space="preserve"> Mello, F.W.</w:t>
      </w:r>
      <w:r w:rsidRPr="00AD5781">
        <w:rPr>
          <w:rFonts w:ascii="Arial" w:eastAsia="Arial" w:hAnsi="Arial" w:cs="Arial"/>
          <w:color w:val="212121"/>
          <w:shd w:val="clear" w:color="auto" w:fill="FFFFFF"/>
          <w:lang w:val="pt-BR"/>
        </w:rPr>
        <w:t>,</w:t>
      </w:r>
      <w:r w:rsidRPr="00AD5781">
        <w:rPr>
          <w:rFonts w:ascii="Arial" w:eastAsia="Arial" w:hAnsi="Arial" w:cs="Arial"/>
          <w:color w:val="212121"/>
          <w:shd w:val="clear" w:color="auto" w:fill="FFFFFF"/>
        </w:rPr>
        <w:t xml:space="preserve"> Flores-Mir, C.</w:t>
      </w:r>
      <w:r w:rsidRPr="00AD5781">
        <w:rPr>
          <w:rFonts w:ascii="Arial" w:eastAsia="Arial" w:hAnsi="Arial" w:cs="Arial"/>
          <w:color w:val="212121"/>
          <w:shd w:val="clear" w:color="auto" w:fill="FFFFFF"/>
          <w:lang w:val="pt-BR"/>
        </w:rPr>
        <w:t>,</w:t>
      </w:r>
      <w:r w:rsidRPr="00AD5781">
        <w:rPr>
          <w:rFonts w:ascii="Arial" w:eastAsia="Arial" w:hAnsi="Arial" w:cs="Arial"/>
          <w:color w:val="212121"/>
          <w:shd w:val="clear" w:color="auto" w:fill="FFFFFF"/>
        </w:rPr>
        <w:t xml:space="preserve"> Andrada, A.C.</w:t>
      </w:r>
      <w:r w:rsidRPr="00AD5781">
        <w:rPr>
          <w:rFonts w:ascii="Arial" w:eastAsia="Arial" w:hAnsi="Arial" w:cs="Arial"/>
          <w:color w:val="212121"/>
          <w:shd w:val="clear" w:color="auto" w:fill="FFFFFF"/>
          <w:lang w:val="pt-BR"/>
        </w:rPr>
        <w:t>,</w:t>
      </w:r>
      <w:r w:rsidRPr="00AD5781">
        <w:rPr>
          <w:rFonts w:ascii="Arial" w:eastAsia="Arial" w:hAnsi="Arial" w:cs="Arial"/>
          <w:color w:val="212121"/>
          <w:shd w:val="clear" w:color="auto" w:fill="FFFFFF"/>
        </w:rPr>
        <w:t xml:space="preserve"> Dutra-Horstmann, K.L.</w:t>
      </w:r>
      <w:r w:rsidRPr="00AD5781">
        <w:rPr>
          <w:rFonts w:ascii="Arial" w:eastAsia="Arial" w:hAnsi="Arial" w:cs="Arial"/>
          <w:color w:val="212121"/>
          <w:shd w:val="clear" w:color="auto" w:fill="FFFFFF"/>
          <w:lang w:val="pt-BR"/>
        </w:rPr>
        <w:t>,</w:t>
      </w:r>
      <w:r w:rsidRPr="00AD5781">
        <w:rPr>
          <w:rFonts w:ascii="Arial" w:eastAsia="Arial" w:hAnsi="Arial" w:cs="Arial"/>
          <w:color w:val="212121"/>
          <w:shd w:val="clear" w:color="auto" w:fill="FFFFFF"/>
        </w:rPr>
        <w:t xml:space="preserve"> Duque, T.M.</w:t>
      </w:r>
      <w:r w:rsidRPr="00AD5781">
        <w:rPr>
          <w:rFonts w:ascii="Arial" w:eastAsia="Arial" w:hAnsi="Arial" w:cs="Arial"/>
          <w:color w:val="212121"/>
          <w:shd w:val="clear" w:color="auto" w:fill="FFFFFF"/>
          <w:lang w:val="pt-BR"/>
        </w:rPr>
        <w:t xml:space="preserve"> (2021).</w:t>
      </w:r>
      <w:r w:rsidRPr="00AD5781">
        <w:rPr>
          <w:rFonts w:ascii="Arial" w:eastAsia="Arial" w:hAnsi="Arial" w:cs="Arial"/>
          <w:color w:val="212121"/>
          <w:shd w:val="clear" w:color="auto" w:fill="FFFFFF"/>
        </w:rPr>
        <w:t xml:space="preserve"> Effect of orthodontic force on dental pulp histomorphology and tissue factor expression. </w:t>
      </w:r>
      <w:r w:rsidRPr="00AD5781">
        <w:rPr>
          <w:rFonts w:ascii="Arial" w:eastAsia="Arial" w:hAnsi="Arial" w:cs="Arial"/>
          <w:i/>
          <w:iCs/>
          <w:color w:val="212121"/>
          <w:shd w:val="clear" w:color="auto" w:fill="FFFFFF"/>
        </w:rPr>
        <w:t>Angle Orthod.</w:t>
      </w:r>
      <w:r w:rsidRPr="00AD5781">
        <w:rPr>
          <w:rFonts w:ascii="Arial" w:eastAsia="Arial" w:hAnsi="Arial" w:cs="Arial"/>
          <w:i/>
          <w:iCs/>
          <w:color w:val="212121"/>
          <w:shd w:val="clear" w:color="auto" w:fill="FFFFFF"/>
          <w:lang w:val="pt-BR"/>
        </w:rPr>
        <w:t>,</w:t>
      </w:r>
      <w:r w:rsidRPr="00AD5781">
        <w:rPr>
          <w:rFonts w:ascii="Arial" w:eastAsia="Arial" w:hAnsi="Arial" w:cs="Arial"/>
          <w:i/>
          <w:iCs/>
          <w:color w:val="212121"/>
          <w:shd w:val="clear" w:color="auto" w:fill="FFFFFF"/>
        </w:rPr>
        <w:t xml:space="preserve"> </w:t>
      </w:r>
      <w:r w:rsidRPr="00AD5781">
        <w:rPr>
          <w:rFonts w:ascii="Arial" w:eastAsia="Arial" w:hAnsi="Arial" w:cs="Arial"/>
          <w:color w:val="212121"/>
          <w:shd w:val="clear" w:color="auto" w:fill="FFFFFF"/>
        </w:rPr>
        <w:t>91(6): 830-842.</w:t>
      </w:r>
    </w:p>
    <w:p w14:paraId="45C71566" w14:textId="77777777" w:rsidR="00AE72D7" w:rsidRPr="00AD5781" w:rsidRDefault="00AE72D7" w:rsidP="007E5670">
      <w:pPr>
        <w:spacing w:line="360" w:lineRule="auto"/>
        <w:jc w:val="both"/>
        <w:rPr>
          <w:rFonts w:ascii="Arial" w:eastAsia="Times New Roman" w:hAnsi="Arial" w:cs="Arial"/>
        </w:rPr>
      </w:pPr>
    </w:p>
    <w:p w14:paraId="018CBA75" w14:textId="77777777" w:rsidR="00AE72D7" w:rsidRPr="00AD5781" w:rsidRDefault="007F10CE" w:rsidP="007E5670">
      <w:pPr>
        <w:autoSpaceDE w:val="0"/>
        <w:spacing w:line="360" w:lineRule="auto"/>
        <w:jc w:val="both"/>
        <w:outlineLvl w:val="0"/>
        <w:rPr>
          <w:rFonts w:ascii="Arial" w:eastAsia="Times New Roman" w:hAnsi="Arial" w:cs="Arial"/>
        </w:rPr>
      </w:pPr>
      <w:r w:rsidRPr="00AD5781">
        <w:rPr>
          <w:rFonts w:ascii="Arial" w:hAnsi="Arial" w:cs="Arial"/>
          <w:bCs/>
        </w:rPr>
        <w:t>Wang, H.L.</w:t>
      </w:r>
      <w:r w:rsidRPr="00AD5781">
        <w:rPr>
          <w:rFonts w:ascii="Arial" w:hAnsi="Arial" w:cs="Arial"/>
          <w:bCs/>
          <w:lang w:val="pt-BR"/>
        </w:rPr>
        <w:t>,</w:t>
      </w:r>
      <w:r w:rsidRPr="00AD5781">
        <w:rPr>
          <w:rFonts w:ascii="Arial" w:hAnsi="Arial" w:cs="Arial"/>
          <w:bCs/>
        </w:rPr>
        <w:t xml:space="preserve"> Glickman, G.N.</w:t>
      </w:r>
      <w:r w:rsidRPr="00AD5781">
        <w:rPr>
          <w:rFonts w:ascii="Arial" w:hAnsi="Arial" w:cs="Arial"/>
          <w:bCs/>
          <w:lang w:val="pt-BR"/>
        </w:rPr>
        <w:t xml:space="preserve"> (2002).</w:t>
      </w:r>
      <w:r w:rsidRPr="00AD5781">
        <w:rPr>
          <w:rFonts w:ascii="Arial" w:hAnsi="Arial" w:cs="Arial"/>
          <w:bCs/>
        </w:rPr>
        <w:t xml:space="preserve"> Endodontic and periodontic interrelationships. In: Cohen, S.; Burns, R.C. eds. </w:t>
      </w:r>
      <w:r w:rsidRPr="00AD5781">
        <w:rPr>
          <w:rFonts w:ascii="Arial" w:hAnsi="Arial" w:cs="Arial"/>
          <w:bCs/>
          <w:i/>
          <w:iCs/>
        </w:rPr>
        <w:t>Pathways of the Pulp</w:t>
      </w:r>
      <w:r w:rsidRPr="00AD5781">
        <w:rPr>
          <w:rFonts w:ascii="Arial" w:hAnsi="Arial" w:cs="Arial"/>
          <w:b/>
        </w:rPr>
        <w:t>.</w:t>
      </w:r>
      <w:r w:rsidRPr="00AD5781">
        <w:rPr>
          <w:rFonts w:ascii="Arial" w:hAnsi="Arial" w:cs="Arial"/>
          <w:b/>
          <w:lang w:val="pt-BR"/>
        </w:rPr>
        <w:t>,</w:t>
      </w:r>
      <w:r w:rsidRPr="00AD5781">
        <w:rPr>
          <w:rFonts w:ascii="Arial" w:hAnsi="Arial" w:cs="Arial"/>
          <w:bCs/>
        </w:rPr>
        <w:t xml:space="preserve"> 8,  651-64.</w:t>
      </w:r>
    </w:p>
    <w:p w14:paraId="0ED9CA29" w14:textId="77777777" w:rsidR="00AE72D7" w:rsidRPr="00AD5781" w:rsidRDefault="00AE72D7" w:rsidP="007E5670">
      <w:pPr>
        <w:spacing w:line="360" w:lineRule="auto"/>
        <w:jc w:val="both"/>
        <w:rPr>
          <w:rFonts w:ascii="Arial" w:eastAsia="Times New Roman" w:hAnsi="Arial" w:cs="Arial"/>
        </w:rPr>
      </w:pPr>
    </w:p>
    <w:p w14:paraId="542D4E74" w14:textId="77777777" w:rsidR="00AE72D7" w:rsidRPr="00AD5781" w:rsidRDefault="007F10CE" w:rsidP="007E5670">
      <w:pPr>
        <w:spacing w:line="360" w:lineRule="auto"/>
        <w:jc w:val="both"/>
        <w:rPr>
          <w:rFonts w:ascii="Arial" w:eastAsia="Frutiger-LightCn" w:hAnsi="Arial" w:cs="Arial"/>
          <w:lang w:eastAsia="zh-CN" w:bidi="ar"/>
        </w:rPr>
      </w:pPr>
      <w:r w:rsidRPr="00AD5781">
        <w:rPr>
          <w:rFonts w:ascii="Arial" w:eastAsia="Frutiger-LightCn" w:hAnsi="Arial" w:cs="Arial"/>
          <w:lang w:eastAsia="zh-CN" w:bidi="ar"/>
        </w:rPr>
        <w:t>Werner, S.L.</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Phillips, C.</w:t>
      </w:r>
      <w:r w:rsidRPr="00AD5781">
        <w:rPr>
          <w:rFonts w:ascii="Arial" w:eastAsia="Frutiger-LightCn" w:hAnsi="Arial" w:cs="Arial"/>
          <w:lang w:val="pt-BR" w:eastAsia="zh-CN" w:bidi="ar"/>
        </w:rPr>
        <w:t>,</w:t>
      </w:r>
      <w:r w:rsidRPr="00AD5781">
        <w:rPr>
          <w:rFonts w:ascii="Arial" w:eastAsia="Frutiger-LightCn" w:hAnsi="Arial" w:cs="Arial"/>
          <w:lang w:eastAsia="zh-CN" w:bidi="ar"/>
        </w:rPr>
        <w:t xml:space="preserve"> Koroluk, L.D. </w:t>
      </w:r>
      <w:r w:rsidRPr="00AD5781">
        <w:rPr>
          <w:rFonts w:ascii="Arial" w:eastAsia="Frutiger-LightCn" w:hAnsi="Arial" w:cs="Arial"/>
          <w:lang w:val="pt-BR" w:eastAsia="zh-CN" w:bidi="ar"/>
        </w:rPr>
        <w:t xml:space="preserve">(2012). </w:t>
      </w:r>
      <w:r w:rsidRPr="00AD5781">
        <w:rPr>
          <w:rFonts w:ascii="Arial" w:eastAsia="Frutiger-LightCn" w:hAnsi="Arial" w:cs="Arial"/>
          <w:lang w:eastAsia="zh-CN" w:bidi="ar"/>
        </w:rPr>
        <w:t xml:space="preserve">Association between childhood obesity and dental caries. </w:t>
      </w:r>
      <w:r w:rsidRPr="00AD5781">
        <w:rPr>
          <w:rFonts w:ascii="Arial" w:eastAsia="Frutiger-LightCn" w:hAnsi="Arial" w:cs="Arial"/>
          <w:i/>
          <w:iCs/>
          <w:lang w:eastAsia="zh-CN" w:bidi="ar"/>
        </w:rPr>
        <w:t>Pediatr. Dent</w:t>
      </w:r>
      <w:r w:rsidRPr="00AD5781">
        <w:rPr>
          <w:rFonts w:ascii="Arial" w:eastAsia="Frutiger-LightCn" w:hAnsi="Arial" w:cs="Arial"/>
          <w:b/>
          <w:bCs/>
          <w:lang w:eastAsia="zh-CN" w:bidi="ar"/>
        </w:rPr>
        <w:t>.</w:t>
      </w:r>
      <w:r w:rsidRPr="00AD5781">
        <w:rPr>
          <w:rFonts w:ascii="Arial" w:eastAsia="Frutiger-LightCn" w:hAnsi="Arial" w:cs="Arial"/>
          <w:b/>
          <w:bCs/>
          <w:lang w:val="pt-BR" w:eastAsia="zh-CN" w:bidi="ar"/>
        </w:rPr>
        <w:t>,</w:t>
      </w:r>
      <w:r w:rsidRPr="00AD5781">
        <w:rPr>
          <w:rFonts w:ascii="Arial" w:eastAsia="Frutiger-LightCn" w:hAnsi="Arial" w:cs="Arial"/>
          <w:b/>
          <w:bCs/>
          <w:lang w:eastAsia="zh-CN" w:bidi="ar"/>
        </w:rPr>
        <w:t xml:space="preserve"> </w:t>
      </w:r>
      <w:r w:rsidRPr="00AD5781">
        <w:rPr>
          <w:rFonts w:ascii="Arial" w:eastAsia="Frutiger-LightCn" w:hAnsi="Arial" w:cs="Arial"/>
          <w:lang w:eastAsia="zh-CN" w:bidi="ar"/>
        </w:rPr>
        <w:t>34, 23-27.</w:t>
      </w:r>
    </w:p>
    <w:p w14:paraId="69278906" w14:textId="77777777" w:rsidR="00AE72D7" w:rsidRPr="00AD5781" w:rsidRDefault="00AE72D7" w:rsidP="007E5670">
      <w:pPr>
        <w:spacing w:line="360" w:lineRule="auto"/>
        <w:jc w:val="both"/>
        <w:rPr>
          <w:rFonts w:ascii="Arial" w:eastAsia="Times New Roman" w:hAnsi="Arial" w:cs="Arial"/>
        </w:rPr>
      </w:pPr>
    </w:p>
    <w:p w14:paraId="2CC09B46" w14:textId="77777777" w:rsidR="00AE72D7" w:rsidRPr="00AD5781" w:rsidRDefault="007F10CE" w:rsidP="007E5670">
      <w:pPr>
        <w:spacing w:line="360" w:lineRule="auto"/>
        <w:jc w:val="both"/>
        <w:rPr>
          <w:rFonts w:ascii="Arial" w:hAnsi="Arial" w:cs="Arial"/>
          <w:lang w:eastAsia="en-US"/>
        </w:rPr>
      </w:pPr>
      <w:r w:rsidRPr="00AD5781">
        <w:rPr>
          <w:rFonts w:ascii="Arial" w:hAnsi="Arial" w:cs="Arial"/>
          <w:lang w:eastAsia="en-US"/>
        </w:rPr>
        <w:t>WHO. World Health Organization</w:t>
      </w:r>
      <w:r w:rsidRPr="00AD5781">
        <w:rPr>
          <w:rFonts w:ascii="Arial" w:hAnsi="Arial" w:cs="Arial"/>
          <w:i/>
          <w:iCs/>
          <w:lang w:eastAsia="en-US"/>
        </w:rPr>
        <w:t xml:space="preserve"> </w:t>
      </w:r>
      <w:r w:rsidRPr="00AD5781">
        <w:rPr>
          <w:rFonts w:ascii="Arial" w:hAnsi="Arial" w:cs="Arial"/>
          <w:lang w:eastAsia="en-US"/>
        </w:rPr>
        <w:t xml:space="preserve">(2022). </w:t>
      </w:r>
      <w:r w:rsidRPr="00AD5781">
        <w:rPr>
          <w:rFonts w:ascii="Arial" w:hAnsi="Arial" w:cs="Arial"/>
          <w:i/>
          <w:iCs/>
        </w:rPr>
        <w:t>Obesity and overweight</w:t>
      </w:r>
      <w:r w:rsidRPr="00AD5781">
        <w:rPr>
          <w:rFonts w:ascii="Arial" w:hAnsi="Arial" w:cs="Arial"/>
          <w:lang w:eastAsia="en-US"/>
        </w:rPr>
        <w:t>. Disponível em: &lt;https://www.who.int/en/news-room/fact-sheets/detail/obesity-and-overweight&gt;. Acesso em: 28 jan 2025.</w:t>
      </w:r>
    </w:p>
    <w:p w14:paraId="74119C13" w14:textId="77777777" w:rsidR="00AE72D7" w:rsidRPr="00AD5781" w:rsidRDefault="00AE72D7" w:rsidP="007E5670">
      <w:pPr>
        <w:spacing w:line="360" w:lineRule="auto"/>
        <w:jc w:val="both"/>
        <w:rPr>
          <w:rFonts w:ascii="Arial" w:hAnsi="Arial" w:cs="Arial"/>
          <w:lang w:eastAsia="en-US"/>
        </w:rPr>
      </w:pPr>
    </w:p>
    <w:p w14:paraId="629D8853" w14:textId="77777777" w:rsidR="00AE72D7" w:rsidRPr="00AD5781" w:rsidRDefault="00AE72D7" w:rsidP="007E5670">
      <w:pPr>
        <w:jc w:val="both"/>
      </w:pPr>
    </w:p>
    <w:p w14:paraId="5083C912" w14:textId="77777777" w:rsidR="00AE72D7" w:rsidRPr="00AD5781" w:rsidRDefault="007F10CE" w:rsidP="007E5670">
      <w:pPr>
        <w:spacing w:line="360" w:lineRule="auto"/>
        <w:jc w:val="both"/>
        <w:rPr>
          <w:rFonts w:ascii="Arial" w:eastAsia="Helvetica" w:hAnsi="Arial" w:cs="Arial"/>
          <w:color w:val="282828"/>
          <w:shd w:val="clear" w:color="auto" w:fill="F7F7F7"/>
        </w:rPr>
      </w:pPr>
      <w:r w:rsidRPr="00AD5781">
        <w:rPr>
          <w:rFonts w:ascii="Arial" w:eastAsia="Helvetica" w:hAnsi="Arial" w:cs="Arial"/>
          <w:color w:val="222222"/>
          <w:shd w:val="clear" w:color="auto" w:fill="FFFFFF"/>
        </w:rPr>
        <w:t>Wróblewski, A.</w:t>
      </w:r>
      <w:r w:rsidRPr="00AD5781">
        <w:rPr>
          <w:rFonts w:ascii="Arial" w:eastAsia="Helvetica" w:hAnsi="Arial" w:cs="Arial"/>
          <w:color w:val="222222"/>
          <w:shd w:val="clear" w:color="auto" w:fill="FFFFFF"/>
          <w:lang w:val="pt-BR"/>
        </w:rPr>
        <w:t>,</w:t>
      </w:r>
      <w:r w:rsidRPr="00AD5781">
        <w:rPr>
          <w:rFonts w:ascii="Arial" w:eastAsia="Helvetica" w:hAnsi="Arial" w:cs="Arial"/>
          <w:color w:val="222222"/>
          <w:shd w:val="clear" w:color="auto" w:fill="FFFFFF"/>
        </w:rPr>
        <w:t xml:space="preserve"> Strycharz, J.</w:t>
      </w:r>
      <w:r w:rsidRPr="00AD5781">
        <w:rPr>
          <w:rFonts w:ascii="Arial" w:eastAsia="Helvetica" w:hAnsi="Arial" w:cs="Arial"/>
          <w:color w:val="222222"/>
          <w:shd w:val="clear" w:color="auto" w:fill="FFFFFF"/>
          <w:lang w:val="pt-BR"/>
        </w:rPr>
        <w:t>,</w:t>
      </w:r>
      <w:r w:rsidRPr="00AD5781">
        <w:rPr>
          <w:rFonts w:ascii="Arial" w:eastAsia="Helvetica" w:hAnsi="Arial" w:cs="Arial"/>
          <w:color w:val="222222"/>
          <w:shd w:val="clear" w:color="auto" w:fill="FFFFFF"/>
        </w:rPr>
        <w:t xml:space="preserve"> Ś, E.; Drewniak, K.</w:t>
      </w:r>
      <w:r w:rsidRPr="00AD5781">
        <w:rPr>
          <w:rFonts w:ascii="Arial" w:eastAsia="Helvetica" w:hAnsi="Arial" w:cs="Arial"/>
          <w:color w:val="222222"/>
          <w:shd w:val="clear" w:color="auto" w:fill="FFFFFF"/>
          <w:lang w:val="pt-BR"/>
        </w:rPr>
        <w:t>,</w:t>
      </w:r>
      <w:r w:rsidRPr="00AD5781">
        <w:rPr>
          <w:rFonts w:ascii="Arial" w:eastAsia="Helvetica" w:hAnsi="Arial" w:cs="Arial"/>
          <w:color w:val="222222"/>
          <w:shd w:val="clear" w:color="auto" w:fill="FFFFFF"/>
        </w:rPr>
        <w:t xml:space="preserve"> Drzewoski, J.</w:t>
      </w:r>
      <w:r w:rsidRPr="00AD5781">
        <w:rPr>
          <w:rFonts w:ascii="Arial" w:eastAsia="Helvetica" w:hAnsi="Arial" w:cs="Arial"/>
          <w:color w:val="222222"/>
          <w:shd w:val="clear" w:color="auto" w:fill="FFFFFF"/>
          <w:lang w:val="pt-BR"/>
        </w:rPr>
        <w:t>,</w:t>
      </w:r>
      <w:r w:rsidRPr="00AD5781">
        <w:rPr>
          <w:rFonts w:ascii="Arial" w:eastAsia="Helvetica" w:hAnsi="Arial" w:cs="Arial"/>
          <w:color w:val="222222"/>
          <w:shd w:val="clear" w:color="auto" w:fill="FFFFFF"/>
        </w:rPr>
        <w:t xml:space="preserve"> S</w:t>
      </w:r>
      <w:r w:rsidRPr="00AD5781">
        <w:rPr>
          <w:rFonts w:ascii="Arial" w:eastAsia="Helvetica" w:hAnsi="Arial" w:cs="Arial"/>
          <w:color w:val="222222"/>
        </w:rPr>
        <w:t>zemraj,</w:t>
      </w:r>
      <w:r w:rsidRPr="00AD5781">
        <w:rPr>
          <w:rFonts w:ascii="Arial" w:eastAsia="Helvetica" w:hAnsi="Arial" w:cs="Arial"/>
          <w:color w:val="222222"/>
          <w:shd w:val="clear" w:color="auto" w:fill="FFFFFF"/>
        </w:rPr>
        <w:t xml:space="preserve"> J.</w:t>
      </w:r>
      <w:r w:rsidRPr="00AD5781">
        <w:rPr>
          <w:rFonts w:ascii="Arial" w:eastAsia="Helvetica" w:hAnsi="Arial" w:cs="Arial"/>
          <w:color w:val="222222"/>
          <w:shd w:val="clear" w:color="auto" w:fill="FFFFFF"/>
          <w:lang w:val="pt-BR"/>
        </w:rPr>
        <w:t>,</w:t>
      </w:r>
      <w:r w:rsidRPr="00AD5781">
        <w:rPr>
          <w:rFonts w:ascii="Arial" w:eastAsia="Helvetica" w:hAnsi="Arial" w:cs="Arial"/>
          <w:color w:val="222222"/>
          <w:shd w:val="clear" w:color="auto" w:fill="FFFFFF"/>
        </w:rPr>
        <w:t xml:space="preserve"> Kasznicki, J.</w:t>
      </w:r>
      <w:r w:rsidRPr="00AD5781">
        <w:rPr>
          <w:rFonts w:ascii="Arial" w:eastAsia="Helvetica" w:hAnsi="Arial" w:cs="Arial"/>
          <w:color w:val="222222"/>
          <w:shd w:val="clear" w:color="auto" w:fill="FFFFFF"/>
          <w:lang w:val="pt-BR"/>
        </w:rPr>
        <w:t>,</w:t>
      </w:r>
      <w:r w:rsidRPr="00AD5781">
        <w:rPr>
          <w:rFonts w:ascii="Arial" w:eastAsia="Helvetica" w:hAnsi="Arial" w:cs="Arial"/>
          <w:color w:val="222222"/>
          <w:shd w:val="clear" w:color="auto" w:fill="FFFFFF"/>
        </w:rPr>
        <w:t xml:space="preserve"> Śliwińska, A. </w:t>
      </w:r>
      <w:r w:rsidRPr="00AD5781">
        <w:rPr>
          <w:rFonts w:ascii="Arial" w:eastAsia="Helvetica" w:hAnsi="Arial" w:cs="Arial"/>
          <w:color w:val="222222"/>
          <w:shd w:val="clear" w:color="auto" w:fill="FFFFFF"/>
          <w:lang w:val="pt-BR"/>
        </w:rPr>
        <w:t xml:space="preserve">(2019). </w:t>
      </w:r>
      <w:r w:rsidRPr="00AD5781">
        <w:rPr>
          <w:rFonts w:ascii="Arial" w:eastAsia="Helvetica" w:hAnsi="Arial" w:cs="Arial"/>
          <w:color w:val="222222"/>
          <w:shd w:val="clear" w:color="auto" w:fill="FFFFFF"/>
        </w:rPr>
        <w:t>Visão molecular da interação entre epigenética e leptina em distúrbios metabólicos.</w:t>
      </w:r>
      <w:r w:rsidRPr="00AD5781">
        <w:rPr>
          <w:rFonts w:ascii="Arial" w:eastAsia="Helvetica" w:hAnsi="Arial" w:cs="Arial"/>
          <w:i/>
          <w:iCs/>
          <w:color w:val="222222"/>
          <w:shd w:val="clear" w:color="auto" w:fill="FFFFFF"/>
        </w:rPr>
        <w:t> </w:t>
      </w:r>
      <w:r w:rsidRPr="00AD5781">
        <w:rPr>
          <w:rStyle w:val="Emphasis"/>
          <w:rFonts w:ascii="Arial" w:eastAsia="Helvetica" w:hAnsi="Arial" w:cs="Arial"/>
          <w:color w:val="222222"/>
          <w:shd w:val="clear" w:color="auto" w:fill="FFFFFF"/>
        </w:rPr>
        <w:t>Nutrientes</w:t>
      </w:r>
      <w:r w:rsidRPr="00AD5781">
        <w:rPr>
          <w:rFonts w:ascii="Arial" w:eastAsia="Helvetica" w:hAnsi="Arial" w:cs="Arial"/>
          <w:color w:val="222222"/>
          <w:shd w:val="clear" w:color="auto" w:fill="FFFFFF"/>
        </w:rPr>
        <w:t> , </w:t>
      </w:r>
      <w:r w:rsidRPr="00AD5781">
        <w:rPr>
          <w:rStyle w:val="Emphasis"/>
          <w:rFonts w:ascii="Arial" w:eastAsia="Helvetica" w:hAnsi="Arial" w:cs="Arial"/>
          <w:color w:val="222222"/>
          <w:shd w:val="clear" w:color="auto" w:fill="FFFFFF"/>
        </w:rPr>
        <w:t>11</w:t>
      </w:r>
      <w:r w:rsidRPr="00AD5781">
        <w:rPr>
          <w:rFonts w:ascii="Arial" w:eastAsia="Helvetica" w:hAnsi="Arial" w:cs="Arial"/>
          <w:color w:val="222222"/>
          <w:shd w:val="clear" w:color="auto" w:fill="FFFFFF"/>
        </w:rPr>
        <w:t> , 1872. https://doi.org/10.3390/nu11081872</w:t>
      </w:r>
    </w:p>
    <w:p w14:paraId="6AC5871C" w14:textId="77777777" w:rsidR="00AE72D7" w:rsidRPr="00AD5781" w:rsidRDefault="00AE72D7" w:rsidP="007E5670">
      <w:pPr>
        <w:jc w:val="both"/>
      </w:pPr>
    </w:p>
    <w:p w14:paraId="36DD39A1" w14:textId="77777777" w:rsidR="00AE72D7" w:rsidRDefault="007F10CE" w:rsidP="007E5670">
      <w:pPr>
        <w:spacing w:line="360" w:lineRule="auto"/>
        <w:jc w:val="both"/>
        <w:rPr>
          <w:rFonts w:ascii="Arial" w:hAnsi="Arial" w:cs="Arial"/>
        </w:rPr>
      </w:pPr>
      <w:r w:rsidRPr="00AD5781">
        <w:rPr>
          <w:rFonts w:ascii="Arial" w:eastAsia="sans-serif" w:hAnsi="Arial" w:cs="Arial"/>
          <w:color w:val="333333"/>
        </w:rPr>
        <w:t>Yan, B.</w:t>
      </w:r>
      <w:r w:rsidRPr="00AD5781">
        <w:rPr>
          <w:rFonts w:ascii="Arial" w:eastAsia="sans-serif" w:hAnsi="Arial" w:cs="Arial"/>
          <w:color w:val="333333"/>
          <w:lang w:val="pt-BR"/>
        </w:rPr>
        <w:t>,</w:t>
      </w:r>
      <w:r w:rsidRPr="00AD5781">
        <w:rPr>
          <w:rFonts w:ascii="Arial" w:eastAsia="sans-serif" w:hAnsi="Arial" w:cs="Arial"/>
          <w:color w:val="333333"/>
        </w:rPr>
        <w:t xml:space="preserve"> Liu, D.</w:t>
      </w:r>
      <w:r w:rsidRPr="00AD5781">
        <w:rPr>
          <w:rFonts w:ascii="Arial" w:eastAsia="sans-serif" w:hAnsi="Arial" w:cs="Arial"/>
          <w:color w:val="333333"/>
          <w:lang w:val="pt-BR"/>
        </w:rPr>
        <w:t>,</w:t>
      </w:r>
      <w:r w:rsidRPr="00AD5781">
        <w:rPr>
          <w:rFonts w:ascii="Arial" w:eastAsia="sans-serif" w:hAnsi="Arial" w:cs="Arial"/>
          <w:color w:val="333333"/>
        </w:rPr>
        <w:t xml:space="preserve"> Zhang, C.</w:t>
      </w:r>
      <w:r w:rsidRPr="00AD5781">
        <w:rPr>
          <w:rFonts w:ascii="Arial" w:eastAsia="sans-serif" w:hAnsi="Arial" w:cs="Arial"/>
          <w:color w:val="333333"/>
          <w:lang w:val="pt-BR"/>
        </w:rPr>
        <w:t>,</w:t>
      </w:r>
      <w:r w:rsidRPr="00AD5781">
        <w:rPr>
          <w:rFonts w:ascii="Arial" w:eastAsia="sans-serif" w:hAnsi="Arial" w:cs="Arial"/>
          <w:color w:val="333333"/>
        </w:rPr>
        <w:t xml:space="preserve"> Zhang, T.</w:t>
      </w:r>
      <w:r w:rsidRPr="00AD5781">
        <w:rPr>
          <w:rFonts w:ascii="Arial" w:eastAsia="sans-serif" w:hAnsi="Arial" w:cs="Arial"/>
          <w:color w:val="333333"/>
          <w:lang w:val="pt-BR"/>
        </w:rPr>
        <w:t>,</w:t>
      </w:r>
      <w:r w:rsidRPr="00AD5781">
        <w:rPr>
          <w:rFonts w:ascii="Arial" w:eastAsia="sans-serif" w:hAnsi="Arial" w:cs="Arial"/>
          <w:color w:val="333333"/>
        </w:rPr>
        <w:t xml:space="preserve"> Wang, X.</w:t>
      </w:r>
      <w:r w:rsidRPr="00AD5781">
        <w:rPr>
          <w:rFonts w:ascii="Arial" w:eastAsia="sans-serif" w:hAnsi="Arial" w:cs="Arial"/>
          <w:color w:val="333333"/>
          <w:lang w:val="pt-BR"/>
        </w:rPr>
        <w:t>,</w:t>
      </w:r>
      <w:r w:rsidRPr="00AD5781">
        <w:rPr>
          <w:rFonts w:ascii="Arial" w:eastAsia="sans-serif" w:hAnsi="Arial" w:cs="Arial"/>
          <w:color w:val="333333"/>
        </w:rPr>
        <w:t xml:space="preserve"> Yang, R.</w:t>
      </w:r>
      <w:r w:rsidRPr="00AD5781">
        <w:rPr>
          <w:rFonts w:ascii="Arial" w:eastAsia="sans-serif" w:hAnsi="Arial" w:cs="Arial"/>
          <w:color w:val="333333"/>
          <w:lang w:val="pt-BR"/>
        </w:rPr>
        <w:t>,</w:t>
      </w:r>
      <w:r w:rsidRPr="00AD5781">
        <w:rPr>
          <w:rFonts w:ascii="Arial" w:eastAsia="sans-serif" w:hAnsi="Arial" w:cs="Arial"/>
          <w:color w:val="333333"/>
        </w:rPr>
        <w:t xml:space="preserve"> Liu, Y.</w:t>
      </w:r>
      <w:r w:rsidRPr="00AD5781">
        <w:rPr>
          <w:rFonts w:ascii="Arial" w:eastAsia="sans-serif" w:hAnsi="Arial" w:cs="Arial"/>
          <w:color w:val="333333"/>
          <w:lang w:val="pt-BR"/>
        </w:rPr>
        <w:t>,</w:t>
      </w:r>
      <w:r w:rsidRPr="00AD5781">
        <w:rPr>
          <w:rFonts w:ascii="Arial" w:eastAsia="sans-serif" w:hAnsi="Arial" w:cs="Arial"/>
          <w:color w:val="333333"/>
        </w:rPr>
        <w:t xml:space="preserve"> He, D.</w:t>
      </w:r>
      <w:r w:rsidRPr="00AD5781">
        <w:rPr>
          <w:rFonts w:ascii="Arial" w:eastAsia="sans-serif" w:hAnsi="Arial" w:cs="Arial"/>
          <w:color w:val="333333"/>
          <w:lang w:val="pt-BR"/>
        </w:rPr>
        <w:t>,</w:t>
      </w:r>
      <w:r w:rsidRPr="00AD5781">
        <w:rPr>
          <w:rFonts w:ascii="Arial" w:eastAsia="sans-serif" w:hAnsi="Arial" w:cs="Arial"/>
          <w:color w:val="333333"/>
        </w:rPr>
        <w:t xml:space="preserve"> Zhou, Y. </w:t>
      </w:r>
      <w:r w:rsidRPr="00AD5781">
        <w:rPr>
          <w:rFonts w:ascii="Arial" w:eastAsia="sans-serif" w:hAnsi="Arial" w:cs="Arial"/>
          <w:color w:val="333333"/>
          <w:lang w:val="pt-BR"/>
        </w:rPr>
        <w:t xml:space="preserve">(2018). </w:t>
      </w:r>
      <w:r w:rsidRPr="00AD5781">
        <w:rPr>
          <w:rFonts w:ascii="Arial" w:eastAsia="sans-serif" w:hAnsi="Arial" w:cs="Arial"/>
          <w:color w:val="333333"/>
        </w:rPr>
        <w:t xml:space="preserve">Obesity attenuates force-induced tooth movement in mice with the elevation of leptin level: a preliminary translational study. </w:t>
      </w:r>
      <w:r w:rsidRPr="00AD5781">
        <w:rPr>
          <w:rFonts w:ascii="Arial" w:eastAsia="sans-serif" w:hAnsi="Arial" w:cs="Arial"/>
          <w:i/>
          <w:iCs/>
          <w:color w:val="333333"/>
        </w:rPr>
        <w:t>Am J Transl Res</w:t>
      </w:r>
      <w:r w:rsidRPr="00AD5781">
        <w:rPr>
          <w:rFonts w:ascii="Arial" w:eastAsia="sans-serif" w:hAnsi="Arial" w:cs="Arial"/>
          <w:i/>
          <w:iCs/>
          <w:color w:val="333333"/>
          <w:lang w:val="pt-BR"/>
        </w:rPr>
        <w:t>,</w:t>
      </w:r>
      <w:r w:rsidRPr="00AD5781">
        <w:rPr>
          <w:rFonts w:ascii="Arial" w:eastAsia="sans-serif" w:hAnsi="Arial" w:cs="Arial"/>
          <w:color w:val="333333"/>
        </w:rPr>
        <w:t xml:space="preserve"> 10(12): 4107-4118.</w:t>
      </w:r>
    </w:p>
    <w:p w14:paraId="5FF8A416" w14:textId="77777777" w:rsidR="00AE72D7" w:rsidRDefault="00AE72D7">
      <w:pPr>
        <w:pStyle w:val="NormalWeb"/>
        <w:spacing w:line="480" w:lineRule="auto"/>
        <w:jc w:val="both"/>
        <w:rPr>
          <w:rFonts w:ascii="Arial" w:eastAsia="Times New Roman" w:hAnsi="Arial" w:cs="Arial"/>
        </w:rPr>
      </w:pPr>
    </w:p>
    <w:sectPr w:rsidR="00AE72D7">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932F" w14:textId="77777777" w:rsidR="00942A6A" w:rsidRDefault="00942A6A">
      <w:r>
        <w:separator/>
      </w:r>
    </w:p>
  </w:endnote>
  <w:endnote w:type="continuationSeparator" w:id="0">
    <w:p w14:paraId="21D3779C" w14:textId="77777777" w:rsidR="00942A6A" w:rsidRDefault="0094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Frutiger-LightCn">
    <w:altName w:val="Segoe Print"/>
    <w:charset w:val="00"/>
    <w:family w:val="auto"/>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C9FE" w14:textId="77777777" w:rsidR="00214D04" w:rsidRDefault="00214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4CFF" w14:textId="77777777" w:rsidR="00AE72D7" w:rsidRDefault="00AE72D7">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E6C4" w14:textId="77777777" w:rsidR="00214D04" w:rsidRDefault="0021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D6F1" w14:textId="77777777" w:rsidR="00942A6A" w:rsidRDefault="00942A6A">
      <w:r>
        <w:separator/>
      </w:r>
    </w:p>
  </w:footnote>
  <w:footnote w:type="continuationSeparator" w:id="0">
    <w:p w14:paraId="46290855" w14:textId="77777777" w:rsidR="00942A6A" w:rsidRDefault="0094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E94B" w14:textId="6B4EDECA" w:rsidR="00214D04" w:rsidRDefault="00214D04">
    <w:pPr>
      <w:pStyle w:val="Header"/>
    </w:pPr>
    <w:r>
      <w:rPr>
        <w:noProof/>
      </w:rPr>
      <w:pict w14:anchorId="1B537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7344" o:spid="_x0000_s1026" type="#_x0000_t136" style="position:absolute;margin-left:0;margin-top:0;width:492.7pt;height:92.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08B0" w14:textId="0E8E4E2B" w:rsidR="00AE72D7" w:rsidRDefault="00214D04">
    <w:pPr>
      <w:pStyle w:val="HeaderFooter"/>
      <w:rPr>
        <w:rFonts w:hint="eastAsia"/>
      </w:rPr>
    </w:pPr>
    <w:r>
      <w:rPr>
        <w:noProof/>
      </w:rPr>
      <w:pict w14:anchorId="5FBA7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7345" o:spid="_x0000_s1027" type="#_x0000_t136" style="position:absolute;margin-left:0;margin-top:0;width:492.7pt;height:92.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C556" w14:textId="1C58DC48" w:rsidR="00214D04" w:rsidRDefault="00214D04">
    <w:pPr>
      <w:pStyle w:val="Header"/>
    </w:pPr>
    <w:r>
      <w:rPr>
        <w:noProof/>
      </w:rPr>
      <w:pict w14:anchorId="7FA5F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7343" o:spid="_x0000_s1025" type="#_x0000_t136" style="position:absolute;margin-left:0;margin-top:0;width:492.7pt;height:92.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7152E"/>
    <w:multiLevelType w:val="multilevel"/>
    <w:tmpl w:val="35F715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769387B"/>
    <w:multiLevelType w:val="multilevel"/>
    <w:tmpl w:val="7769387B"/>
    <w:lvl w:ilvl="0">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59852803">
    <w:abstractNumId w:val="0"/>
  </w:num>
  <w:num w:numId="2" w16cid:durableId="204108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97"/>
    <w:rsid w:val="00047E70"/>
    <w:rsid w:val="00052284"/>
    <w:rsid w:val="000857AD"/>
    <w:rsid w:val="001029BA"/>
    <w:rsid w:val="001A6285"/>
    <w:rsid w:val="001B4600"/>
    <w:rsid w:val="00214D04"/>
    <w:rsid w:val="002C6862"/>
    <w:rsid w:val="002F233F"/>
    <w:rsid w:val="00333D23"/>
    <w:rsid w:val="00373BCB"/>
    <w:rsid w:val="00384C08"/>
    <w:rsid w:val="003D6D31"/>
    <w:rsid w:val="003E3B3C"/>
    <w:rsid w:val="00452297"/>
    <w:rsid w:val="00471E8A"/>
    <w:rsid w:val="004730E1"/>
    <w:rsid w:val="00513EF9"/>
    <w:rsid w:val="005C42E7"/>
    <w:rsid w:val="005E057D"/>
    <w:rsid w:val="005F694F"/>
    <w:rsid w:val="00635C91"/>
    <w:rsid w:val="00672A0B"/>
    <w:rsid w:val="007E5670"/>
    <w:rsid w:val="007F10CE"/>
    <w:rsid w:val="008412CC"/>
    <w:rsid w:val="009207E8"/>
    <w:rsid w:val="00942A6A"/>
    <w:rsid w:val="00987AEC"/>
    <w:rsid w:val="009E6657"/>
    <w:rsid w:val="009E735C"/>
    <w:rsid w:val="00A23C4B"/>
    <w:rsid w:val="00A26EA8"/>
    <w:rsid w:val="00AD5781"/>
    <w:rsid w:val="00AE245B"/>
    <w:rsid w:val="00AE72D7"/>
    <w:rsid w:val="00B00DC7"/>
    <w:rsid w:val="00B362B3"/>
    <w:rsid w:val="00B72060"/>
    <w:rsid w:val="00BA5605"/>
    <w:rsid w:val="00C43BD0"/>
    <w:rsid w:val="00C96E6D"/>
    <w:rsid w:val="00CA38D9"/>
    <w:rsid w:val="00D04126"/>
    <w:rsid w:val="00DE4C08"/>
    <w:rsid w:val="00E104BF"/>
    <w:rsid w:val="00EB4E2F"/>
    <w:rsid w:val="00EF3D4F"/>
    <w:rsid w:val="00F10BC9"/>
    <w:rsid w:val="00F31F3D"/>
    <w:rsid w:val="00F400CB"/>
    <w:rsid w:val="00FE4F11"/>
    <w:rsid w:val="00FF53C8"/>
    <w:rsid w:val="055D6C15"/>
    <w:rsid w:val="39FF063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981016"/>
  <w15:docId w15:val="{85A3C68C-FAC5-4C1B-ABC6-69C8BBA2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u w:color="000000"/>
      <w:lang w:val="en-US"/>
    </w:rPr>
  </w:style>
  <w:style w:type="paragraph" w:styleId="Heading1">
    <w:name w:val="heading 1"/>
    <w:next w:val="Normal"/>
    <w:link w:val="Heading1Char"/>
    <w:uiPriority w:val="9"/>
    <w:qFormat/>
    <w:pPr>
      <w:keepNext/>
      <w:spacing w:before="240" w:after="60"/>
      <w:outlineLvl w:val="0"/>
    </w:pPr>
    <w:rPr>
      <w:rFonts w:ascii="Calibri" w:hAnsi="Calibri" w:cs="Arial Unicode MS"/>
      <w:b/>
      <w:bCs/>
      <w:color w:val="000000"/>
      <w:sz w:val="32"/>
      <w:szCs w:val="32"/>
      <w:u w:color="00000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u w:val="single"/>
    </w:rPr>
  </w:style>
  <w:style w:type="paragraph" w:styleId="NormalWeb">
    <w:name w:val="Normal (Web)"/>
    <w:uiPriority w:val="99"/>
    <w:rPr>
      <w:rFonts w:ascii="Calibri" w:hAnsi="Calibri" w:cs="Arial Unicode MS"/>
      <w:color w:val="000000"/>
      <w:u w:color="000000"/>
      <w:lang w:val="en-US"/>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Arial Unicode MS"/>
      <w:color w:val="000000"/>
      <w:sz w:val="24"/>
      <w:szCs w:val="24"/>
      <w:u w:color="000000"/>
      <w:lang w:val="en-US"/>
    </w:rPr>
  </w:style>
  <w:style w:type="table" w:customStyle="1" w:styleId="TableNormal1">
    <w:name w:val="Table Normal1"/>
    <w:tblPr>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text">
    <w:name w:val="bodytext"/>
    <w:basedOn w:val="Normal"/>
    <w:qFormat/>
    <w:pPr>
      <w:spacing w:before="100" w:beforeAutospacing="1" w:after="100" w:afterAutospacing="1"/>
    </w:pPr>
    <w:rPr>
      <w:rFonts w:ascii="Times New Roman" w:eastAsia="Times New Roman" w:hAnsi="Times New Roman" w:cs="Times New Roman"/>
      <w:color w:val="auto"/>
      <w:sz w:val="24"/>
      <w:szCs w:val="24"/>
      <w:lang w:val="pt-BR"/>
    </w:rPr>
  </w:style>
  <w:style w:type="paragraph" w:styleId="ListParagraph">
    <w:name w:val="List Paragraph"/>
    <w:basedOn w:val="Normal"/>
    <w:uiPriority w:val="34"/>
    <w:qFormat/>
    <w:pPr>
      <w:suppressAutoHyphens/>
      <w:ind w:left="720"/>
      <w:contextualSpacing/>
    </w:pPr>
    <w:rPr>
      <w:rFonts w:ascii="Times New Roman" w:eastAsia="Times New Roman" w:hAnsi="Times New Roman" w:cs="Times New Roman"/>
      <w:color w:val="auto"/>
      <w:sz w:val="24"/>
      <w:szCs w:val="24"/>
      <w:lang w:eastAsia="ar-SA"/>
    </w:rPr>
  </w:style>
  <w:style w:type="character" w:customStyle="1" w:styleId="Heading1Char">
    <w:name w:val="Heading 1 Char"/>
    <w:basedOn w:val="DefaultParagraphFont"/>
    <w:link w:val="Heading1"/>
    <w:uiPriority w:val="9"/>
    <w:qFormat/>
    <w:rPr>
      <w:rFonts w:ascii="Calibri" w:hAnsi="Calibri" w:cs="Arial Unicode MS"/>
      <w:b/>
      <w:bCs/>
      <w:color w:val="000000"/>
      <w:sz w:val="32"/>
      <w:szCs w:val="32"/>
      <w:u w:color="000000"/>
      <w:lang w:val="pt-PT"/>
    </w:rPr>
  </w:style>
  <w:style w:type="character" w:styleId="UnresolvedMention">
    <w:name w:val="Unresolved Mention"/>
    <w:basedOn w:val="DefaultParagraphFont"/>
    <w:uiPriority w:val="99"/>
    <w:semiHidden/>
    <w:unhideWhenUsed/>
    <w:rsid w:val="00C43BD0"/>
    <w:rPr>
      <w:color w:val="605E5C"/>
      <w:shd w:val="clear" w:color="auto" w:fill="E1DFDD"/>
    </w:rPr>
  </w:style>
  <w:style w:type="paragraph" w:styleId="Header">
    <w:name w:val="header"/>
    <w:basedOn w:val="Normal"/>
    <w:link w:val="HeaderChar"/>
    <w:uiPriority w:val="99"/>
    <w:unhideWhenUsed/>
    <w:rsid w:val="00214D04"/>
    <w:pPr>
      <w:tabs>
        <w:tab w:val="center" w:pos="4680"/>
        <w:tab w:val="right" w:pos="9360"/>
      </w:tabs>
    </w:pPr>
  </w:style>
  <w:style w:type="character" w:customStyle="1" w:styleId="HeaderChar">
    <w:name w:val="Header Char"/>
    <w:basedOn w:val="DefaultParagraphFont"/>
    <w:link w:val="Header"/>
    <w:uiPriority w:val="99"/>
    <w:rsid w:val="00214D04"/>
    <w:rPr>
      <w:rFonts w:ascii="Calibri" w:hAnsi="Calibri" w:cs="Arial Unicode MS"/>
      <w:color w:val="000000"/>
      <w:u w:color="000000"/>
      <w:lang w:val="en-US"/>
    </w:rPr>
  </w:style>
  <w:style w:type="paragraph" w:styleId="Footer">
    <w:name w:val="footer"/>
    <w:basedOn w:val="Normal"/>
    <w:link w:val="FooterChar"/>
    <w:uiPriority w:val="99"/>
    <w:unhideWhenUsed/>
    <w:rsid w:val="00214D04"/>
    <w:pPr>
      <w:tabs>
        <w:tab w:val="center" w:pos="4680"/>
        <w:tab w:val="right" w:pos="9360"/>
      </w:tabs>
    </w:pPr>
  </w:style>
  <w:style w:type="character" w:customStyle="1" w:styleId="FooterChar">
    <w:name w:val="Footer Char"/>
    <w:basedOn w:val="DefaultParagraphFont"/>
    <w:link w:val="Footer"/>
    <w:uiPriority w:val="99"/>
    <w:rsid w:val="00214D04"/>
    <w:rPr>
      <w:rFonts w:ascii="Calibri" w:hAnsi="Calibri"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ez89.periodicos.capes.gov.br/10.1042/CS2020089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5208</Words>
  <Characters>29687</Characters>
  <Application>Microsoft Office Word</Application>
  <DocSecurity>0</DocSecurity>
  <Lines>247</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Editor-22</cp:lastModifiedBy>
  <cp:revision>20</cp:revision>
  <dcterms:created xsi:type="dcterms:W3CDTF">2025-06-09T21:21:00Z</dcterms:created>
  <dcterms:modified xsi:type="dcterms:W3CDTF">2025-06-11T09:42:00Z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C15DA5E1D1FA43CFA456587280C8CEF0_12</vt:lpwstr>
  </property>
</Properties>
</file>