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65EE5" w14:textId="77777777" w:rsidR="00754C9A" w:rsidRDefault="00754C9A" w:rsidP="00441B6F">
      <w:pPr>
        <w:pStyle w:val="Title"/>
        <w:spacing w:after="0"/>
        <w:jc w:val="both"/>
        <w:rPr>
          <w:rFonts w:ascii="Arial" w:hAnsi="Arial" w:cs="Arial"/>
        </w:rPr>
      </w:pPr>
    </w:p>
    <w:p w14:paraId="427841D2" w14:textId="54779998" w:rsidR="00A258C3" w:rsidRDefault="000552B0" w:rsidP="008135E5">
      <w:pPr>
        <w:pStyle w:val="Author"/>
        <w:spacing w:line="240" w:lineRule="auto"/>
        <w:rPr>
          <w:rFonts w:ascii="Arial" w:hAnsi="Arial" w:cs="Arial"/>
          <w:bCs/>
          <w:i/>
          <w:kern w:val="28"/>
          <w:sz w:val="36"/>
        </w:rPr>
      </w:pPr>
      <w:bookmarkStart w:id="0" w:name="_Hlk199493505"/>
      <w:r w:rsidRPr="000552B0">
        <w:rPr>
          <w:rFonts w:ascii="Arial" w:hAnsi="Arial" w:cs="Arial"/>
          <w:bCs/>
          <w:i/>
          <w:kern w:val="28"/>
          <w:sz w:val="36"/>
        </w:rPr>
        <w:t>In vitro</w:t>
      </w:r>
      <w:r>
        <w:rPr>
          <w:rFonts w:ascii="Arial" w:hAnsi="Arial" w:cs="Arial"/>
          <w:bCs/>
          <w:iCs/>
          <w:kern w:val="28"/>
          <w:sz w:val="36"/>
        </w:rPr>
        <w:t xml:space="preserve"> e</w:t>
      </w:r>
      <w:r w:rsidR="008135E5" w:rsidRPr="008135E5">
        <w:rPr>
          <w:rFonts w:ascii="Arial" w:hAnsi="Arial" w:cs="Arial"/>
          <w:bCs/>
          <w:iCs/>
          <w:kern w:val="28"/>
          <w:sz w:val="36"/>
        </w:rPr>
        <w:t>fficacy of new generation</w:t>
      </w:r>
      <w:r w:rsidR="008135E5">
        <w:rPr>
          <w:rFonts w:ascii="Arial" w:hAnsi="Arial" w:cs="Arial"/>
          <w:bCs/>
          <w:iCs/>
          <w:kern w:val="28"/>
          <w:sz w:val="36"/>
        </w:rPr>
        <w:t xml:space="preserve"> </w:t>
      </w:r>
      <w:r w:rsidR="008135E5" w:rsidRPr="008135E5">
        <w:rPr>
          <w:rFonts w:ascii="Arial" w:hAnsi="Arial" w:cs="Arial"/>
          <w:bCs/>
          <w:iCs/>
          <w:kern w:val="28"/>
          <w:sz w:val="36"/>
        </w:rPr>
        <w:t xml:space="preserve">fungicides for management </w:t>
      </w:r>
      <w:r w:rsidR="00020B0F">
        <w:rPr>
          <w:rFonts w:ascii="Arial" w:hAnsi="Arial" w:cs="Arial"/>
          <w:bCs/>
          <w:iCs/>
          <w:kern w:val="28"/>
          <w:sz w:val="36"/>
        </w:rPr>
        <w:t>of</w:t>
      </w:r>
      <w:r w:rsidR="008135E5" w:rsidRPr="008135E5">
        <w:rPr>
          <w:rFonts w:ascii="Arial" w:hAnsi="Arial" w:cs="Arial"/>
          <w:bCs/>
          <w:iCs/>
          <w:kern w:val="28"/>
          <w:sz w:val="36"/>
        </w:rPr>
        <w:t xml:space="preserve"> anthracnose of </w:t>
      </w:r>
      <w:proofErr w:type="spellStart"/>
      <w:r w:rsidR="008135E5" w:rsidRPr="008135E5">
        <w:rPr>
          <w:rFonts w:ascii="Arial" w:hAnsi="Arial" w:cs="Arial"/>
          <w:bCs/>
          <w:iCs/>
          <w:kern w:val="28"/>
          <w:sz w:val="36"/>
        </w:rPr>
        <w:t>mungbean</w:t>
      </w:r>
      <w:proofErr w:type="spellEnd"/>
      <w:r w:rsidR="008135E5" w:rsidRPr="008135E5">
        <w:rPr>
          <w:rFonts w:ascii="Arial" w:hAnsi="Arial" w:cs="Arial"/>
          <w:bCs/>
          <w:iCs/>
          <w:kern w:val="28"/>
          <w:sz w:val="36"/>
        </w:rPr>
        <w:t xml:space="preserve"> [</w:t>
      </w:r>
      <w:r w:rsidR="008135E5" w:rsidRPr="008135E5">
        <w:rPr>
          <w:rFonts w:ascii="Arial" w:hAnsi="Arial" w:cs="Arial"/>
          <w:bCs/>
          <w:i/>
          <w:kern w:val="28"/>
          <w:sz w:val="36"/>
        </w:rPr>
        <w:t>Vigna radiata</w:t>
      </w:r>
      <w:r w:rsidR="008135E5" w:rsidRPr="008135E5">
        <w:rPr>
          <w:rFonts w:ascii="Arial" w:hAnsi="Arial" w:cs="Arial"/>
          <w:bCs/>
          <w:iCs/>
          <w:kern w:val="28"/>
          <w:sz w:val="36"/>
        </w:rPr>
        <w:t xml:space="preserve"> (L.) Wilczek] </w:t>
      </w:r>
    </w:p>
    <w:bookmarkEnd w:id="0"/>
    <w:p w14:paraId="052D059E" w14:textId="77777777" w:rsidR="008135E5" w:rsidRPr="00790ADA" w:rsidRDefault="008135E5" w:rsidP="008135E5">
      <w:pPr>
        <w:pStyle w:val="Author"/>
        <w:spacing w:line="240" w:lineRule="auto"/>
        <w:rPr>
          <w:rFonts w:ascii="Arial" w:hAnsi="Arial" w:cs="Arial"/>
          <w:sz w:val="36"/>
        </w:rPr>
      </w:pPr>
    </w:p>
    <w:p w14:paraId="511A4857" w14:textId="77777777" w:rsidR="00536706" w:rsidRDefault="00536706" w:rsidP="00441B6F">
      <w:pPr>
        <w:pStyle w:val="Copyright"/>
        <w:spacing w:after="0" w:line="240" w:lineRule="auto"/>
        <w:jc w:val="both"/>
        <w:rPr>
          <w:rFonts w:ascii="Arial" w:hAnsi="Arial" w:cs="Arial"/>
        </w:rPr>
      </w:pPr>
    </w:p>
    <w:p w14:paraId="18919F9F" w14:textId="77777777" w:rsidR="00F40656" w:rsidRDefault="00F40656" w:rsidP="00441B6F">
      <w:pPr>
        <w:pStyle w:val="Copyright"/>
        <w:spacing w:after="0" w:line="240" w:lineRule="auto"/>
        <w:jc w:val="both"/>
        <w:rPr>
          <w:rFonts w:ascii="Arial" w:hAnsi="Arial" w:cs="Arial"/>
        </w:rPr>
      </w:pPr>
    </w:p>
    <w:p w14:paraId="5E1D17B8" w14:textId="77777777" w:rsidR="00F40656" w:rsidRPr="00FB3A86" w:rsidRDefault="00F40656" w:rsidP="00441B6F">
      <w:pPr>
        <w:pStyle w:val="Copyright"/>
        <w:spacing w:after="0" w:line="240" w:lineRule="auto"/>
        <w:jc w:val="both"/>
        <w:rPr>
          <w:rFonts w:ascii="Arial" w:hAnsi="Arial" w:cs="Arial"/>
        </w:rPr>
        <w:sectPr w:rsidR="00F40656" w:rsidRPr="00FB3A86" w:rsidSect="00F4065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1D23E3A2" w14:textId="154D10A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E0860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F95D9B5" w14:textId="77777777" w:rsidTr="001E44FE">
        <w:tc>
          <w:tcPr>
            <w:tcW w:w="9576" w:type="dxa"/>
            <w:shd w:val="clear" w:color="auto" w:fill="F2F2F2"/>
          </w:tcPr>
          <w:p w14:paraId="4F11F94D" w14:textId="62A6DA52" w:rsidR="00505F06" w:rsidRPr="00BA1B01" w:rsidRDefault="00F87657" w:rsidP="00441B6F">
            <w:pPr>
              <w:pStyle w:val="Body"/>
              <w:spacing w:after="0"/>
              <w:rPr>
                <w:rFonts w:ascii="Arial" w:eastAsia="Calibri" w:hAnsi="Arial" w:cs="Arial"/>
                <w:szCs w:val="22"/>
              </w:rPr>
            </w:pPr>
            <w:r w:rsidRPr="00F87657">
              <w:rPr>
                <w:rFonts w:ascii="Arial" w:eastAsia="Calibri" w:hAnsi="Arial" w:cs="Arial"/>
                <w:szCs w:val="22"/>
              </w:rPr>
              <w:t xml:space="preserve">Biotic stress has been a major constraint in the cultivation for </w:t>
            </w:r>
            <w:proofErr w:type="spellStart"/>
            <w:r w:rsidRPr="00F87657">
              <w:rPr>
                <w:rFonts w:ascii="Arial" w:eastAsia="Calibri" w:hAnsi="Arial" w:cs="Arial"/>
                <w:szCs w:val="22"/>
              </w:rPr>
              <w:t>mungbean</w:t>
            </w:r>
            <w:proofErr w:type="spellEnd"/>
            <w:r w:rsidRPr="00F87657">
              <w:rPr>
                <w:rFonts w:ascii="Arial" w:eastAsia="Calibri" w:hAnsi="Arial" w:cs="Arial"/>
                <w:szCs w:val="22"/>
              </w:rPr>
              <w:t xml:space="preserve"> growers</w:t>
            </w:r>
            <w:r w:rsidR="003C19D7">
              <w:rPr>
                <w:rFonts w:ascii="Arial" w:eastAsia="Calibri" w:hAnsi="Arial" w:cs="Arial"/>
                <w:szCs w:val="22"/>
              </w:rPr>
              <w:t xml:space="preserve"> throughout these years</w:t>
            </w:r>
            <w:r w:rsidRPr="00F87657">
              <w:rPr>
                <w:rFonts w:ascii="Arial" w:eastAsia="Calibri" w:hAnsi="Arial" w:cs="Arial"/>
                <w:szCs w:val="22"/>
              </w:rPr>
              <w:t xml:space="preserve">. </w:t>
            </w:r>
            <w:r w:rsidR="00020B0F" w:rsidRPr="00F87657">
              <w:rPr>
                <w:rFonts w:ascii="Arial" w:eastAsia="Calibri" w:hAnsi="Arial" w:cs="Arial"/>
                <w:i/>
                <w:iCs/>
                <w:szCs w:val="22"/>
                <w:lang w:val="en-IN"/>
              </w:rPr>
              <w:t>Colletot</w:t>
            </w:r>
            <w:r w:rsidR="00020B0F" w:rsidRPr="000C641B">
              <w:rPr>
                <w:rFonts w:ascii="Arial" w:eastAsia="Calibri" w:hAnsi="Arial" w:cs="Arial"/>
                <w:i/>
                <w:iCs/>
                <w:szCs w:val="22"/>
                <w:lang w:val="en-IN"/>
              </w:rPr>
              <w:t>richum</w:t>
            </w:r>
            <w:r w:rsidR="000A490A">
              <w:rPr>
                <w:rFonts w:ascii="Arial" w:eastAsia="Calibri" w:hAnsi="Arial" w:cs="Arial"/>
                <w:i/>
                <w:iCs/>
                <w:szCs w:val="22"/>
                <w:lang w:val="en-IN"/>
              </w:rPr>
              <w:t xml:space="preserve"> </w:t>
            </w:r>
            <w:r w:rsidR="00020B0F" w:rsidRPr="009F4598">
              <w:rPr>
                <w:rFonts w:ascii="Arial" w:eastAsia="Aptos" w:hAnsi="Arial" w:cs="Arial"/>
                <w:kern w:val="2"/>
                <w:lang w:val="en-IN"/>
              </w:rPr>
              <w:t>species complex</w:t>
            </w:r>
            <w:r w:rsidR="000C641B">
              <w:rPr>
                <w:rFonts w:ascii="Arial" w:eastAsia="Aptos" w:hAnsi="Arial" w:cs="Arial"/>
                <w:kern w:val="2"/>
                <w:lang w:val="en-IN"/>
              </w:rPr>
              <w:t xml:space="preserve">, </w:t>
            </w:r>
            <w:r w:rsidR="00020B0F" w:rsidRPr="00020B0F">
              <w:rPr>
                <w:rFonts w:ascii="Arial" w:eastAsia="Calibri" w:hAnsi="Arial" w:cs="Arial"/>
                <w:szCs w:val="22"/>
                <w:lang w:val="en-IN"/>
              </w:rPr>
              <w:t xml:space="preserve">the causative agent of </w:t>
            </w:r>
            <w:r w:rsidR="00020B0F">
              <w:rPr>
                <w:rFonts w:ascii="Arial" w:eastAsia="Calibri" w:hAnsi="Arial" w:cs="Arial"/>
                <w:szCs w:val="22"/>
                <w:lang w:val="en-IN"/>
              </w:rPr>
              <w:t xml:space="preserve">anthracnose in </w:t>
            </w:r>
            <w:proofErr w:type="spellStart"/>
            <w:r w:rsidR="00020B0F">
              <w:rPr>
                <w:rFonts w:ascii="Arial" w:eastAsia="Calibri" w:hAnsi="Arial" w:cs="Arial"/>
                <w:szCs w:val="22"/>
                <w:lang w:val="en-IN"/>
              </w:rPr>
              <w:t>mungbean</w:t>
            </w:r>
            <w:proofErr w:type="spellEnd"/>
            <w:r w:rsidR="00020B0F">
              <w:rPr>
                <w:rFonts w:ascii="Arial" w:eastAsia="Calibri" w:hAnsi="Arial" w:cs="Arial"/>
                <w:szCs w:val="22"/>
                <w:lang w:val="en-IN"/>
              </w:rPr>
              <w:t xml:space="preserve">, </w:t>
            </w:r>
            <w:r w:rsidR="000C641B">
              <w:rPr>
                <w:rFonts w:ascii="Arial" w:eastAsia="Calibri" w:hAnsi="Arial" w:cs="Arial"/>
                <w:szCs w:val="22"/>
                <w:lang w:val="en-IN"/>
              </w:rPr>
              <w:t>results in</w:t>
            </w:r>
            <w:r w:rsidR="00020B0F">
              <w:rPr>
                <w:rFonts w:ascii="Arial" w:eastAsia="Calibri" w:hAnsi="Arial" w:cs="Arial"/>
                <w:szCs w:val="22"/>
                <w:lang w:val="en-IN"/>
              </w:rPr>
              <w:t xml:space="preserve"> severe yield loss mainly in Asia, </w:t>
            </w:r>
            <w:r w:rsidR="00020B0F" w:rsidRPr="009F4598">
              <w:rPr>
                <w:rFonts w:ascii="Arial" w:eastAsia="Aptos" w:hAnsi="Arial" w:cs="Arial"/>
                <w:kern w:val="2"/>
                <w:lang w:val="en-IN"/>
              </w:rPr>
              <w:t>South America, Australi</w:t>
            </w:r>
            <w:r w:rsidR="00553013">
              <w:rPr>
                <w:rFonts w:ascii="Arial" w:eastAsia="Aptos" w:hAnsi="Arial" w:cs="Arial"/>
                <w:kern w:val="2"/>
                <w:lang w:val="en-IN"/>
              </w:rPr>
              <w:t>a</w:t>
            </w:r>
            <w:r w:rsidR="00020B0F" w:rsidRPr="009F4598">
              <w:rPr>
                <w:rFonts w:ascii="Arial" w:eastAsia="Aptos" w:hAnsi="Arial" w:cs="Arial"/>
                <w:kern w:val="2"/>
                <w:lang w:val="en-IN"/>
              </w:rPr>
              <w:t xml:space="preserve"> and Sub-Saharan Africa</w:t>
            </w:r>
            <w:r w:rsidR="00020B0F">
              <w:rPr>
                <w:rFonts w:ascii="Arial" w:eastAsia="Aptos" w:hAnsi="Arial" w:cs="Arial"/>
                <w:kern w:val="2"/>
                <w:lang w:val="en-IN"/>
              </w:rPr>
              <w:t xml:space="preserve">. </w:t>
            </w:r>
            <w:r w:rsidR="000C641B" w:rsidRPr="000C641B">
              <w:rPr>
                <w:rFonts w:ascii="Arial" w:eastAsia="Aptos" w:hAnsi="Arial" w:cs="Arial"/>
                <w:kern w:val="2"/>
                <w:lang w:val="en-IN"/>
              </w:rPr>
              <w:t xml:space="preserve">To address this issue, a methodical </w:t>
            </w:r>
            <w:r>
              <w:rPr>
                <w:rFonts w:ascii="Arial" w:eastAsia="Aptos" w:hAnsi="Arial" w:cs="Arial"/>
                <w:kern w:val="2"/>
                <w:lang w:val="en-IN"/>
              </w:rPr>
              <w:t xml:space="preserve">survey </w:t>
            </w:r>
            <w:r w:rsidR="000C641B" w:rsidRPr="000C641B">
              <w:rPr>
                <w:rFonts w:ascii="Arial" w:eastAsia="Aptos" w:hAnsi="Arial" w:cs="Arial"/>
                <w:kern w:val="2"/>
                <w:lang w:val="en-IN"/>
              </w:rPr>
              <w:t xml:space="preserve">was carried out </w:t>
            </w:r>
            <w:r>
              <w:rPr>
                <w:rFonts w:ascii="Arial" w:eastAsia="Aptos" w:hAnsi="Arial" w:cs="Arial"/>
                <w:kern w:val="2"/>
                <w:lang w:val="en-IN"/>
              </w:rPr>
              <w:t xml:space="preserve">in major </w:t>
            </w:r>
            <w:proofErr w:type="spellStart"/>
            <w:r>
              <w:rPr>
                <w:rFonts w:ascii="Arial" w:eastAsia="Aptos" w:hAnsi="Arial" w:cs="Arial"/>
                <w:kern w:val="2"/>
                <w:lang w:val="en-IN"/>
              </w:rPr>
              <w:t>mungbean</w:t>
            </w:r>
            <w:proofErr w:type="spellEnd"/>
            <w:r>
              <w:rPr>
                <w:rFonts w:ascii="Arial" w:eastAsia="Aptos" w:hAnsi="Arial" w:cs="Arial"/>
                <w:kern w:val="2"/>
                <w:lang w:val="en-IN"/>
              </w:rPr>
              <w:t xml:space="preserve"> growing parts in </w:t>
            </w:r>
            <w:r w:rsidR="000C641B" w:rsidRPr="000C641B">
              <w:rPr>
                <w:rFonts w:ascii="Arial" w:eastAsia="Aptos" w:hAnsi="Arial" w:cs="Arial"/>
                <w:kern w:val="2"/>
                <w:lang w:val="en-IN"/>
              </w:rPr>
              <w:t>Karnataka in 202</w:t>
            </w:r>
            <w:r w:rsidR="000C641B">
              <w:rPr>
                <w:rFonts w:ascii="Arial" w:eastAsia="Aptos" w:hAnsi="Arial" w:cs="Arial"/>
                <w:kern w:val="2"/>
                <w:lang w:val="en-IN"/>
              </w:rPr>
              <w:t xml:space="preserve">3 to </w:t>
            </w:r>
            <w:r w:rsidR="000C641B" w:rsidRPr="000C641B">
              <w:rPr>
                <w:rFonts w:ascii="Arial" w:eastAsia="Aptos" w:hAnsi="Arial" w:cs="Arial"/>
                <w:kern w:val="2"/>
                <w:lang w:val="en-IN"/>
              </w:rPr>
              <w:t>202</w:t>
            </w:r>
            <w:r w:rsidR="000C641B">
              <w:rPr>
                <w:rFonts w:ascii="Arial" w:eastAsia="Aptos" w:hAnsi="Arial" w:cs="Arial"/>
                <w:kern w:val="2"/>
                <w:lang w:val="en-IN"/>
              </w:rPr>
              <w:t>4</w:t>
            </w:r>
            <w:r w:rsidR="000C641B" w:rsidRPr="000C641B">
              <w:rPr>
                <w:rFonts w:ascii="Arial" w:eastAsia="Aptos" w:hAnsi="Arial" w:cs="Arial"/>
                <w:kern w:val="2"/>
                <w:lang w:val="en-IN"/>
              </w:rPr>
              <w:t>.</w:t>
            </w:r>
            <w:r w:rsidR="000C641B">
              <w:rPr>
                <w:rFonts w:ascii="Arial" w:eastAsia="Aptos" w:hAnsi="Arial" w:cs="Arial"/>
                <w:kern w:val="2"/>
                <w:lang w:val="en-IN"/>
              </w:rPr>
              <w:t xml:space="preserve"> In the current study, </w:t>
            </w:r>
            <w:r w:rsidR="000C641B">
              <w:rPr>
                <w:rFonts w:ascii="Arial" w:eastAsia="Calibri" w:hAnsi="Arial" w:cs="Arial"/>
                <w:szCs w:val="22"/>
              </w:rPr>
              <w:t>new generation fungicides such as triazoles, strobilurins and combinations</w:t>
            </w:r>
            <w:r w:rsidR="003C19D7">
              <w:rPr>
                <w:rFonts w:ascii="Arial" w:eastAsia="Calibri" w:hAnsi="Arial" w:cs="Arial"/>
                <w:szCs w:val="22"/>
              </w:rPr>
              <w:t>,</w:t>
            </w:r>
            <w:r w:rsidR="000C641B">
              <w:rPr>
                <w:rFonts w:ascii="Arial" w:eastAsia="Calibri" w:hAnsi="Arial" w:cs="Arial"/>
                <w:szCs w:val="22"/>
              </w:rPr>
              <w:t xml:space="preserve"> at three concentrations </w:t>
            </w:r>
            <w:r w:rsidR="000C641B">
              <w:rPr>
                <w:rFonts w:ascii="Arial" w:eastAsia="Calibri" w:hAnsi="Arial" w:cs="Arial"/>
                <w:i/>
                <w:iCs/>
                <w:szCs w:val="22"/>
              </w:rPr>
              <w:t xml:space="preserve">viz., </w:t>
            </w:r>
            <w:r w:rsidR="000C641B">
              <w:rPr>
                <w:rFonts w:ascii="Arial" w:eastAsia="Calibri" w:hAnsi="Arial" w:cs="Arial"/>
                <w:szCs w:val="22"/>
              </w:rPr>
              <w:t xml:space="preserve">0.10, 0.15 and 0.20 per cent were evaluated </w:t>
            </w:r>
            <w:r w:rsidR="000C641B">
              <w:rPr>
                <w:rFonts w:ascii="Arial" w:eastAsia="Calibri" w:hAnsi="Arial" w:cs="Arial"/>
                <w:i/>
                <w:iCs/>
                <w:szCs w:val="22"/>
              </w:rPr>
              <w:t>in vitro</w:t>
            </w:r>
            <w:r w:rsidR="000C641B">
              <w:rPr>
                <w:rFonts w:ascii="Arial" w:eastAsia="Calibri" w:hAnsi="Arial" w:cs="Arial"/>
                <w:szCs w:val="22"/>
              </w:rPr>
              <w:t xml:space="preserve"> to test the efficacy against the pathogen</w:t>
            </w:r>
            <w:r>
              <w:rPr>
                <w:rFonts w:ascii="Arial" w:eastAsia="Calibri" w:hAnsi="Arial" w:cs="Arial"/>
                <w:szCs w:val="22"/>
              </w:rPr>
              <w:t xml:space="preserve"> using poison food technique. Among the eight fungicides tested, </w:t>
            </w:r>
            <w:r w:rsidRPr="002B3FDB">
              <w:rPr>
                <w:rFonts w:ascii="Arial" w:eastAsia="Aptos" w:hAnsi="Arial" w:cs="Arial"/>
                <w:kern w:val="2"/>
                <w:lang w:val="en-IN"/>
              </w:rPr>
              <w:t>Propiconazole 25% EC</w:t>
            </w:r>
            <w:r>
              <w:rPr>
                <w:rFonts w:ascii="Arial" w:eastAsia="Aptos" w:hAnsi="Arial" w:cs="Arial"/>
                <w:kern w:val="2"/>
                <w:lang w:val="en-IN"/>
              </w:rPr>
              <w:t>,</w:t>
            </w:r>
            <w:r w:rsidRPr="002B3FDB">
              <w:rPr>
                <w:rFonts w:ascii="Arial" w:eastAsia="Aptos" w:hAnsi="Arial" w:cs="Arial"/>
                <w:kern w:val="2"/>
                <w:lang w:val="en-IN"/>
              </w:rPr>
              <w:t xml:space="preserve">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and Tricyclazole 18 % + Mancozeb 62 % WP</w:t>
            </w:r>
            <w:r>
              <w:rPr>
                <w:rFonts w:ascii="Arial" w:eastAsia="Aptos" w:hAnsi="Arial" w:cs="Arial"/>
                <w:kern w:val="2"/>
                <w:lang w:val="en-IN"/>
              </w:rPr>
              <w:t xml:space="preserve"> showed cent per cent inhibition in the pathogen mycelium growth at all three </w:t>
            </w:r>
            <w:r w:rsidR="003C19D7">
              <w:rPr>
                <w:rFonts w:ascii="Arial" w:eastAsia="Aptos" w:hAnsi="Arial" w:cs="Arial"/>
                <w:kern w:val="2"/>
                <w:lang w:val="en-IN"/>
              </w:rPr>
              <w:t>concentrations</w:t>
            </w:r>
            <w:r>
              <w:rPr>
                <w:rFonts w:ascii="Arial" w:eastAsia="Aptos" w:hAnsi="Arial" w:cs="Arial"/>
                <w:kern w:val="2"/>
                <w:lang w:val="en-IN"/>
              </w:rPr>
              <w:t>.</w:t>
            </w:r>
            <w:r w:rsidR="003C19D7">
              <w:rPr>
                <w:rFonts w:ascii="Arial" w:eastAsia="Aptos" w:hAnsi="Arial" w:cs="Arial"/>
                <w:kern w:val="2"/>
                <w:lang w:val="en-IN"/>
              </w:rPr>
              <w:t xml:space="preserve"> </w:t>
            </w:r>
            <w:r w:rsidR="003C19D7" w:rsidRPr="002B3FDB">
              <w:rPr>
                <w:rFonts w:ascii="Arial" w:hAnsi="Arial" w:cs="Arial"/>
              </w:rPr>
              <w:t xml:space="preserve">Fluxapyroxad 21.26 % + </w:t>
            </w:r>
            <w:proofErr w:type="spellStart"/>
            <w:r w:rsidR="003C19D7" w:rsidRPr="002B3FDB">
              <w:rPr>
                <w:rFonts w:ascii="Arial" w:hAnsi="Arial" w:cs="Arial"/>
              </w:rPr>
              <w:t>Pyraclostrobin</w:t>
            </w:r>
            <w:proofErr w:type="spellEnd"/>
            <w:r w:rsidR="003C19D7" w:rsidRPr="002B3FDB">
              <w:rPr>
                <w:rFonts w:ascii="Arial" w:hAnsi="Arial" w:cs="Arial"/>
              </w:rPr>
              <w:t xml:space="preserve"> 21.26 % SC</w:t>
            </w:r>
            <w:r>
              <w:rPr>
                <w:rFonts w:ascii="Arial" w:eastAsia="Aptos" w:hAnsi="Arial" w:cs="Arial"/>
                <w:kern w:val="2"/>
                <w:lang w:val="en-IN"/>
              </w:rPr>
              <w:t xml:space="preserve"> </w:t>
            </w:r>
            <w:r w:rsidR="003C19D7">
              <w:rPr>
                <w:rFonts w:ascii="Arial" w:eastAsia="Aptos" w:hAnsi="Arial" w:cs="Arial"/>
                <w:kern w:val="2"/>
                <w:lang w:val="en-IN"/>
              </w:rPr>
              <w:t xml:space="preserve">showed cent per cent inhibition at 0.15 and 0.20 per cent concentration. </w:t>
            </w:r>
            <w:r>
              <w:rPr>
                <w:rFonts w:ascii="Arial" w:eastAsia="Aptos" w:hAnsi="Arial" w:cs="Arial"/>
                <w:kern w:val="2"/>
                <w:lang w:val="en-IN"/>
              </w:rPr>
              <w:t xml:space="preserve">The least efficacy was showed by </w:t>
            </w:r>
            <w:r w:rsidRPr="002B3FDB">
              <w:rPr>
                <w:rFonts w:ascii="Arial" w:hAnsi="Arial" w:cs="Arial"/>
              </w:rPr>
              <w:t>Azoxystrobin 23% SC</w:t>
            </w:r>
            <w:r>
              <w:rPr>
                <w:rFonts w:ascii="Arial" w:hAnsi="Arial" w:cs="Arial"/>
              </w:rPr>
              <w:t xml:space="preserve"> with 49.75 per cent mean inhibition. </w:t>
            </w:r>
            <w:r w:rsidR="00085991" w:rsidRPr="00062194">
              <w:rPr>
                <w:rFonts w:ascii="Arial" w:eastAsia="Aptos" w:hAnsi="Arial" w:cs="Arial"/>
                <w:kern w:val="2"/>
                <w:lang w:val="en-IN"/>
              </w:rPr>
              <w:t xml:space="preserve">However, </w:t>
            </w:r>
            <w:r w:rsidR="000C641B">
              <w:rPr>
                <w:rFonts w:ascii="Arial" w:eastAsia="Aptos" w:hAnsi="Arial" w:cs="Arial"/>
                <w:kern w:val="2"/>
                <w:lang w:val="en-IN"/>
              </w:rPr>
              <w:t>t</w:t>
            </w:r>
            <w:r w:rsidR="00085991">
              <w:rPr>
                <w:rFonts w:ascii="Arial" w:eastAsia="Aptos" w:hAnsi="Arial" w:cs="Arial"/>
                <w:kern w:val="2"/>
                <w:lang w:val="en-IN"/>
              </w:rPr>
              <w:t>he</w:t>
            </w:r>
            <w:r w:rsidR="00085991" w:rsidRPr="00062194">
              <w:rPr>
                <w:rFonts w:ascii="Arial" w:eastAsia="Aptos" w:hAnsi="Arial" w:cs="Arial"/>
                <w:kern w:val="2"/>
                <w:lang w:val="en-IN"/>
              </w:rPr>
              <w:t xml:space="preserve"> targeted mechanism of action</w:t>
            </w:r>
            <w:r w:rsidR="00085991">
              <w:rPr>
                <w:rFonts w:ascii="Arial" w:eastAsia="Aptos" w:hAnsi="Arial" w:cs="Arial"/>
                <w:kern w:val="2"/>
                <w:lang w:val="en-IN"/>
              </w:rPr>
              <w:t xml:space="preserve"> in case of single systemic fungicides</w:t>
            </w:r>
            <w:r w:rsidR="00F17836">
              <w:rPr>
                <w:rFonts w:ascii="Arial" w:eastAsia="Aptos" w:hAnsi="Arial" w:cs="Arial"/>
                <w:kern w:val="2"/>
                <w:lang w:val="en-IN"/>
              </w:rPr>
              <w:t xml:space="preserve"> </w:t>
            </w:r>
            <w:r w:rsidR="00085991" w:rsidRPr="00062194">
              <w:rPr>
                <w:rFonts w:ascii="Arial" w:eastAsia="Aptos" w:hAnsi="Arial" w:cs="Arial"/>
                <w:kern w:val="2"/>
                <w:lang w:val="en-IN"/>
              </w:rPr>
              <w:t>increases the likelihood of resistance evolution in pathogen populations</w:t>
            </w:r>
            <w:r w:rsidR="00085991">
              <w:rPr>
                <w:rFonts w:ascii="Arial" w:eastAsia="Aptos" w:hAnsi="Arial" w:cs="Arial"/>
                <w:kern w:val="2"/>
                <w:lang w:val="en-IN"/>
              </w:rPr>
              <w:t xml:space="preserve"> by mutations and adaptive selection</w:t>
            </w:r>
            <w:r w:rsidR="00085991" w:rsidRPr="00062194">
              <w:rPr>
                <w:rFonts w:ascii="Arial" w:eastAsia="Aptos" w:hAnsi="Arial" w:cs="Arial"/>
                <w:kern w:val="2"/>
                <w:lang w:val="en-IN"/>
              </w:rPr>
              <w:t>.</w:t>
            </w:r>
            <w:r w:rsidR="00085991">
              <w:rPr>
                <w:rFonts w:ascii="Arial" w:eastAsia="Aptos" w:hAnsi="Arial" w:cs="Arial"/>
                <w:kern w:val="2"/>
                <w:lang w:val="en-IN"/>
              </w:rPr>
              <w:t xml:space="preserve"> The c</w:t>
            </w:r>
            <w:r w:rsidR="00085991" w:rsidRPr="00062194">
              <w:rPr>
                <w:rFonts w:ascii="Arial" w:eastAsia="Aptos" w:hAnsi="Arial" w:cs="Arial"/>
                <w:kern w:val="2"/>
                <w:lang w:val="en-IN"/>
              </w:rPr>
              <w:t>ombination fungicides will offer more effective control by targeting multiple biochemical pathways in the pathogen.</w:t>
            </w:r>
            <w:r w:rsidR="003C19D7">
              <w:rPr>
                <w:rFonts w:ascii="Arial" w:eastAsia="Aptos" w:hAnsi="Arial" w:cs="Arial"/>
                <w:kern w:val="2"/>
                <w:lang w:val="en-IN"/>
              </w:rPr>
              <w:t xml:space="preserve"> Hence, it will be better for farmers to adopt combination fungicides such as </w:t>
            </w:r>
            <w:r w:rsidR="003C19D7" w:rsidRPr="002B3FDB">
              <w:rPr>
                <w:rFonts w:ascii="Arial" w:eastAsia="Aptos" w:hAnsi="Arial" w:cs="Arial"/>
                <w:kern w:val="2"/>
                <w:lang w:val="en-IN"/>
              </w:rPr>
              <w:t xml:space="preserve">Carbendazim 12% + Mancozeb 63% WP, Tebuconazole 50% + </w:t>
            </w:r>
            <w:proofErr w:type="spellStart"/>
            <w:r w:rsidR="003C19D7" w:rsidRPr="002B3FDB">
              <w:rPr>
                <w:rFonts w:ascii="Arial" w:eastAsia="Aptos" w:hAnsi="Arial" w:cs="Arial"/>
                <w:kern w:val="2"/>
                <w:lang w:val="en-IN"/>
              </w:rPr>
              <w:t>Trifloxystrobin</w:t>
            </w:r>
            <w:proofErr w:type="spellEnd"/>
            <w:r w:rsidR="003C19D7" w:rsidRPr="002B3FDB">
              <w:rPr>
                <w:rFonts w:ascii="Arial" w:eastAsia="Aptos" w:hAnsi="Arial" w:cs="Arial"/>
                <w:kern w:val="2"/>
                <w:lang w:val="en-IN"/>
              </w:rPr>
              <w:t xml:space="preserve"> 25% WG and Tricyclazole 18 % + Mancozeb 62 % WP</w:t>
            </w:r>
            <w:r w:rsidR="003C19D7">
              <w:rPr>
                <w:rFonts w:ascii="Arial" w:eastAsia="Aptos" w:hAnsi="Arial" w:cs="Arial"/>
                <w:kern w:val="2"/>
                <w:lang w:val="en-IN"/>
              </w:rPr>
              <w:t xml:space="preserve"> which showed cent per cent inhibition in this study. </w:t>
            </w:r>
            <w:r w:rsidR="003C19D7" w:rsidRPr="003C19D7">
              <w:rPr>
                <w:rFonts w:ascii="Arial" w:eastAsia="Aptos" w:hAnsi="Arial" w:cs="Arial"/>
                <w:kern w:val="2"/>
                <w:lang w:val="en-IN"/>
              </w:rPr>
              <w:t xml:space="preserve">Their dual mode of action, which not only improves </w:t>
            </w:r>
            <w:r w:rsidR="003C19D7">
              <w:rPr>
                <w:rFonts w:ascii="Arial" w:eastAsia="Aptos" w:hAnsi="Arial" w:cs="Arial"/>
                <w:kern w:val="2"/>
                <w:lang w:val="en-IN"/>
              </w:rPr>
              <w:t>disease</w:t>
            </w:r>
            <w:r w:rsidR="003C19D7" w:rsidRPr="003C19D7">
              <w:rPr>
                <w:rFonts w:ascii="Arial" w:eastAsia="Aptos" w:hAnsi="Arial" w:cs="Arial"/>
                <w:kern w:val="2"/>
                <w:lang w:val="en-IN"/>
              </w:rPr>
              <w:t xml:space="preserve"> suppression but also reduces the likelihood of resistance development, makes them a more reliable and effective option for long-term disease</w:t>
            </w:r>
            <w:r w:rsidR="003C19D7">
              <w:rPr>
                <w:rFonts w:ascii="Arial" w:eastAsia="Aptos" w:hAnsi="Arial" w:cs="Arial"/>
                <w:kern w:val="2"/>
                <w:lang w:val="en-IN"/>
              </w:rPr>
              <w:t xml:space="preserve"> management</w:t>
            </w:r>
            <w:r w:rsidR="003C19D7" w:rsidRPr="003C19D7">
              <w:rPr>
                <w:rFonts w:ascii="Arial" w:eastAsia="Aptos" w:hAnsi="Arial" w:cs="Arial"/>
                <w:kern w:val="2"/>
                <w:lang w:val="en-IN"/>
              </w:rPr>
              <w:t xml:space="preserve">. </w:t>
            </w:r>
          </w:p>
        </w:tc>
      </w:tr>
    </w:tbl>
    <w:p w14:paraId="32CDF3AF" w14:textId="77777777" w:rsidR="00636EB2" w:rsidRDefault="00636EB2" w:rsidP="00441B6F">
      <w:pPr>
        <w:pStyle w:val="Body"/>
        <w:spacing w:after="0"/>
        <w:rPr>
          <w:rFonts w:ascii="Arial" w:hAnsi="Arial" w:cs="Arial"/>
          <w:i/>
        </w:rPr>
      </w:pPr>
    </w:p>
    <w:p w14:paraId="220A4F07" w14:textId="2D8DC398" w:rsidR="00A24E7E" w:rsidRDefault="00A24E7E" w:rsidP="00441B6F">
      <w:pPr>
        <w:pStyle w:val="Body"/>
        <w:spacing w:after="0"/>
        <w:rPr>
          <w:rFonts w:ascii="Arial" w:hAnsi="Arial" w:cs="Arial"/>
          <w:i/>
        </w:rPr>
      </w:pPr>
      <w:r>
        <w:rPr>
          <w:rFonts w:ascii="Arial" w:hAnsi="Arial" w:cs="Arial"/>
          <w:i/>
        </w:rPr>
        <w:t xml:space="preserve">Keywords: </w:t>
      </w:r>
      <w:proofErr w:type="spellStart"/>
      <w:r w:rsidR="00037BDF">
        <w:rPr>
          <w:rFonts w:ascii="Arial" w:hAnsi="Arial" w:cs="Arial"/>
          <w:i/>
        </w:rPr>
        <w:t>Mungbean</w:t>
      </w:r>
      <w:proofErr w:type="spellEnd"/>
      <w:r w:rsidR="00037BDF">
        <w:rPr>
          <w:rFonts w:ascii="Arial" w:hAnsi="Arial" w:cs="Arial"/>
          <w:i/>
        </w:rPr>
        <w:t xml:space="preserve">; anthracnose; Colletotrichum </w:t>
      </w:r>
      <w:r w:rsidR="00F17836">
        <w:rPr>
          <w:rFonts w:ascii="Arial" w:hAnsi="Arial" w:cs="Arial"/>
          <w:iCs/>
        </w:rPr>
        <w:t>spp.</w:t>
      </w:r>
      <w:r w:rsidR="00037BDF">
        <w:rPr>
          <w:rFonts w:ascii="Arial" w:hAnsi="Arial" w:cs="Arial"/>
          <w:i/>
        </w:rPr>
        <w:t>; fungicides, inhibition; management.</w:t>
      </w:r>
    </w:p>
    <w:p w14:paraId="5E639392" w14:textId="77777777" w:rsidR="0024282C" w:rsidRDefault="0024282C" w:rsidP="00441B6F">
      <w:pPr>
        <w:pStyle w:val="Body"/>
        <w:spacing w:after="0"/>
        <w:rPr>
          <w:rFonts w:ascii="Arial" w:hAnsi="Arial" w:cs="Arial"/>
          <w:i/>
          <w:sz w:val="18"/>
        </w:rPr>
      </w:pPr>
    </w:p>
    <w:p w14:paraId="2D212E65" w14:textId="77777777" w:rsidR="00505F06" w:rsidRPr="00A24E7E" w:rsidRDefault="00505F06" w:rsidP="00441B6F">
      <w:pPr>
        <w:pStyle w:val="Body"/>
        <w:spacing w:after="0"/>
        <w:rPr>
          <w:rFonts w:ascii="Arial" w:hAnsi="Arial" w:cs="Arial"/>
          <w:i/>
        </w:rPr>
      </w:pPr>
    </w:p>
    <w:p w14:paraId="6CFD90CF" w14:textId="2D8966B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6A95746" w14:textId="77777777" w:rsidR="00790ADA" w:rsidRPr="00FB3A86" w:rsidRDefault="00790ADA" w:rsidP="00441B6F">
      <w:pPr>
        <w:pStyle w:val="AbstHead"/>
        <w:spacing w:after="0"/>
        <w:jc w:val="both"/>
        <w:rPr>
          <w:rFonts w:ascii="Arial" w:hAnsi="Arial" w:cs="Arial"/>
        </w:rPr>
      </w:pPr>
    </w:p>
    <w:p w14:paraId="055CAE78" w14:textId="1D5D89AB" w:rsidR="009F4598" w:rsidRPr="009F4598" w:rsidRDefault="009F4598" w:rsidP="009F4598">
      <w:pPr>
        <w:spacing w:after="160"/>
        <w:jc w:val="both"/>
        <w:rPr>
          <w:rFonts w:ascii="Arial" w:eastAsia="Aptos" w:hAnsi="Arial" w:cs="Arial"/>
          <w:kern w:val="2"/>
          <w:lang w:val="en-IN"/>
        </w:rPr>
      </w:pPr>
      <w:bookmarkStart w:id="1" w:name="_Hlk199419989"/>
      <w:r w:rsidRPr="009F4598">
        <w:rPr>
          <w:rFonts w:ascii="Arial" w:eastAsia="Aptos" w:hAnsi="Arial" w:cs="Arial"/>
          <w:kern w:val="2"/>
          <w:lang w:val="en-IN"/>
        </w:rPr>
        <w:t xml:space="preserve">Pulses, often referred to as "poor man's meat" or "rich man's vegetable," are crucial to human nutrition.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w:t>
      </w:r>
      <w:r w:rsidRPr="009F4598">
        <w:rPr>
          <w:rFonts w:ascii="Arial" w:eastAsia="Aptos" w:hAnsi="Arial" w:cs="Arial"/>
          <w:i/>
          <w:iCs/>
          <w:kern w:val="2"/>
          <w:lang w:val="en-IN"/>
        </w:rPr>
        <w:t>Vigna radiata</w:t>
      </w:r>
      <w:r w:rsidRPr="009F4598">
        <w:rPr>
          <w:rFonts w:ascii="Arial" w:eastAsia="Aptos" w:hAnsi="Arial" w:cs="Arial"/>
          <w:kern w:val="2"/>
          <w:lang w:val="en-IN"/>
        </w:rPr>
        <w:t xml:space="preserve"> [L.] R. Wilczek var. </w:t>
      </w:r>
      <w:r w:rsidRPr="009F4598">
        <w:rPr>
          <w:rFonts w:ascii="Arial" w:eastAsia="Aptos" w:hAnsi="Arial" w:cs="Arial"/>
          <w:i/>
          <w:iCs/>
          <w:kern w:val="2"/>
          <w:lang w:val="en-IN"/>
        </w:rPr>
        <w:t>radiata),</w:t>
      </w:r>
      <w:r w:rsidRPr="009F4598">
        <w:rPr>
          <w:rFonts w:ascii="Arial" w:eastAsia="Aptos" w:hAnsi="Arial" w:cs="Arial"/>
          <w:kern w:val="2"/>
          <w:lang w:val="en-IN"/>
        </w:rPr>
        <w:t xml:space="preserve"> is the primary crop in cereal-based farming systems in South America, Australia, Asia, and Sub-Saharan Africa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dWAKFI5I","properties":{"formattedCitation":"[1\\uc0\\u8211{}3]","plainCitation":"[1–3]","noteIndex":0},"citationItems":[{"id":565,"uris":["http://zotero.org/users/local/5ucmndSA/items/3CIU9N7L"],"itemData":{"id":565,"type":"article-journal","abstract":"Anthracnose is a prevalent disease of mungbean in Asian countries and Sub-Saharan Africa. It is caused by multiple Colletotrichum species. The high levels of anthracnose resistance in mungbean have not been studied in depth in India, but genetic resistance is desired. In this study, we identified the causal agent of mungbean anthracnose in two regions of India as Colletotrichum truncatum through morphological and molecular methods. A set of 296 mungbean mini-core accessions developed by WorldVeg was screened under a natural disease pressure from July to September (kharif season) in 2016, 2017, and 2018 in Hyderabad (a hot spot for anthracnose) to identify anthracnose resistance. Based on disease severity scores, 22 accessions were consistently anthracnose resistant under the categories of immune, highly resistant, and resistant with scores ranging from ≥1.0 to ≤3.0 during the period of study. Furthermore, based on the agronomic performance, anthracnose resistance in Hyderabad, and other desirable traits, a subset of 74 mungbean accessions was selected from 296 mini-core accessions. These accessions were evaluated under natural disease pressure from July to September in 2018 and 2019 in Palampur (another hot spot for anthracnose) to determine the variation in anthracnose resistance. Out of the 74 accessions, two accessions were resistant in 2018; in 2019, one was immune, nine were highly resistant, and 15 were resistant. Combined analysis of variance of 65 accessions common in Hyderabad and Palampur revealed highly significant effects of environment, genotype (accessions), and genotype × environment interaction on the disease severity. The combined GGE biplot analysis of data across years and locations confirmed that the seven accessions MC-24, MC-51, MC-75, MC-127, MC-207, MC-208, and MC-292 were resistant during 2016 to 2018 in Hyderabad, and only in 2019 in Palampur, and the same accessions were moderately resistant in 2018 in Palampur. The seven resistant accessions identified from both test locations could be used as potential donors in the anthracnose resistance breeding program.\n            [Formula: see text] Copyright © 2021 The Author(s). This is an open access article distributed under the CC BY-NC-ND 4.0 International license .","container-title":"Plant Disease","DOI":"10.1094/PDIS-12-20-2722-RE","ISSN":"0191-2917, 1943-7692","issue":"7","journalAbbreviation":"Plant Disease","language":"en","page":"2001-2010","source":"DOI.org (Crossref)","title":"Field-Relevant New Sources of Resistance to Anthracnose Caused by &lt;i&gt;Colletotrichum truncatum&lt;/i&gt; in a Mungbean Mini-Core Collection","volume":"105","author":[{"family":"Pandey","given":"Abhay K."},{"family":"Basandrai","given":"Ashwani K."},{"family":"Basandrai","given":"Daisy"},{"family":"Boddepalli","given":"Venkata Naresh"},{"family":"Rathore","given":"Abhishek"},{"family":"Adapala","given":"Gopikrishna"},{"family":"Nair","given":"Ramakrishnan M."}],"issued":{"date-parts":[["2021",7,1]]}}},{"id":561,"uris":["http://zotero.org/users/local/5ucmndSA/items/4GJHI2PL"],"itemData":{"id":561,"type":"article-journal","container-title":"Frontiers in Plant Science","DOI":"10.3389/fpls.2019.01340","ISSN":"1664-462X","journalAbbreviation":"Front. Plant Sci.","page":"1340","source":"DOI.org (Crossref)","title":"Biotic and Abiotic Constraints in Mungbean Production—Progress in Genetic Improvement","volume":"10","author":[{"family":"Nair","given":"Ramakrishnan M."},{"family":"Pandey","given":"Abhay K."},{"family":"War","given":"Abdul R."},{"family":"Hanumantharao","given":"Bindumadhava"},{"family":"Shwe","given":"Tun"},{"family":"Alam","given":"Akmm"},{"family":"Pratap","given":"Aditya"},{"family":"Malik","given":"Shahid R."},{"family":"Karimi","given":"Rael"},{"family":"Mbeyagala","given":"Emmanuel K."},{"family":"Douglas","given":"Colin A."},{"family":"Rane","given":"Jagadish"},{"family":"Schafleitner","given":"Roland"}],"issued":{"date-parts":[["2019",10,25]]}}},{"id":563,"uris":["http://zotero.org/users/local/5ucmndSA/items/26WIKK7N"],"itemData":{"id":563,"type":"article-journal","abstract":"Mungbean (Vigna radiata L. Wilczek var. radiata) is an important food crop cultivated on over 6 Mha throughout the world. Its short duration of 55–70 days, capacity to fix atmospheric nitrogen, and exceptional grain nutritional profile makes the crop a staple for smallholder and subsistence farmers. In Australia, mungbean is grown as a high-value export crop and established as a main summer rotation for dryland farmers. A major threat to the integrity of the industry is halo blight, a bacterial disease leading to necrotic lesions surrounded by a chlorotic halo that stunts and ultimately kills the plant. Caused by Pseudomonas savastanoi pv. phaseolicola, this seed-borne disease is extremely difficult to control, resulting in significant yield loss and production volatility. The challenge of managing halo blight is exacerbated by a wide host range that includes many legume and weed species, and the presence of multiple epidemiologically significant strains. Molecular technologies could play a pivotal role in addressing these issues. This review synthesises current and emerging technologies to develop improved management strategies for the control of halo blight in mungbean.","container-title":"Crop and Pasture Science","DOI":"10.1071/CP18541","ISSN":"1836-0947","issue":"3","journalAbbreviation":"Crop Pasture Sci.","language":"en","page":"195","source":"DOI.org (Crossref)","title":"Diagnosis and management of halo blight in Australian mungbeans: a review","title-short":"Diagnosis and management of halo blight in Australian mungbeans","volume":"70","author":[{"family":"Noble","given":"Thomas J."},{"family":"Young","given":"Anthony J."},{"family":"Douglas","given":"Colin A."},{"family":"Williams","given":"Brett"},{"family":"Mundree","given":"Sagadevan"}],"issued":{"date-parts":[["2019"]]}}}],"schema":"https://github.com/citation-style-language/schema/raw/master/csl-citation.json"}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lang w:val="en-IN"/>
        </w:rPr>
        <w:t>[1–3]</w:t>
      </w:r>
      <w:r w:rsidRPr="009F4598">
        <w:rPr>
          <w:rFonts w:ascii="Arial" w:eastAsia="Aptos" w:hAnsi="Arial" w:cs="Arial"/>
          <w:kern w:val="2"/>
          <w:lang w:val="en-IN"/>
        </w:rPr>
        <w:fldChar w:fldCharType="end"/>
      </w:r>
      <w:r w:rsidRPr="009F4598">
        <w:rPr>
          <w:rFonts w:ascii="Arial" w:eastAsia="Aptos" w:hAnsi="Arial" w:cs="Arial"/>
          <w:kern w:val="2"/>
          <w:lang w:val="en-IN"/>
        </w:rPr>
        <w:t>.</w:t>
      </w:r>
      <w:bookmarkEnd w:id="1"/>
      <w:r w:rsidRPr="009F4598">
        <w:rPr>
          <w:rFonts w:ascii="Arial" w:eastAsia="Aptos" w:hAnsi="Arial" w:cs="Arial"/>
          <w:kern w:val="2"/>
          <w:lang w:val="en-IN"/>
        </w:rPr>
        <w:t xml:space="preserve"> Due to its high nutritional content, it is often referred to as a "Golden Bean." As one of the most abundant plant-based protein sources in the world,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dal is hailed as a superfood. In addition to having hepatoprotective and immunomodulatory properties, it has been shown to reduce hyperglycaemia, hyperlipemia and hypertension and to prevent cancer and melanogenesis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{"citationID":"7Nm7IB2q","properties":{"formattedCitation":"[4]","plainCitation":"[4]","noteIndex":0},"citationItems":[{"id":567,"uris":["http://zotero.org/users/local/5ucmndSA/items/RLM9FANF"],"itemData":{"id":567,"type":"article-journal","abstract":"Mung bean (Vigna radiata L.) is an important pulse consumed all over the world, especially in Asian countries, and has a long history of usage as traditional medicine. It has been known to be an excellent source of protein, dietary fiber, minerals, vitamins, and significant amounts of bioactive compounds, including polyphenols, polysaccharides, and peptides, therefore, becoming a popular functional food in promoting good health. The mung bean has been documented to ameliorate hyperglycemia, hyperlipemia, and hypertension, and prevent cancer and melanogenesis, as well as possess hepatoprotective and immunomodulatory activities. These health benefits derive primarily from the concentration and properties of those active compounds present in the mung bean. Vitexin and isovitexin are identified as the major polyphenols, and peptides containing hydrophobic amino acid residues with small molecular weight show higher bioactivity in the mung bean. Considering the recent surge in interest in the use of grain legumes, we hope this review will provide a blueprint to better utilize the mung bean in food products to improve human nutrition and further encourage advancement in this field.","container-title":"Nutrients","DOI":"10.3390/nu11061238","ISSN":"2072-6643","issue":"6","journalAbbreviation":"Nutrients","language":"en","license":"https://creativecommons.org/licenses/by/4.0/","page":"1238","source":"DOI.org (Crossref)","title":"Mung Bean (Vigna radiata L.): Bioactive Polyphenols, Polysaccharides, Peptides, and Health Benefits","title-short":"Mung Bean (Vigna radiata L.)","volume":"11","author":[{"family":"Hou","given":"Dianzhi"},{"family":"Yousaf","given":"Laraib"},{"family":"Xue","given":"Yong"},{"family":"Hu","given":"Jinrong"},{"family":"Wu","given":"Jihong"},{"family":"Hu","given":"Xiaosong"},{"family":"Feng","given":"Naihong"},{"family":"Shen","given":"Qun"}],"issued":{"date-parts":[["2019",5,31]]}}}],"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[4]</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With an average productivity of 0.5 t/ha, South Asia accounts for 90% of global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production, with India being the region's major producer, producing 1.5 to </w:t>
      </w:r>
      <w:r w:rsidR="00C453D2">
        <w:rPr>
          <w:rFonts w:ascii="Arial" w:eastAsia="Aptos" w:hAnsi="Arial" w:cs="Arial"/>
          <w:kern w:val="2"/>
          <w:lang w:val="en-IN"/>
        </w:rPr>
        <w:t>2</w:t>
      </w:r>
      <w:r w:rsidRPr="009F4598">
        <w:rPr>
          <w:rFonts w:ascii="Arial" w:eastAsia="Aptos" w:hAnsi="Arial" w:cs="Arial"/>
          <w:kern w:val="2"/>
          <w:lang w:val="en-IN"/>
        </w:rPr>
        <w:t xml:space="preserve"> million tonnes from 3</w:t>
      </w:r>
      <w:r w:rsidR="00C453D2">
        <w:rPr>
          <w:rFonts w:ascii="Arial" w:eastAsia="Aptos" w:hAnsi="Arial" w:cs="Arial"/>
          <w:kern w:val="2"/>
          <w:lang w:val="en-IN"/>
        </w:rPr>
        <w:t xml:space="preserve"> to </w:t>
      </w:r>
      <w:r w:rsidRPr="009F4598">
        <w:rPr>
          <w:rFonts w:ascii="Arial" w:eastAsia="Aptos" w:hAnsi="Arial" w:cs="Arial"/>
          <w:kern w:val="2"/>
          <w:lang w:val="en-IN"/>
        </w:rPr>
        <w:t xml:space="preserve">4 million hectares yearly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{"citationID":"FOoHe3JB","properties":{"formattedCitation":"[5]","plainCitation":"[5]","noteIndex":0},"citationItems":[{"id":569,"uris":["http://zotero.org/users/local/5ucmndSA/items/GDLS66IN"],"itemData":{"id":569,"type":"chapter","container-title":"The Mungbean Genome","event-place":"Cham","ISBN":"978-3-030-20007-7","language":"en","note":"collection-title: Compendium of Plant Genomes\nDOI: 10.1007/978-3-030-20008-4_5","page":"55-80","publisher":"Springer International Publishing","publisher-place":"Cham","source":"DOI.org (Crossref)","title":"Breeding Progress and Future Challenges: Biotic Stresses","title-short":"Breeding Progress and Future Challenges","URL":"http://link.springer.com/10.1007/978-3-030-20008-4_5","editor":[{"family":"Nair","given":"Ramakrishnan M."},{"family":"Schafleitner","given":"Roland"},{"family":"Lee","given":"Suk-Ha"}],"author":[{"family":"Pratap","given":"Aditya"},{"family":"Douglas","given":"Col"},{"family":"Prajapati","given":"Umashanker"},{"family":"Kumari","given":"Gita"},{"family":"War","given":"Abdul Rasheed"},{"family":"Tomar","given":"Rakhi"},{"family":"Pandey","given":"Abhay K."},{"family":"Dubey","given":"Sonali"}],"accessed":{"date-parts":[["2025",5,28]]},"issued":{"date-parts":[["2020"]]}}}],"schema":"https://github.com/citation-style-language/schema/raw/master/csl-citation.json"}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[5]</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One of the most prevalent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disease in worldwide and mainly in Asian continent is anthracnose, a fungal disease which is caused by many species of </w:t>
      </w:r>
      <w:r w:rsidRPr="009F4598">
        <w:rPr>
          <w:rFonts w:ascii="Arial" w:eastAsia="Aptos" w:hAnsi="Arial" w:cs="Arial"/>
          <w:i/>
          <w:iCs/>
          <w:kern w:val="2"/>
          <w:lang w:val="en-IN"/>
        </w:rPr>
        <w:t>Colletotrichum</w:t>
      </w:r>
      <w:r w:rsidRPr="009F4598">
        <w:rPr>
          <w:rFonts w:ascii="Arial" w:eastAsia="Aptos" w:hAnsi="Arial" w:cs="Arial"/>
          <w:kern w:val="2"/>
          <w:lang w:val="en-IN"/>
        </w:rPr>
        <w:t xml:space="preserve">. In India, this disease reduces </w:t>
      </w:r>
      <w:r w:rsidRPr="009F4598">
        <w:rPr>
          <w:rFonts w:ascii="Arial" w:eastAsia="Aptos" w:hAnsi="Arial" w:cs="Arial"/>
          <w:kern w:val="2"/>
          <w:lang w:val="en-IN"/>
        </w:rPr>
        <w:lastRenderedPageBreak/>
        <w:t xml:space="preserve">crop yield by 30 to 70 per cent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{"citationID":"So77qz3h","properties":{"formattedCitation":"[1]","plainCitation":"[1]","noteIndex":0},"citationItems":[{"id":565,"uris":["http://zotero.org/users/local/5ucmndSA/items/3CIU9N7L"],"itemData":{"id":565,"type":"article-journal","abstract":"Anthracnose is a prevalent disease of mungbean in Asian countries and Sub-Saharan Africa. It is caused by multiple Colletotrichum species. The high levels of anthracnose resistance in mungbean have not been studied in depth in India, but genetic resistance is desired. In this study, we identified the causal agent of mungbean anthracnose in two regions of India as Colletotrichum truncatum through morphological and molecular methods. A set of 296 mungbean mini-core accessions developed by WorldVeg was screened under a natural disease pressure from July to September (kharif season) in 2016, 2017, and 2018 in Hyderabad (a hot spot for anthracnose) to identify anthracnose resistance. Based on disease severity scores, 22 accessions were consistently anthracnose resistant under the categories of immune, highly resistant, and resistant with scores ranging from ≥1.0 to ≤3.0 during the period of study. Furthermore, based on the agronomic performance, anthracnose resistance in Hyderabad, and other desirable traits, a subset of 74 mungbean accessions was selected from 296 mini-core accessions. These accessions were evaluated under natural disease pressure from July to September in 2018 and 2019 in Palampur (another hot spot for anthracnose) to determine the variation in anthracnose resistance. Out of the 74 accessions, two accessions were resistant in 2018; in 2019, one was immune, nine were highly resistant, and 15 were resistant. Combined analysis of variance of 65 accessions common in Hyderabad and Palampur revealed highly significant effects of environment, genotype (accessions), and genotype × environment interaction on the disease severity. The combined GGE biplot analysis of data across years and locations confirmed that the seven accessions MC-24, MC-51, MC-75, MC-127, MC-207, MC-208, and MC-292 were resistant during 2016 to 2018 in Hyderabad, and only in 2019 in Palampur, and the same accessions were moderately resistant in 2018 in Palampur. The seven resistant accessions identified from both test locations could be used as potential donors in the anthracnose resistance breeding program.\n            [Formula: see text] Copyright © 2021 The Author(s). This is an open access article distributed under the CC BY-NC-ND 4.0 International license .","container-title":"Plant Disease","DOI":"10.1094/PDIS-12-20-2722-RE","ISSN":"0191-2917, 1943-7692","issue":"7","journalAbbreviation":"Plant Disease","language":"en","page":"2001-2010","source":"DOI.org (Crossref)","title":"Field-Relevant New Sources of Resistance to Anthracnose Caused by &lt;i&gt;Colletotrichum truncatum&lt;/i&gt; in a Mungbean Mini-Core Collection","volume":"105","author":[{"family":"Pandey","given":"Abhay K."},{"family":"Basandrai","given":"Ashwani K."},{"family":"Basandrai","given":"Daisy"},{"family":"Boddepalli","given":"Venkata Naresh"},{"family":"Rathore","given":"Abhishek"},{"family":"Adapala","given":"Gopikrishna"},{"family":"Nair","given":"Ramakrishnan M."}],"issued":{"date-parts":[["2021",7,1]]}}}],"schema":"https://github.com/citation-style-language/schema/raw/master/csl-citation.json"}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[1]</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Anthracnose on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in India was first reported in 1951 in Jorhat, Assam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{"citationID":"AwhSDwRx","properties":{"formattedCitation":"[6]","plainCitation":"[6]","noteIndex":0},"citationItems":[{"id":577,"uris":["http://zotero.org/users/local/5ucmndSA/items/VZT7JZSP"],"itemData":{"id":577,"type":"article-journal","container-title":"Crop Protection","DOI":"10.1016/j.cropro.2023.106432","ISSN":"02612194","journalAbbreviation":"Crop Protection","language":"en","page":"106432","source":"DOI.org (Crossref)","title":"Control efficacy and yield response of different fungicides evaluated against anthracnose of green gram","volume":"174","author":[{"family":"Nandeesha","given":"C.V."},{"family":"Akbari","given":"L.F."},{"family":"Jaiswal","given":"Aman"},{"family":"Harsha","given":"B.R."},{"family":"Patil","given":"Balanagouda"},{"family":"Bhaliya","given":"C.M."},{"family":"Kumar","given":"Navin"},{"family":"Singh","given":"Tribhuwan"},{"family":"Jain","given":"Sinchana"}],"issued":{"date-parts":[["2023",12]]}}}],"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[6]</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In developing nations, farmers often go for Carbendazim 50% WP and mancozeb 75% WP fungicides. Due to the continuous use of the same, fungicide resistance has been developed in pathogen and is a major cause of concern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{"citationID":"MP3DQKxg","properties":{"formattedCitation":"[7]","plainCitation":"[7]","noteIndex":0},"citationItems":[{"id":571,"uris":["http://zotero.org/users/local/5ucmndSA/items/MTYTVZGS"],"itemData":{"id":571,"type":"article-journal","abstract":"The mungbean crop suffers from several fungal diseases, among which anthracnose caused by Colletotrichum gloeosporioides is one of the serious disease observed regularly in mungbean growing areas of Gujarat and its incidence has increased alarmingly during the recent years in Gujarat. Among the nine fungicides at three concentrations were screened under in vitro condition against C. gloeosporioides by poisoned food technique revealed propiconazole, carbendazim (12%) + mancozeb (63%) and propineb completely inhibited the mycelial growth and proved to be most effective over rest of the treatments. The next best were azoxystrobin + difenconazole and trifloxystrobin + tebuconazole. Based on in vitro screening, promising fungicides were selected and re-evaluated under field condition against anthracnose of mungbean. Experiment under field condition revealed that anthracnose disease of mungbean can effectively managed by seed treatment with Thiram 75 SD, 3 g/kg seeds + two foliar sprays at 15 days interval starting from initiation of disease with trifloxystrobin + tebuconazole (75 WG), 0.075 per cent or with carbendazim + mancozeb (75 WP), 0.075 per cent. One of the key reasons for success of strobilurins that it gives a control of fungi from all four groups of plant pathogens i.e. Ascomycota, Basidiomycota, Deuteromycota and Oomycota.","language":"en","source":"Zotero","title":"Management of Anthracnose Disease of Mungbean Through New Fungicidal Formulations","author":[{"family":"Chaudhari","given":"Kinjal A"},{"family":"Gohel","given":"N M"}]}}],"schema":"https://github.com/citation-style-language/schema/raw/master/csl-citation.json"}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[7]</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Hence, use of new generation fungicides is highly recommended for the management of anthracnose in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Despite the potential modes of action of new-generation fungicides, especially triazoles, strobilurins and their combinations, their practical usage is not much highlighted in disease management</w:t>
      </w:r>
      <w:r>
        <w:rPr>
          <w:rFonts w:ascii="Arial" w:eastAsia="Aptos" w:hAnsi="Arial" w:cs="Arial"/>
          <w:kern w:val="2"/>
          <w:lang w:val="en-IN"/>
        </w:rPr>
        <w:t xml:space="preserve"> of </w:t>
      </w:r>
      <w:r w:rsidR="000A490A" w:rsidRPr="000A490A">
        <w:rPr>
          <w:rFonts w:ascii="Arial" w:eastAsia="Aptos" w:hAnsi="Arial" w:cs="Arial"/>
          <w:kern w:val="2"/>
          <w:lang w:val="en-IN"/>
        </w:rPr>
        <w:t>anthracnose</w:t>
      </w:r>
      <w:r w:rsidRPr="000A490A">
        <w:rPr>
          <w:rFonts w:ascii="Arial" w:eastAsia="Aptos" w:hAnsi="Arial" w:cs="Arial"/>
          <w:kern w:val="2"/>
          <w:lang w:val="en-IN"/>
        </w:rPr>
        <w:t>, hence</w:t>
      </w:r>
      <w:r w:rsidRPr="009F4598">
        <w:rPr>
          <w:rFonts w:ascii="Arial" w:eastAsia="Aptos" w:hAnsi="Arial" w:cs="Arial"/>
          <w:kern w:val="2"/>
          <w:lang w:val="en-IN"/>
        </w:rPr>
        <w:t xml:space="preserve"> it underscores the pressing need for these novel and optimized fungicide-based approaches. Therefore, with the above research gaps and facts mentioned, this current study was conducted with the main objective to identity the new generation fungicidal molecules for the management of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anthracnose.</w:t>
      </w:r>
    </w:p>
    <w:p w14:paraId="34564983" w14:textId="759853C9" w:rsidR="009F4598" w:rsidRDefault="00902823" w:rsidP="009F4598">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394CC81" w14:textId="77777777" w:rsidR="009F4598" w:rsidRPr="009F4598" w:rsidRDefault="009F4598" w:rsidP="009F4598">
      <w:pPr>
        <w:pStyle w:val="AbstHead"/>
        <w:spacing w:after="0"/>
        <w:jc w:val="both"/>
        <w:rPr>
          <w:rFonts w:ascii="Arial" w:hAnsi="Arial" w:cs="Arial"/>
        </w:rPr>
      </w:pPr>
    </w:p>
    <w:p w14:paraId="15C3EC88" w14:textId="2FD2AE1B"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Infected samples were collected from different </w:t>
      </w:r>
      <w:proofErr w:type="spellStart"/>
      <w:r w:rsidRPr="009F4598">
        <w:rPr>
          <w:rFonts w:ascii="Arial" w:eastAsia="Aptos" w:hAnsi="Arial" w:cs="Arial"/>
          <w:kern w:val="2"/>
          <w:lang w:val="en-IN"/>
        </w:rPr>
        <w:t>mungbean</w:t>
      </w:r>
      <w:proofErr w:type="spellEnd"/>
      <w:r w:rsidRPr="009F4598">
        <w:rPr>
          <w:rFonts w:ascii="Arial" w:eastAsia="Aptos" w:hAnsi="Arial" w:cs="Arial"/>
          <w:kern w:val="2"/>
          <w:lang w:val="en-IN"/>
        </w:rPr>
        <w:t xml:space="preserve"> growing </w:t>
      </w:r>
      <w:r w:rsidR="00C453D2">
        <w:rPr>
          <w:rFonts w:ascii="Arial" w:eastAsia="Aptos" w:hAnsi="Arial" w:cs="Arial"/>
          <w:kern w:val="2"/>
          <w:lang w:val="en-IN"/>
        </w:rPr>
        <w:t>parts</w:t>
      </w:r>
      <w:r w:rsidRPr="009F4598">
        <w:rPr>
          <w:rFonts w:ascii="Arial" w:eastAsia="Aptos" w:hAnsi="Arial" w:cs="Arial"/>
          <w:kern w:val="2"/>
          <w:lang w:val="en-IN"/>
        </w:rPr>
        <w:t xml:space="preserve"> of Karnataka</w:t>
      </w:r>
      <w:r w:rsidR="00C453D2">
        <w:rPr>
          <w:rFonts w:ascii="Arial" w:eastAsia="Aptos" w:hAnsi="Arial" w:cs="Arial"/>
          <w:kern w:val="2"/>
          <w:lang w:val="en-IN"/>
        </w:rPr>
        <w:t>, India</w:t>
      </w:r>
      <w:r w:rsidRPr="009F4598">
        <w:rPr>
          <w:rFonts w:ascii="Arial" w:eastAsia="Aptos" w:hAnsi="Arial" w:cs="Arial"/>
          <w:kern w:val="2"/>
          <w:lang w:val="en-IN"/>
        </w:rPr>
        <w:t xml:space="preserve"> during </w:t>
      </w:r>
      <w:r w:rsidR="000A490A">
        <w:rPr>
          <w:rFonts w:ascii="Arial" w:eastAsia="Aptos" w:hAnsi="Arial" w:cs="Arial"/>
          <w:i/>
          <w:iCs/>
          <w:kern w:val="2"/>
          <w:lang w:val="en-IN"/>
        </w:rPr>
        <w:t>k</w:t>
      </w:r>
      <w:r w:rsidR="000A490A" w:rsidRPr="000A490A">
        <w:rPr>
          <w:rFonts w:ascii="Arial" w:eastAsia="Aptos" w:hAnsi="Arial" w:cs="Arial"/>
          <w:i/>
          <w:iCs/>
          <w:kern w:val="2"/>
          <w:lang w:val="en-IN"/>
        </w:rPr>
        <w:t xml:space="preserve">harif </w:t>
      </w:r>
      <w:r w:rsidRPr="009F4598">
        <w:rPr>
          <w:rFonts w:ascii="Arial" w:eastAsia="Aptos" w:hAnsi="Arial" w:cs="Arial"/>
          <w:kern w:val="2"/>
          <w:lang w:val="en-IN"/>
        </w:rPr>
        <w:t>2023 and 2024 survey. The standard isolation procedure for pathogen was followed from the collected infected samples. The cultures were purified using single spore technique in Potato Dextrose Agar (PDA) medium and maintained in PDA agar slants at 4</w:t>
      </w:r>
      <w:r>
        <w:rPr>
          <w:rFonts w:ascii="Arial" w:eastAsia="Aptos" w:hAnsi="Arial" w:cs="Arial"/>
          <w:kern w:val="2"/>
          <w:lang w:val="en-IN"/>
        </w:rPr>
        <w:t xml:space="preserve"> </w:t>
      </w:r>
      <w:r w:rsidRPr="009F4598">
        <w:rPr>
          <w:rFonts w:ascii="Arial" w:eastAsia="Aptos" w:hAnsi="Arial" w:cs="Arial"/>
          <w:kern w:val="2"/>
          <w:lang w:val="en-IN"/>
        </w:rPr>
        <w:t xml:space="preserve">⁰C in fridge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m9jIR2Rk","properties":{"formattedCitation":"[8]","plainCitation":"[8]","noteIndex":0},"citationItems":[{"id":578,"uris":["http://zotero.org/users/local/5ucmndSA/items/AMB67863"],"itemData":{"id":578,"type":"book","edition":"2","ISBN":"978-1-315-13813-8","language":"en","note":"DOI: 10.1201/9781315138138","publisher":"CRC Press","source":"DOI.org (Crossref)","title":"Basic Plant Pathology Methods","URL":"https://www.taylorfrancis.com/books/9781351464512","author":[{"family":"Dhingra","given":"Onkar D."},{"family":"Sinclair","given":"James B."}],"accessed":{"date-parts":[["2025",5,28]]},"issued":{"date-parts":[["2017",11,22]]}}}],"schema":"https://github.com/citation-style-language/schema/raw/master/csl-citation.json"}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[8]</w:t>
      </w:r>
      <w:r w:rsidRPr="009F4598">
        <w:rPr>
          <w:rFonts w:ascii="Arial" w:eastAsia="Aptos" w:hAnsi="Arial" w:cs="Arial"/>
          <w:kern w:val="2"/>
          <w:lang w:val="en-IN"/>
        </w:rPr>
        <w:fldChar w:fldCharType="end"/>
      </w:r>
      <w:r w:rsidRPr="009F4598">
        <w:rPr>
          <w:rFonts w:ascii="Arial" w:eastAsia="Aptos" w:hAnsi="Arial" w:cs="Arial"/>
          <w:kern w:val="2"/>
          <w:lang w:val="en-IN"/>
        </w:rPr>
        <w:t>. Koch’s postulates were also proved.</w:t>
      </w:r>
      <w:r w:rsidR="00C453D2">
        <w:rPr>
          <w:rFonts w:ascii="Arial" w:eastAsia="Aptos" w:hAnsi="Arial" w:cs="Arial"/>
          <w:kern w:val="2"/>
          <w:lang w:val="en-IN"/>
        </w:rPr>
        <w:t xml:space="preserve"> </w:t>
      </w:r>
      <w:r w:rsidR="00C453D2" w:rsidRPr="00C453D2">
        <w:rPr>
          <w:rFonts w:ascii="Arial" w:eastAsia="Aptos" w:hAnsi="Arial" w:cs="Arial"/>
          <w:kern w:val="2"/>
        </w:rPr>
        <w:t>The experiment was conducted in 2024 at the Department of Plant Pathology, College of Agriculture, Dharwad,</w:t>
      </w:r>
      <w:r w:rsidR="00C453D2">
        <w:rPr>
          <w:rFonts w:ascii="Arial" w:eastAsia="Aptos" w:hAnsi="Arial" w:cs="Arial"/>
          <w:kern w:val="2"/>
        </w:rPr>
        <w:t xml:space="preserve"> Karnataka</w:t>
      </w:r>
      <w:r w:rsidR="00C453D2" w:rsidRPr="00C453D2">
        <w:rPr>
          <w:rFonts w:ascii="Arial" w:eastAsia="Aptos" w:hAnsi="Arial" w:cs="Arial"/>
          <w:kern w:val="2"/>
        </w:rPr>
        <w:t xml:space="preserve"> using a factorial Completely Randomized Design (CRD) under </w:t>
      </w:r>
      <w:r w:rsidR="00C453D2" w:rsidRPr="00C453D2">
        <w:rPr>
          <w:rFonts w:ascii="Arial" w:eastAsia="Aptos" w:hAnsi="Arial" w:cs="Arial"/>
          <w:i/>
          <w:iCs/>
          <w:kern w:val="2"/>
        </w:rPr>
        <w:t>in vitro</w:t>
      </w:r>
      <w:r w:rsidR="00C453D2" w:rsidRPr="00C453D2">
        <w:rPr>
          <w:rFonts w:ascii="Arial" w:eastAsia="Aptos" w:hAnsi="Arial" w:cs="Arial"/>
          <w:kern w:val="2"/>
        </w:rPr>
        <w:t xml:space="preserve"> conditions.</w:t>
      </w:r>
    </w:p>
    <w:p w14:paraId="5B23BCB6" w14:textId="789D2A5F" w:rsidR="009F4598" w:rsidRPr="009F4598" w:rsidRDefault="00AA74E0" w:rsidP="009F4598">
      <w:pPr>
        <w:jc w:val="both"/>
        <w:rPr>
          <w:rFonts w:ascii="Arial" w:eastAsia="Aptos" w:hAnsi="Arial" w:cs="Arial"/>
          <w:b/>
          <w:bCs/>
          <w:kern w:val="2"/>
          <w:lang w:val="en-IN"/>
        </w:rPr>
      </w:pPr>
      <w:r w:rsidRPr="00C30A0F">
        <w:rPr>
          <w:rFonts w:ascii="Arial" w:hAnsi="Arial" w:cs="Arial"/>
          <w:b/>
          <w:caps/>
          <w:sz w:val="22"/>
        </w:rPr>
        <w:t xml:space="preserve">2.1 </w:t>
      </w:r>
      <w:r w:rsidR="009F4598" w:rsidRPr="009F4598">
        <w:rPr>
          <w:rFonts w:ascii="Arial" w:eastAsia="Aptos" w:hAnsi="Arial" w:cs="Arial"/>
          <w:b/>
          <w:bCs/>
          <w:i/>
          <w:iCs/>
          <w:kern w:val="2"/>
          <w:lang w:val="en-IN"/>
        </w:rPr>
        <w:t xml:space="preserve">In vitro </w:t>
      </w:r>
      <w:r w:rsidR="009F4598" w:rsidRPr="009F4598">
        <w:rPr>
          <w:rFonts w:ascii="Arial" w:eastAsia="Aptos" w:hAnsi="Arial" w:cs="Arial"/>
          <w:b/>
          <w:bCs/>
          <w:kern w:val="2"/>
          <w:lang w:val="en-IN"/>
        </w:rPr>
        <w:t>screening of modern fungicides</w:t>
      </w:r>
    </w:p>
    <w:p w14:paraId="24713A02" w14:textId="77777777" w:rsidR="009F4598" w:rsidRDefault="009F4598" w:rsidP="00441B6F">
      <w:pPr>
        <w:pStyle w:val="Body"/>
        <w:spacing w:after="0"/>
        <w:rPr>
          <w:rFonts w:ascii="Arial" w:hAnsi="Arial" w:cs="Arial"/>
          <w:b/>
          <w:caps/>
        </w:rPr>
      </w:pPr>
    </w:p>
    <w:p w14:paraId="59E8B160" w14:textId="3EB894A5" w:rsid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New generation fungicides that are commercially available in the markets and are cost friendly to farmers were chosen in this study. The pathogen w</w:t>
      </w:r>
      <w:r w:rsidR="000A490A">
        <w:rPr>
          <w:rFonts w:ascii="Arial" w:eastAsia="Aptos" w:hAnsi="Arial" w:cs="Arial"/>
          <w:kern w:val="2"/>
          <w:lang w:val="en-IN"/>
        </w:rPr>
        <w:t>as</w:t>
      </w:r>
      <w:r w:rsidRPr="009F4598">
        <w:rPr>
          <w:rFonts w:ascii="Arial" w:eastAsia="Aptos" w:hAnsi="Arial" w:cs="Arial"/>
          <w:kern w:val="2"/>
          <w:lang w:val="en-IN"/>
        </w:rPr>
        <w:t xml:space="preserve"> screened using 3 triazoles (</w:t>
      </w:r>
      <w:proofErr w:type="spellStart"/>
      <w:r w:rsidRPr="009F4598">
        <w:rPr>
          <w:rFonts w:ascii="Arial" w:eastAsia="Aptos" w:hAnsi="Arial" w:cs="Arial"/>
          <w:kern w:val="2"/>
          <w:lang w:val="en-IN"/>
        </w:rPr>
        <w:t>Difenconazole</w:t>
      </w:r>
      <w:proofErr w:type="spellEnd"/>
      <w:r w:rsidRPr="009F4598">
        <w:rPr>
          <w:rFonts w:ascii="Arial" w:eastAsia="Aptos" w:hAnsi="Arial" w:cs="Arial"/>
          <w:kern w:val="2"/>
          <w:lang w:val="en-IN"/>
        </w:rPr>
        <w:t xml:space="preserve"> 25% EC, Propiconazole 25% EC and Hexaconazole 5% EC), one strobilurin (Azoxystrobin 23% SC) and four combination fungicides (Carbendazim 12% + Mancozeb 63% WP, Tebuconazole 50% + </w:t>
      </w:r>
      <w:proofErr w:type="spellStart"/>
      <w:r w:rsidRPr="009F4598">
        <w:rPr>
          <w:rFonts w:ascii="Arial" w:eastAsia="Aptos" w:hAnsi="Arial" w:cs="Arial"/>
          <w:kern w:val="2"/>
          <w:lang w:val="en-IN"/>
        </w:rPr>
        <w:t>Trifloxystrobin</w:t>
      </w:r>
      <w:proofErr w:type="spellEnd"/>
      <w:r w:rsidRPr="009F4598">
        <w:rPr>
          <w:rFonts w:ascii="Arial" w:eastAsia="Aptos" w:hAnsi="Arial" w:cs="Arial"/>
          <w:kern w:val="2"/>
          <w:lang w:val="en-IN"/>
        </w:rPr>
        <w:t xml:space="preserve"> 25% WG, Fluxapyroxad 21.26 % + </w:t>
      </w:r>
      <w:proofErr w:type="spellStart"/>
      <w:r w:rsidRPr="009F4598">
        <w:rPr>
          <w:rFonts w:ascii="Arial" w:eastAsia="Aptos" w:hAnsi="Arial" w:cs="Arial"/>
          <w:kern w:val="2"/>
          <w:lang w:val="en-IN"/>
        </w:rPr>
        <w:t>Pyraclostrobin</w:t>
      </w:r>
      <w:proofErr w:type="spellEnd"/>
      <w:r w:rsidRPr="009F4598">
        <w:rPr>
          <w:rFonts w:ascii="Arial" w:eastAsia="Aptos" w:hAnsi="Arial" w:cs="Arial"/>
          <w:kern w:val="2"/>
          <w:lang w:val="en-IN"/>
        </w:rPr>
        <w:t xml:space="preserve"> 21.26 % SC, Tricyclazole 18 % + Mancozeb 62 % WP). The efficacy of fungicides was evaluated using poison food technique given by Nene and Thapliyal (1993) at three concentrations (0.1%, 0.15% and 0.2%), each with three replications (Table 1).</w:t>
      </w:r>
    </w:p>
    <w:p w14:paraId="187AE52F" w14:textId="77777777" w:rsidR="000A490A" w:rsidRDefault="000A490A" w:rsidP="000A490A">
      <w:pPr>
        <w:jc w:val="center"/>
        <w:rPr>
          <w:rFonts w:ascii="Arial" w:hAnsi="Arial" w:cs="Arial"/>
          <w:b/>
          <w:bCs/>
        </w:rPr>
      </w:pPr>
    </w:p>
    <w:p w14:paraId="1FD23C8E" w14:textId="6A8C03CE" w:rsidR="000A490A" w:rsidRDefault="002B3FDB" w:rsidP="000A490A">
      <w:pPr>
        <w:jc w:val="center"/>
        <w:rPr>
          <w:rFonts w:ascii="Arial" w:hAnsi="Arial" w:cs="Arial"/>
          <w:b/>
          <w:bCs/>
        </w:rPr>
      </w:pPr>
      <w:r w:rsidRPr="00795859">
        <w:rPr>
          <w:rFonts w:ascii="Arial" w:hAnsi="Arial" w:cs="Arial"/>
          <w:b/>
          <w:bCs/>
        </w:rPr>
        <w:t>Table 1. New generation fungicides used in this study</w:t>
      </w:r>
    </w:p>
    <w:tbl>
      <w:tblPr>
        <w:tblStyle w:val="TableGrid1"/>
        <w:tblW w:w="8222" w:type="dxa"/>
        <w:tblInd w:w="108" w:type="dxa"/>
        <w:tblLook w:val="04A0" w:firstRow="1" w:lastRow="0" w:firstColumn="1" w:lastColumn="0" w:noHBand="0" w:noVBand="1"/>
      </w:tblPr>
      <w:tblGrid>
        <w:gridCol w:w="567"/>
        <w:gridCol w:w="2977"/>
        <w:gridCol w:w="1843"/>
        <w:gridCol w:w="2835"/>
      </w:tblGrid>
      <w:tr w:rsidR="002B3FDB" w:rsidRPr="002B3FDB" w14:paraId="2E628703" w14:textId="77777777" w:rsidTr="00553013">
        <w:trPr>
          <w:trHeight w:val="397"/>
        </w:trPr>
        <w:tc>
          <w:tcPr>
            <w:tcW w:w="567" w:type="dxa"/>
            <w:vAlign w:val="center"/>
          </w:tcPr>
          <w:p w14:paraId="3BC2BEE8" w14:textId="77777777" w:rsidR="002B3FDB" w:rsidRPr="002B3FDB" w:rsidRDefault="002B3FDB" w:rsidP="00E64AA5">
            <w:pPr>
              <w:spacing w:line="480" w:lineRule="auto"/>
              <w:jc w:val="center"/>
              <w:rPr>
                <w:rFonts w:ascii="Arial" w:hAnsi="Arial" w:cs="Arial"/>
                <w:b/>
                <w:sz w:val="20"/>
              </w:rPr>
            </w:pPr>
            <w:r w:rsidRPr="002B3FDB">
              <w:rPr>
                <w:rFonts w:ascii="Arial" w:hAnsi="Arial" w:cs="Arial"/>
                <w:b/>
                <w:sz w:val="20"/>
              </w:rPr>
              <w:t>Sl. No.</w:t>
            </w:r>
          </w:p>
        </w:tc>
        <w:tc>
          <w:tcPr>
            <w:tcW w:w="2977" w:type="dxa"/>
            <w:vAlign w:val="center"/>
          </w:tcPr>
          <w:p w14:paraId="3922A997" w14:textId="77777777" w:rsidR="002B3FDB" w:rsidRPr="002B3FDB" w:rsidRDefault="002B3FDB" w:rsidP="00553013">
            <w:pPr>
              <w:spacing w:line="480" w:lineRule="auto"/>
              <w:jc w:val="center"/>
              <w:rPr>
                <w:rFonts w:ascii="Arial" w:hAnsi="Arial" w:cs="Arial"/>
                <w:b/>
                <w:sz w:val="20"/>
              </w:rPr>
            </w:pPr>
            <w:r w:rsidRPr="002B3FDB">
              <w:rPr>
                <w:rFonts w:ascii="Arial" w:hAnsi="Arial" w:cs="Arial"/>
                <w:b/>
                <w:sz w:val="20"/>
              </w:rPr>
              <w:t>Chemical name</w:t>
            </w:r>
          </w:p>
        </w:tc>
        <w:tc>
          <w:tcPr>
            <w:tcW w:w="1843" w:type="dxa"/>
            <w:vAlign w:val="center"/>
          </w:tcPr>
          <w:p w14:paraId="01D0E17F" w14:textId="77777777" w:rsidR="002B3FDB" w:rsidRPr="002B3FDB" w:rsidRDefault="002B3FDB" w:rsidP="00553013">
            <w:pPr>
              <w:spacing w:line="480" w:lineRule="auto"/>
              <w:jc w:val="center"/>
              <w:rPr>
                <w:rFonts w:ascii="Arial" w:hAnsi="Arial" w:cs="Arial"/>
                <w:b/>
                <w:sz w:val="20"/>
              </w:rPr>
            </w:pPr>
            <w:r w:rsidRPr="002B3FDB">
              <w:rPr>
                <w:rFonts w:ascii="Arial" w:hAnsi="Arial" w:cs="Arial"/>
                <w:b/>
                <w:sz w:val="20"/>
              </w:rPr>
              <w:t>Trade name</w:t>
            </w:r>
          </w:p>
        </w:tc>
        <w:tc>
          <w:tcPr>
            <w:tcW w:w="2835" w:type="dxa"/>
            <w:vAlign w:val="center"/>
          </w:tcPr>
          <w:p w14:paraId="45677E3B" w14:textId="77777777" w:rsidR="002B3FDB" w:rsidRPr="002B3FDB" w:rsidRDefault="002B3FDB" w:rsidP="00553013">
            <w:pPr>
              <w:spacing w:line="480" w:lineRule="auto"/>
              <w:jc w:val="center"/>
              <w:rPr>
                <w:rFonts w:ascii="Arial" w:hAnsi="Arial" w:cs="Arial"/>
                <w:b/>
                <w:sz w:val="20"/>
              </w:rPr>
            </w:pPr>
            <w:r w:rsidRPr="002B3FDB">
              <w:rPr>
                <w:rFonts w:ascii="Arial" w:hAnsi="Arial" w:cs="Arial"/>
                <w:b/>
                <w:sz w:val="20"/>
              </w:rPr>
              <w:t>Target site</w:t>
            </w:r>
          </w:p>
        </w:tc>
      </w:tr>
      <w:tr w:rsidR="002B3FDB" w:rsidRPr="002B3FDB" w14:paraId="4C74F171" w14:textId="77777777" w:rsidTr="00553013">
        <w:trPr>
          <w:trHeight w:val="397"/>
        </w:trPr>
        <w:tc>
          <w:tcPr>
            <w:tcW w:w="567" w:type="dxa"/>
            <w:vAlign w:val="center"/>
          </w:tcPr>
          <w:p w14:paraId="14E245F3"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1.</w:t>
            </w:r>
          </w:p>
        </w:tc>
        <w:tc>
          <w:tcPr>
            <w:tcW w:w="2977" w:type="dxa"/>
            <w:vAlign w:val="center"/>
          </w:tcPr>
          <w:p w14:paraId="47A2362C"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Azoxystrobin 23% SC</w:t>
            </w:r>
          </w:p>
        </w:tc>
        <w:tc>
          <w:tcPr>
            <w:tcW w:w="1843" w:type="dxa"/>
            <w:vAlign w:val="center"/>
          </w:tcPr>
          <w:p w14:paraId="350506FC" w14:textId="77777777" w:rsidR="002B3FDB" w:rsidRPr="002B3FDB" w:rsidRDefault="002B3FDB" w:rsidP="00553013">
            <w:pPr>
              <w:spacing w:line="480" w:lineRule="auto"/>
              <w:jc w:val="center"/>
              <w:rPr>
                <w:rFonts w:ascii="Arial" w:hAnsi="Arial" w:cs="Arial"/>
                <w:sz w:val="20"/>
              </w:rPr>
            </w:pPr>
            <w:proofErr w:type="spellStart"/>
            <w:r w:rsidRPr="002B3FDB">
              <w:rPr>
                <w:rFonts w:ascii="Arial" w:hAnsi="Arial" w:cs="Arial"/>
                <w:sz w:val="20"/>
              </w:rPr>
              <w:t>Amistar</w:t>
            </w:r>
            <w:proofErr w:type="spellEnd"/>
            <w:r w:rsidRPr="002B3FDB">
              <w:rPr>
                <w:rFonts w:ascii="Arial" w:hAnsi="Arial" w:cs="Arial"/>
                <w:sz w:val="20"/>
              </w:rPr>
              <w:t xml:space="preserve"> 23% SC</w:t>
            </w:r>
          </w:p>
        </w:tc>
        <w:tc>
          <w:tcPr>
            <w:tcW w:w="2835" w:type="dxa"/>
            <w:vAlign w:val="center"/>
          </w:tcPr>
          <w:p w14:paraId="1CE9B296" w14:textId="77777777" w:rsidR="002B3FDB" w:rsidRPr="002B3FDB" w:rsidRDefault="002B3FDB" w:rsidP="00553013">
            <w:pPr>
              <w:spacing w:line="480" w:lineRule="auto"/>
              <w:jc w:val="center"/>
              <w:rPr>
                <w:rFonts w:ascii="Arial" w:hAnsi="Arial" w:cs="Arial"/>
                <w:sz w:val="20"/>
              </w:rPr>
            </w:pPr>
            <w:proofErr w:type="spellStart"/>
            <w:r w:rsidRPr="002B3FDB">
              <w:rPr>
                <w:rFonts w:ascii="Arial" w:hAnsi="Arial" w:cs="Arial"/>
                <w:sz w:val="20"/>
              </w:rPr>
              <w:t>QoI</w:t>
            </w:r>
            <w:proofErr w:type="spellEnd"/>
            <w:r w:rsidRPr="002B3FDB">
              <w:rPr>
                <w:rFonts w:ascii="Arial" w:hAnsi="Arial" w:cs="Arial"/>
                <w:sz w:val="20"/>
              </w:rPr>
              <w:t>, strobilurin class</w:t>
            </w:r>
          </w:p>
        </w:tc>
      </w:tr>
      <w:tr w:rsidR="002B3FDB" w:rsidRPr="002B3FDB" w14:paraId="5E82E1C9" w14:textId="77777777" w:rsidTr="00553013">
        <w:trPr>
          <w:trHeight w:val="397"/>
        </w:trPr>
        <w:tc>
          <w:tcPr>
            <w:tcW w:w="567" w:type="dxa"/>
            <w:vAlign w:val="center"/>
          </w:tcPr>
          <w:p w14:paraId="3D5F6ACC"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2.</w:t>
            </w:r>
          </w:p>
        </w:tc>
        <w:tc>
          <w:tcPr>
            <w:tcW w:w="2977" w:type="dxa"/>
            <w:vAlign w:val="center"/>
          </w:tcPr>
          <w:p w14:paraId="1090D96C"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Hexaconazole 5% EC</w:t>
            </w:r>
          </w:p>
        </w:tc>
        <w:tc>
          <w:tcPr>
            <w:tcW w:w="1843" w:type="dxa"/>
            <w:vAlign w:val="center"/>
          </w:tcPr>
          <w:p w14:paraId="1FF1B863" w14:textId="77777777" w:rsidR="002B3FDB" w:rsidRPr="002B3FDB" w:rsidRDefault="002B3FDB" w:rsidP="00553013">
            <w:pPr>
              <w:spacing w:line="480" w:lineRule="auto"/>
              <w:jc w:val="center"/>
              <w:rPr>
                <w:rFonts w:ascii="Arial" w:hAnsi="Arial" w:cs="Arial"/>
                <w:sz w:val="20"/>
              </w:rPr>
            </w:pPr>
            <w:proofErr w:type="spellStart"/>
            <w:r w:rsidRPr="002B3FDB">
              <w:rPr>
                <w:rFonts w:ascii="Arial" w:hAnsi="Arial" w:cs="Arial"/>
                <w:sz w:val="20"/>
              </w:rPr>
              <w:t>Contaf</w:t>
            </w:r>
            <w:proofErr w:type="spellEnd"/>
            <w:r w:rsidRPr="002B3FDB">
              <w:rPr>
                <w:rFonts w:ascii="Arial" w:hAnsi="Arial" w:cs="Arial"/>
                <w:sz w:val="20"/>
              </w:rPr>
              <w:t xml:space="preserve"> 5% EC</w:t>
            </w:r>
          </w:p>
        </w:tc>
        <w:tc>
          <w:tcPr>
            <w:tcW w:w="2835" w:type="dxa"/>
            <w:vAlign w:val="center"/>
          </w:tcPr>
          <w:p w14:paraId="173B71A1"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DMI, triazole class</w:t>
            </w:r>
          </w:p>
        </w:tc>
      </w:tr>
      <w:tr w:rsidR="002B3FDB" w:rsidRPr="002B3FDB" w14:paraId="35027DA5" w14:textId="77777777" w:rsidTr="00553013">
        <w:trPr>
          <w:trHeight w:val="397"/>
        </w:trPr>
        <w:tc>
          <w:tcPr>
            <w:tcW w:w="567" w:type="dxa"/>
            <w:vAlign w:val="center"/>
          </w:tcPr>
          <w:p w14:paraId="5E1CD3FA"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3.</w:t>
            </w:r>
          </w:p>
        </w:tc>
        <w:tc>
          <w:tcPr>
            <w:tcW w:w="2977" w:type="dxa"/>
            <w:vAlign w:val="center"/>
          </w:tcPr>
          <w:p w14:paraId="12FD169C"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Propiconazole 25% EC</w:t>
            </w:r>
          </w:p>
        </w:tc>
        <w:tc>
          <w:tcPr>
            <w:tcW w:w="1843" w:type="dxa"/>
            <w:vAlign w:val="center"/>
          </w:tcPr>
          <w:p w14:paraId="12590AA8"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Tilt 25% EC</w:t>
            </w:r>
          </w:p>
        </w:tc>
        <w:tc>
          <w:tcPr>
            <w:tcW w:w="2835" w:type="dxa"/>
            <w:vAlign w:val="center"/>
          </w:tcPr>
          <w:p w14:paraId="7CFA9A68"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DMI, triazole class</w:t>
            </w:r>
          </w:p>
        </w:tc>
      </w:tr>
      <w:tr w:rsidR="002B3FDB" w:rsidRPr="002B3FDB" w14:paraId="3559AF95" w14:textId="77777777" w:rsidTr="00553013">
        <w:trPr>
          <w:trHeight w:val="397"/>
        </w:trPr>
        <w:tc>
          <w:tcPr>
            <w:tcW w:w="567" w:type="dxa"/>
            <w:vAlign w:val="center"/>
          </w:tcPr>
          <w:p w14:paraId="3B9AF224"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4.</w:t>
            </w:r>
          </w:p>
        </w:tc>
        <w:tc>
          <w:tcPr>
            <w:tcW w:w="2977" w:type="dxa"/>
            <w:vAlign w:val="center"/>
          </w:tcPr>
          <w:p w14:paraId="424828B1"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Difenoconazole 25% EC</w:t>
            </w:r>
          </w:p>
        </w:tc>
        <w:tc>
          <w:tcPr>
            <w:tcW w:w="1843" w:type="dxa"/>
            <w:vAlign w:val="center"/>
          </w:tcPr>
          <w:p w14:paraId="654DF16E"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Score 25% EC</w:t>
            </w:r>
          </w:p>
        </w:tc>
        <w:tc>
          <w:tcPr>
            <w:tcW w:w="2835" w:type="dxa"/>
            <w:vAlign w:val="center"/>
          </w:tcPr>
          <w:p w14:paraId="7A33EEB6"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DMI, triazole class</w:t>
            </w:r>
          </w:p>
        </w:tc>
      </w:tr>
      <w:tr w:rsidR="002B3FDB" w:rsidRPr="002B3FDB" w14:paraId="6C2FEE31" w14:textId="77777777" w:rsidTr="00553013">
        <w:trPr>
          <w:trHeight w:val="397"/>
        </w:trPr>
        <w:tc>
          <w:tcPr>
            <w:tcW w:w="567" w:type="dxa"/>
            <w:vAlign w:val="center"/>
          </w:tcPr>
          <w:p w14:paraId="4CB1BD85"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5.</w:t>
            </w:r>
          </w:p>
        </w:tc>
        <w:tc>
          <w:tcPr>
            <w:tcW w:w="2977" w:type="dxa"/>
            <w:vAlign w:val="center"/>
          </w:tcPr>
          <w:p w14:paraId="59C081B7" w14:textId="77777777" w:rsidR="002B3FDB" w:rsidRPr="002B3FDB" w:rsidRDefault="002B3FDB" w:rsidP="00553013">
            <w:pPr>
              <w:spacing w:line="480" w:lineRule="auto"/>
              <w:jc w:val="center"/>
              <w:rPr>
                <w:rFonts w:ascii="Arial" w:hAnsi="Arial" w:cs="Arial"/>
                <w:sz w:val="20"/>
              </w:rPr>
            </w:pPr>
            <w:bookmarkStart w:id="2" w:name="_Hlk199350260"/>
            <w:r w:rsidRPr="002B3FDB">
              <w:rPr>
                <w:rFonts w:ascii="Arial" w:hAnsi="Arial" w:cs="Arial"/>
                <w:sz w:val="20"/>
              </w:rPr>
              <w:t>Carbendazim 12% + Mancozeb 63% WP</w:t>
            </w:r>
            <w:bookmarkEnd w:id="2"/>
          </w:p>
        </w:tc>
        <w:tc>
          <w:tcPr>
            <w:tcW w:w="1843" w:type="dxa"/>
            <w:vAlign w:val="center"/>
          </w:tcPr>
          <w:p w14:paraId="493D209F" w14:textId="77777777" w:rsidR="002B3FDB" w:rsidRPr="002B3FDB" w:rsidRDefault="002B3FDB" w:rsidP="00553013">
            <w:pPr>
              <w:spacing w:line="480" w:lineRule="auto"/>
              <w:jc w:val="center"/>
              <w:rPr>
                <w:rFonts w:ascii="Arial" w:hAnsi="Arial" w:cs="Arial"/>
                <w:sz w:val="20"/>
              </w:rPr>
            </w:pPr>
            <w:proofErr w:type="spellStart"/>
            <w:r w:rsidRPr="002B3FDB">
              <w:rPr>
                <w:rFonts w:ascii="Arial" w:hAnsi="Arial" w:cs="Arial"/>
                <w:sz w:val="20"/>
              </w:rPr>
              <w:t>Saaf</w:t>
            </w:r>
            <w:proofErr w:type="spellEnd"/>
            <w:r w:rsidRPr="002B3FDB">
              <w:rPr>
                <w:rFonts w:ascii="Arial" w:hAnsi="Arial" w:cs="Arial"/>
                <w:sz w:val="20"/>
              </w:rPr>
              <w:t xml:space="preserve"> 75% WP</w:t>
            </w:r>
          </w:p>
        </w:tc>
        <w:tc>
          <w:tcPr>
            <w:tcW w:w="2835" w:type="dxa"/>
            <w:vAlign w:val="center"/>
          </w:tcPr>
          <w:p w14:paraId="4919571E"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 xml:space="preserve">Benzimidazole + </w:t>
            </w:r>
            <w:proofErr w:type="spellStart"/>
            <w:r w:rsidRPr="002B3FDB">
              <w:rPr>
                <w:rFonts w:ascii="Arial" w:hAnsi="Arial" w:cs="Arial"/>
                <w:sz w:val="20"/>
              </w:rPr>
              <w:t>Dithiocarbamate</w:t>
            </w:r>
            <w:proofErr w:type="spellEnd"/>
            <w:r w:rsidRPr="002B3FDB">
              <w:rPr>
                <w:rFonts w:ascii="Arial" w:hAnsi="Arial" w:cs="Arial"/>
                <w:sz w:val="20"/>
              </w:rPr>
              <w:t xml:space="preserve"> (multi-site)</w:t>
            </w:r>
          </w:p>
        </w:tc>
      </w:tr>
      <w:tr w:rsidR="002B3FDB" w:rsidRPr="002B3FDB" w14:paraId="76A60FE6" w14:textId="77777777" w:rsidTr="00553013">
        <w:trPr>
          <w:trHeight w:val="397"/>
        </w:trPr>
        <w:tc>
          <w:tcPr>
            <w:tcW w:w="567" w:type="dxa"/>
            <w:vAlign w:val="center"/>
          </w:tcPr>
          <w:p w14:paraId="05D1B4E8" w14:textId="77777777" w:rsidR="002B3FDB" w:rsidRPr="002B3FDB" w:rsidRDefault="002B3FDB" w:rsidP="00E64AA5">
            <w:pPr>
              <w:spacing w:line="480" w:lineRule="auto"/>
              <w:jc w:val="center"/>
              <w:rPr>
                <w:rFonts w:ascii="Arial" w:hAnsi="Arial" w:cs="Arial"/>
                <w:sz w:val="20"/>
              </w:rPr>
            </w:pPr>
            <w:bookmarkStart w:id="3" w:name="_Hlk199350269"/>
            <w:r w:rsidRPr="002B3FDB">
              <w:rPr>
                <w:rFonts w:ascii="Arial" w:hAnsi="Arial" w:cs="Arial"/>
                <w:sz w:val="20"/>
              </w:rPr>
              <w:lastRenderedPageBreak/>
              <w:t>6.</w:t>
            </w:r>
          </w:p>
        </w:tc>
        <w:tc>
          <w:tcPr>
            <w:tcW w:w="2977" w:type="dxa"/>
            <w:vAlign w:val="center"/>
          </w:tcPr>
          <w:p w14:paraId="5915D95C"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 xml:space="preserve">Tebuconazole 50% + </w:t>
            </w:r>
            <w:proofErr w:type="spellStart"/>
            <w:r w:rsidRPr="002B3FDB">
              <w:rPr>
                <w:rFonts w:ascii="Arial" w:hAnsi="Arial" w:cs="Arial"/>
                <w:sz w:val="20"/>
              </w:rPr>
              <w:t>Trifloxystrobin</w:t>
            </w:r>
            <w:proofErr w:type="spellEnd"/>
            <w:r w:rsidRPr="002B3FDB">
              <w:rPr>
                <w:rFonts w:ascii="Arial" w:hAnsi="Arial" w:cs="Arial"/>
                <w:sz w:val="20"/>
              </w:rPr>
              <w:t xml:space="preserve"> 25% WG</w:t>
            </w:r>
          </w:p>
        </w:tc>
        <w:tc>
          <w:tcPr>
            <w:tcW w:w="1843" w:type="dxa"/>
            <w:vAlign w:val="center"/>
          </w:tcPr>
          <w:p w14:paraId="3640774A"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Nativo 75% WG</w:t>
            </w:r>
          </w:p>
        </w:tc>
        <w:tc>
          <w:tcPr>
            <w:tcW w:w="2835" w:type="dxa"/>
            <w:vAlign w:val="center"/>
          </w:tcPr>
          <w:p w14:paraId="622D15B1"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 xml:space="preserve">DMI + </w:t>
            </w:r>
            <w:proofErr w:type="spellStart"/>
            <w:r w:rsidRPr="002B3FDB">
              <w:rPr>
                <w:rFonts w:ascii="Arial" w:hAnsi="Arial" w:cs="Arial"/>
                <w:sz w:val="20"/>
              </w:rPr>
              <w:t>QoI</w:t>
            </w:r>
            <w:proofErr w:type="spellEnd"/>
            <w:r w:rsidRPr="002B3FDB">
              <w:rPr>
                <w:rFonts w:ascii="Arial" w:hAnsi="Arial" w:cs="Arial"/>
                <w:sz w:val="20"/>
              </w:rPr>
              <w:t xml:space="preserve"> (dual action)</w:t>
            </w:r>
          </w:p>
        </w:tc>
      </w:tr>
      <w:bookmarkEnd w:id="3"/>
      <w:tr w:rsidR="002B3FDB" w:rsidRPr="002B3FDB" w14:paraId="425CFFD9" w14:textId="77777777" w:rsidTr="00553013">
        <w:trPr>
          <w:trHeight w:val="397"/>
        </w:trPr>
        <w:tc>
          <w:tcPr>
            <w:tcW w:w="567" w:type="dxa"/>
            <w:vAlign w:val="center"/>
          </w:tcPr>
          <w:p w14:paraId="5BBCDA45"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7.</w:t>
            </w:r>
          </w:p>
        </w:tc>
        <w:tc>
          <w:tcPr>
            <w:tcW w:w="2977" w:type="dxa"/>
            <w:vAlign w:val="center"/>
          </w:tcPr>
          <w:p w14:paraId="770E82AC" w14:textId="77777777" w:rsidR="002B3FDB" w:rsidRPr="002B3FDB" w:rsidRDefault="002B3FDB" w:rsidP="00553013">
            <w:pPr>
              <w:spacing w:line="480" w:lineRule="auto"/>
              <w:jc w:val="center"/>
              <w:rPr>
                <w:rFonts w:ascii="Arial" w:hAnsi="Arial" w:cs="Arial"/>
                <w:sz w:val="20"/>
              </w:rPr>
            </w:pPr>
            <w:bookmarkStart w:id="4" w:name="_Hlk199350279"/>
            <w:r w:rsidRPr="002B3FDB">
              <w:rPr>
                <w:rFonts w:ascii="Arial" w:hAnsi="Arial" w:cs="Arial"/>
                <w:sz w:val="20"/>
              </w:rPr>
              <w:t xml:space="preserve">Fluxapyroxad 21.26 % + </w:t>
            </w:r>
            <w:proofErr w:type="spellStart"/>
            <w:r w:rsidRPr="002B3FDB">
              <w:rPr>
                <w:rFonts w:ascii="Arial" w:hAnsi="Arial" w:cs="Arial"/>
                <w:sz w:val="20"/>
              </w:rPr>
              <w:t>Pyraclostrobin</w:t>
            </w:r>
            <w:proofErr w:type="spellEnd"/>
            <w:r w:rsidRPr="002B3FDB">
              <w:rPr>
                <w:rFonts w:ascii="Arial" w:hAnsi="Arial" w:cs="Arial"/>
                <w:sz w:val="20"/>
              </w:rPr>
              <w:t xml:space="preserve"> 21.26 % SC</w:t>
            </w:r>
            <w:bookmarkEnd w:id="4"/>
          </w:p>
        </w:tc>
        <w:tc>
          <w:tcPr>
            <w:tcW w:w="1843" w:type="dxa"/>
            <w:vAlign w:val="center"/>
          </w:tcPr>
          <w:p w14:paraId="02B7F91F" w14:textId="77777777" w:rsidR="002B3FDB" w:rsidRPr="002B3FDB" w:rsidRDefault="002B3FDB" w:rsidP="00553013">
            <w:pPr>
              <w:spacing w:line="480" w:lineRule="auto"/>
              <w:jc w:val="center"/>
              <w:rPr>
                <w:rFonts w:ascii="Arial" w:hAnsi="Arial" w:cs="Arial"/>
                <w:sz w:val="20"/>
              </w:rPr>
            </w:pPr>
            <w:proofErr w:type="spellStart"/>
            <w:r w:rsidRPr="002B3FDB">
              <w:rPr>
                <w:rFonts w:ascii="Arial" w:hAnsi="Arial" w:cs="Arial"/>
                <w:sz w:val="20"/>
              </w:rPr>
              <w:t>Merivon</w:t>
            </w:r>
            <w:proofErr w:type="spellEnd"/>
            <w:r w:rsidRPr="002B3FDB">
              <w:rPr>
                <w:rFonts w:ascii="Arial" w:hAnsi="Arial" w:cs="Arial"/>
                <w:sz w:val="20"/>
              </w:rPr>
              <w:t xml:space="preserve"> 42.52 % SC</w:t>
            </w:r>
          </w:p>
        </w:tc>
        <w:tc>
          <w:tcPr>
            <w:tcW w:w="2835" w:type="dxa"/>
            <w:vAlign w:val="center"/>
          </w:tcPr>
          <w:p w14:paraId="66DCDED2"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 xml:space="preserve">SDHI + </w:t>
            </w:r>
            <w:proofErr w:type="spellStart"/>
            <w:r w:rsidRPr="002B3FDB">
              <w:rPr>
                <w:rFonts w:ascii="Arial" w:hAnsi="Arial" w:cs="Arial"/>
                <w:sz w:val="20"/>
              </w:rPr>
              <w:t>QoI</w:t>
            </w:r>
            <w:proofErr w:type="spellEnd"/>
            <w:r w:rsidRPr="002B3FDB">
              <w:rPr>
                <w:rFonts w:ascii="Arial" w:hAnsi="Arial" w:cs="Arial"/>
                <w:sz w:val="20"/>
              </w:rPr>
              <w:t xml:space="preserve"> (dual action)</w:t>
            </w:r>
          </w:p>
        </w:tc>
      </w:tr>
      <w:tr w:rsidR="002B3FDB" w:rsidRPr="002B3FDB" w14:paraId="2F1B1934" w14:textId="77777777" w:rsidTr="00553013">
        <w:trPr>
          <w:trHeight w:val="397"/>
        </w:trPr>
        <w:tc>
          <w:tcPr>
            <w:tcW w:w="567" w:type="dxa"/>
            <w:vAlign w:val="center"/>
          </w:tcPr>
          <w:p w14:paraId="04D00559" w14:textId="77777777" w:rsidR="002B3FDB" w:rsidRPr="002B3FDB" w:rsidRDefault="002B3FDB" w:rsidP="00E64AA5">
            <w:pPr>
              <w:spacing w:line="480" w:lineRule="auto"/>
              <w:jc w:val="center"/>
              <w:rPr>
                <w:rFonts w:ascii="Arial" w:hAnsi="Arial" w:cs="Arial"/>
                <w:sz w:val="20"/>
              </w:rPr>
            </w:pPr>
            <w:r w:rsidRPr="002B3FDB">
              <w:rPr>
                <w:rFonts w:ascii="Arial" w:hAnsi="Arial" w:cs="Arial"/>
                <w:sz w:val="20"/>
              </w:rPr>
              <w:t>8.</w:t>
            </w:r>
          </w:p>
        </w:tc>
        <w:tc>
          <w:tcPr>
            <w:tcW w:w="2977" w:type="dxa"/>
            <w:vAlign w:val="center"/>
          </w:tcPr>
          <w:p w14:paraId="3B69CED2"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Tricyclazole 18 % + Mancozeb 62 % WP</w:t>
            </w:r>
          </w:p>
        </w:tc>
        <w:tc>
          <w:tcPr>
            <w:tcW w:w="1843" w:type="dxa"/>
            <w:vAlign w:val="center"/>
          </w:tcPr>
          <w:p w14:paraId="65301D90"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Merger 80 % WP</w:t>
            </w:r>
          </w:p>
        </w:tc>
        <w:tc>
          <w:tcPr>
            <w:tcW w:w="2835" w:type="dxa"/>
            <w:vAlign w:val="center"/>
          </w:tcPr>
          <w:p w14:paraId="01EAFDE6" w14:textId="77777777" w:rsidR="002B3FDB" w:rsidRPr="002B3FDB" w:rsidRDefault="002B3FDB" w:rsidP="00553013">
            <w:pPr>
              <w:spacing w:line="480" w:lineRule="auto"/>
              <w:jc w:val="center"/>
              <w:rPr>
                <w:rFonts w:ascii="Arial" w:hAnsi="Arial" w:cs="Arial"/>
                <w:sz w:val="20"/>
              </w:rPr>
            </w:pPr>
            <w:r w:rsidRPr="002B3FDB">
              <w:rPr>
                <w:rFonts w:ascii="Arial" w:hAnsi="Arial" w:cs="Arial"/>
                <w:sz w:val="20"/>
              </w:rPr>
              <w:t>Melanin biosynthesis inhibitor + multi-site</w:t>
            </w:r>
          </w:p>
        </w:tc>
      </w:tr>
    </w:tbl>
    <w:p w14:paraId="1001C4A1" w14:textId="599742DE" w:rsidR="002B3FDB" w:rsidRDefault="00131498" w:rsidP="002B3FDB">
      <w:pPr>
        <w:rPr>
          <w:rFonts w:ascii="Arial" w:hAnsi="Arial" w:cs="Arial"/>
        </w:rPr>
      </w:pPr>
      <w:r>
        <w:rPr>
          <w:rFonts w:ascii="Arial" w:hAnsi="Arial" w:cs="Arial"/>
        </w:rPr>
        <w:t xml:space="preserve"> </w:t>
      </w:r>
      <w:r w:rsidR="002B3FDB" w:rsidRPr="00795859">
        <w:rPr>
          <w:rFonts w:ascii="Arial" w:hAnsi="Arial" w:cs="Arial"/>
        </w:rPr>
        <w:t xml:space="preserve">QOI: Quinone Outside Inhibitor, DMI: </w:t>
      </w:r>
      <w:proofErr w:type="spellStart"/>
      <w:r w:rsidR="002B3FDB" w:rsidRPr="00795859">
        <w:rPr>
          <w:rFonts w:ascii="Arial" w:hAnsi="Arial" w:cs="Arial"/>
        </w:rPr>
        <w:t>Demthylation</w:t>
      </w:r>
      <w:proofErr w:type="spellEnd"/>
      <w:r w:rsidR="002B3FDB" w:rsidRPr="00795859">
        <w:rPr>
          <w:rFonts w:ascii="Arial" w:hAnsi="Arial" w:cs="Arial"/>
        </w:rPr>
        <w:t xml:space="preserve"> Inhibitor, </w:t>
      </w:r>
    </w:p>
    <w:p w14:paraId="2EE11275" w14:textId="2F3008FF" w:rsidR="002B3FDB" w:rsidRPr="00795859" w:rsidRDefault="00131498" w:rsidP="002B3FDB">
      <w:pPr>
        <w:rPr>
          <w:rFonts w:ascii="Arial" w:hAnsi="Arial" w:cs="Arial"/>
        </w:rPr>
      </w:pPr>
      <w:r>
        <w:rPr>
          <w:rFonts w:ascii="Arial" w:hAnsi="Arial" w:cs="Arial"/>
        </w:rPr>
        <w:t xml:space="preserve"> </w:t>
      </w:r>
      <w:r w:rsidR="002B3FDB" w:rsidRPr="00795859">
        <w:rPr>
          <w:rFonts w:ascii="Arial" w:hAnsi="Arial" w:cs="Arial"/>
        </w:rPr>
        <w:t>SDHI: Succinate</w:t>
      </w:r>
      <w:r w:rsidR="002B3FDB">
        <w:rPr>
          <w:rFonts w:ascii="Arial" w:hAnsi="Arial" w:cs="Arial"/>
        </w:rPr>
        <w:t xml:space="preserve"> </w:t>
      </w:r>
      <w:r w:rsidR="002B3FDB" w:rsidRPr="00795859">
        <w:rPr>
          <w:rFonts w:ascii="Arial" w:hAnsi="Arial" w:cs="Arial"/>
        </w:rPr>
        <w:t>Dehydrogenase Inhibitor.</w:t>
      </w:r>
    </w:p>
    <w:p w14:paraId="1005B094" w14:textId="77777777" w:rsidR="002B3FDB" w:rsidRPr="009F4598" w:rsidRDefault="002B3FDB" w:rsidP="009F4598">
      <w:pPr>
        <w:spacing w:after="160"/>
        <w:jc w:val="both"/>
        <w:rPr>
          <w:rFonts w:ascii="Arial" w:eastAsia="Aptos" w:hAnsi="Arial" w:cs="Arial"/>
          <w:kern w:val="2"/>
          <w:lang w:val="en-IN"/>
        </w:rPr>
      </w:pPr>
    </w:p>
    <w:p w14:paraId="4EE9873E"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To perform the poisoned food technique, autoclaved molten PDA medium was first prepared and mixed with adequate concentration of each fungicide to create the medium suspensions. Approximately, 20ml of this amended medium was poured to sterile Petri dishes and allowed to solidify under sterile conditions. Three replications were maintained for each fungicide and control (without the fungicide).  After solidification, using a sterile </w:t>
      </w:r>
      <w:proofErr w:type="spellStart"/>
      <w:r w:rsidRPr="009F4598">
        <w:rPr>
          <w:rFonts w:ascii="Arial" w:eastAsia="Aptos" w:hAnsi="Arial" w:cs="Arial"/>
          <w:kern w:val="2"/>
          <w:lang w:val="en-IN"/>
        </w:rPr>
        <w:t>cork</w:t>
      </w:r>
      <w:proofErr w:type="spellEnd"/>
      <w:r w:rsidRPr="009F4598">
        <w:rPr>
          <w:rFonts w:ascii="Arial" w:eastAsia="Aptos" w:hAnsi="Arial" w:cs="Arial"/>
          <w:kern w:val="2"/>
          <w:lang w:val="en-IN"/>
        </w:rPr>
        <w:t xml:space="preserve"> borer, five mm mycelial discs of actively growing margin of seven-day old culture were aseptically cut. Using a flame sterilized inoculation needle, the disc was carefully placed at the centre of the solidified amended medium to corroborate the growth rate. A control plate was also maintained for comparison. The inoculated Petri plates were wrapped and maintained under sterile condition at 28±1°C. Observations were taken when the pathogen mycelium reach full growth in control plate. Two orthogonal diagonal measurements (0° and 90° angles) of mycelium were taken in control and other inoculated plates and then the average values of these diameters were calculated. Lastly, the following equation by Vincent was used to calculate the per cent suppression of mycelial growth of pathogen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3tiIISq2","properties":{"formattedCitation":"[9]","plainCitation":"[9]","noteIndex":0},"citationItems":[{"id":580,"uris":["http://zotero.org/users/local/5ucmndSA/items/FSKRPJIU"],"itemData":{"id":580,"type":"article-journal","container-title":"Nature","DOI":"10.1038/159850b0","ISSN":"0028-0836, 1476-4687","issue":"4051","journalAbbreviation":"Nature","language":"en","license":"https://www.springernature.com/gp/researchers/text-and-data-mining","page":"850-850","source":"DOI.org (Crossref)","title":"Distortion of Fungal Hyphæ in the Presence of Certain Inhibitors","volume":"159","author":[{"family":"Vincent","given":"J. M."}],"issued":{"date-parts":[["1947",6,21]]}}}],"schema":"https://github.com/citation-style-language/schema/raw/master/csl-citation.json"}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[9]</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w:t>
      </w:r>
    </w:p>
    <w:p w14:paraId="47CA4980" w14:textId="77777777" w:rsidR="00553013" w:rsidRDefault="00553013" w:rsidP="009F4598">
      <w:pPr>
        <w:spacing w:after="160"/>
        <w:jc w:val="both"/>
        <w:rPr>
          <w:rFonts w:ascii="Arial" w:eastAsia="Aptos" w:hAnsi="Arial" w:cs="Arial"/>
          <w:kern w:val="2"/>
          <w:lang w:val="en-IN"/>
        </w:rPr>
      </w:pPr>
    </w:p>
    <w:p w14:paraId="6FF6276B" w14:textId="54B53BF7" w:rsidR="009F4598" w:rsidRPr="009F4598" w:rsidRDefault="009F4598" w:rsidP="009F4598">
      <w:pPr>
        <w:spacing w:after="160"/>
        <w:jc w:val="both"/>
        <w:rPr>
          <w:rFonts w:ascii="Arial" w:hAnsi="Arial" w:cs="Arial"/>
          <w:iCs/>
          <w:kern w:val="2"/>
          <w:lang w:val="en-IN"/>
        </w:rPr>
      </w:pPr>
      <m:oMathPara>
        <m:oMath>
          <m:r>
            <m:rPr>
              <m:sty m:val="p"/>
            </m:rPr>
            <w:rPr>
              <w:rFonts w:ascii="Cambria Math" w:eastAsia="Aptos" w:hAnsi="Cambria Math" w:cs="Arial"/>
              <w:kern w:val="2"/>
              <w:lang w:val="en-IN"/>
            </w:rPr>
            <m:t>I=</m:t>
          </m:r>
          <m:d>
            <m:dPr>
              <m:begChr m:val="["/>
              <m:endChr m:val="]"/>
              <m:ctrlPr>
                <w:rPr>
                  <w:rFonts w:ascii="Cambria Math" w:eastAsia="Aptos" w:hAnsi="Cambria Math" w:cs="Arial"/>
                  <w:iCs/>
                  <w:kern w:val="2"/>
                  <w:lang w:val="en-IN"/>
                </w:rPr>
              </m:ctrlPr>
            </m:dPr>
            <m:e>
              <m:d>
                <m:dPr>
                  <m:ctrlPr>
                    <w:rPr>
                      <w:rFonts w:ascii="Cambria Math" w:eastAsia="Aptos" w:hAnsi="Cambria Math" w:cs="Arial"/>
                      <w:iCs/>
                      <w:kern w:val="2"/>
                      <w:lang w:val="en-IN"/>
                    </w:rPr>
                  </m:ctrlPr>
                </m:dPr>
                <m:e>
                  <m:r>
                    <m:rPr>
                      <m:sty m:val="p"/>
                    </m:rPr>
                    <w:rPr>
                      <w:rFonts w:ascii="Cambria Math" w:eastAsia="Aptos" w:hAnsi="Cambria Math" w:cs="Arial"/>
                      <w:kern w:val="2"/>
                      <w:lang w:val="en-IN"/>
                    </w:rPr>
                    <m:t>C-T</m:t>
                  </m:r>
                </m:e>
              </m:d>
              <m:r>
                <m:rPr>
                  <m:sty m:val="p"/>
                </m:rPr>
                <w:rPr>
                  <w:rFonts w:ascii="Cambria Math" w:eastAsia="Aptos" w:hAnsi="Cambria Math" w:cs="Arial"/>
                  <w:kern w:val="2"/>
                  <w:lang w:val="en-IN"/>
                </w:rPr>
                <m:t>÷C</m:t>
              </m:r>
            </m:e>
          </m:d>
          <m:r>
            <m:rPr>
              <m:sty m:val="p"/>
            </m:rPr>
            <w:rPr>
              <w:rFonts w:ascii="Cambria Math" w:eastAsia="Aptos" w:hAnsi="Cambria Math" w:cs="Arial"/>
              <w:kern w:val="2"/>
              <w:lang w:val="en-IN"/>
            </w:rPr>
            <m:t>×100</m:t>
          </m:r>
        </m:oMath>
      </m:oMathPara>
    </w:p>
    <w:p w14:paraId="5153222A"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Where, I = Percent mycelial growth inhibition; </w:t>
      </w:r>
    </w:p>
    <w:p w14:paraId="7D528D7B"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C = Mean diameter (cm) of mycelial growth in control </w:t>
      </w:r>
    </w:p>
    <w:p w14:paraId="630A9AEC" w14:textId="77777777" w:rsidR="009F4598" w:rsidRP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 xml:space="preserve">T = Mean diameter (cm) of mycelial growth in treatment </w:t>
      </w:r>
    </w:p>
    <w:p w14:paraId="28E637A9" w14:textId="68F207E1" w:rsidR="009F4598" w:rsidRDefault="009F4598" w:rsidP="009F4598">
      <w:pPr>
        <w:spacing w:after="160"/>
        <w:jc w:val="both"/>
        <w:rPr>
          <w:rFonts w:ascii="Arial" w:eastAsia="Aptos" w:hAnsi="Arial" w:cs="Arial"/>
          <w:kern w:val="2"/>
          <w:lang w:val="en-IN"/>
        </w:rPr>
      </w:pPr>
      <w:r w:rsidRPr="009F4598">
        <w:rPr>
          <w:rFonts w:ascii="Arial" w:eastAsia="Aptos" w:hAnsi="Arial" w:cs="Arial"/>
          <w:kern w:val="2"/>
          <w:lang w:val="en-IN"/>
        </w:rPr>
        <w:t>The statistical analysis was done using SPSS software and Duncan's multiple range test Duncan was also performed for interpretation of the results</w:t>
      </w:r>
      <w:r>
        <w:rPr>
          <w:rFonts w:ascii="Arial" w:eastAsia="Aptos" w:hAnsi="Arial" w:cs="Arial"/>
          <w:kern w:val="2"/>
          <w:lang w:val="en-IN"/>
        </w:rPr>
        <w:t xml:space="preserve"> </w:t>
      </w:r>
      <w:r w:rsidRPr="009F4598">
        <w:rPr>
          <w:rFonts w:ascii="Arial" w:eastAsia="Aptos" w:hAnsi="Arial" w:cs="Arial"/>
          <w:kern w:val="2"/>
          <w:lang w:val="en-IN"/>
        </w:rPr>
        <w:fldChar w:fldCharType="begin"/>
      </w:r>
      <w:r w:rsidRPr="009F4598">
        <w:rPr>
          <w:rFonts w:ascii="Arial" w:eastAsia="Aptos" w:hAnsi="Arial" w:cs="Arial"/>
          <w:kern w:val="2"/>
          <w:lang w:val="en-IN"/>
        </w:rPr>
        <w:instrText xml:space="preserve"> ADDIN ZOTERO_ITEM CSL_CITATION {"citationID":"jqfzC6RQ","properties":{"formattedCitation":"[10]","plainCitation":"[10]","noteIndex":0},"citationItems":[{"id":581,"uris":["http://zotero.org/users/local/5ucmndSA/items/MV6FDDLU"],"itemData":{"id":581,"type":"article-journal","container-title":"Biometrics","DOI":"10.2307/3001478","ISSN":"0006341X","issue":"1","journalAbbreviation":"Biometrics","page":"1","source":"DOI.org (Crossref)","title":"Multiple Range and Multiple F Tests","volume":"11","author":[{"family":"Duncan","given":"David B."}],"issued":{"date-parts":[["1955",3]]}}}],"schema":"https://github.com/citation-style-language/schema/raw/master/csl-citation.json"} </w:instrText>
      </w:r>
      <w:r w:rsidRPr="009F4598">
        <w:rPr>
          <w:rFonts w:ascii="Arial" w:eastAsia="Aptos" w:hAnsi="Arial" w:cs="Arial"/>
          <w:kern w:val="2"/>
          <w:lang w:val="en-IN"/>
        </w:rPr>
        <w:fldChar w:fldCharType="separate"/>
      </w:r>
      <w:r w:rsidRPr="009F4598">
        <w:rPr>
          <w:rFonts w:ascii="Arial" w:eastAsia="Aptos" w:hAnsi="Arial" w:cs="Arial"/>
          <w:kern w:val="2"/>
          <w:lang w:val="en-IN"/>
        </w:rPr>
        <w:t>[10]</w:t>
      </w:r>
      <w:r w:rsidRPr="009F4598">
        <w:rPr>
          <w:rFonts w:ascii="Arial" w:eastAsia="Aptos" w:hAnsi="Arial" w:cs="Arial"/>
          <w:kern w:val="2"/>
          <w:lang w:val="en-IN"/>
        </w:rPr>
        <w:fldChar w:fldCharType="end"/>
      </w:r>
      <w:r w:rsidRPr="009F4598">
        <w:rPr>
          <w:rFonts w:ascii="Arial" w:eastAsia="Aptos" w:hAnsi="Arial" w:cs="Arial"/>
          <w:kern w:val="2"/>
          <w:lang w:val="en-IN"/>
        </w:rPr>
        <w:t xml:space="preserve">. The heatmap was generated using python coding in </w:t>
      </w:r>
      <w:proofErr w:type="spellStart"/>
      <w:r w:rsidRPr="009F4598">
        <w:rPr>
          <w:rFonts w:ascii="Arial" w:eastAsia="Aptos" w:hAnsi="Arial" w:cs="Arial"/>
          <w:kern w:val="2"/>
          <w:lang w:val="en-IN"/>
        </w:rPr>
        <w:t>Jupyter</w:t>
      </w:r>
      <w:proofErr w:type="spellEnd"/>
      <w:r w:rsidRPr="009F4598">
        <w:rPr>
          <w:rFonts w:ascii="Arial" w:eastAsia="Aptos" w:hAnsi="Arial" w:cs="Arial"/>
          <w:kern w:val="2"/>
          <w:lang w:val="en-IN"/>
        </w:rPr>
        <w:t xml:space="preserve"> Notebook. </w:t>
      </w:r>
    </w:p>
    <w:p w14:paraId="252E1BF0" w14:textId="25669B2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F2942F" w14:textId="77777777" w:rsidR="00790ADA" w:rsidRPr="00FB3A86" w:rsidRDefault="00790ADA" w:rsidP="00441B6F">
      <w:pPr>
        <w:pStyle w:val="Head1"/>
        <w:spacing w:after="0"/>
        <w:jc w:val="both"/>
        <w:rPr>
          <w:rFonts w:ascii="Arial" w:hAnsi="Arial" w:cs="Arial"/>
        </w:rPr>
      </w:pPr>
    </w:p>
    <w:p w14:paraId="0050C982" w14:textId="135EDEC1" w:rsidR="00131498" w:rsidRPr="00131498" w:rsidRDefault="002B3FDB" w:rsidP="00131498">
      <w:pPr>
        <w:spacing w:after="160"/>
        <w:jc w:val="both"/>
        <w:rPr>
          <w:rFonts w:ascii="Arial" w:eastAsia="Aptos" w:hAnsi="Arial" w:cs="Arial"/>
          <w:i/>
          <w:iCs/>
          <w:kern w:val="2"/>
          <w:lang w:val="en-IN"/>
        </w:rPr>
      </w:pPr>
      <w:r w:rsidRPr="002B3FDB">
        <w:rPr>
          <w:rFonts w:ascii="Arial" w:eastAsia="Aptos" w:hAnsi="Arial" w:cs="Arial"/>
          <w:kern w:val="2"/>
          <w:lang w:val="en-IN"/>
        </w:rPr>
        <w:t xml:space="preserve">The </w:t>
      </w:r>
      <w:r w:rsidRPr="002B3FDB">
        <w:rPr>
          <w:rFonts w:ascii="Arial" w:eastAsia="Aptos" w:hAnsi="Arial" w:cs="Arial"/>
          <w:i/>
          <w:iCs/>
          <w:kern w:val="2"/>
          <w:lang w:val="en-IN"/>
        </w:rPr>
        <w:t xml:space="preserve">In vitro </w:t>
      </w:r>
      <w:r w:rsidRPr="002B3FDB">
        <w:rPr>
          <w:rFonts w:ascii="Arial" w:eastAsia="Aptos" w:hAnsi="Arial" w:cs="Arial"/>
          <w:kern w:val="2"/>
          <w:lang w:val="en-IN"/>
        </w:rPr>
        <w:t xml:space="preserve">evaluation was aimed for screening new generation fungicides using poison food technique. The fungicides </w:t>
      </w:r>
      <w:proofErr w:type="spellStart"/>
      <w:r w:rsidRPr="002B3FDB">
        <w:rPr>
          <w:rFonts w:ascii="Arial" w:eastAsia="Aptos" w:hAnsi="Arial" w:cs="Arial"/>
          <w:kern w:val="2"/>
          <w:lang w:val="en-IN"/>
        </w:rPr>
        <w:t>Difenconazole</w:t>
      </w:r>
      <w:proofErr w:type="spellEnd"/>
      <w:r w:rsidRPr="002B3FDB">
        <w:rPr>
          <w:rFonts w:ascii="Arial" w:eastAsia="Aptos" w:hAnsi="Arial" w:cs="Arial"/>
          <w:kern w:val="2"/>
          <w:lang w:val="en-IN"/>
        </w:rPr>
        <w:t xml:space="preserve"> 25% EC, Propiconazole 25% EC, Hexaconazole 5% EC, Azoxystrobin 23% SC,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Fluxapyroxad 21.26 % + </w:t>
      </w:r>
      <w:proofErr w:type="spellStart"/>
      <w:r w:rsidRPr="002B3FDB">
        <w:rPr>
          <w:rFonts w:ascii="Arial" w:eastAsia="Aptos" w:hAnsi="Arial" w:cs="Arial"/>
          <w:kern w:val="2"/>
          <w:lang w:val="en-IN"/>
        </w:rPr>
        <w:t>Pyraclostrobin</w:t>
      </w:r>
      <w:proofErr w:type="spellEnd"/>
      <w:r w:rsidRPr="002B3FDB">
        <w:rPr>
          <w:rFonts w:ascii="Arial" w:eastAsia="Aptos" w:hAnsi="Arial" w:cs="Arial"/>
          <w:kern w:val="2"/>
          <w:lang w:val="en-IN"/>
        </w:rPr>
        <w:t xml:space="preserve"> 21.26 % SC and Tricyclazole 18 % + Mancozeb 62 % WP were evaluated at three different concentrations of 0.1, 0.15 and 0.2 per cent. It was observed that cent per cent significant inhibition of mycelium growth of pathogen was shown by three combi products (Carbendazim 12% + Mancozeb 63% WP,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and Tricyclazole 18 % + Mancozeb 62 % WP) </w:t>
      </w:r>
      <w:r w:rsidRPr="002B3FDB">
        <w:rPr>
          <w:rFonts w:ascii="Arial" w:eastAsia="Aptos" w:hAnsi="Arial" w:cs="Arial"/>
          <w:kern w:val="2"/>
          <w:lang w:val="en-IN"/>
        </w:rPr>
        <w:lastRenderedPageBreak/>
        <w:t xml:space="preserve">and one systemic triazole fungicide Propiconazole 25% EC (FRAC Group 3) at all three concentrations (Fig. 1). The combi product Fluxapyroxad 21.26 % + </w:t>
      </w:r>
      <w:proofErr w:type="spellStart"/>
      <w:r w:rsidRPr="002B3FDB">
        <w:rPr>
          <w:rFonts w:ascii="Arial" w:eastAsia="Aptos" w:hAnsi="Arial" w:cs="Arial"/>
          <w:kern w:val="2"/>
          <w:lang w:val="en-IN"/>
        </w:rPr>
        <w:t>Pyraclostrobin</w:t>
      </w:r>
      <w:proofErr w:type="spellEnd"/>
      <w:r w:rsidRPr="002B3FDB">
        <w:rPr>
          <w:rFonts w:ascii="Arial" w:eastAsia="Aptos" w:hAnsi="Arial" w:cs="Arial"/>
          <w:kern w:val="2"/>
          <w:lang w:val="en-IN"/>
        </w:rPr>
        <w:t xml:space="preserve"> 21.26 % SC was the next effective fungicide (100%) at 0.15 and 0.20 per cent concentration followed by 93.33 per cent inhibition at 0.1 per cent concentration (Table 2 and Plate 1). The least inhibition per cent of pathogen mycelium was shown by the Azoxystrobin 23% SC (49.75%). The other two triazole fungicides showed 87.28 per cent inhibition by </w:t>
      </w:r>
      <w:proofErr w:type="spellStart"/>
      <w:r w:rsidRPr="002B3FDB">
        <w:rPr>
          <w:rFonts w:ascii="Arial" w:eastAsia="Aptos" w:hAnsi="Arial" w:cs="Arial"/>
          <w:kern w:val="2"/>
          <w:lang w:val="en-IN"/>
        </w:rPr>
        <w:t>Difenconazole</w:t>
      </w:r>
      <w:proofErr w:type="spellEnd"/>
      <w:r w:rsidRPr="002B3FDB">
        <w:rPr>
          <w:rFonts w:ascii="Arial" w:eastAsia="Aptos" w:hAnsi="Arial" w:cs="Arial"/>
          <w:kern w:val="2"/>
          <w:lang w:val="en-IN"/>
        </w:rPr>
        <w:t xml:space="preserve"> 25% EC and 81.85 per cent inhibition by Hexaconazole 5% EC. The results were illustrated in the form of heatmap which shows that there is an increasing per cent inhibition of pathogen mycelium with increase in concentration of fungicides. The fungicide Azoxystrobin 23% SC exhibited variability in per cent inhibition across all concentrations (Fig. 2). This findings align with the result by Patel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{"citationID":"JK8dQ8u5","properties":{"formattedCitation":"[11]","plainCitation":"[11]","noteIndex":0},"citationItems":[{"id":582,"uris":["http://zotero.org/users/local/5ucmndSA/items/7L739ARM"],"itemData":{"id":582,"type":"article-journal","abstract":"Background: Green gram (Vigna radiata L.) is one of the most important legume crops which is a rich source of protein (24.5%), fat (1.3%), Minerals (3.5%) and Carbohydrates (56.7%). Anthracnose disease of green gram caused by Colletotrichum truncatum is a major fungal disease causing serious loss of 24 to 67% both qualitative and quantitatively. Fungicide-resistant strains can develop due to excessive use of fungicides with similar actions. To avoid this, it is necessary to use fungicides having novel modes of action to lessen selection pressure, develop resistance and successfully manage infections over the long term. The current study aimed to test the efficacy of some fungicides against anthracnose of green gram under in vitro and pot conditions. Methods: A total of 10 different fungicides were tested at three different concentrations (0.10, 0.15 and 0.20%) against the pathogen by poisoned food technique and a pot culture experiment was also conducted in protected structure (poly house) on green gram susceptible variety ‘MH-421’ against this disease during Kharif season of 2023 at Hi-Tech Nursery, S.K. Rajasthan Agricultural University Bikaner, Rajasthan, India. Result: Among 11 treatments of fungicides, propiconazole at all concentrations, tebuconazole at 0.15 and 0.20% and carbendazim+ mancozeb at 0.20% gave 100% inhibition of growth of the pathogen. In the pot culture experiment, the least disease incidence was recorded in the treatment sprayed with propiconazole (0.10%) among tested fungicides.","container-title":"Agricultural Science Digest - A Research Journal","DOI":"10.18805/ag.D-6043","ISSN":"0976-0547, 0253-150X","issue":"Of","journalAbbreviation":"ASD","source":"DOI.org (Crossref)","title":"Evaluation of Fungicides against Anthracnose Disease in Green Gram under in vitro and Pot Conditions","URL":"https://arccjournals.com/journal/agricultural-science-digest/D-6043","author":[{"family":"Patel","given":"Kailash"},{"family":"Yadav","given":"A.L."},{"family":"Kumhar","given":"D.R."},{"family":"Kumar","given":"Ashok"},{"family":"Acharya","given":"V.S."},{"family":"Jakhar","given":"Mukesh"},{"family":"Maheshwari","given":"S.K."}],"accessed":{"date-parts":[["2025",5,28]]},"issued":{"date-parts":[["2024",12,13]]}}}],"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[11]</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which reported that have reported Propiconazole 25% EC at all concentrations and Carbendazim 12% + Mancozeb 63% WP at 0.20% gave cent per cent inhibition to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truncatum</w:t>
      </w:r>
      <w:proofErr w:type="spellEnd"/>
      <w:r w:rsidRPr="002B3FDB">
        <w:rPr>
          <w:rFonts w:ascii="Arial" w:eastAsia="Aptos" w:hAnsi="Arial" w:cs="Arial"/>
          <w:kern w:val="2"/>
          <w:lang w:val="en-IN"/>
        </w:rPr>
        <w:t xml:space="preserve"> in </w:t>
      </w:r>
      <w:proofErr w:type="spellStart"/>
      <w:r w:rsidRPr="002B3FDB">
        <w:rPr>
          <w:rFonts w:ascii="Arial" w:eastAsia="Aptos" w:hAnsi="Arial" w:cs="Arial"/>
          <w:kern w:val="2"/>
          <w:lang w:val="en-IN"/>
        </w:rPr>
        <w:t>mungbean</w:t>
      </w:r>
      <w:proofErr w:type="spellEnd"/>
      <w:r w:rsidRPr="002B3FDB">
        <w:rPr>
          <w:rFonts w:ascii="Arial" w:eastAsia="Aptos" w:hAnsi="Arial" w:cs="Arial"/>
          <w:kern w:val="2"/>
          <w:lang w:val="en-IN"/>
        </w:rPr>
        <w:t xml:space="preserve">. Similarly, </w:t>
      </w:r>
      <w:proofErr w:type="spellStart"/>
      <w:r w:rsidRPr="002B3FDB">
        <w:rPr>
          <w:rFonts w:ascii="Arial" w:eastAsia="Aptos" w:hAnsi="Arial" w:cs="Arial"/>
          <w:kern w:val="2"/>
          <w:lang w:val="en-IN"/>
        </w:rPr>
        <w:t>Purushotham</w:t>
      </w:r>
      <w:proofErr w:type="spellEnd"/>
      <w:r w:rsidRPr="002B3FDB">
        <w:rPr>
          <w:rFonts w:ascii="Arial" w:eastAsia="Aptos" w:hAnsi="Arial" w:cs="Arial"/>
          <w:kern w:val="2"/>
          <w:lang w:val="en-IN"/>
        </w:rPr>
        <w:t xml:space="preserve">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{"citationID":"STrnf8xr","properties":{"formattedCitation":"[12]","plainCitation":"[12]","noteIndex":0},"citationItems":[{"id":584,"uris":["http://zotero.org/users/local/5ucmndSA/items/GE5CV4GT"],"itemData":{"id":584,"type":"article-journal","abstract":"Background: Anthracnose is currently a severe threat to green gram cultivation in India. In vitro bioassay and glasshouse studies were performed to evaluate the effectiveness of different fungicides against Collectotrichum lindemuthianum. Methods: The current investigation was conducted at the Department of Plant Pathology, N.M. College of Agriculture, Navsari Agricultural University, Navsari, Gujarat in 2020-21. The poison food technique assessed the efficacy of systemic, non-systemic and combination fungicides against C. lindemuthianum. The management study was also carried out from the best-performing bioassay treatments and evaluated in the glasshouse. Result: At 500 ppm, carbendazim 50 WP and propiconazole 25 EC inhibited 100% of mycelial growth out of six systemic fungicides tested while in non-systemic fungicides, mancozeb 75 WP and chlorothalonil 75 WP inhibited the test pathogen the most at 2500 ppm. Among the combi-fungicides tested at 500 ppm, carbendazim (12%) + mancozeb (63%) 75 WP and captan 70% + hexaconazole 5% 75 WP inhibited pathogen mycelial growth the most significantly more than the untreated control. In glasshouse studies, the lowest disease index was found in two foliar sprays of carbendazim 50 WP @ 1.0 g/l, propiconazole 25 EC @ 2.0 ml/l and captan 70% + hexaconazole 5% @ 0.6 g/l spaced 15 days apart. On the other hand, seed treatment of carbendazim 12% + mancozeb 63% @ 3.0 g/kg seed and mancozeb 75 WP @ 3.0 g/kg seed had the lowest disease index compared to control.","container-title":"LEGUME RESEARCH - AN INTERNATIONAL JOURNAL","DOI":"10.18805/LR-5137","ISSN":"0976-0571, 0250-5371","issue":"Of","journalAbbreviation":"LR","source":"DOI.org (Crossref)","title":"Effectiveness of Fungicides against Colletotrichum lindemuthianum Causing Anthracnose of Green Gram [Vigna radiata (L.) Wilczek]","URL":"https://arccjournals.com/journal/legume-research-an-international-journal/LR-5137","author":[{"family":"Purushotham","given":"Pooja"},{"family":"Rakholiya","given":"K.B."},{"family":"Vanani","given":"K.D."}],"accessed":{"date-parts":[["2025",5,28]]},"issued":{"date-parts":[["2023",10,9]]}}}],"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[12]</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evaluated the efficacy of six fungicides </w:t>
      </w:r>
      <w:r w:rsidRPr="002B3FDB">
        <w:rPr>
          <w:rFonts w:ascii="Arial" w:eastAsia="Aptos" w:hAnsi="Arial" w:cs="Arial"/>
          <w:i/>
          <w:iCs/>
          <w:kern w:val="2"/>
          <w:lang w:val="en-IN"/>
        </w:rPr>
        <w:t>in vitro</w:t>
      </w:r>
      <w:r w:rsidRPr="002B3FDB">
        <w:rPr>
          <w:rFonts w:ascii="Arial" w:eastAsia="Aptos" w:hAnsi="Arial" w:cs="Arial"/>
          <w:kern w:val="2"/>
          <w:lang w:val="en-IN"/>
        </w:rPr>
        <w:t xml:space="preserve">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lindemuthianum</w:t>
      </w:r>
      <w:proofErr w:type="spellEnd"/>
      <w:r w:rsidRPr="002B3FDB">
        <w:rPr>
          <w:rFonts w:ascii="Arial" w:eastAsia="Aptos" w:hAnsi="Arial" w:cs="Arial"/>
          <w:i/>
          <w:iCs/>
          <w:kern w:val="2"/>
          <w:lang w:val="en-IN"/>
        </w:rPr>
        <w:t xml:space="preserve"> </w:t>
      </w:r>
      <w:r w:rsidRPr="002B3FDB">
        <w:rPr>
          <w:rFonts w:ascii="Arial" w:eastAsia="Aptos" w:hAnsi="Arial" w:cs="Arial"/>
          <w:kern w:val="2"/>
          <w:lang w:val="en-IN"/>
        </w:rPr>
        <w:t xml:space="preserve">causing </w:t>
      </w:r>
      <w:proofErr w:type="spellStart"/>
      <w:r w:rsidRPr="002B3FDB">
        <w:rPr>
          <w:rFonts w:ascii="Arial" w:eastAsia="Aptos" w:hAnsi="Arial" w:cs="Arial"/>
          <w:kern w:val="2"/>
          <w:lang w:val="en-IN"/>
        </w:rPr>
        <w:t>mungbean</w:t>
      </w:r>
      <w:proofErr w:type="spellEnd"/>
      <w:r w:rsidRPr="002B3FDB">
        <w:rPr>
          <w:rFonts w:ascii="Arial" w:eastAsia="Aptos" w:hAnsi="Arial" w:cs="Arial"/>
          <w:kern w:val="2"/>
          <w:lang w:val="en-IN"/>
        </w:rPr>
        <w:t xml:space="preserve"> anthracnose and found that cent per cent inhibition was shown by propiconazole 25% EC at 500ppm. They reported that Carbendazim 12% + Mancozeb 63% WP showed better inhibition than single systemic products. Additionally, studies by </w:t>
      </w:r>
      <w:proofErr w:type="spellStart"/>
      <w:r w:rsidRPr="002B3FDB">
        <w:rPr>
          <w:rFonts w:ascii="Arial" w:eastAsia="Aptos" w:hAnsi="Arial" w:cs="Arial"/>
          <w:kern w:val="2"/>
          <w:lang w:val="en-IN"/>
        </w:rPr>
        <w:t>Pruthviraj</w:t>
      </w:r>
      <w:proofErr w:type="spellEnd"/>
      <w:r w:rsidRPr="002B3FDB">
        <w:rPr>
          <w:rFonts w:ascii="Arial" w:eastAsia="Aptos" w:hAnsi="Arial" w:cs="Arial"/>
          <w:kern w:val="2"/>
          <w:lang w:val="en-IN"/>
        </w:rPr>
        <w:t xml:space="preserve">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{"citationID":"btVWzT9G","properties":{"formattedCitation":"[13]","plainCitation":"[13]","noteIndex":0},"citationItems":[{"id":586,"uris":["http://zotero.org/users/local/5ucmndSA/items/2NWTTS8C"],"itemData":{"id":586,"type":"article-journal","container-title":"Crop Protection","DOI":"10.1016/j.cropro.2024.106598","ISSN":"02612194","journalAbbreviation":"Crop Protection","language":"en","page":"106598","source":"DOI.org (Crossref)","title":"In vitro and in vivo evaluation of fungicides against anthracnose disease on pomegranate (Punica granatum L.) caused by Colletotrichum gloeosporioides","volume":"178","author":[{"literal":"Pruthviraj"},{"family":"Ekabote","given":"Suresha D."},{"family":"Patil","given":"Balanagouda"},{"family":"Ramesh","given":"A.N."},{"family":"Onkarappa","given":"S."}],"issued":{"date-parts":[["2024",4]]}}}],"schema":"https://github.com/citation-style-language/schema/raw/master/csl-citation.json"}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[13]</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and Dev and </w:t>
      </w:r>
      <w:proofErr w:type="spellStart"/>
      <w:r w:rsidRPr="002B3FDB">
        <w:rPr>
          <w:rFonts w:ascii="Arial" w:eastAsia="Aptos" w:hAnsi="Arial" w:cs="Arial"/>
          <w:kern w:val="2"/>
          <w:lang w:val="en-IN"/>
        </w:rPr>
        <w:t>Narendrappa</w:t>
      </w:r>
      <w:proofErr w:type="spellEnd"/>
      <w:r w:rsidRPr="002B3FDB">
        <w:rPr>
          <w:rFonts w:ascii="Arial" w:eastAsia="Aptos" w:hAnsi="Arial" w:cs="Arial"/>
          <w:kern w:val="2"/>
          <w:lang w:val="en-IN"/>
        </w:rPr>
        <w:t xml:space="preserve">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{"citationID":"vjLN4BvJ","properties":{"formattedCitation":"[14]","plainCitation":"[14]","noteIndex":0},"citationItems":[{"id":587,"uris":["http://zotero.org/users/local/5ucmndSA/items/3FFQYWKJ"],"itemData":{"id":587,"type":"article-journal","abstract":"Pomegranate (Punica granatum L.) is a widely grown fruit in many regions of the world. Anthracnose of pomegranate is one of the limiting factor for low productivity and also the low market price. Therefore, the management of anthracnose disease is necessary. In this study new fungicide molecules are evaluated under in vitro condition against the mycelial growth of Colletotrichum gloeosporioides. In vitro screening of fungicides against C. gloeosporioides showed two combination product Hexaconazole + Zineb, Trifloxystrobin + Tebuconazole and a nonsystemic fungicide Captan showed cent percent inhibition at 100, 250, 500 and 1000 ppm concentration. Similarly, systemic fungicides Hexaconazole, Propiconazole, Penconazole, Tebuconazole and Carbendazim showed cent percent mycelial inhibition at 500, 1000 and 2000 ppm concentrations.","container-title":"Journal of Applied and Natural Science","DOI":"10.31018/jans.v8i4.1123","ISSN":"2231-5209, 0974-9411","issue":"4","journalAbbreviation":"JANS","license":"http://creativecommons.org/licenses/by-nc/4.0","page":"2268-2272","source":"DOI.org (Crossref)","title":"In vitro evaluation of fungicides against Colletotrichum gloeosporioides (Penz.) Penz and Sacc. causing anthracnose of pomegranate (Punica granatum L.)","volume":"8","author":[{"family":"Dev","given":"Devanshu"},{"family":"Narendrappa","given":"T."}],"issued":{"date-parts":[["2016",12,1]]}}}],"schema":"https://github.com/citation-style-language/schema/raw/master/csl-citation.json"}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[14]</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confirmed that Propiconazole 25% EC and Tebuconazole 50% + </w:t>
      </w:r>
      <w:proofErr w:type="spellStart"/>
      <w:r w:rsidRPr="002B3FDB">
        <w:rPr>
          <w:rFonts w:ascii="Arial" w:eastAsia="Aptos" w:hAnsi="Arial" w:cs="Arial"/>
          <w:kern w:val="2"/>
          <w:lang w:val="en-IN"/>
        </w:rPr>
        <w:t>Trifloxystrobin</w:t>
      </w:r>
      <w:proofErr w:type="spellEnd"/>
      <w:r w:rsidRPr="002B3FDB">
        <w:rPr>
          <w:rFonts w:ascii="Arial" w:eastAsia="Aptos" w:hAnsi="Arial" w:cs="Arial"/>
          <w:kern w:val="2"/>
          <w:lang w:val="en-IN"/>
        </w:rPr>
        <w:t xml:space="preserve"> 25% WG showed cent percent inhibition at all concentrations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gloeosporioides</w:t>
      </w:r>
      <w:proofErr w:type="spellEnd"/>
      <w:r w:rsidRPr="002B3FDB">
        <w:rPr>
          <w:rFonts w:ascii="Arial" w:eastAsia="Aptos" w:hAnsi="Arial" w:cs="Arial"/>
          <w:i/>
          <w:iCs/>
          <w:kern w:val="2"/>
          <w:lang w:val="en-IN"/>
        </w:rPr>
        <w:t xml:space="preserve"> </w:t>
      </w:r>
      <w:r w:rsidRPr="002B3FDB">
        <w:rPr>
          <w:rFonts w:ascii="Arial" w:eastAsia="Aptos" w:hAnsi="Arial" w:cs="Arial"/>
          <w:kern w:val="2"/>
          <w:lang w:val="en-IN"/>
        </w:rPr>
        <w:t xml:space="preserve">causing anthracnose of pomegranate. Cao et al </w:t>
      </w:r>
      <w:r w:rsidRPr="002B3FDB">
        <w:rPr>
          <w:rFonts w:ascii="Arial" w:eastAsia="Aptos" w:hAnsi="Arial" w:cs="Arial"/>
          <w:kern w:val="2"/>
          <w:lang w:val="en-IN"/>
        </w:rPr>
        <w:fldChar w:fldCharType="begin"/>
      </w:r>
      <w:r w:rsidRPr="002B3FDB">
        <w:rPr>
          <w:rFonts w:ascii="Arial" w:eastAsia="Aptos" w:hAnsi="Arial" w:cs="Arial"/>
          <w:kern w:val="2"/>
          <w:lang w:val="en-IN"/>
        </w:rPr>
        <w:instrText xml:space="preserve"> ADDIN ZOTERO_ITEM CSL_CITATION {"citationID":"1bhIa0wj","properties":{"formattedCitation":"[15]","plainCitation":"[15]","noteIndex":0},"citationItems":[{"id":591,"uris":["http://zotero.org/users/local/5ucmndSA/items/HRVGDE7F"],"itemData":{"id":591,"type":"article-journal","abstract":"Colletotrichum gloeosporioides and C. acutatum species complexes are causal agents of Colletotrichum leaf disease (CLD) of rubber trees worldwide. To determine the geographic distribution of Colletotrichum species complexes associated with CLD of rubber trees in Hainan, China, and their sensitivity to fungicides used in the region, a total of 275 Colletotrichum isolates were collected from 52 rubber tree plantations in 11 counties. These isolates were identified based jointly on morphological characteristics and PCR-based methodology. Of these isolates, 78 and 22% belonged to the C. gloeosporioides species complex (CGSC) and the C. acutatum complex (CASC), respectively. The incidence of CGSC isolates was greater than the CASC in all counties sampled. The incidence of CASC isolates appeared to be lower in the western and central south of Hainan than in other regions. There was no association in their presence at a given plantation between the two species complexes. The in vitro sensitivity of these two species complexes to carbendazim, chlorothalonil, and four demethylation inhibitor (DMI) fungicides (difenoconazole, propiconazole, myclobutanil, and prochloraz) was determined. Carbendazim was effective against CGSC but not against CASC with mean ED\n              50\n              values of 0.176 and 2.182 µg/ml, respectively. CASC isolates were more sensitive to difenoconazole, propiconazole, and myclobutanil (mean ED\n              50\n              values of 0.177, 0.129, and 1.424 µg/ml, respectively) than CGSC isolates (mean ED\n              50\n              values of 0.710, 0.348, and 3.496 µg/ml, respectively). Mean ED\n              50\n              values of CGSC against chlorothalonil and prochloraz were 173.341 and 0.035 µg/ml, respectively; corresponding values for CASC were 151.441 and 0.040 µg/ml. These results suggest that prochloraz, propiconazole, and difenoconazole are effective against both species complexes.","container-title":"Plant Disease","DOI":"10.1094/PDIS-03-17-0352-RE","ISSN":"0191-2917, 1943-7692","issue":"10","journalAbbreviation":"Plant Disease","language":"en","page":"1774-1780","source":"DOI.org (Crossref)","title":"Distribution and Fungicide Sensitivity of &lt;i&gt;Colletotrichum&lt;/i&gt; Species Complexes from Rubber Tree in Hainan, China","volume":"101","author":[{"family":"Cao","given":"Xueren"},{"family":"Xu","given":"Xiangming"},{"family":"Che","given":"Haiyan"},{"family":"West","given":"Jonathan S."},{"family":"Luo","given":"Daquan"}],"issued":{"date-parts":[["2017",10]]}}}],"schema":"https://github.com/citation-style-language/schema/raw/master/csl-citation.json"} </w:instrText>
      </w:r>
      <w:r w:rsidRPr="002B3FDB">
        <w:rPr>
          <w:rFonts w:ascii="Arial" w:eastAsia="Aptos" w:hAnsi="Arial" w:cs="Arial"/>
          <w:kern w:val="2"/>
          <w:lang w:val="en-IN"/>
        </w:rPr>
        <w:fldChar w:fldCharType="separate"/>
      </w:r>
      <w:r w:rsidRPr="002B3FDB">
        <w:rPr>
          <w:rFonts w:ascii="Arial" w:eastAsia="Aptos" w:hAnsi="Arial" w:cs="Arial"/>
          <w:kern w:val="2"/>
          <w:lang w:val="en-IN"/>
        </w:rPr>
        <w:t>[15]</w:t>
      </w:r>
      <w:r w:rsidRPr="002B3FDB">
        <w:rPr>
          <w:rFonts w:ascii="Arial" w:eastAsia="Aptos" w:hAnsi="Arial" w:cs="Arial"/>
          <w:kern w:val="2"/>
          <w:lang w:val="en-IN"/>
        </w:rPr>
        <w:fldChar w:fldCharType="end"/>
      </w:r>
      <w:r w:rsidRPr="002B3FDB">
        <w:rPr>
          <w:rFonts w:ascii="Arial" w:eastAsia="Aptos" w:hAnsi="Arial" w:cs="Arial"/>
          <w:kern w:val="2"/>
          <w:lang w:val="en-IN"/>
        </w:rPr>
        <w:t xml:space="preserve"> also confirmed that Propiconazole showed a strong effectiveness against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siamense</w:t>
      </w:r>
      <w:proofErr w:type="spellEnd"/>
      <w:r w:rsidRPr="002B3FDB">
        <w:rPr>
          <w:rFonts w:ascii="Arial" w:eastAsia="Aptos" w:hAnsi="Arial" w:cs="Arial"/>
          <w:kern w:val="2"/>
          <w:lang w:val="en-IN"/>
        </w:rPr>
        <w:t xml:space="preserve"> and </w:t>
      </w:r>
      <w:r w:rsidRPr="002B3FDB">
        <w:rPr>
          <w:rFonts w:ascii="Arial" w:eastAsia="Aptos" w:hAnsi="Arial" w:cs="Arial"/>
          <w:i/>
          <w:iCs/>
          <w:kern w:val="2"/>
          <w:lang w:val="en-IN"/>
        </w:rPr>
        <w:t xml:space="preserve">C. </w:t>
      </w:r>
      <w:proofErr w:type="spellStart"/>
      <w:r w:rsidRPr="002B3FDB">
        <w:rPr>
          <w:rFonts w:ascii="Arial" w:eastAsia="Aptos" w:hAnsi="Arial" w:cs="Arial"/>
          <w:i/>
          <w:iCs/>
          <w:kern w:val="2"/>
          <w:lang w:val="en-IN"/>
        </w:rPr>
        <w:t>fructicola</w:t>
      </w:r>
      <w:proofErr w:type="spellEnd"/>
      <w:r w:rsidRPr="002B3FDB">
        <w:rPr>
          <w:rFonts w:ascii="Arial" w:eastAsia="Aptos" w:hAnsi="Arial" w:cs="Arial"/>
          <w:i/>
          <w:iCs/>
          <w:kern w:val="2"/>
          <w:lang w:val="en-IN"/>
        </w:rPr>
        <w:t xml:space="preserve">. </w:t>
      </w:r>
    </w:p>
    <w:p w14:paraId="38D97AA9" w14:textId="714F2A36" w:rsidR="00863BD3" w:rsidRPr="000B77BB" w:rsidRDefault="009500A6" w:rsidP="002B3FDB">
      <w:pPr>
        <w:tabs>
          <w:tab w:val="left" w:pos="1080"/>
        </w:tabs>
        <w:jc w:val="center"/>
        <w:rPr>
          <w:rFonts w:ascii="Arial" w:hAnsi="Arial"/>
          <w:b/>
          <w:bCs/>
        </w:rPr>
      </w:pPr>
      <w:r>
        <w:rPr>
          <w:rFonts w:ascii="Arial" w:hAnsi="Arial"/>
          <w:b/>
        </w:rPr>
        <w:t xml:space="preserve">Table </w:t>
      </w:r>
      <w:r w:rsidR="002B3FDB">
        <w:rPr>
          <w:rFonts w:ascii="Arial" w:hAnsi="Arial"/>
          <w:b/>
        </w:rPr>
        <w:t>2</w:t>
      </w:r>
      <w:r>
        <w:rPr>
          <w:rFonts w:ascii="Arial" w:hAnsi="Arial"/>
          <w:b/>
        </w:rPr>
        <w:t>.</w:t>
      </w:r>
      <w:r w:rsidR="002B3FDB">
        <w:rPr>
          <w:rFonts w:ascii="Arial" w:hAnsi="Arial"/>
          <w:b/>
        </w:rPr>
        <w:t xml:space="preserve"> </w:t>
      </w:r>
      <w:r w:rsidR="002B3FDB" w:rsidRPr="00795859">
        <w:rPr>
          <w:rFonts w:ascii="Arial" w:hAnsi="Arial" w:cs="Arial"/>
          <w:b/>
          <w:bCs/>
          <w:i/>
          <w:iCs/>
        </w:rPr>
        <w:t>In vitro</w:t>
      </w:r>
      <w:r w:rsidR="002B3FDB" w:rsidRPr="00795859">
        <w:rPr>
          <w:rFonts w:ascii="Arial" w:hAnsi="Arial" w:cs="Arial"/>
          <w:b/>
          <w:bCs/>
        </w:rPr>
        <w:t xml:space="preserve"> evaluation 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p>
    <w:p w14:paraId="0A43763F" w14:textId="77777777" w:rsidR="00863BD3" w:rsidRPr="00DC3180" w:rsidRDefault="00863BD3" w:rsidP="00441B6F">
      <w:pPr>
        <w:tabs>
          <w:tab w:val="left" w:pos="1080"/>
        </w:tabs>
        <w:jc w:val="both"/>
        <w:rPr>
          <w:rFonts w:ascii="Arial" w:hAnsi="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
        <w:gridCol w:w="3595"/>
        <w:gridCol w:w="1134"/>
        <w:gridCol w:w="992"/>
        <w:gridCol w:w="851"/>
        <w:gridCol w:w="973"/>
      </w:tblGrid>
      <w:tr w:rsidR="002B3FDB" w:rsidRPr="00795859" w14:paraId="75ADBA21" w14:textId="77777777" w:rsidTr="00553013">
        <w:trPr>
          <w:trHeight w:val="20"/>
          <w:jc w:val="center"/>
        </w:trPr>
        <w:tc>
          <w:tcPr>
            <w:tcW w:w="653" w:type="dxa"/>
            <w:vMerge w:val="restart"/>
            <w:vAlign w:val="center"/>
          </w:tcPr>
          <w:p w14:paraId="6B5B1B31" w14:textId="5F74560B"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Sl. No.</w:t>
            </w:r>
          </w:p>
        </w:tc>
        <w:tc>
          <w:tcPr>
            <w:tcW w:w="3595" w:type="dxa"/>
            <w:vMerge w:val="restart"/>
            <w:noWrap/>
            <w:vAlign w:val="center"/>
          </w:tcPr>
          <w:p w14:paraId="212F0716" w14:textId="77777777"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Fungicides</w:t>
            </w:r>
          </w:p>
        </w:tc>
        <w:tc>
          <w:tcPr>
            <w:tcW w:w="2977" w:type="dxa"/>
            <w:gridSpan w:val="3"/>
            <w:noWrap/>
            <w:vAlign w:val="center"/>
          </w:tcPr>
          <w:p w14:paraId="242F9A34" w14:textId="77777777"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Per cent mycelial growth inhibition*</w:t>
            </w:r>
          </w:p>
        </w:tc>
        <w:tc>
          <w:tcPr>
            <w:tcW w:w="973" w:type="dxa"/>
            <w:vMerge w:val="restart"/>
            <w:vAlign w:val="center"/>
          </w:tcPr>
          <w:p w14:paraId="513B941B" w14:textId="77777777"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Mean</w:t>
            </w:r>
          </w:p>
        </w:tc>
      </w:tr>
      <w:tr w:rsidR="002B3FDB" w:rsidRPr="00795859" w14:paraId="0B060B83" w14:textId="77777777" w:rsidTr="00553013">
        <w:trPr>
          <w:trHeight w:val="20"/>
          <w:jc w:val="center"/>
        </w:trPr>
        <w:tc>
          <w:tcPr>
            <w:tcW w:w="653" w:type="dxa"/>
            <w:vMerge/>
            <w:vAlign w:val="center"/>
          </w:tcPr>
          <w:p w14:paraId="24CA7A87" w14:textId="77777777" w:rsidR="002B3FDB" w:rsidRPr="002B3FDB" w:rsidRDefault="002B3FDB" w:rsidP="004D55F6">
            <w:pPr>
              <w:spacing w:before="40" w:after="40" w:line="360" w:lineRule="auto"/>
              <w:jc w:val="center"/>
              <w:rPr>
                <w:rFonts w:ascii="Arial" w:hAnsi="Arial" w:cs="Arial"/>
                <w:b/>
                <w:color w:val="000000"/>
              </w:rPr>
            </w:pPr>
          </w:p>
        </w:tc>
        <w:tc>
          <w:tcPr>
            <w:tcW w:w="3595" w:type="dxa"/>
            <w:vMerge/>
            <w:noWrap/>
            <w:vAlign w:val="center"/>
          </w:tcPr>
          <w:p w14:paraId="06CB4E4F" w14:textId="77777777" w:rsidR="002B3FDB" w:rsidRPr="002B3FDB" w:rsidRDefault="002B3FDB" w:rsidP="004D55F6">
            <w:pPr>
              <w:spacing w:before="40" w:after="40" w:line="360" w:lineRule="auto"/>
              <w:jc w:val="center"/>
              <w:rPr>
                <w:rFonts w:ascii="Arial" w:hAnsi="Arial" w:cs="Arial"/>
                <w:b/>
                <w:color w:val="000000"/>
              </w:rPr>
            </w:pPr>
          </w:p>
        </w:tc>
        <w:tc>
          <w:tcPr>
            <w:tcW w:w="2977" w:type="dxa"/>
            <w:gridSpan w:val="3"/>
            <w:noWrap/>
            <w:vAlign w:val="center"/>
          </w:tcPr>
          <w:p w14:paraId="4087E831" w14:textId="77777777"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Concentration (%)</w:t>
            </w:r>
          </w:p>
        </w:tc>
        <w:tc>
          <w:tcPr>
            <w:tcW w:w="973" w:type="dxa"/>
            <w:vMerge/>
            <w:vAlign w:val="center"/>
          </w:tcPr>
          <w:p w14:paraId="38E3822F" w14:textId="77777777" w:rsidR="002B3FDB" w:rsidRPr="002B3FDB" w:rsidRDefault="002B3FDB" w:rsidP="004D55F6">
            <w:pPr>
              <w:spacing w:before="40" w:after="40" w:line="360" w:lineRule="auto"/>
              <w:jc w:val="center"/>
              <w:rPr>
                <w:rFonts w:ascii="Arial" w:hAnsi="Arial" w:cs="Arial"/>
                <w:b/>
                <w:color w:val="000000"/>
              </w:rPr>
            </w:pPr>
          </w:p>
        </w:tc>
      </w:tr>
      <w:tr w:rsidR="002B3FDB" w:rsidRPr="00795859" w14:paraId="05E991A9" w14:textId="77777777" w:rsidTr="007E103B">
        <w:trPr>
          <w:trHeight w:val="20"/>
          <w:jc w:val="center"/>
        </w:trPr>
        <w:tc>
          <w:tcPr>
            <w:tcW w:w="653" w:type="dxa"/>
            <w:vMerge/>
            <w:vAlign w:val="center"/>
          </w:tcPr>
          <w:p w14:paraId="01F44A2E" w14:textId="77777777" w:rsidR="002B3FDB" w:rsidRPr="002B3FDB" w:rsidRDefault="002B3FDB" w:rsidP="004D55F6">
            <w:pPr>
              <w:spacing w:before="40" w:after="40" w:line="360" w:lineRule="auto"/>
              <w:jc w:val="center"/>
              <w:rPr>
                <w:rFonts w:ascii="Arial" w:hAnsi="Arial" w:cs="Arial"/>
                <w:color w:val="000000"/>
              </w:rPr>
            </w:pPr>
          </w:p>
        </w:tc>
        <w:tc>
          <w:tcPr>
            <w:tcW w:w="3595" w:type="dxa"/>
            <w:vMerge/>
            <w:noWrap/>
            <w:vAlign w:val="center"/>
          </w:tcPr>
          <w:p w14:paraId="13CE72EC" w14:textId="77777777" w:rsidR="002B3FDB" w:rsidRPr="002B3FDB" w:rsidRDefault="002B3FDB" w:rsidP="004D55F6">
            <w:pPr>
              <w:spacing w:before="40" w:after="40" w:line="360" w:lineRule="auto"/>
              <w:jc w:val="center"/>
              <w:rPr>
                <w:rFonts w:ascii="Arial" w:hAnsi="Arial" w:cs="Arial"/>
                <w:color w:val="000000"/>
              </w:rPr>
            </w:pPr>
          </w:p>
        </w:tc>
        <w:tc>
          <w:tcPr>
            <w:tcW w:w="1134" w:type="dxa"/>
            <w:noWrap/>
            <w:vAlign w:val="center"/>
          </w:tcPr>
          <w:p w14:paraId="721B81A7" w14:textId="77777777" w:rsidR="002B3FDB" w:rsidRPr="002B3FDB" w:rsidRDefault="002B3FDB" w:rsidP="004D55F6">
            <w:pPr>
              <w:spacing w:before="40" w:after="40" w:line="360" w:lineRule="auto"/>
              <w:jc w:val="center"/>
              <w:rPr>
                <w:rFonts w:ascii="Arial" w:hAnsi="Arial" w:cs="Arial"/>
                <w:b/>
                <w:bCs/>
                <w:color w:val="000000"/>
              </w:rPr>
            </w:pPr>
            <w:r w:rsidRPr="002B3FDB">
              <w:rPr>
                <w:rFonts w:ascii="Arial" w:hAnsi="Arial" w:cs="Arial"/>
                <w:b/>
                <w:bCs/>
                <w:color w:val="000000"/>
              </w:rPr>
              <w:t>0.1</w:t>
            </w:r>
          </w:p>
        </w:tc>
        <w:tc>
          <w:tcPr>
            <w:tcW w:w="992" w:type="dxa"/>
            <w:noWrap/>
            <w:vAlign w:val="center"/>
          </w:tcPr>
          <w:p w14:paraId="2449E42C" w14:textId="77777777" w:rsidR="002B3FDB" w:rsidRPr="002B3FDB" w:rsidRDefault="002B3FDB" w:rsidP="004D55F6">
            <w:pPr>
              <w:spacing w:before="40" w:after="40" w:line="360" w:lineRule="auto"/>
              <w:jc w:val="center"/>
              <w:rPr>
                <w:rFonts w:ascii="Arial" w:hAnsi="Arial" w:cs="Arial"/>
                <w:b/>
                <w:bCs/>
                <w:color w:val="000000"/>
              </w:rPr>
            </w:pPr>
            <w:r w:rsidRPr="002B3FDB">
              <w:rPr>
                <w:rFonts w:ascii="Arial" w:hAnsi="Arial" w:cs="Arial"/>
                <w:b/>
                <w:bCs/>
                <w:color w:val="000000"/>
              </w:rPr>
              <w:t>0.15</w:t>
            </w:r>
          </w:p>
        </w:tc>
        <w:tc>
          <w:tcPr>
            <w:tcW w:w="851" w:type="dxa"/>
            <w:noWrap/>
            <w:vAlign w:val="center"/>
          </w:tcPr>
          <w:p w14:paraId="41C3333E" w14:textId="77777777" w:rsidR="002B3FDB" w:rsidRPr="002B3FDB" w:rsidRDefault="002B3FDB" w:rsidP="004D55F6">
            <w:pPr>
              <w:spacing w:before="40" w:after="40" w:line="360" w:lineRule="auto"/>
              <w:jc w:val="center"/>
              <w:rPr>
                <w:rFonts w:ascii="Arial" w:hAnsi="Arial" w:cs="Arial"/>
                <w:b/>
                <w:bCs/>
                <w:color w:val="000000"/>
              </w:rPr>
            </w:pPr>
            <w:r w:rsidRPr="002B3FDB">
              <w:rPr>
                <w:rFonts w:ascii="Arial" w:hAnsi="Arial" w:cs="Arial"/>
                <w:b/>
                <w:bCs/>
                <w:color w:val="000000"/>
              </w:rPr>
              <w:t>0.20</w:t>
            </w:r>
          </w:p>
        </w:tc>
        <w:tc>
          <w:tcPr>
            <w:tcW w:w="973" w:type="dxa"/>
            <w:vMerge/>
            <w:vAlign w:val="center"/>
          </w:tcPr>
          <w:p w14:paraId="7891A165" w14:textId="77777777" w:rsidR="002B3FDB" w:rsidRPr="002B3FDB" w:rsidRDefault="002B3FDB" w:rsidP="004D55F6">
            <w:pPr>
              <w:spacing w:before="40" w:after="40" w:line="360" w:lineRule="auto"/>
              <w:jc w:val="center"/>
              <w:rPr>
                <w:rFonts w:ascii="Arial" w:hAnsi="Arial" w:cs="Arial"/>
                <w:color w:val="000000"/>
              </w:rPr>
            </w:pPr>
          </w:p>
        </w:tc>
      </w:tr>
      <w:tr w:rsidR="002B3FDB" w:rsidRPr="00795859" w14:paraId="7BA9E063" w14:textId="77777777" w:rsidTr="007E103B">
        <w:trPr>
          <w:trHeight w:val="20"/>
          <w:jc w:val="center"/>
        </w:trPr>
        <w:tc>
          <w:tcPr>
            <w:tcW w:w="653" w:type="dxa"/>
            <w:vAlign w:val="center"/>
          </w:tcPr>
          <w:p w14:paraId="6C85BE82"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1.</w:t>
            </w:r>
          </w:p>
        </w:tc>
        <w:tc>
          <w:tcPr>
            <w:tcW w:w="3595" w:type="dxa"/>
            <w:noWrap/>
            <w:vAlign w:val="center"/>
          </w:tcPr>
          <w:p w14:paraId="61EA7151"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Azoxystrobin 23% SC</w:t>
            </w:r>
          </w:p>
        </w:tc>
        <w:tc>
          <w:tcPr>
            <w:tcW w:w="1134" w:type="dxa"/>
            <w:noWrap/>
            <w:vAlign w:val="center"/>
          </w:tcPr>
          <w:p w14:paraId="7A0A266F"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43.33</w:t>
            </w:r>
          </w:p>
          <w:p w14:paraId="727173BF" w14:textId="77777777" w:rsidR="002B3FDB" w:rsidRPr="002B3FDB" w:rsidRDefault="002B3FDB" w:rsidP="004D55F6">
            <w:pPr>
              <w:spacing w:before="40" w:after="40" w:line="360" w:lineRule="auto"/>
              <w:jc w:val="center"/>
              <w:rPr>
                <w:rFonts w:ascii="Arial" w:hAnsi="Arial" w:cs="Arial"/>
                <w:color w:val="000000"/>
                <w:vertAlign w:val="superscript"/>
              </w:rPr>
            </w:pPr>
            <w:r w:rsidRPr="002B3FDB">
              <w:rPr>
                <w:rFonts w:ascii="Arial" w:hAnsi="Arial" w:cs="Arial"/>
              </w:rPr>
              <w:t>(</w:t>
            </w:r>
            <w:proofErr w:type="gramStart"/>
            <w:r w:rsidRPr="002B3FDB">
              <w:rPr>
                <w:rFonts w:ascii="Arial" w:hAnsi="Arial" w:cs="Arial"/>
              </w:rPr>
              <w:t>41.17)*</w:t>
            </w:r>
            <w:proofErr w:type="gramEnd"/>
            <w:r w:rsidRPr="002B3FDB">
              <w:rPr>
                <w:rFonts w:ascii="Arial" w:hAnsi="Arial" w:cs="Arial"/>
              </w:rPr>
              <w:t>*</w:t>
            </w:r>
          </w:p>
        </w:tc>
        <w:tc>
          <w:tcPr>
            <w:tcW w:w="992" w:type="dxa"/>
            <w:noWrap/>
            <w:vAlign w:val="center"/>
          </w:tcPr>
          <w:p w14:paraId="0572574F"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50.74</w:t>
            </w:r>
          </w:p>
          <w:p w14:paraId="0E8C1AFD"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(45.42)</w:t>
            </w:r>
          </w:p>
        </w:tc>
        <w:tc>
          <w:tcPr>
            <w:tcW w:w="851" w:type="dxa"/>
            <w:noWrap/>
            <w:vAlign w:val="center"/>
          </w:tcPr>
          <w:p w14:paraId="2FF4129C"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55.19</w:t>
            </w:r>
          </w:p>
          <w:p w14:paraId="417AB513"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(47.98)</w:t>
            </w:r>
          </w:p>
        </w:tc>
        <w:tc>
          <w:tcPr>
            <w:tcW w:w="973" w:type="dxa"/>
            <w:vAlign w:val="center"/>
          </w:tcPr>
          <w:p w14:paraId="1B8181E8"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49.75</w:t>
            </w:r>
          </w:p>
          <w:p w14:paraId="52615940"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(44.86)</w:t>
            </w:r>
          </w:p>
        </w:tc>
      </w:tr>
      <w:tr w:rsidR="002B3FDB" w:rsidRPr="00795859" w14:paraId="3A008441" w14:textId="77777777" w:rsidTr="007E103B">
        <w:trPr>
          <w:trHeight w:val="20"/>
          <w:jc w:val="center"/>
        </w:trPr>
        <w:tc>
          <w:tcPr>
            <w:tcW w:w="653" w:type="dxa"/>
            <w:vAlign w:val="center"/>
          </w:tcPr>
          <w:p w14:paraId="3F1224A2"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2.</w:t>
            </w:r>
          </w:p>
        </w:tc>
        <w:tc>
          <w:tcPr>
            <w:tcW w:w="3595" w:type="dxa"/>
            <w:noWrap/>
            <w:vAlign w:val="center"/>
          </w:tcPr>
          <w:p w14:paraId="36143FA2"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Hexaconazole 5% EC</w:t>
            </w:r>
          </w:p>
        </w:tc>
        <w:tc>
          <w:tcPr>
            <w:tcW w:w="1134" w:type="dxa"/>
            <w:noWrap/>
            <w:vAlign w:val="center"/>
          </w:tcPr>
          <w:p w14:paraId="41D9E917"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80.37</w:t>
            </w:r>
          </w:p>
          <w:p w14:paraId="5FCFFCE2" w14:textId="77777777" w:rsidR="002B3FDB" w:rsidRPr="002B3FDB" w:rsidRDefault="002B3FDB" w:rsidP="004D55F6">
            <w:pPr>
              <w:spacing w:line="360" w:lineRule="auto"/>
              <w:jc w:val="center"/>
              <w:rPr>
                <w:rFonts w:ascii="Arial" w:hAnsi="Arial" w:cs="Arial"/>
                <w:color w:val="000000"/>
              </w:rPr>
            </w:pPr>
            <w:r w:rsidRPr="002B3FDB">
              <w:rPr>
                <w:rFonts w:ascii="Arial" w:hAnsi="Arial" w:cs="Arial"/>
              </w:rPr>
              <w:t>(63.70)</w:t>
            </w:r>
          </w:p>
        </w:tc>
        <w:tc>
          <w:tcPr>
            <w:tcW w:w="992" w:type="dxa"/>
            <w:noWrap/>
            <w:vAlign w:val="center"/>
          </w:tcPr>
          <w:p w14:paraId="492548A9"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81.48</w:t>
            </w:r>
          </w:p>
          <w:p w14:paraId="36615E13"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(64.51)</w:t>
            </w:r>
          </w:p>
        </w:tc>
        <w:tc>
          <w:tcPr>
            <w:tcW w:w="851" w:type="dxa"/>
            <w:noWrap/>
            <w:vAlign w:val="center"/>
          </w:tcPr>
          <w:p w14:paraId="5062E135"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83.70</w:t>
            </w:r>
          </w:p>
          <w:p w14:paraId="7C669414"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(66.19)</w:t>
            </w:r>
          </w:p>
        </w:tc>
        <w:tc>
          <w:tcPr>
            <w:tcW w:w="973" w:type="dxa"/>
            <w:vAlign w:val="center"/>
          </w:tcPr>
          <w:p w14:paraId="064BBDB4"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81.85</w:t>
            </w:r>
          </w:p>
          <w:p w14:paraId="22B94E60"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(64.78)</w:t>
            </w:r>
          </w:p>
        </w:tc>
      </w:tr>
      <w:tr w:rsidR="002B3FDB" w:rsidRPr="00795859" w14:paraId="43A51F07" w14:textId="77777777" w:rsidTr="007E103B">
        <w:trPr>
          <w:trHeight w:val="20"/>
          <w:jc w:val="center"/>
        </w:trPr>
        <w:tc>
          <w:tcPr>
            <w:tcW w:w="653" w:type="dxa"/>
            <w:vAlign w:val="center"/>
          </w:tcPr>
          <w:p w14:paraId="40DE811D"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3.</w:t>
            </w:r>
          </w:p>
        </w:tc>
        <w:tc>
          <w:tcPr>
            <w:tcW w:w="3595" w:type="dxa"/>
            <w:noWrap/>
            <w:vAlign w:val="center"/>
          </w:tcPr>
          <w:p w14:paraId="330C04A9"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Propiconazole 25% EC</w:t>
            </w:r>
          </w:p>
        </w:tc>
        <w:tc>
          <w:tcPr>
            <w:tcW w:w="1134" w:type="dxa"/>
            <w:noWrap/>
            <w:vAlign w:val="center"/>
          </w:tcPr>
          <w:p w14:paraId="6F1B9A0A"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10F158E3"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(90.00)</w:t>
            </w:r>
          </w:p>
        </w:tc>
        <w:tc>
          <w:tcPr>
            <w:tcW w:w="992" w:type="dxa"/>
            <w:noWrap/>
            <w:vAlign w:val="center"/>
          </w:tcPr>
          <w:p w14:paraId="15EBBBA2"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0F89EE0D"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(90.00)</w:t>
            </w:r>
          </w:p>
        </w:tc>
        <w:tc>
          <w:tcPr>
            <w:tcW w:w="851" w:type="dxa"/>
            <w:noWrap/>
            <w:vAlign w:val="center"/>
          </w:tcPr>
          <w:p w14:paraId="397E250A"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375FD2F1"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(90.00)</w:t>
            </w:r>
          </w:p>
        </w:tc>
        <w:tc>
          <w:tcPr>
            <w:tcW w:w="973" w:type="dxa"/>
            <w:vAlign w:val="center"/>
          </w:tcPr>
          <w:p w14:paraId="722C2703"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100.00</w:t>
            </w:r>
          </w:p>
          <w:p w14:paraId="22E19886"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color w:val="000000"/>
              </w:rPr>
              <w:t>(90.00)</w:t>
            </w:r>
          </w:p>
        </w:tc>
      </w:tr>
      <w:tr w:rsidR="002B3FDB" w:rsidRPr="00795859" w14:paraId="3C5B0737" w14:textId="77777777" w:rsidTr="007E103B">
        <w:trPr>
          <w:trHeight w:val="20"/>
          <w:jc w:val="center"/>
        </w:trPr>
        <w:tc>
          <w:tcPr>
            <w:tcW w:w="653" w:type="dxa"/>
            <w:vAlign w:val="center"/>
          </w:tcPr>
          <w:p w14:paraId="30A41AEC" w14:textId="77777777" w:rsidR="002B3FDB" w:rsidRPr="002B3FDB" w:rsidRDefault="002B3FDB" w:rsidP="004D55F6">
            <w:pPr>
              <w:spacing w:before="40" w:after="40" w:line="360" w:lineRule="auto"/>
              <w:jc w:val="center"/>
              <w:rPr>
                <w:rFonts w:ascii="Arial" w:hAnsi="Arial" w:cs="Arial"/>
                <w:color w:val="000000"/>
                <w:lang w:val="it-IT"/>
              </w:rPr>
            </w:pPr>
            <w:r w:rsidRPr="002B3FDB">
              <w:rPr>
                <w:rFonts w:ascii="Arial" w:hAnsi="Arial" w:cs="Arial"/>
                <w:color w:val="000000"/>
                <w:lang w:val="it-IT"/>
              </w:rPr>
              <w:t>4.</w:t>
            </w:r>
          </w:p>
        </w:tc>
        <w:tc>
          <w:tcPr>
            <w:tcW w:w="3595" w:type="dxa"/>
            <w:noWrap/>
            <w:vAlign w:val="center"/>
          </w:tcPr>
          <w:p w14:paraId="22A99F3C" w14:textId="77777777" w:rsidR="002B3FDB" w:rsidRPr="002B3FDB" w:rsidRDefault="002B3FDB" w:rsidP="004D55F6">
            <w:pPr>
              <w:spacing w:before="40" w:after="40" w:line="360" w:lineRule="auto"/>
              <w:jc w:val="center"/>
              <w:rPr>
                <w:rFonts w:ascii="Arial" w:hAnsi="Arial" w:cs="Arial"/>
                <w:color w:val="000000"/>
                <w:lang w:val="it-IT"/>
              </w:rPr>
            </w:pPr>
            <w:r w:rsidRPr="002B3FDB">
              <w:rPr>
                <w:rFonts w:ascii="Arial" w:hAnsi="Arial" w:cs="Arial"/>
              </w:rPr>
              <w:t>Difenoconazole 25% EC</w:t>
            </w:r>
          </w:p>
        </w:tc>
        <w:tc>
          <w:tcPr>
            <w:tcW w:w="1134" w:type="dxa"/>
            <w:noWrap/>
            <w:vAlign w:val="center"/>
          </w:tcPr>
          <w:p w14:paraId="604E8FEB"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84.44</w:t>
            </w:r>
          </w:p>
          <w:p w14:paraId="40F42361"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(66.77)</w:t>
            </w:r>
          </w:p>
        </w:tc>
        <w:tc>
          <w:tcPr>
            <w:tcW w:w="992" w:type="dxa"/>
            <w:noWrap/>
            <w:vAlign w:val="center"/>
          </w:tcPr>
          <w:p w14:paraId="70FE277D"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88.15</w:t>
            </w:r>
          </w:p>
          <w:p w14:paraId="613DCBC9"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(69.86)</w:t>
            </w:r>
          </w:p>
        </w:tc>
        <w:tc>
          <w:tcPr>
            <w:tcW w:w="851" w:type="dxa"/>
            <w:noWrap/>
            <w:vAlign w:val="center"/>
          </w:tcPr>
          <w:p w14:paraId="1ABFD515"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89.26</w:t>
            </w:r>
          </w:p>
          <w:p w14:paraId="4C5E5228"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(70.87)</w:t>
            </w:r>
          </w:p>
        </w:tc>
        <w:tc>
          <w:tcPr>
            <w:tcW w:w="973" w:type="dxa"/>
            <w:vAlign w:val="center"/>
          </w:tcPr>
          <w:p w14:paraId="5982A5F7"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87.28</w:t>
            </w:r>
          </w:p>
          <w:p w14:paraId="0425E1FB" w14:textId="77777777" w:rsidR="002B3FDB" w:rsidRPr="002B3FDB" w:rsidRDefault="002B3FDB" w:rsidP="004D55F6">
            <w:pPr>
              <w:spacing w:before="40" w:after="40" w:line="360" w:lineRule="auto"/>
              <w:jc w:val="center"/>
              <w:rPr>
                <w:rFonts w:ascii="Arial" w:hAnsi="Arial" w:cs="Arial"/>
                <w:color w:val="000000"/>
              </w:rPr>
            </w:pPr>
            <w:r w:rsidRPr="002B3FDB">
              <w:rPr>
                <w:rFonts w:ascii="Arial" w:hAnsi="Arial" w:cs="Arial"/>
              </w:rPr>
              <w:t>(69.11)</w:t>
            </w:r>
          </w:p>
        </w:tc>
      </w:tr>
      <w:tr w:rsidR="002B3FDB" w:rsidRPr="00795859" w14:paraId="76CD1E0F" w14:textId="77777777" w:rsidTr="007E103B">
        <w:trPr>
          <w:trHeight w:val="20"/>
          <w:jc w:val="center"/>
        </w:trPr>
        <w:tc>
          <w:tcPr>
            <w:tcW w:w="653" w:type="dxa"/>
            <w:vAlign w:val="center"/>
          </w:tcPr>
          <w:p w14:paraId="0B30A931"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5.</w:t>
            </w:r>
          </w:p>
        </w:tc>
        <w:tc>
          <w:tcPr>
            <w:tcW w:w="3595" w:type="dxa"/>
            <w:noWrap/>
            <w:vAlign w:val="center"/>
          </w:tcPr>
          <w:p w14:paraId="4916C5B1" w14:textId="77777777" w:rsidR="004D55F6" w:rsidRDefault="002B3FDB" w:rsidP="004D55F6">
            <w:pPr>
              <w:spacing w:before="40" w:after="40" w:line="360" w:lineRule="auto"/>
              <w:jc w:val="center"/>
              <w:rPr>
                <w:rFonts w:ascii="Arial" w:hAnsi="Arial" w:cs="Arial"/>
              </w:rPr>
            </w:pPr>
            <w:r w:rsidRPr="002B3FDB">
              <w:rPr>
                <w:rFonts w:ascii="Arial" w:hAnsi="Arial" w:cs="Arial"/>
              </w:rPr>
              <w:t xml:space="preserve">Carbendazim 12% + </w:t>
            </w:r>
          </w:p>
          <w:p w14:paraId="64D778F7" w14:textId="5248ACB7" w:rsidR="002B3FDB" w:rsidRPr="002B3FDB" w:rsidRDefault="002B3FDB" w:rsidP="004D55F6">
            <w:pPr>
              <w:spacing w:before="40" w:after="40" w:line="360" w:lineRule="auto"/>
              <w:jc w:val="center"/>
              <w:rPr>
                <w:rFonts w:ascii="Arial" w:hAnsi="Arial" w:cs="Arial"/>
              </w:rPr>
            </w:pPr>
            <w:r w:rsidRPr="002B3FDB">
              <w:rPr>
                <w:rFonts w:ascii="Arial" w:hAnsi="Arial" w:cs="Arial"/>
              </w:rPr>
              <w:t>Mancozeb 63% WP</w:t>
            </w:r>
          </w:p>
        </w:tc>
        <w:tc>
          <w:tcPr>
            <w:tcW w:w="1134" w:type="dxa"/>
            <w:noWrap/>
            <w:vAlign w:val="center"/>
          </w:tcPr>
          <w:p w14:paraId="39489677"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30C11AF0"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992" w:type="dxa"/>
            <w:noWrap/>
            <w:vAlign w:val="center"/>
          </w:tcPr>
          <w:p w14:paraId="7B333C81"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77A52077"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851" w:type="dxa"/>
            <w:noWrap/>
            <w:vAlign w:val="center"/>
          </w:tcPr>
          <w:p w14:paraId="14DB5BF6"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3E63A10B"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973" w:type="dxa"/>
            <w:vAlign w:val="center"/>
          </w:tcPr>
          <w:p w14:paraId="0F25F113"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100.00</w:t>
            </w:r>
          </w:p>
          <w:p w14:paraId="3D9E23B8"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r>
      <w:tr w:rsidR="002B3FDB" w:rsidRPr="00795859" w14:paraId="11CD19B2" w14:textId="77777777" w:rsidTr="007E103B">
        <w:trPr>
          <w:trHeight w:val="20"/>
          <w:jc w:val="center"/>
        </w:trPr>
        <w:tc>
          <w:tcPr>
            <w:tcW w:w="653" w:type="dxa"/>
            <w:vAlign w:val="center"/>
          </w:tcPr>
          <w:p w14:paraId="36072BF2"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6.</w:t>
            </w:r>
          </w:p>
        </w:tc>
        <w:tc>
          <w:tcPr>
            <w:tcW w:w="3595" w:type="dxa"/>
            <w:noWrap/>
            <w:vAlign w:val="center"/>
          </w:tcPr>
          <w:p w14:paraId="002FAC52" w14:textId="77777777" w:rsidR="004D55F6" w:rsidRDefault="002B3FDB" w:rsidP="004D55F6">
            <w:pPr>
              <w:spacing w:before="40" w:after="40" w:line="360" w:lineRule="auto"/>
              <w:jc w:val="center"/>
              <w:rPr>
                <w:rFonts w:ascii="Arial" w:hAnsi="Arial" w:cs="Arial"/>
              </w:rPr>
            </w:pPr>
            <w:r w:rsidRPr="002B3FDB">
              <w:rPr>
                <w:rFonts w:ascii="Arial" w:hAnsi="Arial" w:cs="Arial"/>
              </w:rPr>
              <w:t xml:space="preserve">Tebuconazole 50% + </w:t>
            </w:r>
          </w:p>
          <w:p w14:paraId="4C2DBE8D" w14:textId="34140C7B" w:rsidR="002B3FDB" w:rsidRPr="002B3FDB" w:rsidRDefault="002B3FDB" w:rsidP="004D55F6">
            <w:pPr>
              <w:spacing w:before="40" w:after="40" w:line="360" w:lineRule="auto"/>
              <w:jc w:val="center"/>
              <w:rPr>
                <w:rFonts w:ascii="Arial" w:hAnsi="Arial" w:cs="Arial"/>
              </w:rPr>
            </w:pPr>
            <w:proofErr w:type="spellStart"/>
            <w:r w:rsidRPr="002B3FDB">
              <w:rPr>
                <w:rFonts w:ascii="Arial" w:hAnsi="Arial" w:cs="Arial"/>
              </w:rPr>
              <w:t>Trifloxystrobin</w:t>
            </w:r>
            <w:proofErr w:type="spellEnd"/>
            <w:r w:rsidRPr="002B3FDB">
              <w:rPr>
                <w:rFonts w:ascii="Arial" w:hAnsi="Arial" w:cs="Arial"/>
              </w:rPr>
              <w:t xml:space="preserve"> 25% WG</w:t>
            </w:r>
          </w:p>
        </w:tc>
        <w:tc>
          <w:tcPr>
            <w:tcW w:w="1134" w:type="dxa"/>
            <w:noWrap/>
            <w:vAlign w:val="center"/>
          </w:tcPr>
          <w:p w14:paraId="11F406AF"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59B12AC9"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992" w:type="dxa"/>
            <w:noWrap/>
            <w:vAlign w:val="center"/>
          </w:tcPr>
          <w:p w14:paraId="7CC3383C"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6851401E"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851" w:type="dxa"/>
            <w:noWrap/>
            <w:vAlign w:val="center"/>
          </w:tcPr>
          <w:p w14:paraId="1015B583"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2BE12AAC"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973" w:type="dxa"/>
            <w:vAlign w:val="center"/>
          </w:tcPr>
          <w:p w14:paraId="782ED848"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100.00</w:t>
            </w:r>
          </w:p>
          <w:p w14:paraId="382C2D28"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r>
      <w:tr w:rsidR="002B3FDB" w:rsidRPr="00795859" w14:paraId="0645B2D4" w14:textId="77777777" w:rsidTr="007E103B">
        <w:trPr>
          <w:trHeight w:val="20"/>
          <w:jc w:val="center"/>
        </w:trPr>
        <w:tc>
          <w:tcPr>
            <w:tcW w:w="653" w:type="dxa"/>
            <w:vAlign w:val="center"/>
          </w:tcPr>
          <w:p w14:paraId="045F840E"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lastRenderedPageBreak/>
              <w:t>7.</w:t>
            </w:r>
          </w:p>
        </w:tc>
        <w:tc>
          <w:tcPr>
            <w:tcW w:w="3595" w:type="dxa"/>
            <w:noWrap/>
            <w:vAlign w:val="center"/>
          </w:tcPr>
          <w:p w14:paraId="5F59BE03"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 xml:space="preserve">Fluxapyroxad 21.26 % + </w:t>
            </w:r>
            <w:proofErr w:type="spellStart"/>
            <w:r w:rsidRPr="002B3FDB">
              <w:rPr>
                <w:rFonts w:ascii="Arial" w:hAnsi="Arial" w:cs="Arial"/>
              </w:rPr>
              <w:t>Pyraclostrobin</w:t>
            </w:r>
            <w:proofErr w:type="spellEnd"/>
            <w:r w:rsidRPr="002B3FDB">
              <w:rPr>
                <w:rFonts w:ascii="Arial" w:hAnsi="Arial" w:cs="Arial"/>
              </w:rPr>
              <w:t xml:space="preserve"> 21.26 % SC</w:t>
            </w:r>
          </w:p>
        </w:tc>
        <w:tc>
          <w:tcPr>
            <w:tcW w:w="1134" w:type="dxa"/>
            <w:noWrap/>
            <w:vAlign w:val="center"/>
          </w:tcPr>
          <w:p w14:paraId="10DB6A62"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93.33</w:t>
            </w:r>
          </w:p>
          <w:p w14:paraId="4C8CFDA7"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(75.04)</w:t>
            </w:r>
          </w:p>
        </w:tc>
        <w:tc>
          <w:tcPr>
            <w:tcW w:w="992" w:type="dxa"/>
            <w:noWrap/>
            <w:vAlign w:val="center"/>
          </w:tcPr>
          <w:p w14:paraId="57EBD784"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0DB7D9B8"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851" w:type="dxa"/>
            <w:noWrap/>
            <w:vAlign w:val="center"/>
          </w:tcPr>
          <w:p w14:paraId="6128177F"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5A1A510E"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color w:val="000000"/>
              </w:rPr>
              <w:t>(90.00)</w:t>
            </w:r>
          </w:p>
        </w:tc>
        <w:tc>
          <w:tcPr>
            <w:tcW w:w="973" w:type="dxa"/>
            <w:vAlign w:val="center"/>
          </w:tcPr>
          <w:p w14:paraId="3EA471D5"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97.78</w:t>
            </w:r>
          </w:p>
          <w:p w14:paraId="45AFD9DC"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rPr>
              <w:t>(81.43)</w:t>
            </w:r>
          </w:p>
        </w:tc>
      </w:tr>
      <w:tr w:rsidR="002B3FDB" w:rsidRPr="00795859" w14:paraId="0DD4DD86" w14:textId="77777777" w:rsidTr="007E103B">
        <w:trPr>
          <w:trHeight w:val="20"/>
          <w:jc w:val="center"/>
        </w:trPr>
        <w:tc>
          <w:tcPr>
            <w:tcW w:w="653" w:type="dxa"/>
            <w:vAlign w:val="center"/>
          </w:tcPr>
          <w:p w14:paraId="3AEA23B1"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8.</w:t>
            </w:r>
          </w:p>
        </w:tc>
        <w:tc>
          <w:tcPr>
            <w:tcW w:w="3595" w:type="dxa"/>
            <w:noWrap/>
            <w:vAlign w:val="center"/>
          </w:tcPr>
          <w:p w14:paraId="26D74051" w14:textId="77777777" w:rsidR="004D55F6" w:rsidRDefault="002B3FDB" w:rsidP="004D55F6">
            <w:pPr>
              <w:spacing w:before="40" w:after="40" w:line="360" w:lineRule="auto"/>
              <w:jc w:val="center"/>
              <w:rPr>
                <w:rFonts w:ascii="Arial" w:hAnsi="Arial" w:cs="Arial"/>
              </w:rPr>
            </w:pPr>
            <w:r w:rsidRPr="002B3FDB">
              <w:rPr>
                <w:rFonts w:ascii="Arial" w:hAnsi="Arial" w:cs="Arial"/>
              </w:rPr>
              <w:t xml:space="preserve">Tricyclazole 18 % + </w:t>
            </w:r>
          </w:p>
          <w:p w14:paraId="43680B60" w14:textId="6916B2D3" w:rsidR="002B3FDB" w:rsidRPr="002B3FDB" w:rsidRDefault="002B3FDB" w:rsidP="004D55F6">
            <w:pPr>
              <w:spacing w:before="40" w:after="40" w:line="360" w:lineRule="auto"/>
              <w:jc w:val="center"/>
              <w:rPr>
                <w:rFonts w:ascii="Arial" w:hAnsi="Arial" w:cs="Arial"/>
              </w:rPr>
            </w:pPr>
            <w:r w:rsidRPr="002B3FDB">
              <w:rPr>
                <w:rFonts w:ascii="Arial" w:hAnsi="Arial" w:cs="Arial"/>
              </w:rPr>
              <w:t>Mancozeb 62 % WP</w:t>
            </w:r>
          </w:p>
        </w:tc>
        <w:tc>
          <w:tcPr>
            <w:tcW w:w="1134" w:type="dxa"/>
            <w:noWrap/>
            <w:vAlign w:val="center"/>
          </w:tcPr>
          <w:p w14:paraId="0989460F"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72515B4D"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c>
          <w:tcPr>
            <w:tcW w:w="992" w:type="dxa"/>
            <w:noWrap/>
            <w:vAlign w:val="center"/>
          </w:tcPr>
          <w:p w14:paraId="36289F78"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4F7A9A3B"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c>
          <w:tcPr>
            <w:tcW w:w="851" w:type="dxa"/>
            <w:noWrap/>
            <w:vAlign w:val="center"/>
          </w:tcPr>
          <w:p w14:paraId="2D7BA8E5" w14:textId="77777777" w:rsidR="002B3FDB" w:rsidRPr="002B3FDB" w:rsidRDefault="002B3FDB" w:rsidP="004D55F6">
            <w:pPr>
              <w:spacing w:before="40" w:after="40" w:line="360" w:lineRule="auto"/>
              <w:jc w:val="center"/>
              <w:rPr>
                <w:rFonts w:ascii="Arial" w:hAnsi="Arial" w:cs="Arial"/>
              </w:rPr>
            </w:pPr>
            <w:r w:rsidRPr="002B3FDB">
              <w:rPr>
                <w:rFonts w:ascii="Arial" w:hAnsi="Arial" w:cs="Arial"/>
              </w:rPr>
              <w:t>100.00</w:t>
            </w:r>
          </w:p>
          <w:p w14:paraId="7C0B1C66"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c>
          <w:tcPr>
            <w:tcW w:w="973" w:type="dxa"/>
            <w:vAlign w:val="center"/>
          </w:tcPr>
          <w:p w14:paraId="514D72A2"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b/>
                <w:bCs/>
              </w:rPr>
              <w:t>100.00</w:t>
            </w:r>
          </w:p>
          <w:p w14:paraId="23339B2D" w14:textId="77777777" w:rsidR="002B3FDB" w:rsidRPr="002B3FDB" w:rsidRDefault="002B3FDB" w:rsidP="004D55F6">
            <w:pPr>
              <w:spacing w:before="40" w:after="40" w:line="360" w:lineRule="auto"/>
              <w:jc w:val="center"/>
              <w:rPr>
                <w:rFonts w:ascii="Arial" w:hAnsi="Arial" w:cs="Arial"/>
                <w:b/>
                <w:bCs/>
              </w:rPr>
            </w:pPr>
            <w:r w:rsidRPr="002B3FDB">
              <w:rPr>
                <w:rFonts w:ascii="Arial" w:hAnsi="Arial" w:cs="Arial"/>
                <w:color w:val="000000"/>
              </w:rPr>
              <w:t>(90.00)</w:t>
            </w:r>
          </w:p>
        </w:tc>
      </w:tr>
      <w:tr w:rsidR="002B3FDB" w:rsidRPr="00795859" w14:paraId="57EFC802" w14:textId="77777777" w:rsidTr="007E103B">
        <w:trPr>
          <w:trHeight w:val="20"/>
          <w:jc w:val="center"/>
        </w:trPr>
        <w:tc>
          <w:tcPr>
            <w:tcW w:w="4248" w:type="dxa"/>
            <w:gridSpan w:val="2"/>
            <w:vAlign w:val="center"/>
          </w:tcPr>
          <w:p w14:paraId="3A431ECB" w14:textId="77777777" w:rsidR="002B3FDB" w:rsidRPr="002B3FDB" w:rsidRDefault="002B3FDB" w:rsidP="004D55F6">
            <w:pPr>
              <w:spacing w:before="40" w:after="40" w:line="360" w:lineRule="auto"/>
              <w:jc w:val="center"/>
              <w:rPr>
                <w:rFonts w:ascii="Arial" w:hAnsi="Arial" w:cs="Arial"/>
                <w:b/>
                <w:color w:val="000000"/>
              </w:rPr>
            </w:pPr>
            <w:r w:rsidRPr="002B3FDB">
              <w:rPr>
                <w:rFonts w:ascii="Arial" w:hAnsi="Arial" w:cs="Arial"/>
                <w:b/>
                <w:color w:val="000000"/>
              </w:rPr>
              <w:t>Mean</w:t>
            </w:r>
          </w:p>
        </w:tc>
        <w:tc>
          <w:tcPr>
            <w:tcW w:w="1134" w:type="dxa"/>
            <w:noWrap/>
            <w:vAlign w:val="center"/>
          </w:tcPr>
          <w:p w14:paraId="3D959320" w14:textId="77777777" w:rsidR="002B3FDB" w:rsidRDefault="004D55F6" w:rsidP="004D55F6">
            <w:pPr>
              <w:spacing w:before="40" w:after="40" w:line="360" w:lineRule="auto"/>
              <w:jc w:val="center"/>
              <w:rPr>
                <w:rFonts w:ascii="Arial" w:hAnsi="Arial" w:cs="Arial"/>
                <w:b/>
                <w:bCs/>
                <w:color w:val="000000" w:themeColor="text1"/>
              </w:rPr>
            </w:pPr>
            <w:r w:rsidRPr="004D55F6">
              <w:rPr>
                <w:rFonts w:ascii="Arial" w:hAnsi="Arial" w:cs="Arial"/>
                <w:b/>
                <w:bCs/>
                <w:color w:val="000000" w:themeColor="text1"/>
              </w:rPr>
              <w:t>87.68</w:t>
            </w:r>
          </w:p>
          <w:p w14:paraId="3C0125AB" w14:textId="1A9C46C5" w:rsidR="004D55F6" w:rsidRPr="004D55F6" w:rsidRDefault="004D55F6" w:rsidP="004D55F6">
            <w:pPr>
              <w:spacing w:before="40" w:after="40" w:line="360" w:lineRule="auto"/>
              <w:jc w:val="center"/>
              <w:rPr>
                <w:rFonts w:ascii="Arial" w:hAnsi="Arial" w:cs="Arial"/>
                <w:color w:val="000000" w:themeColor="text1"/>
              </w:rPr>
            </w:pPr>
            <w:r>
              <w:rPr>
                <w:rFonts w:ascii="Arial" w:hAnsi="Arial" w:cs="Arial"/>
                <w:color w:val="000000" w:themeColor="text1"/>
              </w:rPr>
              <w:t>(69.45)</w:t>
            </w:r>
          </w:p>
        </w:tc>
        <w:tc>
          <w:tcPr>
            <w:tcW w:w="992" w:type="dxa"/>
            <w:noWrap/>
            <w:vAlign w:val="center"/>
          </w:tcPr>
          <w:p w14:paraId="3F529F1B" w14:textId="77777777" w:rsidR="002B3FDB" w:rsidRDefault="004D55F6" w:rsidP="004D55F6">
            <w:pPr>
              <w:spacing w:before="40" w:after="40" w:line="360" w:lineRule="auto"/>
              <w:jc w:val="center"/>
              <w:rPr>
                <w:rFonts w:ascii="Arial" w:hAnsi="Arial" w:cs="Arial"/>
                <w:b/>
                <w:bCs/>
                <w:color w:val="000000" w:themeColor="text1"/>
              </w:rPr>
            </w:pPr>
            <w:r w:rsidRPr="004D55F6">
              <w:rPr>
                <w:rFonts w:ascii="Arial" w:hAnsi="Arial" w:cs="Arial"/>
                <w:b/>
                <w:bCs/>
                <w:color w:val="000000" w:themeColor="text1"/>
              </w:rPr>
              <w:t>90.05</w:t>
            </w:r>
          </w:p>
          <w:p w14:paraId="130ED562" w14:textId="572BB0DB" w:rsidR="004D55F6" w:rsidRPr="004D55F6" w:rsidRDefault="004D55F6" w:rsidP="004D55F6">
            <w:pPr>
              <w:spacing w:before="40" w:after="40" w:line="360" w:lineRule="auto"/>
              <w:jc w:val="center"/>
              <w:rPr>
                <w:rFonts w:ascii="Arial" w:hAnsi="Arial" w:cs="Arial"/>
                <w:color w:val="000000" w:themeColor="text1"/>
              </w:rPr>
            </w:pPr>
            <w:r>
              <w:rPr>
                <w:rFonts w:ascii="Arial" w:hAnsi="Arial" w:cs="Arial"/>
                <w:color w:val="000000" w:themeColor="text1"/>
              </w:rPr>
              <w:t>(71.61)</w:t>
            </w:r>
          </w:p>
        </w:tc>
        <w:tc>
          <w:tcPr>
            <w:tcW w:w="851" w:type="dxa"/>
            <w:noWrap/>
            <w:vAlign w:val="center"/>
          </w:tcPr>
          <w:p w14:paraId="4879F9E0" w14:textId="77777777" w:rsidR="002B3FDB" w:rsidRDefault="004D55F6" w:rsidP="004D55F6">
            <w:pPr>
              <w:spacing w:before="40" w:after="40" w:line="360" w:lineRule="auto"/>
              <w:jc w:val="center"/>
              <w:rPr>
                <w:rFonts w:ascii="Arial" w:hAnsi="Arial" w:cs="Arial"/>
                <w:b/>
                <w:bCs/>
                <w:color w:val="000000" w:themeColor="text1"/>
              </w:rPr>
            </w:pPr>
            <w:r w:rsidRPr="004D55F6">
              <w:rPr>
                <w:rFonts w:ascii="Arial" w:hAnsi="Arial" w:cs="Arial"/>
                <w:b/>
                <w:bCs/>
                <w:color w:val="000000" w:themeColor="text1"/>
              </w:rPr>
              <w:t>91.02</w:t>
            </w:r>
          </w:p>
          <w:p w14:paraId="3B1CD649" w14:textId="2F377DF2" w:rsidR="004D55F6" w:rsidRPr="004D55F6" w:rsidRDefault="004D55F6" w:rsidP="004D55F6">
            <w:pPr>
              <w:spacing w:before="40" w:after="40" w:line="360" w:lineRule="auto"/>
              <w:jc w:val="center"/>
              <w:rPr>
                <w:rFonts w:ascii="Arial" w:hAnsi="Arial" w:cs="Arial"/>
                <w:color w:val="000000" w:themeColor="text1"/>
              </w:rPr>
            </w:pPr>
            <w:r>
              <w:rPr>
                <w:rFonts w:ascii="Arial" w:hAnsi="Arial" w:cs="Arial"/>
                <w:color w:val="000000" w:themeColor="text1"/>
              </w:rPr>
              <w:t>(72.56)</w:t>
            </w:r>
          </w:p>
        </w:tc>
        <w:tc>
          <w:tcPr>
            <w:tcW w:w="973" w:type="dxa"/>
            <w:vAlign w:val="center"/>
          </w:tcPr>
          <w:p w14:paraId="5C558583" w14:textId="77777777" w:rsidR="002B3FDB" w:rsidRPr="00255135" w:rsidRDefault="002B3FDB" w:rsidP="004D55F6">
            <w:pPr>
              <w:spacing w:before="40" w:after="40" w:line="360" w:lineRule="auto"/>
              <w:jc w:val="center"/>
              <w:rPr>
                <w:rFonts w:ascii="Arial" w:hAnsi="Arial" w:cs="Arial"/>
                <w:color w:val="000000"/>
                <w:highlight w:val="yellow"/>
              </w:rPr>
            </w:pPr>
          </w:p>
        </w:tc>
      </w:tr>
      <w:tr w:rsidR="007E103B" w:rsidRPr="00795859" w14:paraId="38EE52C5" w14:textId="77777777" w:rsidTr="007E103B">
        <w:trPr>
          <w:trHeight w:val="20"/>
          <w:jc w:val="center"/>
        </w:trPr>
        <w:tc>
          <w:tcPr>
            <w:tcW w:w="4248" w:type="dxa"/>
            <w:gridSpan w:val="2"/>
            <w:vAlign w:val="center"/>
          </w:tcPr>
          <w:p w14:paraId="15D30D86" w14:textId="45AFC289"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Source</w:t>
            </w:r>
          </w:p>
        </w:tc>
        <w:tc>
          <w:tcPr>
            <w:tcW w:w="1134" w:type="dxa"/>
            <w:noWrap/>
            <w:vAlign w:val="center"/>
          </w:tcPr>
          <w:p w14:paraId="5CBA83B4" w14:textId="25CACE71" w:rsidR="007E103B" w:rsidRPr="007E103B" w:rsidRDefault="007E103B" w:rsidP="004D55F6">
            <w:pPr>
              <w:spacing w:before="40" w:after="40" w:line="360" w:lineRule="auto"/>
              <w:jc w:val="center"/>
              <w:rPr>
                <w:rFonts w:ascii="Arial" w:hAnsi="Arial" w:cs="Arial"/>
                <w:highlight w:val="yellow"/>
              </w:rPr>
            </w:pPr>
            <w:r w:rsidRPr="007E103B">
              <w:rPr>
                <w:rFonts w:ascii="Arial" w:hAnsi="Arial" w:cs="Arial"/>
                <w:b/>
                <w:color w:val="000000"/>
              </w:rPr>
              <w:t>S. Em. ±</w:t>
            </w:r>
          </w:p>
        </w:tc>
        <w:tc>
          <w:tcPr>
            <w:tcW w:w="992" w:type="dxa"/>
            <w:noWrap/>
            <w:vAlign w:val="center"/>
          </w:tcPr>
          <w:p w14:paraId="7A5B68CE" w14:textId="166ED23E" w:rsidR="007E103B" w:rsidRPr="007E103B" w:rsidRDefault="007E103B" w:rsidP="004D55F6">
            <w:pPr>
              <w:spacing w:before="40" w:after="40" w:line="360" w:lineRule="auto"/>
              <w:jc w:val="center"/>
              <w:rPr>
                <w:rFonts w:ascii="Arial" w:hAnsi="Arial" w:cs="Arial"/>
                <w:color w:val="000000"/>
                <w:highlight w:val="yellow"/>
              </w:rPr>
            </w:pPr>
            <w:r w:rsidRPr="007E103B">
              <w:rPr>
                <w:rFonts w:ascii="Arial" w:hAnsi="Arial" w:cs="Arial"/>
                <w:b/>
                <w:color w:val="000000"/>
              </w:rPr>
              <w:t>CD @ 1%</w:t>
            </w:r>
          </w:p>
        </w:tc>
        <w:tc>
          <w:tcPr>
            <w:tcW w:w="1824" w:type="dxa"/>
            <w:gridSpan w:val="2"/>
            <w:vMerge w:val="restart"/>
            <w:noWrap/>
            <w:vAlign w:val="center"/>
          </w:tcPr>
          <w:p w14:paraId="1ED3A85A" w14:textId="77777777" w:rsidR="007E103B" w:rsidRPr="00255135" w:rsidRDefault="007E103B" w:rsidP="004D55F6">
            <w:pPr>
              <w:spacing w:before="40" w:after="40" w:line="360" w:lineRule="auto"/>
              <w:jc w:val="center"/>
              <w:rPr>
                <w:rFonts w:ascii="Arial" w:hAnsi="Arial" w:cs="Arial"/>
                <w:color w:val="000000"/>
                <w:highlight w:val="yellow"/>
              </w:rPr>
            </w:pPr>
          </w:p>
        </w:tc>
      </w:tr>
      <w:tr w:rsidR="007E103B" w:rsidRPr="00795859" w14:paraId="11AF935D" w14:textId="77777777" w:rsidTr="007E103B">
        <w:trPr>
          <w:trHeight w:val="20"/>
          <w:jc w:val="center"/>
        </w:trPr>
        <w:tc>
          <w:tcPr>
            <w:tcW w:w="4248" w:type="dxa"/>
            <w:gridSpan w:val="2"/>
            <w:vAlign w:val="center"/>
          </w:tcPr>
          <w:p w14:paraId="24D8D144" w14:textId="6C796AEF"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Fungicide (F)</w:t>
            </w:r>
          </w:p>
        </w:tc>
        <w:tc>
          <w:tcPr>
            <w:tcW w:w="1134" w:type="dxa"/>
            <w:noWrap/>
            <w:vAlign w:val="center"/>
          </w:tcPr>
          <w:p w14:paraId="2CE0DDB2" w14:textId="5759E828"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0.17</w:t>
            </w:r>
          </w:p>
        </w:tc>
        <w:tc>
          <w:tcPr>
            <w:tcW w:w="992" w:type="dxa"/>
            <w:noWrap/>
            <w:vAlign w:val="center"/>
          </w:tcPr>
          <w:p w14:paraId="49A5ADC9" w14:textId="3F6F7E2A"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0.63</w:t>
            </w:r>
          </w:p>
        </w:tc>
        <w:tc>
          <w:tcPr>
            <w:tcW w:w="1824" w:type="dxa"/>
            <w:gridSpan w:val="2"/>
            <w:vMerge/>
            <w:noWrap/>
            <w:vAlign w:val="center"/>
          </w:tcPr>
          <w:p w14:paraId="7408D3BB" w14:textId="3B40F471" w:rsidR="007E103B" w:rsidRPr="002B3FDB" w:rsidRDefault="007E103B" w:rsidP="004D55F6">
            <w:pPr>
              <w:spacing w:before="40" w:after="40" w:line="360" w:lineRule="auto"/>
              <w:jc w:val="center"/>
              <w:rPr>
                <w:rFonts w:ascii="Arial" w:hAnsi="Arial" w:cs="Arial"/>
                <w:b/>
                <w:bCs/>
                <w:color w:val="000000"/>
              </w:rPr>
            </w:pPr>
          </w:p>
        </w:tc>
      </w:tr>
      <w:tr w:rsidR="007E103B" w:rsidRPr="00795859" w14:paraId="0E25E1F7" w14:textId="77777777" w:rsidTr="007E103B">
        <w:trPr>
          <w:trHeight w:val="20"/>
          <w:jc w:val="center"/>
        </w:trPr>
        <w:tc>
          <w:tcPr>
            <w:tcW w:w="4248" w:type="dxa"/>
            <w:gridSpan w:val="2"/>
            <w:vAlign w:val="center"/>
          </w:tcPr>
          <w:p w14:paraId="17B515F4" w14:textId="011AF36B"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Concentration (C)</w:t>
            </w:r>
          </w:p>
        </w:tc>
        <w:tc>
          <w:tcPr>
            <w:tcW w:w="1134" w:type="dxa"/>
            <w:noWrap/>
            <w:vAlign w:val="center"/>
          </w:tcPr>
          <w:p w14:paraId="1917E9D7" w14:textId="20AF8D57"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0.10</w:t>
            </w:r>
          </w:p>
        </w:tc>
        <w:tc>
          <w:tcPr>
            <w:tcW w:w="992" w:type="dxa"/>
            <w:noWrap/>
            <w:vAlign w:val="center"/>
          </w:tcPr>
          <w:p w14:paraId="4572996C" w14:textId="3165F88A"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0.39</w:t>
            </w:r>
          </w:p>
        </w:tc>
        <w:tc>
          <w:tcPr>
            <w:tcW w:w="1824" w:type="dxa"/>
            <w:gridSpan w:val="2"/>
            <w:vMerge/>
            <w:noWrap/>
            <w:vAlign w:val="center"/>
          </w:tcPr>
          <w:p w14:paraId="5874A68A" w14:textId="77777777" w:rsidR="007E103B" w:rsidRPr="002B3FDB" w:rsidRDefault="007E103B" w:rsidP="004D55F6">
            <w:pPr>
              <w:spacing w:before="40" w:after="40" w:line="360" w:lineRule="auto"/>
              <w:jc w:val="center"/>
              <w:rPr>
                <w:rFonts w:ascii="Arial" w:hAnsi="Arial" w:cs="Arial"/>
                <w:b/>
                <w:bCs/>
                <w:color w:val="000000"/>
              </w:rPr>
            </w:pPr>
          </w:p>
        </w:tc>
      </w:tr>
      <w:tr w:rsidR="007E103B" w:rsidRPr="00795859" w14:paraId="27ADB98E" w14:textId="77777777" w:rsidTr="007E103B">
        <w:trPr>
          <w:trHeight w:val="281"/>
          <w:jc w:val="center"/>
        </w:trPr>
        <w:tc>
          <w:tcPr>
            <w:tcW w:w="4248" w:type="dxa"/>
            <w:gridSpan w:val="2"/>
            <w:vAlign w:val="center"/>
          </w:tcPr>
          <w:p w14:paraId="5E5A6E6F" w14:textId="63C4087E"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F X C</w:t>
            </w:r>
          </w:p>
        </w:tc>
        <w:tc>
          <w:tcPr>
            <w:tcW w:w="1134" w:type="dxa"/>
            <w:noWrap/>
            <w:vAlign w:val="center"/>
          </w:tcPr>
          <w:p w14:paraId="4E4B90E2" w14:textId="0DD995CF"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0.29</w:t>
            </w:r>
          </w:p>
        </w:tc>
        <w:tc>
          <w:tcPr>
            <w:tcW w:w="992" w:type="dxa"/>
            <w:noWrap/>
            <w:vAlign w:val="center"/>
          </w:tcPr>
          <w:p w14:paraId="440211E8" w14:textId="3A5A13F8" w:rsidR="007E103B" w:rsidRPr="007E103B" w:rsidRDefault="007E103B" w:rsidP="004D55F6">
            <w:pPr>
              <w:spacing w:before="40" w:after="40" w:line="360" w:lineRule="auto"/>
              <w:jc w:val="center"/>
              <w:rPr>
                <w:rFonts w:ascii="Arial" w:hAnsi="Arial" w:cs="Arial"/>
                <w:b/>
                <w:color w:val="000000"/>
              </w:rPr>
            </w:pPr>
            <w:r w:rsidRPr="007E103B">
              <w:rPr>
                <w:rFonts w:ascii="Arial" w:hAnsi="Arial" w:cs="Arial"/>
                <w:b/>
                <w:color w:val="000000"/>
              </w:rPr>
              <w:t>1.09</w:t>
            </w:r>
          </w:p>
        </w:tc>
        <w:tc>
          <w:tcPr>
            <w:tcW w:w="1824" w:type="dxa"/>
            <w:gridSpan w:val="2"/>
            <w:vMerge/>
            <w:noWrap/>
            <w:vAlign w:val="center"/>
          </w:tcPr>
          <w:p w14:paraId="1E75C906" w14:textId="77777777" w:rsidR="007E103B" w:rsidRPr="002B3FDB" w:rsidRDefault="007E103B" w:rsidP="004D55F6">
            <w:pPr>
              <w:spacing w:before="40" w:after="40" w:line="360" w:lineRule="auto"/>
              <w:jc w:val="center"/>
              <w:rPr>
                <w:rFonts w:ascii="Arial" w:hAnsi="Arial" w:cs="Arial"/>
                <w:b/>
                <w:bCs/>
                <w:color w:val="000000"/>
              </w:rPr>
            </w:pPr>
          </w:p>
        </w:tc>
      </w:tr>
    </w:tbl>
    <w:p w14:paraId="2BA70180" w14:textId="77777777" w:rsidR="00131498" w:rsidRPr="00040B64" w:rsidRDefault="00863BD3" w:rsidP="00131498">
      <w:r w:rsidRPr="008C73BB">
        <w:rPr>
          <w:rFonts w:ascii="Arial" w:hAnsi="Arial"/>
          <w:bCs/>
          <w:i/>
          <w:sz w:val="18"/>
        </w:rPr>
        <w:t>*</w:t>
      </w:r>
      <w:r w:rsidR="00131498" w:rsidRPr="00040B64">
        <w:rPr>
          <w:b/>
          <w:bCs/>
        </w:rPr>
        <w:t>*</w:t>
      </w:r>
      <w:r w:rsidR="00131498" w:rsidRPr="00040B64">
        <w:t xml:space="preserve">Mean of three replications </w:t>
      </w:r>
    </w:p>
    <w:p w14:paraId="40F16903" w14:textId="77777777" w:rsidR="00131498" w:rsidRDefault="00131498" w:rsidP="00131498">
      <w:r w:rsidRPr="008F17DF">
        <w:rPr>
          <w:b/>
          <w:bCs/>
        </w:rPr>
        <w:t>*</w:t>
      </w:r>
      <w:r>
        <w:rPr>
          <w:b/>
          <w:bCs/>
        </w:rPr>
        <w:t>*</w:t>
      </w:r>
      <w:r w:rsidRPr="00040B64">
        <w:t>Arc sine transformed values</w:t>
      </w:r>
      <w:r>
        <w:rPr>
          <w:b/>
          <w:bCs/>
        </w:rPr>
        <w:t xml:space="preserve">, </w:t>
      </w:r>
      <w:r w:rsidRPr="00343839">
        <w:rPr>
          <w:b/>
        </w:rPr>
        <w:t>F-</w:t>
      </w:r>
      <w:r w:rsidRPr="00343839">
        <w:t xml:space="preserve">Fungicide, </w:t>
      </w:r>
      <w:r w:rsidRPr="00343839">
        <w:rPr>
          <w:b/>
        </w:rPr>
        <w:t>C-</w:t>
      </w:r>
      <w:r>
        <w:t>C</w:t>
      </w:r>
      <w:r w:rsidRPr="00343839">
        <w:t xml:space="preserve">oncentration, </w:t>
      </w:r>
      <w:r w:rsidRPr="00343839">
        <w:rPr>
          <w:b/>
        </w:rPr>
        <w:t>F</w:t>
      </w:r>
      <w:r>
        <w:rPr>
          <w:b/>
        </w:rPr>
        <w:t xml:space="preserve"> x </w:t>
      </w:r>
      <w:r w:rsidRPr="00343839">
        <w:rPr>
          <w:b/>
        </w:rPr>
        <w:t xml:space="preserve">C- </w:t>
      </w:r>
      <w:r>
        <w:t>I</w:t>
      </w:r>
      <w:r w:rsidRPr="00343839">
        <w:t>nteraction</w:t>
      </w:r>
    </w:p>
    <w:p w14:paraId="369F3641" w14:textId="77777777" w:rsidR="004D55F6" w:rsidRPr="004D55F6" w:rsidRDefault="004D55F6" w:rsidP="004D55F6"/>
    <w:p w14:paraId="3F850C93" w14:textId="3A042ACF" w:rsidR="00131498" w:rsidRDefault="004D55F6" w:rsidP="00062194">
      <w:pPr>
        <w:pStyle w:val="BodyText3"/>
        <w:tabs>
          <w:tab w:val="left" w:pos="1080"/>
        </w:tabs>
        <w:spacing w:after="0"/>
        <w:jc w:val="both"/>
        <w:rPr>
          <w:rFonts w:ascii="Arial" w:hAnsi="Arial"/>
          <w:b/>
          <w:sz w:val="20"/>
          <w:szCs w:val="20"/>
        </w:rPr>
      </w:pPr>
      <w:r>
        <w:rPr>
          <w:rFonts w:ascii="Arial" w:hAnsi="Arial"/>
          <w:b/>
          <w:sz w:val="20"/>
          <w:szCs w:val="20"/>
        </w:rPr>
        <w:t xml:space="preserve">          </w:t>
      </w:r>
      <w:r w:rsidR="00553013">
        <w:rPr>
          <w:rFonts w:ascii="Arial" w:hAnsi="Arial"/>
          <w:b/>
          <w:noProof/>
          <w:sz w:val="20"/>
          <w:szCs w:val="20"/>
        </w:rPr>
        <w:drawing>
          <wp:inline distT="0" distB="0" distL="0" distR="0" wp14:anchorId="3EAFC126" wp14:editId="726C9897">
            <wp:extent cx="4590829" cy="3636540"/>
            <wp:effectExtent l="0" t="0" r="635" b="2540"/>
            <wp:docPr id="426733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33372" name="Picture 426733372"/>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14974" cy="3655666"/>
                    </a:xfrm>
                    <a:prstGeom prst="rect">
                      <a:avLst/>
                    </a:prstGeom>
                  </pic:spPr>
                </pic:pic>
              </a:graphicData>
            </a:graphic>
          </wp:inline>
        </w:drawing>
      </w:r>
    </w:p>
    <w:p w14:paraId="06A77EB1" w14:textId="77777777" w:rsidR="00131498" w:rsidRDefault="00131498" w:rsidP="00062194">
      <w:pPr>
        <w:pStyle w:val="BodyText3"/>
        <w:tabs>
          <w:tab w:val="left" w:pos="1080"/>
        </w:tabs>
        <w:spacing w:after="0"/>
        <w:jc w:val="both"/>
        <w:rPr>
          <w:rFonts w:ascii="Arial" w:hAnsi="Arial"/>
          <w:b/>
          <w:sz w:val="20"/>
          <w:szCs w:val="20"/>
        </w:rPr>
      </w:pPr>
    </w:p>
    <w:p w14:paraId="5298809B" w14:textId="77777777" w:rsidR="000A490A" w:rsidRPr="000B77BB" w:rsidRDefault="00131498" w:rsidP="000A490A">
      <w:pPr>
        <w:tabs>
          <w:tab w:val="left" w:pos="1080"/>
        </w:tabs>
        <w:jc w:val="center"/>
        <w:rPr>
          <w:rFonts w:ascii="Arial" w:hAnsi="Arial"/>
          <w:b/>
          <w:bCs/>
        </w:rPr>
      </w:pPr>
      <w:r w:rsidRPr="004D55F6">
        <w:rPr>
          <w:rFonts w:ascii="Arial" w:hAnsi="Arial"/>
          <w:b/>
        </w:rPr>
        <w:t xml:space="preserve">Plate 1. </w:t>
      </w:r>
      <w:r w:rsidRPr="004D55F6">
        <w:rPr>
          <w:rFonts w:ascii="Arial" w:eastAsia="Aptos" w:hAnsi="Arial" w:cs="Arial"/>
          <w:b/>
          <w:bCs/>
          <w:i/>
          <w:iCs/>
          <w:kern w:val="2"/>
          <w:lang w:val="en-IN"/>
        </w:rPr>
        <w:t>In vitro</w:t>
      </w:r>
      <w:r w:rsidRPr="004D55F6">
        <w:rPr>
          <w:rFonts w:ascii="Arial" w:eastAsia="Aptos" w:hAnsi="Arial" w:cs="Arial"/>
          <w:b/>
          <w:bCs/>
          <w:kern w:val="2"/>
          <w:lang w:val="en-IN"/>
        </w:rPr>
        <w:t xml:space="preserve"> evaluation 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p>
    <w:p w14:paraId="26B290D0" w14:textId="3F8A901A" w:rsidR="00131498" w:rsidRDefault="00131498" w:rsidP="00131498">
      <w:pPr>
        <w:autoSpaceDE w:val="0"/>
        <w:autoSpaceDN w:val="0"/>
        <w:adjustRightInd w:val="0"/>
        <w:jc w:val="center"/>
        <w:rPr>
          <w:rFonts w:ascii="Arial" w:hAnsi="Arial" w:cs="Arial"/>
        </w:rPr>
      </w:pPr>
    </w:p>
    <w:p w14:paraId="69830C17" w14:textId="77AE0E55" w:rsidR="00131498" w:rsidRDefault="00131498" w:rsidP="00062194">
      <w:pPr>
        <w:pStyle w:val="BodyText3"/>
        <w:tabs>
          <w:tab w:val="left" w:pos="1080"/>
        </w:tabs>
        <w:spacing w:after="0"/>
        <w:jc w:val="both"/>
        <w:rPr>
          <w:rFonts w:ascii="Arial" w:hAnsi="Arial"/>
          <w:b/>
          <w:sz w:val="20"/>
          <w:szCs w:val="20"/>
        </w:rPr>
      </w:pPr>
    </w:p>
    <w:p w14:paraId="5A4B0894" w14:textId="24CEB789" w:rsidR="002B3FDB" w:rsidRPr="00062194" w:rsidRDefault="002B3FDB" w:rsidP="00062194">
      <w:pPr>
        <w:pStyle w:val="Body"/>
        <w:spacing w:after="0" w:line="480" w:lineRule="auto"/>
        <w:rPr>
          <w:rFonts w:ascii="Arial" w:hAnsi="Arial" w:cs="Arial"/>
        </w:rPr>
      </w:pPr>
      <w:r w:rsidRPr="00795859">
        <w:rPr>
          <w:rFonts w:ascii="Arial" w:hAnsi="Arial" w:cs="Arial"/>
          <w:b/>
          <w:noProof/>
          <w:color w:val="000000"/>
        </w:rPr>
        <w:lastRenderedPageBreak/>
        <w:drawing>
          <wp:inline distT="0" distB="0" distL="0" distR="0" wp14:anchorId="6AD7881E" wp14:editId="19E52128">
            <wp:extent cx="5212080" cy="3332922"/>
            <wp:effectExtent l="0" t="0" r="7620" b="1270"/>
            <wp:docPr id="2195660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B51A09" w14:textId="259DCBF6" w:rsidR="00C30A0F" w:rsidRPr="000B77BB" w:rsidRDefault="009E048A" w:rsidP="00062194">
      <w:pPr>
        <w:autoSpaceDE w:val="0"/>
        <w:autoSpaceDN w:val="0"/>
        <w:adjustRightInd w:val="0"/>
        <w:jc w:val="center"/>
        <w:rPr>
          <w:rFonts w:ascii="Arial" w:hAnsi="Arial" w:cs="Arial"/>
          <w:b/>
          <w:bCs/>
        </w:rPr>
      </w:pPr>
      <w:r>
        <w:rPr>
          <w:rFonts w:ascii="Arial" w:hAnsi="Arial" w:cs="Arial"/>
          <w:b/>
          <w:bCs/>
          <w:szCs w:val="22"/>
        </w:rPr>
        <w:t>Fig.</w:t>
      </w:r>
      <w:r w:rsidR="00927834" w:rsidRPr="008247A6">
        <w:rPr>
          <w:rFonts w:ascii="Arial" w:hAnsi="Arial" w:cs="Arial"/>
          <w:b/>
          <w:bCs/>
          <w:szCs w:val="22"/>
        </w:rPr>
        <w:t xml:space="preserve"> 1</w:t>
      </w:r>
      <w:r>
        <w:rPr>
          <w:rFonts w:ascii="Arial" w:hAnsi="Arial" w:cs="Arial"/>
          <w:b/>
          <w:bCs/>
          <w:szCs w:val="22"/>
        </w:rPr>
        <w:t>.</w:t>
      </w:r>
      <w:r w:rsidR="00927834" w:rsidRPr="008247A6">
        <w:rPr>
          <w:rFonts w:ascii="Arial" w:hAnsi="Arial" w:cs="Arial"/>
          <w:b/>
          <w:bCs/>
          <w:szCs w:val="22"/>
        </w:rPr>
        <w:t xml:space="preserve"> </w:t>
      </w:r>
      <w:r w:rsidR="00062194" w:rsidRPr="00062194">
        <w:rPr>
          <w:rFonts w:ascii="Arial" w:eastAsia="Aptos" w:hAnsi="Arial" w:cs="Arial"/>
          <w:b/>
          <w:bCs/>
          <w:i/>
          <w:iCs/>
          <w:kern w:val="2"/>
          <w:lang w:val="en-IN"/>
        </w:rPr>
        <w:t>In vitro</w:t>
      </w:r>
      <w:r w:rsidR="00062194" w:rsidRPr="00062194">
        <w:rPr>
          <w:rFonts w:ascii="Arial" w:eastAsia="Aptos" w:hAnsi="Arial" w:cs="Arial"/>
          <w:b/>
          <w:bCs/>
          <w:kern w:val="2"/>
          <w:lang w:val="en-IN"/>
        </w:rPr>
        <w:t xml:space="preserve"> evaluation 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p>
    <w:p w14:paraId="0EB484BE" w14:textId="77777777" w:rsidR="00E053D0" w:rsidRDefault="00E053D0" w:rsidP="00441B6F">
      <w:pPr>
        <w:pStyle w:val="Body"/>
        <w:spacing w:after="0"/>
        <w:rPr>
          <w:rFonts w:ascii="Arial" w:hAnsi="Arial" w:cs="Arial"/>
        </w:rPr>
      </w:pPr>
    </w:p>
    <w:p w14:paraId="7ED3FFFC" w14:textId="0D685A2F" w:rsidR="00062194" w:rsidRDefault="00062194" w:rsidP="004D55F6">
      <w:pPr>
        <w:pStyle w:val="Body"/>
        <w:spacing w:after="0" w:line="480" w:lineRule="auto"/>
        <w:rPr>
          <w:rFonts w:ascii="Arial" w:hAnsi="Arial" w:cs="Arial"/>
        </w:rPr>
      </w:pPr>
      <w:r w:rsidRPr="00795859">
        <w:rPr>
          <w:rFonts w:ascii="Arial" w:hAnsi="Arial" w:cs="Arial"/>
          <w:noProof/>
        </w:rPr>
        <w:drawing>
          <wp:inline distT="0" distB="0" distL="0" distR="0" wp14:anchorId="28A4818D" wp14:editId="7CC1B857">
            <wp:extent cx="5211820" cy="3028950"/>
            <wp:effectExtent l="19050" t="19050" r="8255" b="0"/>
            <wp:docPr id="762188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4705" cy="3030627"/>
                    </a:xfrm>
                    <a:prstGeom prst="rect">
                      <a:avLst/>
                    </a:prstGeom>
                    <a:noFill/>
                    <a:ln>
                      <a:solidFill>
                        <a:schemeClr val="tx1"/>
                      </a:solidFill>
                    </a:ln>
                  </pic:spPr>
                </pic:pic>
              </a:graphicData>
            </a:graphic>
          </wp:inline>
        </w:drawing>
      </w:r>
    </w:p>
    <w:p w14:paraId="731D6812" w14:textId="5DA24B1F" w:rsidR="00062194" w:rsidRPr="000B77BB" w:rsidRDefault="00062194" w:rsidP="00062194">
      <w:pPr>
        <w:jc w:val="center"/>
        <w:rPr>
          <w:rFonts w:ascii="Arial" w:eastAsia="Aptos" w:hAnsi="Arial" w:cs="Arial"/>
          <w:b/>
          <w:bCs/>
          <w:i/>
          <w:iCs/>
          <w:kern w:val="2"/>
          <w:lang w:val="en-IN"/>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2</w:t>
      </w:r>
      <w:r w:rsidRPr="00062194">
        <w:rPr>
          <w:rFonts w:ascii="Arial" w:eastAsia="Aptos" w:hAnsi="Arial" w:cs="Arial"/>
          <w:b/>
          <w:bCs/>
          <w:kern w:val="2"/>
          <w:lang w:val="en-IN"/>
          <w14:ligatures w14:val="standardContextual"/>
        </w:rPr>
        <w:t xml:space="preserve"> </w:t>
      </w:r>
      <w:r w:rsidRPr="00062194">
        <w:rPr>
          <w:rFonts w:ascii="Arial" w:eastAsia="Aptos" w:hAnsi="Arial" w:cs="Arial"/>
          <w:b/>
          <w:bCs/>
          <w:kern w:val="2"/>
          <w:lang w:val="en-IN"/>
        </w:rPr>
        <w:t xml:space="preserve">Heatmap illustrating the comparative </w:t>
      </w:r>
      <w:r w:rsidRPr="00062194">
        <w:rPr>
          <w:rFonts w:ascii="Arial" w:eastAsia="Aptos" w:hAnsi="Arial" w:cs="Arial"/>
          <w:b/>
          <w:bCs/>
          <w:i/>
          <w:iCs/>
          <w:kern w:val="2"/>
          <w:lang w:val="en-IN"/>
        </w:rPr>
        <w:t xml:space="preserve">in vitro </w:t>
      </w:r>
      <w:r w:rsidRPr="00062194">
        <w:rPr>
          <w:rFonts w:ascii="Arial" w:eastAsia="Aptos" w:hAnsi="Arial" w:cs="Arial"/>
          <w:b/>
          <w:bCs/>
          <w:kern w:val="2"/>
          <w:lang w:val="en-IN"/>
        </w:rPr>
        <w:t xml:space="preserve">efficacy of fungicides against </w:t>
      </w:r>
      <w:r w:rsidR="000A490A" w:rsidRPr="000B77BB">
        <w:rPr>
          <w:rFonts w:ascii="Arial" w:hAnsi="Arial" w:cs="Arial"/>
          <w:b/>
          <w:bCs/>
          <w:i/>
          <w:iCs/>
        </w:rPr>
        <w:t xml:space="preserve">Colletotrichum </w:t>
      </w:r>
      <w:r w:rsidR="000A490A" w:rsidRPr="000A490A">
        <w:rPr>
          <w:rFonts w:ascii="Arial" w:eastAsia="Aptos" w:hAnsi="Arial" w:cs="Arial"/>
          <w:b/>
          <w:bCs/>
          <w:kern w:val="2"/>
          <w:lang w:val="en-IN"/>
        </w:rPr>
        <w:t>spp</w:t>
      </w:r>
      <w:r w:rsidR="000A490A">
        <w:rPr>
          <w:rFonts w:ascii="Arial" w:eastAsia="Aptos" w:hAnsi="Arial" w:cs="Arial"/>
          <w:b/>
          <w:bCs/>
          <w:i/>
          <w:iCs/>
          <w:kern w:val="2"/>
          <w:lang w:val="en-IN"/>
        </w:rPr>
        <w:t>.</w:t>
      </w:r>
    </w:p>
    <w:p w14:paraId="4221AA49" w14:textId="77777777" w:rsidR="00062194" w:rsidRDefault="00062194" w:rsidP="00062194">
      <w:pPr>
        <w:spacing w:after="160"/>
        <w:jc w:val="both"/>
        <w:rPr>
          <w:rFonts w:ascii="Arial" w:eastAsia="Aptos" w:hAnsi="Arial" w:cs="Arial"/>
          <w:kern w:val="2"/>
          <w:lang w:val="en-IN"/>
        </w:rPr>
      </w:pPr>
    </w:p>
    <w:p w14:paraId="36F9C451" w14:textId="511CB29D" w:rsidR="00131498" w:rsidRPr="00062194" w:rsidRDefault="00062194" w:rsidP="00062194">
      <w:pPr>
        <w:spacing w:after="160"/>
        <w:jc w:val="both"/>
        <w:rPr>
          <w:rFonts w:ascii="Arial" w:eastAsia="Aptos" w:hAnsi="Arial" w:cs="Arial"/>
          <w:kern w:val="2"/>
          <w:lang w:val="en-IN"/>
        </w:rPr>
      </w:pPr>
      <w:r w:rsidRPr="00062194">
        <w:rPr>
          <w:rFonts w:ascii="Arial" w:eastAsia="Aptos" w:hAnsi="Arial" w:cs="Arial"/>
          <w:kern w:val="2"/>
          <w:lang w:val="en-IN"/>
        </w:rPr>
        <w:t>Propiconazole is a Demethylation Inhibitor (DMI) fungicide that belongs to FRAC</w:t>
      </w:r>
      <w:r>
        <w:rPr>
          <w:rFonts w:ascii="Arial" w:eastAsia="Aptos" w:hAnsi="Arial" w:cs="Arial"/>
          <w:kern w:val="2"/>
          <w:lang w:val="en-IN"/>
        </w:rPr>
        <w:t xml:space="preserve"> (Fungicides Resistance Action Committee)</w:t>
      </w:r>
      <w:r w:rsidRPr="00062194">
        <w:rPr>
          <w:rFonts w:ascii="Arial" w:eastAsia="Aptos" w:hAnsi="Arial" w:cs="Arial"/>
          <w:kern w:val="2"/>
          <w:lang w:val="en-IN"/>
        </w:rPr>
        <w:t xml:space="preserve"> code3. Chen et al.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{"citationID":"laX3q0AF","properties":{"formattedCitation":"[16]","plainCitation":"[16]","noteIndex":0},"citationItems":[{"id":589,"uris":["http://zotero.org/users/local/5ucmndSA/items/BUHE6E8M"],"itemData":{"id":589,"type":"article-journal","abstract":"Few fungicides are effective against anthracnose, caused by Colletotrichum spp., and emerging resistance makes the search for chemical alternatives more relevant. Isolates of the Colletotrichum acutatum species complex were collected from South Carolina and Georgia peach orchards and phylogenetic analysis of the combined internal transcribed spacer region, glyceraldehyde-3-phosphate dehydrogenase, and β-tubulin gene sequences separated the isolates into C. nymphaeae and C. fioriniae. The sensitivity of these and three other previously reported Colletotrichum spp. from peach, including C. fructicola, C. siamense, and C. truncatum, to demethylation inhibitor (DMI) fungicides difenoconazole, propiconazole, tebuconazole, metconazole, flutriafol, and fenbuconazole was determined based upon mycelial growth inhibition. C. truncatum was resistant to tebuconazole, metconazole, flutriafol, and fenbuconazole and C. nymphaeae was resistant to flutriafol and fenbuconazole based on 50% effective concentration (EC\n              50\n              ) values &gt;100 μg/ml. C. fructicola and C. siamense were sensitive to all DMI fungicides (EC\n              50\n              values of 0.2 to 13.1 μg/ml). C. fioriniae subgroup 2 isolates were less sensitive to DMI fungicides (EC\n              50\n              values of 0.5 to 16.2 μg/ml) compared with C. fioriniae subgroup 1 (EC\n              50\n              values of 0.03 to 2.1 μg/ml). Difenoconazole and propiconazole provided the best control efficacy in vitro to all five species, with EC\n              50\n              values of 0.2 to 2.7 μg/ml. Tebuconazole and metconazole were effective against all Colletotrichum spp., except for C. truncatum. The strong in vitro activity of some DMI fungicides against Colletotrichum spp. may be exploited for improved anthracnose disease management of peach.","container-title":"Plant Disease","DOI":"10.1094/PDIS-04-16-0574-RE","ISSN":"0191-2917, 1943-7692","issue":"12","journalAbbreviation":"Plant Disease","language":"en","page":"2434-2441","source":"DOI.org (Crossref)","title":"Sensitivity of &lt;i&gt;Colletotrichum&lt;/i&gt; Species, Including &lt;i&gt;C. fioriniae&lt;/i&gt; and &lt;i&gt;C. nymphaeae&lt;/i&gt; , from Peach to Demethylation Inhibitor Fungicides","volume":"100","author":[{"family":"Chen","given":"S. N."},{"family":"Luo","given":"C. X."},{"family":"Hu","given":"M. J."},{"family":"Schnabel","given":"G."}],"issued":{"date-parts":[["2016",12]]}}}],"schema":"https://github.com/citation-style-language/schema/raw/master/csl-citation.json"}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[16]</w:t>
      </w:r>
      <w:r w:rsidRPr="00062194">
        <w:rPr>
          <w:rFonts w:ascii="Arial" w:eastAsia="Aptos" w:hAnsi="Arial" w:cs="Arial"/>
          <w:kern w:val="2"/>
          <w:lang w:val="en-IN"/>
        </w:rPr>
        <w:fldChar w:fldCharType="end"/>
      </w:r>
      <w:r w:rsidRPr="00062194">
        <w:rPr>
          <w:rFonts w:ascii="Arial" w:eastAsia="Aptos" w:hAnsi="Arial" w:cs="Arial"/>
          <w:kern w:val="2"/>
          <w:lang w:val="en-IN"/>
        </w:rPr>
        <w:t xml:space="preserve"> have reported that among the DMI </w:t>
      </w:r>
      <w:r w:rsidRPr="00062194">
        <w:rPr>
          <w:rFonts w:ascii="Arial" w:eastAsia="Aptos" w:hAnsi="Arial" w:cs="Arial"/>
          <w:kern w:val="2"/>
          <w:lang w:val="en-IN"/>
        </w:rPr>
        <w:lastRenderedPageBreak/>
        <w:t xml:space="preserve">fungicides tested for sensitivity toward </w:t>
      </w:r>
      <w:r w:rsidRPr="00062194">
        <w:rPr>
          <w:rFonts w:ascii="Arial" w:eastAsia="Aptos" w:hAnsi="Arial" w:cs="Arial"/>
          <w:i/>
          <w:iCs/>
          <w:kern w:val="2"/>
          <w:lang w:val="en-IN"/>
        </w:rPr>
        <w:t xml:space="preserve">C. </w:t>
      </w:r>
      <w:proofErr w:type="spellStart"/>
      <w:r w:rsidRPr="00062194">
        <w:rPr>
          <w:rFonts w:ascii="Arial" w:eastAsia="Aptos" w:hAnsi="Arial" w:cs="Arial"/>
          <w:i/>
          <w:iCs/>
          <w:kern w:val="2"/>
          <w:lang w:val="en-IN"/>
        </w:rPr>
        <w:t>truncatum</w:t>
      </w:r>
      <w:proofErr w:type="spellEnd"/>
      <w:r w:rsidRPr="00062194">
        <w:rPr>
          <w:rFonts w:ascii="Arial" w:eastAsia="Aptos" w:hAnsi="Arial" w:cs="Arial"/>
          <w:i/>
          <w:iCs/>
          <w:kern w:val="2"/>
          <w:lang w:val="en-IN"/>
        </w:rPr>
        <w:t xml:space="preserve">, C. </w:t>
      </w:r>
      <w:proofErr w:type="spellStart"/>
      <w:r w:rsidRPr="00062194">
        <w:rPr>
          <w:rFonts w:ascii="Arial" w:eastAsia="Aptos" w:hAnsi="Arial" w:cs="Arial"/>
          <w:i/>
          <w:iCs/>
          <w:kern w:val="2"/>
          <w:lang w:val="en-IN"/>
        </w:rPr>
        <w:t>fructicola</w:t>
      </w:r>
      <w:proofErr w:type="spellEnd"/>
      <w:r w:rsidRPr="00062194">
        <w:rPr>
          <w:rFonts w:ascii="Arial" w:eastAsia="Aptos" w:hAnsi="Arial" w:cs="Arial"/>
          <w:i/>
          <w:iCs/>
          <w:kern w:val="2"/>
          <w:lang w:val="en-IN"/>
        </w:rPr>
        <w:t xml:space="preserve"> and</w:t>
      </w:r>
      <w:r w:rsidRPr="00062194">
        <w:rPr>
          <w:rFonts w:ascii="Arial" w:eastAsia="Aptos" w:hAnsi="Arial" w:cs="Arial"/>
          <w:kern w:val="2"/>
          <w:lang w:val="en-IN"/>
        </w:rPr>
        <w:t xml:space="preserve"> </w:t>
      </w:r>
      <w:r w:rsidRPr="00062194">
        <w:rPr>
          <w:rFonts w:ascii="Arial" w:eastAsia="Aptos" w:hAnsi="Arial" w:cs="Arial"/>
          <w:i/>
          <w:iCs/>
          <w:kern w:val="2"/>
          <w:lang w:val="en-IN"/>
        </w:rPr>
        <w:t xml:space="preserve">C. </w:t>
      </w:r>
      <w:proofErr w:type="spellStart"/>
      <w:r w:rsidRPr="00062194">
        <w:rPr>
          <w:rFonts w:ascii="Arial" w:eastAsia="Aptos" w:hAnsi="Arial" w:cs="Arial"/>
          <w:i/>
          <w:iCs/>
          <w:kern w:val="2"/>
          <w:lang w:val="en-IN"/>
        </w:rPr>
        <w:t>siamense</w:t>
      </w:r>
      <w:proofErr w:type="spellEnd"/>
      <w:r w:rsidRPr="00062194">
        <w:rPr>
          <w:rFonts w:ascii="Arial" w:eastAsia="Aptos" w:hAnsi="Arial" w:cs="Arial"/>
          <w:i/>
          <w:iCs/>
          <w:kern w:val="2"/>
          <w:lang w:val="en-IN"/>
        </w:rPr>
        <w:t>,</w:t>
      </w:r>
      <w:r w:rsidRPr="00062194">
        <w:rPr>
          <w:rFonts w:ascii="Arial" w:eastAsia="Aptos" w:hAnsi="Arial" w:cs="Arial"/>
          <w:kern w:val="2"/>
          <w:lang w:val="en-IN"/>
        </w:rPr>
        <w:t xml:space="preserve"> propiconazole and difenoconazole were the most effective. In </w:t>
      </w:r>
      <w:proofErr w:type="spellStart"/>
      <w:r w:rsidRPr="00062194">
        <w:rPr>
          <w:rFonts w:ascii="Arial" w:eastAsia="Aptos" w:hAnsi="Arial" w:cs="Arial"/>
          <w:i/>
          <w:iCs/>
          <w:kern w:val="2"/>
          <w:lang w:val="en-IN"/>
        </w:rPr>
        <w:t>Colleotrichum</w:t>
      </w:r>
      <w:proofErr w:type="spellEnd"/>
      <w:r w:rsidRPr="00062194">
        <w:rPr>
          <w:rFonts w:ascii="Arial" w:eastAsia="Aptos" w:hAnsi="Arial" w:cs="Arial"/>
          <w:kern w:val="2"/>
          <w:lang w:val="en-IN"/>
        </w:rPr>
        <w:t xml:space="preserve"> spp., the DMI fungicides, mainly propiconazole, primarily targets the ergosterol biosynthesis by inhibition of the cytochrome P450 enzyme CYP51 (lanosterol 14α-demethylase)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{"citationID":"qSR06JY5","properties":{"formattedCitation":"[17]","plainCitation":"[17]","noteIndex":0},"citationItems":[{"id":593,"uris":["http://zotero.org/users/local/5ucmndSA/items/EA4BX9IX"],"itemData":{"id":593,"type":"article-journal","abstract":"The baseline sensitivity of a California population of Colletotrichum cereale (turfgrass anthracnose) to the sterol demethylation inhibitor (DMI) fungicide propiconazole was determined using an in vitro assay with known reproducibility. The 50% effective dose (ED\n              50\n              ) values for propiconazole for a nonexposed, baseline population ranged from 0.025 to 0.35 μg/ml with a mean of 0.14 μg/ml. Examination of two DMI-exposed populations indicated an approximate increase of 6.5× in mean ED\n              50\n              values. In vivo testing of two isolates with ED\n              50\n              values of propiconazole at 0.15 and 0.90 μg/ml indicated reduced control for the less sensitive isolate by propiconazole at rates ≤38 μg/ml. It was determined that single discriminatory dose testing in vitro with propiconazole at 0.50 μg/ml could differentiate sensitive and resistant isolates. Using this dose, six additional populations were tested and DMI-exposed populations were found to be three to nine times less sensitive compared with the baseline population. Two populations were assayed for sensitivity to myclobutanil, tebuconazole, and triadimefon. Mean ED\n              50\n              values for a nonexposed population were 0.72, 0.082, and 5.6 μg/ml, respectively; for a DMI-exposed population, mean ED\n              50\n              values were 3.8, 0.35, and 18 μg/ml, respectively. This work provides information on the development of DMI resistance in populations of C. cereale in California and methodologies for future resistance monitoring for this pathogen.","container-title":"Plant Disease","DOI":"10.1094/PDIS-91-12-1547","ISSN":"0191-2917, 1943-7692","issue":"12","journalAbbreviation":"Plant Disease","language":"en","page":"1547-1555","source":"DOI.org (Crossref)","title":"Sensitivity Distributions of California Populations of &lt;i&gt;Colletotrichum cereale&lt;/i&gt; to the DMI Fungicides Propiconazole, Myclobutanil, Tebuconazole, and Triadimefon","volume":"91","author":[{"family":"Wong","given":"Francis P."},{"family":"Midland","given":"Sharon L."}],"issued":{"date-parts":[["2007",12]]}}}],"schema":"https://github.com/citation-style-language/schema/raw/master/csl-citation.json"}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[17]</w:t>
      </w:r>
      <w:r w:rsidRPr="00062194">
        <w:rPr>
          <w:rFonts w:ascii="Arial" w:eastAsia="Aptos" w:hAnsi="Arial" w:cs="Arial"/>
          <w:kern w:val="2"/>
          <w:lang w:val="en-IN"/>
        </w:rPr>
        <w:fldChar w:fldCharType="end"/>
      </w:r>
      <w:r w:rsidRPr="00062194">
        <w:rPr>
          <w:rFonts w:ascii="Arial" w:eastAsia="Aptos" w:hAnsi="Arial" w:cs="Arial"/>
          <w:kern w:val="2"/>
          <w:lang w:val="en-IN"/>
        </w:rPr>
        <w:t xml:space="preserve">. However, the continuous use of systemic fungicides poses risk of fungicide resistance development with time, as they will be targeting one or two specific fungal functions, leaving them open to mutations or selection of resistant ones.  Whereas combination fungicides used in this study such as Tebuconazole 50% + </w:t>
      </w:r>
      <w:proofErr w:type="spellStart"/>
      <w:r w:rsidRPr="00062194">
        <w:rPr>
          <w:rFonts w:ascii="Arial" w:eastAsia="Aptos" w:hAnsi="Arial" w:cs="Arial"/>
          <w:kern w:val="2"/>
          <w:lang w:val="en-IN"/>
        </w:rPr>
        <w:t>Trifloxystrobin</w:t>
      </w:r>
      <w:proofErr w:type="spellEnd"/>
      <w:r w:rsidRPr="00062194">
        <w:rPr>
          <w:rFonts w:ascii="Arial" w:eastAsia="Aptos" w:hAnsi="Arial" w:cs="Arial"/>
          <w:kern w:val="2"/>
          <w:lang w:val="en-IN"/>
        </w:rPr>
        <w:t xml:space="preserve"> 25% WG and Fluxapyroxad 21.26 % + </w:t>
      </w:r>
      <w:proofErr w:type="spellStart"/>
      <w:r w:rsidRPr="00062194">
        <w:rPr>
          <w:rFonts w:ascii="Arial" w:eastAsia="Aptos" w:hAnsi="Arial" w:cs="Arial"/>
          <w:kern w:val="2"/>
          <w:lang w:val="en-IN"/>
        </w:rPr>
        <w:t>Pyraclostrobin</w:t>
      </w:r>
      <w:proofErr w:type="spellEnd"/>
      <w:r w:rsidRPr="00062194">
        <w:rPr>
          <w:rFonts w:ascii="Arial" w:eastAsia="Aptos" w:hAnsi="Arial" w:cs="Arial"/>
          <w:kern w:val="2"/>
          <w:lang w:val="en-IN"/>
        </w:rPr>
        <w:t xml:space="preserve"> 21.26 % SC, which showed cent per cent inhibition, comprise of active ingredients that act synergistically to control the fungus through distinct biochemical pathways. They offer a long-term management of fungal pathogens as they have two different mechanism or mode of actions against the fungus that prevents or delays resistance development.  These combinations often provide broad spectrum protection against fungus </w:t>
      </w:r>
      <w:r w:rsidRPr="00062194">
        <w:rPr>
          <w:rFonts w:ascii="Arial" w:eastAsia="Aptos" w:hAnsi="Arial" w:cs="Arial"/>
          <w:kern w:val="2"/>
          <w:lang w:val="en-IN"/>
        </w:rPr>
        <w:fldChar w:fldCharType="begin"/>
      </w:r>
      <w:r w:rsidRPr="00062194">
        <w:rPr>
          <w:rFonts w:ascii="Arial" w:eastAsia="Aptos" w:hAnsi="Arial" w:cs="Arial"/>
          <w:kern w:val="2"/>
          <w:lang w:val="en-IN"/>
        </w:rPr>
        <w:instrText xml:space="preserve"> ADDIN ZOTERO_ITEM CSL_CITATION {"citationID":"lte7kAnd","properties":{"formattedCitation":"[18]","plainCitation":"[18]","noteIndex":0},"citationItems":[{"id":594,"uris":["http://zotero.org/users/local/5ucmndSA/items/J3ZHGRVJ"],"itemData":{"id":594,"type":"article-journal","container-title":"Plant Protection Science","DOI":"10.17221/42/2015-PPS","ISSN":"12122580, 18059341","issue":"4","journalAbbreviation":"Plant Prot. Sci.","license":"https://creativecommons.org/licenses/by-nc/4.0/","page":"170-176","source":"DOI.org (Crossref)","title":"Fungicide resistance: facing the challenge - a review","title-short":"Fungicide resistance","volume":"51","author":[{"family":"Hollomon","given":"Derek W."}],"issued":{"date-parts":[["2015",12,31]]}}}],"schema":"https://github.com/citation-style-language/schema/raw/master/csl-citation.json"} </w:instrText>
      </w:r>
      <w:r w:rsidRPr="00062194">
        <w:rPr>
          <w:rFonts w:ascii="Arial" w:eastAsia="Aptos" w:hAnsi="Arial" w:cs="Arial"/>
          <w:kern w:val="2"/>
          <w:lang w:val="en-IN"/>
        </w:rPr>
        <w:fldChar w:fldCharType="separate"/>
      </w:r>
      <w:r w:rsidRPr="00062194">
        <w:rPr>
          <w:rFonts w:ascii="Arial" w:eastAsia="Aptos" w:hAnsi="Arial" w:cs="Arial"/>
          <w:kern w:val="2"/>
          <w:lang w:val="en-IN"/>
        </w:rPr>
        <w:t>[18]</w:t>
      </w:r>
      <w:r w:rsidRPr="00062194">
        <w:rPr>
          <w:rFonts w:ascii="Arial" w:eastAsia="Aptos" w:hAnsi="Arial" w:cs="Arial"/>
          <w:kern w:val="2"/>
          <w:lang w:val="en-IN"/>
        </w:rPr>
        <w:fldChar w:fldCharType="end"/>
      </w:r>
      <w:r w:rsidRPr="00062194">
        <w:rPr>
          <w:rFonts w:ascii="Arial" w:eastAsia="Aptos" w:hAnsi="Arial" w:cs="Arial"/>
          <w:kern w:val="2"/>
          <w:lang w:val="en-IN"/>
        </w:rPr>
        <w:t xml:space="preserve">. </w:t>
      </w:r>
    </w:p>
    <w:p w14:paraId="64A12B17" w14:textId="1AD295FC"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FEFD8E" w14:textId="77777777" w:rsidR="00790ADA" w:rsidRPr="00FB3A86" w:rsidRDefault="00790ADA" w:rsidP="00441B6F">
      <w:pPr>
        <w:pStyle w:val="ConcHead"/>
        <w:spacing w:after="0"/>
        <w:jc w:val="both"/>
        <w:rPr>
          <w:rFonts w:ascii="Arial" w:hAnsi="Arial" w:cs="Arial"/>
        </w:rPr>
      </w:pPr>
    </w:p>
    <w:p w14:paraId="4C507858" w14:textId="078DB3E3" w:rsidR="00790ADA" w:rsidRPr="00062194" w:rsidRDefault="00062194" w:rsidP="00062194">
      <w:pPr>
        <w:spacing w:after="160"/>
        <w:jc w:val="both"/>
        <w:rPr>
          <w:rFonts w:ascii="Arial" w:eastAsia="Aptos" w:hAnsi="Arial" w:cs="Arial"/>
          <w:kern w:val="2"/>
          <w:lang w:val="en-IN"/>
        </w:rPr>
      </w:pPr>
      <w:r w:rsidRPr="00062194">
        <w:rPr>
          <w:rFonts w:ascii="Arial" w:eastAsia="Aptos" w:hAnsi="Arial" w:cs="Arial"/>
          <w:kern w:val="2"/>
          <w:lang w:val="en-IN"/>
        </w:rPr>
        <w:t xml:space="preserve">In the current study, among the fungicides tested against </w:t>
      </w:r>
      <w:r w:rsidRPr="00062194">
        <w:rPr>
          <w:rFonts w:ascii="Arial" w:eastAsia="Aptos" w:hAnsi="Arial" w:cs="Arial"/>
          <w:i/>
          <w:iCs/>
          <w:kern w:val="2"/>
          <w:lang w:val="en-IN"/>
        </w:rPr>
        <w:t>Colletotrichum</w:t>
      </w:r>
      <w:r w:rsidR="000A490A">
        <w:rPr>
          <w:rFonts w:ascii="Arial" w:eastAsia="Aptos" w:hAnsi="Arial" w:cs="Arial"/>
          <w:i/>
          <w:iCs/>
          <w:kern w:val="2"/>
          <w:lang w:val="en-IN"/>
        </w:rPr>
        <w:t xml:space="preserve"> </w:t>
      </w:r>
      <w:r w:rsidR="000A490A" w:rsidRPr="00603E1A">
        <w:rPr>
          <w:rFonts w:ascii="Arial" w:eastAsia="Aptos" w:hAnsi="Arial" w:cs="Arial"/>
          <w:kern w:val="2"/>
          <w:lang w:val="en-IN"/>
        </w:rPr>
        <w:t>species</w:t>
      </w:r>
      <w:r w:rsidRPr="00603E1A">
        <w:rPr>
          <w:rFonts w:ascii="Arial" w:eastAsia="Aptos" w:hAnsi="Arial" w:cs="Arial"/>
          <w:kern w:val="2"/>
          <w:lang w:val="en-IN"/>
        </w:rPr>
        <w:t>,</w:t>
      </w:r>
      <w:r w:rsidRPr="00062194">
        <w:rPr>
          <w:rFonts w:ascii="Arial" w:eastAsia="Aptos" w:hAnsi="Arial" w:cs="Arial"/>
          <w:kern w:val="2"/>
          <w:lang w:val="en-IN"/>
        </w:rPr>
        <w:t xml:space="preserve"> Propiconazole 25% EC was found as the most effective among systemic and Carbendazim 12% + Mancozeb 63% WP, Tebuconazole 50% + </w:t>
      </w:r>
      <w:proofErr w:type="spellStart"/>
      <w:r w:rsidRPr="00062194">
        <w:rPr>
          <w:rFonts w:ascii="Arial" w:eastAsia="Aptos" w:hAnsi="Arial" w:cs="Arial"/>
          <w:kern w:val="2"/>
          <w:lang w:val="en-IN"/>
        </w:rPr>
        <w:t>Trifloxystrobin</w:t>
      </w:r>
      <w:proofErr w:type="spellEnd"/>
      <w:r w:rsidRPr="00062194">
        <w:rPr>
          <w:rFonts w:ascii="Arial" w:eastAsia="Aptos" w:hAnsi="Arial" w:cs="Arial"/>
          <w:kern w:val="2"/>
          <w:lang w:val="en-IN"/>
        </w:rPr>
        <w:t xml:space="preserve"> 25% WG and Tricyclazole 18 % + Mancozeb 62 % WP were found cent per cent effective among combination fungicides at all concentrations. While Propiconazole has exhibited high fungicidal activity, relying exclusively on it for long term management could be problematic. Its targeted mechanism of action, limits the spectrum and increases the likelihood of resistance evolution in pathogen populations. Repeated applications exert severe selection pressure, that will lead potentially to the emergence of resistant fungal strains, through adaptive selection or point mutations. Unlike this, combination fungicides will offer more effective control by targeting multiple biochemical pathways in the pathogen. They are more robust and efficient choice for long-term disease management because of their dual mode of action, which not only enhances disease suppression but also lowers the possibility of resistance development. </w:t>
      </w:r>
    </w:p>
    <w:p w14:paraId="525E0E11" w14:textId="792CC649" w:rsidR="005F62B1" w:rsidRDefault="005F62B1" w:rsidP="00441B6F">
      <w:pPr>
        <w:pStyle w:val="AcknHead"/>
        <w:spacing w:after="0"/>
        <w:jc w:val="both"/>
        <w:rPr>
          <w:rFonts w:ascii="Arial" w:hAnsi="Arial" w:cs="Arial"/>
        </w:rPr>
      </w:pPr>
      <w:r w:rsidRPr="005F62B1">
        <w:rPr>
          <w:rFonts w:ascii="Arial" w:hAnsi="Arial" w:cs="Arial"/>
        </w:rPr>
        <w:t>DISCLAIMER (ARTIFICIAL INTELLIGENCE</w:t>
      </w:r>
      <w:r w:rsidR="00063322">
        <w:rPr>
          <w:rFonts w:ascii="Arial" w:hAnsi="Arial" w:cs="Arial"/>
        </w:rPr>
        <w:t>)</w:t>
      </w:r>
    </w:p>
    <w:p w14:paraId="6B38CD56" w14:textId="77777777" w:rsidR="005F62B1" w:rsidRDefault="005F62B1" w:rsidP="00441B6F">
      <w:pPr>
        <w:pStyle w:val="AcknHead"/>
        <w:spacing w:after="0"/>
        <w:jc w:val="both"/>
        <w:rPr>
          <w:rFonts w:ascii="Arial" w:hAnsi="Arial" w:cs="Arial"/>
        </w:rPr>
      </w:pPr>
    </w:p>
    <w:p w14:paraId="5B658406" w14:textId="0C17597C" w:rsidR="005F62B1" w:rsidRPr="005F62B1" w:rsidRDefault="005F62B1" w:rsidP="00441B6F">
      <w:pPr>
        <w:pStyle w:val="AcknHead"/>
        <w:spacing w:after="0"/>
        <w:jc w:val="both"/>
        <w:rPr>
          <w:rFonts w:ascii="Arial" w:hAnsi="Arial" w:cs="Arial"/>
          <w:b w:val="0"/>
          <w:bCs/>
          <w:sz w:val="20"/>
        </w:rPr>
      </w:pPr>
      <w:r>
        <w:rPr>
          <w:rFonts w:ascii="Arial" w:hAnsi="Arial" w:cs="Arial"/>
          <w:b w:val="0"/>
          <w:bCs/>
          <w:caps w:val="0"/>
          <w:sz w:val="20"/>
        </w:rPr>
        <w:t>A</w:t>
      </w:r>
      <w:r w:rsidRPr="005F62B1">
        <w:rPr>
          <w:rFonts w:ascii="Arial" w:hAnsi="Arial" w:cs="Arial"/>
          <w:b w:val="0"/>
          <w:bCs/>
          <w:caps w:val="0"/>
          <w:sz w:val="20"/>
        </w:rPr>
        <w:t xml:space="preserve">uthor(s) hereby declares that no generative </w:t>
      </w:r>
      <w:r>
        <w:rPr>
          <w:rFonts w:ascii="Arial" w:hAnsi="Arial" w:cs="Arial"/>
          <w:b w:val="0"/>
          <w:bCs/>
          <w:caps w:val="0"/>
          <w:sz w:val="20"/>
        </w:rPr>
        <w:t xml:space="preserve">AI </w:t>
      </w:r>
      <w:r w:rsidRPr="005F62B1">
        <w:rPr>
          <w:rFonts w:ascii="Arial" w:hAnsi="Arial" w:cs="Arial"/>
          <w:b w:val="0"/>
          <w:bCs/>
          <w:caps w:val="0"/>
          <w:sz w:val="20"/>
        </w:rPr>
        <w:t>technologies such as large language models (</w:t>
      </w:r>
      <w:r>
        <w:rPr>
          <w:rFonts w:ascii="Arial" w:hAnsi="Arial" w:cs="Arial"/>
          <w:b w:val="0"/>
          <w:bCs/>
          <w:caps w:val="0"/>
          <w:sz w:val="20"/>
        </w:rPr>
        <w:t>CHATGPT, COPILOT</w:t>
      </w:r>
      <w:r w:rsidRPr="005F62B1">
        <w:rPr>
          <w:rFonts w:ascii="Arial" w:hAnsi="Arial" w:cs="Arial"/>
          <w:b w:val="0"/>
          <w:bCs/>
          <w:caps w:val="0"/>
          <w:sz w:val="20"/>
        </w:rPr>
        <w:t xml:space="preserve">, </w:t>
      </w:r>
      <w:proofErr w:type="spellStart"/>
      <w:r w:rsidRPr="005F62B1">
        <w:rPr>
          <w:rFonts w:ascii="Arial" w:hAnsi="Arial" w:cs="Arial"/>
          <w:b w:val="0"/>
          <w:bCs/>
          <w:caps w:val="0"/>
          <w:sz w:val="20"/>
        </w:rPr>
        <w:t>etc</w:t>
      </w:r>
      <w:proofErr w:type="spellEnd"/>
      <w:r w:rsidRPr="005F62B1">
        <w:rPr>
          <w:rFonts w:ascii="Arial" w:hAnsi="Arial" w:cs="Arial"/>
          <w:b w:val="0"/>
          <w:bCs/>
          <w:caps w:val="0"/>
          <w:sz w:val="20"/>
        </w:rPr>
        <w:t>) and text-to-image generators have been used during writing or editing of this manuscript.</w:t>
      </w:r>
    </w:p>
    <w:p w14:paraId="1E0F7193" w14:textId="77777777" w:rsidR="005F62B1" w:rsidRPr="005F62B1" w:rsidRDefault="005F62B1" w:rsidP="00441B6F">
      <w:pPr>
        <w:pStyle w:val="AcknHead"/>
        <w:spacing w:after="0"/>
        <w:jc w:val="both"/>
        <w:rPr>
          <w:rFonts w:ascii="Arial" w:hAnsi="Arial" w:cs="Arial"/>
          <w:b w:val="0"/>
          <w:bCs/>
          <w:sz w:val="20"/>
        </w:rPr>
      </w:pPr>
    </w:p>
    <w:p w14:paraId="5614C0BC" w14:textId="77777777" w:rsidR="005F62B1" w:rsidRDefault="005F62B1" w:rsidP="00441B6F">
      <w:pPr>
        <w:pStyle w:val="ReferHead"/>
        <w:spacing w:after="0"/>
        <w:jc w:val="both"/>
        <w:rPr>
          <w:rFonts w:ascii="Arial" w:hAnsi="Arial" w:cs="Arial"/>
          <w:b w:val="0"/>
          <w:caps w:val="0"/>
          <w:sz w:val="20"/>
        </w:rPr>
      </w:pPr>
    </w:p>
    <w:p w14:paraId="7F9922DD" w14:textId="3B8AC783" w:rsidR="00B01FCD" w:rsidRDefault="00B01FCD" w:rsidP="00441B6F">
      <w:pPr>
        <w:pStyle w:val="ReferHead"/>
        <w:spacing w:after="0"/>
        <w:jc w:val="both"/>
        <w:rPr>
          <w:rFonts w:ascii="Arial" w:hAnsi="Arial" w:cs="Arial"/>
        </w:rPr>
      </w:pPr>
      <w:r w:rsidRPr="00FB3A86">
        <w:rPr>
          <w:rFonts w:ascii="Arial" w:hAnsi="Arial" w:cs="Arial"/>
        </w:rPr>
        <w:t>References</w:t>
      </w:r>
    </w:p>
    <w:p w14:paraId="5F7C509F" w14:textId="77777777" w:rsidR="005F62B1" w:rsidRDefault="005F62B1" w:rsidP="00441B6F">
      <w:pPr>
        <w:pStyle w:val="Body"/>
        <w:spacing w:after="0"/>
        <w:rPr>
          <w:rFonts w:ascii="Arial" w:hAnsi="Arial" w:cs="Arial"/>
          <w:b/>
        </w:rPr>
      </w:pPr>
    </w:p>
    <w:p w14:paraId="4AAE51DF" w14:textId="63DF3D39" w:rsidR="00C376E2" w:rsidRPr="00C376E2" w:rsidRDefault="00C376E2" w:rsidP="00C376E2">
      <w:pPr>
        <w:pStyle w:val="Bibliography1"/>
        <w:spacing w:line="240" w:lineRule="auto"/>
        <w:jc w:val="both"/>
        <w:rPr>
          <w:rFonts w:ascii="Arial" w:hAnsi="Arial" w:cs="Arial"/>
          <w:sz w:val="20"/>
        </w:rPr>
      </w:pPr>
      <w:r w:rsidRPr="00C376E2">
        <w:rPr>
          <w:rFonts w:ascii="Arial" w:hAnsi="Arial" w:cs="Arial"/>
          <w:sz w:val="20"/>
        </w:rPr>
        <w:fldChar w:fldCharType="begin"/>
      </w:r>
      <w:r w:rsidRPr="00C376E2">
        <w:rPr>
          <w:rFonts w:ascii="Arial" w:hAnsi="Arial" w:cs="Arial"/>
          <w:sz w:val="20"/>
        </w:rPr>
        <w:instrText xml:space="preserve"> ADDIN ZOTERO_BIBL {"uncited":[],"omitted":[],"custom":[]} CSL_BIBLIOGRAPHY </w:instrText>
      </w:r>
      <w:r w:rsidRPr="00C376E2">
        <w:rPr>
          <w:rFonts w:ascii="Arial" w:hAnsi="Arial" w:cs="Arial"/>
          <w:sz w:val="20"/>
        </w:rPr>
        <w:fldChar w:fldCharType="separate"/>
      </w:r>
      <w:r w:rsidRPr="00C376E2">
        <w:rPr>
          <w:rFonts w:ascii="Arial" w:hAnsi="Arial" w:cs="Arial"/>
          <w:sz w:val="20"/>
        </w:rPr>
        <w:t xml:space="preserve">[1]        Pandey, A. K, Basandrai, A. K, Basandrai, D., Boddepalli, V. N., Rathore, A., Adapala, G., et al. (2021). Field-relevant new sources of resistance to anthracnose caused by </w:t>
      </w:r>
      <w:r w:rsidRPr="00C376E2">
        <w:rPr>
          <w:rFonts w:ascii="Arial" w:hAnsi="Arial" w:cs="Arial"/>
          <w:i/>
          <w:iCs/>
          <w:sz w:val="20"/>
        </w:rPr>
        <w:t>Colletotrichum truncatum</w:t>
      </w:r>
      <w:r w:rsidRPr="00C376E2">
        <w:rPr>
          <w:rFonts w:ascii="Arial" w:hAnsi="Arial" w:cs="Arial"/>
          <w:sz w:val="20"/>
        </w:rPr>
        <w:t xml:space="preserve"> in a mungbean mini-core collection. Plant Disease, 105(7), 2001–2010. </w:t>
      </w:r>
    </w:p>
    <w:p w14:paraId="1C87B1B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[2]</w:t>
      </w:r>
      <w:r w:rsidRPr="00C376E2">
        <w:rPr>
          <w:rFonts w:ascii="Arial" w:eastAsia="Aptos" w:hAnsi="Arial" w:cs="Arial"/>
          <w:kern w:val="2"/>
          <w:lang w:val="en-IN"/>
        </w:rPr>
        <w:tab/>
        <w:t>Nair, R. M., Pandey, A. K., War, A. R., Hanumantharao, B., Shwe, T., Alam, A., et al. (2019). Biotic and abiotic constraints in mungbean production—progress in genetic improvement. Frontiers in Plant Science, 10, 1340.</w:t>
      </w:r>
    </w:p>
    <w:p w14:paraId="1CB90A2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[3]</w:t>
      </w:r>
      <w:r w:rsidRPr="00C376E2">
        <w:rPr>
          <w:rFonts w:ascii="Arial" w:eastAsia="Aptos" w:hAnsi="Arial" w:cs="Arial"/>
          <w:kern w:val="2"/>
          <w:lang w:val="en-IN"/>
        </w:rPr>
        <w:tab/>
        <w:t>Noble, T. J., Young, A. J., Douglas, C. A., Williams, B., &amp; Mundree, S. (2019). Diagnosis and management of halo blight in Australian mungbeans: A review. Crop &amp; Pasture Science, 70(3), 195-203.</w:t>
      </w:r>
    </w:p>
    <w:p w14:paraId="01C64F43"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lastRenderedPageBreak/>
        <w:t>[4]</w:t>
      </w:r>
      <w:r w:rsidRPr="00C376E2">
        <w:rPr>
          <w:rFonts w:ascii="Arial" w:eastAsia="Aptos" w:hAnsi="Arial" w:cs="Arial"/>
          <w:kern w:val="2"/>
          <w:lang w:val="en-IN"/>
        </w:rPr>
        <w:tab/>
        <w:t>Hou, D., Yousaf, L., Xue, Y., Hu, J., Wu, J., Hu, X., et al. (2019). Mung bean (</w:t>
      </w:r>
      <w:r w:rsidRPr="00C376E2">
        <w:rPr>
          <w:rFonts w:ascii="Arial" w:eastAsia="Aptos" w:hAnsi="Arial" w:cs="Arial"/>
          <w:i/>
          <w:iCs/>
          <w:kern w:val="2"/>
          <w:lang w:val="en-IN"/>
        </w:rPr>
        <w:t>Vigna radiata</w:t>
      </w:r>
      <w:r w:rsidRPr="00C376E2">
        <w:rPr>
          <w:rFonts w:ascii="Arial" w:eastAsia="Aptos" w:hAnsi="Arial" w:cs="Arial"/>
          <w:kern w:val="2"/>
          <w:lang w:val="en-IN"/>
        </w:rPr>
        <w:t xml:space="preserve"> L.): Bioactive polyphenols, polysaccharides, peptides, and health benefits. Nutrients,11(6),1238. </w:t>
      </w:r>
    </w:p>
    <w:p w14:paraId="2FDB647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[5]</w:t>
      </w:r>
      <w:r w:rsidRPr="00C376E2">
        <w:rPr>
          <w:rFonts w:ascii="Arial" w:eastAsia="Aptos" w:hAnsi="Arial" w:cs="Arial"/>
          <w:kern w:val="2"/>
          <w:lang w:val="en-IN"/>
        </w:rPr>
        <w:tab/>
        <w:t>Pratap, A., Douglas, C., Prajapati, U., Kumari, G., War, A. R., Tomar, R., et al. (2020). Breeding progress and future challenges: Biotic stresses. In: R. M. Nair, R. Schafleitner &amp; S. H. Lee (Eds.), The mungbean genome (pp. 55–80). Springer International Publishing, Cham.</w:t>
      </w:r>
    </w:p>
    <w:p w14:paraId="0EA988F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[6]</w:t>
      </w:r>
      <w:r w:rsidRPr="00C376E2">
        <w:rPr>
          <w:rFonts w:ascii="Arial" w:eastAsia="Aptos" w:hAnsi="Arial" w:cs="Arial"/>
          <w:kern w:val="2"/>
          <w:lang w:val="en-IN"/>
        </w:rPr>
        <w:tab/>
        <w:t xml:space="preserve">Nandeesha, C. V., Akbari, L. F., Jaiswal, A., Harsha, B. R., Patil, B., Bhaliya, C. M., et al. (2023). Control efficacy and yield response of different fungicides evaluated against anthracnose of green gram. Crop Protection, 174(2), 106432. </w:t>
      </w:r>
    </w:p>
    <w:p w14:paraId="18F74505"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[7]</w:t>
      </w:r>
      <w:r w:rsidRPr="00C376E2">
        <w:rPr>
          <w:rFonts w:ascii="Arial" w:eastAsia="Aptos" w:hAnsi="Arial" w:cs="Arial"/>
          <w:kern w:val="2"/>
          <w:lang w:val="en-IN"/>
        </w:rPr>
        <w:tab/>
        <w:t>Chaudhari, K. A., &amp; Gohel, N. M. Management of anthracnose disease of mungbean through new fungicidal formulations. (2016). Journal of Pure and Applied Microbiology, 10(1), 691-696.</w:t>
      </w:r>
    </w:p>
    <w:p w14:paraId="611F7E85" w14:textId="1E582C3C"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[8]</w:t>
      </w:r>
      <w:r w:rsidRPr="00C376E2">
        <w:rPr>
          <w:rFonts w:ascii="Arial" w:eastAsia="Aptos" w:hAnsi="Arial" w:cs="Arial"/>
          <w:kern w:val="2"/>
          <w:lang w:val="en-IN"/>
        </w:rPr>
        <w:tab/>
        <w:t>Dhingra, O. D., &amp; Sinclair, J, B. (2017). Basic plant pathology methods (2nd ed.). CRC Press, Boca Raton</w:t>
      </w:r>
      <w:r w:rsidR="00131498">
        <w:rPr>
          <w:rFonts w:ascii="Arial" w:eastAsia="Aptos" w:hAnsi="Arial" w:cs="Arial"/>
          <w:kern w:val="2"/>
          <w:lang w:val="en-IN"/>
        </w:rPr>
        <w:t>.</w:t>
      </w:r>
    </w:p>
    <w:p w14:paraId="1045ACE1" w14:textId="1AA8BC18"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 xml:space="preserve">[9]         Vincent, J. M. (1947).  Distortion of Fungal hyphæ in the presence of certain inhibitors, Nature, 159, 850–850. </w:t>
      </w:r>
    </w:p>
    <w:p w14:paraId="5C05F12E" w14:textId="4AB78010"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[10]</w:t>
      </w:r>
      <w:r w:rsidR="00131498">
        <w:rPr>
          <w:rFonts w:ascii="Arial" w:eastAsia="Aptos" w:hAnsi="Arial" w:cs="Arial"/>
          <w:kern w:val="2"/>
          <w:lang w:val="en-IN"/>
        </w:rPr>
        <w:t xml:space="preserve">      </w:t>
      </w:r>
      <w:r w:rsidRPr="00C376E2">
        <w:rPr>
          <w:rFonts w:ascii="Arial" w:eastAsia="Aptos" w:hAnsi="Arial" w:cs="Arial"/>
          <w:kern w:val="2"/>
          <w:lang w:val="en-IN"/>
        </w:rPr>
        <w:t xml:space="preserve">Duncan, D. B. (1955), Multiple range and multiple F tests. Biometrics, 11, 1. </w:t>
      </w:r>
    </w:p>
    <w:p w14:paraId="6B024973" w14:textId="0D0E186A"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[11]</w:t>
      </w:r>
      <w:r w:rsidR="00131498">
        <w:rPr>
          <w:rFonts w:ascii="Arial" w:eastAsia="Aptos" w:hAnsi="Arial" w:cs="Arial"/>
          <w:kern w:val="2"/>
          <w:lang w:val="en-IN"/>
        </w:rPr>
        <w:t xml:space="preserve">      </w:t>
      </w:r>
      <w:r w:rsidRPr="00C376E2">
        <w:rPr>
          <w:rFonts w:ascii="Arial" w:eastAsia="Aptos" w:hAnsi="Arial" w:cs="Arial"/>
          <w:kern w:val="2"/>
          <w:lang w:val="en-IN"/>
        </w:rPr>
        <w:t xml:space="preserve">Patel, K., Yadav, A. L., Kumhar, D. R., Kumar, A., Acharya, V. S., Jakhar, M., et al. (2024). Evaluation of fungicides against anthracnose disease in green gram under </w:t>
      </w:r>
      <w:r w:rsidRPr="00C376E2">
        <w:rPr>
          <w:rFonts w:ascii="Arial" w:eastAsia="Aptos" w:hAnsi="Arial" w:cs="Arial"/>
          <w:i/>
          <w:iCs/>
          <w:kern w:val="2"/>
          <w:lang w:val="en-IN"/>
        </w:rPr>
        <w:t xml:space="preserve">in vitro </w:t>
      </w:r>
      <w:r w:rsidRPr="00C376E2">
        <w:rPr>
          <w:rFonts w:ascii="Arial" w:eastAsia="Aptos" w:hAnsi="Arial" w:cs="Arial"/>
          <w:kern w:val="2"/>
          <w:lang w:val="en-IN"/>
        </w:rPr>
        <w:t>and pot conditions, Agricultural Science Digest. https://doi.org/10.18805/ag.D-6043.</w:t>
      </w:r>
    </w:p>
    <w:p w14:paraId="51C8B584"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[12]</w:t>
      </w:r>
      <w:r w:rsidRPr="00C376E2">
        <w:rPr>
          <w:rFonts w:ascii="Arial" w:eastAsia="Aptos" w:hAnsi="Arial" w:cs="Arial"/>
          <w:kern w:val="2"/>
          <w:lang w:val="en-IN"/>
        </w:rPr>
        <w:tab/>
        <w:t xml:space="preserve">Purushotham, P., Rakholiya, K. B., &amp; Vanani, K. D. (2023). Effectiveness of fungicides against </w:t>
      </w:r>
      <w:r w:rsidRPr="00C376E2">
        <w:rPr>
          <w:rFonts w:ascii="Arial" w:eastAsia="Aptos" w:hAnsi="Arial" w:cs="Arial"/>
          <w:i/>
          <w:iCs/>
          <w:kern w:val="2"/>
          <w:lang w:val="en-IN"/>
        </w:rPr>
        <w:t>Colletotrichum lindemuthianum</w:t>
      </w:r>
      <w:r w:rsidRPr="00C376E2">
        <w:rPr>
          <w:rFonts w:ascii="Arial" w:eastAsia="Aptos" w:hAnsi="Arial" w:cs="Arial"/>
          <w:kern w:val="2"/>
          <w:lang w:val="en-IN"/>
        </w:rPr>
        <w:t xml:space="preserve"> causing anthracnose of green gram [</w:t>
      </w:r>
      <w:r w:rsidRPr="00C376E2">
        <w:rPr>
          <w:rFonts w:ascii="Arial" w:eastAsia="Aptos" w:hAnsi="Arial" w:cs="Arial"/>
          <w:i/>
          <w:iCs/>
          <w:kern w:val="2"/>
          <w:lang w:val="en-IN"/>
        </w:rPr>
        <w:t>Vigna radiata</w:t>
      </w:r>
      <w:r w:rsidRPr="00C376E2">
        <w:rPr>
          <w:rFonts w:ascii="Arial" w:eastAsia="Aptos" w:hAnsi="Arial" w:cs="Arial"/>
          <w:kern w:val="2"/>
          <w:lang w:val="en-IN"/>
        </w:rPr>
        <w:t xml:space="preserve"> (L.) Wilczek], Legume Research, https://doi.org/10.18805/LR-5137.</w:t>
      </w:r>
    </w:p>
    <w:p w14:paraId="1BE862CB"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[13]</w:t>
      </w:r>
      <w:r w:rsidRPr="00C376E2">
        <w:rPr>
          <w:rFonts w:ascii="Arial" w:eastAsia="Aptos" w:hAnsi="Arial" w:cs="Arial"/>
          <w:kern w:val="2"/>
          <w:lang w:val="en-IN"/>
        </w:rPr>
        <w:tab/>
        <w:t>Pruthviraj, Ekabote, S. D., Patil, B., Ramesh, A. N., &amp; Onkarappa, S. (2024).</w:t>
      </w:r>
      <w:r w:rsidRPr="00C376E2">
        <w:rPr>
          <w:rFonts w:ascii="Arial" w:eastAsia="Aptos" w:hAnsi="Arial" w:cs="Arial"/>
          <w:i/>
          <w:iCs/>
          <w:kern w:val="2"/>
          <w:lang w:val="en-IN"/>
        </w:rPr>
        <w:t xml:space="preserve"> In vitro</w:t>
      </w:r>
      <w:r w:rsidRPr="00C376E2">
        <w:rPr>
          <w:rFonts w:ascii="Arial" w:eastAsia="Aptos" w:hAnsi="Arial" w:cs="Arial"/>
          <w:kern w:val="2"/>
          <w:lang w:val="en-IN"/>
        </w:rPr>
        <w:t xml:space="preserve"> and </w:t>
      </w:r>
      <w:r w:rsidRPr="00C376E2">
        <w:rPr>
          <w:rFonts w:ascii="Arial" w:eastAsia="Aptos" w:hAnsi="Arial" w:cs="Arial"/>
          <w:i/>
          <w:iCs/>
          <w:kern w:val="2"/>
          <w:lang w:val="en-IN"/>
        </w:rPr>
        <w:t>in vivo</w:t>
      </w:r>
      <w:r w:rsidRPr="00C376E2">
        <w:rPr>
          <w:rFonts w:ascii="Arial" w:eastAsia="Aptos" w:hAnsi="Arial" w:cs="Arial"/>
          <w:kern w:val="2"/>
          <w:lang w:val="en-IN"/>
        </w:rPr>
        <w:t xml:space="preserve"> evaluation of fungicides against anthracnose disease on pomegranate (</w:t>
      </w:r>
      <w:r w:rsidRPr="00C376E2">
        <w:rPr>
          <w:rFonts w:ascii="Arial" w:eastAsia="Aptos" w:hAnsi="Arial" w:cs="Arial"/>
          <w:i/>
          <w:iCs/>
          <w:kern w:val="2"/>
          <w:lang w:val="en-IN"/>
        </w:rPr>
        <w:t>Punica granatum</w:t>
      </w:r>
      <w:r w:rsidRPr="00C376E2">
        <w:rPr>
          <w:rFonts w:ascii="Arial" w:eastAsia="Aptos" w:hAnsi="Arial" w:cs="Arial"/>
          <w:kern w:val="2"/>
          <w:lang w:val="en-IN"/>
        </w:rPr>
        <w:t xml:space="preserve"> L.) caused by </w:t>
      </w:r>
      <w:r w:rsidRPr="00C376E2">
        <w:rPr>
          <w:rFonts w:ascii="Arial" w:eastAsia="Aptos" w:hAnsi="Arial" w:cs="Arial"/>
          <w:i/>
          <w:iCs/>
          <w:kern w:val="2"/>
          <w:lang w:val="en-IN"/>
        </w:rPr>
        <w:t>Colletotrichum gloeosporioides</w:t>
      </w:r>
      <w:r w:rsidRPr="00C376E2">
        <w:rPr>
          <w:rFonts w:ascii="Arial" w:eastAsia="Aptos" w:hAnsi="Arial" w:cs="Arial"/>
          <w:kern w:val="2"/>
          <w:lang w:val="en-IN"/>
        </w:rPr>
        <w:t xml:space="preserve">, Crop Protection, 178(2), 106598. </w:t>
      </w:r>
    </w:p>
    <w:p w14:paraId="3D22D76B"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[14]</w:t>
      </w:r>
      <w:r w:rsidRPr="00C376E2">
        <w:rPr>
          <w:rFonts w:ascii="Arial" w:eastAsia="Aptos" w:hAnsi="Arial" w:cs="Arial"/>
          <w:kern w:val="2"/>
          <w:lang w:val="en-IN"/>
        </w:rPr>
        <w:tab/>
        <w:t>Dev, D., &amp; Narendrappa, T. (2016).</w:t>
      </w:r>
      <w:r w:rsidRPr="00C376E2">
        <w:rPr>
          <w:rFonts w:ascii="Arial" w:eastAsia="Aptos" w:hAnsi="Arial" w:cs="Arial"/>
          <w:i/>
          <w:iCs/>
          <w:kern w:val="2"/>
          <w:lang w:val="en-IN"/>
        </w:rPr>
        <w:t xml:space="preserve"> In vitro</w:t>
      </w:r>
      <w:r w:rsidRPr="00C376E2">
        <w:rPr>
          <w:rFonts w:ascii="Arial" w:eastAsia="Aptos" w:hAnsi="Arial" w:cs="Arial"/>
          <w:kern w:val="2"/>
          <w:lang w:val="en-IN"/>
        </w:rPr>
        <w:t xml:space="preserve"> evaluation of fungicides against </w:t>
      </w:r>
      <w:r w:rsidRPr="00C376E2">
        <w:rPr>
          <w:rFonts w:ascii="Arial" w:eastAsia="Aptos" w:hAnsi="Arial" w:cs="Arial"/>
          <w:i/>
          <w:iCs/>
          <w:kern w:val="2"/>
          <w:lang w:val="en-IN"/>
        </w:rPr>
        <w:t>Colletotrichum gloeosporioides</w:t>
      </w:r>
      <w:r w:rsidRPr="00C376E2">
        <w:rPr>
          <w:rFonts w:ascii="Arial" w:eastAsia="Aptos" w:hAnsi="Arial" w:cs="Arial"/>
          <w:kern w:val="2"/>
          <w:lang w:val="en-IN"/>
        </w:rPr>
        <w:t xml:space="preserve"> (Penz.) Penz and Sacc. causing anthracnose of pomegranate (</w:t>
      </w:r>
      <w:r w:rsidRPr="00C376E2">
        <w:rPr>
          <w:rFonts w:ascii="Arial" w:eastAsia="Aptos" w:hAnsi="Arial" w:cs="Arial"/>
          <w:i/>
          <w:iCs/>
          <w:kern w:val="2"/>
          <w:lang w:val="en-IN"/>
        </w:rPr>
        <w:t>Punica granatum</w:t>
      </w:r>
      <w:r w:rsidRPr="00C376E2">
        <w:rPr>
          <w:rFonts w:ascii="Arial" w:eastAsia="Aptos" w:hAnsi="Arial" w:cs="Arial"/>
          <w:kern w:val="2"/>
          <w:lang w:val="en-IN"/>
        </w:rPr>
        <w:t xml:space="preserve"> L.), Journal of Applied and Natural Sciences, 8(4), 2268–2272. </w:t>
      </w:r>
    </w:p>
    <w:p w14:paraId="7CAEFD42"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[15]</w:t>
      </w:r>
      <w:r w:rsidRPr="00C376E2">
        <w:rPr>
          <w:rFonts w:ascii="Arial" w:eastAsia="Aptos" w:hAnsi="Arial" w:cs="Arial"/>
          <w:kern w:val="2"/>
          <w:lang w:val="en-IN"/>
        </w:rPr>
        <w:tab/>
        <w:t xml:space="preserve">Cao, X., Xu, X., Che, H., West, J, S., &amp; Luo, D. (2017). Distribution and fungicide sensitivity of </w:t>
      </w:r>
      <w:r w:rsidRPr="00C376E2">
        <w:rPr>
          <w:rFonts w:ascii="Arial" w:eastAsia="Aptos" w:hAnsi="Arial" w:cs="Arial"/>
          <w:i/>
          <w:iCs/>
          <w:kern w:val="2"/>
          <w:lang w:val="en-IN"/>
        </w:rPr>
        <w:t>Colletotrichum</w:t>
      </w:r>
      <w:r w:rsidRPr="00C376E2">
        <w:rPr>
          <w:rFonts w:ascii="Arial" w:eastAsia="Aptos" w:hAnsi="Arial" w:cs="Arial"/>
          <w:kern w:val="2"/>
          <w:lang w:val="en-IN"/>
        </w:rPr>
        <w:t xml:space="preserve"> species complexes from rubber tree in Hainan, China, Plant Disease, 101(10), 1774–1780. </w:t>
      </w:r>
    </w:p>
    <w:p w14:paraId="6036C190"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[16]</w:t>
      </w:r>
      <w:r w:rsidRPr="00C376E2">
        <w:rPr>
          <w:rFonts w:ascii="Arial" w:eastAsia="Aptos" w:hAnsi="Arial" w:cs="Arial"/>
          <w:kern w:val="2"/>
          <w:lang w:val="en-IN"/>
        </w:rPr>
        <w:tab/>
        <w:t xml:space="preserve">Chen, S. N., Luo, C. X., Hu, M. J., &amp; Schnabel, G. (2016). Sensitivity of </w:t>
      </w:r>
      <w:r w:rsidRPr="00C376E2">
        <w:rPr>
          <w:rFonts w:ascii="Arial" w:eastAsia="Aptos" w:hAnsi="Arial" w:cs="Arial"/>
          <w:i/>
          <w:iCs/>
          <w:kern w:val="2"/>
          <w:lang w:val="en-IN"/>
        </w:rPr>
        <w:t>Colletotrichum</w:t>
      </w:r>
      <w:r w:rsidRPr="00C376E2">
        <w:rPr>
          <w:rFonts w:ascii="Arial" w:eastAsia="Aptos" w:hAnsi="Arial" w:cs="Arial"/>
          <w:kern w:val="2"/>
          <w:lang w:val="en-IN"/>
        </w:rPr>
        <w:t xml:space="preserve"> species, Including </w:t>
      </w:r>
      <w:r w:rsidRPr="00C376E2">
        <w:rPr>
          <w:rFonts w:ascii="Arial" w:eastAsia="Aptos" w:hAnsi="Arial" w:cs="Arial"/>
          <w:i/>
          <w:iCs/>
          <w:kern w:val="2"/>
          <w:lang w:val="en-IN"/>
        </w:rPr>
        <w:t>C. fioriniae</w:t>
      </w:r>
      <w:r w:rsidRPr="00C376E2">
        <w:rPr>
          <w:rFonts w:ascii="Arial" w:eastAsia="Aptos" w:hAnsi="Arial" w:cs="Arial"/>
          <w:kern w:val="2"/>
          <w:lang w:val="en-IN"/>
        </w:rPr>
        <w:t xml:space="preserve"> and </w:t>
      </w:r>
      <w:r w:rsidRPr="00C376E2">
        <w:rPr>
          <w:rFonts w:ascii="Arial" w:eastAsia="Aptos" w:hAnsi="Arial" w:cs="Arial"/>
          <w:i/>
          <w:iCs/>
          <w:kern w:val="2"/>
          <w:lang w:val="en-IN"/>
        </w:rPr>
        <w:t>C. nymphaeae</w:t>
      </w:r>
      <w:r w:rsidRPr="00C376E2">
        <w:rPr>
          <w:rFonts w:ascii="Arial" w:eastAsia="Aptos" w:hAnsi="Arial" w:cs="Arial"/>
          <w:kern w:val="2"/>
          <w:lang w:val="en-IN"/>
        </w:rPr>
        <w:t xml:space="preserve">, from peach to Demethylation Inhibitor Fungicides, Plant Disease, 100(12), 2434–2441. </w:t>
      </w:r>
    </w:p>
    <w:p w14:paraId="2FACA36E"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[17]</w:t>
      </w:r>
      <w:r w:rsidRPr="00C376E2">
        <w:rPr>
          <w:rFonts w:ascii="Arial" w:eastAsia="Aptos" w:hAnsi="Arial" w:cs="Arial"/>
          <w:kern w:val="2"/>
          <w:lang w:val="en-IN"/>
        </w:rPr>
        <w:tab/>
        <w:t xml:space="preserve">Wong, F. P., &amp; Midland, S. L., Sensitivity distributions of california populations of </w:t>
      </w:r>
      <w:r w:rsidRPr="00C376E2">
        <w:rPr>
          <w:rFonts w:ascii="Arial" w:eastAsia="Aptos" w:hAnsi="Arial" w:cs="Arial"/>
          <w:i/>
          <w:iCs/>
          <w:kern w:val="2"/>
          <w:lang w:val="en-IN"/>
        </w:rPr>
        <w:t>Colletotrichum cereale</w:t>
      </w:r>
      <w:r w:rsidRPr="00C376E2">
        <w:rPr>
          <w:rFonts w:ascii="Arial" w:eastAsia="Aptos" w:hAnsi="Arial" w:cs="Arial"/>
          <w:kern w:val="2"/>
          <w:lang w:val="en-IN"/>
        </w:rPr>
        <w:t xml:space="preserve"> to the DMI fungicides propiconazole, myclobutanil, tebuconazole, and triadimefon, Plant Disease, 91(12), 1547–1555.</w:t>
      </w:r>
    </w:p>
    <w:p w14:paraId="0D067EF1" w14:textId="77777777" w:rsidR="00C376E2" w:rsidRPr="00C376E2" w:rsidRDefault="00C376E2" w:rsidP="00C376E2">
      <w:pPr>
        <w:spacing w:after="160"/>
        <w:jc w:val="both"/>
        <w:rPr>
          <w:rFonts w:ascii="Arial" w:eastAsia="Aptos" w:hAnsi="Arial" w:cs="Arial"/>
          <w:kern w:val="2"/>
          <w:lang w:val="en-IN"/>
        </w:rPr>
      </w:pPr>
      <w:r w:rsidRPr="00C376E2">
        <w:rPr>
          <w:rFonts w:ascii="Arial" w:eastAsia="Aptos" w:hAnsi="Arial" w:cs="Arial"/>
          <w:kern w:val="2"/>
          <w:lang w:val="en-IN"/>
        </w:rPr>
        <w:t>[18]</w:t>
      </w:r>
      <w:r w:rsidRPr="00C376E2">
        <w:rPr>
          <w:rFonts w:ascii="Arial" w:eastAsia="Aptos" w:hAnsi="Arial" w:cs="Arial"/>
          <w:kern w:val="2"/>
          <w:lang w:val="en-IN"/>
        </w:rPr>
        <w:tab/>
        <w:t xml:space="preserve">Hollomon, D. W. (2015). Fungicide resistance: facing the challenge - A review, Plant Protection Science, 51(4),170–176. </w:t>
      </w:r>
    </w:p>
    <w:p w14:paraId="2F99760C" w14:textId="0C0F6D0F" w:rsidR="005F62B1" w:rsidRPr="00C376E2" w:rsidRDefault="00C376E2" w:rsidP="00C376E2">
      <w:pPr>
        <w:pStyle w:val="Body"/>
        <w:spacing w:after="0"/>
        <w:rPr>
          <w:rFonts w:ascii="Arial" w:hAnsi="Arial" w:cs="Arial"/>
        </w:rPr>
        <w:sectPr w:rsidR="005F62B1" w:rsidRPr="00C376E2" w:rsidSect="00F40656">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r w:rsidRPr="00C376E2">
        <w:rPr>
          <w:rFonts w:ascii="Arial" w:eastAsia="Aptos" w:hAnsi="Arial" w:cs="Arial"/>
          <w:kern w:val="2"/>
          <w:lang w:val="en-IN"/>
        </w:rPr>
        <w:fldChar w:fldCharType="end"/>
      </w:r>
    </w:p>
    <w:p w14:paraId="2D527E51" w14:textId="77777777" w:rsidR="00B01FCD" w:rsidRPr="00FB3A86" w:rsidRDefault="00B01FCD" w:rsidP="00441B6F">
      <w:pPr>
        <w:pStyle w:val="Appendix"/>
        <w:spacing w:after="0"/>
        <w:jc w:val="both"/>
        <w:rPr>
          <w:rFonts w:ascii="Arial" w:hAnsi="Arial" w:cs="Arial"/>
          <w:b w:val="0"/>
        </w:rPr>
      </w:pPr>
    </w:p>
    <w:sectPr w:rsidR="00B01FCD" w:rsidRPr="00FB3A86" w:rsidSect="00F406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CA67A" w14:textId="77777777" w:rsidR="00005565" w:rsidRDefault="00005565" w:rsidP="00C37E61">
      <w:r>
        <w:separator/>
      </w:r>
    </w:p>
  </w:endnote>
  <w:endnote w:type="continuationSeparator" w:id="0">
    <w:p w14:paraId="0BF61BA6" w14:textId="77777777" w:rsidR="00005565" w:rsidRDefault="0000556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F4391" w14:textId="77777777" w:rsidR="00F40656" w:rsidRDefault="00F406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B453F" w14:textId="77777777" w:rsidR="00F40656" w:rsidRDefault="00F406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388BD" w14:textId="5AF2C9FD" w:rsidR="00754C9A" w:rsidRPr="00F40656" w:rsidRDefault="00754C9A" w:rsidP="00F406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57C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0C7B1" w14:textId="77777777" w:rsidR="00005565" w:rsidRDefault="00005565" w:rsidP="00C37E61">
      <w:r>
        <w:separator/>
      </w:r>
    </w:p>
  </w:footnote>
  <w:footnote w:type="continuationSeparator" w:id="0">
    <w:p w14:paraId="7E5BB528" w14:textId="77777777" w:rsidR="00005565" w:rsidRDefault="0000556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131E" w14:textId="7C87B849" w:rsidR="00F40656" w:rsidRDefault="00F40656">
    <w:pPr>
      <w:pStyle w:val="Header"/>
    </w:pPr>
    <w:r>
      <w:rPr>
        <w:noProof/>
      </w:rPr>
      <w:pict w14:anchorId="462B0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287E7" w14:textId="56452703" w:rsidR="00F40656" w:rsidRDefault="00F40656">
    <w:pPr>
      <w:pStyle w:val="Header"/>
    </w:pPr>
    <w:r>
      <w:rPr>
        <w:noProof/>
      </w:rPr>
      <w:pict w14:anchorId="079410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BE04" w14:textId="3B8CA6C0" w:rsidR="00296529" w:rsidRPr="00296529" w:rsidRDefault="00F40656" w:rsidP="00296529">
    <w:pPr>
      <w:ind w:left="2160"/>
      <w:jc w:val="center"/>
      <w:rPr>
        <w:rFonts w:ascii="Times New Roman" w:eastAsia="Calibri" w:hAnsi="Times New Roman"/>
        <w:i/>
        <w:sz w:val="18"/>
        <w:szCs w:val="22"/>
      </w:rPr>
    </w:pPr>
    <w:r>
      <w:rPr>
        <w:noProof/>
      </w:rPr>
      <w:pict w14:anchorId="731303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8982A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16653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DA7DC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BB35B6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C6AB0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29CFEB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85945" w14:textId="4D72B798" w:rsidR="00F40656" w:rsidRDefault="00F40656">
    <w:pPr>
      <w:pStyle w:val="Header"/>
    </w:pPr>
    <w:r>
      <w:rPr>
        <w:noProof/>
      </w:rPr>
      <w:pict w14:anchorId="26D17B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18DA" w14:textId="7F618330" w:rsidR="00F40656" w:rsidRDefault="00F40656">
    <w:pPr>
      <w:pStyle w:val="Header"/>
    </w:pPr>
    <w:r>
      <w:rPr>
        <w:noProof/>
      </w:rPr>
      <w:pict w14:anchorId="13214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2D32E" w14:textId="5BA6ED08" w:rsidR="00F40656" w:rsidRDefault="00F40656">
    <w:pPr>
      <w:pStyle w:val="Header"/>
    </w:pPr>
    <w:r>
      <w:rPr>
        <w:noProof/>
      </w:rPr>
      <w:pict w14:anchorId="67164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97461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38020636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9292915">
    <w:abstractNumId w:val="15"/>
  </w:num>
  <w:num w:numId="3" w16cid:durableId="2101221088">
    <w:abstractNumId w:val="23"/>
  </w:num>
  <w:num w:numId="4" w16cid:durableId="32035366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81117337">
    <w:abstractNumId w:val="7"/>
  </w:num>
  <w:num w:numId="6" w16cid:durableId="1391419824">
    <w:abstractNumId w:val="6"/>
  </w:num>
  <w:num w:numId="7" w16cid:durableId="658727473">
    <w:abstractNumId w:val="1"/>
  </w:num>
  <w:num w:numId="8" w16cid:durableId="835650612">
    <w:abstractNumId w:val="12"/>
  </w:num>
  <w:num w:numId="9" w16cid:durableId="1827432476">
    <w:abstractNumId w:val="25"/>
  </w:num>
  <w:num w:numId="10" w16cid:durableId="44184068">
    <w:abstractNumId w:val="2"/>
  </w:num>
  <w:num w:numId="11" w16cid:durableId="873541839">
    <w:abstractNumId w:val="18"/>
  </w:num>
  <w:num w:numId="12" w16cid:durableId="650446376">
    <w:abstractNumId w:val="3"/>
  </w:num>
  <w:num w:numId="13" w16cid:durableId="1347052186">
    <w:abstractNumId w:val="17"/>
  </w:num>
  <w:num w:numId="14" w16cid:durableId="1652172521">
    <w:abstractNumId w:val="8"/>
  </w:num>
  <w:num w:numId="15" w16cid:durableId="180363102">
    <w:abstractNumId w:val="21"/>
  </w:num>
  <w:num w:numId="16" w16cid:durableId="753086285">
    <w:abstractNumId w:val="5"/>
  </w:num>
  <w:num w:numId="17" w16cid:durableId="943608463">
    <w:abstractNumId w:val="22"/>
  </w:num>
  <w:num w:numId="18" w16cid:durableId="1616251163">
    <w:abstractNumId w:val="14"/>
  </w:num>
  <w:num w:numId="19" w16cid:durableId="1182355786">
    <w:abstractNumId w:val="28"/>
  </w:num>
  <w:num w:numId="20" w16cid:durableId="1839731466">
    <w:abstractNumId w:val="11"/>
  </w:num>
  <w:num w:numId="21" w16cid:durableId="347684092">
    <w:abstractNumId w:val="9"/>
  </w:num>
  <w:num w:numId="22" w16cid:durableId="1123765272">
    <w:abstractNumId w:val="13"/>
  </w:num>
  <w:num w:numId="23" w16cid:durableId="788084923">
    <w:abstractNumId w:val="19"/>
  </w:num>
  <w:num w:numId="24" w16cid:durableId="1083532986">
    <w:abstractNumId w:val="26"/>
  </w:num>
  <w:num w:numId="25" w16cid:durableId="763914073">
    <w:abstractNumId w:val="4"/>
  </w:num>
  <w:num w:numId="26" w16cid:durableId="1402562676">
    <w:abstractNumId w:val="16"/>
  </w:num>
  <w:num w:numId="27" w16cid:durableId="1391734632">
    <w:abstractNumId w:val="20"/>
  </w:num>
  <w:num w:numId="28" w16cid:durableId="1258171146">
    <w:abstractNumId w:val="27"/>
  </w:num>
  <w:num w:numId="29" w16cid:durableId="244267209">
    <w:abstractNumId w:val="24"/>
  </w:num>
  <w:num w:numId="30" w16cid:durableId="21397638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565"/>
    <w:rsid w:val="00020B0F"/>
    <w:rsid w:val="00030174"/>
    <w:rsid w:val="00037BDF"/>
    <w:rsid w:val="0004579C"/>
    <w:rsid w:val="000552B0"/>
    <w:rsid w:val="00062194"/>
    <w:rsid w:val="00063322"/>
    <w:rsid w:val="00085991"/>
    <w:rsid w:val="000A47FA"/>
    <w:rsid w:val="000A490A"/>
    <w:rsid w:val="000A65D3"/>
    <w:rsid w:val="000B1E33"/>
    <w:rsid w:val="000B77BB"/>
    <w:rsid w:val="000C641B"/>
    <w:rsid w:val="000D689F"/>
    <w:rsid w:val="000E7B7B"/>
    <w:rsid w:val="000E7D62"/>
    <w:rsid w:val="00103357"/>
    <w:rsid w:val="00123C9F"/>
    <w:rsid w:val="00126190"/>
    <w:rsid w:val="00130F17"/>
    <w:rsid w:val="00131498"/>
    <w:rsid w:val="001320BF"/>
    <w:rsid w:val="00141F5E"/>
    <w:rsid w:val="00163BC4"/>
    <w:rsid w:val="001727F0"/>
    <w:rsid w:val="00191062"/>
    <w:rsid w:val="00192B72"/>
    <w:rsid w:val="001A29D8"/>
    <w:rsid w:val="001A5CAA"/>
    <w:rsid w:val="001B0427"/>
    <w:rsid w:val="001D3A51"/>
    <w:rsid w:val="001E10D2"/>
    <w:rsid w:val="001E25B4"/>
    <w:rsid w:val="001E2AA5"/>
    <w:rsid w:val="001E44FE"/>
    <w:rsid w:val="00200595"/>
    <w:rsid w:val="00204835"/>
    <w:rsid w:val="00231920"/>
    <w:rsid w:val="0023195C"/>
    <w:rsid w:val="0024282C"/>
    <w:rsid w:val="002460DC"/>
    <w:rsid w:val="00250985"/>
    <w:rsid w:val="00255135"/>
    <w:rsid w:val="002556F6"/>
    <w:rsid w:val="00283105"/>
    <w:rsid w:val="00284C4C"/>
    <w:rsid w:val="00287E68"/>
    <w:rsid w:val="00296529"/>
    <w:rsid w:val="002A6EF2"/>
    <w:rsid w:val="002B27FB"/>
    <w:rsid w:val="002B3FDB"/>
    <w:rsid w:val="002B685A"/>
    <w:rsid w:val="002C57D2"/>
    <w:rsid w:val="002E0D56"/>
    <w:rsid w:val="00315186"/>
    <w:rsid w:val="0033343E"/>
    <w:rsid w:val="003512C2"/>
    <w:rsid w:val="00371FB6"/>
    <w:rsid w:val="003763C1"/>
    <w:rsid w:val="00376BBE"/>
    <w:rsid w:val="0039224F"/>
    <w:rsid w:val="003A43A4"/>
    <w:rsid w:val="003A7E18"/>
    <w:rsid w:val="003B43FB"/>
    <w:rsid w:val="003C19D7"/>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D55F6"/>
    <w:rsid w:val="00502516"/>
    <w:rsid w:val="00503951"/>
    <w:rsid w:val="00505F06"/>
    <w:rsid w:val="00506828"/>
    <w:rsid w:val="0053056E"/>
    <w:rsid w:val="00536706"/>
    <w:rsid w:val="00553013"/>
    <w:rsid w:val="00554FDA"/>
    <w:rsid w:val="005C784C"/>
    <w:rsid w:val="005D17F6"/>
    <w:rsid w:val="005E5539"/>
    <w:rsid w:val="005F62B1"/>
    <w:rsid w:val="00602BF5"/>
    <w:rsid w:val="00603E1A"/>
    <w:rsid w:val="00617FDD"/>
    <w:rsid w:val="00633614"/>
    <w:rsid w:val="00633F68"/>
    <w:rsid w:val="00636EB2"/>
    <w:rsid w:val="006375B8"/>
    <w:rsid w:val="00662506"/>
    <w:rsid w:val="0066510A"/>
    <w:rsid w:val="00673F9F"/>
    <w:rsid w:val="00686953"/>
    <w:rsid w:val="00687DEA"/>
    <w:rsid w:val="00687E67"/>
    <w:rsid w:val="006967F7"/>
    <w:rsid w:val="006A250C"/>
    <w:rsid w:val="006B21D3"/>
    <w:rsid w:val="006B57D0"/>
    <w:rsid w:val="006D30FF"/>
    <w:rsid w:val="006D6940"/>
    <w:rsid w:val="006F11EC"/>
    <w:rsid w:val="0070082C"/>
    <w:rsid w:val="00735EA0"/>
    <w:rsid w:val="007369E6"/>
    <w:rsid w:val="00746E59"/>
    <w:rsid w:val="00754C9A"/>
    <w:rsid w:val="0075599A"/>
    <w:rsid w:val="00756023"/>
    <w:rsid w:val="00761D52"/>
    <w:rsid w:val="0077749E"/>
    <w:rsid w:val="00790ADA"/>
    <w:rsid w:val="007D2288"/>
    <w:rsid w:val="007E088F"/>
    <w:rsid w:val="007E103B"/>
    <w:rsid w:val="007F7B32"/>
    <w:rsid w:val="00804BC2"/>
    <w:rsid w:val="008135E5"/>
    <w:rsid w:val="0081431A"/>
    <w:rsid w:val="0083216F"/>
    <w:rsid w:val="00860000"/>
    <w:rsid w:val="00863BD3"/>
    <w:rsid w:val="008641ED"/>
    <w:rsid w:val="00866D66"/>
    <w:rsid w:val="008671C6"/>
    <w:rsid w:val="00875803"/>
    <w:rsid w:val="008B459E"/>
    <w:rsid w:val="008D3B5C"/>
    <w:rsid w:val="008E13AE"/>
    <w:rsid w:val="008E1506"/>
    <w:rsid w:val="008E710C"/>
    <w:rsid w:val="008F69D6"/>
    <w:rsid w:val="00902823"/>
    <w:rsid w:val="00915CA6"/>
    <w:rsid w:val="00927834"/>
    <w:rsid w:val="00931AE7"/>
    <w:rsid w:val="00932E22"/>
    <w:rsid w:val="0093500D"/>
    <w:rsid w:val="009500A6"/>
    <w:rsid w:val="00957C18"/>
    <w:rsid w:val="009659BA"/>
    <w:rsid w:val="00983040"/>
    <w:rsid w:val="009B3FB9"/>
    <w:rsid w:val="009C2465"/>
    <w:rsid w:val="009D35A0"/>
    <w:rsid w:val="009D7EB7"/>
    <w:rsid w:val="009E048A"/>
    <w:rsid w:val="009E08E9"/>
    <w:rsid w:val="009E3DB9"/>
    <w:rsid w:val="009E6E35"/>
    <w:rsid w:val="009F0EDA"/>
    <w:rsid w:val="009F4598"/>
    <w:rsid w:val="00A03B96"/>
    <w:rsid w:val="00A05B19"/>
    <w:rsid w:val="00A1134E"/>
    <w:rsid w:val="00A14F6E"/>
    <w:rsid w:val="00A248FE"/>
    <w:rsid w:val="00A24E7E"/>
    <w:rsid w:val="00A258C3"/>
    <w:rsid w:val="00A25F26"/>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A303E"/>
    <w:rsid w:val="00BB37AA"/>
    <w:rsid w:val="00BC53A0"/>
    <w:rsid w:val="00BE62AD"/>
    <w:rsid w:val="00BF121F"/>
    <w:rsid w:val="00BF1F80"/>
    <w:rsid w:val="00C04F39"/>
    <w:rsid w:val="00C166EF"/>
    <w:rsid w:val="00C17EB0"/>
    <w:rsid w:val="00C2036A"/>
    <w:rsid w:val="00C27F5F"/>
    <w:rsid w:val="00C30A0F"/>
    <w:rsid w:val="00C376E2"/>
    <w:rsid w:val="00C37E61"/>
    <w:rsid w:val="00C453D2"/>
    <w:rsid w:val="00C70F1B"/>
    <w:rsid w:val="00C71A47"/>
    <w:rsid w:val="00C7464C"/>
    <w:rsid w:val="00C85588"/>
    <w:rsid w:val="00C86774"/>
    <w:rsid w:val="00CD6755"/>
    <w:rsid w:val="00CD6856"/>
    <w:rsid w:val="00CE0089"/>
    <w:rsid w:val="00CE793C"/>
    <w:rsid w:val="00CF193C"/>
    <w:rsid w:val="00D173F1"/>
    <w:rsid w:val="00D46D34"/>
    <w:rsid w:val="00D74CB0"/>
    <w:rsid w:val="00D8295D"/>
    <w:rsid w:val="00DC2A65"/>
    <w:rsid w:val="00DE15F0"/>
    <w:rsid w:val="00DE5663"/>
    <w:rsid w:val="00DE78AA"/>
    <w:rsid w:val="00E053D0"/>
    <w:rsid w:val="00E15994"/>
    <w:rsid w:val="00E3114E"/>
    <w:rsid w:val="00E31A70"/>
    <w:rsid w:val="00E35B02"/>
    <w:rsid w:val="00E52AC7"/>
    <w:rsid w:val="00E66496"/>
    <w:rsid w:val="00E66B35"/>
    <w:rsid w:val="00E66E10"/>
    <w:rsid w:val="00E769F6"/>
    <w:rsid w:val="00E8407C"/>
    <w:rsid w:val="00E84F3C"/>
    <w:rsid w:val="00EA012C"/>
    <w:rsid w:val="00EC6A55"/>
    <w:rsid w:val="00ED0288"/>
    <w:rsid w:val="00EE52CB"/>
    <w:rsid w:val="00EF581D"/>
    <w:rsid w:val="00EF7FD8"/>
    <w:rsid w:val="00F06F59"/>
    <w:rsid w:val="00F145CA"/>
    <w:rsid w:val="00F17836"/>
    <w:rsid w:val="00F17988"/>
    <w:rsid w:val="00F40656"/>
    <w:rsid w:val="00F4328A"/>
    <w:rsid w:val="00F469F0"/>
    <w:rsid w:val="00F53273"/>
    <w:rsid w:val="00F755E4"/>
    <w:rsid w:val="00F77D02"/>
    <w:rsid w:val="00F87657"/>
    <w:rsid w:val="00FB3A86"/>
    <w:rsid w:val="00FD36C8"/>
    <w:rsid w:val="00FE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367C4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A490A"/>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2B3FDB"/>
    <w:rPr>
      <w:rFonts w:ascii="Aptos" w:eastAsia="Aptos" w:hAnsi="Aptos"/>
      <w:kern w:val="2"/>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rsid w:val="00C376E2"/>
    <w:pPr>
      <w:spacing w:after="160" w:line="259" w:lineRule="auto"/>
    </w:pPr>
    <w:rPr>
      <w:rFonts w:ascii="Aptos" w:eastAsia="Aptos" w:hAnsi="Aptos"/>
      <w:kern w:val="2"/>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820565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2075661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452398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4209897">
      <w:bodyDiv w:val="1"/>
      <w:marLeft w:val="0"/>
      <w:marRight w:val="0"/>
      <w:marTop w:val="0"/>
      <w:marBottom w:val="0"/>
      <w:divBdr>
        <w:top w:val="none" w:sz="0" w:space="0" w:color="auto"/>
        <w:left w:val="none" w:sz="0" w:space="0" w:color="auto"/>
        <w:bottom w:val="none" w:sz="0" w:space="0" w:color="auto"/>
        <w:right w:val="none" w:sz="0" w:space="0" w:color="auto"/>
      </w:divBdr>
    </w:div>
    <w:div w:id="717245346">
      <w:bodyDiv w:val="1"/>
      <w:marLeft w:val="0"/>
      <w:marRight w:val="0"/>
      <w:marTop w:val="0"/>
      <w:marBottom w:val="0"/>
      <w:divBdr>
        <w:top w:val="none" w:sz="0" w:space="0" w:color="auto"/>
        <w:left w:val="none" w:sz="0" w:space="0" w:color="auto"/>
        <w:bottom w:val="none" w:sz="0" w:space="0" w:color="auto"/>
        <w:right w:val="none" w:sz="0" w:space="0" w:color="auto"/>
      </w:divBdr>
    </w:div>
    <w:div w:id="9596475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127559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1590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0"/>
          <a:lstStyle/>
          <a:p>
            <a:pPr>
              <a:defRPr sz="900" b="1" i="0" u="none" strike="noStrike" kern="1200" baseline="0">
                <a:ln>
                  <a:noFill/>
                </a:ln>
                <a:solidFill>
                  <a:schemeClr val="tx1"/>
                </a:solidFill>
                <a:latin typeface="+mn-lt"/>
                <a:ea typeface="+mn-ea"/>
                <a:cs typeface="+mn-cs"/>
              </a:defRPr>
            </a:pPr>
            <a:r>
              <a:rPr lang="en-IN" sz="900">
                <a:ln>
                  <a:noFill/>
                </a:ln>
                <a:latin typeface="Arial" panose="020B0604020202020204" pitchFamily="34" charset="0"/>
                <a:cs typeface="Arial" panose="020B0604020202020204" pitchFamily="34" charset="0"/>
              </a:rPr>
              <a:t>Fungicides </a:t>
            </a:r>
          </a:p>
        </c:rich>
      </c:tx>
      <c:layout>
        <c:manualLayout>
          <c:xMode val="edge"/>
          <c:yMode val="edge"/>
          <c:x val="0.42981573575232923"/>
          <c:y val="0.9508812559420784"/>
        </c:manualLayout>
      </c:layout>
      <c:overlay val="0"/>
      <c:spPr>
        <a:noFill/>
        <a:ln>
          <a:solidFill>
            <a:schemeClr val="bg1">
              <a:alpha val="87000"/>
            </a:schemeClr>
          </a:solidFill>
        </a:ln>
        <a:effectLst/>
      </c:spPr>
      <c:txPr>
        <a:bodyPr rot="0" spcFirstLastPara="1" vertOverflow="ellipsis" vert="horz" wrap="square" anchor="ctr" anchorCtr="0"/>
        <a:lstStyle/>
        <a:p>
          <a:pPr>
            <a:defRPr sz="900" b="1" i="0" u="none" strike="noStrike" kern="1200" baseline="0">
              <a:ln>
                <a:noFill/>
              </a:ln>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0.10%</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Sheet1!$B$2:$B$9</c:f>
              <c:numCache>
                <c:formatCode>General</c:formatCode>
                <c:ptCount val="8"/>
                <c:pt idx="0">
                  <c:v>43.33</c:v>
                </c:pt>
                <c:pt idx="1">
                  <c:v>80.37</c:v>
                </c:pt>
                <c:pt idx="2">
                  <c:v>100</c:v>
                </c:pt>
                <c:pt idx="3">
                  <c:v>84.44</c:v>
                </c:pt>
                <c:pt idx="4">
                  <c:v>100</c:v>
                </c:pt>
                <c:pt idx="5">
                  <c:v>100</c:v>
                </c:pt>
                <c:pt idx="6">
                  <c:v>93.33</c:v>
                </c:pt>
                <c:pt idx="7">
                  <c:v>100</c:v>
                </c:pt>
              </c:numCache>
            </c:numRef>
          </c:val>
          <c:extLst>
            <c:ext xmlns:c16="http://schemas.microsoft.com/office/drawing/2014/chart" uri="{C3380CC4-5D6E-409C-BE32-E72D297353CC}">
              <c16:uniqueId val="{00000000-0DA8-4B95-8AFF-DB96A7CF4AA0}"/>
            </c:ext>
          </c:extLst>
        </c:ser>
        <c:ser>
          <c:idx val="1"/>
          <c:order val="1"/>
          <c:tx>
            <c:strRef>
              <c:f>Sheet1!$C$1</c:f>
              <c:strCache>
                <c:ptCount val="1"/>
                <c:pt idx="0">
                  <c:v>0.15%</c:v>
                </c:pt>
              </c:strCache>
            </c:strRef>
          </c:tx>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Sheet1!$C$2:$C$9</c:f>
              <c:numCache>
                <c:formatCode>General</c:formatCode>
                <c:ptCount val="8"/>
                <c:pt idx="0">
                  <c:v>50.74</c:v>
                </c:pt>
                <c:pt idx="1">
                  <c:v>81.48</c:v>
                </c:pt>
                <c:pt idx="2">
                  <c:v>100</c:v>
                </c:pt>
                <c:pt idx="3">
                  <c:v>88.15</c:v>
                </c:pt>
                <c:pt idx="4">
                  <c:v>100</c:v>
                </c:pt>
                <c:pt idx="5">
                  <c:v>100</c:v>
                </c:pt>
                <c:pt idx="6">
                  <c:v>100</c:v>
                </c:pt>
                <c:pt idx="7">
                  <c:v>100</c:v>
                </c:pt>
              </c:numCache>
            </c:numRef>
          </c:val>
          <c:extLst>
            <c:ext xmlns:c16="http://schemas.microsoft.com/office/drawing/2014/chart" uri="{C3380CC4-5D6E-409C-BE32-E72D297353CC}">
              <c16:uniqueId val="{00000001-0DA8-4B95-8AFF-DB96A7CF4AA0}"/>
            </c:ext>
          </c:extLst>
        </c:ser>
        <c:ser>
          <c:idx val="2"/>
          <c:order val="2"/>
          <c:tx>
            <c:strRef>
              <c:f>Sheet1!$D$1</c:f>
              <c:strCache>
                <c:ptCount val="1"/>
                <c:pt idx="0">
                  <c:v>0.20%</c:v>
                </c:pt>
              </c:strCache>
            </c:strRef>
          </c:tx>
          <c:spPr>
            <a:solidFill>
              <a:schemeClr val="tx2">
                <a:lumMod val="90000"/>
                <a:lumOff val="1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cat>
            <c:strRef>
              <c:f>Sheet1!$A$2:$A$9</c:f>
              <c:strCache>
                <c:ptCount val="8"/>
                <c:pt idx="0">
                  <c:v>Azoxystrobin 23% SC</c:v>
                </c:pt>
                <c:pt idx="1">
                  <c:v>Hexaconazole 5% EC</c:v>
                </c:pt>
                <c:pt idx="2">
                  <c:v>Propiconazole 25% EC</c:v>
                </c:pt>
                <c:pt idx="3">
                  <c:v>Difenoconazole 25% EC</c:v>
                </c:pt>
                <c:pt idx="4">
                  <c:v>Carbendazim 12% + Mancozeb 63% WP</c:v>
                </c:pt>
                <c:pt idx="5">
                  <c:v>Tebuconazole 50% + Trifloxystrobin 25% WG</c:v>
                </c:pt>
                <c:pt idx="6">
                  <c:v>Fluxapyroxad 21.26 % + Pyraclostrobin 21.26 % SC</c:v>
                </c:pt>
                <c:pt idx="7">
                  <c:v>Tricyclazole 18 % + Mancozeb 62 % WP</c:v>
                </c:pt>
              </c:strCache>
            </c:strRef>
          </c:cat>
          <c:val>
            <c:numRef>
              <c:f>Sheet1!$D$2:$D$9</c:f>
              <c:numCache>
                <c:formatCode>General</c:formatCode>
                <c:ptCount val="8"/>
                <c:pt idx="0">
                  <c:v>55.19</c:v>
                </c:pt>
                <c:pt idx="1">
                  <c:v>83.7</c:v>
                </c:pt>
                <c:pt idx="2">
                  <c:v>100</c:v>
                </c:pt>
                <c:pt idx="3">
                  <c:v>89.26</c:v>
                </c:pt>
                <c:pt idx="4">
                  <c:v>100</c:v>
                </c:pt>
                <c:pt idx="5">
                  <c:v>100</c:v>
                </c:pt>
                <c:pt idx="6">
                  <c:v>100</c:v>
                </c:pt>
                <c:pt idx="7">
                  <c:v>100</c:v>
                </c:pt>
              </c:numCache>
            </c:numRef>
          </c:val>
          <c:extLst>
            <c:ext xmlns:c16="http://schemas.microsoft.com/office/drawing/2014/chart" uri="{C3380CC4-5D6E-409C-BE32-E72D297353CC}">
              <c16:uniqueId val="{00000002-0DA8-4B95-8AFF-DB96A7CF4AA0}"/>
            </c:ext>
          </c:extLst>
        </c:ser>
        <c:dLbls>
          <c:showLegendKey val="0"/>
          <c:showVal val="0"/>
          <c:showCatName val="0"/>
          <c:showSerName val="0"/>
          <c:showPercent val="0"/>
          <c:showBubbleSize val="0"/>
        </c:dLbls>
        <c:gapWidth val="150"/>
        <c:shape val="box"/>
        <c:axId val="1067641632"/>
        <c:axId val="1067655552"/>
        <c:axId val="0"/>
      </c:bar3DChart>
      <c:catAx>
        <c:axId val="106764163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0"/>
          <a:lstStyle/>
          <a:p>
            <a:pPr>
              <a:defRPr sz="8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crossAx val="1067655552"/>
        <c:crosses val="autoZero"/>
        <c:auto val="1"/>
        <c:lblAlgn val="ctr"/>
        <c:lblOffset val="100"/>
        <c:noMultiLvlLbl val="0"/>
      </c:catAx>
      <c:valAx>
        <c:axId val="1067655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IN" sz="900" b="1">
                    <a:latin typeface="Arial" panose="020B0604020202020204" pitchFamily="34" charset="0"/>
                    <a:cs typeface="Arial" panose="020B0604020202020204" pitchFamily="34" charset="0"/>
                  </a:rPr>
                  <a:t>Mean</a:t>
                </a:r>
                <a:r>
                  <a:rPr lang="en-IN" sz="900" b="1" baseline="0">
                    <a:latin typeface="Arial" panose="020B0604020202020204" pitchFamily="34" charset="0"/>
                    <a:cs typeface="Arial" panose="020B0604020202020204" pitchFamily="34" charset="0"/>
                  </a:rPr>
                  <a:t> percent mycelium inhibition</a:t>
                </a:r>
                <a:endParaRPr lang="en-IN" sz="900" b="1">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I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0676416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TotalTime>
  <Pages>8</Pages>
  <Words>8113</Words>
  <Characters>46248</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54253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10</cp:revision>
  <cp:lastPrinted>2025-06-09T18:01:00Z</cp:lastPrinted>
  <dcterms:created xsi:type="dcterms:W3CDTF">2025-06-04T16:45:00Z</dcterms:created>
  <dcterms:modified xsi:type="dcterms:W3CDTF">2025-06-14T12:01:00Z</dcterms:modified>
</cp:coreProperties>
</file>