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8E729" w14:textId="77777777" w:rsidR="00754C9A" w:rsidRDefault="00754C9A" w:rsidP="00441B6F">
      <w:pPr>
        <w:pStyle w:val="Title"/>
        <w:spacing w:after="0"/>
        <w:jc w:val="both"/>
        <w:rPr>
          <w:rFonts w:ascii="Arial" w:hAnsi="Arial" w:cs="Arial"/>
        </w:rPr>
      </w:pPr>
    </w:p>
    <w:p w14:paraId="23A7BB57" w14:textId="77777777" w:rsidR="00183D9E" w:rsidRPr="00183D9E" w:rsidRDefault="00183D9E" w:rsidP="00183D9E">
      <w:pPr>
        <w:pStyle w:val="Author"/>
        <w:rPr>
          <w:rFonts w:ascii="Arial" w:hAnsi="Arial" w:cs="Arial"/>
          <w:bCs/>
          <w:i/>
          <w:iCs/>
          <w:kern w:val="28"/>
          <w:sz w:val="20"/>
          <w:u w:val="single"/>
        </w:rPr>
      </w:pPr>
      <w:r w:rsidRPr="00183D9E">
        <w:rPr>
          <w:rFonts w:ascii="Arial" w:hAnsi="Arial" w:cs="Arial"/>
          <w:bCs/>
          <w:i/>
          <w:iCs/>
          <w:kern w:val="28"/>
          <w:sz w:val="20"/>
          <w:u w:val="single"/>
        </w:rPr>
        <w:t>Original Research Article</w:t>
      </w:r>
    </w:p>
    <w:p w14:paraId="33417D61" w14:textId="544D7FF0" w:rsidR="00DC3389" w:rsidRPr="00DC3389" w:rsidRDefault="00DC3389" w:rsidP="00DC3389">
      <w:pPr>
        <w:pStyle w:val="Author"/>
        <w:spacing w:line="240" w:lineRule="auto"/>
        <w:rPr>
          <w:rFonts w:ascii="Arial" w:hAnsi="Arial" w:cs="Arial"/>
          <w:bCs/>
          <w:iCs/>
          <w:kern w:val="28"/>
          <w:sz w:val="36"/>
          <w:lang w:val="en-GB"/>
        </w:rPr>
      </w:pPr>
      <w:r w:rsidRPr="00DC3389">
        <w:rPr>
          <w:rFonts w:ascii="Arial" w:hAnsi="Arial" w:cs="Arial"/>
          <w:bCs/>
          <w:iCs/>
          <w:kern w:val="28"/>
          <w:sz w:val="36"/>
          <w:lang w:val="en-GB"/>
        </w:rPr>
        <w:t>Detection of Plasmid-Mediated Extended-Spectrum β-Lactamase genes</w:t>
      </w:r>
      <w:r w:rsidR="00E6775C">
        <w:rPr>
          <w:rFonts w:ascii="Arial" w:hAnsi="Arial" w:cs="Arial"/>
          <w:bCs/>
          <w:iCs/>
          <w:kern w:val="28"/>
          <w:sz w:val="36"/>
          <w:lang w:val="en-GB"/>
        </w:rPr>
        <w:t xml:space="preserve"> (</w:t>
      </w:r>
      <w:proofErr w:type="spellStart"/>
      <w:r w:rsidR="00E6775C" w:rsidRPr="00E6775C">
        <w:rPr>
          <w:rFonts w:ascii="Arial" w:hAnsi="Arial" w:cs="Arial"/>
          <w:i/>
          <w:iCs/>
          <w:sz w:val="36"/>
          <w:szCs w:val="28"/>
        </w:rPr>
        <w:t>bla</w:t>
      </w:r>
      <w:proofErr w:type="spellEnd"/>
      <w:r w:rsidR="00E6775C">
        <w:rPr>
          <w:rFonts w:ascii="Arial" w:hAnsi="Arial" w:cs="Arial"/>
          <w:i/>
          <w:iCs/>
          <w:sz w:val="36"/>
          <w:szCs w:val="28"/>
        </w:rPr>
        <w:t xml:space="preserve"> </w:t>
      </w:r>
      <w:r w:rsidR="00E6775C" w:rsidRPr="00E6775C">
        <w:rPr>
          <w:rFonts w:ascii="Arial" w:hAnsi="Arial" w:cs="Arial"/>
          <w:sz w:val="36"/>
          <w:szCs w:val="28"/>
          <w:vertAlign w:val="subscript"/>
        </w:rPr>
        <w:t>CTX-M</w:t>
      </w:r>
      <w:r w:rsidR="00E6775C" w:rsidRPr="00E6775C">
        <w:rPr>
          <w:rFonts w:ascii="Arial" w:hAnsi="Arial" w:cs="Arial"/>
          <w:sz w:val="36"/>
          <w:szCs w:val="28"/>
        </w:rPr>
        <w:t>)</w:t>
      </w:r>
      <w:r w:rsidRPr="00DC3389">
        <w:rPr>
          <w:rFonts w:ascii="Arial" w:hAnsi="Arial" w:cs="Arial"/>
          <w:bCs/>
          <w:iCs/>
          <w:kern w:val="28"/>
          <w:sz w:val="36"/>
          <w:lang w:val="en-GB"/>
        </w:rPr>
        <w:t xml:space="preserve"> in Enterobacteriaceae Isolated from the Oral Cavity of Patients in a Dental Clinic in Abidjan (Côte d’Ivoire)</w:t>
      </w:r>
    </w:p>
    <w:p w14:paraId="28BDEFD5" w14:textId="77777777" w:rsidR="00A258C3" w:rsidRPr="00790ADA" w:rsidRDefault="00A258C3" w:rsidP="00441B6F">
      <w:pPr>
        <w:pStyle w:val="Author"/>
        <w:spacing w:line="240" w:lineRule="auto"/>
        <w:jc w:val="both"/>
        <w:rPr>
          <w:rFonts w:ascii="Arial" w:hAnsi="Arial" w:cs="Arial"/>
          <w:sz w:val="36"/>
        </w:rPr>
      </w:pPr>
    </w:p>
    <w:p w14:paraId="313200F3" w14:textId="77777777" w:rsidR="00C37776" w:rsidRPr="00DC3389" w:rsidRDefault="00C37776" w:rsidP="00DC3389">
      <w:pPr>
        <w:pStyle w:val="Affiliation"/>
        <w:rPr>
          <w:rFonts w:ascii="Arial" w:hAnsi="Arial" w:cs="Arial"/>
          <w:i/>
        </w:rPr>
      </w:pPr>
    </w:p>
    <w:p w14:paraId="5F8B8885" w14:textId="77777777" w:rsidR="002C57D2" w:rsidRPr="00FB3A86" w:rsidRDefault="002C57D2" w:rsidP="00441B6F">
      <w:pPr>
        <w:pStyle w:val="Affiliation"/>
        <w:spacing w:after="0" w:line="240" w:lineRule="auto"/>
        <w:jc w:val="both"/>
        <w:rPr>
          <w:rFonts w:ascii="Arial" w:hAnsi="Arial" w:cs="Arial"/>
        </w:rPr>
      </w:pPr>
    </w:p>
    <w:p w14:paraId="07014789" w14:textId="2D615CF3" w:rsidR="00B01FCD" w:rsidRPr="00FB3A86" w:rsidRDefault="00DC3389" w:rsidP="00441B6F">
      <w:pPr>
        <w:pStyle w:val="Copyright"/>
        <w:spacing w:after="0" w:line="240" w:lineRule="auto"/>
        <w:jc w:val="both"/>
        <w:rPr>
          <w:rFonts w:ascii="Arial" w:hAnsi="Arial" w:cs="Arial"/>
        </w:rPr>
        <w:sectPr w:rsidR="00B01FCD" w:rsidRPr="00FB3A86" w:rsidSect="00384B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95DD60" wp14:editId="18E53CFC">
                <wp:extent cx="5303520" cy="635"/>
                <wp:effectExtent l="13335" t="13335" r="17145" b="15240"/>
                <wp:docPr id="12840868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05005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2217DA" w14:textId="2D7C71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9F2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0C975DE" w14:textId="77777777" w:rsidTr="001E44FE">
        <w:tc>
          <w:tcPr>
            <w:tcW w:w="9576" w:type="dxa"/>
            <w:shd w:val="clear" w:color="auto" w:fill="F2F2F2"/>
          </w:tcPr>
          <w:p w14:paraId="3046A296" w14:textId="78260971" w:rsidR="00E3114E" w:rsidRPr="006A0FC6" w:rsidRDefault="00E3114E" w:rsidP="00441B6F">
            <w:pPr>
              <w:pStyle w:val="Body"/>
              <w:spacing w:after="0"/>
              <w:rPr>
                <w:rFonts w:ascii="Arial" w:eastAsia="Calibri" w:hAnsi="Arial" w:cs="Arial"/>
                <w:szCs w:val="22"/>
              </w:rPr>
            </w:pPr>
          </w:p>
          <w:p w14:paraId="7152C012" w14:textId="16028E8C" w:rsidR="00BA148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A148F" w:rsidRPr="00BA148F">
              <w:rPr>
                <w:rFonts w:ascii="Arial" w:eastAsia="Calibri" w:hAnsi="Arial" w:cs="Arial"/>
                <w:szCs w:val="22"/>
              </w:rPr>
              <w:t xml:space="preserve">The oral cavity represents one of the most complex and densely </w:t>
            </w:r>
            <w:r w:rsidR="002F3157" w:rsidRPr="00BA148F">
              <w:rPr>
                <w:rFonts w:ascii="Arial" w:eastAsia="Calibri" w:hAnsi="Arial" w:cs="Arial"/>
                <w:szCs w:val="22"/>
              </w:rPr>
              <w:t>colonized</w:t>
            </w:r>
            <w:r w:rsidR="00BA148F" w:rsidRPr="00BA148F">
              <w:rPr>
                <w:rFonts w:ascii="Arial" w:eastAsia="Calibri" w:hAnsi="Arial" w:cs="Arial"/>
                <w:szCs w:val="22"/>
              </w:rPr>
              <w:t xml:space="preserve"> environments of the human body, </w:t>
            </w:r>
            <w:r w:rsidR="002F3157" w:rsidRPr="00BA148F">
              <w:rPr>
                <w:rFonts w:ascii="Arial" w:eastAsia="Calibri" w:hAnsi="Arial" w:cs="Arial"/>
                <w:szCs w:val="22"/>
              </w:rPr>
              <w:t>harboring</w:t>
            </w:r>
            <w:r w:rsidR="00BA148F" w:rsidRPr="00BA148F">
              <w:rPr>
                <w:rFonts w:ascii="Arial" w:eastAsia="Calibri" w:hAnsi="Arial" w:cs="Arial"/>
                <w:szCs w:val="22"/>
              </w:rPr>
              <w:t xml:space="preserve"> a diverse microbiota including bacterial and fungal communities. Antimicrobial resistance has emerged as a pressing global health concern, with particularly severe implications for low-resource settings. This study aimed to assess the antibiotic resistance profiles of extended-spectrum β-lactamase (ESBL)-producing Enterobacteriaceae strains isolated from the oral cavity.</w:t>
            </w:r>
          </w:p>
          <w:p w14:paraId="159CD4A7" w14:textId="56F38257" w:rsidR="00BA148F" w:rsidRDefault="00BA1B01" w:rsidP="00441B6F">
            <w:pPr>
              <w:pStyle w:val="Body"/>
              <w:spacing w:after="0"/>
              <w:rPr>
                <w:rFonts w:ascii="Arial" w:eastAsia="Calibri" w:hAnsi="Arial" w:cs="Arial"/>
                <w:i/>
                <w:i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A148F" w:rsidRPr="00BA148F">
              <w:rPr>
                <w:rFonts w:ascii="Arial" w:eastAsia="Calibri" w:hAnsi="Arial" w:cs="Arial"/>
                <w:szCs w:val="22"/>
              </w:rPr>
              <w:t xml:space="preserve">samples were collected from patients presenting with dental disorders for the isolation and characterisation of ESBL-producing Enterobacteriaceae from the oral cavity. Plasmid DNA was extracted using the phenol-chloroform method, and conventional PCR was employed to detect the presence of plasmid-borne resistance genes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w:t>
            </w:r>
            <w:proofErr w:type="gramStart"/>
            <w:r w:rsidR="00BA148F" w:rsidRPr="00BA148F">
              <w:rPr>
                <w:rFonts w:ascii="Arial" w:eastAsia="Calibri" w:hAnsi="Arial" w:cs="Arial"/>
                <w:i/>
                <w:iCs/>
                <w:szCs w:val="22"/>
              </w:rPr>
              <w:t>2</w:t>
            </w:r>
            <w:r w:rsidR="00BA148F">
              <w:rPr>
                <w:rFonts w:ascii="Arial" w:eastAsia="Calibri" w:hAnsi="Arial" w:cs="Arial"/>
                <w:i/>
                <w:iCs/>
                <w:szCs w:val="22"/>
              </w:rPr>
              <w:t xml:space="preserve"> </w:t>
            </w:r>
            <w:r w:rsidR="00BA148F" w:rsidRPr="00BA148F">
              <w:rPr>
                <w:rFonts w:ascii="Arial" w:eastAsia="Calibri" w:hAnsi="Arial" w:cs="Arial"/>
                <w:szCs w:val="22"/>
              </w:rPr>
              <w:t>,</w:t>
            </w:r>
            <w:proofErr w:type="gramEnd"/>
            <w:r w:rsidR="00BA148F" w:rsidRPr="00BA148F">
              <w:rPr>
                <w:rFonts w:ascii="Arial" w:eastAsia="Calibri" w:hAnsi="Arial" w:cs="Arial"/>
                <w:szCs w:val="22"/>
              </w:rPr>
              <w:t xml:space="preserve">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CTX-M-8</w:t>
            </w:r>
            <w:r w:rsidR="00BA148F">
              <w:rPr>
                <w:rFonts w:ascii="Arial" w:eastAsia="Calibri" w:hAnsi="Arial" w:cs="Arial"/>
                <w:i/>
                <w:iCs/>
                <w:szCs w:val="22"/>
              </w:rPr>
              <w:t xml:space="preserve"> </w:t>
            </w:r>
            <w:r w:rsidR="00BA148F" w:rsidRPr="00BA148F">
              <w:rPr>
                <w:rFonts w:ascii="Arial" w:eastAsia="Calibri" w:hAnsi="Arial" w:cs="Arial"/>
                <w:szCs w:val="22"/>
              </w:rPr>
              <w:t xml:space="preserve">, and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CTX-M-9</w:t>
            </w:r>
          </w:p>
          <w:p w14:paraId="79BA89EF" w14:textId="518D7D7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F3157">
              <w:rPr>
                <w:rFonts w:ascii="Arial" w:eastAsia="Calibri" w:hAnsi="Arial" w:cs="Arial"/>
                <w:szCs w:val="22"/>
              </w:rPr>
              <w:t>F</w:t>
            </w:r>
            <w:r w:rsidR="00BA148F" w:rsidRPr="00BA148F">
              <w:rPr>
                <w:rFonts w:ascii="Arial" w:eastAsia="Calibri" w:hAnsi="Arial" w:cs="Arial"/>
                <w:szCs w:val="22"/>
              </w:rPr>
              <w:t xml:space="preserve">our Enterobacteriaceae strains were successfully isolated and </w:t>
            </w:r>
            <w:r w:rsidR="002F3157" w:rsidRPr="00BA148F">
              <w:rPr>
                <w:rFonts w:ascii="Arial" w:eastAsia="Calibri" w:hAnsi="Arial" w:cs="Arial"/>
                <w:szCs w:val="22"/>
              </w:rPr>
              <w:t>c</w:t>
            </w:r>
            <w:bookmarkStart w:id="0" w:name="_GoBack"/>
            <w:bookmarkEnd w:id="0"/>
            <w:r w:rsidR="002F3157" w:rsidRPr="00BA148F">
              <w:rPr>
                <w:rFonts w:ascii="Arial" w:eastAsia="Calibri" w:hAnsi="Arial" w:cs="Arial"/>
                <w:szCs w:val="22"/>
              </w:rPr>
              <w:t>haracterized</w:t>
            </w:r>
            <w:r w:rsidR="00BA148F" w:rsidRPr="00BA148F">
              <w:rPr>
                <w:rFonts w:ascii="Arial" w:eastAsia="Calibri" w:hAnsi="Arial" w:cs="Arial"/>
                <w:szCs w:val="22"/>
              </w:rPr>
              <w:t>, corresponding to an isolation rate of 5.40%</w:t>
            </w:r>
            <w:r w:rsidR="002F3157">
              <w:rPr>
                <w:rFonts w:ascii="Arial" w:eastAsia="Calibri" w:hAnsi="Arial" w:cs="Arial"/>
                <w:szCs w:val="22"/>
              </w:rPr>
              <w:t xml:space="preserve"> (4/74)</w:t>
            </w:r>
            <w:r w:rsidR="00BA148F" w:rsidRPr="00BA148F">
              <w:rPr>
                <w:rFonts w:ascii="Arial" w:eastAsia="Calibri" w:hAnsi="Arial" w:cs="Arial"/>
                <w:szCs w:val="22"/>
              </w:rPr>
              <w:t xml:space="preserve">. Among these, 60% </w:t>
            </w:r>
            <w:r w:rsidR="002F3157" w:rsidRPr="00BA148F">
              <w:rPr>
                <w:rFonts w:ascii="Arial" w:eastAsia="Calibri" w:hAnsi="Arial" w:cs="Arial"/>
                <w:szCs w:val="22"/>
              </w:rPr>
              <w:t>harbored</w:t>
            </w:r>
            <w:r w:rsidR="00BA148F" w:rsidRPr="00BA148F">
              <w:rPr>
                <w:rFonts w:ascii="Arial" w:eastAsia="Calibri" w:hAnsi="Arial" w:cs="Arial"/>
                <w:szCs w:val="22"/>
              </w:rPr>
              <w:t xml:space="preserve"> the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CTX-M-2</w:t>
            </w:r>
            <w:r w:rsidR="00BA148F" w:rsidRPr="00BA148F">
              <w:rPr>
                <w:rFonts w:ascii="Arial" w:eastAsia="Calibri" w:hAnsi="Arial" w:cs="Arial"/>
                <w:szCs w:val="22"/>
              </w:rPr>
              <w:t xml:space="preserve"> and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CTX-M-8</w:t>
            </w:r>
            <w:r w:rsidR="00BA148F">
              <w:rPr>
                <w:rFonts w:ascii="Arial" w:eastAsia="Calibri" w:hAnsi="Arial" w:cs="Arial"/>
                <w:i/>
                <w:iCs/>
                <w:szCs w:val="22"/>
              </w:rPr>
              <w:t xml:space="preserve"> </w:t>
            </w:r>
            <w:r w:rsidR="00BA148F" w:rsidRPr="00BA148F">
              <w:rPr>
                <w:rFonts w:ascii="Arial" w:eastAsia="Calibri" w:hAnsi="Arial" w:cs="Arial"/>
                <w:szCs w:val="22"/>
              </w:rPr>
              <w:t xml:space="preserve">resistance genes. The </w:t>
            </w:r>
            <w:proofErr w:type="spellStart"/>
            <w:r w:rsidR="00BA148F" w:rsidRPr="00BA148F">
              <w:rPr>
                <w:rFonts w:ascii="Arial" w:eastAsia="Calibri" w:hAnsi="Arial" w:cs="Arial"/>
                <w:i/>
                <w:iCs/>
                <w:szCs w:val="22"/>
              </w:rPr>
              <w:t>bla</w:t>
            </w:r>
            <w:proofErr w:type="spellEnd"/>
            <w:r w:rsidR="00BA148F">
              <w:rPr>
                <w:rFonts w:ascii="Arial" w:eastAsia="Calibri" w:hAnsi="Arial" w:cs="Arial"/>
                <w:i/>
                <w:iCs/>
                <w:szCs w:val="22"/>
              </w:rPr>
              <w:t xml:space="preserve"> </w:t>
            </w:r>
            <w:r w:rsidR="00BA148F" w:rsidRPr="00BA148F">
              <w:rPr>
                <w:rFonts w:ascii="Arial" w:eastAsia="Calibri" w:hAnsi="Arial" w:cs="Arial"/>
                <w:i/>
                <w:iCs/>
                <w:szCs w:val="22"/>
              </w:rPr>
              <w:t>CTX-M-9</w:t>
            </w:r>
            <w:r w:rsidR="00BA148F" w:rsidRPr="00BA148F">
              <w:rPr>
                <w:rFonts w:ascii="Arial" w:eastAsia="Calibri" w:hAnsi="Arial" w:cs="Arial"/>
                <w:szCs w:val="22"/>
              </w:rPr>
              <w:t xml:space="preserve"> gene was not detected in any of the isolates</w:t>
            </w:r>
            <w:r w:rsidR="002F3157">
              <w:rPr>
                <w:rFonts w:ascii="Arial" w:eastAsia="Calibri" w:hAnsi="Arial" w:cs="Arial"/>
                <w:szCs w:val="22"/>
              </w:rPr>
              <w:t>.</w:t>
            </w:r>
          </w:p>
          <w:p w14:paraId="044A943B" w14:textId="7545BE9D"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A0FC6" w:rsidRPr="006A0FC6">
              <w:rPr>
                <w:rFonts w:ascii="Arial" w:eastAsia="Calibri" w:hAnsi="Arial" w:cs="Arial"/>
                <w:szCs w:val="22"/>
              </w:rPr>
              <w:t>Although uncommon in the oral cavity, the emergence of Enterobacteriaceae in this niche may represent a potential public health concern. The presence of ESBL-producing strains could contribute to therapeutic failures or limited treatment options, particularly if antibiotic prescribing guidelines are not adequately followed by healthcare professionals.</w:t>
            </w:r>
          </w:p>
          <w:p w14:paraId="3C255F65" w14:textId="3C125901" w:rsidR="00505F06" w:rsidRPr="00BA1B01" w:rsidRDefault="00505F06" w:rsidP="00441B6F">
            <w:pPr>
              <w:pStyle w:val="Body"/>
              <w:spacing w:after="0"/>
              <w:rPr>
                <w:rFonts w:ascii="Arial" w:eastAsia="Calibri" w:hAnsi="Arial" w:cs="Arial"/>
                <w:szCs w:val="22"/>
              </w:rPr>
            </w:pPr>
          </w:p>
        </w:tc>
      </w:tr>
    </w:tbl>
    <w:p w14:paraId="4BBB86C3" w14:textId="77777777" w:rsidR="00636EB2" w:rsidRDefault="00636EB2" w:rsidP="00441B6F">
      <w:pPr>
        <w:pStyle w:val="Body"/>
        <w:spacing w:after="0"/>
        <w:rPr>
          <w:rFonts w:ascii="Arial" w:hAnsi="Arial" w:cs="Arial"/>
          <w:i/>
        </w:rPr>
      </w:pPr>
    </w:p>
    <w:p w14:paraId="742DBAC2" w14:textId="184CE64D" w:rsidR="00A24E7E" w:rsidRDefault="00A24E7E" w:rsidP="00441B6F">
      <w:pPr>
        <w:pStyle w:val="Body"/>
        <w:spacing w:after="0"/>
        <w:rPr>
          <w:rFonts w:ascii="Arial" w:hAnsi="Arial" w:cs="Arial"/>
          <w:i/>
        </w:rPr>
      </w:pPr>
      <w:r>
        <w:rPr>
          <w:rFonts w:ascii="Arial" w:hAnsi="Arial" w:cs="Arial"/>
          <w:i/>
        </w:rPr>
        <w:t>Keywords: [</w:t>
      </w:r>
      <w:r w:rsidR="006A0FC6" w:rsidRPr="006A0FC6">
        <w:rPr>
          <w:rFonts w:ascii="Arial" w:hAnsi="Arial" w:cs="Arial"/>
          <w:i/>
        </w:rPr>
        <w:t xml:space="preserve">Antibiotic resistance, Oral cavity, ESBL-producing Enterobacteriaceae, Resistance </w:t>
      </w:r>
      <w:r w:rsidR="00A67816" w:rsidRPr="006A0FC6">
        <w:rPr>
          <w:rFonts w:ascii="Arial" w:hAnsi="Arial" w:cs="Arial"/>
          <w:i/>
        </w:rPr>
        <w:t>genes</w:t>
      </w:r>
      <w:r w:rsidR="0066510A">
        <w:rPr>
          <w:rFonts w:ascii="Arial" w:hAnsi="Arial" w:cs="Arial"/>
          <w:i/>
        </w:rPr>
        <w:t>)</w:t>
      </w:r>
    </w:p>
    <w:p w14:paraId="1981BD81" w14:textId="77777777" w:rsidR="00505F06" w:rsidRPr="00A24E7E" w:rsidRDefault="00505F06" w:rsidP="00441B6F">
      <w:pPr>
        <w:pStyle w:val="Body"/>
        <w:spacing w:after="0"/>
        <w:rPr>
          <w:rFonts w:ascii="Arial" w:hAnsi="Arial" w:cs="Arial"/>
          <w:i/>
        </w:rPr>
      </w:pPr>
    </w:p>
    <w:p w14:paraId="214FC8CB" w14:textId="1CF55D7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547CF6" w14:textId="2D65CC86" w:rsidR="00B95236" w:rsidRDefault="00B95236" w:rsidP="00441B6F">
      <w:pPr>
        <w:pStyle w:val="Body"/>
        <w:spacing w:after="0"/>
        <w:rPr>
          <w:rFonts w:ascii="Arial" w:hAnsi="Arial" w:cs="Arial"/>
        </w:rPr>
      </w:pPr>
    </w:p>
    <w:p w14:paraId="6B85890E" w14:textId="06E8907D" w:rsidR="00D20F6C" w:rsidRDefault="00D20F6C" w:rsidP="00441B6F">
      <w:pPr>
        <w:pStyle w:val="Body"/>
        <w:spacing w:after="0"/>
        <w:rPr>
          <w:rFonts w:ascii="Arial" w:hAnsi="Arial" w:cs="Arial"/>
        </w:rPr>
      </w:pPr>
      <w:r w:rsidRPr="00D20F6C">
        <w:rPr>
          <w:rFonts w:ascii="Arial" w:hAnsi="Arial" w:cs="Arial"/>
        </w:rPr>
        <w:t>From birth, humans are exposed to a diverse array of microorganisms</w:t>
      </w:r>
      <w:r>
        <w:rPr>
          <w:rFonts w:ascii="Arial" w:hAnsi="Arial" w:cs="Arial"/>
        </w:rPr>
        <w:t xml:space="preserve"> </w:t>
      </w:r>
      <w:r w:rsidRPr="00D20F6C">
        <w:rPr>
          <w:rFonts w:ascii="Arial" w:hAnsi="Arial" w:cs="Arial"/>
        </w:rPr>
        <w:t>including bacteria, archaea, viruses, and fungi</w:t>
      </w:r>
      <w:r>
        <w:rPr>
          <w:rFonts w:ascii="Arial" w:hAnsi="Arial" w:cs="Arial"/>
        </w:rPr>
        <w:t xml:space="preserve"> </w:t>
      </w:r>
      <w:r w:rsidRPr="00D20F6C">
        <w:rPr>
          <w:rFonts w:ascii="Arial" w:hAnsi="Arial" w:cs="Arial"/>
        </w:rPr>
        <w:t>which colonize various anatomical sites such as the skin, gastrointestinal tract, respiratory system, oral cavity, and urogenital tract. This complex microbial community, known as the microbiota, establishes a symbiotic relationship with the host, contributing to a dynamic state of equilibrium referred to as homeostasis (</w:t>
      </w:r>
      <w:r w:rsidRPr="00485BBF">
        <w:rPr>
          <w:rFonts w:ascii="Arial" w:hAnsi="Arial" w:cs="Arial"/>
        </w:rPr>
        <w:t>Langella, 2017; Doré, 2017)</w:t>
      </w:r>
      <w:r w:rsidRPr="00D20F6C">
        <w:rPr>
          <w:rFonts w:ascii="Arial" w:hAnsi="Arial" w:cs="Arial"/>
        </w:rPr>
        <w:t xml:space="preserve">. Studies have shown that this host–microbiota interaction plays a fundamental role in maintaining immune function, metabolic balance, and protection against pathogens </w:t>
      </w:r>
      <w:r w:rsidRPr="00485BBF">
        <w:rPr>
          <w:rFonts w:ascii="Arial" w:hAnsi="Arial" w:cs="Arial"/>
        </w:rPr>
        <w:t>(</w:t>
      </w:r>
      <w:proofErr w:type="spellStart"/>
      <w:r w:rsidRPr="00485BBF">
        <w:rPr>
          <w:rFonts w:ascii="Arial" w:hAnsi="Arial" w:cs="Arial"/>
        </w:rPr>
        <w:t>Lozupone</w:t>
      </w:r>
      <w:proofErr w:type="spellEnd"/>
      <w:r w:rsidRPr="00485BBF">
        <w:rPr>
          <w:rFonts w:ascii="Arial" w:hAnsi="Arial" w:cs="Arial"/>
        </w:rPr>
        <w:t xml:space="preserve"> et al., 2012; </w:t>
      </w:r>
      <w:proofErr w:type="spellStart"/>
      <w:r w:rsidRPr="00485BBF">
        <w:rPr>
          <w:rFonts w:ascii="Arial" w:hAnsi="Arial" w:cs="Arial"/>
        </w:rPr>
        <w:t>Burcelin</w:t>
      </w:r>
      <w:proofErr w:type="spellEnd"/>
      <w:r w:rsidRPr="00485BBF">
        <w:rPr>
          <w:rFonts w:ascii="Arial" w:hAnsi="Arial" w:cs="Arial"/>
        </w:rPr>
        <w:t>, 2017; Candela et al., 2008)</w:t>
      </w:r>
    </w:p>
    <w:p w14:paraId="064AB9C5" w14:textId="77777777" w:rsidR="00505F06" w:rsidRDefault="00505F06" w:rsidP="00441B6F">
      <w:pPr>
        <w:pStyle w:val="Body"/>
        <w:spacing w:after="0"/>
        <w:rPr>
          <w:rFonts w:ascii="Arial" w:hAnsi="Arial" w:cs="Arial"/>
        </w:rPr>
      </w:pPr>
    </w:p>
    <w:p w14:paraId="685F6E91" w14:textId="04CD5BCC" w:rsidR="00AE4FE3" w:rsidRDefault="006A0FC6" w:rsidP="006A0FC6">
      <w:pPr>
        <w:pStyle w:val="Body"/>
        <w:rPr>
          <w:rFonts w:ascii="Arial" w:hAnsi="Arial" w:cs="Arial"/>
          <w:lang w:val="fr-FR"/>
        </w:rPr>
      </w:pPr>
      <w:r w:rsidRPr="006A0FC6">
        <w:rPr>
          <w:rFonts w:ascii="Arial" w:hAnsi="Arial" w:cs="Arial"/>
          <w:lang w:val="en-GB"/>
        </w:rPr>
        <w:t xml:space="preserve">The oral cavity, due to its anatomical position and physiological function, is one of the most septic sites in the human body. It harbours a dense and diverse microbial and fungal flora, with over 500 different species identified to date </w:t>
      </w:r>
      <w:r w:rsidRPr="00485BBF">
        <w:rPr>
          <w:rFonts w:ascii="Arial" w:hAnsi="Arial" w:cs="Arial"/>
          <w:lang w:val="en-GB"/>
        </w:rPr>
        <w:t xml:space="preserve">(Moore et al., </w:t>
      </w:r>
      <w:r w:rsidRPr="00485BBF">
        <w:rPr>
          <w:rFonts w:ascii="Arial" w:hAnsi="Arial" w:cs="Arial"/>
          <w:lang w:val="en-GB"/>
        </w:rPr>
        <w:lastRenderedPageBreak/>
        <w:t>2000).</w:t>
      </w:r>
      <w:r w:rsidRPr="006A0FC6">
        <w:rPr>
          <w:rFonts w:ascii="Arial" w:hAnsi="Arial" w:cs="Arial"/>
          <w:lang w:val="en-GB"/>
        </w:rPr>
        <w:t xml:space="preserve"> </w:t>
      </w:r>
      <w:r w:rsidR="00AE4FE3" w:rsidRPr="00AE4FE3">
        <w:rPr>
          <w:rFonts w:ascii="Arial" w:hAnsi="Arial" w:cs="Arial"/>
          <w:lang w:val="fr-FR"/>
        </w:rPr>
        <w:t>Les affections bucco-dentaires, majoritairement infectieuses, comprennent les caries dentaires et les maladies parodontales graves. Les caries non traitées représentent la pathologie de santé la plus fréquente à l’échelle mondiale, affectant environ 2,5 milliards de personnes (</w:t>
      </w:r>
      <w:r w:rsidR="00AE4FE3" w:rsidRPr="00485BBF">
        <w:rPr>
          <w:rFonts w:ascii="Arial" w:hAnsi="Arial" w:cs="Arial"/>
          <w:lang w:val="fr-FR"/>
        </w:rPr>
        <w:t>Peres et al., 2019)</w:t>
      </w:r>
      <w:r w:rsidR="00AE4FE3" w:rsidRPr="00AE4FE3">
        <w:rPr>
          <w:rFonts w:ascii="Arial" w:hAnsi="Arial" w:cs="Arial"/>
          <w:lang w:val="fr-FR"/>
        </w:rPr>
        <w:t>.</w:t>
      </w:r>
    </w:p>
    <w:p w14:paraId="6CA16F43" w14:textId="45FA52ED" w:rsidR="00AE4FE3" w:rsidRPr="006A0FC6" w:rsidRDefault="006A0FC6" w:rsidP="006A0FC6">
      <w:pPr>
        <w:pStyle w:val="Body"/>
        <w:rPr>
          <w:rFonts w:ascii="Arial" w:hAnsi="Arial" w:cs="Arial"/>
          <w:lang w:val="en-GB"/>
        </w:rPr>
      </w:pPr>
      <w:r w:rsidRPr="00AE4FE3">
        <w:rPr>
          <w:rFonts w:ascii="Arial" w:hAnsi="Arial" w:cs="Arial"/>
          <w:lang w:val="en-GB"/>
        </w:rPr>
        <w:t xml:space="preserve">Antibiotics are widely used for the treatment and prevention of bacterial infections. </w:t>
      </w:r>
      <w:r w:rsidRPr="006A0FC6">
        <w:rPr>
          <w:rFonts w:ascii="Arial" w:hAnsi="Arial" w:cs="Arial"/>
          <w:lang w:val="en-GB"/>
        </w:rPr>
        <w:t xml:space="preserve">However, antibiotic resistance arises when bacteria evolve in response to exposure to these drugs, resulting in infections that are increasingly difficult to treat in both humans and animals. </w:t>
      </w:r>
      <w:r w:rsidR="00AE4FE3">
        <w:rPr>
          <w:rFonts w:ascii="Arial" w:hAnsi="Arial" w:cs="Arial"/>
          <w:lang w:val="en-GB"/>
        </w:rPr>
        <w:t xml:space="preserve"> </w:t>
      </w:r>
      <w:r w:rsidR="00AE4FE3" w:rsidRPr="00AE4FE3">
        <w:rPr>
          <w:rFonts w:ascii="Arial" w:hAnsi="Arial" w:cs="Arial"/>
        </w:rPr>
        <w:t xml:space="preserve">Antimicrobial resistance (AMR) poses a significant threat to global health, particularly in low-resource settings, where access to effective treatment options is limited </w:t>
      </w:r>
      <w:r w:rsidR="00AE4FE3" w:rsidRPr="00485BBF">
        <w:rPr>
          <w:rFonts w:ascii="Arial" w:hAnsi="Arial" w:cs="Arial"/>
        </w:rPr>
        <w:t>(O'Neill, 2016; Ventola, 2015)</w:t>
      </w:r>
    </w:p>
    <w:p w14:paraId="1F1B85AA" w14:textId="4531759D" w:rsidR="00EF6FEC" w:rsidRDefault="00EF6FEC" w:rsidP="006A0FC6">
      <w:pPr>
        <w:pStyle w:val="Body"/>
        <w:rPr>
          <w:rFonts w:ascii="Arial" w:hAnsi="Arial" w:cs="Arial"/>
        </w:rPr>
      </w:pPr>
      <w:r w:rsidRPr="00EF6FEC">
        <w:rPr>
          <w:rFonts w:ascii="Arial" w:hAnsi="Arial" w:cs="Arial"/>
        </w:rPr>
        <w:t xml:space="preserve">In many African countries, antimicrobial use is poorly regulated, with self-medication and over-the-counter antibiotic sales contributing significantly to the rise of resistant infections </w:t>
      </w:r>
      <w:r w:rsidRPr="00485BBF">
        <w:rPr>
          <w:rFonts w:ascii="Arial" w:hAnsi="Arial" w:cs="Arial"/>
        </w:rPr>
        <w:t>(</w:t>
      </w:r>
      <w:proofErr w:type="spellStart"/>
      <w:r w:rsidRPr="00485BBF">
        <w:rPr>
          <w:rFonts w:ascii="Arial" w:hAnsi="Arial" w:cs="Arial"/>
        </w:rPr>
        <w:t>Ayukekbong</w:t>
      </w:r>
      <w:proofErr w:type="spellEnd"/>
      <w:r w:rsidRPr="00485BBF">
        <w:rPr>
          <w:rFonts w:ascii="Arial" w:hAnsi="Arial" w:cs="Arial"/>
        </w:rPr>
        <w:t xml:space="preserve"> et al., 2017; </w:t>
      </w:r>
      <w:proofErr w:type="spellStart"/>
      <w:r w:rsidR="00485BBF" w:rsidRPr="00485BBF">
        <w:rPr>
          <w:rFonts w:ascii="Arial" w:hAnsi="Arial" w:cs="Arial"/>
        </w:rPr>
        <w:t>Essack</w:t>
      </w:r>
      <w:proofErr w:type="spellEnd"/>
      <w:r w:rsidRPr="00485BBF">
        <w:rPr>
          <w:rFonts w:ascii="Arial" w:hAnsi="Arial" w:cs="Arial"/>
        </w:rPr>
        <w:t>, 2017)</w:t>
      </w:r>
      <w:r w:rsidRPr="00EF6FEC">
        <w:rPr>
          <w:rFonts w:ascii="Arial" w:hAnsi="Arial" w:cs="Arial"/>
        </w:rPr>
        <w:t xml:space="preserve">. In Côte d’Ivoire, a clinical study in maxillofacial surgery highlighted pain, swelling, and suppuration as the main symptoms among infected patients </w:t>
      </w:r>
      <w:r w:rsidRPr="00485BBF">
        <w:rPr>
          <w:rFonts w:ascii="Arial" w:hAnsi="Arial" w:cs="Arial"/>
        </w:rPr>
        <w:t>(</w:t>
      </w:r>
      <w:proofErr w:type="spellStart"/>
      <w:r w:rsidRPr="00485BBF">
        <w:rPr>
          <w:rFonts w:ascii="Arial" w:hAnsi="Arial" w:cs="Arial"/>
        </w:rPr>
        <w:t>Chechom</w:t>
      </w:r>
      <w:proofErr w:type="spellEnd"/>
      <w:r w:rsidRPr="00485BBF">
        <w:rPr>
          <w:rFonts w:ascii="Arial" w:hAnsi="Arial" w:cs="Arial"/>
        </w:rPr>
        <w:t>, 2010)</w:t>
      </w:r>
      <w:r w:rsidRPr="00EF6FEC">
        <w:rPr>
          <w:rFonts w:ascii="Arial" w:hAnsi="Arial" w:cs="Arial"/>
        </w:rPr>
        <w:t xml:space="preserve">, with socio-economic factors such as low purchasing power and access to informal pharmaceutical markets exacerbating the spread of resistance </w:t>
      </w:r>
      <w:r w:rsidRPr="00485BBF">
        <w:rPr>
          <w:rFonts w:ascii="Arial" w:hAnsi="Arial" w:cs="Arial"/>
        </w:rPr>
        <w:t>(Okeke et al., 2005).</w:t>
      </w:r>
    </w:p>
    <w:p w14:paraId="7F1ACC35" w14:textId="7B73A8B1" w:rsidR="006A0FC6" w:rsidRPr="006A0FC6" w:rsidRDefault="006A0FC6" w:rsidP="006A0FC6">
      <w:pPr>
        <w:pStyle w:val="Body"/>
        <w:rPr>
          <w:rFonts w:ascii="Arial" w:hAnsi="Arial" w:cs="Arial"/>
          <w:lang w:val="en-GB"/>
        </w:rPr>
      </w:pPr>
      <w:r w:rsidRPr="006A0FC6">
        <w:rPr>
          <w:rFonts w:ascii="Arial" w:hAnsi="Arial" w:cs="Arial"/>
          <w:lang w:val="en-GB"/>
        </w:rPr>
        <w:t xml:space="preserve">Over the past two decades, infections caused by multidrug-resistant Gram-negative bacteria have emerged as a major public health concern in developing countries </w:t>
      </w:r>
      <w:r w:rsidRPr="00485BBF">
        <w:rPr>
          <w:rFonts w:ascii="Arial" w:hAnsi="Arial" w:cs="Arial"/>
          <w:lang w:val="en-GB"/>
        </w:rPr>
        <w:t>(Shakibaie et al., 2012). In Côte d’Ivoire, the rising resistance of bacteria to antibiotics—particularly the emergence of extended-spectrum beta-lactamase (ESBL)-producing Enterobacteriaceae—represents a significant healthcare challenge (</w:t>
      </w:r>
      <w:proofErr w:type="spellStart"/>
      <w:r w:rsidRPr="00485BBF">
        <w:rPr>
          <w:rFonts w:ascii="Arial" w:hAnsi="Arial" w:cs="Arial"/>
          <w:lang w:val="en-GB"/>
        </w:rPr>
        <w:t>Dadié</w:t>
      </w:r>
      <w:proofErr w:type="spellEnd"/>
      <w:r w:rsidRPr="00485BBF">
        <w:rPr>
          <w:rFonts w:ascii="Arial" w:hAnsi="Arial" w:cs="Arial"/>
          <w:lang w:val="en-GB"/>
        </w:rPr>
        <w:t xml:space="preserve"> et al., 2003; Akoua-Koffi et al., 2004; </w:t>
      </w:r>
      <w:proofErr w:type="spellStart"/>
      <w:r w:rsidRPr="00485BBF">
        <w:rPr>
          <w:rFonts w:ascii="Arial" w:hAnsi="Arial" w:cs="Arial"/>
          <w:lang w:val="en-GB"/>
        </w:rPr>
        <w:t>Gbonon</w:t>
      </w:r>
      <w:proofErr w:type="spellEnd"/>
      <w:r w:rsidRPr="00485BBF">
        <w:rPr>
          <w:rFonts w:ascii="Arial" w:hAnsi="Arial" w:cs="Arial"/>
          <w:lang w:val="en-GB"/>
        </w:rPr>
        <w:t xml:space="preserve"> et al., 2007).</w:t>
      </w:r>
    </w:p>
    <w:p w14:paraId="42190BF5" w14:textId="77777777" w:rsidR="006A0FC6" w:rsidRPr="006A0FC6" w:rsidRDefault="006A0FC6" w:rsidP="006A0FC6">
      <w:pPr>
        <w:pStyle w:val="Body"/>
        <w:rPr>
          <w:rFonts w:ascii="Arial" w:hAnsi="Arial" w:cs="Arial"/>
          <w:lang w:val="en-GB"/>
        </w:rPr>
      </w:pPr>
      <w:r w:rsidRPr="006A0FC6">
        <w:rPr>
          <w:rFonts w:ascii="Arial" w:hAnsi="Arial" w:cs="Arial"/>
          <w:lang w:val="en-GB"/>
        </w:rPr>
        <w:t xml:space="preserve">Several studies have documented the presence and dissemination of ESBL-producing strains in human-derived Enterobacteriaceae </w:t>
      </w:r>
      <w:r w:rsidRPr="00FE6DDA">
        <w:rPr>
          <w:rFonts w:ascii="Arial" w:hAnsi="Arial" w:cs="Arial"/>
          <w:lang w:val="en-GB"/>
        </w:rPr>
        <w:t>(</w:t>
      </w:r>
      <w:proofErr w:type="spellStart"/>
      <w:r w:rsidRPr="00FE6DDA">
        <w:rPr>
          <w:rFonts w:ascii="Arial" w:hAnsi="Arial" w:cs="Arial"/>
          <w:lang w:val="en-GB"/>
        </w:rPr>
        <w:t>Guessennd</w:t>
      </w:r>
      <w:proofErr w:type="spellEnd"/>
      <w:r w:rsidRPr="00FE6DDA">
        <w:rPr>
          <w:rFonts w:ascii="Arial" w:hAnsi="Arial" w:cs="Arial"/>
          <w:lang w:val="en-GB"/>
        </w:rPr>
        <w:t xml:space="preserve"> et al., 2008a),</w:t>
      </w:r>
      <w:r w:rsidRPr="006A0FC6">
        <w:rPr>
          <w:rFonts w:ascii="Arial" w:hAnsi="Arial" w:cs="Arial"/>
          <w:lang w:val="en-GB"/>
        </w:rPr>
        <w:t xml:space="preserve"> as well as in isolates of animal and environmental origin </w:t>
      </w:r>
      <w:r w:rsidRPr="002F3157">
        <w:rPr>
          <w:rFonts w:ascii="Arial" w:hAnsi="Arial" w:cs="Arial"/>
          <w:lang w:val="en-GB"/>
        </w:rPr>
        <w:t>(Ouattara et al., 2014). Enzymes of the TEM, SHV, and CTX-M families have notably been identified in human strains (</w:t>
      </w:r>
      <w:proofErr w:type="spellStart"/>
      <w:r w:rsidRPr="002F3157">
        <w:rPr>
          <w:rFonts w:ascii="Arial" w:hAnsi="Arial" w:cs="Arial"/>
          <w:lang w:val="en-GB"/>
        </w:rPr>
        <w:t>Toty</w:t>
      </w:r>
      <w:proofErr w:type="spellEnd"/>
      <w:r w:rsidRPr="002F3157">
        <w:rPr>
          <w:rFonts w:ascii="Arial" w:hAnsi="Arial" w:cs="Arial"/>
          <w:lang w:val="en-GB"/>
        </w:rPr>
        <w:t xml:space="preserve"> et al., 2016; </w:t>
      </w:r>
      <w:proofErr w:type="spellStart"/>
      <w:r w:rsidRPr="002F3157">
        <w:rPr>
          <w:rFonts w:ascii="Arial" w:hAnsi="Arial" w:cs="Arial"/>
          <w:lang w:val="en-GB"/>
        </w:rPr>
        <w:t>Guessennd</w:t>
      </w:r>
      <w:proofErr w:type="spellEnd"/>
      <w:r w:rsidRPr="002F3157">
        <w:rPr>
          <w:rFonts w:ascii="Arial" w:hAnsi="Arial" w:cs="Arial"/>
          <w:lang w:val="en-GB"/>
        </w:rPr>
        <w:t xml:space="preserve"> et al., 2008b).</w:t>
      </w:r>
    </w:p>
    <w:p w14:paraId="588F612C" w14:textId="227D94F2" w:rsidR="006A0FC6" w:rsidRPr="006A0FC6" w:rsidRDefault="00EF0479" w:rsidP="006A0FC6">
      <w:pPr>
        <w:pStyle w:val="Body"/>
        <w:rPr>
          <w:rFonts w:ascii="Arial" w:hAnsi="Arial" w:cs="Arial"/>
          <w:lang w:val="en-GB"/>
        </w:rPr>
      </w:pPr>
      <w:r w:rsidRPr="003F2529">
        <w:rPr>
          <w:rFonts w:ascii="Arial" w:hAnsi="Arial" w:cs="Arial"/>
          <w:lang w:val="en-GB"/>
        </w:rPr>
        <w:t>This study seeks to investigate whether Enterobacteriaceae isolated from the oral cavity harbour plasmid-encoded ESBL genes, to identify the types of ESBLs produced, and to characterise the genetic determinants involved</w:t>
      </w:r>
      <w:r>
        <w:rPr>
          <w:rFonts w:ascii="Arial" w:hAnsi="Arial" w:cs="Arial"/>
          <w:lang w:val="en-GB"/>
        </w:rPr>
        <w:t>.</w:t>
      </w:r>
    </w:p>
    <w:p w14:paraId="5F88D443" w14:textId="77777777" w:rsidR="00790ADA" w:rsidRPr="006A0FC6" w:rsidRDefault="00790ADA" w:rsidP="00441B6F">
      <w:pPr>
        <w:pStyle w:val="Body"/>
        <w:spacing w:after="0"/>
        <w:rPr>
          <w:rFonts w:ascii="Arial" w:hAnsi="Arial" w:cs="Arial"/>
          <w:lang w:val="en-GB"/>
        </w:rPr>
      </w:pPr>
    </w:p>
    <w:p w14:paraId="1F43FA2A" w14:textId="6FB5102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DE0DF59" w14:textId="77777777" w:rsidR="00790ADA" w:rsidRPr="00FB3A86" w:rsidRDefault="00790ADA" w:rsidP="00441B6F">
      <w:pPr>
        <w:pStyle w:val="AbstHead"/>
        <w:spacing w:after="0"/>
        <w:jc w:val="both"/>
        <w:rPr>
          <w:rFonts w:ascii="Arial" w:hAnsi="Arial" w:cs="Arial"/>
        </w:rPr>
      </w:pPr>
    </w:p>
    <w:p w14:paraId="0530F961" w14:textId="51DB02F1" w:rsidR="00EF0479" w:rsidRPr="00EF0479" w:rsidRDefault="00EF0479" w:rsidP="00EF0479">
      <w:pPr>
        <w:pStyle w:val="Body"/>
        <w:spacing w:after="0"/>
        <w:rPr>
          <w:rFonts w:ascii="Arial" w:hAnsi="Arial" w:cs="Arial"/>
          <w:b/>
          <w:bCs/>
          <w:sz w:val="22"/>
          <w:szCs w:val="22"/>
          <w:lang w:val="en-GB"/>
        </w:rPr>
      </w:pPr>
      <w:r w:rsidRPr="00EF0479">
        <w:rPr>
          <w:rFonts w:ascii="Arial" w:hAnsi="Arial" w:cs="Arial"/>
          <w:b/>
          <w:bCs/>
          <w:sz w:val="22"/>
          <w:szCs w:val="22"/>
          <w:lang w:val="en-GB"/>
        </w:rPr>
        <w:t>2.1 Study Design and Setting</w:t>
      </w:r>
    </w:p>
    <w:p w14:paraId="486325B9" w14:textId="77777777" w:rsidR="002C2A24" w:rsidRDefault="00EF0479" w:rsidP="002C2A24">
      <w:pPr>
        <w:pStyle w:val="Body"/>
        <w:spacing w:after="0"/>
        <w:rPr>
          <w:rFonts w:ascii="Arial" w:hAnsi="Arial" w:cs="Arial"/>
        </w:rPr>
      </w:pPr>
      <w:r w:rsidRPr="003F2529">
        <w:rPr>
          <w:rFonts w:ascii="Arial" w:hAnsi="Arial" w:cs="Arial"/>
          <w:lang w:val="en-GB"/>
        </w:rPr>
        <w:t>This was a prospective, descriptive study conducted from August to October 2023 at the Private Catholic Hospital “Saints-</w:t>
      </w:r>
      <w:proofErr w:type="spellStart"/>
      <w:r w:rsidRPr="003F2529">
        <w:rPr>
          <w:rFonts w:ascii="Arial" w:hAnsi="Arial" w:cs="Arial"/>
          <w:lang w:val="en-GB"/>
        </w:rPr>
        <w:t>Cœurs</w:t>
      </w:r>
      <w:proofErr w:type="spellEnd"/>
      <w:r w:rsidRPr="003F2529">
        <w:rPr>
          <w:rFonts w:ascii="Arial" w:hAnsi="Arial" w:cs="Arial"/>
          <w:lang w:val="en-GB"/>
        </w:rPr>
        <w:t xml:space="preserve">” in </w:t>
      </w:r>
      <w:proofErr w:type="spellStart"/>
      <w:r w:rsidRPr="003F2529">
        <w:rPr>
          <w:rFonts w:ascii="Arial" w:hAnsi="Arial" w:cs="Arial"/>
          <w:lang w:val="en-GB"/>
        </w:rPr>
        <w:t>Abobo-Té</w:t>
      </w:r>
      <w:proofErr w:type="spellEnd"/>
      <w:r w:rsidRPr="003F2529">
        <w:rPr>
          <w:rFonts w:ascii="Arial" w:hAnsi="Arial" w:cs="Arial"/>
          <w:lang w:val="en-GB"/>
        </w:rPr>
        <w:t xml:space="preserve">, Abidjan. The investigation focused on the epidemiological, clinical, and bacteriological aspects of oral and dental infections. Patients were recruited from the dental surgery department of the hospital. All biological samples were processed at the </w:t>
      </w:r>
      <w:proofErr w:type="spellStart"/>
      <w:r w:rsidRPr="003F2529">
        <w:rPr>
          <w:rFonts w:ascii="Arial" w:hAnsi="Arial" w:cs="Arial"/>
          <w:lang w:val="en-GB"/>
        </w:rPr>
        <w:t>Institut</w:t>
      </w:r>
      <w:proofErr w:type="spellEnd"/>
      <w:r w:rsidRPr="003F2529">
        <w:rPr>
          <w:rFonts w:ascii="Arial" w:hAnsi="Arial" w:cs="Arial"/>
          <w:lang w:val="en-GB"/>
        </w:rPr>
        <w:t xml:space="preserve"> Pasteur of Côte d’Ivoire, specifically at the Clinical Bacteriology Unit in </w:t>
      </w:r>
      <w:proofErr w:type="spellStart"/>
      <w:r w:rsidRPr="003F2529">
        <w:rPr>
          <w:rFonts w:ascii="Arial" w:hAnsi="Arial" w:cs="Arial"/>
          <w:lang w:val="en-GB"/>
        </w:rPr>
        <w:t>Cocody</w:t>
      </w:r>
      <w:proofErr w:type="spellEnd"/>
      <w:r w:rsidRPr="003F2529">
        <w:rPr>
          <w:rFonts w:ascii="Arial" w:hAnsi="Arial" w:cs="Arial"/>
          <w:lang w:val="en-GB"/>
        </w:rPr>
        <w:t xml:space="preserve"> and the Molecular Biology Platform in </w:t>
      </w:r>
      <w:proofErr w:type="spellStart"/>
      <w:r w:rsidRPr="003F2529">
        <w:rPr>
          <w:rFonts w:ascii="Arial" w:hAnsi="Arial" w:cs="Arial"/>
          <w:lang w:val="en-GB"/>
        </w:rPr>
        <w:t>Adiopodoumé</w:t>
      </w:r>
      <w:proofErr w:type="spellEnd"/>
      <w:r w:rsidRPr="003F2529">
        <w:rPr>
          <w:rFonts w:ascii="Arial" w:hAnsi="Arial" w:cs="Arial"/>
          <w:lang w:val="en-GB"/>
        </w:rPr>
        <w:t>.</w:t>
      </w:r>
      <w:r w:rsidRPr="00EF0479">
        <w:rPr>
          <w:rFonts w:ascii="Arial" w:hAnsi="Arial" w:cs="Arial"/>
        </w:rPr>
        <w:t xml:space="preserve"> </w:t>
      </w:r>
    </w:p>
    <w:p w14:paraId="26023603" w14:textId="77777777" w:rsidR="002C2A24" w:rsidRDefault="002C2A24" w:rsidP="002C2A24">
      <w:pPr>
        <w:pStyle w:val="Body"/>
        <w:spacing w:after="0"/>
        <w:rPr>
          <w:rFonts w:ascii="Arial" w:hAnsi="Arial" w:cs="Arial"/>
        </w:rPr>
      </w:pPr>
    </w:p>
    <w:p w14:paraId="71561511" w14:textId="63B78003" w:rsidR="002C2A24" w:rsidRPr="00A632F1" w:rsidRDefault="002C2A24" w:rsidP="002C2A24">
      <w:pPr>
        <w:pStyle w:val="Body"/>
        <w:spacing w:after="0"/>
        <w:rPr>
          <w:rFonts w:ascii="Arial" w:hAnsi="Arial" w:cs="Arial"/>
          <w:b/>
          <w:bCs/>
          <w:lang w:val="en-GB"/>
        </w:rPr>
      </w:pPr>
      <w:r w:rsidRPr="002C2A24">
        <w:rPr>
          <w:rFonts w:ascii="Arial" w:hAnsi="Arial" w:cs="Arial"/>
          <w:b/>
          <w:bCs/>
          <w:sz w:val="22"/>
          <w:szCs w:val="22"/>
        </w:rPr>
        <w:t xml:space="preserve">2.2 </w:t>
      </w:r>
      <w:r w:rsidRPr="00A632F1">
        <w:rPr>
          <w:rFonts w:ascii="Arial" w:hAnsi="Arial" w:cs="Arial"/>
          <w:b/>
          <w:bCs/>
          <w:sz w:val="22"/>
          <w:szCs w:val="22"/>
          <w:lang w:val="en-GB"/>
        </w:rPr>
        <w:t>Sample Collection Procedures</w:t>
      </w:r>
    </w:p>
    <w:p w14:paraId="0E732896" w14:textId="20C349A7" w:rsidR="002C2A24" w:rsidRPr="002C2A24" w:rsidRDefault="002C2A24" w:rsidP="002C2A24">
      <w:pPr>
        <w:pStyle w:val="Body"/>
        <w:spacing w:after="0"/>
        <w:rPr>
          <w:rFonts w:ascii="Arial" w:hAnsi="Arial" w:cs="Arial"/>
          <w:lang w:val="en-GB"/>
        </w:rPr>
      </w:pPr>
      <w:r w:rsidRPr="002C2A24">
        <w:rPr>
          <w:rFonts w:ascii="Arial" w:hAnsi="Arial" w:cs="Arial"/>
          <w:lang w:val="en-GB"/>
        </w:rPr>
        <w:t>Samples were collected from all patients with suspected oral infections</w:t>
      </w:r>
      <w:r w:rsidR="00EF4FD3">
        <w:rPr>
          <w:rFonts w:ascii="Arial" w:hAnsi="Arial" w:cs="Arial"/>
          <w:lang w:val="en-GB"/>
        </w:rPr>
        <w:t xml:space="preserve"> by seringe aspiration (closed purulent collections) or by sterile swab collection a</w:t>
      </w:r>
      <w:r w:rsidR="00EF4FD3" w:rsidRPr="002C2A24">
        <w:rPr>
          <w:rFonts w:ascii="Arial" w:hAnsi="Arial" w:cs="Arial"/>
          <w:lang w:val="en-GB"/>
        </w:rPr>
        <w:t>fter cleansing the wound with diluted antiseptic soap and rinsing with sterile water</w:t>
      </w:r>
      <w:r w:rsidR="00EF4FD3">
        <w:rPr>
          <w:rFonts w:ascii="Arial" w:hAnsi="Arial" w:cs="Arial"/>
          <w:lang w:val="en-GB"/>
        </w:rPr>
        <w:t>.</w:t>
      </w:r>
    </w:p>
    <w:p w14:paraId="777125E9" w14:textId="77777777" w:rsidR="00EF4FD3" w:rsidRDefault="00EF4FD3" w:rsidP="002C2A24">
      <w:pPr>
        <w:pStyle w:val="Body"/>
        <w:spacing w:after="0"/>
        <w:rPr>
          <w:rFonts w:ascii="Arial" w:hAnsi="Arial" w:cs="Arial"/>
          <w:b/>
          <w:bCs/>
          <w:lang w:val="en-GB"/>
        </w:rPr>
      </w:pPr>
    </w:p>
    <w:p w14:paraId="4F278581" w14:textId="7646066B" w:rsidR="002C2A24" w:rsidRDefault="002C2A24" w:rsidP="002C2A24">
      <w:pPr>
        <w:pStyle w:val="Body"/>
        <w:spacing w:after="0"/>
        <w:rPr>
          <w:rFonts w:ascii="Arial" w:hAnsi="Arial" w:cs="Arial"/>
          <w:b/>
          <w:bCs/>
          <w:sz w:val="22"/>
          <w:szCs w:val="22"/>
          <w:lang w:val="en-GB"/>
        </w:rPr>
      </w:pPr>
      <w:r w:rsidRPr="002C2A24">
        <w:rPr>
          <w:rFonts w:ascii="Arial" w:hAnsi="Arial" w:cs="Arial"/>
          <w:b/>
          <w:bCs/>
          <w:sz w:val="22"/>
          <w:szCs w:val="22"/>
          <w:lang w:val="en-GB"/>
        </w:rPr>
        <w:t>2.3 Bacteriological Analyses</w:t>
      </w:r>
    </w:p>
    <w:p w14:paraId="1E628AB1" w14:textId="77777777" w:rsidR="003C4C75" w:rsidRPr="002C2A24" w:rsidRDefault="003C4C75" w:rsidP="002C2A24">
      <w:pPr>
        <w:pStyle w:val="Body"/>
        <w:spacing w:after="0"/>
        <w:rPr>
          <w:rFonts w:ascii="Arial" w:hAnsi="Arial" w:cs="Arial"/>
          <w:b/>
          <w:bCs/>
          <w:sz w:val="22"/>
          <w:szCs w:val="22"/>
          <w:lang w:val="en-GB"/>
        </w:rPr>
      </w:pPr>
    </w:p>
    <w:p w14:paraId="54A7350E" w14:textId="4B9EFFED" w:rsidR="002C2A24" w:rsidRPr="002C2A24" w:rsidRDefault="002C2A24" w:rsidP="002C2A24">
      <w:pPr>
        <w:pStyle w:val="Body"/>
        <w:spacing w:after="0"/>
        <w:ind w:left="720"/>
        <w:rPr>
          <w:rFonts w:ascii="Arial" w:hAnsi="Arial" w:cs="Arial"/>
          <w:b/>
          <w:bCs/>
          <w:lang w:val="en-GB"/>
        </w:rPr>
      </w:pPr>
      <w:r w:rsidRPr="00191582">
        <w:rPr>
          <w:rFonts w:ascii="Arial" w:hAnsi="Arial" w:cs="Arial"/>
          <w:b/>
          <w:bCs/>
          <w:lang w:val="en-GB"/>
        </w:rPr>
        <w:t>2</w:t>
      </w:r>
      <w:r w:rsidRPr="002C2A24">
        <w:rPr>
          <w:rFonts w:ascii="Arial" w:hAnsi="Arial" w:cs="Arial"/>
          <w:b/>
          <w:bCs/>
          <w:lang w:val="en-GB"/>
        </w:rPr>
        <w:t>.3.1</w:t>
      </w:r>
      <w:r w:rsidRPr="00191582">
        <w:rPr>
          <w:rFonts w:ascii="Arial" w:hAnsi="Arial" w:cs="Arial"/>
          <w:b/>
          <w:bCs/>
          <w:lang w:val="en-GB"/>
        </w:rPr>
        <w:t xml:space="preserve"> </w:t>
      </w:r>
      <w:r w:rsidRPr="002C2A24">
        <w:rPr>
          <w:rFonts w:ascii="Arial" w:hAnsi="Arial" w:cs="Arial"/>
          <w:b/>
          <w:bCs/>
          <w:lang w:val="en-GB"/>
        </w:rPr>
        <w:t>Isolation and Purification of Colonies</w:t>
      </w:r>
    </w:p>
    <w:p w14:paraId="2DAB3DF7" w14:textId="77777777" w:rsidR="002C2A24" w:rsidRPr="002C2A24" w:rsidRDefault="002C2A24" w:rsidP="002C2A24">
      <w:pPr>
        <w:pStyle w:val="Body"/>
        <w:spacing w:after="0"/>
        <w:rPr>
          <w:rFonts w:ascii="Arial" w:hAnsi="Arial" w:cs="Arial"/>
          <w:lang w:val="en-GB"/>
        </w:rPr>
      </w:pPr>
      <w:bookmarkStart w:id="1" w:name="_Hlk198599845"/>
      <w:r w:rsidRPr="002C2A24">
        <w:rPr>
          <w:rFonts w:ascii="Arial" w:hAnsi="Arial" w:cs="Arial"/>
          <w:lang w:val="en-GB"/>
        </w:rPr>
        <w:t>Upon reception, samples were promptly cultured to prevent contamination. The swab was streaked over MacConkey agar, a selective medium for Enterobacteriaceae.</w:t>
      </w:r>
    </w:p>
    <w:bookmarkEnd w:id="1"/>
    <w:p w14:paraId="2E44B84E" w14:textId="77777777" w:rsidR="002C2A24" w:rsidRDefault="002C2A24" w:rsidP="002C2A24">
      <w:pPr>
        <w:pStyle w:val="Body"/>
        <w:spacing w:after="0"/>
        <w:rPr>
          <w:rFonts w:ascii="Arial" w:hAnsi="Arial" w:cs="Arial"/>
          <w:lang w:val="en-GB"/>
        </w:rPr>
      </w:pPr>
      <w:r w:rsidRPr="002C2A24">
        <w:rPr>
          <w:rFonts w:ascii="Arial" w:hAnsi="Arial" w:cs="Arial"/>
          <w:lang w:val="en-GB"/>
        </w:rPr>
        <w:t xml:space="preserve">After 24 hours of incubation, colonies were </w:t>
      </w:r>
      <w:proofErr w:type="spellStart"/>
      <w:r w:rsidRPr="002C2A24">
        <w:rPr>
          <w:rFonts w:ascii="Arial" w:hAnsi="Arial" w:cs="Arial"/>
          <w:lang w:val="en-GB"/>
        </w:rPr>
        <w:t>subcultured</w:t>
      </w:r>
      <w:proofErr w:type="spellEnd"/>
      <w:r w:rsidRPr="002C2A24">
        <w:rPr>
          <w:rFonts w:ascii="Arial" w:hAnsi="Arial" w:cs="Arial"/>
          <w:lang w:val="en-GB"/>
        </w:rPr>
        <w:t xml:space="preserve"> on fresh MacConkey agar to obtain pure isolates.</w:t>
      </w:r>
    </w:p>
    <w:p w14:paraId="267A8FB5" w14:textId="77777777" w:rsidR="003C4C75" w:rsidRPr="002C2A24" w:rsidRDefault="003C4C75" w:rsidP="002C2A24">
      <w:pPr>
        <w:pStyle w:val="Body"/>
        <w:spacing w:after="0"/>
        <w:rPr>
          <w:rFonts w:ascii="Arial" w:hAnsi="Arial" w:cs="Arial"/>
          <w:lang w:val="en-GB"/>
        </w:rPr>
      </w:pPr>
    </w:p>
    <w:p w14:paraId="1D5F6267" w14:textId="3164AFCD" w:rsidR="002C2A24" w:rsidRPr="00EF4FD3" w:rsidRDefault="002C2A24" w:rsidP="002C2A24">
      <w:pPr>
        <w:pStyle w:val="Body"/>
        <w:spacing w:after="0"/>
        <w:ind w:left="720"/>
        <w:rPr>
          <w:rFonts w:ascii="Arial" w:hAnsi="Arial" w:cs="Arial"/>
          <w:b/>
          <w:bCs/>
          <w:lang w:val="en-GB"/>
        </w:rPr>
      </w:pPr>
      <w:r w:rsidRPr="00EF4FD3">
        <w:rPr>
          <w:rFonts w:ascii="Arial" w:hAnsi="Arial" w:cs="Arial"/>
          <w:b/>
          <w:bCs/>
          <w:lang w:val="en-GB"/>
        </w:rPr>
        <w:t xml:space="preserve">2.3.2 Strain Identification </w:t>
      </w:r>
    </w:p>
    <w:p w14:paraId="6F4EC9A1" w14:textId="473E7B4F" w:rsidR="002C2A24" w:rsidRPr="002C2A24" w:rsidRDefault="002C2A24" w:rsidP="002C2A24">
      <w:pPr>
        <w:pStyle w:val="Body"/>
        <w:spacing w:after="0"/>
        <w:rPr>
          <w:rFonts w:ascii="Arial" w:hAnsi="Arial" w:cs="Arial"/>
          <w:lang w:val="en-GB"/>
        </w:rPr>
      </w:pPr>
      <w:r w:rsidRPr="002C2A24">
        <w:rPr>
          <w:rFonts w:ascii="Arial" w:hAnsi="Arial" w:cs="Arial"/>
          <w:lang w:val="en-GB"/>
        </w:rPr>
        <w:t>Identification was conducted using the API 20E system</w:t>
      </w:r>
      <w:r w:rsidR="008050FB">
        <w:rPr>
          <w:rFonts w:ascii="Arial" w:hAnsi="Arial" w:cs="Arial"/>
          <w:lang w:val="en-GB"/>
        </w:rPr>
        <w:t xml:space="preserve"> </w:t>
      </w:r>
      <w:r w:rsidRPr="002C2A24">
        <w:rPr>
          <w:rFonts w:ascii="Arial" w:hAnsi="Arial" w:cs="Arial"/>
          <w:lang w:val="en-GB"/>
        </w:rPr>
        <w:t>(bioMérieux), designed for Enterobacteriaceae</w:t>
      </w:r>
      <w:r w:rsidR="00EF4FD3">
        <w:rPr>
          <w:rFonts w:ascii="Arial" w:hAnsi="Arial" w:cs="Arial"/>
          <w:lang w:val="en-GB"/>
        </w:rPr>
        <w:t>.</w:t>
      </w:r>
    </w:p>
    <w:p w14:paraId="5D26B2BA" w14:textId="77777777" w:rsidR="00EF0479" w:rsidRPr="002C2A24" w:rsidRDefault="00EF0479" w:rsidP="00EF0479">
      <w:pPr>
        <w:pStyle w:val="Body"/>
        <w:spacing w:after="0"/>
        <w:rPr>
          <w:rFonts w:ascii="Arial" w:hAnsi="Arial" w:cs="Arial"/>
          <w:lang w:val="en-GB"/>
        </w:rPr>
      </w:pPr>
    </w:p>
    <w:p w14:paraId="44F8A3B7" w14:textId="41F2C1AD" w:rsidR="002C2A24" w:rsidRPr="002C2A24" w:rsidRDefault="00191582" w:rsidP="002C2A24">
      <w:pPr>
        <w:pStyle w:val="Body"/>
        <w:rPr>
          <w:rFonts w:ascii="Arial" w:hAnsi="Arial" w:cs="Arial"/>
          <w:b/>
          <w:bCs/>
          <w:sz w:val="22"/>
          <w:szCs w:val="22"/>
          <w:lang w:val="en-GB"/>
        </w:rPr>
      </w:pPr>
      <w:r>
        <w:rPr>
          <w:rFonts w:ascii="Arial" w:hAnsi="Arial" w:cs="Arial"/>
          <w:b/>
          <w:bCs/>
          <w:sz w:val="22"/>
          <w:szCs w:val="22"/>
          <w:lang w:val="en-GB"/>
        </w:rPr>
        <w:t xml:space="preserve">2.4 </w:t>
      </w:r>
      <w:r w:rsidR="002C2A24" w:rsidRPr="002C2A24">
        <w:rPr>
          <w:rFonts w:ascii="Arial" w:hAnsi="Arial" w:cs="Arial"/>
          <w:b/>
          <w:bCs/>
          <w:sz w:val="22"/>
          <w:szCs w:val="22"/>
          <w:lang w:val="en-GB"/>
        </w:rPr>
        <w:t>Plasmid DNA Extraction Using Phenol-Chloroform Method</w:t>
      </w:r>
    </w:p>
    <w:p w14:paraId="10198438" w14:textId="6A0B9864" w:rsidR="002C2A24" w:rsidRPr="002C2A24" w:rsidRDefault="00E44BCD" w:rsidP="002C2A24">
      <w:pPr>
        <w:pStyle w:val="Body"/>
        <w:rPr>
          <w:rFonts w:ascii="Arial" w:hAnsi="Arial" w:cs="Arial"/>
          <w:lang w:val="en-GB"/>
        </w:rPr>
      </w:pPr>
      <w:r w:rsidRPr="00E44BCD">
        <w:rPr>
          <w:rFonts w:ascii="Arial" w:hAnsi="Arial" w:cs="Arial"/>
          <w:lang w:val="en-GB"/>
        </w:rPr>
        <w:t>Genomic DNA was extracted using a modified phenol–chloroform protocol. Briefly, 500 µL of the biological sample was incubated at 95 °C for 10 minutes to initiate cell disruption. Lysis was performed by adding 1 mL of lysis buffer and 50 µL of proteinase K, followed by incubation at 55 °C for 1 hour and then 97 °C for 10 minutes. After centrifugation (14,000 rpm, 6 min), the supernatant was transferred to a new tube.</w:t>
      </w:r>
      <w:r>
        <w:rPr>
          <w:rFonts w:ascii="Arial" w:hAnsi="Arial" w:cs="Arial"/>
          <w:lang w:val="en-GB"/>
        </w:rPr>
        <w:t xml:space="preserve"> </w:t>
      </w:r>
      <w:r w:rsidRPr="00E44BCD">
        <w:rPr>
          <w:rFonts w:ascii="Arial" w:hAnsi="Arial" w:cs="Arial"/>
          <w:lang w:val="en-GB"/>
        </w:rPr>
        <w:t xml:space="preserve">To remove proteins, 250 µL of phenol: </w:t>
      </w:r>
      <w:proofErr w:type="spellStart"/>
      <w:proofErr w:type="gramStart"/>
      <w:r w:rsidRPr="00E44BCD">
        <w:rPr>
          <w:rFonts w:ascii="Arial" w:hAnsi="Arial" w:cs="Arial"/>
          <w:lang w:val="en-GB"/>
        </w:rPr>
        <w:t>chloroform:isoamyl</w:t>
      </w:r>
      <w:proofErr w:type="spellEnd"/>
      <w:proofErr w:type="gramEnd"/>
      <w:r w:rsidRPr="00E44BCD">
        <w:rPr>
          <w:rFonts w:ascii="Arial" w:hAnsi="Arial" w:cs="Arial"/>
          <w:lang w:val="en-GB"/>
        </w:rPr>
        <w:t xml:space="preserve"> alcohol (25:24:1) was added. The aqueous phase was then recovered and extracted once more using 250 µL of chloroform: isoamyl </w:t>
      </w:r>
      <w:r w:rsidRPr="00E44BCD">
        <w:rPr>
          <w:rFonts w:ascii="Arial" w:hAnsi="Arial" w:cs="Arial"/>
          <w:lang w:val="en-GB"/>
        </w:rPr>
        <w:lastRenderedPageBreak/>
        <w:t>alcohol (24:1). DNA was precipitated by mixing the aqueous phase with 200 µL of absolute ethanol and 15 µL of 3 M sodium acetate, followed by incubation at −80 °C for 10 minutes. The DNA pellet was washed with 70% ethanol, centrifuged, and air-dried before being resuspended in 100 µL of elution buffer and incubated at 37 °C for 2 hours.</w:t>
      </w:r>
      <w:r>
        <w:rPr>
          <w:rFonts w:ascii="Arial" w:hAnsi="Arial" w:cs="Arial"/>
          <w:lang w:val="en-GB"/>
        </w:rPr>
        <w:t xml:space="preserve"> </w:t>
      </w:r>
      <w:r w:rsidRPr="00E44BCD">
        <w:rPr>
          <w:rFonts w:ascii="Arial" w:hAnsi="Arial" w:cs="Arial"/>
          <w:lang w:val="en-GB"/>
        </w:rPr>
        <w:t xml:space="preserve">DNA integrity was verified by 1% agarose gel electrophoresis, while purity and concentration were assessed using a </w:t>
      </w:r>
      <w:proofErr w:type="spellStart"/>
      <w:r w:rsidRPr="00E44BCD">
        <w:rPr>
          <w:rFonts w:ascii="Arial" w:hAnsi="Arial" w:cs="Arial"/>
          <w:lang w:val="en-GB"/>
        </w:rPr>
        <w:t>NanoDrop</w:t>
      </w:r>
      <w:proofErr w:type="spellEnd"/>
      <w:r w:rsidRPr="00E44BCD">
        <w:rPr>
          <w:rFonts w:ascii="Arial" w:hAnsi="Arial" w:cs="Arial"/>
          <w:lang w:val="en-GB"/>
        </w:rPr>
        <w:t xml:space="preserve">™ One spectrophotometer. A 260/280 ratio of ~1.8 was considered indicative of pure DNA, whereas lower or higher values suggested protein or RNA contamination, respectively </w:t>
      </w:r>
      <w:r w:rsidR="008050FB" w:rsidRPr="00E44BCD">
        <w:rPr>
          <w:rFonts w:ascii="Arial" w:hAnsi="Arial" w:cs="Arial"/>
          <w:lang w:val="en-GB"/>
        </w:rPr>
        <w:t xml:space="preserve">(Sambrook </w:t>
      </w:r>
      <w:r w:rsidRPr="00E44BCD">
        <w:rPr>
          <w:rFonts w:ascii="Arial" w:hAnsi="Arial" w:cs="Arial"/>
          <w:lang w:val="en-GB"/>
        </w:rPr>
        <w:t>&amp; Russell, 2001</w:t>
      </w:r>
      <w:r w:rsidR="00485BBF" w:rsidRPr="00485BBF">
        <w:rPr>
          <w:rFonts w:ascii="Arial" w:hAnsi="Arial" w:cs="Arial"/>
          <w:lang w:val="en-GB"/>
        </w:rPr>
        <w:t>; Green, 2017</w:t>
      </w:r>
      <w:r w:rsidRPr="00E44BCD">
        <w:rPr>
          <w:rFonts w:ascii="Arial" w:hAnsi="Arial" w:cs="Arial"/>
          <w:lang w:val="en-GB"/>
        </w:rPr>
        <w:t>).</w:t>
      </w:r>
    </w:p>
    <w:p w14:paraId="3DF20F0B" w14:textId="2BBC679C" w:rsidR="002C2A24" w:rsidRPr="002C2A24" w:rsidRDefault="002C2A24" w:rsidP="00191582">
      <w:pPr>
        <w:pStyle w:val="Body"/>
        <w:numPr>
          <w:ilvl w:val="1"/>
          <w:numId w:val="32"/>
        </w:numPr>
        <w:rPr>
          <w:rFonts w:ascii="Arial" w:hAnsi="Arial" w:cs="Arial"/>
          <w:b/>
          <w:bCs/>
          <w:sz w:val="22"/>
          <w:szCs w:val="22"/>
          <w:lang w:val="en-GB"/>
        </w:rPr>
      </w:pPr>
      <w:r w:rsidRPr="002C2A24">
        <w:rPr>
          <w:rFonts w:ascii="Arial" w:hAnsi="Arial" w:cs="Arial"/>
          <w:b/>
          <w:bCs/>
          <w:sz w:val="22"/>
          <w:szCs w:val="22"/>
          <w:lang w:val="en-GB"/>
        </w:rPr>
        <w:t>PCR Amplification of ESBL-Encoding Genes</w:t>
      </w:r>
    </w:p>
    <w:p w14:paraId="1FB0A6CB" w14:textId="742D2F39" w:rsidR="004E4F60" w:rsidRDefault="002C2A24" w:rsidP="00DB471F">
      <w:pPr>
        <w:pStyle w:val="Body"/>
        <w:rPr>
          <w:rFonts w:ascii="Arial" w:hAnsi="Arial" w:cs="Arial"/>
          <w:lang w:val="en-GB"/>
        </w:rPr>
      </w:pPr>
      <w:r w:rsidRPr="002C2A24">
        <w:rPr>
          <w:rFonts w:ascii="Arial" w:hAnsi="Arial" w:cs="Arial"/>
          <w:lang w:val="en-GB"/>
        </w:rPr>
        <w:t>Detection of extended-spectrum beta-lactamase (ESBL) genes</w:t>
      </w:r>
      <w:r w:rsidR="00DB471F">
        <w:rPr>
          <w:rFonts w:ascii="Arial" w:hAnsi="Arial" w:cs="Arial"/>
          <w:lang w:val="en-GB"/>
        </w:rPr>
        <w:t xml:space="preserve"> (</w:t>
      </w:r>
      <w:proofErr w:type="spellStart"/>
      <w:r w:rsidR="00DB471F" w:rsidRPr="00DB471F">
        <w:rPr>
          <w:rFonts w:ascii="Arial" w:hAnsi="Arial" w:cs="Arial"/>
          <w:i/>
          <w:iCs/>
        </w:rPr>
        <w:t>bla</w:t>
      </w:r>
      <w:r w:rsidR="00DB471F" w:rsidRPr="00DB471F">
        <w:rPr>
          <w:rFonts w:ascii="Arial" w:hAnsi="Arial" w:cs="Arial"/>
          <w:vertAlign w:val="subscript"/>
        </w:rPr>
        <w:t>CTX</w:t>
      </w:r>
      <w:proofErr w:type="spellEnd"/>
      <w:r w:rsidR="00DB471F" w:rsidRPr="00DB471F">
        <w:rPr>
          <w:rFonts w:ascii="Arial" w:hAnsi="Arial" w:cs="Arial"/>
          <w:vertAlign w:val="subscript"/>
        </w:rPr>
        <w:t>-M</w:t>
      </w:r>
      <w:r w:rsidR="00DB471F" w:rsidRPr="00DB471F">
        <w:rPr>
          <w:rFonts w:ascii="Arial" w:hAnsi="Arial" w:cs="Arial"/>
        </w:rPr>
        <w:t>)</w:t>
      </w:r>
      <w:r w:rsidRPr="002C2A24">
        <w:rPr>
          <w:rFonts w:ascii="Arial" w:hAnsi="Arial" w:cs="Arial"/>
          <w:lang w:val="en-GB"/>
        </w:rPr>
        <w:t xml:space="preserve"> was performed using conventional PCR</w:t>
      </w:r>
      <w:r w:rsidR="00DB471F">
        <w:rPr>
          <w:rFonts w:ascii="Arial" w:hAnsi="Arial" w:cs="Arial"/>
          <w:lang w:val="en-GB"/>
        </w:rPr>
        <w:t xml:space="preserve"> (Table</w:t>
      </w:r>
      <w:r w:rsidRPr="002C2A24">
        <w:rPr>
          <w:rFonts w:ascii="Arial" w:hAnsi="Arial" w:cs="Arial"/>
          <w:lang w:val="en-GB"/>
        </w:rPr>
        <w:t>.</w:t>
      </w:r>
      <w:r w:rsidR="004E4F60">
        <w:rPr>
          <w:rFonts w:ascii="Arial" w:hAnsi="Arial" w:cs="Arial"/>
          <w:lang w:val="en-GB"/>
        </w:rPr>
        <w:t>1).</w:t>
      </w:r>
      <w:r w:rsidRPr="002C2A24">
        <w:rPr>
          <w:rFonts w:ascii="Arial" w:hAnsi="Arial" w:cs="Arial"/>
          <w:lang w:val="en-GB"/>
        </w:rPr>
        <w:t xml:space="preserve"> The reaction mix included: 4 µL of 5X </w:t>
      </w:r>
      <w:proofErr w:type="spellStart"/>
      <w:r w:rsidRPr="002C2A24">
        <w:rPr>
          <w:rFonts w:ascii="Arial" w:hAnsi="Arial" w:cs="Arial"/>
          <w:lang w:val="en-GB"/>
        </w:rPr>
        <w:t>FirePol</w:t>
      </w:r>
      <w:proofErr w:type="spellEnd"/>
      <w:r w:rsidRPr="002C2A24">
        <w:rPr>
          <w:rFonts w:ascii="Arial" w:hAnsi="Arial" w:cs="Arial"/>
          <w:lang w:val="en-GB"/>
        </w:rPr>
        <w:t xml:space="preserve"> Master Mix (Solis </w:t>
      </w:r>
      <w:proofErr w:type="spellStart"/>
      <w:r w:rsidRPr="002C2A24">
        <w:rPr>
          <w:rFonts w:ascii="Arial" w:hAnsi="Arial" w:cs="Arial"/>
          <w:lang w:val="en-GB"/>
        </w:rPr>
        <w:t>Biodyne</w:t>
      </w:r>
      <w:proofErr w:type="spellEnd"/>
      <w:r w:rsidRPr="002C2A24">
        <w:rPr>
          <w:rFonts w:ascii="Arial" w:hAnsi="Arial" w:cs="Arial"/>
          <w:lang w:val="en-GB"/>
        </w:rPr>
        <w:t>), 7 µL of nuclease-free water, 2 µL of each primer, and 5 µL of extracted DNA, totalling 20 µL. Amplification was carried out in an Eppendorf thermocycler. The PCR programme was as follows:</w:t>
      </w:r>
      <w:r w:rsidR="00191582" w:rsidRPr="00191582">
        <w:rPr>
          <w:rFonts w:ascii="Arial" w:hAnsi="Arial" w:cs="Arial"/>
          <w:lang w:val="en-GB"/>
        </w:rPr>
        <w:t xml:space="preserve"> </w:t>
      </w:r>
      <w:r w:rsidRPr="002C2A24">
        <w:rPr>
          <w:rFonts w:ascii="Arial" w:hAnsi="Arial" w:cs="Arial"/>
          <w:lang w:val="en-GB"/>
        </w:rPr>
        <w:t>Initial denaturation</w:t>
      </w:r>
      <w:r w:rsidR="00191582">
        <w:rPr>
          <w:rFonts w:ascii="Arial" w:hAnsi="Arial" w:cs="Arial"/>
          <w:lang w:val="en-GB"/>
        </w:rPr>
        <w:t xml:space="preserve"> at</w:t>
      </w:r>
      <w:r w:rsidRPr="002C2A24">
        <w:rPr>
          <w:rFonts w:ascii="Arial" w:hAnsi="Arial" w:cs="Arial"/>
          <w:lang w:val="en-GB"/>
        </w:rPr>
        <w:t xml:space="preserve"> 94°C for 5 minutes</w:t>
      </w:r>
      <w:r w:rsidR="00191582">
        <w:rPr>
          <w:rFonts w:ascii="Arial" w:hAnsi="Arial" w:cs="Arial"/>
          <w:lang w:val="en-GB"/>
        </w:rPr>
        <w:t>, d</w:t>
      </w:r>
      <w:r w:rsidRPr="002C2A24">
        <w:rPr>
          <w:rFonts w:ascii="Arial" w:hAnsi="Arial" w:cs="Arial"/>
          <w:lang w:val="en-GB"/>
        </w:rPr>
        <w:t>enaturation</w:t>
      </w:r>
      <w:r w:rsidR="00191582">
        <w:rPr>
          <w:rFonts w:ascii="Arial" w:hAnsi="Arial" w:cs="Arial"/>
          <w:lang w:val="en-GB"/>
        </w:rPr>
        <w:t xml:space="preserve"> at </w:t>
      </w:r>
      <w:r w:rsidRPr="002C2A24">
        <w:rPr>
          <w:rFonts w:ascii="Arial" w:hAnsi="Arial" w:cs="Arial"/>
          <w:lang w:val="en-GB"/>
        </w:rPr>
        <w:t>94°C for 30 seconds (×35 cycles)</w:t>
      </w:r>
      <w:r w:rsidR="00DB471F">
        <w:rPr>
          <w:rFonts w:ascii="Arial" w:hAnsi="Arial" w:cs="Arial"/>
          <w:lang w:val="en-GB"/>
        </w:rPr>
        <w:t xml:space="preserve">, </w:t>
      </w:r>
      <w:r w:rsidRPr="002C2A24">
        <w:rPr>
          <w:rFonts w:ascii="Arial" w:hAnsi="Arial" w:cs="Arial"/>
          <w:lang w:val="en-GB"/>
        </w:rPr>
        <w:t>Annealing</w:t>
      </w:r>
      <w:r w:rsidR="00DB471F">
        <w:rPr>
          <w:rFonts w:ascii="Arial" w:hAnsi="Arial" w:cs="Arial"/>
          <w:lang w:val="en-GB"/>
        </w:rPr>
        <w:t xml:space="preserve"> at </w:t>
      </w:r>
      <w:r w:rsidR="00DB471F" w:rsidRPr="002C2A24">
        <w:rPr>
          <w:rFonts w:ascii="Arial" w:hAnsi="Arial" w:cs="Arial"/>
          <w:lang w:val="en-GB"/>
        </w:rPr>
        <w:t>55</w:t>
      </w:r>
      <w:r w:rsidRPr="002C2A24">
        <w:rPr>
          <w:rFonts w:ascii="Arial" w:hAnsi="Arial" w:cs="Arial"/>
          <w:lang w:val="en-GB"/>
        </w:rPr>
        <w:t>°C for 60 seconds</w:t>
      </w:r>
      <w:r w:rsidR="00DB471F">
        <w:rPr>
          <w:rFonts w:ascii="Arial" w:hAnsi="Arial" w:cs="Arial"/>
          <w:lang w:val="en-GB"/>
        </w:rPr>
        <w:t>, e</w:t>
      </w:r>
      <w:r w:rsidRPr="002C2A24">
        <w:rPr>
          <w:rFonts w:ascii="Arial" w:hAnsi="Arial" w:cs="Arial"/>
          <w:lang w:val="en-GB"/>
        </w:rPr>
        <w:t>xtension</w:t>
      </w:r>
      <w:r w:rsidR="00DB471F">
        <w:rPr>
          <w:rFonts w:ascii="Arial" w:hAnsi="Arial" w:cs="Arial"/>
          <w:lang w:val="en-GB"/>
        </w:rPr>
        <w:t xml:space="preserve"> at </w:t>
      </w:r>
      <w:r w:rsidRPr="002C2A24">
        <w:rPr>
          <w:rFonts w:ascii="Arial" w:hAnsi="Arial" w:cs="Arial"/>
          <w:lang w:val="en-GB"/>
        </w:rPr>
        <w:t>72°C for 60 seconds</w:t>
      </w:r>
      <w:r w:rsidR="00DB471F">
        <w:rPr>
          <w:rFonts w:ascii="Arial" w:hAnsi="Arial" w:cs="Arial"/>
          <w:lang w:val="en-GB"/>
        </w:rPr>
        <w:t xml:space="preserve"> and f</w:t>
      </w:r>
      <w:r w:rsidRPr="002C2A24">
        <w:rPr>
          <w:rFonts w:ascii="Arial" w:hAnsi="Arial" w:cs="Arial"/>
          <w:lang w:val="en-GB"/>
        </w:rPr>
        <w:t>inal extension: 72°C for 10 minutes</w:t>
      </w:r>
      <w:r w:rsidR="00DB471F">
        <w:rPr>
          <w:rFonts w:ascii="Arial" w:hAnsi="Arial" w:cs="Arial"/>
          <w:lang w:val="en-GB"/>
        </w:rPr>
        <w:t xml:space="preserve">. </w:t>
      </w:r>
      <w:r w:rsidRPr="002C2A24">
        <w:rPr>
          <w:rFonts w:ascii="Arial" w:hAnsi="Arial" w:cs="Arial"/>
          <w:lang w:val="en-GB"/>
        </w:rPr>
        <w:t>The total PCR run lasted 92 minutes. Amplified products were separated on 1.5% agarose gels for 40 minutes and visualised using a Gel Doc imaging system (BIO-RAD)</w:t>
      </w:r>
    </w:p>
    <w:p w14:paraId="0AE6B072" w14:textId="25D09859" w:rsidR="004E4F60" w:rsidRDefault="004E4F60" w:rsidP="00DB471F">
      <w:pPr>
        <w:pStyle w:val="Body"/>
        <w:rPr>
          <w:rFonts w:ascii="Arial" w:hAnsi="Arial" w:cs="Arial"/>
          <w:lang w:val="en-GB"/>
        </w:rPr>
      </w:pPr>
      <w:r>
        <w:rPr>
          <w:rFonts w:ascii="Arial" w:hAnsi="Arial"/>
          <w:b/>
        </w:rPr>
        <w:t xml:space="preserve">Table 1. </w:t>
      </w:r>
      <w:r w:rsidR="0013404C">
        <w:rPr>
          <w:rFonts w:ascii="Arial" w:hAnsi="Arial"/>
          <w:b/>
        </w:rPr>
        <w:t>Sequence of ESBL genes primers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61"/>
        <w:gridCol w:w="1430"/>
        <w:gridCol w:w="4072"/>
        <w:gridCol w:w="1183"/>
        <w:gridCol w:w="2454"/>
      </w:tblGrid>
      <w:tr w:rsidR="00FE7595" w:rsidRPr="00FE7595" w14:paraId="651BDA2B" w14:textId="77777777" w:rsidTr="001B4382">
        <w:trPr>
          <w:tblHeader/>
          <w:tblCellSpacing w:w="15" w:type="dxa"/>
        </w:trPr>
        <w:tc>
          <w:tcPr>
            <w:tcW w:w="747" w:type="pct"/>
            <w:tcBorders>
              <w:top w:val="single" w:sz="12" w:space="0" w:color="auto"/>
              <w:bottom w:val="single" w:sz="12" w:space="0" w:color="auto"/>
            </w:tcBorders>
            <w:vAlign w:val="center"/>
            <w:hideMark/>
          </w:tcPr>
          <w:p w14:paraId="2AD9D708" w14:textId="77777777" w:rsidR="00FE7595" w:rsidRPr="00FE7595" w:rsidRDefault="00FE7595" w:rsidP="004E4F60">
            <w:pPr>
              <w:pStyle w:val="Body"/>
              <w:spacing w:after="0"/>
              <w:rPr>
                <w:rFonts w:ascii="Arial" w:hAnsi="Arial" w:cs="Arial"/>
                <w:b/>
                <w:bCs/>
                <w:lang w:val="fr-FR"/>
              </w:rPr>
            </w:pPr>
            <w:r w:rsidRPr="00FE7595">
              <w:rPr>
                <w:rFonts w:ascii="Arial" w:hAnsi="Arial" w:cs="Arial"/>
                <w:b/>
                <w:bCs/>
                <w:lang w:val="fr-FR"/>
              </w:rPr>
              <w:t xml:space="preserve">Target </w:t>
            </w:r>
            <w:proofErr w:type="spellStart"/>
            <w:r w:rsidRPr="00FE7595">
              <w:rPr>
                <w:rFonts w:ascii="Arial" w:hAnsi="Arial" w:cs="Arial"/>
                <w:b/>
                <w:bCs/>
                <w:lang w:val="fr-FR"/>
              </w:rPr>
              <w:t>gene</w:t>
            </w:r>
            <w:proofErr w:type="spellEnd"/>
          </w:p>
        </w:tc>
        <w:tc>
          <w:tcPr>
            <w:tcW w:w="646" w:type="pct"/>
            <w:tcBorders>
              <w:top w:val="single" w:sz="12" w:space="0" w:color="auto"/>
              <w:bottom w:val="single" w:sz="12" w:space="0" w:color="auto"/>
            </w:tcBorders>
            <w:vAlign w:val="center"/>
            <w:hideMark/>
          </w:tcPr>
          <w:p w14:paraId="021B28CC" w14:textId="77777777" w:rsidR="00FE7595" w:rsidRPr="00FE7595" w:rsidRDefault="00FE7595" w:rsidP="004E4F60">
            <w:pPr>
              <w:pStyle w:val="Body"/>
              <w:spacing w:after="0"/>
              <w:rPr>
                <w:rFonts w:ascii="Arial" w:hAnsi="Arial" w:cs="Arial"/>
                <w:b/>
                <w:bCs/>
                <w:lang w:val="fr-FR"/>
              </w:rPr>
            </w:pPr>
            <w:proofErr w:type="spellStart"/>
            <w:r w:rsidRPr="00FE7595">
              <w:rPr>
                <w:rFonts w:ascii="Arial" w:hAnsi="Arial" w:cs="Arial"/>
                <w:b/>
                <w:bCs/>
                <w:lang w:val="fr-FR"/>
              </w:rPr>
              <w:t>Primers</w:t>
            </w:r>
            <w:proofErr w:type="spellEnd"/>
          </w:p>
        </w:tc>
        <w:tc>
          <w:tcPr>
            <w:tcW w:w="1867" w:type="pct"/>
            <w:tcBorders>
              <w:top w:val="single" w:sz="12" w:space="0" w:color="auto"/>
              <w:bottom w:val="single" w:sz="12" w:space="0" w:color="auto"/>
            </w:tcBorders>
            <w:vAlign w:val="center"/>
            <w:hideMark/>
          </w:tcPr>
          <w:p w14:paraId="66F8DA3F" w14:textId="77777777" w:rsidR="00FE7595" w:rsidRPr="00FE7595" w:rsidRDefault="00FE7595" w:rsidP="004E4F60">
            <w:pPr>
              <w:pStyle w:val="Body"/>
              <w:spacing w:after="0"/>
              <w:rPr>
                <w:rFonts w:ascii="Arial" w:hAnsi="Arial" w:cs="Arial"/>
                <w:b/>
                <w:bCs/>
                <w:lang w:val="fr-FR"/>
              </w:rPr>
            </w:pPr>
            <w:proofErr w:type="spellStart"/>
            <w:r w:rsidRPr="00FE7595">
              <w:rPr>
                <w:rFonts w:ascii="Arial" w:hAnsi="Arial" w:cs="Arial"/>
                <w:b/>
                <w:bCs/>
                <w:lang w:val="fr-FR"/>
              </w:rPr>
              <w:t>Sequence</w:t>
            </w:r>
            <w:proofErr w:type="spellEnd"/>
            <w:r w:rsidRPr="00FE7595">
              <w:rPr>
                <w:rFonts w:ascii="Arial" w:hAnsi="Arial" w:cs="Arial"/>
                <w:b/>
                <w:bCs/>
                <w:lang w:val="fr-FR"/>
              </w:rPr>
              <w:t xml:space="preserve"> (5′–3′)</w:t>
            </w:r>
          </w:p>
        </w:tc>
        <w:tc>
          <w:tcPr>
            <w:tcW w:w="533" w:type="pct"/>
            <w:tcBorders>
              <w:top w:val="single" w:sz="12" w:space="0" w:color="auto"/>
              <w:bottom w:val="single" w:sz="12" w:space="0" w:color="auto"/>
            </w:tcBorders>
            <w:vAlign w:val="center"/>
            <w:hideMark/>
          </w:tcPr>
          <w:p w14:paraId="6DBC1119" w14:textId="77777777" w:rsidR="004E4F60" w:rsidRDefault="00FE7595" w:rsidP="004E4F60">
            <w:pPr>
              <w:pStyle w:val="Body"/>
              <w:spacing w:after="0"/>
              <w:rPr>
                <w:rFonts w:ascii="Arial" w:hAnsi="Arial" w:cs="Arial"/>
                <w:b/>
                <w:bCs/>
                <w:lang w:val="fr-FR"/>
              </w:rPr>
            </w:pPr>
            <w:r w:rsidRPr="00FE7595">
              <w:rPr>
                <w:rFonts w:ascii="Arial" w:hAnsi="Arial" w:cs="Arial"/>
                <w:b/>
                <w:bCs/>
                <w:lang w:val="fr-FR"/>
              </w:rPr>
              <w:t xml:space="preserve">Amplicon </w:t>
            </w:r>
          </w:p>
          <w:p w14:paraId="73D98F4F" w14:textId="45E87963" w:rsidR="00FE7595" w:rsidRPr="00FE7595" w:rsidRDefault="00D028BF" w:rsidP="004E4F60">
            <w:pPr>
              <w:pStyle w:val="Body"/>
              <w:spacing w:after="0"/>
              <w:rPr>
                <w:rFonts w:ascii="Arial" w:hAnsi="Arial" w:cs="Arial"/>
                <w:b/>
                <w:bCs/>
                <w:lang w:val="fr-FR"/>
              </w:rPr>
            </w:pPr>
            <w:r w:rsidRPr="00FE7595">
              <w:rPr>
                <w:rFonts w:ascii="Arial" w:hAnsi="Arial" w:cs="Arial"/>
                <w:b/>
                <w:bCs/>
                <w:lang w:val="fr-FR"/>
              </w:rPr>
              <w:t>Size</w:t>
            </w:r>
            <w:r w:rsidR="00FE7595" w:rsidRPr="00FE7595">
              <w:rPr>
                <w:rFonts w:ascii="Arial" w:hAnsi="Arial" w:cs="Arial"/>
                <w:b/>
                <w:bCs/>
                <w:lang w:val="fr-FR"/>
              </w:rPr>
              <w:t xml:space="preserve"> (</w:t>
            </w:r>
            <w:proofErr w:type="spellStart"/>
            <w:r w:rsidR="00FE7595" w:rsidRPr="00FE7595">
              <w:rPr>
                <w:rFonts w:ascii="Arial" w:hAnsi="Arial" w:cs="Arial"/>
                <w:b/>
                <w:bCs/>
                <w:lang w:val="fr-FR"/>
              </w:rPr>
              <w:t>bp</w:t>
            </w:r>
            <w:proofErr w:type="spellEnd"/>
            <w:r w:rsidR="00FE7595" w:rsidRPr="00FE7595">
              <w:rPr>
                <w:rFonts w:ascii="Arial" w:hAnsi="Arial" w:cs="Arial"/>
                <w:b/>
                <w:bCs/>
                <w:lang w:val="fr-FR"/>
              </w:rPr>
              <w:t>)</w:t>
            </w:r>
          </w:p>
        </w:tc>
        <w:tc>
          <w:tcPr>
            <w:tcW w:w="1112" w:type="pct"/>
            <w:tcBorders>
              <w:top w:val="single" w:sz="12" w:space="0" w:color="auto"/>
              <w:bottom w:val="single" w:sz="12" w:space="0" w:color="auto"/>
            </w:tcBorders>
            <w:vAlign w:val="center"/>
            <w:hideMark/>
          </w:tcPr>
          <w:p w14:paraId="7C5BB42B" w14:textId="77777777" w:rsidR="00FE7595" w:rsidRPr="00FE7595" w:rsidRDefault="00FE7595" w:rsidP="004E4F60">
            <w:pPr>
              <w:pStyle w:val="Body"/>
              <w:spacing w:after="0"/>
              <w:rPr>
                <w:rFonts w:ascii="Arial" w:hAnsi="Arial" w:cs="Arial"/>
                <w:b/>
                <w:bCs/>
                <w:lang w:val="fr-FR"/>
              </w:rPr>
            </w:pPr>
            <w:proofErr w:type="spellStart"/>
            <w:r w:rsidRPr="00FE7595">
              <w:rPr>
                <w:rFonts w:ascii="Arial" w:hAnsi="Arial" w:cs="Arial"/>
                <w:b/>
                <w:bCs/>
                <w:lang w:val="fr-FR"/>
              </w:rPr>
              <w:t>References</w:t>
            </w:r>
            <w:proofErr w:type="spellEnd"/>
          </w:p>
        </w:tc>
      </w:tr>
      <w:tr w:rsidR="00FE7595" w:rsidRPr="00FE7595" w14:paraId="0EFF25B8" w14:textId="77777777" w:rsidTr="001B4382">
        <w:trPr>
          <w:tblCellSpacing w:w="15" w:type="dxa"/>
        </w:trPr>
        <w:tc>
          <w:tcPr>
            <w:tcW w:w="747" w:type="pct"/>
            <w:vAlign w:val="center"/>
            <w:hideMark/>
          </w:tcPr>
          <w:p w14:paraId="788D89E5" w14:textId="77777777" w:rsidR="00FE7595" w:rsidRPr="00FE7595" w:rsidRDefault="00FE7595" w:rsidP="004E4F60">
            <w:pPr>
              <w:pStyle w:val="Body"/>
              <w:spacing w:after="0"/>
              <w:rPr>
                <w:rFonts w:ascii="Arial" w:hAnsi="Arial" w:cs="Arial"/>
                <w:lang w:val="fr-FR"/>
              </w:rPr>
            </w:pPr>
            <w:proofErr w:type="gramStart"/>
            <w:r w:rsidRPr="00FE7595">
              <w:rPr>
                <w:rFonts w:ascii="Arial" w:hAnsi="Arial" w:cs="Arial"/>
                <w:i/>
                <w:iCs/>
                <w:lang w:val="fr-FR"/>
              </w:rPr>
              <w:t>blaCTX</w:t>
            </w:r>
            <w:proofErr w:type="gramEnd"/>
            <w:r w:rsidRPr="00FE7595">
              <w:rPr>
                <w:rFonts w:ascii="Arial" w:hAnsi="Arial" w:cs="Arial"/>
                <w:i/>
                <w:iCs/>
                <w:lang w:val="fr-FR"/>
              </w:rPr>
              <w:t>-M-2</w:t>
            </w:r>
          </w:p>
        </w:tc>
        <w:tc>
          <w:tcPr>
            <w:tcW w:w="646" w:type="pct"/>
            <w:vAlign w:val="center"/>
            <w:hideMark/>
          </w:tcPr>
          <w:p w14:paraId="68F01412"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CTX-M2-F / CTX-M2-R</w:t>
            </w:r>
          </w:p>
        </w:tc>
        <w:tc>
          <w:tcPr>
            <w:tcW w:w="1867" w:type="pct"/>
            <w:vAlign w:val="center"/>
            <w:hideMark/>
          </w:tcPr>
          <w:p w14:paraId="53FDA916" w14:textId="77777777" w:rsidR="00FE7595" w:rsidRDefault="00FE7595" w:rsidP="004E4F60">
            <w:pPr>
              <w:pStyle w:val="Body"/>
              <w:spacing w:after="0"/>
              <w:rPr>
                <w:rFonts w:ascii="Arial" w:hAnsi="Arial" w:cs="Arial"/>
                <w:lang w:val="fr-FR"/>
              </w:rPr>
            </w:pPr>
            <w:proofErr w:type="gramStart"/>
            <w:r w:rsidRPr="00FE7595">
              <w:rPr>
                <w:rFonts w:ascii="Arial" w:hAnsi="Arial" w:cs="Arial"/>
                <w:lang w:val="fr-FR"/>
              </w:rPr>
              <w:t>F:</w:t>
            </w:r>
            <w:proofErr w:type="gramEnd"/>
            <w:r w:rsidRPr="00FE7595">
              <w:rPr>
                <w:rFonts w:ascii="Arial" w:hAnsi="Arial" w:cs="Arial"/>
                <w:lang w:val="fr-FR"/>
              </w:rPr>
              <w:t xml:space="preserve"> ATGATGACTCAGAGCATTCG </w:t>
            </w:r>
          </w:p>
          <w:p w14:paraId="5D3ED65F" w14:textId="2F686BD5" w:rsidR="00FE7595" w:rsidRPr="00FE7595" w:rsidRDefault="00FE7595" w:rsidP="004E4F60">
            <w:pPr>
              <w:pStyle w:val="Body"/>
              <w:spacing w:after="0"/>
              <w:rPr>
                <w:rFonts w:ascii="Arial" w:hAnsi="Arial" w:cs="Arial"/>
                <w:lang w:val="fr-FR"/>
              </w:rPr>
            </w:pPr>
            <w:proofErr w:type="gramStart"/>
            <w:r w:rsidRPr="00FE7595">
              <w:rPr>
                <w:rFonts w:ascii="Arial" w:hAnsi="Arial" w:cs="Arial"/>
                <w:lang w:val="fr-FR"/>
              </w:rPr>
              <w:t>R:</w:t>
            </w:r>
            <w:proofErr w:type="gramEnd"/>
            <w:r w:rsidRPr="00FE7595">
              <w:rPr>
                <w:rFonts w:ascii="Arial" w:hAnsi="Arial" w:cs="Arial"/>
                <w:lang w:val="fr-FR"/>
              </w:rPr>
              <w:t xml:space="preserve"> TTATTGCATCAGAAACCGTG</w:t>
            </w:r>
          </w:p>
        </w:tc>
        <w:tc>
          <w:tcPr>
            <w:tcW w:w="533" w:type="pct"/>
            <w:vAlign w:val="center"/>
            <w:hideMark/>
          </w:tcPr>
          <w:p w14:paraId="4EB2E090"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884</w:t>
            </w:r>
          </w:p>
        </w:tc>
        <w:tc>
          <w:tcPr>
            <w:tcW w:w="1112" w:type="pct"/>
            <w:vAlign w:val="center"/>
            <w:hideMark/>
          </w:tcPr>
          <w:p w14:paraId="3F5DDD4A" w14:textId="77777777" w:rsidR="00FE7595" w:rsidRPr="00FE6DDA" w:rsidRDefault="00FE7595" w:rsidP="004E4F60">
            <w:pPr>
              <w:pStyle w:val="Body"/>
              <w:spacing w:after="0"/>
              <w:rPr>
                <w:rFonts w:ascii="Arial" w:hAnsi="Arial" w:cs="Arial"/>
                <w:lang w:val="fr-FR"/>
              </w:rPr>
            </w:pPr>
            <w:proofErr w:type="spellStart"/>
            <w:r w:rsidRPr="00FE6DDA">
              <w:rPr>
                <w:rFonts w:ascii="Arial" w:hAnsi="Arial" w:cs="Arial"/>
                <w:b/>
                <w:bCs/>
                <w:lang w:val="fr-FR"/>
              </w:rPr>
              <w:t>Bauerfeind</w:t>
            </w:r>
            <w:proofErr w:type="spellEnd"/>
            <w:r w:rsidRPr="00FE6DDA">
              <w:rPr>
                <w:rFonts w:ascii="Arial" w:hAnsi="Arial" w:cs="Arial"/>
                <w:b/>
                <w:bCs/>
                <w:lang w:val="fr-FR"/>
              </w:rPr>
              <w:t xml:space="preserve"> et al</w:t>
            </w:r>
            <w:r w:rsidRPr="00FE6DDA">
              <w:rPr>
                <w:rFonts w:ascii="Arial" w:hAnsi="Arial" w:cs="Arial"/>
                <w:lang w:val="fr-FR"/>
              </w:rPr>
              <w:t xml:space="preserve">., </w:t>
            </w:r>
            <w:proofErr w:type="gramStart"/>
            <w:r w:rsidRPr="00FE6DDA">
              <w:rPr>
                <w:rFonts w:ascii="Arial" w:hAnsi="Arial" w:cs="Arial"/>
                <w:lang w:val="fr-FR"/>
              </w:rPr>
              <w:t>1996;</w:t>
            </w:r>
            <w:proofErr w:type="gramEnd"/>
            <w:r w:rsidRPr="00FE6DDA">
              <w:rPr>
                <w:rFonts w:ascii="Arial" w:hAnsi="Arial" w:cs="Arial"/>
                <w:lang w:val="fr-FR"/>
              </w:rPr>
              <w:t xml:space="preserve"> </w:t>
            </w:r>
            <w:r w:rsidRPr="00FE6DDA">
              <w:rPr>
                <w:rFonts w:ascii="Arial" w:hAnsi="Arial" w:cs="Arial"/>
                <w:b/>
                <w:bCs/>
                <w:lang w:val="fr-FR"/>
              </w:rPr>
              <w:t>Steward</w:t>
            </w:r>
            <w:r w:rsidRPr="00FE6DDA">
              <w:rPr>
                <w:rFonts w:ascii="Arial" w:hAnsi="Arial" w:cs="Arial"/>
                <w:lang w:val="fr-FR"/>
              </w:rPr>
              <w:t>, 2001</w:t>
            </w:r>
          </w:p>
        </w:tc>
      </w:tr>
      <w:tr w:rsidR="00FE7595" w:rsidRPr="00FE7595" w14:paraId="12B7327B" w14:textId="77777777" w:rsidTr="001B4382">
        <w:trPr>
          <w:tblCellSpacing w:w="15" w:type="dxa"/>
        </w:trPr>
        <w:tc>
          <w:tcPr>
            <w:tcW w:w="747" w:type="pct"/>
            <w:vAlign w:val="center"/>
            <w:hideMark/>
          </w:tcPr>
          <w:p w14:paraId="6D56C268" w14:textId="77777777" w:rsidR="00FE7595" w:rsidRPr="00FE7595" w:rsidRDefault="00FE7595" w:rsidP="004E4F60">
            <w:pPr>
              <w:pStyle w:val="Body"/>
              <w:spacing w:after="0"/>
              <w:rPr>
                <w:rFonts w:ascii="Arial" w:hAnsi="Arial" w:cs="Arial"/>
                <w:lang w:val="fr-FR"/>
              </w:rPr>
            </w:pPr>
            <w:proofErr w:type="gramStart"/>
            <w:r w:rsidRPr="00FE7595">
              <w:rPr>
                <w:rFonts w:ascii="Arial" w:hAnsi="Arial" w:cs="Arial"/>
                <w:i/>
                <w:iCs/>
                <w:lang w:val="fr-FR"/>
              </w:rPr>
              <w:t>blaCTX</w:t>
            </w:r>
            <w:proofErr w:type="gramEnd"/>
            <w:r w:rsidRPr="00FE7595">
              <w:rPr>
                <w:rFonts w:ascii="Arial" w:hAnsi="Arial" w:cs="Arial"/>
                <w:i/>
                <w:iCs/>
                <w:lang w:val="fr-FR"/>
              </w:rPr>
              <w:t>-M-8</w:t>
            </w:r>
          </w:p>
        </w:tc>
        <w:tc>
          <w:tcPr>
            <w:tcW w:w="646" w:type="pct"/>
            <w:vAlign w:val="center"/>
            <w:hideMark/>
          </w:tcPr>
          <w:p w14:paraId="346D0352"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CTX-M8-F / CTX-M8-R</w:t>
            </w:r>
          </w:p>
        </w:tc>
        <w:tc>
          <w:tcPr>
            <w:tcW w:w="1867" w:type="pct"/>
            <w:vAlign w:val="center"/>
            <w:hideMark/>
          </w:tcPr>
          <w:p w14:paraId="36442BF7" w14:textId="77777777" w:rsidR="00FE7595" w:rsidRDefault="00FE7595" w:rsidP="004E4F60">
            <w:pPr>
              <w:pStyle w:val="Body"/>
              <w:spacing w:after="0"/>
              <w:rPr>
                <w:rFonts w:ascii="Arial" w:hAnsi="Arial" w:cs="Arial"/>
                <w:lang w:val="fr-FR"/>
              </w:rPr>
            </w:pPr>
            <w:proofErr w:type="gramStart"/>
            <w:r w:rsidRPr="00FE7595">
              <w:rPr>
                <w:rFonts w:ascii="Arial" w:hAnsi="Arial" w:cs="Arial"/>
                <w:lang w:val="fr-FR"/>
              </w:rPr>
              <w:t>F:</w:t>
            </w:r>
            <w:proofErr w:type="gramEnd"/>
            <w:r w:rsidRPr="00FE7595">
              <w:rPr>
                <w:rFonts w:ascii="Arial" w:hAnsi="Arial" w:cs="Arial"/>
                <w:lang w:val="fr-FR"/>
              </w:rPr>
              <w:t xml:space="preserve"> ATGATGAGACATCGCGTTAAG </w:t>
            </w:r>
          </w:p>
          <w:p w14:paraId="55253E39" w14:textId="218E078A" w:rsidR="00FE7595" w:rsidRPr="00FE7595" w:rsidRDefault="00FE7595" w:rsidP="004E4F60">
            <w:pPr>
              <w:pStyle w:val="Body"/>
              <w:spacing w:after="0"/>
              <w:rPr>
                <w:rFonts w:ascii="Arial" w:hAnsi="Arial" w:cs="Arial"/>
                <w:lang w:val="fr-FR"/>
              </w:rPr>
            </w:pPr>
            <w:proofErr w:type="gramStart"/>
            <w:r w:rsidRPr="00FE7595">
              <w:rPr>
                <w:rFonts w:ascii="Arial" w:hAnsi="Arial" w:cs="Arial"/>
                <w:lang w:val="fr-FR"/>
              </w:rPr>
              <w:t>R:CGTGGACGATTTTTCCGCGGCAG</w:t>
            </w:r>
            <w:proofErr w:type="gramEnd"/>
          </w:p>
        </w:tc>
        <w:tc>
          <w:tcPr>
            <w:tcW w:w="533" w:type="pct"/>
            <w:vAlign w:val="center"/>
            <w:hideMark/>
          </w:tcPr>
          <w:p w14:paraId="10D0FDF5"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864</w:t>
            </w:r>
          </w:p>
        </w:tc>
        <w:tc>
          <w:tcPr>
            <w:tcW w:w="1112" w:type="pct"/>
            <w:vAlign w:val="center"/>
            <w:hideMark/>
          </w:tcPr>
          <w:p w14:paraId="3CAB4D09" w14:textId="77777777" w:rsidR="00FE7595" w:rsidRPr="00FE6DDA" w:rsidRDefault="00FE7595" w:rsidP="004E4F60">
            <w:pPr>
              <w:pStyle w:val="Body"/>
              <w:spacing w:after="0"/>
              <w:rPr>
                <w:rFonts w:ascii="Arial" w:hAnsi="Arial" w:cs="Arial"/>
                <w:lang w:val="fr-FR"/>
              </w:rPr>
            </w:pPr>
            <w:proofErr w:type="spellStart"/>
            <w:r w:rsidRPr="00FE6DDA">
              <w:rPr>
                <w:rFonts w:ascii="Arial" w:hAnsi="Arial" w:cs="Arial"/>
                <w:b/>
                <w:bCs/>
                <w:lang w:val="fr-FR"/>
              </w:rPr>
              <w:t>Chmelnitski</w:t>
            </w:r>
            <w:proofErr w:type="spellEnd"/>
            <w:r w:rsidRPr="00FE6DDA">
              <w:rPr>
                <w:rFonts w:ascii="Arial" w:hAnsi="Arial" w:cs="Arial"/>
                <w:lang w:val="fr-FR"/>
              </w:rPr>
              <w:t xml:space="preserve"> et al., 2005</w:t>
            </w:r>
          </w:p>
        </w:tc>
      </w:tr>
      <w:tr w:rsidR="00FE7595" w:rsidRPr="00FE7595" w14:paraId="6BFCE42E" w14:textId="77777777" w:rsidTr="001B4382">
        <w:trPr>
          <w:tblCellSpacing w:w="15" w:type="dxa"/>
        </w:trPr>
        <w:tc>
          <w:tcPr>
            <w:tcW w:w="747" w:type="pct"/>
            <w:tcBorders>
              <w:bottom w:val="single" w:sz="12" w:space="0" w:color="auto"/>
            </w:tcBorders>
            <w:vAlign w:val="center"/>
            <w:hideMark/>
          </w:tcPr>
          <w:p w14:paraId="191854DB" w14:textId="77777777" w:rsidR="00FE7595" w:rsidRPr="00FE7595" w:rsidRDefault="00FE7595" w:rsidP="004E4F60">
            <w:pPr>
              <w:pStyle w:val="Body"/>
              <w:spacing w:after="0"/>
              <w:rPr>
                <w:rFonts w:ascii="Arial" w:hAnsi="Arial" w:cs="Arial"/>
                <w:lang w:val="fr-FR"/>
              </w:rPr>
            </w:pPr>
            <w:proofErr w:type="gramStart"/>
            <w:r w:rsidRPr="00FE7595">
              <w:rPr>
                <w:rFonts w:ascii="Arial" w:hAnsi="Arial" w:cs="Arial"/>
                <w:i/>
                <w:iCs/>
                <w:lang w:val="fr-FR"/>
              </w:rPr>
              <w:t>blaCTX</w:t>
            </w:r>
            <w:proofErr w:type="gramEnd"/>
            <w:r w:rsidRPr="00FE7595">
              <w:rPr>
                <w:rFonts w:ascii="Arial" w:hAnsi="Arial" w:cs="Arial"/>
                <w:i/>
                <w:iCs/>
                <w:lang w:val="fr-FR"/>
              </w:rPr>
              <w:t>-M-9</w:t>
            </w:r>
          </w:p>
        </w:tc>
        <w:tc>
          <w:tcPr>
            <w:tcW w:w="646" w:type="pct"/>
            <w:tcBorders>
              <w:bottom w:val="single" w:sz="12" w:space="0" w:color="auto"/>
            </w:tcBorders>
            <w:vAlign w:val="center"/>
            <w:hideMark/>
          </w:tcPr>
          <w:p w14:paraId="557C0390"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CTX-M9-F / CTX-M9-R</w:t>
            </w:r>
          </w:p>
        </w:tc>
        <w:tc>
          <w:tcPr>
            <w:tcW w:w="1867" w:type="pct"/>
            <w:tcBorders>
              <w:bottom w:val="single" w:sz="12" w:space="0" w:color="auto"/>
            </w:tcBorders>
            <w:vAlign w:val="center"/>
            <w:hideMark/>
          </w:tcPr>
          <w:p w14:paraId="1E4B54DB" w14:textId="77777777" w:rsidR="00FE7595" w:rsidRDefault="00FE7595" w:rsidP="004E4F60">
            <w:pPr>
              <w:pStyle w:val="Body"/>
              <w:spacing w:after="0"/>
              <w:rPr>
                <w:rFonts w:ascii="Arial" w:hAnsi="Arial" w:cs="Arial"/>
                <w:lang w:val="fr-FR"/>
              </w:rPr>
            </w:pPr>
            <w:proofErr w:type="gramStart"/>
            <w:r w:rsidRPr="00FE7595">
              <w:rPr>
                <w:rFonts w:ascii="Arial" w:hAnsi="Arial" w:cs="Arial"/>
                <w:lang w:val="fr-FR"/>
              </w:rPr>
              <w:t>F:ATGGTGACAAAGAGAGTGCA</w:t>
            </w:r>
            <w:proofErr w:type="gramEnd"/>
            <w:r w:rsidRPr="00FE7595">
              <w:rPr>
                <w:rFonts w:ascii="Arial" w:hAnsi="Arial" w:cs="Arial"/>
                <w:lang w:val="fr-FR"/>
              </w:rPr>
              <w:t xml:space="preserve"> </w:t>
            </w:r>
            <w:r>
              <w:rPr>
                <w:rFonts w:ascii="Arial" w:hAnsi="Arial" w:cs="Arial"/>
                <w:lang w:val="fr-FR"/>
              </w:rPr>
              <w:t xml:space="preserve">     </w:t>
            </w:r>
          </w:p>
          <w:p w14:paraId="11A19963" w14:textId="396622A1" w:rsidR="00FE7595" w:rsidRPr="00FE7595" w:rsidRDefault="00FE7595" w:rsidP="004E4F60">
            <w:pPr>
              <w:pStyle w:val="Body"/>
              <w:spacing w:after="0"/>
              <w:rPr>
                <w:rFonts w:ascii="Arial" w:hAnsi="Arial" w:cs="Arial"/>
                <w:lang w:val="fr-FR"/>
              </w:rPr>
            </w:pPr>
            <w:proofErr w:type="gramStart"/>
            <w:r w:rsidRPr="00FE7595">
              <w:rPr>
                <w:rFonts w:ascii="Arial" w:hAnsi="Arial" w:cs="Arial"/>
                <w:lang w:val="fr-FR"/>
              </w:rPr>
              <w:t>R:</w:t>
            </w:r>
            <w:proofErr w:type="gramEnd"/>
            <w:r w:rsidRPr="00FE7595">
              <w:rPr>
                <w:rFonts w:ascii="Arial" w:hAnsi="Arial" w:cs="Arial"/>
                <w:lang w:val="fr-FR"/>
              </w:rPr>
              <w:t xml:space="preserve"> CCCTTCGGCGATGATTCTC</w:t>
            </w:r>
          </w:p>
        </w:tc>
        <w:tc>
          <w:tcPr>
            <w:tcW w:w="533" w:type="pct"/>
            <w:tcBorders>
              <w:bottom w:val="single" w:sz="12" w:space="0" w:color="auto"/>
            </w:tcBorders>
            <w:vAlign w:val="center"/>
            <w:hideMark/>
          </w:tcPr>
          <w:p w14:paraId="7F8617EB" w14:textId="77777777" w:rsidR="00FE7595" w:rsidRPr="00FE7595" w:rsidRDefault="00FE7595" w:rsidP="004E4F60">
            <w:pPr>
              <w:pStyle w:val="Body"/>
              <w:spacing w:after="0"/>
              <w:rPr>
                <w:rFonts w:ascii="Arial" w:hAnsi="Arial" w:cs="Arial"/>
                <w:lang w:val="fr-FR"/>
              </w:rPr>
            </w:pPr>
            <w:r w:rsidRPr="00FE7595">
              <w:rPr>
                <w:rFonts w:ascii="Arial" w:hAnsi="Arial" w:cs="Arial"/>
                <w:lang w:val="fr-FR"/>
              </w:rPr>
              <w:t>651</w:t>
            </w:r>
          </w:p>
        </w:tc>
        <w:tc>
          <w:tcPr>
            <w:tcW w:w="1112" w:type="pct"/>
            <w:tcBorders>
              <w:bottom w:val="single" w:sz="12" w:space="0" w:color="000000"/>
            </w:tcBorders>
            <w:vAlign w:val="center"/>
            <w:hideMark/>
          </w:tcPr>
          <w:p w14:paraId="565091F9" w14:textId="77777777" w:rsidR="00FE7595" w:rsidRPr="00FE6DDA" w:rsidRDefault="00FE7595" w:rsidP="004E4F60">
            <w:pPr>
              <w:pStyle w:val="Body"/>
              <w:spacing w:after="0"/>
              <w:rPr>
                <w:rFonts w:ascii="Arial" w:hAnsi="Arial" w:cs="Arial"/>
                <w:lang w:val="fr-FR"/>
              </w:rPr>
            </w:pPr>
            <w:r w:rsidRPr="00FE6DDA">
              <w:rPr>
                <w:rFonts w:ascii="Arial" w:hAnsi="Arial" w:cs="Arial"/>
                <w:b/>
                <w:bCs/>
                <w:lang w:val="fr-FR"/>
              </w:rPr>
              <w:t>Eckert</w:t>
            </w:r>
            <w:r w:rsidRPr="00FE6DDA">
              <w:rPr>
                <w:rFonts w:ascii="Arial" w:hAnsi="Arial" w:cs="Arial"/>
                <w:lang w:val="fr-FR"/>
              </w:rPr>
              <w:t xml:space="preserve"> et al., 2004</w:t>
            </w:r>
          </w:p>
        </w:tc>
      </w:tr>
    </w:tbl>
    <w:p w14:paraId="3F75A1E7" w14:textId="77777777" w:rsidR="00790ADA" w:rsidRPr="00FB3A86" w:rsidRDefault="00790ADA" w:rsidP="00441B6F">
      <w:pPr>
        <w:pStyle w:val="Body"/>
        <w:spacing w:after="0"/>
        <w:rPr>
          <w:rFonts w:ascii="Arial" w:hAnsi="Arial" w:cs="Arial"/>
        </w:rPr>
      </w:pPr>
    </w:p>
    <w:p w14:paraId="0C0A0E32" w14:textId="2F5839E0" w:rsidR="00FE7595"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A098C2" w14:textId="77777777" w:rsidR="00790ADA" w:rsidRPr="00FB3A86" w:rsidRDefault="00790ADA" w:rsidP="00441B6F">
      <w:pPr>
        <w:pStyle w:val="Head1"/>
        <w:spacing w:after="0"/>
        <w:jc w:val="both"/>
        <w:rPr>
          <w:rFonts w:ascii="Arial" w:hAnsi="Arial" w:cs="Arial"/>
        </w:rPr>
      </w:pPr>
    </w:p>
    <w:p w14:paraId="1BFC8B24" w14:textId="692077CC" w:rsidR="0096635C" w:rsidRPr="0096635C" w:rsidRDefault="00FE7595" w:rsidP="0096635C">
      <w:pPr>
        <w:pStyle w:val="Body"/>
        <w:spacing w:after="0"/>
        <w:rPr>
          <w:rFonts w:ascii="Arial" w:hAnsi="Arial" w:cs="Arial"/>
          <w:b/>
          <w:bCs/>
          <w:sz w:val="22"/>
          <w:szCs w:val="22"/>
          <w:lang w:val="en-GB"/>
        </w:rPr>
      </w:pPr>
      <w:r w:rsidRPr="005D7002">
        <w:rPr>
          <w:rFonts w:ascii="Arial" w:hAnsi="Arial" w:cs="Arial"/>
          <w:b/>
          <w:bCs/>
          <w:sz w:val="22"/>
          <w:szCs w:val="22"/>
          <w:lang w:val="en-GB"/>
        </w:rPr>
        <w:t>3</w:t>
      </w:r>
      <w:r w:rsidRPr="00FE7595">
        <w:rPr>
          <w:rFonts w:ascii="Arial" w:hAnsi="Arial" w:cs="Arial"/>
          <w:b/>
          <w:bCs/>
          <w:sz w:val="22"/>
          <w:szCs w:val="22"/>
          <w:lang w:val="en-GB"/>
        </w:rPr>
        <w:t>.1 Results</w:t>
      </w:r>
    </w:p>
    <w:p w14:paraId="05B88DA1" w14:textId="2DC3D186" w:rsidR="00FE7595" w:rsidRPr="00FE7595" w:rsidRDefault="00FE7595" w:rsidP="00FE7595">
      <w:pPr>
        <w:pStyle w:val="Body"/>
        <w:spacing w:after="0"/>
        <w:rPr>
          <w:rFonts w:ascii="Arial" w:hAnsi="Arial" w:cs="Arial"/>
          <w:b/>
          <w:bCs/>
          <w:lang w:val="en-GB"/>
        </w:rPr>
      </w:pPr>
      <w:r>
        <w:rPr>
          <w:rFonts w:ascii="Arial" w:hAnsi="Arial" w:cs="Arial"/>
          <w:b/>
          <w:bCs/>
          <w:lang w:val="en-GB"/>
        </w:rPr>
        <w:t>3</w:t>
      </w:r>
      <w:r w:rsidRPr="00FE7595">
        <w:rPr>
          <w:rFonts w:ascii="Arial" w:hAnsi="Arial" w:cs="Arial"/>
          <w:b/>
          <w:bCs/>
          <w:lang w:val="en-GB"/>
        </w:rPr>
        <w:t>.1.1 Epidemiological</w:t>
      </w:r>
      <w:r>
        <w:rPr>
          <w:rFonts w:ascii="Arial" w:hAnsi="Arial" w:cs="Arial"/>
          <w:b/>
          <w:bCs/>
          <w:lang w:val="en-GB"/>
        </w:rPr>
        <w:t xml:space="preserve"> and clinical profile of patients</w:t>
      </w:r>
    </w:p>
    <w:p w14:paraId="560D264F" w14:textId="3F57A87B" w:rsidR="00FE7595" w:rsidRDefault="00FE7595" w:rsidP="00FE7595">
      <w:pPr>
        <w:pStyle w:val="Body"/>
        <w:spacing w:after="0"/>
        <w:rPr>
          <w:rFonts w:ascii="Arial" w:hAnsi="Arial" w:cs="Arial"/>
          <w:lang w:val="en-GB"/>
        </w:rPr>
      </w:pPr>
      <w:r w:rsidRPr="00FE7595">
        <w:rPr>
          <w:rFonts w:ascii="Arial" w:hAnsi="Arial" w:cs="Arial"/>
          <w:lang w:val="en-GB"/>
        </w:rPr>
        <w:t>Among the 74 patients presenting with oral and dental infections included in the study, 30 were male and 44 were female, yielding a sex ratio of 0.68.</w:t>
      </w:r>
      <w:r w:rsidRPr="00FE7595">
        <w:rPr>
          <w:rFonts w:ascii="Arial" w:hAnsi="Arial" w:cs="Arial"/>
          <w:lang w:val="en-GB"/>
        </w:rPr>
        <w:br/>
        <w:t xml:space="preserve">Participants ranged in age from 4 to 48 years (Table </w:t>
      </w:r>
      <w:r w:rsidR="008050FB">
        <w:rPr>
          <w:rFonts w:ascii="Arial" w:hAnsi="Arial" w:cs="Arial"/>
          <w:lang w:val="en-GB"/>
        </w:rPr>
        <w:t>2</w:t>
      </w:r>
      <w:r w:rsidRPr="00FE7595">
        <w:rPr>
          <w:rFonts w:ascii="Arial" w:hAnsi="Arial" w:cs="Arial"/>
          <w:lang w:val="en-GB"/>
        </w:rPr>
        <w:t>).</w:t>
      </w:r>
      <w:r>
        <w:rPr>
          <w:rFonts w:ascii="Arial" w:hAnsi="Arial" w:cs="Arial"/>
          <w:lang w:val="en-GB"/>
        </w:rPr>
        <w:t xml:space="preserve"> </w:t>
      </w:r>
      <w:r w:rsidRPr="00FE7595">
        <w:rPr>
          <w:rFonts w:ascii="Arial" w:hAnsi="Arial" w:cs="Arial"/>
          <w:lang w:val="en-GB"/>
        </w:rPr>
        <w:t>Pain was the most common reason for consultation (100%), followed by swelling (4.05%), suppuration (4.05%), and fever (1.35%).</w:t>
      </w:r>
      <w:r w:rsidRPr="00FE7595">
        <w:rPr>
          <w:rFonts w:ascii="Arial" w:hAnsi="Arial" w:cs="Arial"/>
          <w:lang w:val="en-GB"/>
        </w:rPr>
        <w:br/>
        <w:t>Periodontitis was the most frequently observed condition, accounting for 67.56% of cases.</w:t>
      </w:r>
    </w:p>
    <w:p w14:paraId="0EBEFAF4" w14:textId="77777777" w:rsidR="0068654C" w:rsidRDefault="0068654C" w:rsidP="00FE7595">
      <w:pPr>
        <w:pStyle w:val="Body"/>
        <w:spacing w:after="0"/>
        <w:rPr>
          <w:rFonts w:ascii="Arial" w:hAnsi="Arial" w:cs="Arial"/>
          <w:lang w:val="en-GB"/>
        </w:rPr>
      </w:pPr>
    </w:p>
    <w:p w14:paraId="0A30C5F7" w14:textId="75F8B94B" w:rsidR="00E32EB6" w:rsidRPr="00E32EB6" w:rsidRDefault="00E32EB6" w:rsidP="00E32EB6">
      <w:pPr>
        <w:tabs>
          <w:tab w:val="left" w:pos="1080"/>
        </w:tabs>
        <w:jc w:val="both"/>
        <w:rPr>
          <w:rFonts w:ascii="Arial" w:hAnsi="Arial"/>
          <w:b/>
        </w:rPr>
      </w:pPr>
      <w:r>
        <w:rPr>
          <w:rFonts w:ascii="Arial" w:hAnsi="Arial"/>
          <w:b/>
        </w:rPr>
        <w:t xml:space="preserve">Table 2.  Patients epidemiological </w:t>
      </w:r>
      <w:r w:rsidR="0093463A">
        <w:rPr>
          <w:rFonts w:ascii="Arial" w:hAnsi="Arial"/>
          <w:b/>
        </w:rPr>
        <w:t>and clinical</w:t>
      </w:r>
      <w:r>
        <w:rPr>
          <w:rFonts w:ascii="Arial" w:hAnsi="Arial"/>
          <w:b/>
        </w:rPr>
        <w:t xml:space="preserve"> characteristic</w:t>
      </w:r>
    </w:p>
    <w:p w14:paraId="57D9326B" w14:textId="77777777" w:rsidR="0068654C" w:rsidRDefault="0068654C" w:rsidP="00FE7595">
      <w:pPr>
        <w:pStyle w:val="Body"/>
        <w:spacing w:after="0"/>
        <w:rPr>
          <w:rFonts w:ascii="Arial" w:hAnsi="Arial" w:cs="Arial"/>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7"/>
        <w:gridCol w:w="2010"/>
        <w:gridCol w:w="1793"/>
      </w:tblGrid>
      <w:tr w:rsidR="0068654C" w:rsidRPr="0068654C" w14:paraId="0DA4C538" w14:textId="77777777" w:rsidTr="00E32EB6">
        <w:trPr>
          <w:jc w:val="center"/>
        </w:trPr>
        <w:tc>
          <w:tcPr>
            <w:tcW w:w="2268" w:type="dxa"/>
            <w:tcBorders>
              <w:top w:val="single" w:sz="12" w:space="0" w:color="000000"/>
              <w:bottom w:val="single" w:sz="12" w:space="0" w:color="000000"/>
            </w:tcBorders>
          </w:tcPr>
          <w:p w14:paraId="144F4668" w14:textId="77777777" w:rsidR="0068654C" w:rsidRPr="0068654C" w:rsidRDefault="0068654C" w:rsidP="00E32EB6">
            <w:pPr>
              <w:spacing w:line="276" w:lineRule="auto"/>
              <w:rPr>
                <w:rFonts w:ascii="Arial" w:hAnsi="Arial" w:cs="Arial"/>
                <w:b/>
                <w:bCs/>
                <w:sz w:val="20"/>
                <w:szCs w:val="20"/>
              </w:rPr>
            </w:pPr>
            <w:bookmarkStart w:id="2" w:name="_Hlk198742165"/>
            <w:r w:rsidRPr="0068654C">
              <w:rPr>
                <w:rFonts w:ascii="Arial" w:hAnsi="Arial" w:cs="Arial"/>
                <w:b/>
                <w:bCs/>
                <w:sz w:val="20"/>
                <w:szCs w:val="20"/>
              </w:rPr>
              <w:t>Variable</w:t>
            </w:r>
          </w:p>
        </w:tc>
        <w:tc>
          <w:tcPr>
            <w:tcW w:w="2127" w:type="dxa"/>
            <w:tcBorders>
              <w:top w:val="single" w:sz="12" w:space="0" w:color="000000"/>
              <w:bottom w:val="single" w:sz="12" w:space="0" w:color="000000"/>
            </w:tcBorders>
          </w:tcPr>
          <w:p w14:paraId="404CCAF7" w14:textId="77777777" w:rsidR="0068654C" w:rsidRPr="0068654C" w:rsidRDefault="0068654C" w:rsidP="00E32EB6">
            <w:pPr>
              <w:spacing w:line="276" w:lineRule="auto"/>
              <w:rPr>
                <w:rFonts w:ascii="Arial" w:hAnsi="Arial" w:cs="Arial"/>
                <w:b/>
                <w:bCs/>
                <w:sz w:val="20"/>
                <w:szCs w:val="20"/>
              </w:rPr>
            </w:pPr>
            <w:r w:rsidRPr="0068654C">
              <w:rPr>
                <w:rFonts w:ascii="Arial" w:hAnsi="Arial" w:cs="Arial"/>
                <w:b/>
                <w:bCs/>
                <w:sz w:val="20"/>
                <w:szCs w:val="20"/>
              </w:rPr>
              <w:t>Category</w:t>
            </w:r>
          </w:p>
        </w:tc>
        <w:tc>
          <w:tcPr>
            <w:tcW w:w="2010" w:type="dxa"/>
            <w:tcBorders>
              <w:top w:val="single" w:sz="12" w:space="0" w:color="000000"/>
              <w:bottom w:val="single" w:sz="12" w:space="0" w:color="000000"/>
            </w:tcBorders>
          </w:tcPr>
          <w:p w14:paraId="5D132EA2" w14:textId="77777777" w:rsidR="0068654C" w:rsidRPr="0068654C" w:rsidRDefault="0068654C" w:rsidP="00E32EB6">
            <w:pPr>
              <w:spacing w:line="276" w:lineRule="auto"/>
              <w:jc w:val="center"/>
              <w:rPr>
                <w:rFonts w:ascii="Arial" w:hAnsi="Arial" w:cs="Arial"/>
                <w:b/>
                <w:bCs/>
                <w:sz w:val="20"/>
                <w:szCs w:val="20"/>
              </w:rPr>
            </w:pPr>
            <w:r w:rsidRPr="0068654C">
              <w:rPr>
                <w:rFonts w:ascii="Arial" w:hAnsi="Arial" w:cs="Arial"/>
                <w:b/>
                <w:bCs/>
                <w:sz w:val="20"/>
                <w:szCs w:val="20"/>
              </w:rPr>
              <w:t>Frequency (n)</w:t>
            </w:r>
          </w:p>
        </w:tc>
        <w:tc>
          <w:tcPr>
            <w:tcW w:w="1793" w:type="dxa"/>
            <w:tcBorders>
              <w:top w:val="single" w:sz="12" w:space="0" w:color="000000"/>
              <w:bottom w:val="single" w:sz="12" w:space="0" w:color="000000"/>
            </w:tcBorders>
          </w:tcPr>
          <w:p w14:paraId="43F0F2F0" w14:textId="77777777" w:rsidR="0068654C" w:rsidRPr="0068654C" w:rsidRDefault="0068654C" w:rsidP="00E32EB6">
            <w:pPr>
              <w:spacing w:line="276" w:lineRule="auto"/>
              <w:jc w:val="center"/>
              <w:rPr>
                <w:rFonts w:ascii="Arial" w:hAnsi="Arial" w:cs="Arial"/>
                <w:b/>
                <w:bCs/>
                <w:sz w:val="20"/>
                <w:szCs w:val="20"/>
              </w:rPr>
            </w:pPr>
            <w:r w:rsidRPr="0068654C">
              <w:rPr>
                <w:rFonts w:ascii="Arial" w:hAnsi="Arial" w:cs="Arial"/>
                <w:b/>
                <w:bCs/>
                <w:sz w:val="20"/>
                <w:szCs w:val="20"/>
              </w:rPr>
              <w:t>Percentage (%)</w:t>
            </w:r>
          </w:p>
        </w:tc>
      </w:tr>
      <w:tr w:rsidR="0068654C" w:rsidRPr="0068654C" w14:paraId="544BC9C3" w14:textId="77777777" w:rsidTr="00E32EB6">
        <w:trPr>
          <w:jc w:val="center"/>
        </w:trPr>
        <w:tc>
          <w:tcPr>
            <w:tcW w:w="2268" w:type="dxa"/>
            <w:vMerge w:val="restart"/>
            <w:tcBorders>
              <w:top w:val="single" w:sz="12" w:space="0" w:color="000000"/>
            </w:tcBorders>
            <w:vAlign w:val="center"/>
          </w:tcPr>
          <w:p w14:paraId="052EBBA1"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Age</w:t>
            </w:r>
          </w:p>
        </w:tc>
        <w:tc>
          <w:tcPr>
            <w:tcW w:w="2127" w:type="dxa"/>
            <w:tcBorders>
              <w:top w:val="single" w:sz="12" w:space="0" w:color="000000"/>
            </w:tcBorders>
          </w:tcPr>
          <w:p w14:paraId="6CE0D17F"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0 -15</w:t>
            </w:r>
          </w:p>
        </w:tc>
        <w:tc>
          <w:tcPr>
            <w:tcW w:w="2010" w:type="dxa"/>
            <w:tcBorders>
              <w:top w:val="single" w:sz="12" w:space="0" w:color="000000"/>
            </w:tcBorders>
          </w:tcPr>
          <w:p w14:paraId="07D1F651"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w:t>
            </w:r>
          </w:p>
        </w:tc>
        <w:tc>
          <w:tcPr>
            <w:tcW w:w="1793" w:type="dxa"/>
            <w:tcBorders>
              <w:top w:val="single" w:sz="12" w:space="0" w:color="000000"/>
            </w:tcBorders>
          </w:tcPr>
          <w:p w14:paraId="1CE33A99"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4,05</w:t>
            </w:r>
          </w:p>
        </w:tc>
      </w:tr>
      <w:tr w:rsidR="0068654C" w:rsidRPr="0068654C" w14:paraId="332AEE8B" w14:textId="77777777" w:rsidTr="00E32EB6">
        <w:trPr>
          <w:jc w:val="center"/>
        </w:trPr>
        <w:tc>
          <w:tcPr>
            <w:tcW w:w="2268" w:type="dxa"/>
            <w:vMerge/>
          </w:tcPr>
          <w:p w14:paraId="7A8810EF" w14:textId="77777777" w:rsidR="0068654C" w:rsidRPr="0068654C" w:rsidRDefault="0068654C" w:rsidP="00E32EB6">
            <w:pPr>
              <w:spacing w:line="276" w:lineRule="auto"/>
              <w:rPr>
                <w:rFonts w:ascii="Arial" w:hAnsi="Arial" w:cs="Arial"/>
                <w:sz w:val="20"/>
                <w:szCs w:val="20"/>
              </w:rPr>
            </w:pPr>
          </w:p>
        </w:tc>
        <w:tc>
          <w:tcPr>
            <w:tcW w:w="2127" w:type="dxa"/>
          </w:tcPr>
          <w:p w14:paraId="50FE8B85"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16-31</w:t>
            </w:r>
          </w:p>
        </w:tc>
        <w:tc>
          <w:tcPr>
            <w:tcW w:w="2010" w:type="dxa"/>
          </w:tcPr>
          <w:p w14:paraId="503B6055"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45</w:t>
            </w:r>
          </w:p>
        </w:tc>
        <w:tc>
          <w:tcPr>
            <w:tcW w:w="1793" w:type="dxa"/>
          </w:tcPr>
          <w:p w14:paraId="10EB6FC1"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60,81</w:t>
            </w:r>
          </w:p>
        </w:tc>
      </w:tr>
      <w:tr w:rsidR="0068654C" w:rsidRPr="0068654C" w14:paraId="3A5551DA" w14:textId="77777777" w:rsidTr="00E32EB6">
        <w:trPr>
          <w:jc w:val="center"/>
        </w:trPr>
        <w:tc>
          <w:tcPr>
            <w:tcW w:w="2268" w:type="dxa"/>
            <w:vMerge/>
          </w:tcPr>
          <w:p w14:paraId="110E2384" w14:textId="77777777" w:rsidR="0068654C" w:rsidRPr="0068654C" w:rsidRDefault="0068654C" w:rsidP="00E32EB6">
            <w:pPr>
              <w:spacing w:line="276" w:lineRule="auto"/>
              <w:rPr>
                <w:rFonts w:ascii="Arial" w:hAnsi="Arial" w:cs="Arial"/>
                <w:sz w:val="20"/>
                <w:szCs w:val="20"/>
              </w:rPr>
            </w:pPr>
          </w:p>
        </w:tc>
        <w:tc>
          <w:tcPr>
            <w:tcW w:w="2127" w:type="dxa"/>
          </w:tcPr>
          <w:p w14:paraId="66752A56"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32-47</w:t>
            </w:r>
          </w:p>
        </w:tc>
        <w:tc>
          <w:tcPr>
            <w:tcW w:w="2010" w:type="dxa"/>
          </w:tcPr>
          <w:p w14:paraId="37E6059A"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25</w:t>
            </w:r>
          </w:p>
        </w:tc>
        <w:tc>
          <w:tcPr>
            <w:tcW w:w="1793" w:type="dxa"/>
          </w:tcPr>
          <w:p w14:paraId="0E71AF0E"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33,78</w:t>
            </w:r>
          </w:p>
        </w:tc>
      </w:tr>
      <w:tr w:rsidR="0068654C" w:rsidRPr="0068654C" w14:paraId="2FE90D17" w14:textId="77777777" w:rsidTr="00E32EB6">
        <w:trPr>
          <w:jc w:val="center"/>
        </w:trPr>
        <w:tc>
          <w:tcPr>
            <w:tcW w:w="2268" w:type="dxa"/>
            <w:vMerge/>
            <w:tcBorders>
              <w:bottom w:val="single" w:sz="12" w:space="0" w:color="000000"/>
            </w:tcBorders>
          </w:tcPr>
          <w:p w14:paraId="7631E0A6" w14:textId="77777777" w:rsidR="0068654C" w:rsidRPr="0068654C" w:rsidRDefault="0068654C" w:rsidP="00E32EB6">
            <w:pPr>
              <w:spacing w:line="276" w:lineRule="auto"/>
              <w:rPr>
                <w:rFonts w:ascii="Arial" w:hAnsi="Arial" w:cs="Arial"/>
                <w:sz w:val="20"/>
                <w:szCs w:val="20"/>
              </w:rPr>
            </w:pPr>
          </w:p>
        </w:tc>
        <w:tc>
          <w:tcPr>
            <w:tcW w:w="2127" w:type="dxa"/>
            <w:tcBorders>
              <w:bottom w:val="single" w:sz="12" w:space="0" w:color="000000"/>
            </w:tcBorders>
          </w:tcPr>
          <w:p w14:paraId="728432F1"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&gt;48</w:t>
            </w:r>
          </w:p>
        </w:tc>
        <w:tc>
          <w:tcPr>
            <w:tcW w:w="2010" w:type="dxa"/>
            <w:tcBorders>
              <w:bottom w:val="single" w:sz="12" w:space="0" w:color="000000"/>
            </w:tcBorders>
          </w:tcPr>
          <w:p w14:paraId="54A34475"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1</w:t>
            </w:r>
          </w:p>
        </w:tc>
        <w:tc>
          <w:tcPr>
            <w:tcW w:w="1793" w:type="dxa"/>
            <w:tcBorders>
              <w:bottom w:val="single" w:sz="12" w:space="0" w:color="000000"/>
            </w:tcBorders>
          </w:tcPr>
          <w:p w14:paraId="16860E8E"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1,35</w:t>
            </w:r>
          </w:p>
        </w:tc>
      </w:tr>
      <w:tr w:rsidR="0068654C" w:rsidRPr="0068654C" w14:paraId="0C5CA6EE" w14:textId="77777777" w:rsidTr="00E32EB6">
        <w:trPr>
          <w:jc w:val="center"/>
        </w:trPr>
        <w:tc>
          <w:tcPr>
            <w:tcW w:w="2268" w:type="dxa"/>
            <w:vMerge w:val="restart"/>
            <w:tcBorders>
              <w:top w:val="single" w:sz="12" w:space="0" w:color="000000"/>
            </w:tcBorders>
            <w:vAlign w:val="center"/>
          </w:tcPr>
          <w:p w14:paraId="1AA80B57"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Sex</w:t>
            </w:r>
          </w:p>
        </w:tc>
        <w:tc>
          <w:tcPr>
            <w:tcW w:w="2127" w:type="dxa"/>
            <w:tcBorders>
              <w:top w:val="single" w:sz="12" w:space="0" w:color="000000"/>
            </w:tcBorders>
          </w:tcPr>
          <w:p w14:paraId="3BC7D63B"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Male</w:t>
            </w:r>
          </w:p>
        </w:tc>
        <w:tc>
          <w:tcPr>
            <w:tcW w:w="2010" w:type="dxa"/>
            <w:tcBorders>
              <w:top w:val="single" w:sz="12" w:space="0" w:color="000000"/>
            </w:tcBorders>
          </w:tcPr>
          <w:p w14:paraId="7C72762A"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30</w:t>
            </w:r>
          </w:p>
        </w:tc>
        <w:tc>
          <w:tcPr>
            <w:tcW w:w="1793" w:type="dxa"/>
            <w:tcBorders>
              <w:top w:val="single" w:sz="12" w:space="0" w:color="000000"/>
            </w:tcBorders>
          </w:tcPr>
          <w:p w14:paraId="4E2C1634"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40 ,54</w:t>
            </w:r>
          </w:p>
        </w:tc>
      </w:tr>
      <w:tr w:rsidR="0068654C" w:rsidRPr="0068654C" w14:paraId="431892E3" w14:textId="77777777" w:rsidTr="00E32EB6">
        <w:trPr>
          <w:jc w:val="center"/>
        </w:trPr>
        <w:tc>
          <w:tcPr>
            <w:tcW w:w="2268" w:type="dxa"/>
            <w:vMerge/>
            <w:tcBorders>
              <w:bottom w:val="single" w:sz="12" w:space="0" w:color="000000"/>
            </w:tcBorders>
          </w:tcPr>
          <w:p w14:paraId="597CAA5D" w14:textId="77777777" w:rsidR="0068654C" w:rsidRPr="0068654C" w:rsidRDefault="0068654C" w:rsidP="00E32EB6">
            <w:pPr>
              <w:spacing w:line="276" w:lineRule="auto"/>
              <w:rPr>
                <w:rFonts w:ascii="Arial" w:hAnsi="Arial" w:cs="Arial"/>
                <w:sz w:val="20"/>
                <w:szCs w:val="20"/>
              </w:rPr>
            </w:pPr>
          </w:p>
        </w:tc>
        <w:tc>
          <w:tcPr>
            <w:tcW w:w="2127" w:type="dxa"/>
            <w:tcBorders>
              <w:bottom w:val="single" w:sz="12" w:space="0" w:color="000000"/>
            </w:tcBorders>
          </w:tcPr>
          <w:p w14:paraId="1EA08A94"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Female</w:t>
            </w:r>
          </w:p>
        </w:tc>
        <w:tc>
          <w:tcPr>
            <w:tcW w:w="2010" w:type="dxa"/>
            <w:tcBorders>
              <w:bottom w:val="single" w:sz="12" w:space="0" w:color="000000"/>
            </w:tcBorders>
          </w:tcPr>
          <w:p w14:paraId="0FF10C9C"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44</w:t>
            </w:r>
          </w:p>
        </w:tc>
        <w:tc>
          <w:tcPr>
            <w:tcW w:w="1793" w:type="dxa"/>
            <w:tcBorders>
              <w:bottom w:val="single" w:sz="12" w:space="0" w:color="000000"/>
            </w:tcBorders>
          </w:tcPr>
          <w:p w14:paraId="2D7D8308"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59,46</w:t>
            </w:r>
          </w:p>
        </w:tc>
      </w:tr>
      <w:tr w:rsidR="0068654C" w:rsidRPr="0068654C" w14:paraId="3C5D02E1" w14:textId="77777777" w:rsidTr="00E32EB6">
        <w:trPr>
          <w:jc w:val="center"/>
        </w:trPr>
        <w:tc>
          <w:tcPr>
            <w:tcW w:w="2268" w:type="dxa"/>
            <w:vMerge w:val="restart"/>
            <w:tcBorders>
              <w:top w:val="single" w:sz="12" w:space="0" w:color="000000"/>
            </w:tcBorders>
            <w:vAlign w:val="center"/>
          </w:tcPr>
          <w:p w14:paraId="20C7E529" w14:textId="77777777" w:rsidR="0068654C" w:rsidRPr="0068654C" w:rsidRDefault="0068654C" w:rsidP="00E32EB6">
            <w:pPr>
              <w:spacing w:line="276" w:lineRule="auto"/>
              <w:rPr>
                <w:rFonts w:ascii="Arial" w:hAnsi="Arial" w:cs="Arial"/>
                <w:sz w:val="20"/>
                <w:szCs w:val="20"/>
              </w:rPr>
            </w:pPr>
            <w:r w:rsidRPr="0068654C">
              <w:rPr>
                <w:rFonts w:ascii="Arial" w:hAnsi="Arial" w:cs="Arial"/>
                <w:sz w:val="20"/>
                <w:szCs w:val="20"/>
              </w:rPr>
              <w:t>Dental pathology</w:t>
            </w:r>
          </w:p>
        </w:tc>
        <w:tc>
          <w:tcPr>
            <w:tcW w:w="2127" w:type="dxa"/>
            <w:tcBorders>
              <w:top w:val="single" w:sz="12" w:space="0" w:color="000000"/>
            </w:tcBorders>
          </w:tcPr>
          <w:p w14:paraId="2FAF0F71" w14:textId="77777777" w:rsidR="0068654C" w:rsidRPr="0068654C" w:rsidRDefault="0068654C" w:rsidP="00E32EB6">
            <w:pPr>
              <w:spacing w:line="276" w:lineRule="auto"/>
              <w:rPr>
                <w:rFonts w:ascii="Arial" w:hAnsi="Arial" w:cs="Arial"/>
                <w:bCs/>
                <w:sz w:val="20"/>
                <w:szCs w:val="20"/>
              </w:rPr>
            </w:pPr>
            <w:r w:rsidRPr="0068654C">
              <w:rPr>
                <w:rFonts w:ascii="Arial" w:hAnsi="Arial" w:cs="Arial"/>
                <w:bCs/>
                <w:sz w:val="20"/>
                <w:szCs w:val="20"/>
              </w:rPr>
              <w:t>Cellulitis</w:t>
            </w:r>
          </w:p>
        </w:tc>
        <w:tc>
          <w:tcPr>
            <w:tcW w:w="2010" w:type="dxa"/>
            <w:tcBorders>
              <w:top w:val="single" w:sz="12" w:space="0" w:color="000000"/>
            </w:tcBorders>
          </w:tcPr>
          <w:p w14:paraId="69F028B5"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3</w:t>
            </w:r>
          </w:p>
        </w:tc>
        <w:tc>
          <w:tcPr>
            <w:tcW w:w="1793" w:type="dxa"/>
            <w:tcBorders>
              <w:top w:val="single" w:sz="12" w:space="0" w:color="000000"/>
            </w:tcBorders>
          </w:tcPr>
          <w:p w14:paraId="3D568C9C"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4,05</w:t>
            </w:r>
          </w:p>
        </w:tc>
      </w:tr>
      <w:tr w:rsidR="0068654C" w:rsidRPr="0068654C" w14:paraId="1379468A" w14:textId="77777777" w:rsidTr="00E32EB6">
        <w:trPr>
          <w:jc w:val="center"/>
        </w:trPr>
        <w:tc>
          <w:tcPr>
            <w:tcW w:w="2268" w:type="dxa"/>
            <w:vMerge/>
          </w:tcPr>
          <w:p w14:paraId="57445325" w14:textId="77777777" w:rsidR="0068654C" w:rsidRPr="0068654C" w:rsidRDefault="0068654C" w:rsidP="00E32EB6">
            <w:pPr>
              <w:spacing w:line="276" w:lineRule="auto"/>
              <w:rPr>
                <w:rFonts w:ascii="Arial" w:hAnsi="Arial" w:cs="Arial"/>
                <w:sz w:val="20"/>
                <w:szCs w:val="20"/>
              </w:rPr>
            </w:pPr>
          </w:p>
        </w:tc>
        <w:tc>
          <w:tcPr>
            <w:tcW w:w="2127" w:type="dxa"/>
          </w:tcPr>
          <w:p w14:paraId="7336915F" w14:textId="77777777" w:rsidR="0068654C" w:rsidRPr="0068654C" w:rsidRDefault="0068654C" w:rsidP="00E32EB6">
            <w:pPr>
              <w:spacing w:line="276" w:lineRule="auto"/>
              <w:rPr>
                <w:rFonts w:ascii="Arial" w:hAnsi="Arial" w:cs="Arial"/>
                <w:bCs/>
                <w:sz w:val="20"/>
                <w:szCs w:val="20"/>
              </w:rPr>
            </w:pPr>
            <w:r w:rsidRPr="0068654C">
              <w:rPr>
                <w:rFonts w:ascii="Arial" w:hAnsi="Arial" w:cs="Arial"/>
                <w:bCs/>
                <w:sz w:val="20"/>
                <w:szCs w:val="20"/>
              </w:rPr>
              <w:t>Periodontal abscess</w:t>
            </w:r>
          </w:p>
        </w:tc>
        <w:tc>
          <w:tcPr>
            <w:tcW w:w="2010" w:type="dxa"/>
          </w:tcPr>
          <w:p w14:paraId="0F73EF0A"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50</w:t>
            </w:r>
          </w:p>
        </w:tc>
        <w:tc>
          <w:tcPr>
            <w:tcW w:w="1793" w:type="dxa"/>
          </w:tcPr>
          <w:p w14:paraId="6DA5FA1E"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67,56</w:t>
            </w:r>
          </w:p>
        </w:tc>
      </w:tr>
      <w:tr w:rsidR="0068654C" w:rsidRPr="0068654C" w14:paraId="62D8D6E0" w14:textId="77777777" w:rsidTr="00E32EB6">
        <w:trPr>
          <w:jc w:val="center"/>
        </w:trPr>
        <w:tc>
          <w:tcPr>
            <w:tcW w:w="2268" w:type="dxa"/>
            <w:vMerge/>
            <w:tcBorders>
              <w:bottom w:val="single" w:sz="12" w:space="0" w:color="000000"/>
            </w:tcBorders>
          </w:tcPr>
          <w:p w14:paraId="2E93D681" w14:textId="77777777" w:rsidR="0068654C" w:rsidRPr="0068654C" w:rsidRDefault="0068654C" w:rsidP="00E32EB6">
            <w:pPr>
              <w:spacing w:line="276" w:lineRule="auto"/>
              <w:rPr>
                <w:rFonts w:ascii="Arial" w:hAnsi="Arial" w:cs="Arial"/>
                <w:sz w:val="20"/>
                <w:szCs w:val="20"/>
              </w:rPr>
            </w:pPr>
          </w:p>
        </w:tc>
        <w:tc>
          <w:tcPr>
            <w:tcW w:w="2127" w:type="dxa"/>
            <w:tcBorders>
              <w:bottom w:val="single" w:sz="12" w:space="0" w:color="000000"/>
            </w:tcBorders>
          </w:tcPr>
          <w:p w14:paraId="7898D971" w14:textId="77777777" w:rsidR="0068654C" w:rsidRPr="0068654C" w:rsidRDefault="0068654C" w:rsidP="00E32EB6">
            <w:pPr>
              <w:spacing w:line="276" w:lineRule="auto"/>
              <w:rPr>
                <w:rFonts w:ascii="Arial" w:hAnsi="Arial" w:cs="Arial"/>
                <w:bCs/>
                <w:sz w:val="20"/>
                <w:szCs w:val="20"/>
              </w:rPr>
            </w:pPr>
            <w:r w:rsidRPr="0068654C">
              <w:rPr>
                <w:rFonts w:ascii="Arial" w:hAnsi="Arial" w:cs="Arial"/>
                <w:bCs/>
                <w:sz w:val="20"/>
                <w:szCs w:val="20"/>
              </w:rPr>
              <w:t>Gingivitis</w:t>
            </w:r>
          </w:p>
        </w:tc>
        <w:tc>
          <w:tcPr>
            <w:tcW w:w="2010" w:type="dxa"/>
            <w:tcBorders>
              <w:bottom w:val="single" w:sz="12" w:space="0" w:color="000000"/>
            </w:tcBorders>
          </w:tcPr>
          <w:p w14:paraId="1ADAC84D"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21</w:t>
            </w:r>
          </w:p>
        </w:tc>
        <w:tc>
          <w:tcPr>
            <w:tcW w:w="1793" w:type="dxa"/>
            <w:tcBorders>
              <w:bottom w:val="single" w:sz="12" w:space="0" w:color="000000"/>
            </w:tcBorders>
          </w:tcPr>
          <w:p w14:paraId="5642FC60" w14:textId="77777777" w:rsidR="0068654C" w:rsidRPr="0068654C" w:rsidRDefault="0068654C" w:rsidP="00E32EB6">
            <w:pPr>
              <w:spacing w:line="276" w:lineRule="auto"/>
              <w:jc w:val="center"/>
              <w:rPr>
                <w:rFonts w:ascii="Arial" w:hAnsi="Arial" w:cs="Arial"/>
                <w:sz w:val="20"/>
                <w:szCs w:val="20"/>
              </w:rPr>
            </w:pPr>
            <w:r w:rsidRPr="0068654C">
              <w:rPr>
                <w:rFonts w:ascii="Arial" w:hAnsi="Arial" w:cs="Arial"/>
                <w:sz w:val="20"/>
                <w:szCs w:val="20"/>
              </w:rPr>
              <w:t>28,37</w:t>
            </w:r>
          </w:p>
        </w:tc>
      </w:tr>
      <w:bookmarkEnd w:id="2"/>
    </w:tbl>
    <w:p w14:paraId="23B78690" w14:textId="77777777" w:rsidR="0068654C" w:rsidRDefault="0068654C" w:rsidP="00FE7595">
      <w:pPr>
        <w:pStyle w:val="Body"/>
        <w:spacing w:after="0"/>
        <w:rPr>
          <w:rFonts w:ascii="Arial" w:hAnsi="Arial" w:cs="Arial"/>
          <w:lang w:val="en-GB"/>
        </w:rPr>
      </w:pPr>
    </w:p>
    <w:p w14:paraId="566C437B" w14:textId="77777777" w:rsidR="0096635C" w:rsidRPr="00FE7595" w:rsidRDefault="0096635C" w:rsidP="00FE7595">
      <w:pPr>
        <w:pStyle w:val="Body"/>
        <w:spacing w:after="0"/>
        <w:rPr>
          <w:rFonts w:ascii="Arial" w:hAnsi="Arial" w:cs="Arial"/>
          <w:lang w:val="en-GB"/>
        </w:rPr>
      </w:pPr>
    </w:p>
    <w:p w14:paraId="51838E46" w14:textId="18AC0E4E" w:rsidR="00FE7595" w:rsidRPr="00FE7595" w:rsidRDefault="00FE7595" w:rsidP="00FE7595">
      <w:pPr>
        <w:pStyle w:val="Body"/>
        <w:spacing w:after="0"/>
        <w:rPr>
          <w:rFonts w:ascii="Arial" w:hAnsi="Arial" w:cs="Arial"/>
          <w:b/>
          <w:bCs/>
          <w:lang w:val="en-GB"/>
        </w:rPr>
      </w:pPr>
      <w:r>
        <w:rPr>
          <w:rFonts w:ascii="Arial" w:hAnsi="Arial" w:cs="Arial"/>
          <w:b/>
          <w:bCs/>
          <w:lang w:val="en-GB"/>
        </w:rPr>
        <w:t>3</w:t>
      </w:r>
      <w:r w:rsidRPr="00FE7595">
        <w:rPr>
          <w:rFonts w:ascii="Arial" w:hAnsi="Arial" w:cs="Arial"/>
          <w:b/>
          <w:bCs/>
          <w:lang w:val="en-GB"/>
        </w:rPr>
        <w:t>.1.</w:t>
      </w:r>
      <w:r>
        <w:rPr>
          <w:rFonts w:ascii="Arial" w:hAnsi="Arial" w:cs="Arial"/>
          <w:b/>
          <w:bCs/>
          <w:lang w:val="en-GB"/>
        </w:rPr>
        <w:t>2</w:t>
      </w:r>
      <w:r w:rsidRPr="00FE7595">
        <w:rPr>
          <w:rFonts w:ascii="Arial" w:hAnsi="Arial" w:cs="Arial"/>
          <w:b/>
          <w:bCs/>
          <w:lang w:val="en-GB"/>
        </w:rPr>
        <w:t xml:space="preserve"> Microbiological Data</w:t>
      </w:r>
    </w:p>
    <w:p w14:paraId="52C4940F" w14:textId="4887DA2B" w:rsidR="0013404C" w:rsidRDefault="0013404C" w:rsidP="0013404C">
      <w:pPr>
        <w:pStyle w:val="Body"/>
        <w:spacing w:after="0"/>
        <w:rPr>
          <w:rFonts w:ascii="Arial" w:hAnsi="Arial" w:cs="Arial"/>
          <w:lang w:val="en-GB"/>
        </w:rPr>
      </w:pPr>
      <w:r>
        <w:rPr>
          <w:rFonts w:ascii="Arial" w:hAnsi="Arial" w:cs="Arial"/>
          <w:lang w:val="en-GB"/>
        </w:rPr>
        <w:t>Four</w:t>
      </w:r>
      <w:r w:rsidRPr="00FE7595">
        <w:rPr>
          <w:rFonts w:ascii="Arial" w:hAnsi="Arial" w:cs="Arial"/>
          <w:lang w:val="en-GB"/>
        </w:rPr>
        <w:t xml:space="preserve"> samples tested positive, corresponding to a positivity rate of</w:t>
      </w:r>
      <w:r w:rsidR="00D028BF">
        <w:rPr>
          <w:rFonts w:ascii="Arial" w:hAnsi="Arial" w:cs="Arial"/>
          <w:lang w:val="en-GB"/>
        </w:rPr>
        <w:t xml:space="preserve"> </w:t>
      </w:r>
      <w:r w:rsidRPr="00FE7595">
        <w:rPr>
          <w:rFonts w:ascii="Arial" w:hAnsi="Arial" w:cs="Arial"/>
          <w:lang w:val="en-GB"/>
        </w:rPr>
        <w:t>5.40% for Enterobacteriaceae specifically isolated from the oral cavity (Table VII).</w:t>
      </w:r>
      <w:r>
        <w:rPr>
          <w:rFonts w:ascii="Arial" w:hAnsi="Arial" w:cs="Arial"/>
          <w:lang w:val="en-GB"/>
        </w:rPr>
        <w:t xml:space="preserve"> </w:t>
      </w:r>
      <w:r w:rsidRPr="00FE7595">
        <w:rPr>
          <w:rFonts w:ascii="Arial" w:hAnsi="Arial" w:cs="Arial"/>
          <w:lang w:val="en-GB"/>
        </w:rPr>
        <w:t>The main</w:t>
      </w:r>
      <w:r>
        <w:rPr>
          <w:rFonts w:ascii="Arial" w:hAnsi="Arial" w:cs="Arial"/>
          <w:lang w:val="en-GB"/>
        </w:rPr>
        <w:t xml:space="preserve"> </w:t>
      </w:r>
      <w:r w:rsidRPr="00FE7595">
        <w:rPr>
          <w:rFonts w:ascii="Arial" w:hAnsi="Arial" w:cs="Arial"/>
          <w:lang w:val="en-GB"/>
        </w:rPr>
        <w:t>species identified were</w:t>
      </w:r>
      <w:r>
        <w:rPr>
          <w:rFonts w:ascii="Arial" w:hAnsi="Arial" w:cs="Arial"/>
          <w:lang w:val="en-GB"/>
        </w:rPr>
        <w:t xml:space="preserve"> </w:t>
      </w:r>
      <w:r w:rsidRPr="00FE7595">
        <w:rPr>
          <w:rFonts w:ascii="Arial" w:hAnsi="Arial" w:cs="Arial"/>
          <w:i/>
          <w:iCs/>
          <w:lang w:val="en-GB"/>
        </w:rPr>
        <w:t xml:space="preserve">Klebsiella </w:t>
      </w:r>
      <w:proofErr w:type="spellStart"/>
      <w:r w:rsidRPr="00FE7595">
        <w:rPr>
          <w:rFonts w:ascii="Arial" w:hAnsi="Arial" w:cs="Arial"/>
          <w:i/>
          <w:iCs/>
          <w:lang w:val="en-GB"/>
        </w:rPr>
        <w:t>oxytoca</w:t>
      </w:r>
      <w:proofErr w:type="spellEnd"/>
      <w:r w:rsidRPr="00FE7595">
        <w:rPr>
          <w:rFonts w:ascii="Arial" w:hAnsi="Arial" w:cs="Arial"/>
          <w:lang w:val="en-GB"/>
        </w:rPr>
        <w:t xml:space="preserve">, </w:t>
      </w:r>
      <w:r w:rsidRPr="00FE7595">
        <w:rPr>
          <w:rFonts w:ascii="Arial" w:hAnsi="Arial" w:cs="Arial"/>
          <w:i/>
          <w:iCs/>
          <w:lang w:val="en-GB"/>
        </w:rPr>
        <w:t>Enterobacter aerogenes</w:t>
      </w:r>
      <w:r w:rsidRPr="00FE7595">
        <w:rPr>
          <w:rFonts w:ascii="Arial" w:hAnsi="Arial" w:cs="Arial"/>
          <w:lang w:val="en-GB"/>
        </w:rPr>
        <w:t xml:space="preserve">, </w:t>
      </w:r>
      <w:r w:rsidRPr="00FE7595">
        <w:rPr>
          <w:rFonts w:ascii="Arial" w:hAnsi="Arial" w:cs="Arial"/>
          <w:i/>
          <w:iCs/>
          <w:lang w:val="en-GB"/>
        </w:rPr>
        <w:t xml:space="preserve">Enterobacter </w:t>
      </w:r>
      <w:r w:rsidRPr="00FE7595">
        <w:rPr>
          <w:rFonts w:ascii="Arial" w:hAnsi="Arial" w:cs="Arial"/>
          <w:i/>
          <w:iCs/>
          <w:lang w:val="en-GB"/>
        </w:rPr>
        <w:lastRenderedPageBreak/>
        <w:t>cloacae</w:t>
      </w:r>
      <w:r w:rsidRPr="00FE7595">
        <w:rPr>
          <w:rFonts w:ascii="Arial" w:hAnsi="Arial" w:cs="Arial"/>
          <w:lang w:val="en-GB"/>
        </w:rPr>
        <w:t xml:space="preserve">, and </w:t>
      </w:r>
      <w:r w:rsidRPr="00FE7595">
        <w:rPr>
          <w:rFonts w:ascii="Arial" w:hAnsi="Arial" w:cs="Arial"/>
          <w:i/>
          <w:iCs/>
          <w:lang w:val="en-GB"/>
        </w:rPr>
        <w:t>Klebsiella pneumoniae</w:t>
      </w:r>
      <w:r w:rsidRPr="00FE7595">
        <w:rPr>
          <w:rFonts w:ascii="Arial" w:hAnsi="Arial" w:cs="Arial"/>
          <w:lang w:val="en-GB"/>
        </w:rPr>
        <w:t>.</w:t>
      </w:r>
      <w:r>
        <w:rPr>
          <w:rFonts w:ascii="Arial" w:hAnsi="Arial" w:cs="Arial"/>
          <w:lang w:val="en-GB"/>
        </w:rPr>
        <w:t xml:space="preserve"> </w:t>
      </w:r>
      <w:r w:rsidRPr="00FE7595">
        <w:rPr>
          <w:rFonts w:ascii="Arial" w:hAnsi="Arial" w:cs="Arial"/>
          <w:lang w:val="en-GB"/>
        </w:rPr>
        <w:t>These isolates were primarily associated with cellulitis (40%) and periodontal abscesses (40%). The most frequently affected teeth were the first mandibular molars.</w:t>
      </w:r>
    </w:p>
    <w:p w14:paraId="6440E62A" w14:textId="77777777" w:rsidR="0068654C" w:rsidRDefault="0068654C" w:rsidP="0013404C">
      <w:pPr>
        <w:pStyle w:val="Body"/>
        <w:spacing w:after="0"/>
        <w:rPr>
          <w:rFonts w:ascii="Arial" w:hAnsi="Arial" w:cs="Arial"/>
          <w:lang w:val="en-GB"/>
        </w:rPr>
      </w:pPr>
    </w:p>
    <w:p w14:paraId="0C22B44A" w14:textId="77777777" w:rsidR="005D7002" w:rsidRPr="00FE7595" w:rsidRDefault="005D7002" w:rsidP="00FE7595">
      <w:pPr>
        <w:pStyle w:val="Body"/>
        <w:spacing w:after="0"/>
        <w:rPr>
          <w:rFonts w:ascii="Arial" w:hAnsi="Arial" w:cs="Arial"/>
          <w:lang w:val="en-GB"/>
        </w:rPr>
      </w:pPr>
    </w:p>
    <w:p w14:paraId="7B37A643" w14:textId="77777777" w:rsidR="00FE7595" w:rsidRDefault="00FE7595" w:rsidP="00FE7595">
      <w:pPr>
        <w:pStyle w:val="Body"/>
        <w:spacing w:after="0"/>
        <w:rPr>
          <w:rFonts w:ascii="Arial" w:hAnsi="Arial" w:cs="Arial"/>
          <w:b/>
          <w:bCs/>
          <w:lang w:val="en-GB"/>
        </w:rPr>
      </w:pPr>
      <w:r w:rsidRPr="00FE7595">
        <w:rPr>
          <w:rFonts w:ascii="Arial" w:hAnsi="Arial" w:cs="Arial"/>
          <w:b/>
          <w:bCs/>
          <w:lang w:val="en-GB"/>
        </w:rPr>
        <w:t>III.1.4 Molecular Data</w:t>
      </w:r>
    </w:p>
    <w:p w14:paraId="6F658AC3" w14:textId="77777777" w:rsidR="0096635C" w:rsidRPr="00FE7595" w:rsidRDefault="0096635C" w:rsidP="00FE7595">
      <w:pPr>
        <w:pStyle w:val="Body"/>
        <w:spacing w:after="0"/>
        <w:rPr>
          <w:rFonts w:ascii="Arial" w:hAnsi="Arial" w:cs="Arial"/>
          <w:b/>
          <w:bCs/>
          <w:lang w:val="en-GB"/>
        </w:rPr>
      </w:pPr>
    </w:p>
    <w:p w14:paraId="20F24EE1" w14:textId="00768ECF" w:rsidR="00FE7595" w:rsidRDefault="00FE7595" w:rsidP="00FE7595">
      <w:pPr>
        <w:pStyle w:val="Body"/>
        <w:spacing w:after="0"/>
        <w:rPr>
          <w:rFonts w:ascii="Arial" w:hAnsi="Arial" w:cs="Arial"/>
          <w:lang w:val="en-GB"/>
        </w:rPr>
      </w:pPr>
      <w:r w:rsidRPr="00FE7595">
        <w:rPr>
          <w:rFonts w:ascii="Arial" w:hAnsi="Arial" w:cs="Arial"/>
          <w:lang w:val="en-GB"/>
        </w:rPr>
        <w:t>Following DNA extraction, optical density measurements using a spectrophotometer were recorded, revealing that 80% of the extracted DNA was of acceptable purity.</w:t>
      </w:r>
      <w:r w:rsidRPr="00FE7595">
        <w:rPr>
          <w:rFonts w:ascii="Arial" w:hAnsi="Arial" w:cs="Arial"/>
          <w:lang w:val="en-GB"/>
        </w:rPr>
        <w:br/>
        <w:t>Prior to PCR, electrophoresis confirmed the presence of extracted DNA.</w:t>
      </w:r>
      <w:r w:rsidRPr="00FE7595">
        <w:rPr>
          <w:rFonts w:ascii="Arial" w:hAnsi="Arial" w:cs="Arial"/>
          <w:lang w:val="en-GB"/>
        </w:rPr>
        <w:br/>
      </w:r>
      <w:r w:rsidR="005D7002" w:rsidRPr="00FE7595">
        <w:rPr>
          <w:rFonts w:ascii="Arial" w:hAnsi="Arial" w:cs="Arial"/>
          <w:lang w:val="en-GB"/>
        </w:rPr>
        <w:t>post-PCR</w:t>
      </w:r>
      <w:r w:rsidRPr="00FE7595">
        <w:rPr>
          <w:rFonts w:ascii="Arial" w:hAnsi="Arial" w:cs="Arial"/>
          <w:lang w:val="en-GB"/>
        </w:rPr>
        <w:t xml:space="preserve"> agarose gel electrophoresis enabled the detection of resistance genes in Enterobacteriaceae </w:t>
      </w:r>
      <w:r w:rsidR="00714607" w:rsidRPr="00FE7595">
        <w:rPr>
          <w:rFonts w:ascii="Arial" w:hAnsi="Arial" w:cs="Arial"/>
          <w:lang w:val="en-GB"/>
        </w:rPr>
        <w:t>isolates,</w:t>
      </w:r>
      <w:r w:rsidRPr="00FE7595">
        <w:rPr>
          <w:rFonts w:ascii="Arial" w:hAnsi="Arial" w:cs="Arial"/>
          <w:lang w:val="en-GB"/>
        </w:rPr>
        <w:t xml:space="preserve"> and electrophoretic profiles were visualised (Figures </w:t>
      </w:r>
      <w:r w:rsidR="00FE6DDA">
        <w:rPr>
          <w:rFonts w:ascii="Arial" w:hAnsi="Arial" w:cs="Arial"/>
          <w:lang w:val="en-GB"/>
        </w:rPr>
        <w:t>1</w:t>
      </w:r>
      <w:r w:rsidRPr="00FE7595">
        <w:rPr>
          <w:rFonts w:ascii="Arial" w:hAnsi="Arial" w:cs="Arial"/>
          <w:lang w:val="en-GB"/>
        </w:rPr>
        <w:t xml:space="preserve"> and </w:t>
      </w:r>
      <w:r w:rsidR="00FE6DDA">
        <w:rPr>
          <w:rFonts w:ascii="Arial" w:hAnsi="Arial" w:cs="Arial"/>
          <w:lang w:val="en-GB"/>
        </w:rPr>
        <w:t>2</w:t>
      </w:r>
      <w:r w:rsidRPr="00FE7595">
        <w:rPr>
          <w:rFonts w:ascii="Arial" w:hAnsi="Arial" w:cs="Arial"/>
          <w:lang w:val="en-GB"/>
        </w:rPr>
        <w:t>).</w:t>
      </w:r>
    </w:p>
    <w:p w14:paraId="76E80A48" w14:textId="7DA0E4A6" w:rsidR="00FE6DDA" w:rsidRPr="00FE7595" w:rsidRDefault="002F3157" w:rsidP="00FE7595">
      <w:pPr>
        <w:pStyle w:val="Body"/>
        <w:spacing w:after="0"/>
        <w:rPr>
          <w:rFonts w:ascii="Arial" w:hAnsi="Arial" w:cs="Arial"/>
          <w:lang w:val="en-GB"/>
        </w:rPr>
      </w:pPr>
      <w:r w:rsidRPr="002F3157">
        <w:rPr>
          <w:rFonts w:ascii="Arial" w:hAnsi="Arial" w:cs="Arial"/>
          <w:lang w:val="en-GB"/>
        </w:rPr>
        <w:t>The genes (</w:t>
      </w:r>
      <w:proofErr w:type="spellStart"/>
      <w:r w:rsidRPr="002F3157">
        <w:rPr>
          <w:rFonts w:ascii="Arial" w:hAnsi="Arial" w:cs="Arial"/>
          <w:i/>
          <w:iCs/>
          <w:lang w:val="en-GB"/>
        </w:rPr>
        <w:t>Bla</w:t>
      </w:r>
      <w:proofErr w:type="spellEnd"/>
      <w:r w:rsidRPr="002F3157">
        <w:rPr>
          <w:rFonts w:ascii="Arial" w:hAnsi="Arial" w:cs="Arial"/>
          <w:i/>
          <w:iCs/>
          <w:lang w:val="en-GB"/>
        </w:rPr>
        <w:t xml:space="preserve"> CTX-M-2 and </w:t>
      </w:r>
      <w:proofErr w:type="spellStart"/>
      <w:r w:rsidRPr="002F3157">
        <w:rPr>
          <w:rFonts w:ascii="Arial" w:hAnsi="Arial" w:cs="Arial"/>
          <w:i/>
          <w:iCs/>
          <w:lang w:val="en-GB"/>
        </w:rPr>
        <w:t>Bla</w:t>
      </w:r>
      <w:proofErr w:type="spellEnd"/>
      <w:r w:rsidRPr="002F3157">
        <w:rPr>
          <w:rFonts w:ascii="Arial" w:hAnsi="Arial" w:cs="Arial"/>
          <w:i/>
          <w:iCs/>
          <w:lang w:val="en-GB"/>
        </w:rPr>
        <w:t xml:space="preserve"> CTX-M-8</w:t>
      </w:r>
      <w:r w:rsidRPr="002F3157">
        <w:rPr>
          <w:rFonts w:ascii="Arial" w:hAnsi="Arial" w:cs="Arial"/>
          <w:lang w:val="en-GB"/>
        </w:rPr>
        <w:t xml:space="preserve">) were amplified in all the enterobacteria strains isolated; however, the </w:t>
      </w:r>
      <w:proofErr w:type="spellStart"/>
      <w:r w:rsidRPr="002F3157">
        <w:rPr>
          <w:rFonts w:ascii="Arial" w:hAnsi="Arial" w:cs="Arial"/>
          <w:i/>
          <w:iCs/>
          <w:lang w:val="en-GB"/>
        </w:rPr>
        <w:t>Bla</w:t>
      </w:r>
      <w:proofErr w:type="spellEnd"/>
      <w:r w:rsidRPr="002F3157">
        <w:rPr>
          <w:rFonts w:ascii="Arial" w:hAnsi="Arial" w:cs="Arial"/>
          <w:i/>
          <w:iCs/>
          <w:lang w:val="en-GB"/>
        </w:rPr>
        <w:t xml:space="preserve"> CTX</w:t>
      </w:r>
      <w:r>
        <w:rPr>
          <w:rFonts w:ascii="Arial" w:hAnsi="Arial" w:cs="Arial"/>
          <w:i/>
          <w:iCs/>
          <w:lang w:val="en-GB"/>
        </w:rPr>
        <w:t>-</w:t>
      </w:r>
      <w:r w:rsidRPr="002F3157">
        <w:rPr>
          <w:rFonts w:ascii="Arial" w:hAnsi="Arial" w:cs="Arial"/>
          <w:i/>
          <w:iCs/>
          <w:lang w:val="en-GB"/>
        </w:rPr>
        <w:t>M</w:t>
      </w:r>
      <w:r>
        <w:rPr>
          <w:rFonts w:ascii="Arial" w:hAnsi="Arial" w:cs="Arial"/>
          <w:i/>
          <w:iCs/>
          <w:lang w:val="en-GB"/>
        </w:rPr>
        <w:t>-</w:t>
      </w:r>
      <w:r w:rsidRPr="002F3157">
        <w:rPr>
          <w:rFonts w:ascii="Arial" w:hAnsi="Arial" w:cs="Arial"/>
          <w:i/>
          <w:iCs/>
          <w:lang w:val="en-GB"/>
        </w:rPr>
        <w:t>9</w:t>
      </w:r>
      <w:r w:rsidRPr="002F3157">
        <w:rPr>
          <w:rFonts w:ascii="Arial" w:hAnsi="Arial" w:cs="Arial"/>
          <w:lang w:val="en-GB"/>
        </w:rPr>
        <w:t xml:space="preserve"> gene was not amplified in any of the strains</w:t>
      </w:r>
      <w:r>
        <w:rPr>
          <w:rFonts w:ascii="Arial" w:hAnsi="Arial" w:cs="Arial"/>
          <w:lang w:val="en-GB"/>
        </w:rPr>
        <w:t xml:space="preserve"> (Table 3)</w:t>
      </w:r>
      <w:r w:rsidRPr="002F3157">
        <w:rPr>
          <w:rFonts w:ascii="Arial" w:hAnsi="Arial" w:cs="Arial"/>
          <w:lang w:val="en-GB"/>
        </w:rPr>
        <w:t>.</w:t>
      </w:r>
    </w:p>
    <w:p w14:paraId="2466AB86" w14:textId="77777777" w:rsidR="00714607" w:rsidRDefault="00714607" w:rsidP="00441B6F">
      <w:pPr>
        <w:pStyle w:val="Body"/>
        <w:spacing w:after="0"/>
        <w:rPr>
          <w:rFonts w:ascii="Arial" w:hAnsi="Arial" w:cs="Arial"/>
          <w:noProof/>
        </w:rPr>
      </w:pPr>
    </w:p>
    <w:p w14:paraId="6EAEF1F4" w14:textId="77777777" w:rsidR="00714607" w:rsidRDefault="00714607" w:rsidP="00441B6F">
      <w:pPr>
        <w:pStyle w:val="Body"/>
        <w:spacing w:after="0"/>
        <w:rPr>
          <w:rFonts w:ascii="Arial" w:hAnsi="Arial" w:cs="Arial"/>
          <w:noProof/>
        </w:rPr>
      </w:pPr>
    </w:p>
    <w:p w14:paraId="40821AE5" w14:textId="17F009A6" w:rsidR="00902823" w:rsidRDefault="00714607" w:rsidP="00441B6F">
      <w:pPr>
        <w:pStyle w:val="Body"/>
        <w:spacing w:after="0"/>
        <w:rPr>
          <w:rFonts w:ascii="Arial" w:hAnsi="Arial" w:cs="Arial"/>
        </w:rPr>
      </w:pPr>
      <w:r>
        <w:rPr>
          <w:rFonts w:ascii="Arial" w:hAnsi="Arial" w:cs="Arial"/>
          <w:noProof/>
        </w:rPr>
        <w:drawing>
          <wp:anchor distT="0" distB="0" distL="114300" distR="114300" simplePos="0" relativeHeight="251661312" behindDoc="1" locked="0" layoutInCell="1" allowOverlap="1" wp14:anchorId="35A35A92" wp14:editId="4224E259">
            <wp:simplePos x="0" y="0"/>
            <wp:positionH relativeFrom="margin">
              <wp:posOffset>49530</wp:posOffset>
            </wp:positionH>
            <wp:positionV relativeFrom="paragraph">
              <wp:posOffset>160020</wp:posOffset>
            </wp:positionV>
            <wp:extent cx="5044440" cy="2331720"/>
            <wp:effectExtent l="0" t="0" r="3810" b="0"/>
            <wp:wrapTight wrapText="bothSides">
              <wp:wrapPolygon edited="0">
                <wp:start x="0" y="0"/>
                <wp:lineTo x="0" y="21353"/>
                <wp:lineTo x="21535" y="21353"/>
                <wp:lineTo x="21535" y="0"/>
                <wp:lineTo x="0" y="0"/>
              </wp:wrapPolygon>
            </wp:wrapTight>
            <wp:docPr id="693617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1724" name="Image 69361724"/>
                    <pic:cNvPicPr/>
                  </pic:nvPicPr>
                  <pic:blipFill rotWithShape="1">
                    <a:blip r:embed="rId14">
                      <a:extLst>
                        <a:ext uri="{28A0092B-C50C-407E-A947-70E740481C1C}">
                          <a14:useLocalDpi xmlns:a14="http://schemas.microsoft.com/office/drawing/2010/main" val="0"/>
                        </a:ext>
                      </a:extLst>
                    </a:blip>
                    <a:srcRect t="3585" r="3217" b="4980"/>
                    <a:stretch/>
                  </pic:blipFill>
                  <pic:spPr bwMode="auto">
                    <a:xfrm>
                      <a:off x="0" y="0"/>
                      <a:ext cx="5044440" cy="233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3BD3">
        <w:rPr>
          <w:rFonts w:ascii="Arial" w:hAnsi="Arial" w:cs="Arial"/>
        </w:rPr>
        <w:t>.</w:t>
      </w:r>
    </w:p>
    <w:p w14:paraId="5C6F979C" w14:textId="2BDCD540" w:rsidR="00E6775C" w:rsidRDefault="00E6775C" w:rsidP="00441B6F">
      <w:pPr>
        <w:pStyle w:val="Body"/>
        <w:spacing w:after="0"/>
        <w:rPr>
          <w:rFonts w:ascii="Arial" w:hAnsi="Arial" w:cs="Arial"/>
        </w:rPr>
      </w:pPr>
    </w:p>
    <w:p w14:paraId="0B7B7C90" w14:textId="77777777" w:rsidR="001B4382" w:rsidRDefault="001B4382" w:rsidP="00714607">
      <w:pPr>
        <w:autoSpaceDE w:val="0"/>
        <w:autoSpaceDN w:val="0"/>
        <w:adjustRightInd w:val="0"/>
        <w:jc w:val="both"/>
        <w:rPr>
          <w:rFonts w:ascii="Arial" w:hAnsi="Arial" w:cs="Arial"/>
          <w:b/>
          <w:bCs/>
          <w:szCs w:val="22"/>
        </w:rPr>
      </w:pPr>
    </w:p>
    <w:p w14:paraId="3F0D0D8F" w14:textId="77777777" w:rsidR="001B4382" w:rsidRDefault="001B4382" w:rsidP="00714607">
      <w:pPr>
        <w:autoSpaceDE w:val="0"/>
        <w:autoSpaceDN w:val="0"/>
        <w:adjustRightInd w:val="0"/>
        <w:jc w:val="both"/>
        <w:rPr>
          <w:rFonts w:ascii="Arial" w:hAnsi="Arial" w:cs="Arial"/>
          <w:b/>
          <w:bCs/>
          <w:szCs w:val="22"/>
        </w:rPr>
      </w:pPr>
    </w:p>
    <w:p w14:paraId="3FBCB001" w14:textId="77777777" w:rsidR="001B4382" w:rsidRDefault="001B4382" w:rsidP="00714607">
      <w:pPr>
        <w:autoSpaceDE w:val="0"/>
        <w:autoSpaceDN w:val="0"/>
        <w:adjustRightInd w:val="0"/>
        <w:jc w:val="both"/>
        <w:rPr>
          <w:rFonts w:ascii="Arial" w:hAnsi="Arial" w:cs="Arial"/>
          <w:b/>
          <w:bCs/>
          <w:szCs w:val="22"/>
        </w:rPr>
      </w:pPr>
    </w:p>
    <w:p w14:paraId="6D33423A" w14:textId="77777777" w:rsidR="001B4382" w:rsidRDefault="001B4382" w:rsidP="00714607">
      <w:pPr>
        <w:autoSpaceDE w:val="0"/>
        <w:autoSpaceDN w:val="0"/>
        <w:adjustRightInd w:val="0"/>
        <w:jc w:val="both"/>
        <w:rPr>
          <w:rFonts w:ascii="Arial" w:hAnsi="Arial" w:cs="Arial"/>
          <w:b/>
          <w:bCs/>
          <w:szCs w:val="22"/>
        </w:rPr>
      </w:pPr>
    </w:p>
    <w:p w14:paraId="0E0DA4D6" w14:textId="77777777" w:rsidR="001B4382" w:rsidRDefault="001B4382" w:rsidP="00714607">
      <w:pPr>
        <w:autoSpaceDE w:val="0"/>
        <w:autoSpaceDN w:val="0"/>
        <w:adjustRightInd w:val="0"/>
        <w:jc w:val="both"/>
        <w:rPr>
          <w:rFonts w:ascii="Arial" w:hAnsi="Arial" w:cs="Arial"/>
          <w:b/>
          <w:bCs/>
          <w:szCs w:val="22"/>
        </w:rPr>
      </w:pPr>
    </w:p>
    <w:p w14:paraId="31F0AC93" w14:textId="77777777" w:rsidR="001B4382" w:rsidRDefault="001B4382" w:rsidP="00714607">
      <w:pPr>
        <w:autoSpaceDE w:val="0"/>
        <w:autoSpaceDN w:val="0"/>
        <w:adjustRightInd w:val="0"/>
        <w:jc w:val="both"/>
        <w:rPr>
          <w:rFonts w:ascii="Arial" w:hAnsi="Arial" w:cs="Arial"/>
          <w:b/>
          <w:bCs/>
          <w:szCs w:val="22"/>
        </w:rPr>
      </w:pPr>
    </w:p>
    <w:p w14:paraId="19530BD0" w14:textId="77777777" w:rsidR="001B4382" w:rsidRDefault="001B4382" w:rsidP="00714607">
      <w:pPr>
        <w:autoSpaceDE w:val="0"/>
        <w:autoSpaceDN w:val="0"/>
        <w:adjustRightInd w:val="0"/>
        <w:jc w:val="both"/>
        <w:rPr>
          <w:rFonts w:ascii="Arial" w:hAnsi="Arial" w:cs="Arial"/>
          <w:b/>
          <w:bCs/>
          <w:szCs w:val="22"/>
        </w:rPr>
      </w:pPr>
    </w:p>
    <w:p w14:paraId="210A2FA7" w14:textId="77777777" w:rsidR="001B4382" w:rsidRDefault="001B4382" w:rsidP="00714607">
      <w:pPr>
        <w:autoSpaceDE w:val="0"/>
        <w:autoSpaceDN w:val="0"/>
        <w:adjustRightInd w:val="0"/>
        <w:jc w:val="both"/>
        <w:rPr>
          <w:rFonts w:ascii="Arial" w:hAnsi="Arial" w:cs="Arial"/>
          <w:b/>
          <w:bCs/>
          <w:szCs w:val="22"/>
        </w:rPr>
      </w:pPr>
    </w:p>
    <w:p w14:paraId="44688390" w14:textId="77777777" w:rsidR="001B4382" w:rsidRDefault="001B4382" w:rsidP="00714607">
      <w:pPr>
        <w:autoSpaceDE w:val="0"/>
        <w:autoSpaceDN w:val="0"/>
        <w:adjustRightInd w:val="0"/>
        <w:jc w:val="both"/>
        <w:rPr>
          <w:rFonts w:ascii="Arial" w:hAnsi="Arial" w:cs="Arial"/>
          <w:b/>
          <w:bCs/>
          <w:szCs w:val="22"/>
        </w:rPr>
      </w:pPr>
    </w:p>
    <w:p w14:paraId="7C3E8A0B" w14:textId="77777777" w:rsidR="001B4382" w:rsidRDefault="001B4382" w:rsidP="00714607">
      <w:pPr>
        <w:autoSpaceDE w:val="0"/>
        <w:autoSpaceDN w:val="0"/>
        <w:adjustRightInd w:val="0"/>
        <w:jc w:val="both"/>
        <w:rPr>
          <w:rFonts w:ascii="Arial" w:hAnsi="Arial" w:cs="Arial"/>
          <w:b/>
          <w:bCs/>
          <w:szCs w:val="22"/>
        </w:rPr>
      </w:pPr>
    </w:p>
    <w:p w14:paraId="18ABEB5D" w14:textId="77777777" w:rsidR="001B4382" w:rsidRDefault="001B4382" w:rsidP="00714607">
      <w:pPr>
        <w:autoSpaceDE w:val="0"/>
        <w:autoSpaceDN w:val="0"/>
        <w:adjustRightInd w:val="0"/>
        <w:jc w:val="both"/>
        <w:rPr>
          <w:rFonts w:ascii="Arial" w:hAnsi="Arial" w:cs="Arial"/>
          <w:b/>
          <w:bCs/>
          <w:szCs w:val="22"/>
        </w:rPr>
      </w:pPr>
    </w:p>
    <w:p w14:paraId="7FAC5892" w14:textId="77777777" w:rsidR="001B4382" w:rsidRDefault="001B4382" w:rsidP="00714607">
      <w:pPr>
        <w:autoSpaceDE w:val="0"/>
        <w:autoSpaceDN w:val="0"/>
        <w:adjustRightInd w:val="0"/>
        <w:jc w:val="both"/>
        <w:rPr>
          <w:rFonts w:ascii="Arial" w:hAnsi="Arial" w:cs="Arial"/>
          <w:b/>
          <w:bCs/>
          <w:szCs w:val="22"/>
        </w:rPr>
      </w:pPr>
    </w:p>
    <w:p w14:paraId="2F9683CB" w14:textId="77777777" w:rsidR="001B4382" w:rsidRDefault="001B4382" w:rsidP="00714607">
      <w:pPr>
        <w:autoSpaceDE w:val="0"/>
        <w:autoSpaceDN w:val="0"/>
        <w:adjustRightInd w:val="0"/>
        <w:jc w:val="both"/>
        <w:rPr>
          <w:rFonts w:ascii="Arial" w:hAnsi="Arial" w:cs="Arial"/>
          <w:b/>
          <w:bCs/>
          <w:szCs w:val="22"/>
        </w:rPr>
      </w:pPr>
    </w:p>
    <w:p w14:paraId="00993F0F" w14:textId="77777777" w:rsidR="001B4382" w:rsidRDefault="001B4382" w:rsidP="00714607">
      <w:pPr>
        <w:autoSpaceDE w:val="0"/>
        <w:autoSpaceDN w:val="0"/>
        <w:adjustRightInd w:val="0"/>
        <w:jc w:val="both"/>
        <w:rPr>
          <w:rFonts w:ascii="Arial" w:hAnsi="Arial" w:cs="Arial"/>
          <w:b/>
          <w:bCs/>
          <w:szCs w:val="22"/>
        </w:rPr>
      </w:pPr>
    </w:p>
    <w:p w14:paraId="27DFBE22" w14:textId="77777777" w:rsidR="001B4382" w:rsidRDefault="001B4382" w:rsidP="00714607">
      <w:pPr>
        <w:autoSpaceDE w:val="0"/>
        <w:autoSpaceDN w:val="0"/>
        <w:adjustRightInd w:val="0"/>
        <w:jc w:val="both"/>
        <w:rPr>
          <w:rFonts w:ascii="Arial" w:hAnsi="Arial" w:cs="Arial"/>
          <w:b/>
          <w:bCs/>
          <w:szCs w:val="22"/>
        </w:rPr>
      </w:pPr>
    </w:p>
    <w:p w14:paraId="0289FD2B" w14:textId="77777777" w:rsidR="001B4382" w:rsidRDefault="001B4382" w:rsidP="00714607">
      <w:pPr>
        <w:autoSpaceDE w:val="0"/>
        <w:autoSpaceDN w:val="0"/>
        <w:adjustRightInd w:val="0"/>
        <w:jc w:val="both"/>
        <w:rPr>
          <w:rFonts w:ascii="Arial" w:hAnsi="Arial" w:cs="Arial"/>
          <w:b/>
          <w:bCs/>
          <w:szCs w:val="22"/>
        </w:rPr>
      </w:pPr>
    </w:p>
    <w:p w14:paraId="5B4427B9" w14:textId="2339FC1F" w:rsidR="00714607" w:rsidRPr="008247A6" w:rsidRDefault="00714607" w:rsidP="0071460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422373">
        <w:rPr>
          <w:rFonts w:ascii="Arial" w:hAnsi="Arial" w:cs="Arial"/>
          <w:b/>
          <w:bCs/>
        </w:rPr>
        <w:t xml:space="preserve"> </w:t>
      </w:r>
      <w:r w:rsidRPr="00422373">
        <w:rPr>
          <w:rFonts w:ascii="Arial" w:hAnsi="Arial" w:cs="Arial"/>
          <w:b/>
          <w:bCs/>
          <w:szCs w:val="22"/>
        </w:rPr>
        <w:t>E</w:t>
      </w:r>
      <w:r>
        <w:rPr>
          <w:rFonts w:ascii="Arial" w:hAnsi="Arial" w:cs="Arial"/>
          <w:b/>
          <w:bCs/>
          <w:szCs w:val="22"/>
        </w:rPr>
        <w:t>lectrophoretic profile of CTXM 8 genes</w:t>
      </w:r>
    </w:p>
    <w:p w14:paraId="73F85740" w14:textId="4165AE07" w:rsidR="00E6775C" w:rsidRDefault="00714607" w:rsidP="00714607">
      <w:pPr>
        <w:pStyle w:val="Body"/>
        <w:spacing w:after="0"/>
        <w:rPr>
          <w:rFonts w:ascii="Arial" w:hAnsi="Arial" w:cs="Arial"/>
        </w:rPr>
      </w:pPr>
      <w:r w:rsidRPr="00422373">
        <w:rPr>
          <w:rFonts w:ascii="Arial" w:hAnsi="Arial" w:cs="Arial"/>
          <w:i/>
          <w:sz w:val="18"/>
        </w:rPr>
        <w:t>M</w:t>
      </w:r>
      <w:r>
        <w:rPr>
          <w:rFonts w:ascii="Arial" w:hAnsi="Arial" w:cs="Arial"/>
          <w:i/>
          <w:sz w:val="18"/>
        </w:rPr>
        <w:t xml:space="preserve">: </w:t>
      </w:r>
      <w:r w:rsidRPr="00422373">
        <w:rPr>
          <w:rFonts w:ascii="Arial" w:hAnsi="Arial" w:cs="Arial"/>
          <w:i/>
          <w:sz w:val="18"/>
        </w:rPr>
        <w:t>Molecular weight marke</w:t>
      </w:r>
      <w:r>
        <w:rPr>
          <w:rFonts w:ascii="Arial" w:hAnsi="Arial" w:cs="Arial"/>
          <w:i/>
          <w:sz w:val="18"/>
        </w:rPr>
        <w:t>r; Samples (1, 2): Klebsiella</w:t>
      </w:r>
      <w:r w:rsidR="00E44BCD">
        <w:rPr>
          <w:rFonts w:ascii="Arial" w:hAnsi="Arial" w:cs="Arial"/>
          <w:i/>
          <w:sz w:val="18"/>
        </w:rPr>
        <w:t xml:space="preserve"> oxytoca;</w:t>
      </w:r>
      <w:r>
        <w:rPr>
          <w:rFonts w:ascii="Arial" w:hAnsi="Arial" w:cs="Arial"/>
          <w:i/>
          <w:sz w:val="18"/>
        </w:rPr>
        <w:t xml:space="preserve"> Samples (3,4,5): </w:t>
      </w:r>
      <w:r w:rsidRPr="00422373">
        <w:rPr>
          <w:rFonts w:ascii="Arial" w:hAnsi="Arial" w:cs="Arial"/>
          <w:i/>
          <w:sz w:val="18"/>
        </w:rPr>
        <w:t xml:space="preserve">Enterobacter </w:t>
      </w:r>
      <w:proofErr w:type="gramStart"/>
      <w:r w:rsidRPr="00422373">
        <w:rPr>
          <w:rFonts w:ascii="Arial" w:hAnsi="Arial" w:cs="Arial"/>
          <w:i/>
          <w:sz w:val="18"/>
        </w:rPr>
        <w:t xml:space="preserve">aerogenes </w:t>
      </w:r>
      <w:r>
        <w:rPr>
          <w:rFonts w:ascii="Arial" w:hAnsi="Arial" w:cs="Arial"/>
          <w:i/>
          <w:sz w:val="18"/>
        </w:rPr>
        <w:t>;</w:t>
      </w:r>
      <w:proofErr w:type="gramEnd"/>
      <w:r w:rsidRPr="00422373">
        <w:rPr>
          <w:rFonts w:ascii="Arial" w:hAnsi="Arial" w:cs="Arial"/>
          <w:i/>
          <w:sz w:val="18"/>
        </w:rPr>
        <w:t xml:space="preserve"> Samples (</w:t>
      </w:r>
      <w:r>
        <w:rPr>
          <w:rFonts w:ascii="Arial" w:hAnsi="Arial" w:cs="Arial"/>
          <w:i/>
          <w:sz w:val="18"/>
        </w:rPr>
        <w:t>6,7,8,</w:t>
      </w:r>
      <w:r w:rsidRPr="00422373">
        <w:rPr>
          <w:rFonts w:ascii="Arial" w:hAnsi="Arial" w:cs="Arial"/>
          <w:i/>
          <w:sz w:val="18"/>
        </w:rPr>
        <w:t>) :Klebsiella pneumoniae</w:t>
      </w:r>
      <w:r>
        <w:rPr>
          <w:rFonts w:ascii="Arial" w:hAnsi="Arial" w:cs="Arial"/>
          <w:i/>
          <w:sz w:val="18"/>
        </w:rPr>
        <w:t>, samples (9,10,11) Enterobacter cloacae</w:t>
      </w:r>
    </w:p>
    <w:p w14:paraId="58CC8EAA" w14:textId="4C7106A7" w:rsidR="00E6775C" w:rsidRDefault="00E6775C" w:rsidP="00E6775C">
      <w:pPr>
        <w:pStyle w:val="Body"/>
        <w:tabs>
          <w:tab w:val="right" w:pos="8208"/>
        </w:tabs>
        <w:spacing w:after="0"/>
        <w:rPr>
          <w:rFonts w:ascii="Arial" w:hAnsi="Arial" w:cs="Arial"/>
        </w:rPr>
      </w:pPr>
      <w:r>
        <w:rPr>
          <w:rFonts w:ascii="Times New Roman" w:hAnsi="Times New Roman"/>
          <w:noProof/>
          <w:sz w:val="24"/>
          <w:szCs w:val="24"/>
          <w:lang w:eastAsia="fr-FR"/>
        </w:rPr>
        <mc:AlternateContent>
          <mc:Choice Requires="wps">
            <w:drawing>
              <wp:anchor distT="0" distB="0" distL="114300" distR="114300" simplePos="0" relativeHeight="251660288" behindDoc="0" locked="0" layoutInCell="1" allowOverlap="1" wp14:anchorId="053369D9" wp14:editId="27190478">
                <wp:simplePos x="0" y="0"/>
                <wp:positionH relativeFrom="column">
                  <wp:posOffset>784860</wp:posOffset>
                </wp:positionH>
                <wp:positionV relativeFrom="paragraph">
                  <wp:posOffset>64135</wp:posOffset>
                </wp:positionV>
                <wp:extent cx="4000500" cy="31432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0005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79829" w14:textId="432FB141" w:rsidR="00E6775C" w:rsidRPr="00E8596D" w:rsidRDefault="00E6775C" w:rsidP="00E6775C">
                            <w:pPr>
                              <w:rPr>
                                <w:b/>
                                <w:color w:val="FFFFFF" w:themeColor="background1"/>
                              </w:rPr>
                            </w:pPr>
                            <w:r w:rsidRPr="00E8596D">
                              <w:rPr>
                                <w:b/>
                                <w:color w:val="FFFFFF" w:themeColor="background1"/>
                              </w:rPr>
                              <w:t xml:space="preserve">M      </w:t>
                            </w:r>
                            <w:r>
                              <w:rPr>
                                <w:b/>
                                <w:color w:val="FFFFFF" w:themeColor="background1"/>
                              </w:rPr>
                              <w:t xml:space="preserve"> </w:t>
                            </w:r>
                            <w:r w:rsidRPr="00E8596D">
                              <w:rPr>
                                <w:b/>
                                <w:color w:val="FFFFFF" w:themeColor="background1"/>
                              </w:rPr>
                              <w:t xml:space="preserve">1      </w:t>
                            </w:r>
                            <w:r>
                              <w:rPr>
                                <w:b/>
                                <w:color w:val="FFFFFF" w:themeColor="background1"/>
                              </w:rPr>
                              <w:t xml:space="preserve">2       </w:t>
                            </w:r>
                            <w:r w:rsidRPr="00E8596D">
                              <w:rPr>
                                <w:b/>
                                <w:color w:val="FFFFFF" w:themeColor="background1"/>
                              </w:rPr>
                              <w:t xml:space="preserve"> </w:t>
                            </w:r>
                            <w:r>
                              <w:rPr>
                                <w:b/>
                                <w:color w:val="FFFFFF" w:themeColor="background1"/>
                              </w:rPr>
                              <w:t xml:space="preserve"> </w:t>
                            </w:r>
                            <w:r w:rsidRPr="00E8596D">
                              <w:rPr>
                                <w:b/>
                                <w:color w:val="FFFFFF" w:themeColor="background1"/>
                              </w:rPr>
                              <w:t xml:space="preserve">3     </w:t>
                            </w:r>
                            <w:r>
                              <w:rPr>
                                <w:b/>
                                <w:color w:val="FFFFFF" w:themeColor="background1"/>
                              </w:rPr>
                              <w:t xml:space="preserve"> </w:t>
                            </w:r>
                            <w:r w:rsidRPr="00E8596D">
                              <w:rPr>
                                <w:b/>
                                <w:color w:val="FFFFFF" w:themeColor="background1"/>
                              </w:rPr>
                              <w:t xml:space="preserve"> 4      </w:t>
                            </w:r>
                            <w:r>
                              <w:rPr>
                                <w:b/>
                                <w:color w:val="FFFFFF" w:themeColor="background1"/>
                              </w:rPr>
                              <w:t xml:space="preserve"> </w:t>
                            </w:r>
                            <w:r w:rsidRPr="00E8596D">
                              <w:rPr>
                                <w:b/>
                                <w:color w:val="FFFFFF" w:themeColor="background1"/>
                              </w:rPr>
                              <w:t xml:space="preserve"> 5    </w:t>
                            </w:r>
                            <w:r>
                              <w:rPr>
                                <w:b/>
                                <w:color w:val="FFFFFF" w:themeColor="background1"/>
                              </w:rPr>
                              <w:t xml:space="preserve">  6      </w:t>
                            </w:r>
                            <w:r w:rsidRPr="00E8596D">
                              <w:rPr>
                                <w:b/>
                                <w:color w:val="FFFFFF" w:themeColor="background1"/>
                              </w:rPr>
                              <w:t xml:space="preserve">   7      8   </w:t>
                            </w:r>
                            <w:r>
                              <w:rPr>
                                <w:b/>
                                <w:color w:val="FFFFFF" w:themeColor="background1"/>
                              </w:rPr>
                              <w:t xml:space="preserve">     9</w:t>
                            </w:r>
                            <w:r w:rsidR="007076BB">
                              <w:rPr>
                                <w:b/>
                                <w:color w:val="FFFFFF" w:themeColor="background1"/>
                              </w:rPr>
                              <w:t xml:space="preserve"> </w:t>
                            </w:r>
                            <w:r>
                              <w:rPr>
                                <w:b/>
                                <w:color w:val="FFFFFF" w:themeColor="background1"/>
                              </w:rPr>
                              <w:t xml:space="preserve">     </w:t>
                            </w:r>
                            <w:r w:rsidRPr="00E8596D">
                              <w:rPr>
                                <w:b/>
                                <w:color w:val="FFFFFF" w:themeColor="background1"/>
                              </w:rPr>
                              <w:t xml:space="preserve">10 </w:t>
                            </w:r>
                            <w:r>
                              <w:rPr>
                                <w:b/>
                                <w:color w:val="FFFFFF" w:themeColor="background1"/>
                              </w:rPr>
                              <w:t xml:space="preserve">  </w:t>
                            </w:r>
                            <w:r w:rsidRPr="00E8596D">
                              <w:rPr>
                                <w:b/>
                                <w:color w:val="FFFFFF" w:themeColor="background1"/>
                              </w:rPr>
                              <w:t xml:space="preserve"> </w:t>
                            </w:r>
                            <w:r w:rsidR="007076BB">
                              <w:rPr>
                                <w:b/>
                                <w:color w:val="FFFFFF" w:themeColor="background1"/>
                              </w:rPr>
                              <w:t xml:space="preserve">  </w:t>
                            </w:r>
                            <w:r w:rsidRPr="00E8596D">
                              <w:rPr>
                                <w:b/>
                                <w:color w:val="FFFFFF" w:themeColor="background1"/>
                              </w:rPr>
                              <w:t>11</w:t>
                            </w:r>
                            <w:r>
                              <w:rPr>
                                <w:b/>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369D9" id="_x0000_t202" coordsize="21600,21600" o:spt="202" path="m,l,21600r21600,l21600,xe">
                <v:stroke joinstyle="miter"/>
                <v:path gradientshapeok="t" o:connecttype="rect"/>
              </v:shapetype>
              <v:shape id="Zone de texte 6" o:spid="_x0000_s1026" type="#_x0000_t202" style="position:absolute;left:0;text-align:left;margin-left:61.8pt;margin-top:5.05pt;width:31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" filled="f" stroked="f" strokeweight=".5pt">
                <v:textbox>
                  <w:txbxContent>
                    <w:p w14:paraId="6E679829" w14:textId="432FB141" w:rsidR="00E6775C" w:rsidRPr="00E8596D" w:rsidRDefault="00E6775C" w:rsidP="00E6775C">
                      <w:pPr>
                        <w:rPr>
                          <w:b/>
                          <w:color w:val="FFFFFF" w:themeColor="background1"/>
                        </w:rPr>
                      </w:pPr>
                      <w:r w:rsidRPr="00E8596D">
                        <w:rPr>
                          <w:b/>
                          <w:color w:val="FFFFFF" w:themeColor="background1"/>
                        </w:rPr>
                        <w:t xml:space="preserve">M      </w:t>
                      </w:r>
                      <w:r>
                        <w:rPr>
                          <w:b/>
                          <w:color w:val="FFFFFF" w:themeColor="background1"/>
                        </w:rPr>
                        <w:t xml:space="preserve"> </w:t>
                      </w:r>
                      <w:r w:rsidRPr="00E8596D">
                        <w:rPr>
                          <w:b/>
                          <w:color w:val="FFFFFF" w:themeColor="background1"/>
                        </w:rPr>
                        <w:t xml:space="preserve">1      </w:t>
                      </w:r>
                      <w:r>
                        <w:rPr>
                          <w:b/>
                          <w:color w:val="FFFFFF" w:themeColor="background1"/>
                        </w:rPr>
                        <w:t xml:space="preserve">2       </w:t>
                      </w:r>
                      <w:r w:rsidRPr="00E8596D">
                        <w:rPr>
                          <w:b/>
                          <w:color w:val="FFFFFF" w:themeColor="background1"/>
                        </w:rPr>
                        <w:t xml:space="preserve"> </w:t>
                      </w:r>
                      <w:r>
                        <w:rPr>
                          <w:b/>
                          <w:color w:val="FFFFFF" w:themeColor="background1"/>
                        </w:rPr>
                        <w:t xml:space="preserve"> </w:t>
                      </w:r>
                      <w:r w:rsidRPr="00E8596D">
                        <w:rPr>
                          <w:b/>
                          <w:color w:val="FFFFFF" w:themeColor="background1"/>
                        </w:rPr>
                        <w:t xml:space="preserve">3     </w:t>
                      </w:r>
                      <w:r>
                        <w:rPr>
                          <w:b/>
                          <w:color w:val="FFFFFF" w:themeColor="background1"/>
                        </w:rPr>
                        <w:t xml:space="preserve"> </w:t>
                      </w:r>
                      <w:r w:rsidRPr="00E8596D">
                        <w:rPr>
                          <w:b/>
                          <w:color w:val="FFFFFF" w:themeColor="background1"/>
                        </w:rPr>
                        <w:t xml:space="preserve"> 4      </w:t>
                      </w:r>
                      <w:r>
                        <w:rPr>
                          <w:b/>
                          <w:color w:val="FFFFFF" w:themeColor="background1"/>
                        </w:rPr>
                        <w:t xml:space="preserve"> </w:t>
                      </w:r>
                      <w:r w:rsidRPr="00E8596D">
                        <w:rPr>
                          <w:b/>
                          <w:color w:val="FFFFFF" w:themeColor="background1"/>
                        </w:rPr>
                        <w:t xml:space="preserve"> 5    </w:t>
                      </w:r>
                      <w:r>
                        <w:rPr>
                          <w:b/>
                          <w:color w:val="FFFFFF" w:themeColor="background1"/>
                        </w:rPr>
                        <w:t xml:space="preserve">  6      </w:t>
                      </w:r>
                      <w:r w:rsidRPr="00E8596D">
                        <w:rPr>
                          <w:b/>
                          <w:color w:val="FFFFFF" w:themeColor="background1"/>
                        </w:rPr>
                        <w:t xml:space="preserve">   7      8   </w:t>
                      </w:r>
                      <w:r>
                        <w:rPr>
                          <w:b/>
                          <w:color w:val="FFFFFF" w:themeColor="background1"/>
                        </w:rPr>
                        <w:t xml:space="preserve">     9</w:t>
                      </w:r>
                      <w:r w:rsidR="007076BB">
                        <w:rPr>
                          <w:b/>
                          <w:color w:val="FFFFFF" w:themeColor="background1"/>
                        </w:rPr>
                        <w:t xml:space="preserve"> </w:t>
                      </w:r>
                      <w:r>
                        <w:rPr>
                          <w:b/>
                          <w:color w:val="FFFFFF" w:themeColor="background1"/>
                        </w:rPr>
                        <w:t xml:space="preserve">     </w:t>
                      </w:r>
                      <w:r w:rsidRPr="00E8596D">
                        <w:rPr>
                          <w:b/>
                          <w:color w:val="FFFFFF" w:themeColor="background1"/>
                        </w:rPr>
                        <w:t xml:space="preserve">10 </w:t>
                      </w:r>
                      <w:r>
                        <w:rPr>
                          <w:b/>
                          <w:color w:val="FFFFFF" w:themeColor="background1"/>
                        </w:rPr>
                        <w:t xml:space="preserve">  </w:t>
                      </w:r>
                      <w:r w:rsidRPr="00E8596D">
                        <w:rPr>
                          <w:b/>
                          <w:color w:val="FFFFFF" w:themeColor="background1"/>
                        </w:rPr>
                        <w:t xml:space="preserve"> </w:t>
                      </w:r>
                      <w:r w:rsidR="007076BB">
                        <w:rPr>
                          <w:b/>
                          <w:color w:val="FFFFFF" w:themeColor="background1"/>
                        </w:rPr>
                        <w:t xml:space="preserve">  </w:t>
                      </w:r>
                      <w:r w:rsidRPr="00E8596D">
                        <w:rPr>
                          <w:b/>
                          <w:color w:val="FFFFFF" w:themeColor="background1"/>
                        </w:rPr>
                        <w:t>11</w:t>
                      </w:r>
                      <w:r>
                        <w:rPr>
                          <w:b/>
                          <w:color w:val="FFFFFF" w:themeColor="background1"/>
                        </w:rPr>
                        <w:t xml:space="preserve">                      </w:t>
                      </w:r>
                    </w:p>
                  </w:txbxContent>
                </v:textbox>
              </v:shape>
            </w:pict>
          </mc:Fallback>
        </mc:AlternateContent>
      </w:r>
      <w:r>
        <w:rPr>
          <w:rFonts w:ascii="Arial" w:hAnsi="Arial" w:cs="Arial"/>
        </w:rPr>
        <w:tab/>
      </w:r>
    </w:p>
    <w:p w14:paraId="70B03475" w14:textId="54D0586E" w:rsidR="00E6775C" w:rsidRDefault="00E6775C" w:rsidP="00441B6F">
      <w:pPr>
        <w:pStyle w:val="Body"/>
        <w:spacing w:after="0"/>
        <w:rPr>
          <w:rFonts w:ascii="Arial" w:hAnsi="Arial" w:cs="Arial"/>
        </w:rPr>
      </w:pPr>
    </w:p>
    <w:p w14:paraId="681E1755" w14:textId="52577F97" w:rsidR="00E6775C" w:rsidRDefault="00E6775C" w:rsidP="00441B6F">
      <w:pPr>
        <w:pStyle w:val="Body"/>
        <w:spacing w:after="0"/>
        <w:rPr>
          <w:rFonts w:ascii="Arial" w:hAnsi="Arial" w:cs="Arial"/>
        </w:rPr>
      </w:pPr>
    </w:p>
    <w:p w14:paraId="41565316" w14:textId="39AD9641" w:rsidR="00E6775C" w:rsidRDefault="0094010F" w:rsidP="00441B6F">
      <w:pPr>
        <w:pStyle w:val="Body"/>
        <w:spacing w:after="0"/>
        <w:rPr>
          <w:rFonts w:ascii="Arial" w:hAnsi="Arial" w:cs="Arial"/>
        </w:rPr>
      </w:pPr>
      <w:r>
        <w:rPr>
          <w:rFonts w:ascii="Arial" w:hAnsi="Arial" w:cs="Arial"/>
          <w:noProof/>
        </w:rPr>
        <w:lastRenderedPageBreak/>
        <w:drawing>
          <wp:inline distT="0" distB="0" distL="0" distR="0" wp14:anchorId="5369FF33" wp14:editId="0077A1E3">
            <wp:extent cx="5212080" cy="3611880"/>
            <wp:effectExtent l="0" t="0" r="7620" b="7620"/>
            <wp:docPr id="21207510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51014" name="Image 2120751014"/>
                    <pic:cNvPicPr/>
                  </pic:nvPicPr>
                  <pic:blipFill>
                    <a:blip r:embed="rId15">
                      <a:extLst>
                        <a:ext uri="{28A0092B-C50C-407E-A947-70E740481C1C}">
                          <a14:useLocalDpi xmlns:a14="http://schemas.microsoft.com/office/drawing/2010/main" val="0"/>
                        </a:ext>
                      </a:extLst>
                    </a:blip>
                    <a:stretch>
                      <a:fillRect/>
                    </a:stretch>
                  </pic:blipFill>
                  <pic:spPr>
                    <a:xfrm>
                      <a:off x="0" y="0"/>
                      <a:ext cx="5212080" cy="3611880"/>
                    </a:xfrm>
                    <a:prstGeom prst="rect">
                      <a:avLst/>
                    </a:prstGeom>
                  </pic:spPr>
                </pic:pic>
              </a:graphicData>
            </a:graphic>
          </wp:inline>
        </w:drawing>
      </w:r>
    </w:p>
    <w:p w14:paraId="11F29315" w14:textId="3CEF6A95" w:rsidR="00E6775C" w:rsidRDefault="00E6775C" w:rsidP="00441B6F">
      <w:pPr>
        <w:pStyle w:val="Body"/>
        <w:spacing w:after="0"/>
        <w:rPr>
          <w:rFonts w:ascii="Arial" w:hAnsi="Arial" w:cs="Arial"/>
        </w:rPr>
      </w:pPr>
    </w:p>
    <w:p w14:paraId="038134FE" w14:textId="728C0770" w:rsidR="0094010F" w:rsidRDefault="0094010F" w:rsidP="0094010F">
      <w:pPr>
        <w:pStyle w:val="Body"/>
        <w:rPr>
          <w:rFonts w:ascii="Arial" w:hAnsi="Arial" w:cs="Arial"/>
        </w:rPr>
      </w:pPr>
      <w:r w:rsidRPr="00B17898">
        <w:rPr>
          <w:rFonts w:ascii="Arial" w:hAnsi="Arial" w:cs="Arial"/>
          <w:b/>
          <w:bCs/>
        </w:rPr>
        <w:t>Fig.</w:t>
      </w:r>
      <w:r>
        <w:rPr>
          <w:rFonts w:ascii="Arial" w:hAnsi="Arial" w:cs="Arial"/>
          <w:b/>
          <w:bCs/>
        </w:rPr>
        <w:t xml:space="preserve"> 2</w:t>
      </w:r>
      <w:r w:rsidRPr="00B17898">
        <w:rPr>
          <w:rFonts w:ascii="Arial" w:hAnsi="Arial" w:cs="Arial"/>
          <w:b/>
          <w:bCs/>
        </w:rPr>
        <w:t>. Electrophoretic profile of CTXM 2</w:t>
      </w:r>
      <w:r>
        <w:rPr>
          <w:rFonts w:ascii="Arial" w:hAnsi="Arial" w:cs="Arial"/>
          <w:b/>
          <w:bCs/>
        </w:rPr>
        <w:t xml:space="preserve"> genes</w:t>
      </w:r>
    </w:p>
    <w:p w14:paraId="0EDA9DB6" w14:textId="08A6A324" w:rsidR="0094010F" w:rsidRDefault="0094010F" w:rsidP="0094010F">
      <w:pPr>
        <w:pStyle w:val="Body"/>
        <w:jc w:val="left"/>
        <w:rPr>
          <w:rFonts w:ascii="Arial" w:hAnsi="Arial" w:cs="Arial"/>
          <w:i/>
          <w:sz w:val="18"/>
          <w:szCs w:val="18"/>
        </w:rPr>
      </w:pPr>
      <w:r w:rsidRPr="00B17898">
        <w:rPr>
          <w:rFonts w:ascii="Arial" w:hAnsi="Arial" w:cs="Arial"/>
          <w:i/>
          <w:sz w:val="18"/>
          <w:szCs w:val="18"/>
        </w:rPr>
        <w:t>M: Molecular weight marker</w:t>
      </w:r>
      <w:r>
        <w:rPr>
          <w:rFonts w:ascii="Arial" w:hAnsi="Arial" w:cs="Arial"/>
          <w:i/>
          <w:sz w:val="18"/>
          <w:szCs w:val="18"/>
        </w:rPr>
        <w:t xml:space="preserve">; Samples (1, 2) </w:t>
      </w:r>
      <w:r>
        <w:rPr>
          <w:rFonts w:ascii="Arial" w:hAnsi="Arial" w:cs="Arial"/>
          <w:sz w:val="18"/>
          <w:szCs w:val="18"/>
        </w:rPr>
        <w:t>P</w:t>
      </w:r>
      <w:r w:rsidRPr="000816A7">
        <w:rPr>
          <w:rFonts w:ascii="Arial" w:hAnsi="Arial" w:cs="Arial"/>
          <w:sz w:val="18"/>
          <w:szCs w:val="18"/>
        </w:rPr>
        <w:t>seudomonas</w:t>
      </w:r>
      <w:r>
        <w:rPr>
          <w:rFonts w:ascii="Arial" w:hAnsi="Arial" w:cs="Arial"/>
          <w:i/>
          <w:sz w:val="18"/>
          <w:szCs w:val="18"/>
        </w:rPr>
        <w:t xml:space="preserve"> </w:t>
      </w:r>
      <w:r w:rsidR="00E44BCD">
        <w:rPr>
          <w:rFonts w:ascii="Arial" w:hAnsi="Arial" w:cs="Arial"/>
          <w:i/>
          <w:sz w:val="18"/>
          <w:szCs w:val="18"/>
        </w:rPr>
        <w:t>aeruginosa;</w:t>
      </w:r>
      <w:r>
        <w:rPr>
          <w:rFonts w:ascii="Arial" w:hAnsi="Arial" w:cs="Arial"/>
          <w:i/>
          <w:sz w:val="18"/>
          <w:szCs w:val="18"/>
        </w:rPr>
        <w:t xml:space="preserve"> Samples (3, 4, 5,</w:t>
      </w:r>
      <w:r w:rsidR="00E44BCD" w:rsidRPr="00B17898">
        <w:rPr>
          <w:rFonts w:ascii="Arial" w:hAnsi="Arial" w:cs="Arial"/>
          <w:i/>
          <w:sz w:val="18"/>
          <w:szCs w:val="18"/>
        </w:rPr>
        <w:t>6</w:t>
      </w:r>
      <w:r w:rsidR="00E44BCD">
        <w:rPr>
          <w:rFonts w:ascii="Arial" w:hAnsi="Arial" w:cs="Arial"/>
          <w:i/>
          <w:sz w:val="18"/>
          <w:szCs w:val="18"/>
        </w:rPr>
        <w:t>)</w:t>
      </w:r>
      <w:r>
        <w:rPr>
          <w:rFonts w:ascii="Arial" w:hAnsi="Arial" w:cs="Arial"/>
          <w:i/>
          <w:sz w:val="18"/>
          <w:szCs w:val="18"/>
        </w:rPr>
        <w:t xml:space="preserve">: </w:t>
      </w:r>
      <w:r w:rsidRPr="000816A7">
        <w:rPr>
          <w:rFonts w:ascii="Arial" w:hAnsi="Arial" w:cs="Arial"/>
          <w:sz w:val="18"/>
          <w:szCs w:val="18"/>
        </w:rPr>
        <w:t>K</w:t>
      </w:r>
      <w:r>
        <w:rPr>
          <w:rFonts w:ascii="Arial" w:hAnsi="Arial" w:cs="Arial"/>
          <w:sz w:val="18"/>
          <w:szCs w:val="18"/>
        </w:rPr>
        <w:t>lebsiella</w:t>
      </w:r>
      <w:r>
        <w:rPr>
          <w:rFonts w:ascii="Arial" w:hAnsi="Arial" w:cs="Arial"/>
          <w:i/>
          <w:sz w:val="18"/>
          <w:szCs w:val="18"/>
        </w:rPr>
        <w:t xml:space="preserve">. </w:t>
      </w:r>
      <w:r w:rsidR="00E44BCD">
        <w:rPr>
          <w:rFonts w:ascii="Arial" w:hAnsi="Arial" w:cs="Arial"/>
          <w:i/>
          <w:sz w:val="18"/>
          <w:szCs w:val="18"/>
        </w:rPr>
        <w:t>ox</w:t>
      </w:r>
      <w:r w:rsidR="00E44BCD" w:rsidRPr="000816A7">
        <w:rPr>
          <w:rFonts w:ascii="Arial" w:hAnsi="Arial" w:cs="Arial"/>
          <w:i/>
          <w:sz w:val="18"/>
          <w:szCs w:val="18"/>
        </w:rPr>
        <w:t>ytoca</w:t>
      </w:r>
      <w:r w:rsidR="00E44BCD">
        <w:rPr>
          <w:rFonts w:ascii="Arial" w:hAnsi="Arial" w:cs="Arial"/>
          <w:i/>
          <w:sz w:val="18"/>
          <w:szCs w:val="18"/>
        </w:rPr>
        <w:t>;</w:t>
      </w:r>
      <w:r w:rsidR="00E44BCD" w:rsidRPr="00B17898">
        <w:rPr>
          <w:rFonts w:ascii="Arial" w:hAnsi="Arial" w:cs="Arial"/>
          <w:i/>
          <w:sz w:val="18"/>
          <w:szCs w:val="18"/>
        </w:rPr>
        <w:t xml:space="preserve"> </w:t>
      </w:r>
      <w:r w:rsidR="00E44BCD">
        <w:rPr>
          <w:rFonts w:ascii="Arial" w:hAnsi="Arial" w:cs="Arial"/>
          <w:i/>
          <w:sz w:val="18"/>
          <w:szCs w:val="18"/>
        </w:rPr>
        <w:t>Samples</w:t>
      </w:r>
      <w:r>
        <w:rPr>
          <w:rFonts w:ascii="Arial" w:hAnsi="Arial" w:cs="Arial"/>
          <w:i/>
          <w:sz w:val="18"/>
          <w:szCs w:val="18"/>
        </w:rPr>
        <w:t xml:space="preserve"> 7: </w:t>
      </w:r>
      <w:r w:rsidRPr="00EC0296">
        <w:rPr>
          <w:rFonts w:ascii="Arial" w:hAnsi="Arial" w:cs="Arial"/>
          <w:sz w:val="18"/>
          <w:szCs w:val="18"/>
        </w:rPr>
        <w:t>Enterobacter</w:t>
      </w:r>
      <w:r>
        <w:rPr>
          <w:rFonts w:ascii="Arial" w:hAnsi="Arial" w:cs="Arial"/>
          <w:i/>
          <w:sz w:val="18"/>
          <w:szCs w:val="18"/>
        </w:rPr>
        <w:t xml:space="preserve"> </w:t>
      </w:r>
      <w:r w:rsidR="00E44BCD">
        <w:rPr>
          <w:rFonts w:ascii="Arial" w:hAnsi="Arial" w:cs="Arial"/>
          <w:i/>
          <w:sz w:val="18"/>
          <w:szCs w:val="18"/>
        </w:rPr>
        <w:t>aerogenes</w:t>
      </w:r>
      <w:r w:rsidR="00E44BCD" w:rsidRPr="00B17898">
        <w:rPr>
          <w:rFonts w:ascii="Arial" w:hAnsi="Arial" w:cs="Arial"/>
          <w:i/>
          <w:sz w:val="18"/>
          <w:szCs w:val="18"/>
        </w:rPr>
        <w:t>;</w:t>
      </w:r>
      <w:r>
        <w:rPr>
          <w:rFonts w:ascii="Arial" w:hAnsi="Arial" w:cs="Arial"/>
          <w:i/>
          <w:sz w:val="18"/>
          <w:szCs w:val="18"/>
        </w:rPr>
        <w:t xml:space="preserve"> Samples (</w:t>
      </w:r>
      <w:r w:rsidRPr="00B17898">
        <w:rPr>
          <w:rFonts w:ascii="Arial" w:hAnsi="Arial" w:cs="Arial"/>
          <w:i/>
          <w:sz w:val="18"/>
          <w:szCs w:val="18"/>
        </w:rPr>
        <w:t>8, 9</w:t>
      </w:r>
      <w:r w:rsidR="00E44BCD">
        <w:rPr>
          <w:rFonts w:ascii="Arial" w:hAnsi="Arial" w:cs="Arial"/>
          <w:i/>
          <w:sz w:val="18"/>
          <w:szCs w:val="18"/>
        </w:rPr>
        <w:t>): Klebsiella</w:t>
      </w:r>
      <w:r>
        <w:rPr>
          <w:rFonts w:ascii="Arial" w:hAnsi="Arial" w:cs="Arial"/>
          <w:i/>
          <w:sz w:val="18"/>
          <w:szCs w:val="18"/>
        </w:rPr>
        <w:t xml:space="preserve"> pneumoniae</w:t>
      </w:r>
      <w:r w:rsidR="00E44BCD">
        <w:rPr>
          <w:rFonts w:ascii="Arial" w:hAnsi="Arial" w:cs="Arial"/>
          <w:i/>
          <w:sz w:val="18"/>
          <w:szCs w:val="18"/>
        </w:rPr>
        <w:t>;</w:t>
      </w:r>
      <w:r w:rsidRPr="00B17898">
        <w:rPr>
          <w:rFonts w:ascii="Arial" w:hAnsi="Arial" w:cs="Arial"/>
          <w:i/>
          <w:sz w:val="18"/>
          <w:szCs w:val="18"/>
        </w:rPr>
        <w:t xml:space="preserve"> </w:t>
      </w:r>
      <w:proofErr w:type="gramStart"/>
      <w:r w:rsidRPr="00B17898">
        <w:rPr>
          <w:rFonts w:ascii="Arial" w:hAnsi="Arial" w:cs="Arial"/>
          <w:i/>
          <w:sz w:val="18"/>
          <w:szCs w:val="18"/>
        </w:rPr>
        <w:t>CN :</w:t>
      </w:r>
      <w:proofErr w:type="gramEnd"/>
      <w:r w:rsidRPr="00B17898">
        <w:rPr>
          <w:rFonts w:ascii="Arial" w:hAnsi="Arial" w:cs="Arial"/>
          <w:i/>
          <w:sz w:val="18"/>
          <w:szCs w:val="18"/>
        </w:rPr>
        <w:t xml:space="preserve"> Negative Control</w:t>
      </w:r>
    </w:p>
    <w:p w14:paraId="26CFC070" w14:textId="520E3E6F" w:rsidR="001F4F29" w:rsidRPr="001F4F29" w:rsidRDefault="001F4F29" w:rsidP="001F4F29">
      <w:pPr>
        <w:tabs>
          <w:tab w:val="left" w:pos="1080"/>
        </w:tabs>
        <w:jc w:val="both"/>
        <w:rPr>
          <w:rFonts w:ascii="Arial" w:hAnsi="Arial"/>
          <w:b/>
          <w:lang w:val="en-GB"/>
        </w:rPr>
      </w:pPr>
      <w:r>
        <w:rPr>
          <w:rFonts w:ascii="Arial" w:hAnsi="Arial"/>
          <w:b/>
        </w:rPr>
        <w:t xml:space="preserve">Table 3.  </w:t>
      </w:r>
      <w:r>
        <w:rPr>
          <w:rFonts w:ascii="Arial" w:hAnsi="Arial"/>
          <w:b/>
          <w:lang w:val="en-GB"/>
        </w:rPr>
        <w:t>E</w:t>
      </w:r>
      <w:r w:rsidRPr="001F4F29">
        <w:rPr>
          <w:rFonts w:ascii="Arial" w:hAnsi="Arial"/>
          <w:b/>
          <w:lang w:val="en-GB"/>
        </w:rPr>
        <w:t>nterobacterial strains amplified genes</w:t>
      </w:r>
    </w:p>
    <w:p w14:paraId="400982EE" w14:textId="77777777" w:rsidR="001F4F29" w:rsidRPr="001F4F29" w:rsidRDefault="001F4F29" w:rsidP="001F4F29">
      <w:pPr>
        <w:pStyle w:val="Sub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1701"/>
        <w:gridCol w:w="1829"/>
      </w:tblGrid>
      <w:tr w:rsidR="00A03192" w:rsidRPr="00A03192" w14:paraId="64CF99C5" w14:textId="02B6BB61" w:rsidTr="00A03192">
        <w:trPr>
          <w:trHeight w:val="267"/>
        </w:trPr>
        <w:tc>
          <w:tcPr>
            <w:tcW w:w="2977" w:type="dxa"/>
            <w:tcBorders>
              <w:top w:val="single" w:sz="12" w:space="0" w:color="000000"/>
              <w:bottom w:val="single" w:sz="12" w:space="0" w:color="000000"/>
            </w:tcBorders>
            <w:shd w:val="clear" w:color="auto" w:fill="auto"/>
          </w:tcPr>
          <w:p w14:paraId="472CAD69" w14:textId="7F19336A" w:rsidR="00A03192" w:rsidRPr="00A03192" w:rsidRDefault="00A03192" w:rsidP="001F4F29">
            <w:pPr>
              <w:spacing w:line="276" w:lineRule="auto"/>
              <w:rPr>
                <w:rFonts w:ascii="Arial" w:hAnsi="Arial" w:cs="Arial"/>
                <w:b/>
                <w:bCs/>
                <w:sz w:val="20"/>
                <w:szCs w:val="20"/>
              </w:rPr>
            </w:pPr>
            <w:r w:rsidRPr="00A03192">
              <w:rPr>
                <w:rFonts w:ascii="Arial" w:hAnsi="Arial" w:cs="Arial"/>
                <w:b/>
                <w:bCs/>
                <w:sz w:val="20"/>
                <w:szCs w:val="20"/>
              </w:rPr>
              <w:t>Enterobacteria strains</w:t>
            </w:r>
            <w:r>
              <w:rPr>
                <w:rFonts w:ascii="Arial" w:hAnsi="Arial" w:cs="Arial"/>
                <w:b/>
                <w:bCs/>
                <w:sz w:val="20"/>
                <w:szCs w:val="20"/>
              </w:rPr>
              <w:t xml:space="preserve"> (n=4)</w:t>
            </w:r>
          </w:p>
        </w:tc>
        <w:tc>
          <w:tcPr>
            <w:tcW w:w="1701" w:type="dxa"/>
            <w:tcBorders>
              <w:top w:val="single" w:sz="12" w:space="0" w:color="000000"/>
              <w:bottom w:val="single" w:sz="12" w:space="0" w:color="000000"/>
            </w:tcBorders>
            <w:shd w:val="clear" w:color="auto" w:fill="auto"/>
          </w:tcPr>
          <w:p w14:paraId="18057EB9" w14:textId="436ED4BF" w:rsidR="00A03192" w:rsidRPr="00A03192" w:rsidRDefault="00A03192" w:rsidP="001F4F29">
            <w:pPr>
              <w:spacing w:line="276" w:lineRule="auto"/>
              <w:rPr>
                <w:rFonts w:ascii="Arial" w:hAnsi="Arial" w:cs="Arial"/>
                <w:b/>
                <w:bCs/>
                <w:sz w:val="20"/>
                <w:szCs w:val="20"/>
                <w:lang w:val="es-ES"/>
              </w:rPr>
            </w:pPr>
            <w:r w:rsidRPr="00A03192">
              <w:rPr>
                <w:rFonts w:ascii="Arial" w:hAnsi="Arial" w:cs="Arial"/>
                <w:b/>
                <w:bCs/>
                <w:sz w:val="20"/>
                <w:szCs w:val="20"/>
                <w:lang w:val="es-ES"/>
              </w:rPr>
              <w:t xml:space="preserve">gene </w:t>
            </w:r>
            <w:r w:rsidRPr="00A03192">
              <w:rPr>
                <w:rFonts w:ascii="Arial" w:hAnsi="Arial" w:cs="Arial"/>
                <w:b/>
                <w:bCs/>
                <w:i/>
                <w:iCs/>
                <w:sz w:val="20"/>
                <w:szCs w:val="20"/>
                <w:lang w:val="es-ES"/>
              </w:rPr>
              <w:t xml:space="preserve">bla </w:t>
            </w:r>
            <w:r w:rsidRPr="00A03192">
              <w:rPr>
                <w:rFonts w:ascii="Arial" w:hAnsi="Arial" w:cs="Arial"/>
                <w:b/>
                <w:bCs/>
                <w:sz w:val="20"/>
                <w:szCs w:val="20"/>
                <w:vertAlign w:val="subscript"/>
                <w:lang w:val="es-ES"/>
              </w:rPr>
              <w:t>CTX-M2</w:t>
            </w:r>
          </w:p>
        </w:tc>
        <w:tc>
          <w:tcPr>
            <w:tcW w:w="1701" w:type="dxa"/>
            <w:tcBorders>
              <w:top w:val="single" w:sz="12" w:space="0" w:color="000000"/>
              <w:bottom w:val="single" w:sz="12" w:space="0" w:color="000000"/>
            </w:tcBorders>
            <w:shd w:val="clear" w:color="auto" w:fill="auto"/>
          </w:tcPr>
          <w:p w14:paraId="25DB3010" w14:textId="177B260F" w:rsidR="00A03192" w:rsidRPr="00A03192" w:rsidRDefault="00A03192" w:rsidP="001F4F29">
            <w:pPr>
              <w:spacing w:line="276" w:lineRule="auto"/>
              <w:rPr>
                <w:rFonts w:ascii="Arial" w:hAnsi="Arial" w:cs="Arial"/>
                <w:b/>
                <w:bCs/>
                <w:sz w:val="20"/>
                <w:szCs w:val="20"/>
              </w:rPr>
            </w:pPr>
            <w:r w:rsidRPr="00A03192">
              <w:rPr>
                <w:rFonts w:ascii="Arial" w:hAnsi="Arial" w:cs="Arial"/>
                <w:b/>
                <w:bCs/>
                <w:sz w:val="20"/>
                <w:szCs w:val="20"/>
                <w:lang w:val="es-ES"/>
              </w:rPr>
              <w:t xml:space="preserve">gene </w:t>
            </w:r>
            <w:r w:rsidRPr="00A03192">
              <w:rPr>
                <w:rFonts w:ascii="Arial" w:hAnsi="Arial" w:cs="Arial"/>
                <w:b/>
                <w:bCs/>
                <w:i/>
                <w:iCs/>
                <w:sz w:val="20"/>
                <w:szCs w:val="20"/>
                <w:lang w:val="es-ES"/>
              </w:rPr>
              <w:t xml:space="preserve">bla </w:t>
            </w:r>
            <w:r w:rsidRPr="00A03192">
              <w:rPr>
                <w:rFonts w:ascii="Arial" w:hAnsi="Arial" w:cs="Arial"/>
                <w:b/>
                <w:bCs/>
                <w:sz w:val="20"/>
                <w:szCs w:val="20"/>
                <w:vertAlign w:val="subscript"/>
                <w:lang w:val="es-ES"/>
              </w:rPr>
              <w:t>CTX-M</w:t>
            </w:r>
            <w:r>
              <w:rPr>
                <w:rFonts w:ascii="Arial" w:hAnsi="Arial" w:cs="Arial"/>
                <w:b/>
                <w:bCs/>
                <w:sz w:val="20"/>
                <w:szCs w:val="20"/>
                <w:vertAlign w:val="subscript"/>
                <w:lang w:val="es-ES"/>
              </w:rPr>
              <w:t>8</w:t>
            </w:r>
          </w:p>
        </w:tc>
        <w:tc>
          <w:tcPr>
            <w:tcW w:w="1829" w:type="dxa"/>
            <w:tcBorders>
              <w:top w:val="single" w:sz="12" w:space="0" w:color="000000"/>
              <w:bottom w:val="single" w:sz="12" w:space="0" w:color="000000"/>
            </w:tcBorders>
          </w:tcPr>
          <w:p w14:paraId="373F2126" w14:textId="7070A333" w:rsidR="00A03192" w:rsidRPr="00A03192" w:rsidRDefault="00A03192" w:rsidP="001F4F29">
            <w:pPr>
              <w:spacing w:line="276" w:lineRule="auto"/>
              <w:rPr>
                <w:rFonts w:ascii="Arial" w:hAnsi="Arial" w:cs="Arial"/>
                <w:b/>
                <w:bCs/>
              </w:rPr>
            </w:pPr>
            <w:r w:rsidRPr="00A03192">
              <w:rPr>
                <w:rFonts w:ascii="Arial" w:hAnsi="Arial" w:cs="Arial"/>
                <w:b/>
                <w:bCs/>
                <w:sz w:val="20"/>
                <w:szCs w:val="20"/>
                <w:lang w:val="es-ES"/>
              </w:rPr>
              <w:t xml:space="preserve">gene </w:t>
            </w:r>
            <w:r w:rsidRPr="00A03192">
              <w:rPr>
                <w:rFonts w:ascii="Arial" w:hAnsi="Arial" w:cs="Arial"/>
                <w:b/>
                <w:bCs/>
                <w:i/>
                <w:iCs/>
                <w:sz w:val="20"/>
                <w:szCs w:val="20"/>
                <w:lang w:val="es-ES"/>
              </w:rPr>
              <w:t xml:space="preserve">bla </w:t>
            </w:r>
            <w:r w:rsidRPr="00A03192">
              <w:rPr>
                <w:rFonts w:ascii="Arial" w:hAnsi="Arial" w:cs="Arial"/>
                <w:b/>
                <w:bCs/>
                <w:sz w:val="20"/>
                <w:szCs w:val="20"/>
                <w:vertAlign w:val="subscript"/>
                <w:lang w:val="es-ES"/>
              </w:rPr>
              <w:t>CTX-M</w:t>
            </w:r>
            <w:r>
              <w:rPr>
                <w:rFonts w:ascii="Arial" w:hAnsi="Arial" w:cs="Arial"/>
                <w:b/>
                <w:bCs/>
                <w:sz w:val="20"/>
                <w:szCs w:val="20"/>
                <w:vertAlign w:val="subscript"/>
                <w:lang w:val="es-ES"/>
              </w:rPr>
              <w:t>9</w:t>
            </w:r>
          </w:p>
        </w:tc>
      </w:tr>
      <w:tr w:rsidR="00A03192" w:rsidRPr="00A03192" w14:paraId="5E793F4A" w14:textId="0BE78F65" w:rsidTr="00A03192">
        <w:trPr>
          <w:trHeight w:val="252"/>
        </w:trPr>
        <w:tc>
          <w:tcPr>
            <w:tcW w:w="2977" w:type="dxa"/>
            <w:tcBorders>
              <w:top w:val="single" w:sz="12" w:space="0" w:color="000000"/>
            </w:tcBorders>
            <w:shd w:val="clear" w:color="auto" w:fill="auto"/>
          </w:tcPr>
          <w:p w14:paraId="0B4B111B" w14:textId="63FF200A" w:rsidR="00A03192" w:rsidRPr="002A1FE6" w:rsidRDefault="00A03192" w:rsidP="001F4F29">
            <w:pPr>
              <w:spacing w:line="276" w:lineRule="auto"/>
              <w:rPr>
                <w:rFonts w:ascii="Arial" w:hAnsi="Arial" w:cs="Arial"/>
                <w:i/>
                <w:iCs/>
                <w:sz w:val="20"/>
                <w:szCs w:val="20"/>
              </w:rPr>
            </w:pPr>
            <w:r w:rsidRPr="002A1FE6">
              <w:rPr>
                <w:rFonts w:ascii="Arial" w:hAnsi="Arial" w:cs="Arial"/>
                <w:i/>
                <w:iCs/>
                <w:sz w:val="20"/>
                <w:szCs w:val="20"/>
              </w:rPr>
              <w:t>Klebsiella oxytoca (n=1)</w:t>
            </w:r>
          </w:p>
        </w:tc>
        <w:tc>
          <w:tcPr>
            <w:tcW w:w="1701" w:type="dxa"/>
            <w:tcBorders>
              <w:top w:val="single" w:sz="12" w:space="0" w:color="000000"/>
            </w:tcBorders>
          </w:tcPr>
          <w:p w14:paraId="59DBF9EC" w14:textId="71680A76"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Borders>
              <w:top w:val="single" w:sz="12" w:space="0" w:color="000000"/>
            </w:tcBorders>
          </w:tcPr>
          <w:p w14:paraId="670FA6A7" w14:textId="3CD62C3B"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Borders>
              <w:top w:val="single" w:sz="12" w:space="0" w:color="000000"/>
            </w:tcBorders>
          </w:tcPr>
          <w:p w14:paraId="4D74BEFA" w14:textId="25DAD8C3"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r w:rsidR="00A03192" w:rsidRPr="00A03192" w14:paraId="10F8E75C" w14:textId="12CF59E2" w:rsidTr="00A03192">
        <w:trPr>
          <w:trHeight w:val="267"/>
        </w:trPr>
        <w:tc>
          <w:tcPr>
            <w:tcW w:w="2977" w:type="dxa"/>
            <w:shd w:val="clear" w:color="auto" w:fill="auto"/>
          </w:tcPr>
          <w:p w14:paraId="6C7DE5ED" w14:textId="12DAFFCD" w:rsidR="00A03192" w:rsidRPr="002A1FE6" w:rsidRDefault="00A03192" w:rsidP="001F4F29">
            <w:pPr>
              <w:spacing w:line="276" w:lineRule="auto"/>
              <w:rPr>
                <w:rFonts w:ascii="Arial" w:hAnsi="Arial" w:cs="Arial"/>
                <w:i/>
                <w:iCs/>
                <w:sz w:val="20"/>
                <w:szCs w:val="20"/>
              </w:rPr>
            </w:pPr>
            <w:r w:rsidRPr="002A1FE6">
              <w:rPr>
                <w:rFonts w:ascii="Arial" w:hAnsi="Arial" w:cs="Arial"/>
                <w:i/>
                <w:iCs/>
                <w:sz w:val="20"/>
                <w:szCs w:val="20"/>
              </w:rPr>
              <w:t xml:space="preserve">Enterobacter </w:t>
            </w:r>
            <w:r w:rsidR="001F4F29" w:rsidRPr="002A1FE6">
              <w:rPr>
                <w:rFonts w:ascii="Arial" w:hAnsi="Arial" w:cs="Arial"/>
                <w:i/>
                <w:iCs/>
                <w:sz w:val="20"/>
                <w:szCs w:val="20"/>
              </w:rPr>
              <w:t>aerogenes (</w:t>
            </w:r>
            <w:r w:rsidRPr="002A1FE6">
              <w:rPr>
                <w:rFonts w:ascii="Arial" w:hAnsi="Arial" w:cs="Arial"/>
                <w:i/>
                <w:iCs/>
                <w:sz w:val="20"/>
                <w:szCs w:val="20"/>
              </w:rPr>
              <w:t>n=1)</w:t>
            </w:r>
          </w:p>
        </w:tc>
        <w:tc>
          <w:tcPr>
            <w:tcW w:w="1701" w:type="dxa"/>
          </w:tcPr>
          <w:p w14:paraId="34EAB274" w14:textId="082626E6"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Pr>
          <w:p w14:paraId="2ACCE1A3" w14:textId="406BC6EE"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Pr>
          <w:p w14:paraId="37B7FD82" w14:textId="7A3DEA98"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r w:rsidR="00A03192" w:rsidRPr="00A03192" w14:paraId="1A6009CE" w14:textId="288525DE" w:rsidTr="001F4F29">
        <w:trPr>
          <w:trHeight w:val="252"/>
        </w:trPr>
        <w:tc>
          <w:tcPr>
            <w:tcW w:w="2977" w:type="dxa"/>
            <w:shd w:val="clear" w:color="auto" w:fill="auto"/>
          </w:tcPr>
          <w:p w14:paraId="37D0704A" w14:textId="26C1AFEC" w:rsidR="00A03192" w:rsidRPr="002A1FE6" w:rsidRDefault="00A03192" w:rsidP="001F4F29">
            <w:pPr>
              <w:spacing w:line="276" w:lineRule="auto"/>
              <w:rPr>
                <w:rFonts w:ascii="Arial" w:hAnsi="Arial" w:cs="Arial"/>
                <w:i/>
                <w:iCs/>
                <w:sz w:val="20"/>
                <w:szCs w:val="20"/>
              </w:rPr>
            </w:pPr>
            <w:r w:rsidRPr="002A1FE6">
              <w:rPr>
                <w:rFonts w:ascii="Arial" w:hAnsi="Arial" w:cs="Arial"/>
                <w:i/>
                <w:iCs/>
                <w:sz w:val="20"/>
                <w:szCs w:val="20"/>
              </w:rPr>
              <w:t xml:space="preserve">Klebsiella </w:t>
            </w:r>
            <w:r w:rsidR="001F4F29" w:rsidRPr="002A1FE6">
              <w:rPr>
                <w:rFonts w:ascii="Arial" w:hAnsi="Arial" w:cs="Arial"/>
                <w:i/>
                <w:iCs/>
                <w:sz w:val="20"/>
                <w:szCs w:val="20"/>
              </w:rPr>
              <w:t>pneumoniae (</w:t>
            </w:r>
            <w:r w:rsidRPr="002A1FE6">
              <w:rPr>
                <w:rFonts w:ascii="Arial" w:hAnsi="Arial" w:cs="Arial"/>
                <w:i/>
                <w:iCs/>
                <w:sz w:val="20"/>
                <w:szCs w:val="20"/>
              </w:rPr>
              <w:t>n=1)</w:t>
            </w:r>
          </w:p>
        </w:tc>
        <w:tc>
          <w:tcPr>
            <w:tcW w:w="1701" w:type="dxa"/>
          </w:tcPr>
          <w:p w14:paraId="5270A5BE" w14:textId="6882B7D2"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Pr>
          <w:p w14:paraId="46934237" w14:textId="7DBF485C"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Pr>
          <w:p w14:paraId="170A6D9F" w14:textId="71649133"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r w:rsidR="00A03192" w:rsidRPr="00A03192" w14:paraId="5DFA1467" w14:textId="061C3A8B" w:rsidTr="001F4F29">
        <w:trPr>
          <w:trHeight w:val="267"/>
        </w:trPr>
        <w:tc>
          <w:tcPr>
            <w:tcW w:w="2977" w:type="dxa"/>
            <w:tcBorders>
              <w:bottom w:val="single" w:sz="12" w:space="0" w:color="000000"/>
            </w:tcBorders>
            <w:shd w:val="clear" w:color="auto" w:fill="auto"/>
          </w:tcPr>
          <w:p w14:paraId="7164E4CC" w14:textId="109E9DC6" w:rsidR="00A03192" w:rsidRPr="002A1FE6" w:rsidRDefault="00A67816" w:rsidP="001F4F29">
            <w:pPr>
              <w:spacing w:line="276" w:lineRule="auto"/>
              <w:rPr>
                <w:rFonts w:ascii="Arial" w:hAnsi="Arial" w:cs="Arial"/>
                <w:i/>
                <w:iCs/>
                <w:sz w:val="20"/>
                <w:szCs w:val="20"/>
              </w:rPr>
            </w:pPr>
            <w:r w:rsidRPr="002A1FE6">
              <w:rPr>
                <w:rFonts w:ascii="Arial" w:hAnsi="Arial" w:cs="Arial"/>
                <w:i/>
                <w:iCs/>
                <w:sz w:val="20"/>
                <w:szCs w:val="20"/>
              </w:rPr>
              <w:t>Enterobacter</w:t>
            </w:r>
            <w:r w:rsidR="00A03192" w:rsidRPr="002A1FE6">
              <w:rPr>
                <w:rFonts w:ascii="Arial" w:hAnsi="Arial" w:cs="Arial"/>
                <w:i/>
                <w:iCs/>
                <w:sz w:val="20"/>
                <w:szCs w:val="20"/>
              </w:rPr>
              <w:t xml:space="preserve"> </w:t>
            </w:r>
            <w:r w:rsidR="001F4F29" w:rsidRPr="002A1FE6">
              <w:rPr>
                <w:rFonts w:ascii="Arial" w:hAnsi="Arial" w:cs="Arial"/>
                <w:i/>
                <w:iCs/>
                <w:sz w:val="20"/>
                <w:szCs w:val="20"/>
              </w:rPr>
              <w:t>cloacae (</w:t>
            </w:r>
            <w:r w:rsidR="00A03192" w:rsidRPr="002A1FE6">
              <w:rPr>
                <w:rFonts w:ascii="Arial" w:hAnsi="Arial" w:cs="Arial"/>
                <w:i/>
                <w:iCs/>
                <w:sz w:val="20"/>
                <w:szCs w:val="20"/>
              </w:rPr>
              <w:t>n=1)</w:t>
            </w:r>
          </w:p>
        </w:tc>
        <w:tc>
          <w:tcPr>
            <w:tcW w:w="1701" w:type="dxa"/>
            <w:tcBorders>
              <w:bottom w:val="single" w:sz="12" w:space="0" w:color="000000"/>
            </w:tcBorders>
          </w:tcPr>
          <w:p w14:paraId="46AA5275" w14:textId="2C8C1DAE"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701" w:type="dxa"/>
            <w:tcBorders>
              <w:bottom w:val="single" w:sz="12" w:space="0" w:color="000000"/>
            </w:tcBorders>
          </w:tcPr>
          <w:p w14:paraId="0F2A1F29" w14:textId="19079922" w:rsidR="00A03192" w:rsidRPr="00A03192" w:rsidRDefault="00A03192" w:rsidP="001F4F29">
            <w:pPr>
              <w:spacing w:line="276" w:lineRule="auto"/>
              <w:jc w:val="center"/>
              <w:rPr>
                <w:rFonts w:ascii="Arial" w:hAnsi="Arial" w:cs="Arial"/>
                <w:sz w:val="20"/>
                <w:szCs w:val="20"/>
              </w:rPr>
            </w:pPr>
            <w:r>
              <w:rPr>
                <w:rFonts w:ascii="Arial" w:hAnsi="Arial" w:cs="Arial"/>
                <w:sz w:val="20"/>
                <w:szCs w:val="20"/>
              </w:rPr>
              <w:t>Positive</w:t>
            </w:r>
          </w:p>
        </w:tc>
        <w:tc>
          <w:tcPr>
            <w:tcW w:w="1829" w:type="dxa"/>
            <w:tcBorders>
              <w:bottom w:val="single" w:sz="12" w:space="0" w:color="000000"/>
            </w:tcBorders>
          </w:tcPr>
          <w:p w14:paraId="03FE8871" w14:textId="06221A2A" w:rsidR="00A03192" w:rsidRPr="001F4F29" w:rsidRDefault="00A03192" w:rsidP="001F4F29">
            <w:pPr>
              <w:spacing w:line="276" w:lineRule="auto"/>
              <w:jc w:val="center"/>
              <w:rPr>
                <w:rFonts w:ascii="Arial" w:hAnsi="Arial" w:cs="Arial"/>
                <w:sz w:val="20"/>
                <w:szCs w:val="20"/>
              </w:rPr>
            </w:pPr>
            <w:r w:rsidRPr="001F4F29">
              <w:rPr>
                <w:rFonts w:ascii="Arial" w:hAnsi="Arial" w:cs="Arial"/>
                <w:sz w:val="20"/>
                <w:szCs w:val="20"/>
              </w:rPr>
              <w:t>Negative</w:t>
            </w:r>
          </w:p>
        </w:tc>
      </w:tr>
    </w:tbl>
    <w:p w14:paraId="726D4D22" w14:textId="52E1B5F1" w:rsidR="00E6775C" w:rsidRDefault="00E6775C" w:rsidP="00441B6F">
      <w:pPr>
        <w:pStyle w:val="Body"/>
        <w:spacing w:after="0"/>
        <w:rPr>
          <w:rFonts w:ascii="Arial" w:hAnsi="Arial" w:cs="Arial"/>
        </w:rPr>
      </w:pPr>
    </w:p>
    <w:p w14:paraId="4E9C3514" w14:textId="77777777" w:rsidR="00863BD3" w:rsidRPr="00FB3A86" w:rsidRDefault="00863BD3" w:rsidP="00441B6F">
      <w:pPr>
        <w:pStyle w:val="Body"/>
        <w:spacing w:after="0"/>
        <w:rPr>
          <w:rFonts w:ascii="Arial" w:hAnsi="Arial" w:cs="Arial"/>
        </w:rPr>
      </w:pPr>
    </w:p>
    <w:p w14:paraId="3E33C4CC" w14:textId="0E91C6B4" w:rsidR="00E053D0" w:rsidRDefault="00E6775C" w:rsidP="00441B6F">
      <w:pPr>
        <w:pStyle w:val="Body"/>
        <w:spacing w:after="0"/>
        <w:rPr>
          <w:rFonts w:ascii="Arial" w:hAnsi="Arial" w:cs="Arial"/>
          <w:b/>
          <w:bCs/>
          <w:sz w:val="24"/>
          <w:szCs w:val="24"/>
        </w:rPr>
      </w:pPr>
      <w:r w:rsidRPr="005D7002">
        <w:rPr>
          <w:rFonts w:ascii="Arial" w:hAnsi="Arial" w:cs="Arial"/>
          <w:b/>
          <w:bCs/>
          <w:sz w:val="24"/>
          <w:szCs w:val="24"/>
        </w:rPr>
        <w:t>3.2 Discussion</w:t>
      </w:r>
    </w:p>
    <w:p w14:paraId="51C99E64" w14:textId="77777777" w:rsidR="00FB7345" w:rsidRPr="005D7002" w:rsidRDefault="00FB7345" w:rsidP="00441B6F">
      <w:pPr>
        <w:pStyle w:val="Body"/>
        <w:spacing w:after="0"/>
        <w:rPr>
          <w:rFonts w:ascii="Arial" w:hAnsi="Arial" w:cs="Arial"/>
          <w:b/>
          <w:bCs/>
          <w:sz w:val="24"/>
          <w:szCs w:val="24"/>
        </w:rPr>
      </w:pPr>
    </w:p>
    <w:p w14:paraId="260C28DB" w14:textId="77777777" w:rsidR="0078182D" w:rsidRDefault="0078182D" w:rsidP="0078182D">
      <w:pPr>
        <w:pStyle w:val="Body"/>
        <w:spacing w:after="0"/>
        <w:rPr>
          <w:rFonts w:ascii="Arial" w:hAnsi="Arial" w:cs="Arial"/>
          <w:lang w:val="en-GB"/>
        </w:rPr>
      </w:pPr>
      <w:r w:rsidRPr="0078182D">
        <w:rPr>
          <w:rFonts w:ascii="Arial" w:hAnsi="Arial" w:cs="Arial"/>
          <w:b/>
          <w:bCs/>
          <w:lang w:val="en-GB"/>
        </w:rPr>
        <w:t>Sex and Age Distribution</w:t>
      </w:r>
    </w:p>
    <w:p w14:paraId="645B3E73" w14:textId="20BA64CB" w:rsidR="0078182D" w:rsidRDefault="0078182D" w:rsidP="0078182D">
      <w:pPr>
        <w:pStyle w:val="Body"/>
        <w:spacing w:after="0"/>
        <w:rPr>
          <w:rFonts w:ascii="Arial" w:hAnsi="Arial" w:cs="Arial"/>
          <w:lang w:val="en-GB"/>
        </w:rPr>
      </w:pPr>
      <w:r w:rsidRPr="0078182D">
        <w:rPr>
          <w:rFonts w:ascii="Arial" w:hAnsi="Arial" w:cs="Arial"/>
          <w:lang w:val="en-GB"/>
        </w:rPr>
        <w:t xml:space="preserve">Increased susceptibility to Enterobacteriaceae infections among females has been reported in multiple studies, although findings remain inconsistent. For instance, </w:t>
      </w:r>
      <w:r w:rsidR="00FE6DDA">
        <w:rPr>
          <w:rFonts w:ascii="Arial" w:hAnsi="Arial" w:cs="Arial"/>
          <w:lang w:val="en-GB"/>
        </w:rPr>
        <w:t>(</w:t>
      </w:r>
      <w:proofErr w:type="spellStart"/>
      <w:r w:rsidRPr="0078182D">
        <w:rPr>
          <w:rFonts w:ascii="Arial" w:hAnsi="Arial" w:cs="Arial"/>
          <w:lang w:val="en-GB"/>
        </w:rPr>
        <w:t>Zrardi</w:t>
      </w:r>
      <w:proofErr w:type="spellEnd"/>
      <w:r w:rsidR="00FE6DDA">
        <w:rPr>
          <w:rFonts w:ascii="Arial" w:hAnsi="Arial" w:cs="Arial"/>
          <w:lang w:val="en-GB"/>
        </w:rPr>
        <w:t xml:space="preserve">, </w:t>
      </w:r>
      <w:r w:rsidRPr="0078182D">
        <w:rPr>
          <w:rFonts w:ascii="Arial" w:hAnsi="Arial" w:cs="Arial"/>
          <w:lang w:val="en-GB"/>
        </w:rPr>
        <w:t xml:space="preserve">2020) noted a female predominance in oral infections, while </w:t>
      </w:r>
      <w:r w:rsidR="00FE6DDA">
        <w:rPr>
          <w:rFonts w:ascii="Arial" w:hAnsi="Arial" w:cs="Arial"/>
          <w:lang w:val="en-GB"/>
        </w:rPr>
        <w:t>(</w:t>
      </w:r>
      <w:r w:rsidRPr="0078182D">
        <w:rPr>
          <w:rFonts w:ascii="Arial" w:hAnsi="Arial" w:cs="Arial"/>
          <w:lang w:val="en-GB"/>
        </w:rPr>
        <w:t>Gadegbeku et al</w:t>
      </w:r>
      <w:r w:rsidR="00FE6DDA">
        <w:rPr>
          <w:rFonts w:ascii="Arial" w:hAnsi="Arial" w:cs="Arial"/>
          <w:lang w:val="en-GB"/>
        </w:rPr>
        <w:t>,</w:t>
      </w:r>
      <w:r w:rsidRPr="0078182D">
        <w:rPr>
          <w:rFonts w:ascii="Arial" w:hAnsi="Arial" w:cs="Arial"/>
          <w:lang w:val="en-GB"/>
        </w:rPr>
        <w:t xml:space="preserve">2000) found no statistically significant gender difference in </w:t>
      </w:r>
      <w:proofErr w:type="spellStart"/>
      <w:r w:rsidRPr="0078182D">
        <w:rPr>
          <w:rFonts w:ascii="Arial" w:hAnsi="Arial" w:cs="Arial"/>
          <w:lang w:val="en-GB"/>
        </w:rPr>
        <w:t>stomatological</w:t>
      </w:r>
      <w:proofErr w:type="spellEnd"/>
      <w:r w:rsidRPr="0078182D">
        <w:rPr>
          <w:rFonts w:ascii="Arial" w:hAnsi="Arial" w:cs="Arial"/>
          <w:lang w:val="en-GB"/>
        </w:rPr>
        <w:t xml:space="preserve"> infection prevalence. Age-related vulnerability was also evident, with studies such as </w:t>
      </w:r>
      <w:r w:rsidR="00FE6DDA">
        <w:rPr>
          <w:rFonts w:ascii="Arial" w:hAnsi="Arial" w:cs="Arial"/>
          <w:lang w:val="en-GB"/>
        </w:rPr>
        <w:t>(</w:t>
      </w:r>
      <w:r w:rsidRPr="0078182D">
        <w:rPr>
          <w:rFonts w:ascii="Arial" w:hAnsi="Arial" w:cs="Arial"/>
          <w:lang w:val="en-GB"/>
        </w:rPr>
        <w:t>Dia et al</w:t>
      </w:r>
      <w:r w:rsidR="00FE6DDA">
        <w:rPr>
          <w:rFonts w:ascii="Arial" w:hAnsi="Arial" w:cs="Arial"/>
          <w:lang w:val="en-GB"/>
        </w:rPr>
        <w:t xml:space="preserve">, </w:t>
      </w:r>
      <w:r w:rsidRPr="0078182D">
        <w:rPr>
          <w:rFonts w:ascii="Arial" w:hAnsi="Arial" w:cs="Arial"/>
          <w:lang w:val="en-GB"/>
        </w:rPr>
        <w:t>2015) in Dakar reporting higher infection rates in individuals aged 35–60 years, consistent with our observations.</w:t>
      </w:r>
    </w:p>
    <w:p w14:paraId="12FE101A" w14:textId="77777777" w:rsidR="00FB7345" w:rsidRPr="0078182D" w:rsidRDefault="00FB7345" w:rsidP="0078182D">
      <w:pPr>
        <w:pStyle w:val="Body"/>
        <w:spacing w:after="0"/>
        <w:rPr>
          <w:rFonts w:ascii="Arial" w:hAnsi="Arial" w:cs="Arial"/>
          <w:lang w:val="en-GB"/>
        </w:rPr>
      </w:pPr>
    </w:p>
    <w:p w14:paraId="66D55B6B" w14:textId="77777777" w:rsidR="0078182D" w:rsidRDefault="0078182D" w:rsidP="0078182D">
      <w:pPr>
        <w:pStyle w:val="Body"/>
        <w:spacing w:after="0"/>
        <w:rPr>
          <w:rFonts w:ascii="Arial" w:hAnsi="Arial" w:cs="Arial"/>
          <w:lang w:val="en-GB"/>
        </w:rPr>
      </w:pPr>
      <w:r w:rsidRPr="0078182D">
        <w:rPr>
          <w:rFonts w:ascii="Arial" w:hAnsi="Arial" w:cs="Arial"/>
          <w:b/>
          <w:bCs/>
          <w:lang w:val="en-GB"/>
        </w:rPr>
        <w:t>Socioeconomic Factors and Oral Hygiene</w:t>
      </w:r>
      <w:r>
        <w:rPr>
          <w:rFonts w:ascii="Arial" w:hAnsi="Arial" w:cs="Arial"/>
          <w:lang w:val="en-GB"/>
        </w:rPr>
        <w:t xml:space="preserve"> </w:t>
      </w:r>
    </w:p>
    <w:p w14:paraId="1B77B731" w14:textId="6CA4D465" w:rsidR="0078182D" w:rsidRDefault="0078182D" w:rsidP="0078182D">
      <w:pPr>
        <w:pStyle w:val="Body"/>
        <w:spacing w:after="0"/>
        <w:rPr>
          <w:rFonts w:ascii="Arial" w:hAnsi="Arial" w:cs="Arial"/>
          <w:lang w:val="en-GB"/>
        </w:rPr>
      </w:pPr>
      <w:r w:rsidRPr="0078182D">
        <w:rPr>
          <w:rFonts w:ascii="Arial" w:hAnsi="Arial" w:cs="Arial"/>
          <w:lang w:val="en-GB"/>
        </w:rPr>
        <w:t xml:space="preserve">Limited financial means and unemployment may impede access to oral hygiene resources and dental care. </w:t>
      </w:r>
      <w:r w:rsidR="00FE6DDA" w:rsidRPr="00FE6DDA">
        <w:rPr>
          <w:rFonts w:ascii="Arial" w:hAnsi="Arial" w:cs="Arial"/>
          <w:lang w:val="en-GB"/>
        </w:rPr>
        <w:t>(</w:t>
      </w:r>
      <w:r w:rsidRPr="0078182D">
        <w:rPr>
          <w:rFonts w:ascii="Arial" w:hAnsi="Arial" w:cs="Arial"/>
          <w:lang w:val="en-GB"/>
        </w:rPr>
        <w:t>Gadegbeku et al. 2000) previously associated low socioeconomic status with increased incidence of oral infections, reinforcing our findings where 40.54% of patients were unemployed.</w:t>
      </w:r>
    </w:p>
    <w:p w14:paraId="40F2B2A9" w14:textId="77777777" w:rsidR="0078182D" w:rsidRPr="0078182D" w:rsidRDefault="0078182D" w:rsidP="0078182D">
      <w:pPr>
        <w:pStyle w:val="Body"/>
        <w:spacing w:after="0"/>
        <w:rPr>
          <w:rFonts w:ascii="Arial" w:hAnsi="Arial" w:cs="Arial"/>
          <w:lang w:val="en-GB"/>
        </w:rPr>
      </w:pPr>
    </w:p>
    <w:p w14:paraId="2566F04D" w14:textId="77777777" w:rsidR="0078182D" w:rsidRDefault="0078182D" w:rsidP="0078182D">
      <w:pPr>
        <w:pStyle w:val="Body"/>
        <w:spacing w:after="0"/>
        <w:rPr>
          <w:rFonts w:ascii="Arial" w:hAnsi="Arial" w:cs="Arial"/>
          <w:lang w:val="en-GB"/>
        </w:rPr>
      </w:pPr>
      <w:r w:rsidRPr="0078182D">
        <w:rPr>
          <w:rFonts w:ascii="Arial" w:hAnsi="Arial" w:cs="Arial"/>
          <w:b/>
          <w:bCs/>
          <w:lang w:val="en-GB"/>
        </w:rPr>
        <w:t>Reasons for Consultation and Self-medication Practices</w:t>
      </w:r>
    </w:p>
    <w:p w14:paraId="5ABB9E7A" w14:textId="3D99896C" w:rsidR="0078182D" w:rsidRDefault="0078182D" w:rsidP="0078182D">
      <w:pPr>
        <w:pStyle w:val="Body"/>
        <w:spacing w:after="0"/>
        <w:rPr>
          <w:rFonts w:ascii="Arial" w:hAnsi="Arial" w:cs="Arial"/>
          <w:lang w:val="en-GB"/>
        </w:rPr>
      </w:pPr>
      <w:r w:rsidRPr="0078182D">
        <w:rPr>
          <w:rFonts w:ascii="Arial" w:hAnsi="Arial" w:cs="Arial"/>
          <w:lang w:val="en-GB"/>
        </w:rPr>
        <w:t xml:space="preserve">Pain was the most commonly reported symptom (100%), followed by swelling and suppuration—findings echoed in </w:t>
      </w:r>
      <w:r w:rsidR="00FE6DDA" w:rsidRPr="00FE6DDA">
        <w:rPr>
          <w:rFonts w:ascii="Arial" w:hAnsi="Arial" w:cs="Arial"/>
          <w:lang w:val="en-GB"/>
        </w:rPr>
        <w:t>(</w:t>
      </w:r>
      <w:proofErr w:type="spellStart"/>
      <w:r w:rsidRPr="0078182D">
        <w:rPr>
          <w:rFonts w:ascii="Arial" w:hAnsi="Arial" w:cs="Arial"/>
          <w:lang w:val="en-GB"/>
        </w:rPr>
        <w:t>Chechom’s</w:t>
      </w:r>
      <w:proofErr w:type="spellEnd"/>
      <w:r w:rsidRPr="0078182D">
        <w:rPr>
          <w:rFonts w:ascii="Arial" w:hAnsi="Arial" w:cs="Arial"/>
          <w:lang w:val="en-GB"/>
        </w:rPr>
        <w:t xml:space="preserve"> </w:t>
      </w:r>
      <w:r w:rsidR="00FE6DDA" w:rsidRPr="00FE6DDA">
        <w:rPr>
          <w:rFonts w:ascii="Arial" w:hAnsi="Arial" w:cs="Arial"/>
          <w:lang w:val="en-GB"/>
        </w:rPr>
        <w:t>,</w:t>
      </w:r>
      <w:r w:rsidRPr="0078182D">
        <w:rPr>
          <w:rFonts w:ascii="Arial" w:hAnsi="Arial" w:cs="Arial"/>
          <w:lang w:val="en-GB"/>
        </w:rPr>
        <w:t>2010</w:t>
      </w:r>
      <w:r w:rsidR="00FE6DDA" w:rsidRPr="00FE6DDA">
        <w:rPr>
          <w:rFonts w:ascii="Arial" w:hAnsi="Arial" w:cs="Arial"/>
          <w:lang w:val="en-GB"/>
        </w:rPr>
        <w:t>)</w:t>
      </w:r>
      <w:r w:rsidRPr="0078182D">
        <w:rPr>
          <w:rFonts w:ascii="Arial" w:hAnsi="Arial" w:cs="Arial"/>
          <w:lang w:val="en-GB"/>
        </w:rPr>
        <w:t xml:space="preserve"> study on maxillofacial infections in Abidjan. Self-medication was reported in 75% of our patients, aligning with a Brazilian study by </w:t>
      </w:r>
      <w:r w:rsidR="00FE6DDA">
        <w:rPr>
          <w:rFonts w:ascii="Arial" w:hAnsi="Arial" w:cs="Arial"/>
          <w:lang w:val="en-GB"/>
        </w:rPr>
        <w:t>(</w:t>
      </w:r>
      <w:r w:rsidRPr="0078182D">
        <w:rPr>
          <w:rFonts w:ascii="Arial" w:hAnsi="Arial" w:cs="Arial"/>
          <w:lang w:val="en-GB"/>
        </w:rPr>
        <w:t>de Paula et al</w:t>
      </w:r>
      <w:r w:rsidR="00FE6DDA">
        <w:rPr>
          <w:rFonts w:ascii="Arial" w:hAnsi="Arial" w:cs="Arial"/>
          <w:lang w:val="en-GB"/>
        </w:rPr>
        <w:t>.</w:t>
      </w:r>
      <w:r w:rsidR="00FE6DDA" w:rsidRPr="00FE6DDA">
        <w:rPr>
          <w:rFonts w:ascii="Arial" w:hAnsi="Arial" w:cs="Arial"/>
          <w:lang w:val="en-GB"/>
        </w:rPr>
        <w:t xml:space="preserve">, </w:t>
      </w:r>
      <w:r w:rsidRPr="0078182D">
        <w:rPr>
          <w:rFonts w:ascii="Arial" w:hAnsi="Arial" w:cs="Arial"/>
          <w:lang w:val="en-GB"/>
        </w:rPr>
        <w:t xml:space="preserve">2014), which documented high rates of non-prescribed drug use. By contrast, </w:t>
      </w:r>
      <w:r w:rsidRPr="0078182D">
        <w:rPr>
          <w:rFonts w:ascii="Arial" w:hAnsi="Arial" w:cs="Arial"/>
          <w:lang w:val="en-GB"/>
        </w:rPr>
        <w:lastRenderedPageBreak/>
        <w:t>studies in Burkina Faso (Kaboré et al., 2016) and Abidjan (</w:t>
      </w:r>
      <w:proofErr w:type="spellStart"/>
      <w:r w:rsidRPr="0078182D">
        <w:rPr>
          <w:rFonts w:ascii="Arial" w:hAnsi="Arial" w:cs="Arial"/>
          <w:lang w:val="en-GB"/>
        </w:rPr>
        <w:t>Souaga</w:t>
      </w:r>
      <w:proofErr w:type="spellEnd"/>
      <w:r w:rsidRPr="0078182D">
        <w:rPr>
          <w:rFonts w:ascii="Arial" w:hAnsi="Arial" w:cs="Arial"/>
          <w:lang w:val="en-GB"/>
        </w:rPr>
        <w:t xml:space="preserve"> et al., 2000) recorded lower frequencies (30.4% and 37.3%, respectively), indicating geographic and cultural variation in self-care behaviours.</w:t>
      </w:r>
    </w:p>
    <w:p w14:paraId="4CAB704C" w14:textId="77777777" w:rsidR="0078182D" w:rsidRPr="0078182D" w:rsidRDefault="0078182D" w:rsidP="0078182D">
      <w:pPr>
        <w:pStyle w:val="Body"/>
        <w:spacing w:after="0"/>
        <w:rPr>
          <w:rFonts w:ascii="Arial" w:hAnsi="Arial" w:cs="Arial"/>
          <w:lang w:val="en-GB"/>
        </w:rPr>
      </w:pPr>
    </w:p>
    <w:p w14:paraId="0BAD9970" w14:textId="77777777" w:rsidR="0078182D" w:rsidRDefault="0078182D" w:rsidP="0078182D">
      <w:pPr>
        <w:pStyle w:val="Body"/>
        <w:spacing w:after="0"/>
        <w:rPr>
          <w:rFonts w:ascii="Arial" w:hAnsi="Arial" w:cs="Arial"/>
          <w:lang w:val="en-GB"/>
        </w:rPr>
      </w:pPr>
      <w:r w:rsidRPr="0078182D">
        <w:rPr>
          <w:rFonts w:ascii="Arial" w:hAnsi="Arial" w:cs="Arial"/>
          <w:b/>
          <w:bCs/>
          <w:lang w:val="en-GB"/>
        </w:rPr>
        <w:t>Enterobacteriaceae Isolation in the Oral Cavity</w:t>
      </w:r>
    </w:p>
    <w:p w14:paraId="6ABB99B1" w14:textId="1578F39F" w:rsidR="0078182D" w:rsidRDefault="0078182D" w:rsidP="0078182D">
      <w:pPr>
        <w:pStyle w:val="Body"/>
        <w:spacing w:after="0"/>
        <w:rPr>
          <w:rFonts w:ascii="Arial" w:hAnsi="Arial" w:cs="Arial"/>
          <w:lang w:val="en-GB"/>
        </w:rPr>
      </w:pPr>
      <w:r w:rsidRPr="0078182D">
        <w:rPr>
          <w:rFonts w:ascii="Arial" w:hAnsi="Arial" w:cs="Arial"/>
          <w:lang w:val="en-GB"/>
        </w:rPr>
        <w:t xml:space="preserve">Enterobacteriaceae were isolated in 5.4% of oral samples, a finding close to that of </w:t>
      </w:r>
      <w:r w:rsidR="00FE6DDA" w:rsidRPr="00FE6DDA">
        <w:rPr>
          <w:rFonts w:ascii="Arial" w:hAnsi="Arial" w:cs="Arial"/>
          <w:lang w:val="en-GB"/>
        </w:rPr>
        <w:t>(</w:t>
      </w:r>
      <w:r w:rsidRPr="0078182D">
        <w:rPr>
          <w:rFonts w:ascii="Arial" w:hAnsi="Arial" w:cs="Arial"/>
          <w:lang w:val="en-GB"/>
        </w:rPr>
        <w:t>Kaboré et al.</w:t>
      </w:r>
      <w:r w:rsidR="00FE6DDA" w:rsidRPr="00FE6DDA">
        <w:rPr>
          <w:rFonts w:ascii="Arial" w:hAnsi="Arial" w:cs="Arial"/>
          <w:lang w:val="en-GB"/>
        </w:rPr>
        <w:t>,</w:t>
      </w:r>
      <w:r w:rsidRPr="0078182D">
        <w:rPr>
          <w:rFonts w:ascii="Arial" w:hAnsi="Arial" w:cs="Arial"/>
          <w:lang w:val="en-GB"/>
        </w:rPr>
        <w:t>2016) in Burkina Faso (3.2%). While infrequent, the detection of these bacteria in the oral cavity supports the concept of microbial imbalance due to ecological and behavioural factors such as poor hygiene, reflux, or traditional medicine use.</w:t>
      </w:r>
    </w:p>
    <w:p w14:paraId="5FD32E46" w14:textId="77777777" w:rsidR="0078182D" w:rsidRPr="0078182D" w:rsidRDefault="0078182D" w:rsidP="0078182D">
      <w:pPr>
        <w:pStyle w:val="Body"/>
        <w:spacing w:after="0"/>
        <w:rPr>
          <w:rFonts w:ascii="Arial" w:hAnsi="Arial" w:cs="Arial"/>
          <w:lang w:val="en-GB"/>
        </w:rPr>
      </w:pPr>
    </w:p>
    <w:p w14:paraId="09289354" w14:textId="77777777" w:rsidR="0078182D" w:rsidRDefault="0078182D" w:rsidP="0078182D">
      <w:pPr>
        <w:pStyle w:val="Body"/>
        <w:spacing w:after="0"/>
        <w:rPr>
          <w:rFonts w:ascii="Arial" w:hAnsi="Arial" w:cs="Arial"/>
          <w:lang w:val="en-GB"/>
        </w:rPr>
      </w:pPr>
      <w:r w:rsidRPr="0078182D">
        <w:rPr>
          <w:rFonts w:ascii="Arial" w:hAnsi="Arial" w:cs="Arial"/>
          <w:b/>
          <w:bCs/>
          <w:lang w:val="en-GB"/>
        </w:rPr>
        <w:t>Antibiotic Resistance and ESBL Genes</w:t>
      </w:r>
    </w:p>
    <w:p w14:paraId="4145BF20" w14:textId="4BC3D64B" w:rsidR="0078182D" w:rsidRDefault="0078182D" w:rsidP="0078182D">
      <w:pPr>
        <w:pStyle w:val="Body"/>
        <w:spacing w:after="0"/>
        <w:rPr>
          <w:rFonts w:ascii="Arial" w:hAnsi="Arial" w:cs="Arial"/>
          <w:lang w:val="en-GB"/>
        </w:rPr>
      </w:pPr>
      <w:r w:rsidRPr="0078182D">
        <w:rPr>
          <w:rFonts w:ascii="Arial" w:hAnsi="Arial" w:cs="Arial"/>
          <w:lang w:val="en-GB"/>
        </w:rPr>
        <w:t>Our results confirm the circulation of ESBL-producing Enterobacteriaceae in the oral environment, with 60% of isolates carrying blaCTX-M-2 or blaCTX-M-8 genes, a trend also seen in Algeria (</w:t>
      </w:r>
      <w:proofErr w:type="spellStart"/>
      <w:r w:rsidRPr="0078182D">
        <w:rPr>
          <w:rFonts w:ascii="Arial" w:hAnsi="Arial" w:cs="Arial"/>
          <w:lang w:val="en-GB"/>
        </w:rPr>
        <w:t>Lagha</w:t>
      </w:r>
      <w:proofErr w:type="spellEnd"/>
      <w:r w:rsidRPr="0078182D">
        <w:rPr>
          <w:rFonts w:ascii="Arial" w:hAnsi="Arial" w:cs="Arial"/>
          <w:lang w:val="en-GB"/>
        </w:rPr>
        <w:t>, 2015) and other regions. These genes confer resistance to third-generation cephalosporins and are often plasmid-mediated, facilitating horizontal gene transfer (</w:t>
      </w:r>
      <w:proofErr w:type="spellStart"/>
      <w:r w:rsidRPr="0078182D">
        <w:rPr>
          <w:rFonts w:ascii="Arial" w:hAnsi="Arial" w:cs="Arial"/>
          <w:lang w:val="en-GB"/>
        </w:rPr>
        <w:t>Gassama</w:t>
      </w:r>
      <w:proofErr w:type="spellEnd"/>
      <w:r w:rsidRPr="0078182D">
        <w:rPr>
          <w:rFonts w:ascii="Arial" w:hAnsi="Arial" w:cs="Arial"/>
          <w:lang w:val="en-GB"/>
        </w:rPr>
        <w:t>, 2004</w:t>
      </w:r>
      <w:r w:rsidR="00485BBF" w:rsidRPr="00FE6DDA">
        <w:rPr>
          <w:rFonts w:ascii="Arial" w:hAnsi="Arial" w:cs="Arial"/>
          <w:lang w:val="en-GB"/>
        </w:rPr>
        <w:t xml:space="preserve">; </w:t>
      </w:r>
      <w:proofErr w:type="spellStart"/>
      <w:r w:rsidR="00485BBF" w:rsidRPr="004F3024">
        <w:t>Rôcas</w:t>
      </w:r>
      <w:proofErr w:type="spellEnd"/>
      <w:r w:rsidR="00FE6DDA" w:rsidRPr="00FE6DDA">
        <w:t xml:space="preserve"> et al.</w:t>
      </w:r>
      <w:r w:rsidR="00485BBF" w:rsidRPr="00FE6DDA">
        <w:t>,2013</w:t>
      </w:r>
      <w:r w:rsidRPr="0078182D">
        <w:rPr>
          <w:rFonts w:ascii="Arial" w:hAnsi="Arial" w:cs="Arial"/>
          <w:lang w:val="en-GB"/>
        </w:rPr>
        <w:t>).</w:t>
      </w:r>
    </w:p>
    <w:p w14:paraId="468C847B" w14:textId="3F72B8FE" w:rsidR="0078182D" w:rsidRPr="0078182D" w:rsidRDefault="0078182D" w:rsidP="0078182D">
      <w:pPr>
        <w:pStyle w:val="Body"/>
        <w:spacing w:after="0"/>
        <w:rPr>
          <w:rFonts w:ascii="Arial" w:hAnsi="Arial" w:cs="Arial"/>
          <w:lang w:val="en-GB"/>
        </w:rPr>
      </w:pPr>
      <w:r w:rsidRPr="0078182D">
        <w:rPr>
          <w:rFonts w:ascii="Arial" w:hAnsi="Arial" w:cs="Arial"/>
          <w:lang w:val="en-GB"/>
        </w:rPr>
        <w:t xml:space="preserve">In response to the global expansion of ESBL and </w:t>
      </w:r>
      <w:proofErr w:type="spellStart"/>
      <w:r w:rsidRPr="0078182D">
        <w:rPr>
          <w:rFonts w:ascii="Arial" w:hAnsi="Arial" w:cs="Arial"/>
          <w:lang w:val="en-GB"/>
        </w:rPr>
        <w:t>carbapenemase</w:t>
      </w:r>
      <w:proofErr w:type="spellEnd"/>
      <w:r w:rsidRPr="0078182D">
        <w:rPr>
          <w:rFonts w:ascii="Arial" w:hAnsi="Arial" w:cs="Arial"/>
          <w:lang w:val="en-GB"/>
        </w:rPr>
        <w:t xml:space="preserve">-producing organisms, the </w:t>
      </w:r>
      <w:r w:rsidR="00FE6DDA" w:rsidRPr="00FE6DDA">
        <w:rPr>
          <w:rFonts w:ascii="Arial" w:hAnsi="Arial" w:cs="Arial"/>
          <w:lang w:val="en-GB"/>
        </w:rPr>
        <w:t>(</w:t>
      </w:r>
      <w:r w:rsidRPr="0078182D">
        <w:rPr>
          <w:rFonts w:ascii="Arial" w:hAnsi="Arial" w:cs="Arial"/>
          <w:lang w:val="en-GB"/>
        </w:rPr>
        <w:t>WHO</w:t>
      </w:r>
      <w:r w:rsidR="00FE6DDA" w:rsidRPr="00FE6DDA">
        <w:rPr>
          <w:rFonts w:ascii="Arial" w:hAnsi="Arial" w:cs="Arial"/>
          <w:lang w:val="en-GB"/>
        </w:rPr>
        <w:t xml:space="preserve">, </w:t>
      </w:r>
      <w:r w:rsidRPr="0078182D">
        <w:rPr>
          <w:rFonts w:ascii="Arial" w:hAnsi="Arial" w:cs="Arial"/>
          <w:lang w:val="en-GB"/>
        </w:rPr>
        <w:t>2023) advocates for surveillance systems targeting resistance genes and the integration of rapid diagnostics to guide antimicrobial stewardship and infection control.</w:t>
      </w:r>
    </w:p>
    <w:p w14:paraId="39210F20" w14:textId="77777777" w:rsidR="0039342E" w:rsidRDefault="0039342E" w:rsidP="00E6775C">
      <w:pPr>
        <w:pStyle w:val="Body"/>
        <w:spacing w:after="0"/>
        <w:rPr>
          <w:rFonts w:ascii="Arial" w:hAnsi="Arial" w:cs="Arial"/>
          <w:lang w:val="en-GB"/>
        </w:rPr>
      </w:pPr>
    </w:p>
    <w:p w14:paraId="4F44960C" w14:textId="77777777" w:rsidR="00E6775C" w:rsidRPr="00E6775C" w:rsidRDefault="00E6775C" w:rsidP="00441B6F">
      <w:pPr>
        <w:pStyle w:val="Body"/>
        <w:spacing w:after="0"/>
        <w:rPr>
          <w:rFonts w:ascii="Arial" w:hAnsi="Arial" w:cs="Arial"/>
          <w:lang w:val="en-GB"/>
        </w:rPr>
      </w:pPr>
    </w:p>
    <w:p w14:paraId="6311AB30" w14:textId="77777777" w:rsidR="00790ADA" w:rsidRPr="00FB3A86" w:rsidRDefault="00790ADA" w:rsidP="00441B6F">
      <w:pPr>
        <w:pStyle w:val="Body"/>
        <w:spacing w:after="0"/>
        <w:rPr>
          <w:rFonts w:ascii="Arial" w:hAnsi="Arial" w:cs="Arial"/>
        </w:rPr>
      </w:pPr>
    </w:p>
    <w:p w14:paraId="37E12B8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509544" w14:textId="77777777" w:rsidR="00790ADA" w:rsidRPr="00FB3A86" w:rsidRDefault="00790ADA" w:rsidP="00441B6F">
      <w:pPr>
        <w:pStyle w:val="ConcHead"/>
        <w:spacing w:after="0"/>
        <w:jc w:val="both"/>
        <w:rPr>
          <w:rFonts w:ascii="Arial" w:hAnsi="Arial" w:cs="Arial"/>
        </w:rPr>
      </w:pPr>
    </w:p>
    <w:p w14:paraId="6B0E5F20" w14:textId="5983132D" w:rsidR="005D7002" w:rsidRDefault="005D7002" w:rsidP="00441B6F">
      <w:pPr>
        <w:pStyle w:val="AcknHead"/>
        <w:spacing w:after="0"/>
        <w:jc w:val="both"/>
        <w:rPr>
          <w:rFonts w:ascii="Arial" w:hAnsi="Arial" w:cs="Arial"/>
          <w:b w:val="0"/>
          <w:i/>
          <w:iCs/>
          <w:caps w:val="0"/>
          <w:sz w:val="20"/>
        </w:rPr>
      </w:pPr>
      <w:r w:rsidRPr="005D7002">
        <w:rPr>
          <w:rFonts w:ascii="Arial" w:hAnsi="Arial" w:cs="Arial"/>
          <w:b w:val="0"/>
          <w:caps w:val="0"/>
          <w:sz w:val="20"/>
        </w:rPr>
        <w:t xml:space="preserve">The primary objective of this study was to detect resistance genes in extended-spectrum β-lactamase (ESBL)-producing Enterobacteriaceae isolated from the oral cavity. Through this investigation, the prevalence of such isolates within the oral microbiota was established. Although infrequent, these bacteria represent a significant public health concern due to their potential to cause serious oral infections and contribute to antimicrobial resistance. A notable observation was the widespread practice of self-medication among patients, including the use of unregulated ‘street medicines’, often driven by limited access to healthcare services and financial constraints. Furthermore, molecular characterisation of the isolates revealed the presence of plasmid-mediated resistance genes, particularly </w:t>
      </w:r>
      <w:r w:rsidRPr="005D7002">
        <w:rPr>
          <w:rFonts w:ascii="Arial" w:hAnsi="Arial" w:cs="Arial"/>
          <w:b w:val="0"/>
          <w:i/>
          <w:iCs/>
          <w:caps w:val="0"/>
          <w:sz w:val="20"/>
        </w:rPr>
        <w:t>blaCTX-M-2</w:t>
      </w:r>
      <w:r w:rsidRPr="005D7002">
        <w:rPr>
          <w:rFonts w:ascii="Arial" w:hAnsi="Arial" w:cs="Arial"/>
          <w:b w:val="0"/>
          <w:caps w:val="0"/>
          <w:sz w:val="20"/>
        </w:rPr>
        <w:t xml:space="preserve"> and </w:t>
      </w:r>
      <w:r w:rsidRPr="005D7002">
        <w:rPr>
          <w:rFonts w:ascii="Arial" w:hAnsi="Arial" w:cs="Arial"/>
          <w:b w:val="0"/>
          <w:i/>
          <w:iCs/>
          <w:caps w:val="0"/>
          <w:sz w:val="20"/>
        </w:rPr>
        <w:t>blaCTX-M-8</w:t>
      </w:r>
      <w:r w:rsidR="0039342E">
        <w:rPr>
          <w:rFonts w:ascii="Arial" w:hAnsi="Arial" w:cs="Arial"/>
          <w:b w:val="0"/>
          <w:i/>
          <w:iCs/>
          <w:caps w:val="0"/>
          <w:sz w:val="20"/>
        </w:rPr>
        <w:t>.</w:t>
      </w:r>
    </w:p>
    <w:p w14:paraId="7B26BB42" w14:textId="77777777" w:rsidR="005D7002" w:rsidRDefault="005D7002" w:rsidP="00441B6F">
      <w:pPr>
        <w:pStyle w:val="AcknHead"/>
        <w:spacing w:after="0"/>
        <w:jc w:val="both"/>
        <w:rPr>
          <w:rFonts w:ascii="Arial" w:hAnsi="Arial" w:cs="Arial"/>
          <w:b w:val="0"/>
          <w:i/>
          <w:iCs/>
          <w:caps w:val="0"/>
          <w:sz w:val="20"/>
        </w:rPr>
      </w:pPr>
    </w:p>
    <w:p w14:paraId="3249634F" w14:textId="6D6EB94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473A059" w14:textId="77777777" w:rsidR="002B685A" w:rsidRPr="002B685A" w:rsidRDefault="002B685A" w:rsidP="00441B6F">
      <w:pPr>
        <w:pStyle w:val="ReferHead"/>
        <w:spacing w:after="0"/>
        <w:jc w:val="both"/>
        <w:rPr>
          <w:rFonts w:ascii="Arial" w:hAnsi="Arial" w:cs="Arial"/>
          <w:bCs/>
        </w:rPr>
      </w:pPr>
    </w:p>
    <w:p w14:paraId="7B221886" w14:textId="77777777" w:rsidR="001A29D8" w:rsidRDefault="001A29D8" w:rsidP="00441B6F">
      <w:pPr>
        <w:pStyle w:val="ReferHead"/>
        <w:spacing w:after="0"/>
        <w:jc w:val="both"/>
        <w:rPr>
          <w:rFonts w:ascii="Arial" w:hAnsi="Arial" w:cs="Arial"/>
          <w:b w:val="0"/>
          <w:caps w:val="0"/>
          <w:sz w:val="20"/>
        </w:rPr>
      </w:pPr>
    </w:p>
    <w:p w14:paraId="6613C504" w14:textId="1F81E777" w:rsidR="001A29D8" w:rsidRPr="00F469F0" w:rsidRDefault="001A29D8" w:rsidP="00441B6F">
      <w:pPr>
        <w:pStyle w:val="ReferHead"/>
        <w:spacing w:after="0"/>
        <w:jc w:val="both"/>
        <w:rPr>
          <w:rFonts w:ascii="Arial" w:hAnsi="Arial" w:cs="Arial"/>
          <w:b w:val="0"/>
          <w:caps w:val="0"/>
          <w:sz w:val="20"/>
          <w:u w:val="single"/>
        </w:rPr>
      </w:pPr>
      <w:r w:rsidRPr="00D54C2B">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F7A04E5" w14:textId="77777777" w:rsidR="001A29D8" w:rsidRDefault="001A29D8" w:rsidP="00441B6F">
      <w:pPr>
        <w:pStyle w:val="ReferHead"/>
        <w:spacing w:after="0"/>
        <w:jc w:val="both"/>
        <w:rPr>
          <w:rFonts w:ascii="Arial" w:hAnsi="Arial" w:cs="Arial"/>
          <w:b w:val="0"/>
          <w:caps w:val="0"/>
          <w:sz w:val="20"/>
        </w:rPr>
      </w:pPr>
    </w:p>
    <w:p w14:paraId="271A81E3" w14:textId="77777777" w:rsidR="005C784C" w:rsidRDefault="005C784C" w:rsidP="00441B6F">
      <w:pPr>
        <w:pStyle w:val="ReferHead"/>
        <w:spacing w:after="0"/>
        <w:jc w:val="both"/>
        <w:rPr>
          <w:rFonts w:ascii="Arial" w:hAnsi="Arial" w:cs="Arial"/>
          <w:b w:val="0"/>
          <w:caps w:val="0"/>
          <w:sz w:val="20"/>
        </w:rPr>
      </w:pPr>
    </w:p>
    <w:p w14:paraId="3EF599E3" w14:textId="612BC4B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F1D6AAF" w14:textId="77777777" w:rsidR="005C784C" w:rsidRPr="002B685A" w:rsidRDefault="005C784C" w:rsidP="00441B6F">
      <w:pPr>
        <w:pStyle w:val="ReferHead"/>
        <w:spacing w:after="0"/>
        <w:jc w:val="both"/>
        <w:rPr>
          <w:rFonts w:ascii="Arial" w:hAnsi="Arial" w:cs="Arial"/>
          <w:bCs/>
        </w:rPr>
      </w:pPr>
    </w:p>
    <w:p w14:paraId="03FB3DA5" w14:textId="6409103E" w:rsidR="00D54C2B" w:rsidRPr="00D54C2B" w:rsidRDefault="00D54C2B" w:rsidP="00D54C2B">
      <w:pPr>
        <w:autoSpaceDE w:val="0"/>
        <w:autoSpaceDN w:val="0"/>
        <w:adjustRightInd w:val="0"/>
        <w:jc w:val="both"/>
        <w:rPr>
          <w:rFonts w:ascii="Arial" w:eastAsia="Malgun Gothic" w:hAnsi="Arial" w:cs="Arial"/>
          <w:szCs w:val="22"/>
          <w:lang w:val="en-GB" w:eastAsia="x-none"/>
        </w:rPr>
      </w:pPr>
      <w:bookmarkStart w:id="3" w:name="OLE_LINK9"/>
      <w:r w:rsidRPr="00D54C2B">
        <w:rPr>
          <w:rFonts w:ascii="Arial" w:eastAsia="Malgun Gothic" w:hAnsi="Arial" w:cs="Arial"/>
          <w:szCs w:val="22"/>
          <w:lang w:val="en-GB" w:eastAsia="x-none"/>
        </w:rPr>
        <w:t>The study received formal approval from the Pasteur Institute of Côte d'Ivoire. Patient anonymity and the confidentiality of all collected data were strictly maintained throughout the research process, in accordance with ethical standards for biomedical research involving human participants.</w:t>
      </w:r>
      <w:bookmarkEnd w:id="3"/>
      <w:r w:rsidRPr="00D54C2B">
        <w:rPr>
          <w:rFonts w:ascii="Arial" w:eastAsia="Malgun Gothic" w:hAnsi="Arial" w:cs="Arial"/>
          <w:szCs w:val="22"/>
          <w:lang w:val="en-GB" w:eastAsia="x-none"/>
        </w:rPr>
        <w:t xml:space="preserve"> Each participant was informed about the study's objectives, data collection procedures, potential benefits, and associated risks. Informed consent was obtained from all participants prior to inclusion in the study.</w:t>
      </w:r>
    </w:p>
    <w:p w14:paraId="18C689EC" w14:textId="77777777" w:rsidR="00860000" w:rsidRPr="00D54C2B" w:rsidRDefault="00860000" w:rsidP="00441B6F">
      <w:pPr>
        <w:pStyle w:val="ReferHead"/>
        <w:spacing w:after="0"/>
        <w:jc w:val="both"/>
        <w:rPr>
          <w:rFonts w:ascii="Arial" w:hAnsi="Arial" w:cs="Arial"/>
          <w:lang w:val="en-GB"/>
        </w:rPr>
      </w:pPr>
    </w:p>
    <w:p w14:paraId="13A5EC9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CCFA15" w14:textId="77777777" w:rsidR="004F3024" w:rsidRDefault="004F3024" w:rsidP="000D689F">
      <w:pPr>
        <w:pStyle w:val="Body"/>
        <w:spacing w:after="0"/>
        <w:rPr>
          <w:b/>
          <w:iCs/>
          <w:lang w:val="en-GB"/>
        </w:rPr>
      </w:pPr>
    </w:p>
    <w:p w14:paraId="15B143F8" w14:textId="77777777" w:rsidR="009A04C0" w:rsidRPr="009A04C0" w:rsidRDefault="009A04C0" w:rsidP="009A04C0">
      <w:pPr>
        <w:pStyle w:val="Body"/>
        <w:rPr>
          <w:lang w:val="fr-FR"/>
        </w:rPr>
      </w:pPr>
      <w:r w:rsidRPr="009A04C0">
        <w:rPr>
          <w:lang w:val="fr-FR"/>
        </w:rPr>
        <w:t>Langella P. Host-</w:t>
      </w:r>
      <w:proofErr w:type="spellStart"/>
      <w:r w:rsidRPr="009A04C0">
        <w:rPr>
          <w:lang w:val="fr-FR"/>
        </w:rPr>
        <w:t>microbiota</w:t>
      </w:r>
      <w:proofErr w:type="spellEnd"/>
      <w:r w:rsidRPr="009A04C0">
        <w:rPr>
          <w:lang w:val="fr-FR"/>
        </w:rPr>
        <w:t xml:space="preserve"> </w:t>
      </w:r>
      <w:proofErr w:type="gramStart"/>
      <w:r w:rsidRPr="009A04C0">
        <w:rPr>
          <w:lang w:val="fr-FR"/>
        </w:rPr>
        <w:t>interactions:</w:t>
      </w:r>
      <w:proofErr w:type="gramEnd"/>
      <w:r w:rsidRPr="009A04C0">
        <w:rPr>
          <w:lang w:val="fr-FR"/>
        </w:rPr>
        <w:t xml:space="preserve"> </w:t>
      </w:r>
      <w:proofErr w:type="spellStart"/>
      <w:r w:rsidRPr="009A04C0">
        <w:rPr>
          <w:lang w:val="fr-FR"/>
        </w:rPr>
        <w:t>from</w:t>
      </w:r>
      <w:proofErr w:type="spellEnd"/>
      <w:r w:rsidRPr="009A04C0">
        <w:rPr>
          <w:lang w:val="fr-FR"/>
        </w:rPr>
        <w:t xml:space="preserve"> </w:t>
      </w:r>
      <w:proofErr w:type="spellStart"/>
      <w:r w:rsidRPr="009A04C0">
        <w:rPr>
          <w:lang w:val="fr-FR"/>
        </w:rPr>
        <w:t>symbiosis</w:t>
      </w:r>
      <w:proofErr w:type="spellEnd"/>
      <w:r w:rsidRPr="009A04C0">
        <w:rPr>
          <w:lang w:val="fr-FR"/>
        </w:rPr>
        <w:t xml:space="preserve"> to </w:t>
      </w:r>
      <w:proofErr w:type="spellStart"/>
      <w:r w:rsidRPr="009A04C0">
        <w:rPr>
          <w:lang w:val="fr-FR"/>
        </w:rPr>
        <w:t>human</w:t>
      </w:r>
      <w:proofErr w:type="spellEnd"/>
      <w:r w:rsidRPr="009A04C0">
        <w:rPr>
          <w:lang w:val="fr-FR"/>
        </w:rPr>
        <w:t xml:space="preserve"> </w:t>
      </w:r>
      <w:proofErr w:type="spellStart"/>
      <w:r w:rsidRPr="009A04C0">
        <w:rPr>
          <w:lang w:val="fr-FR"/>
        </w:rPr>
        <w:t>health</w:t>
      </w:r>
      <w:proofErr w:type="spellEnd"/>
      <w:r w:rsidRPr="009A04C0">
        <w:rPr>
          <w:lang w:val="fr-FR"/>
        </w:rPr>
        <w:t>.</w:t>
      </w:r>
    </w:p>
    <w:p w14:paraId="4C893206" w14:textId="77777777" w:rsidR="009A04C0" w:rsidRPr="009A04C0" w:rsidRDefault="009A04C0" w:rsidP="009A04C0">
      <w:pPr>
        <w:pStyle w:val="Body"/>
        <w:rPr>
          <w:lang w:val="fr-FR"/>
        </w:rPr>
      </w:pPr>
      <w:proofErr w:type="gramStart"/>
      <w:r w:rsidRPr="009A04C0">
        <w:rPr>
          <w:lang w:val="fr-FR"/>
        </w:rPr>
        <w:t>In:</w:t>
      </w:r>
      <w:proofErr w:type="gramEnd"/>
      <w:r w:rsidRPr="009A04C0">
        <w:rPr>
          <w:lang w:val="fr-FR"/>
        </w:rPr>
        <w:t xml:space="preserve"> </w:t>
      </w:r>
      <w:proofErr w:type="spellStart"/>
      <w:r w:rsidRPr="009A04C0">
        <w:rPr>
          <w:lang w:val="fr-FR"/>
        </w:rPr>
        <w:t>Microbiota</w:t>
      </w:r>
      <w:proofErr w:type="spellEnd"/>
      <w:r w:rsidRPr="009A04C0">
        <w:rPr>
          <w:lang w:val="fr-FR"/>
        </w:rPr>
        <w:t xml:space="preserve"> and </w:t>
      </w:r>
      <w:proofErr w:type="spellStart"/>
      <w:r w:rsidRPr="009A04C0">
        <w:rPr>
          <w:lang w:val="fr-FR"/>
        </w:rPr>
        <w:t>human</w:t>
      </w:r>
      <w:proofErr w:type="spellEnd"/>
      <w:r w:rsidRPr="009A04C0">
        <w:rPr>
          <w:lang w:val="fr-FR"/>
        </w:rPr>
        <w:t xml:space="preserve"> </w:t>
      </w:r>
      <w:proofErr w:type="spellStart"/>
      <w:r w:rsidRPr="009A04C0">
        <w:rPr>
          <w:lang w:val="fr-FR"/>
        </w:rPr>
        <w:t>health</w:t>
      </w:r>
      <w:proofErr w:type="spellEnd"/>
      <w:r w:rsidRPr="009A04C0">
        <w:rPr>
          <w:lang w:val="fr-FR"/>
        </w:rPr>
        <w:t xml:space="preserve">. MICALIS, INRAE. 2017. </w:t>
      </w:r>
      <w:proofErr w:type="spellStart"/>
      <w:r w:rsidRPr="009A04C0">
        <w:rPr>
          <w:lang w:val="fr-FR"/>
        </w:rPr>
        <w:t>Available</w:t>
      </w:r>
      <w:proofErr w:type="spellEnd"/>
      <w:r w:rsidRPr="009A04C0">
        <w:rPr>
          <w:lang w:val="fr-FR"/>
        </w:rPr>
        <w:t xml:space="preserve"> </w:t>
      </w:r>
      <w:proofErr w:type="gramStart"/>
      <w:r w:rsidRPr="009A04C0">
        <w:rPr>
          <w:lang w:val="fr-FR"/>
        </w:rPr>
        <w:t>at:</w:t>
      </w:r>
      <w:proofErr w:type="gramEnd"/>
      <w:r w:rsidRPr="009A04C0">
        <w:rPr>
          <w:lang w:val="fr-FR"/>
        </w:rPr>
        <w:t xml:space="preserve"> https://www.micalis.fr/equipe/probihote/</w:t>
      </w:r>
    </w:p>
    <w:p w14:paraId="4650DB1C" w14:textId="77777777" w:rsidR="009A04C0" w:rsidRPr="009A04C0" w:rsidRDefault="009A04C0" w:rsidP="009A04C0">
      <w:pPr>
        <w:pStyle w:val="Body"/>
        <w:rPr>
          <w:lang w:val="fr-FR"/>
        </w:rPr>
      </w:pPr>
    </w:p>
    <w:p w14:paraId="26F28D3A" w14:textId="77777777" w:rsidR="009A04C0" w:rsidRPr="009A04C0" w:rsidRDefault="009A04C0" w:rsidP="009A04C0">
      <w:pPr>
        <w:pStyle w:val="Body"/>
        <w:rPr>
          <w:lang w:val="fr-FR"/>
        </w:rPr>
      </w:pPr>
      <w:r w:rsidRPr="009A04C0">
        <w:rPr>
          <w:lang w:val="fr-FR"/>
        </w:rPr>
        <w:t xml:space="preserve">Doré J. Gut </w:t>
      </w:r>
      <w:proofErr w:type="spellStart"/>
      <w:r w:rsidRPr="009A04C0">
        <w:rPr>
          <w:lang w:val="fr-FR"/>
        </w:rPr>
        <w:t>microbiota</w:t>
      </w:r>
      <w:proofErr w:type="spellEnd"/>
      <w:r w:rsidRPr="009A04C0">
        <w:rPr>
          <w:lang w:val="fr-FR"/>
        </w:rPr>
        <w:t xml:space="preserve">. Giens Workshop, 2017. </w:t>
      </w:r>
      <w:proofErr w:type="spellStart"/>
      <w:r w:rsidRPr="009A04C0">
        <w:rPr>
          <w:lang w:val="fr-FR"/>
        </w:rPr>
        <w:t>Available</w:t>
      </w:r>
      <w:proofErr w:type="spellEnd"/>
      <w:r w:rsidRPr="009A04C0">
        <w:rPr>
          <w:lang w:val="fr-FR"/>
        </w:rPr>
        <w:t xml:space="preserve"> </w:t>
      </w:r>
      <w:proofErr w:type="gramStart"/>
      <w:r w:rsidRPr="009A04C0">
        <w:rPr>
          <w:lang w:val="fr-FR"/>
        </w:rPr>
        <w:t>at:</w:t>
      </w:r>
      <w:proofErr w:type="gramEnd"/>
      <w:r w:rsidRPr="009A04C0">
        <w:rPr>
          <w:lang w:val="fr-FR"/>
        </w:rPr>
        <w:t xml:space="preserve"> https://www.collectif-schizophrenies.com/images/pdf/recherche/2017_Dore_Therapies_AtelierGiensMicrobiote_FR.pdf</w:t>
      </w:r>
    </w:p>
    <w:p w14:paraId="4220AB8F" w14:textId="77777777" w:rsidR="009A04C0" w:rsidRPr="009A04C0" w:rsidRDefault="009A04C0" w:rsidP="009A04C0">
      <w:pPr>
        <w:pStyle w:val="Body"/>
        <w:rPr>
          <w:lang w:val="fr-FR"/>
        </w:rPr>
      </w:pPr>
    </w:p>
    <w:p w14:paraId="7A625D58" w14:textId="77777777" w:rsidR="009A04C0" w:rsidRPr="009A04C0" w:rsidRDefault="009A04C0" w:rsidP="009A04C0">
      <w:pPr>
        <w:pStyle w:val="Body"/>
        <w:rPr>
          <w:lang w:val="fr-FR"/>
        </w:rPr>
      </w:pPr>
      <w:proofErr w:type="spellStart"/>
      <w:r w:rsidRPr="009A04C0">
        <w:rPr>
          <w:lang w:val="fr-FR"/>
        </w:rPr>
        <w:lastRenderedPageBreak/>
        <w:t>Lozupone</w:t>
      </w:r>
      <w:proofErr w:type="spellEnd"/>
      <w:r w:rsidRPr="009A04C0">
        <w:rPr>
          <w:lang w:val="fr-FR"/>
        </w:rPr>
        <w:t xml:space="preserve"> CA, </w:t>
      </w:r>
      <w:proofErr w:type="spellStart"/>
      <w:r w:rsidRPr="009A04C0">
        <w:rPr>
          <w:lang w:val="fr-FR"/>
        </w:rPr>
        <w:t>Stombaugh</w:t>
      </w:r>
      <w:proofErr w:type="spellEnd"/>
      <w:r w:rsidRPr="009A04C0">
        <w:rPr>
          <w:lang w:val="fr-FR"/>
        </w:rPr>
        <w:t xml:space="preserve"> JI, Gordon JI, </w:t>
      </w:r>
      <w:proofErr w:type="spellStart"/>
      <w:r w:rsidRPr="009A04C0">
        <w:rPr>
          <w:lang w:val="fr-FR"/>
        </w:rPr>
        <w:t>Jansson</w:t>
      </w:r>
      <w:proofErr w:type="spellEnd"/>
      <w:r w:rsidRPr="009A04C0">
        <w:rPr>
          <w:lang w:val="fr-FR"/>
        </w:rPr>
        <w:t xml:space="preserve"> JK, Knight R. Diversity, </w:t>
      </w:r>
      <w:proofErr w:type="spellStart"/>
      <w:r w:rsidRPr="009A04C0">
        <w:rPr>
          <w:lang w:val="fr-FR"/>
        </w:rPr>
        <w:t>stability</w:t>
      </w:r>
      <w:proofErr w:type="spellEnd"/>
      <w:r w:rsidRPr="009A04C0">
        <w:rPr>
          <w:lang w:val="fr-FR"/>
        </w:rPr>
        <w:t xml:space="preserve"> and </w:t>
      </w:r>
      <w:proofErr w:type="spellStart"/>
      <w:r w:rsidRPr="009A04C0">
        <w:rPr>
          <w:lang w:val="fr-FR"/>
        </w:rPr>
        <w:t>resilience</w:t>
      </w:r>
      <w:proofErr w:type="spellEnd"/>
      <w:r w:rsidRPr="009A04C0">
        <w:rPr>
          <w:lang w:val="fr-FR"/>
        </w:rPr>
        <w:t xml:space="preserve"> of the </w:t>
      </w:r>
      <w:proofErr w:type="spellStart"/>
      <w:r w:rsidRPr="009A04C0">
        <w:rPr>
          <w:lang w:val="fr-FR"/>
        </w:rPr>
        <w:t>human</w:t>
      </w:r>
      <w:proofErr w:type="spellEnd"/>
      <w:r w:rsidRPr="009A04C0">
        <w:rPr>
          <w:lang w:val="fr-FR"/>
        </w:rPr>
        <w:t xml:space="preserve"> </w:t>
      </w:r>
      <w:proofErr w:type="spellStart"/>
      <w:r w:rsidRPr="009A04C0">
        <w:rPr>
          <w:lang w:val="fr-FR"/>
        </w:rPr>
        <w:t>gut</w:t>
      </w:r>
      <w:proofErr w:type="spellEnd"/>
      <w:r w:rsidRPr="009A04C0">
        <w:rPr>
          <w:lang w:val="fr-FR"/>
        </w:rPr>
        <w:t xml:space="preserve"> </w:t>
      </w:r>
      <w:proofErr w:type="spellStart"/>
      <w:r w:rsidRPr="009A04C0">
        <w:rPr>
          <w:lang w:val="fr-FR"/>
        </w:rPr>
        <w:t>microbiota</w:t>
      </w:r>
      <w:proofErr w:type="spellEnd"/>
      <w:r w:rsidRPr="009A04C0">
        <w:rPr>
          <w:lang w:val="fr-FR"/>
        </w:rPr>
        <w:t>. Nature. 2012.489(7415</w:t>
      </w:r>
      <w:proofErr w:type="gramStart"/>
      <w:r w:rsidRPr="009A04C0">
        <w:rPr>
          <w:lang w:val="fr-FR"/>
        </w:rPr>
        <w:t>):</w:t>
      </w:r>
      <w:proofErr w:type="gramEnd"/>
      <w:r w:rsidRPr="009A04C0">
        <w:rPr>
          <w:lang w:val="fr-FR"/>
        </w:rPr>
        <w:t>220-230. https://doi.org/10.1038/nature11550</w:t>
      </w:r>
    </w:p>
    <w:p w14:paraId="2AA3F55A" w14:textId="77777777" w:rsidR="009A04C0" w:rsidRPr="009A04C0" w:rsidRDefault="009A04C0" w:rsidP="009A04C0">
      <w:pPr>
        <w:pStyle w:val="Body"/>
        <w:rPr>
          <w:lang w:val="fr-FR"/>
        </w:rPr>
      </w:pPr>
    </w:p>
    <w:p w14:paraId="6F084540" w14:textId="77777777" w:rsidR="009A04C0" w:rsidRPr="009A04C0" w:rsidRDefault="009A04C0" w:rsidP="009A04C0">
      <w:pPr>
        <w:pStyle w:val="Body"/>
        <w:rPr>
          <w:lang w:val="fr-FR"/>
        </w:rPr>
      </w:pPr>
      <w:proofErr w:type="spellStart"/>
      <w:r w:rsidRPr="009A04C0">
        <w:rPr>
          <w:lang w:val="fr-FR"/>
        </w:rPr>
        <w:t>Burcelin</w:t>
      </w:r>
      <w:proofErr w:type="spellEnd"/>
      <w:r w:rsidRPr="009A04C0">
        <w:rPr>
          <w:lang w:val="fr-FR"/>
        </w:rPr>
        <w:t xml:space="preserve"> R. Intestinal </w:t>
      </w:r>
      <w:proofErr w:type="spellStart"/>
      <w:r w:rsidRPr="009A04C0">
        <w:rPr>
          <w:lang w:val="fr-FR"/>
        </w:rPr>
        <w:t>microbiota</w:t>
      </w:r>
      <w:proofErr w:type="spellEnd"/>
      <w:r w:rsidRPr="009A04C0">
        <w:rPr>
          <w:lang w:val="fr-FR"/>
        </w:rPr>
        <w:t xml:space="preserve"> and immune </w:t>
      </w:r>
      <w:proofErr w:type="spellStart"/>
      <w:r w:rsidRPr="009A04C0">
        <w:rPr>
          <w:lang w:val="fr-FR"/>
        </w:rPr>
        <w:t>crosstalk</w:t>
      </w:r>
      <w:proofErr w:type="spellEnd"/>
      <w:r w:rsidRPr="009A04C0">
        <w:rPr>
          <w:lang w:val="fr-FR"/>
        </w:rPr>
        <w:t xml:space="preserve"> </w:t>
      </w:r>
      <w:proofErr w:type="spellStart"/>
      <w:r w:rsidRPr="009A04C0">
        <w:rPr>
          <w:lang w:val="fr-FR"/>
        </w:rPr>
        <w:t>during</w:t>
      </w:r>
      <w:proofErr w:type="spellEnd"/>
      <w:r w:rsidRPr="009A04C0">
        <w:rPr>
          <w:lang w:val="fr-FR"/>
        </w:rPr>
        <w:t xml:space="preserve"> </w:t>
      </w:r>
      <w:proofErr w:type="spellStart"/>
      <w:r w:rsidRPr="009A04C0">
        <w:rPr>
          <w:lang w:val="fr-FR"/>
        </w:rPr>
        <w:t>metabolic</w:t>
      </w:r>
      <w:proofErr w:type="spellEnd"/>
      <w:r w:rsidRPr="009A04C0">
        <w:rPr>
          <w:lang w:val="fr-FR"/>
        </w:rPr>
        <w:t xml:space="preserve"> </w:t>
      </w:r>
      <w:proofErr w:type="spellStart"/>
      <w:r w:rsidRPr="009A04C0">
        <w:rPr>
          <w:lang w:val="fr-FR"/>
        </w:rPr>
        <w:t>disease</w:t>
      </w:r>
      <w:proofErr w:type="spellEnd"/>
      <w:r w:rsidRPr="009A04C0">
        <w:rPr>
          <w:lang w:val="fr-FR"/>
        </w:rPr>
        <w:t>.</w:t>
      </w:r>
    </w:p>
    <w:p w14:paraId="2B559400" w14:textId="77777777" w:rsidR="009A04C0" w:rsidRPr="009A04C0" w:rsidRDefault="009A04C0" w:rsidP="009A04C0">
      <w:pPr>
        <w:pStyle w:val="Body"/>
        <w:rPr>
          <w:lang w:val="fr-FR"/>
        </w:rPr>
      </w:pPr>
      <w:r w:rsidRPr="009A04C0">
        <w:rPr>
          <w:lang w:val="fr-FR"/>
        </w:rPr>
        <w:t xml:space="preserve">Journal of </w:t>
      </w:r>
      <w:proofErr w:type="spellStart"/>
      <w:r w:rsidRPr="009A04C0">
        <w:rPr>
          <w:lang w:val="fr-FR"/>
        </w:rPr>
        <w:t>Biology</w:t>
      </w:r>
      <w:proofErr w:type="spellEnd"/>
      <w:r w:rsidRPr="009A04C0">
        <w:rPr>
          <w:lang w:val="fr-FR"/>
        </w:rPr>
        <w:t xml:space="preserve">. 2017.1:1-10. </w:t>
      </w:r>
      <w:proofErr w:type="spellStart"/>
      <w:r w:rsidRPr="009A04C0">
        <w:rPr>
          <w:lang w:val="fr-FR"/>
        </w:rPr>
        <w:t>Available</w:t>
      </w:r>
      <w:proofErr w:type="spellEnd"/>
      <w:r w:rsidRPr="009A04C0">
        <w:rPr>
          <w:lang w:val="fr-FR"/>
        </w:rPr>
        <w:t xml:space="preserve"> </w:t>
      </w:r>
      <w:proofErr w:type="gramStart"/>
      <w:r w:rsidRPr="009A04C0">
        <w:rPr>
          <w:lang w:val="fr-FR"/>
        </w:rPr>
        <w:t>at:</w:t>
      </w:r>
      <w:proofErr w:type="gramEnd"/>
      <w:r w:rsidRPr="009A04C0">
        <w:rPr>
          <w:lang w:val="fr-FR"/>
        </w:rPr>
        <w:t xml:space="preserve"> https://www.biologie-journal.org/articles/jbio/pdf/2017/01/jbio170008.pdf</w:t>
      </w:r>
    </w:p>
    <w:p w14:paraId="0D1B7F46" w14:textId="77777777" w:rsidR="009A04C0" w:rsidRPr="009A04C0" w:rsidRDefault="009A04C0" w:rsidP="009A04C0">
      <w:pPr>
        <w:pStyle w:val="Body"/>
        <w:rPr>
          <w:lang w:val="fr-FR"/>
        </w:rPr>
      </w:pPr>
    </w:p>
    <w:p w14:paraId="72EE478A" w14:textId="77777777" w:rsidR="009A04C0" w:rsidRPr="009A04C0" w:rsidRDefault="009A04C0" w:rsidP="009A04C0">
      <w:pPr>
        <w:pStyle w:val="Body"/>
        <w:rPr>
          <w:lang w:val="fr-FR"/>
        </w:rPr>
      </w:pPr>
      <w:r w:rsidRPr="009A04C0">
        <w:rPr>
          <w:lang w:val="fr-FR"/>
        </w:rPr>
        <w:t xml:space="preserve">Candela M, et al. Interaction of </w:t>
      </w:r>
      <w:proofErr w:type="spellStart"/>
      <w:r w:rsidRPr="009A04C0">
        <w:rPr>
          <w:lang w:val="fr-FR"/>
        </w:rPr>
        <w:t>probiotic</w:t>
      </w:r>
      <w:proofErr w:type="spellEnd"/>
      <w:r w:rsidRPr="009A04C0">
        <w:rPr>
          <w:lang w:val="fr-FR"/>
        </w:rPr>
        <w:t xml:space="preserve"> Lactobacillus and </w:t>
      </w:r>
      <w:proofErr w:type="spellStart"/>
      <w:r w:rsidRPr="009A04C0">
        <w:rPr>
          <w:lang w:val="fr-FR"/>
        </w:rPr>
        <w:t>Bifidobacterium</w:t>
      </w:r>
      <w:proofErr w:type="spellEnd"/>
      <w:r w:rsidRPr="009A04C0">
        <w:rPr>
          <w:lang w:val="fr-FR"/>
        </w:rPr>
        <w:t xml:space="preserve"> </w:t>
      </w:r>
      <w:proofErr w:type="spellStart"/>
      <w:r w:rsidRPr="009A04C0">
        <w:rPr>
          <w:lang w:val="fr-FR"/>
        </w:rPr>
        <w:t>strains</w:t>
      </w:r>
      <w:proofErr w:type="spellEnd"/>
      <w:r w:rsidRPr="009A04C0">
        <w:rPr>
          <w:lang w:val="fr-FR"/>
        </w:rPr>
        <w:t xml:space="preserve"> </w:t>
      </w:r>
      <w:proofErr w:type="spellStart"/>
      <w:r w:rsidRPr="009A04C0">
        <w:rPr>
          <w:lang w:val="fr-FR"/>
        </w:rPr>
        <w:t>with</w:t>
      </w:r>
      <w:proofErr w:type="spellEnd"/>
      <w:r w:rsidRPr="009A04C0">
        <w:rPr>
          <w:lang w:val="fr-FR"/>
        </w:rPr>
        <w:t xml:space="preserve"> </w:t>
      </w:r>
      <w:proofErr w:type="spellStart"/>
      <w:r w:rsidRPr="009A04C0">
        <w:rPr>
          <w:lang w:val="fr-FR"/>
        </w:rPr>
        <w:t>human</w:t>
      </w:r>
      <w:proofErr w:type="spellEnd"/>
      <w:r w:rsidRPr="009A04C0">
        <w:rPr>
          <w:lang w:val="fr-FR"/>
        </w:rPr>
        <w:t xml:space="preserve"> intestinal </w:t>
      </w:r>
      <w:proofErr w:type="spellStart"/>
      <w:r w:rsidRPr="009A04C0">
        <w:rPr>
          <w:lang w:val="fr-FR"/>
        </w:rPr>
        <w:t>epithelial</w:t>
      </w:r>
      <w:proofErr w:type="spellEnd"/>
      <w:r w:rsidRPr="009A04C0">
        <w:rPr>
          <w:lang w:val="fr-FR"/>
        </w:rPr>
        <w:t xml:space="preserve"> </w:t>
      </w:r>
      <w:proofErr w:type="spellStart"/>
      <w:r w:rsidRPr="009A04C0">
        <w:rPr>
          <w:lang w:val="fr-FR"/>
        </w:rPr>
        <w:t>cells</w:t>
      </w:r>
      <w:proofErr w:type="spellEnd"/>
      <w:r w:rsidRPr="009A04C0">
        <w:rPr>
          <w:lang w:val="fr-FR"/>
        </w:rPr>
        <w:t xml:space="preserve">. International Journal of Food </w:t>
      </w:r>
      <w:proofErr w:type="spellStart"/>
      <w:r w:rsidRPr="009A04C0">
        <w:rPr>
          <w:lang w:val="fr-FR"/>
        </w:rPr>
        <w:t>Microbiology</w:t>
      </w:r>
      <w:proofErr w:type="spellEnd"/>
      <w:r w:rsidRPr="009A04C0">
        <w:rPr>
          <w:lang w:val="fr-FR"/>
        </w:rPr>
        <w:t>. 2008.125(3</w:t>
      </w:r>
      <w:proofErr w:type="gramStart"/>
      <w:r w:rsidRPr="009A04C0">
        <w:rPr>
          <w:lang w:val="fr-FR"/>
        </w:rPr>
        <w:t>):</w:t>
      </w:r>
      <w:proofErr w:type="gramEnd"/>
      <w:r w:rsidRPr="009A04C0">
        <w:rPr>
          <w:lang w:val="fr-FR"/>
        </w:rPr>
        <w:t>286-292.</w:t>
      </w:r>
    </w:p>
    <w:p w14:paraId="3A3B724B" w14:textId="77777777" w:rsidR="009A04C0" w:rsidRPr="009A04C0" w:rsidRDefault="009A04C0" w:rsidP="009A04C0">
      <w:pPr>
        <w:pStyle w:val="Body"/>
        <w:rPr>
          <w:lang w:val="fr-FR"/>
        </w:rPr>
      </w:pPr>
      <w:r w:rsidRPr="009A04C0">
        <w:rPr>
          <w:lang w:val="fr-FR"/>
        </w:rPr>
        <w:t>https://doi.org/10.1016/j.ijfoodmicro.2008.04.021</w:t>
      </w:r>
    </w:p>
    <w:p w14:paraId="159C7626" w14:textId="77777777" w:rsidR="009A04C0" w:rsidRPr="009A04C0" w:rsidRDefault="009A04C0" w:rsidP="009A04C0">
      <w:pPr>
        <w:pStyle w:val="Body"/>
        <w:rPr>
          <w:lang w:val="fr-FR"/>
        </w:rPr>
      </w:pPr>
    </w:p>
    <w:p w14:paraId="2E6D4D8C" w14:textId="77777777" w:rsidR="009A04C0" w:rsidRPr="009A04C0" w:rsidRDefault="009A04C0" w:rsidP="009A04C0">
      <w:pPr>
        <w:pStyle w:val="Body"/>
        <w:rPr>
          <w:lang w:val="fr-FR"/>
        </w:rPr>
      </w:pPr>
      <w:r w:rsidRPr="009A04C0">
        <w:rPr>
          <w:lang w:val="fr-FR"/>
        </w:rPr>
        <w:t xml:space="preserve">Moore, W. E. C., &amp; Moore, L. V. (1994). The </w:t>
      </w:r>
      <w:proofErr w:type="spellStart"/>
      <w:r w:rsidRPr="009A04C0">
        <w:rPr>
          <w:lang w:val="fr-FR"/>
        </w:rPr>
        <w:t>bacteria</w:t>
      </w:r>
      <w:proofErr w:type="spellEnd"/>
      <w:r w:rsidRPr="009A04C0">
        <w:rPr>
          <w:lang w:val="fr-FR"/>
        </w:rPr>
        <w:t xml:space="preserve"> of </w:t>
      </w:r>
      <w:proofErr w:type="spellStart"/>
      <w:r w:rsidRPr="009A04C0">
        <w:rPr>
          <w:lang w:val="fr-FR"/>
        </w:rPr>
        <w:t>periodontal</w:t>
      </w:r>
      <w:proofErr w:type="spellEnd"/>
      <w:r w:rsidRPr="009A04C0">
        <w:rPr>
          <w:lang w:val="fr-FR"/>
        </w:rPr>
        <w:t xml:space="preserve"> </w:t>
      </w:r>
      <w:proofErr w:type="spellStart"/>
      <w:r w:rsidRPr="009A04C0">
        <w:rPr>
          <w:lang w:val="fr-FR"/>
        </w:rPr>
        <w:t>diseases</w:t>
      </w:r>
      <w:proofErr w:type="spellEnd"/>
      <w:r w:rsidRPr="009A04C0">
        <w:rPr>
          <w:lang w:val="fr-FR"/>
        </w:rPr>
        <w:t xml:space="preserve">. </w:t>
      </w:r>
      <w:proofErr w:type="spellStart"/>
      <w:r w:rsidRPr="009A04C0">
        <w:rPr>
          <w:lang w:val="fr-FR"/>
        </w:rPr>
        <w:t>Periodontology</w:t>
      </w:r>
      <w:proofErr w:type="spellEnd"/>
      <w:r w:rsidRPr="009A04C0">
        <w:rPr>
          <w:lang w:val="fr-FR"/>
        </w:rPr>
        <w:t xml:space="preserve"> 2000, 5(1), 66-77.</w:t>
      </w:r>
    </w:p>
    <w:p w14:paraId="3244C11D" w14:textId="77777777" w:rsidR="009A04C0" w:rsidRPr="009A04C0" w:rsidRDefault="009A04C0" w:rsidP="009A04C0">
      <w:pPr>
        <w:pStyle w:val="Body"/>
        <w:rPr>
          <w:lang w:val="fr-FR"/>
        </w:rPr>
      </w:pPr>
    </w:p>
    <w:p w14:paraId="12B1336E" w14:textId="77777777" w:rsidR="009A04C0" w:rsidRPr="009A04C0" w:rsidRDefault="009A04C0" w:rsidP="009A04C0">
      <w:pPr>
        <w:pStyle w:val="Body"/>
        <w:rPr>
          <w:lang w:val="fr-FR"/>
        </w:rPr>
      </w:pPr>
      <w:r w:rsidRPr="009A04C0">
        <w:rPr>
          <w:lang w:val="fr-FR"/>
        </w:rPr>
        <w:t xml:space="preserve">World </w:t>
      </w:r>
      <w:proofErr w:type="spellStart"/>
      <w:r w:rsidRPr="009A04C0">
        <w:rPr>
          <w:lang w:val="fr-FR"/>
        </w:rPr>
        <w:t>Health</w:t>
      </w:r>
      <w:proofErr w:type="spellEnd"/>
      <w:r w:rsidRPr="009A04C0">
        <w:rPr>
          <w:lang w:val="fr-FR"/>
        </w:rPr>
        <w:t xml:space="preserve"> </w:t>
      </w:r>
      <w:proofErr w:type="spellStart"/>
      <w:r w:rsidRPr="009A04C0">
        <w:rPr>
          <w:lang w:val="fr-FR"/>
        </w:rPr>
        <w:t>Organization</w:t>
      </w:r>
      <w:proofErr w:type="spellEnd"/>
      <w:r w:rsidRPr="009A04C0">
        <w:rPr>
          <w:lang w:val="fr-FR"/>
        </w:rPr>
        <w:t xml:space="preserve">. Global </w:t>
      </w:r>
      <w:proofErr w:type="spellStart"/>
      <w:r w:rsidRPr="009A04C0">
        <w:rPr>
          <w:lang w:val="fr-FR"/>
        </w:rPr>
        <w:t>Research</w:t>
      </w:r>
      <w:proofErr w:type="spellEnd"/>
      <w:r w:rsidRPr="009A04C0">
        <w:rPr>
          <w:lang w:val="fr-FR"/>
        </w:rPr>
        <w:t xml:space="preserve"> Agenda for </w:t>
      </w:r>
      <w:proofErr w:type="spellStart"/>
      <w:r w:rsidRPr="009A04C0">
        <w:rPr>
          <w:lang w:val="fr-FR"/>
        </w:rPr>
        <w:t>Antimicrobial</w:t>
      </w:r>
      <w:proofErr w:type="spellEnd"/>
      <w:r w:rsidRPr="009A04C0">
        <w:rPr>
          <w:lang w:val="fr-FR"/>
        </w:rPr>
        <w:t xml:space="preserve"> Resistance in Human </w:t>
      </w:r>
      <w:proofErr w:type="spellStart"/>
      <w:r w:rsidRPr="009A04C0">
        <w:rPr>
          <w:lang w:val="fr-FR"/>
        </w:rPr>
        <w:t>Health</w:t>
      </w:r>
      <w:proofErr w:type="spellEnd"/>
      <w:r w:rsidRPr="009A04C0">
        <w:rPr>
          <w:lang w:val="fr-FR"/>
        </w:rPr>
        <w:t xml:space="preserve">. </w:t>
      </w:r>
      <w:proofErr w:type="gramStart"/>
      <w:r w:rsidRPr="009A04C0">
        <w:rPr>
          <w:lang w:val="fr-FR"/>
        </w:rPr>
        <w:t>Geneva:</w:t>
      </w:r>
      <w:proofErr w:type="gramEnd"/>
      <w:r w:rsidRPr="009A04C0">
        <w:rPr>
          <w:lang w:val="fr-FR"/>
        </w:rPr>
        <w:t xml:space="preserve"> </w:t>
      </w:r>
      <w:proofErr w:type="spellStart"/>
      <w:r w:rsidRPr="009A04C0">
        <w:rPr>
          <w:lang w:val="fr-FR"/>
        </w:rPr>
        <w:t>fathers</w:t>
      </w:r>
      <w:proofErr w:type="spellEnd"/>
      <w:r w:rsidRPr="009A04C0">
        <w:rPr>
          <w:lang w:val="fr-FR"/>
        </w:rPr>
        <w:t>. 2023.</w:t>
      </w:r>
    </w:p>
    <w:p w14:paraId="330EB7C9" w14:textId="77777777" w:rsidR="009A04C0" w:rsidRPr="009A04C0" w:rsidRDefault="009A04C0" w:rsidP="009A04C0">
      <w:pPr>
        <w:pStyle w:val="Body"/>
        <w:rPr>
          <w:lang w:val="fr-FR"/>
        </w:rPr>
      </w:pPr>
    </w:p>
    <w:p w14:paraId="56AD7608" w14:textId="77777777" w:rsidR="009A04C0" w:rsidRPr="009A04C0" w:rsidRDefault="009A04C0" w:rsidP="009A04C0">
      <w:pPr>
        <w:pStyle w:val="Body"/>
        <w:rPr>
          <w:lang w:val="fr-FR"/>
        </w:rPr>
      </w:pPr>
      <w:r w:rsidRPr="009A04C0">
        <w:rPr>
          <w:lang w:val="fr-FR"/>
        </w:rPr>
        <w:t xml:space="preserve">O’Neill, J. (2016). </w:t>
      </w:r>
      <w:proofErr w:type="spellStart"/>
      <w:r w:rsidRPr="009A04C0">
        <w:rPr>
          <w:lang w:val="fr-FR"/>
        </w:rPr>
        <w:t>Tackling</w:t>
      </w:r>
      <w:proofErr w:type="spellEnd"/>
      <w:r w:rsidRPr="009A04C0">
        <w:rPr>
          <w:lang w:val="fr-FR"/>
        </w:rPr>
        <w:t xml:space="preserve"> </w:t>
      </w:r>
      <w:proofErr w:type="spellStart"/>
      <w:r w:rsidRPr="009A04C0">
        <w:rPr>
          <w:lang w:val="fr-FR"/>
        </w:rPr>
        <w:t>drug-resistant</w:t>
      </w:r>
      <w:proofErr w:type="spellEnd"/>
      <w:r w:rsidRPr="009A04C0">
        <w:rPr>
          <w:lang w:val="fr-FR"/>
        </w:rPr>
        <w:t xml:space="preserve"> infections </w:t>
      </w:r>
      <w:proofErr w:type="spellStart"/>
      <w:proofErr w:type="gramStart"/>
      <w:r w:rsidRPr="009A04C0">
        <w:rPr>
          <w:lang w:val="fr-FR"/>
        </w:rPr>
        <w:t>globally</w:t>
      </w:r>
      <w:proofErr w:type="spellEnd"/>
      <w:r w:rsidRPr="009A04C0">
        <w:rPr>
          <w:lang w:val="fr-FR"/>
        </w:rPr>
        <w:t>:</w:t>
      </w:r>
      <w:proofErr w:type="gramEnd"/>
      <w:r w:rsidRPr="009A04C0">
        <w:rPr>
          <w:lang w:val="fr-FR"/>
        </w:rPr>
        <w:t xml:space="preserve"> final report and </w:t>
      </w:r>
      <w:proofErr w:type="spellStart"/>
      <w:r w:rsidRPr="009A04C0">
        <w:rPr>
          <w:lang w:val="fr-FR"/>
        </w:rPr>
        <w:t>recommendations</w:t>
      </w:r>
      <w:proofErr w:type="spellEnd"/>
      <w:r w:rsidRPr="009A04C0">
        <w:rPr>
          <w:lang w:val="fr-FR"/>
        </w:rPr>
        <w:t>.</w:t>
      </w:r>
    </w:p>
    <w:p w14:paraId="5795ECD8" w14:textId="77777777" w:rsidR="009A04C0" w:rsidRPr="009A04C0" w:rsidRDefault="009A04C0" w:rsidP="009A04C0">
      <w:pPr>
        <w:pStyle w:val="Body"/>
        <w:rPr>
          <w:lang w:val="fr-FR"/>
        </w:rPr>
      </w:pPr>
    </w:p>
    <w:p w14:paraId="2DABEF70" w14:textId="77777777" w:rsidR="009A04C0" w:rsidRPr="009A04C0" w:rsidRDefault="009A04C0" w:rsidP="009A04C0">
      <w:pPr>
        <w:pStyle w:val="Body"/>
        <w:rPr>
          <w:lang w:val="fr-FR"/>
        </w:rPr>
      </w:pPr>
      <w:proofErr w:type="spellStart"/>
      <w:r w:rsidRPr="009A04C0">
        <w:rPr>
          <w:lang w:val="fr-FR"/>
        </w:rPr>
        <w:t>Ventola</w:t>
      </w:r>
      <w:proofErr w:type="spellEnd"/>
      <w:r w:rsidRPr="009A04C0">
        <w:rPr>
          <w:lang w:val="fr-FR"/>
        </w:rPr>
        <w:t xml:space="preserve">, C.L. (2015). The </w:t>
      </w:r>
      <w:proofErr w:type="spellStart"/>
      <w:r w:rsidRPr="009A04C0">
        <w:rPr>
          <w:lang w:val="fr-FR"/>
        </w:rPr>
        <w:t>antibiotic</w:t>
      </w:r>
      <w:proofErr w:type="spellEnd"/>
      <w:r w:rsidRPr="009A04C0">
        <w:rPr>
          <w:lang w:val="fr-FR"/>
        </w:rPr>
        <w:t xml:space="preserve"> </w:t>
      </w:r>
      <w:proofErr w:type="spellStart"/>
      <w:r w:rsidRPr="009A04C0">
        <w:rPr>
          <w:lang w:val="fr-FR"/>
        </w:rPr>
        <w:t>resistance</w:t>
      </w:r>
      <w:proofErr w:type="spellEnd"/>
      <w:r w:rsidRPr="009A04C0">
        <w:rPr>
          <w:lang w:val="fr-FR"/>
        </w:rPr>
        <w:t xml:space="preserve"> </w:t>
      </w:r>
      <w:proofErr w:type="spellStart"/>
      <w:proofErr w:type="gramStart"/>
      <w:r w:rsidRPr="009A04C0">
        <w:rPr>
          <w:lang w:val="fr-FR"/>
        </w:rPr>
        <w:t>crisis</w:t>
      </w:r>
      <w:proofErr w:type="spellEnd"/>
      <w:r w:rsidRPr="009A04C0">
        <w:rPr>
          <w:lang w:val="fr-FR"/>
        </w:rPr>
        <w:t>:</w:t>
      </w:r>
      <w:proofErr w:type="gramEnd"/>
      <w:r w:rsidRPr="009A04C0">
        <w:rPr>
          <w:lang w:val="fr-FR"/>
        </w:rPr>
        <w:t xml:space="preserve"> part 1: causes and </w:t>
      </w:r>
      <w:proofErr w:type="spellStart"/>
      <w:r w:rsidRPr="009A04C0">
        <w:rPr>
          <w:lang w:val="fr-FR"/>
        </w:rPr>
        <w:t>threats</w:t>
      </w:r>
      <w:proofErr w:type="spellEnd"/>
      <w:r w:rsidRPr="009A04C0">
        <w:rPr>
          <w:lang w:val="fr-FR"/>
        </w:rPr>
        <w:t xml:space="preserve">. </w:t>
      </w:r>
      <w:proofErr w:type="spellStart"/>
      <w:r w:rsidRPr="009A04C0">
        <w:rPr>
          <w:lang w:val="fr-FR"/>
        </w:rPr>
        <w:t>Pharmacy</w:t>
      </w:r>
      <w:proofErr w:type="spellEnd"/>
      <w:r w:rsidRPr="009A04C0">
        <w:rPr>
          <w:lang w:val="fr-FR"/>
        </w:rPr>
        <w:t xml:space="preserve"> and </w:t>
      </w:r>
      <w:proofErr w:type="spellStart"/>
      <w:r w:rsidRPr="009A04C0">
        <w:rPr>
          <w:lang w:val="fr-FR"/>
        </w:rPr>
        <w:t>therapeutics</w:t>
      </w:r>
      <w:proofErr w:type="spellEnd"/>
      <w:r w:rsidRPr="009A04C0">
        <w:rPr>
          <w:lang w:val="fr-FR"/>
        </w:rPr>
        <w:t>, 40(4), 277.</w:t>
      </w:r>
    </w:p>
    <w:p w14:paraId="380D74C7" w14:textId="77777777" w:rsidR="009A04C0" w:rsidRPr="009A04C0" w:rsidRDefault="009A04C0" w:rsidP="009A04C0">
      <w:pPr>
        <w:pStyle w:val="Body"/>
        <w:rPr>
          <w:lang w:val="fr-FR"/>
        </w:rPr>
      </w:pPr>
    </w:p>
    <w:p w14:paraId="7745CF01" w14:textId="77777777" w:rsidR="009A04C0" w:rsidRPr="009A04C0" w:rsidRDefault="009A04C0" w:rsidP="009A04C0">
      <w:pPr>
        <w:pStyle w:val="Body"/>
        <w:rPr>
          <w:lang w:val="fr-FR"/>
        </w:rPr>
      </w:pPr>
      <w:proofErr w:type="spellStart"/>
      <w:r w:rsidRPr="009A04C0">
        <w:rPr>
          <w:lang w:val="fr-FR"/>
        </w:rPr>
        <w:t>Ayukekbong</w:t>
      </w:r>
      <w:proofErr w:type="spellEnd"/>
      <w:r w:rsidRPr="009A04C0">
        <w:rPr>
          <w:lang w:val="fr-FR"/>
        </w:rPr>
        <w:t xml:space="preserve"> JA, </w:t>
      </w:r>
      <w:proofErr w:type="spellStart"/>
      <w:r w:rsidRPr="009A04C0">
        <w:rPr>
          <w:lang w:val="fr-FR"/>
        </w:rPr>
        <w:t>Ntemgwa</w:t>
      </w:r>
      <w:proofErr w:type="spellEnd"/>
      <w:r w:rsidRPr="009A04C0">
        <w:rPr>
          <w:lang w:val="fr-FR"/>
        </w:rPr>
        <w:t xml:space="preserve"> M, </w:t>
      </w:r>
      <w:proofErr w:type="spellStart"/>
      <w:r w:rsidRPr="009A04C0">
        <w:rPr>
          <w:lang w:val="fr-FR"/>
        </w:rPr>
        <w:t>Atabe</w:t>
      </w:r>
      <w:proofErr w:type="spellEnd"/>
      <w:r w:rsidRPr="009A04C0">
        <w:rPr>
          <w:lang w:val="fr-FR"/>
        </w:rPr>
        <w:t xml:space="preserve"> AN. The </w:t>
      </w:r>
      <w:proofErr w:type="spellStart"/>
      <w:r w:rsidRPr="009A04C0">
        <w:rPr>
          <w:lang w:val="fr-FR"/>
        </w:rPr>
        <w:t>threat</w:t>
      </w:r>
      <w:proofErr w:type="spellEnd"/>
      <w:r w:rsidRPr="009A04C0">
        <w:rPr>
          <w:lang w:val="fr-FR"/>
        </w:rPr>
        <w:t xml:space="preserve"> of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in </w:t>
      </w:r>
      <w:proofErr w:type="spellStart"/>
      <w:r w:rsidRPr="009A04C0">
        <w:rPr>
          <w:lang w:val="fr-FR"/>
        </w:rPr>
        <w:t>developing</w:t>
      </w:r>
      <w:proofErr w:type="spellEnd"/>
      <w:r w:rsidRPr="009A04C0">
        <w:rPr>
          <w:lang w:val="fr-FR"/>
        </w:rPr>
        <w:t xml:space="preserve"> </w:t>
      </w:r>
      <w:proofErr w:type="gramStart"/>
      <w:r w:rsidRPr="009A04C0">
        <w:rPr>
          <w:lang w:val="fr-FR"/>
        </w:rPr>
        <w:t>countries:</w:t>
      </w:r>
      <w:proofErr w:type="gramEnd"/>
      <w:r w:rsidRPr="009A04C0">
        <w:rPr>
          <w:lang w:val="fr-FR"/>
        </w:rPr>
        <w:t xml:space="preserve"> causes and control </w:t>
      </w:r>
      <w:proofErr w:type="spellStart"/>
      <w:r w:rsidRPr="009A04C0">
        <w:rPr>
          <w:lang w:val="fr-FR"/>
        </w:rPr>
        <w:t>strategies</w:t>
      </w:r>
      <w:proofErr w:type="spellEnd"/>
      <w:r w:rsidRPr="009A04C0">
        <w:rPr>
          <w:lang w:val="fr-FR"/>
        </w:rPr>
        <w:t xml:space="preserve">. </w:t>
      </w:r>
      <w:proofErr w:type="spellStart"/>
      <w:r w:rsidRPr="009A04C0">
        <w:rPr>
          <w:lang w:val="fr-FR"/>
        </w:rPr>
        <w:t>Antimicrobial</w:t>
      </w:r>
      <w:proofErr w:type="spellEnd"/>
      <w:r w:rsidRPr="009A04C0">
        <w:rPr>
          <w:lang w:val="fr-FR"/>
        </w:rPr>
        <w:t xml:space="preserve"> Resistance &amp; Infection Control. 2017.6:47. https://doi.org/10.1186/s13756-017-0208-x</w:t>
      </w:r>
    </w:p>
    <w:p w14:paraId="4C235BF6" w14:textId="77777777" w:rsidR="009A04C0" w:rsidRPr="009A04C0" w:rsidRDefault="009A04C0" w:rsidP="009A04C0">
      <w:pPr>
        <w:pStyle w:val="Body"/>
        <w:rPr>
          <w:lang w:val="fr-FR"/>
        </w:rPr>
      </w:pPr>
    </w:p>
    <w:p w14:paraId="038BDD4A" w14:textId="77777777" w:rsidR="009A04C0" w:rsidRPr="009A04C0" w:rsidRDefault="009A04C0" w:rsidP="009A04C0">
      <w:pPr>
        <w:pStyle w:val="Body"/>
        <w:rPr>
          <w:lang w:val="fr-FR"/>
        </w:rPr>
      </w:pPr>
      <w:proofErr w:type="spellStart"/>
      <w:r w:rsidRPr="009A04C0">
        <w:rPr>
          <w:lang w:val="fr-FR"/>
        </w:rPr>
        <w:t>Essack</w:t>
      </w:r>
      <w:proofErr w:type="spellEnd"/>
      <w:r w:rsidRPr="009A04C0">
        <w:rPr>
          <w:lang w:val="fr-FR"/>
        </w:rPr>
        <w:t xml:space="preserve">, S. Y., </w:t>
      </w:r>
      <w:proofErr w:type="spellStart"/>
      <w:r w:rsidRPr="009A04C0">
        <w:rPr>
          <w:lang w:val="fr-FR"/>
        </w:rPr>
        <w:t>Desta</w:t>
      </w:r>
      <w:proofErr w:type="spellEnd"/>
      <w:r w:rsidRPr="009A04C0">
        <w:rPr>
          <w:lang w:val="fr-FR"/>
        </w:rPr>
        <w:t xml:space="preserve">, A. T., </w:t>
      </w:r>
      <w:proofErr w:type="spellStart"/>
      <w:r w:rsidRPr="009A04C0">
        <w:rPr>
          <w:lang w:val="fr-FR"/>
        </w:rPr>
        <w:t>Abotsi</w:t>
      </w:r>
      <w:proofErr w:type="spellEnd"/>
      <w:r w:rsidRPr="009A04C0">
        <w:rPr>
          <w:lang w:val="fr-FR"/>
        </w:rPr>
        <w:t xml:space="preserve">, R. E., &amp; </w:t>
      </w:r>
      <w:proofErr w:type="spellStart"/>
      <w:r w:rsidRPr="009A04C0">
        <w:rPr>
          <w:lang w:val="fr-FR"/>
        </w:rPr>
        <w:t>Agoba</w:t>
      </w:r>
      <w:proofErr w:type="spellEnd"/>
      <w:r w:rsidRPr="009A04C0">
        <w:rPr>
          <w:lang w:val="fr-FR"/>
        </w:rPr>
        <w:t xml:space="preserve">, E. E. (2017).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in the WHO </w:t>
      </w:r>
      <w:proofErr w:type="spellStart"/>
      <w:r w:rsidRPr="009A04C0">
        <w:rPr>
          <w:lang w:val="fr-FR"/>
        </w:rPr>
        <w:t>African</w:t>
      </w:r>
      <w:proofErr w:type="spellEnd"/>
      <w:r w:rsidRPr="009A04C0">
        <w:rPr>
          <w:lang w:val="fr-FR"/>
        </w:rPr>
        <w:t xml:space="preserve"> </w:t>
      </w:r>
      <w:proofErr w:type="spellStart"/>
      <w:proofErr w:type="gramStart"/>
      <w:r w:rsidRPr="009A04C0">
        <w:rPr>
          <w:lang w:val="fr-FR"/>
        </w:rPr>
        <w:t>region</w:t>
      </w:r>
      <w:proofErr w:type="spellEnd"/>
      <w:r w:rsidRPr="009A04C0">
        <w:rPr>
          <w:lang w:val="fr-FR"/>
        </w:rPr>
        <w:t>:</w:t>
      </w:r>
      <w:proofErr w:type="gramEnd"/>
      <w:r w:rsidRPr="009A04C0">
        <w:rPr>
          <w:lang w:val="fr-FR"/>
        </w:rPr>
        <w:t xml:space="preserve"> </w:t>
      </w:r>
      <w:proofErr w:type="spellStart"/>
      <w:r w:rsidRPr="009A04C0">
        <w:rPr>
          <w:lang w:val="fr-FR"/>
        </w:rPr>
        <w:t>current</w:t>
      </w:r>
      <w:proofErr w:type="spellEnd"/>
      <w:r w:rsidRPr="009A04C0">
        <w:rPr>
          <w:lang w:val="fr-FR"/>
        </w:rPr>
        <w:t xml:space="preserve"> </w:t>
      </w:r>
      <w:proofErr w:type="spellStart"/>
      <w:r w:rsidRPr="009A04C0">
        <w:rPr>
          <w:lang w:val="fr-FR"/>
        </w:rPr>
        <w:t>status</w:t>
      </w:r>
      <w:proofErr w:type="spellEnd"/>
      <w:r w:rsidRPr="009A04C0">
        <w:rPr>
          <w:lang w:val="fr-FR"/>
        </w:rPr>
        <w:t xml:space="preserve"> and roadmap for action. Journal of Public </w:t>
      </w:r>
      <w:proofErr w:type="spellStart"/>
      <w:r w:rsidRPr="009A04C0">
        <w:rPr>
          <w:lang w:val="fr-FR"/>
        </w:rPr>
        <w:t>Health</w:t>
      </w:r>
      <w:proofErr w:type="spellEnd"/>
      <w:r w:rsidRPr="009A04C0">
        <w:rPr>
          <w:lang w:val="fr-FR"/>
        </w:rPr>
        <w:t>, 39(1), 8-13.</w:t>
      </w:r>
    </w:p>
    <w:p w14:paraId="27B50918" w14:textId="77777777" w:rsidR="009A04C0" w:rsidRPr="009A04C0" w:rsidRDefault="009A04C0" w:rsidP="009A04C0">
      <w:pPr>
        <w:pStyle w:val="Body"/>
        <w:rPr>
          <w:lang w:val="fr-FR"/>
        </w:rPr>
      </w:pPr>
    </w:p>
    <w:p w14:paraId="672AB3CF" w14:textId="77777777" w:rsidR="009A04C0" w:rsidRPr="009A04C0" w:rsidRDefault="009A04C0" w:rsidP="009A04C0">
      <w:pPr>
        <w:pStyle w:val="Body"/>
        <w:rPr>
          <w:lang w:val="fr-FR"/>
        </w:rPr>
      </w:pPr>
      <w:proofErr w:type="spellStart"/>
      <w:r w:rsidRPr="009A04C0">
        <w:rPr>
          <w:lang w:val="fr-FR"/>
        </w:rPr>
        <w:t>Chechom</w:t>
      </w:r>
      <w:proofErr w:type="spellEnd"/>
      <w:r w:rsidRPr="009A04C0">
        <w:rPr>
          <w:lang w:val="fr-FR"/>
        </w:rPr>
        <w:t xml:space="preserve"> N. </w:t>
      </w:r>
      <w:proofErr w:type="spellStart"/>
      <w:r w:rsidRPr="009A04C0">
        <w:rPr>
          <w:lang w:val="fr-FR"/>
        </w:rPr>
        <w:t>Study</w:t>
      </w:r>
      <w:proofErr w:type="spellEnd"/>
      <w:r w:rsidRPr="009A04C0">
        <w:rPr>
          <w:lang w:val="fr-FR"/>
        </w:rPr>
        <w:t xml:space="preserve"> of the </w:t>
      </w:r>
      <w:proofErr w:type="spellStart"/>
      <w:r w:rsidRPr="009A04C0">
        <w:rPr>
          <w:lang w:val="fr-FR"/>
        </w:rPr>
        <w:t>bacteriological</w:t>
      </w:r>
      <w:proofErr w:type="spellEnd"/>
      <w:r w:rsidRPr="009A04C0">
        <w:rPr>
          <w:lang w:val="fr-FR"/>
        </w:rPr>
        <w:t xml:space="preserve"> profile of infections in </w:t>
      </w:r>
      <w:proofErr w:type="spellStart"/>
      <w:r w:rsidRPr="009A04C0">
        <w:rPr>
          <w:lang w:val="fr-FR"/>
        </w:rPr>
        <w:t>stomatology</w:t>
      </w:r>
      <w:proofErr w:type="spellEnd"/>
      <w:r w:rsidRPr="009A04C0">
        <w:rPr>
          <w:lang w:val="fr-FR"/>
        </w:rPr>
        <w:t xml:space="preserve"> and maxillofacial </w:t>
      </w:r>
      <w:proofErr w:type="spellStart"/>
      <w:r w:rsidRPr="009A04C0">
        <w:rPr>
          <w:lang w:val="fr-FR"/>
        </w:rPr>
        <w:t>surgery</w:t>
      </w:r>
      <w:proofErr w:type="spellEnd"/>
      <w:r w:rsidRPr="009A04C0">
        <w:rPr>
          <w:lang w:val="fr-FR"/>
        </w:rPr>
        <w:t xml:space="preserve"> in Abidjan (Côte d'Ivoire). Doctoral </w:t>
      </w:r>
      <w:proofErr w:type="spellStart"/>
      <w:r w:rsidRPr="009A04C0">
        <w:rPr>
          <w:lang w:val="fr-FR"/>
        </w:rPr>
        <w:t>thesis</w:t>
      </w:r>
      <w:proofErr w:type="spellEnd"/>
      <w:r w:rsidRPr="009A04C0">
        <w:rPr>
          <w:lang w:val="fr-FR"/>
        </w:rPr>
        <w:t xml:space="preserve"> in </w:t>
      </w:r>
      <w:proofErr w:type="spellStart"/>
      <w:r w:rsidRPr="009A04C0">
        <w:rPr>
          <w:lang w:val="fr-FR"/>
        </w:rPr>
        <w:t>Medicine</w:t>
      </w:r>
      <w:proofErr w:type="spellEnd"/>
      <w:r w:rsidRPr="009A04C0">
        <w:rPr>
          <w:lang w:val="fr-FR"/>
        </w:rPr>
        <w:t xml:space="preserve">, </w:t>
      </w:r>
      <w:proofErr w:type="spellStart"/>
      <w:r w:rsidRPr="009A04C0">
        <w:rPr>
          <w:lang w:val="fr-FR"/>
        </w:rPr>
        <w:t>University</w:t>
      </w:r>
      <w:proofErr w:type="spellEnd"/>
      <w:r w:rsidRPr="009A04C0">
        <w:rPr>
          <w:lang w:val="fr-FR"/>
        </w:rPr>
        <w:t xml:space="preserve"> of Cocody, Abidjan, 2010.</w:t>
      </w:r>
    </w:p>
    <w:p w14:paraId="6C410116" w14:textId="77777777" w:rsidR="009A04C0" w:rsidRPr="009A04C0" w:rsidRDefault="009A04C0" w:rsidP="009A04C0">
      <w:pPr>
        <w:pStyle w:val="Body"/>
        <w:rPr>
          <w:lang w:val="fr-FR"/>
        </w:rPr>
      </w:pPr>
    </w:p>
    <w:p w14:paraId="14D3909F" w14:textId="77777777" w:rsidR="009A04C0" w:rsidRPr="009A04C0" w:rsidRDefault="009A04C0" w:rsidP="009A04C0">
      <w:pPr>
        <w:pStyle w:val="Body"/>
        <w:rPr>
          <w:lang w:val="fr-FR"/>
        </w:rPr>
      </w:pPr>
      <w:proofErr w:type="spellStart"/>
      <w:r w:rsidRPr="009A04C0">
        <w:rPr>
          <w:lang w:val="fr-FR"/>
        </w:rPr>
        <w:t>Okeke</w:t>
      </w:r>
      <w:proofErr w:type="spellEnd"/>
      <w:r w:rsidRPr="009A04C0">
        <w:rPr>
          <w:lang w:val="fr-FR"/>
        </w:rPr>
        <w:t xml:space="preserve"> IN, </w:t>
      </w:r>
      <w:proofErr w:type="spellStart"/>
      <w:r w:rsidRPr="009A04C0">
        <w:rPr>
          <w:lang w:val="fr-FR"/>
        </w:rPr>
        <w:t>Laxminarayan</w:t>
      </w:r>
      <w:proofErr w:type="spellEnd"/>
      <w:r w:rsidRPr="009A04C0">
        <w:rPr>
          <w:lang w:val="fr-FR"/>
        </w:rPr>
        <w:t xml:space="preserve"> R, </w:t>
      </w:r>
      <w:proofErr w:type="spellStart"/>
      <w:r w:rsidRPr="009A04C0">
        <w:rPr>
          <w:lang w:val="fr-FR"/>
        </w:rPr>
        <w:t>Bhutta</w:t>
      </w:r>
      <w:proofErr w:type="spellEnd"/>
      <w:r w:rsidRPr="009A04C0">
        <w:rPr>
          <w:lang w:val="fr-FR"/>
        </w:rPr>
        <w:t xml:space="preserve"> ZA, Duse AG, Jenkins P, O'Brien TF, et al.</w:t>
      </w:r>
    </w:p>
    <w:p w14:paraId="135FDF55" w14:textId="77777777" w:rsidR="009A04C0" w:rsidRPr="009A04C0" w:rsidRDefault="009A04C0" w:rsidP="009A04C0">
      <w:pPr>
        <w:pStyle w:val="Body"/>
        <w:rPr>
          <w:lang w:val="fr-FR"/>
        </w:rPr>
      </w:pP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in </w:t>
      </w:r>
      <w:proofErr w:type="spellStart"/>
      <w:r w:rsidRPr="009A04C0">
        <w:rPr>
          <w:lang w:val="fr-FR"/>
        </w:rPr>
        <w:t>developing</w:t>
      </w:r>
      <w:proofErr w:type="spellEnd"/>
      <w:r w:rsidRPr="009A04C0">
        <w:rPr>
          <w:lang w:val="fr-FR"/>
        </w:rPr>
        <w:t xml:space="preserve"> countries. Part </w:t>
      </w:r>
      <w:proofErr w:type="gramStart"/>
      <w:r w:rsidRPr="009A04C0">
        <w:rPr>
          <w:lang w:val="fr-FR"/>
        </w:rPr>
        <w:t>I:</w:t>
      </w:r>
      <w:proofErr w:type="gramEnd"/>
      <w:r w:rsidRPr="009A04C0">
        <w:rPr>
          <w:lang w:val="fr-FR"/>
        </w:rPr>
        <w:t xml:space="preserve"> </w:t>
      </w:r>
      <w:proofErr w:type="spellStart"/>
      <w:r w:rsidRPr="009A04C0">
        <w:rPr>
          <w:lang w:val="fr-FR"/>
        </w:rPr>
        <w:t>recent</w:t>
      </w:r>
      <w:proofErr w:type="spellEnd"/>
      <w:r w:rsidRPr="009A04C0">
        <w:rPr>
          <w:lang w:val="fr-FR"/>
        </w:rPr>
        <w:t xml:space="preserve"> trends and </w:t>
      </w:r>
      <w:proofErr w:type="spellStart"/>
      <w:r w:rsidRPr="009A04C0">
        <w:rPr>
          <w:lang w:val="fr-FR"/>
        </w:rPr>
        <w:t>current</w:t>
      </w:r>
      <w:proofErr w:type="spellEnd"/>
      <w:r w:rsidRPr="009A04C0">
        <w:rPr>
          <w:lang w:val="fr-FR"/>
        </w:rPr>
        <w:t xml:space="preserve"> </w:t>
      </w:r>
      <w:proofErr w:type="spellStart"/>
      <w:r w:rsidRPr="009A04C0">
        <w:rPr>
          <w:lang w:val="fr-FR"/>
        </w:rPr>
        <w:t>status</w:t>
      </w:r>
      <w:proofErr w:type="spellEnd"/>
      <w:r w:rsidRPr="009A04C0">
        <w:rPr>
          <w:lang w:val="fr-FR"/>
        </w:rPr>
        <w:t>.</w:t>
      </w:r>
    </w:p>
    <w:p w14:paraId="600782DD" w14:textId="77777777" w:rsidR="009A04C0" w:rsidRPr="009A04C0" w:rsidRDefault="009A04C0" w:rsidP="009A04C0">
      <w:pPr>
        <w:pStyle w:val="Body"/>
        <w:rPr>
          <w:lang w:val="fr-FR"/>
        </w:rPr>
      </w:pPr>
      <w:r w:rsidRPr="009A04C0">
        <w:rPr>
          <w:lang w:val="fr-FR"/>
        </w:rPr>
        <w:t>Lancet Infect Dis. 2005 Aug.5(8</w:t>
      </w:r>
      <w:proofErr w:type="gramStart"/>
      <w:r w:rsidRPr="009A04C0">
        <w:rPr>
          <w:lang w:val="fr-FR"/>
        </w:rPr>
        <w:t>):</w:t>
      </w:r>
      <w:proofErr w:type="gramEnd"/>
      <w:r w:rsidRPr="009A04C0">
        <w:rPr>
          <w:lang w:val="fr-FR"/>
        </w:rPr>
        <w:t>481–93. https://doi.org/10.1016/S1473-3099(05)70189-4</w:t>
      </w:r>
    </w:p>
    <w:p w14:paraId="1B3440F6" w14:textId="77777777" w:rsidR="009A04C0" w:rsidRPr="009A04C0" w:rsidRDefault="009A04C0" w:rsidP="009A04C0">
      <w:pPr>
        <w:pStyle w:val="Body"/>
        <w:rPr>
          <w:lang w:val="fr-FR"/>
        </w:rPr>
      </w:pPr>
    </w:p>
    <w:p w14:paraId="3EACEDB1" w14:textId="77777777" w:rsidR="009A04C0" w:rsidRPr="009A04C0" w:rsidRDefault="009A04C0" w:rsidP="009A04C0">
      <w:pPr>
        <w:pStyle w:val="Body"/>
        <w:rPr>
          <w:lang w:val="fr-FR"/>
        </w:rPr>
      </w:pPr>
      <w:proofErr w:type="spellStart"/>
      <w:r w:rsidRPr="009A04C0">
        <w:rPr>
          <w:lang w:val="fr-FR"/>
        </w:rPr>
        <w:lastRenderedPageBreak/>
        <w:t>Shakibaie</w:t>
      </w:r>
      <w:proofErr w:type="spellEnd"/>
      <w:r w:rsidRPr="009A04C0">
        <w:rPr>
          <w:lang w:val="fr-FR"/>
        </w:rPr>
        <w:t xml:space="preserve">, M. R., </w:t>
      </w:r>
      <w:proofErr w:type="spellStart"/>
      <w:r w:rsidRPr="009A04C0">
        <w:rPr>
          <w:lang w:val="fr-FR"/>
        </w:rPr>
        <w:t>Adeli</w:t>
      </w:r>
      <w:proofErr w:type="spellEnd"/>
      <w:r w:rsidRPr="009A04C0">
        <w:rPr>
          <w:lang w:val="fr-FR"/>
        </w:rPr>
        <w:t xml:space="preserve">, S., &amp; Salehi, M. H. (2012). </w:t>
      </w:r>
      <w:proofErr w:type="spellStart"/>
      <w:r w:rsidRPr="009A04C0">
        <w:rPr>
          <w:lang w:val="fr-FR"/>
        </w:rPr>
        <w:t>Antibiotic</w:t>
      </w:r>
      <w:proofErr w:type="spellEnd"/>
      <w:r w:rsidRPr="009A04C0">
        <w:rPr>
          <w:lang w:val="fr-FR"/>
        </w:rPr>
        <w:t xml:space="preserve"> </w:t>
      </w:r>
      <w:proofErr w:type="spellStart"/>
      <w:r w:rsidRPr="009A04C0">
        <w:rPr>
          <w:lang w:val="fr-FR"/>
        </w:rPr>
        <w:t>resistance</w:t>
      </w:r>
      <w:proofErr w:type="spellEnd"/>
      <w:r w:rsidRPr="009A04C0">
        <w:rPr>
          <w:lang w:val="fr-FR"/>
        </w:rPr>
        <w:t xml:space="preserve"> patterns and </w:t>
      </w:r>
      <w:proofErr w:type="spellStart"/>
      <w:r w:rsidRPr="009A04C0">
        <w:rPr>
          <w:lang w:val="fr-FR"/>
        </w:rPr>
        <w:t>extended-spectrum</w:t>
      </w:r>
      <w:proofErr w:type="spellEnd"/>
      <w:r w:rsidRPr="009A04C0">
        <w:rPr>
          <w:lang w:val="fr-FR"/>
        </w:rPr>
        <w:t xml:space="preserve"> β-lactamase production </w:t>
      </w:r>
      <w:proofErr w:type="spellStart"/>
      <w:r w:rsidRPr="009A04C0">
        <w:rPr>
          <w:lang w:val="fr-FR"/>
        </w:rPr>
        <w:t>among</w:t>
      </w:r>
      <w:proofErr w:type="spellEnd"/>
      <w:r w:rsidRPr="009A04C0">
        <w:rPr>
          <w:lang w:val="fr-FR"/>
        </w:rPr>
        <w:t xml:space="preserve"> Acinetobacter </w:t>
      </w:r>
      <w:proofErr w:type="spellStart"/>
      <w:r w:rsidRPr="009A04C0">
        <w:rPr>
          <w:lang w:val="fr-FR"/>
        </w:rPr>
        <w:t>spp</w:t>
      </w:r>
      <w:proofErr w:type="spellEnd"/>
      <w:r w:rsidRPr="009A04C0">
        <w:rPr>
          <w:lang w:val="fr-FR"/>
        </w:rPr>
        <w:t xml:space="preserve">. </w:t>
      </w:r>
      <w:proofErr w:type="spellStart"/>
      <w:proofErr w:type="gramStart"/>
      <w:r w:rsidRPr="009A04C0">
        <w:rPr>
          <w:lang w:val="fr-FR"/>
        </w:rPr>
        <w:t>isolated</w:t>
      </w:r>
      <w:proofErr w:type="spellEnd"/>
      <w:proofErr w:type="gramEnd"/>
      <w:r w:rsidRPr="009A04C0">
        <w:rPr>
          <w:lang w:val="fr-FR"/>
        </w:rPr>
        <w:t xml:space="preserve"> </w:t>
      </w:r>
      <w:proofErr w:type="spellStart"/>
      <w:r w:rsidRPr="009A04C0">
        <w:rPr>
          <w:lang w:val="fr-FR"/>
        </w:rPr>
        <w:t>from</w:t>
      </w:r>
      <w:proofErr w:type="spellEnd"/>
      <w:r w:rsidRPr="009A04C0">
        <w:rPr>
          <w:lang w:val="fr-FR"/>
        </w:rPr>
        <w:t xml:space="preserve"> an intensive care Unit of a </w:t>
      </w:r>
      <w:proofErr w:type="spellStart"/>
      <w:r w:rsidRPr="009A04C0">
        <w:rPr>
          <w:lang w:val="fr-FR"/>
        </w:rPr>
        <w:t>hospital</w:t>
      </w:r>
      <w:proofErr w:type="spellEnd"/>
      <w:r w:rsidRPr="009A04C0">
        <w:rPr>
          <w:lang w:val="fr-FR"/>
        </w:rPr>
        <w:t xml:space="preserve"> in Kerman, Iran.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and infection control, 1, 1-8.</w:t>
      </w:r>
    </w:p>
    <w:p w14:paraId="0B276E5B" w14:textId="77777777" w:rsidR="009A04C0" w:rsidRPr="009A04C0" w:rsidRDefault="009A04C0" w:rsidP="009A04C0">
      <w:pPr>
        <w:pStyle w:val="Body"/>
        <w:rPr>
          <w:lang w:val="fr-FR"/>
        </w:rPr>
      </w:pPr>
    </w:p>
    <w:p w14:paraId="02C13E60" w14:textId="77777777" w:rsidR="009A04C0" w:rsidRPr="009A04C0" w:rsidRDefault="009A04C0" w:rsidP="009A04C0">
      <w:pPr>
        <w:pStyle w:val="Body"/>
        <w:rPr>
          <w:lang w:val="fr-FR"/>
        </w:rPr>
      </w:pPr>
      <w:proofErr w:type="spellStart"/>
      <w:r w:rsidRPr="009A04C0">
        <w:rPr>
          <w:lang w:val="fr-FR"/>
        </w:rPr>
        <w:t>Dadie</w:t>
      </w:r>
      <w:proofErr w:type="spellEnd"/>
      <w:r w:rsidRPr="009A04C0">
        <w:rPr>
          <w:lang w:val="fr-FR"/>
        </w:rPr>
        <w:t xml:space="preserve"> A.T., </w:t>
      </w:r>
      <w:proofErr w:type="spellStart"/>
      <w:r w:rsidRPr="009A04C0">
        <w:rPr>
          <w:lang w:val="fr-FR"/>
        </w:rPr>
        <w:t>Guessennd</w:t>
      </w:r>
      <w:proofErr w:type="spellEnd"/>
      <w:r w:rsidRPr="009A04C0">
        <w:rPr>
          <w:lang w:val="fr-FR"/>
        </w:rPr>
        <w:t xml:space="preserve"> N., </w:t>
      </w:r>
      <w:proofErr w:type="spellStart"/>
      <w:r w:rsidRPr="009A04C0">
        <w:rPr>
          <w:lang w:val="fr-FR"/>
        </w:rPr>
        <w:t>Tiekoura</w:t>
      </w:r>
      <w:proofErr w:type="spellEnd"/>
      <w:r w:rsidRPr="009A04C0">
        <w:rPr>
          <w:lang w:val="fr-FR"/>
        </w:rPr>
        <w:t xml:space="preserve"> B., Faye-</w:t>
      </w:r>
      <w:proofErr w:type="spellStart"/>
      <w:r w:rsidRPr="009A04C0">
        <w:rPr>
          <w:lang w:val="fr-FR"/>
        </w:rPr>
        <w:t>Kette</w:t>
      </w:r>
      <w:proofErr w:type="spellEnd"/>
      <w:r w:rsidRPr="009A04C0">
        <w:rPr>
          <w:lang w:val="fr-FR"/>
        </w:rPr>
        <w:t xml:space="preserve"> H. &amp; Dosso M (2003). Resistance to </w:t>
      </w:r>
      <w:proofErr w:type="spellStart"/>
      <w:r w:rsidRPr="009A04C0">
        <w:rPr>
          <w:lang w:val="fr-FR"/>
        </w:rPr>
        <w:t>beta</w:t>
      </w:r>
      <w:proofErr w:type="spellEnd"/>
      <w:r w:rsidRPr="009A04C0">
        <w:rPr>
          <w:lang w:val="fr-FR"/>
        </w:rPr>
        <w:t>-</w:t>
      </w:r>
      <w:proofErr w:type="spellStart"/>
      <w:r w:rsidRPr="009A04C0">
        <w:rPr>
          <w:lang w:val="fr-FR"/>
        </w:rPr>
        <w:t>lactams</w:t>
      </w:r>
      <w:proofErr w:type="spellEnd"/>
      <w:r w:rsidRPr="009A04C0">
        <w:rPr>
          <w:lang w:val="fr-FR"/>
        </w:rPr>
        <w:t xml:space="preserve"> of Escherichia coli of </w:t>
      </w:r>
      <w:proofErr w:type="spellStart"/>
      <w:r w:rsidRPr="009A04C0">
        <w:rPr>
          <w:lang w:val="fr-FR"/>
        </w:rPr>
        <w:t>food</w:t>
      </w:r>
      <w:proofErr w:type="spellEnd"/>
      <w:r w:rsidRPr="009A04C0">
        <w:rPr>
          <w:lang w:val="fr-FR"/>
        </w:rPr>
        <w:t xml:space="preserve"> and </w:t>
      </w:r>
      <w:proofErr w:type="spellStart"/>
      <w:r w:rsidRPr="009A04C0">
        <w:rPr>
          <w:lang w:val="fr-FR"/>
        </w:rPr>
        <w:t>human</w:t>
      </w:r>
      <w:proofErr w:type="spellEnd"/>
      <w:r w:rsidRPr="009A04C0">
        <w:rPr>
          <w:lang w:val="fr-FR"/>
        </w:rPr>
        <w:t xml:space="preserve"> </w:t>
      </w:r>
      <w:proofErr w:type="spellStart"/>
      <w:r w:rsidRPr="009A04C0">
        <w:rPr>
          <w:lang w:val="fr-FR"/>
        </w:rPr>
        <w:t>origin</w:t>
      </w:r>
      <w:proofErr w:type="spellEnd"/>
      <w:r w:rsidRPr="009A04C0">
        <w:rPr>
          <w:lang w:val="fr-FR"/>
        </w:rPr>
        <w:t xml:space="preserve"> </w:t>
      </w:r>
      <w:proofErr w:type="spellStart"/>
      <w:r w:rsidRPr="009A04C0">
        <w:rPr>
          <w:lang w:val="fr-FR"/>
        </w:rPr>
        <w:t>isolated</w:t>
      </w:r>
      <w:proofErr w:type="spellEnd"/>
      <w:r w:rsidRPr="009A04C0">
        <w:rPr>
          <w:lang w:val="fr-FR"/>
        </w:rPr>
        <w:t xml:space="preserve"> in Abidjan. Journal of Pharmaceutical and </w:t>
      </w:r>
      <w:proofErr w:type="spellStart"/>
      <w:r w:rsidRPr="009A04C0">
        <w:rPr>
          <w:lang w:val="fr-FR"/>
        </w:rPr>
        <w:t>Biological</w:t>
      </w:r>
      <w:proofErr w:type="spellEnd"/>
      <w:r w:rsidRPr="009A04C0">
        <w:rPr>
          <w:lang w:val="fr-FR"/>
        </w:rPr>
        <w:t xml:space="preserve"> Sciences, </w:t>
      </w:r>
      <w:proofErr w:type="gramStart"/>
      <w:r w:rsidRPr="009A04C0">
        <w:rPr>
          <w:lang w:val="fr-FR"/>
        </w:rPr>
        <w:t>4:</w:t>
      </w:r>
      <w:proofErr w:type="gramEnd"/>
      <w:r w:rsidRPr="009A04C0">
        <w:rPr>
          <w:lang w:val="fr-FR"/>
        </w:rPr>
        <w:t xml:space="preserve"> 62-69. </w:t>
      </w:r>
      <w:proofErr w:type="gramStart"/>
      <w:r w:rsidRPr="009A04C0">
        <w:rPr>
          <w:lang w:val="fr-FR"/>
        </w:rPr>
        <w:t>5:</w:t>
      </w:r>
      <w:proofErr w:type="gramEnd"/>
      <w:r w:rsidRPr="009A04C0">
        <w:rPr>
          <w:lang w:val="fr-FR"/>
        </w:rPr>
        <w:t>66-77.</w:t>
      </w:r>
    </w:p>
    <w:p w14:paraId="4A82ADE2" w14:textId="77777777" w:rsidR="009A04C0" w:rsidRPr="009A04C0" w:rsidRDefault="009A04C0" w:rsidP="009A04C0">
      <w:pPr>
        <w:pStyle w:val="Body"/>
        <w:rPr>
          <w:lang w:val="fr-FR"/>
        </w:rPr>
      </w:pPr>
    </w:p>
    <w:p w14:paraId="12559C1C" w14:textId="77777777" w:rsidR="009A04C0" w:rsidRPr="009A04C0" w:rsidRDefault="009A04C0" w:rsidP="009A04C0">
      <w:pPr>
        <w:pStyle w:val="Body"/>
        <w:rPr>
          <w:lang w:val="fr-FR"/>
        </w:rPr>
      </w:pPr>
      <w:r w:rsidRPr="009A04C0">
        <w:rPr>
          <w:lang w:val="fr-FR"/>
        </w:rPr>
        <w:t xml:space="preserve">Akoua-Koffi C., </w:t>
      </w:r>
      <w:proofErr w:type="spellStart"/>
      <w:r w:rsidRPr="009A04C0">
        <w:rPr>
          <w:lang w:val="fr-FR"/>
        </w:rPr>
        <w:t>Guessennd</w:t>
      </w:r>
      <w:proofErr w:type="spellEnd"/>
      <w:r w:rsidRPr="009A04C0">
        <w:rPr>
          <w:lang w:val="fr-FR"/>
        </w:rPr>
        <w:t xml:space="preserve"> N., </w:t>
      </w:r>
      <w:proofErr w:type="spellStart"/>
      <w:r w:rsidRPr="009A04C0">
        <w:rPr>
          <w:lang w:val="fr-FR"/>
        </w:rPr>
        <w:t>Gbonon</w:t>
      </w:r>
      <w:proofErr w:type="spellEnd"/>
      <w:r w:rsidRPr="009A04C0">
        <w:rPr>
          <w:lang w:val="fr-FR"/>
        </w:rPr>
        <w:t xml:space="preserve"> V., Faye-</w:t>
      </w:r>
      <w:proofErr w:type="spellStart"/>
      <w:r w:rsidRPr="009A04C0">
        <w:rPr>
          <w:lang w:val="fr-FR"/>
        </w:rPr>
        <w:t>Ketté</w:t>
      </w:r>
      <w:proofErr w:type="spellEnd"/>
      <w:r w:rsidRPr="009A04C0">
        <w:rPr>
          <w:lang w:val="fr-FR"/>
        </w:rPr>
        <w:t xml:space="preserve"> H. &amp; Dosso M. (2004). </w:t>
      </w:r>
      <w:proofErr w:type="spellStart"/>
      <w:r w:rsidRPr="009A04C0">
        <w:rPr>
          <w:lang w:val="fr-FR"/>
        </w:rPr>
        <w:t>Methicillin</w:t>
      </w:r>
      <w:proofErr w:type="spellEnd"/>
      <w:r w:rsidRPr="009A04C0">
        <w:rPr>
          <w:lang w:val="fr-FR"/>
        </w:rPr>
        <w:t xml:space="preserve"> </w:t>
      </w:r>
      <w:proofErr w:type="spellStart"/>
      <w:r w:rsidRPr="009A04C0">
        <w:rPr>
          <w:lang w:val="fr-FR"/>
        </w:rPr>
        <w:t>resistance</w:t>
      </w:r>
      <w:proofErr w:type="spellEnd"/>
      <w:r w:rsidRPr="009A04C0">
        <w:rPr>
          <w:lang w:val="fr-FR"/>
        </w:rPr>
        <w:t xml:space="preserve"> of Staphylococcus in Abidjan 1998-</w:t>
      </w:r>
      <w:proofErr w:type="gramStart"/>
      <w:r w:rsidRPr="009A04C0">
        <w:rPr>
          <w:lang w:val="fr-FR"/>
        </w:rPr>
        <w:t>2001:</w:t>
      </w:r>
      <w:proofErr w:type="gramEnd"/>
      <w:r w:rsidRPr="009A04C0">
        <w:rPr>
          <w:lang w:val="fr-FR"/>
        </w:rPr>
        <w:t xml:space="preserve"> A new </w:t>
      </w:r>
      <w:proofErr w:type="spellStart"/>
      <w:r w:rsidRPr="009A04C0">
        <w:rPr>
          <w:lang w:val="fr-FR"/>
        </w:rPr>
        <w:t>problem</w:t>
      </w:r>
      <w:proofErr w:type="spellEnd"/>
      <w:r w:rsidRPr="009A04C0">
        <w:rPr>
          <w:lang w:val="fr-FR"/>
        </w:rPr>
        <w:t xml:space="preserve">. </w:t>
      </w:r>
      <w:proofErr w:type="spellStart"/>
      <w:r w:rsidRPr="009A04C0">
        <w:rPr>
          <w:lang w:val="fr-FR"/>
        </w:rPr>
        <w:t>Medicine</w:t>
      </w:r>
      <w:proofErr w:type="spellEnd"/>
      <w:r w:rsidRPr="009A04C0">
        <w:rPr>
          <w:lang w:val="fr-FR"/>
        </w:rPr>
        <w:t xml:space="preserve"> and </w:t>
      </w:r>
      <w:proofErr w:type="spellStart"/>
      <w:r w:rsidRPr="009A04C0">
        <w:rPr>
          <w:lang w:val="fr-FR"/>
        </w:rPr>
        <w:t>Infectious</w:t>
      </w:r>
      <w:proofErr w:type="spellEnd"/>
      <w:r w:rsidRPr="009A04C0">
        <w:rPr>
          <w:lang w:val="fr-FR"/>
        </w:rPr>
        <w:t xml:space="preserve"> </w:t>
      </w:r>
      <w:proofErr w:type="spellStart"/>
      <w:r w:rsidRPr="009A04C0">
        <w:rPr>
          <w:lang w:val="fr-FR"/>
        </w:rPr>
        <w:t>Diseases</w:t>
      </w:r>
      <w:proofErr w:type="spellEnd"/>
      <w:r w:rsidRPr="009A04C0">
        <w:rPr>
          <w:lang w:val="fr-FR"/>
        </w:rPr>
        <w:t xml:space="preserve">. </w:t>
      </w:r>
      <w:proofErr w:type="gramStart"/>
      <w:r w:rsidRPr="009A04C0">
        <w:rPr>
          <w:lang w:val="fr-FR"/>
        </w:rPr>
        <w:t>34:</w:t>
      </w:r>
      <w:proofErr w:type="gramEnd"/>
      <w:r w:rsidRPr="009A04C0">
        <w:rPr>
          <w:lang w:val="fr-FR"/>
        </w:rPr>
        <w:t xml:space="preserve"> 132-136.</w:t>
      </w:r>
    </w:p>
    <w:p w14:paraId="7952A2F4" w14:textId="77777777" w:rsidR="009A04C0" w:rsidRPr="009A04C0" w:rsidRDefault="009A04C0" w:rsidP="009A04C0">
      <w:pPr>
        <w:pStyle w:val="Body"/>
        <w:rPr>
          <w:lang w:val="fr-FR"/>
        </w:rPr>
      </w:pPr>
    </w:p>
    <w:p w14:paraId="72426119" w14:textId="77777777" w:rsidR="009A04C0" w:rsidRPr="009A04C0" w:rsidRDefault="009A04C0" w:rsidP="009A04C0">
      <w:pPr>
        <w:pStyle w:val="Body"/>
        <w:rPr>
          <w:lang w:val="fr-FR"/>
        </w:rPr>
      </w:pPr>
      <w:proofErr w:type="spellStart"/>
      <w:r w:rsidRPr="009A04C0">
        <w:rPr>
          <w:lang w:val="fr-FR"/>
        </w:rPr>
        <w:t>Gbonon</w:t>
      </w:r>
      <w:proofErr w:type="spellEnd"/>
      <w:r w:rsidRPr="009A04C0">
        <w:rPr>
          <w:lang w:val="fr-FR"/>
        </w:rPr>
        <w:t xml:space="preserve"> V.C., </w:t>
      </w:r>
      <w:proofErr w:type="spellStart"/>
      <w:r w:rsidRPr="009A04C0">
        <w:rPr>
          <w:lang w:val="fr-FR"/>
        </w:rPr>
        <w:t>Guessennd</w:t>
      </w:r>
      <w:proofErr w:type="spellEnd"/>
      <w:r w:rsidRPr="009A04C0">
        <w:rPr>
          <w:lang w:val="fr-FR"/>
        </w:rPr>
        <w:t xml:space="preserve"> K.N., Kouassi M’</w:t>
      </w:r>
      <w:proofErr w:type="spellStart"/>
      <w:r w:rsidRPr="009A04C0">
        <w:rPr>
          <w:lang w:val="fr-FR"/>
        </w:rPr>
        <w:t>bengue</w:t>
      </w:r>
      <w:proofErr w:type="spellEnd"/>
      <w:r w:rsidRPr="009A04C0">
        <w:rPr>
          <w:lang w:val="fr-FR"/>
        </w:rPr>
        <w:t xml:space="preserve"> A., Kacou N’</w:t>
      </w:r>
      <w:proofErr w:type="spellStart"/>
      <w:r w:rsidRPr="009A04C0">
        <w:rPr>
          <w:lang w:val="fr-FR"/>
        </w:rPr>
        <w:t>douba</w:t>
      </w:r>
      <w:proofErr w:type="spellEnd"/>
      <w:r w:rsidRPr="009A04C0">
        <w:rPr>
          <w:lang w:val="fr-FR"/>
        </w:rPr>
        <w:t xml:space="preserve"> A., N’</w:t>
      </w:r>
      <w:proofErr w:type="spellStart"/>
      <w:r w:rsidRPr="009A04C0">
        <w:rPr>
          <w:lang w:val="fr-FR"/>
        </w:rPr>
        <w:t>guessan</w:t>
      </w:r>
      <w:proofErr w:type="spellEnd"/>
      <w:r w:rsidRPr="009A04C0">
        <w:rPr>
          <w:lang w:val="fr-FR"/>
        </w:rPr>
        <w:t xml:space="preserve"> K.R., Faye-</w:t>
      </w:r>
      <w:proofErr w:type="spellStart"/>
      <w:r w:rsidRPr="009A04C0">
        <w:rPr>
          <w:lang w:val="fr-FR"/>
        </w:rPr>
        <w:t>Kette</w:t>
      </w:r>
      <w:proofErr w:type="spellEnd"/>
      <w:r w:rsidRPr="009A04C0">
        <w:rPr>
          <w:lang w:val="fr-FR"/>
        </w:rPr>
        <w:t xml:space="preserve"> H., Dosso M. &amp; </w:t>
      </w:r>
      <w:proofErr w:type="spellStart"/>
      <w:r w:rsidRPr="009A04C0">
        <w:rPr>
          <w:lang w:val="fr-FR"/>
        </w:rPr>
        <w:t>Mignonsin</w:t>
      </w:r>
      <w:proofErr w:type="spellEnd"/>
      <w:r w:rsidRPr="009A04C0">
        <w:rPr>
          <w:lang w:val="fr-FR"/>
        </w:rPr>
        <w:t xml:space="preserve"> D. (2007). </w:t>
      </w:r>
      <w:proofErr w:type="spellStart"/>
      <w:r w:rsidRPr="009A04C0">
        <w:rPr>
          <w:lang w:val="fr-FR"/>
        </w:rPr>
        <w:t>Bacteriological</w:t>
      </w:r>
      <w:proofErr w:type="spellEnd"/>
      <w:r w:rsidRPr="009A04C0">
        <w:rPr>
          <w:lang w:val="fr-FR"/>
        </w:rPr>
        <w:t xml:space="preserve"> </w:t>
      </w:r>
      <w:proofErr w:type="spellStart"/>
      <w:r w:rsidRPr="009A04C0">
        <w:rPr>
          <w:lang w:val="fr-FR"/>
        </w:rPr>
        <w:t>controls</w:t>
      </w:r>
      <w:proofErr w:type="spellEnd"/>
      <w:r w:rsidRPr="009A04C0">
        <w:rPr>
          <w:lang w:val="fr-FR"/>
        </w:rPr>
        <w:t xml:space="preserve"> of the operating room </w:t>
      </w:r>
      <w:proofErr w:type="spellStart"/>
      <w:r w:rsidRPr="009A04C0">
        <w:rPr>
          <w:lang w:val="fr-FR"/>
        </w:rPr>
        <w:t>environment</w:t>
      </w:r>
      <w:proofErr w:type="spellEnd"/>
      <w:r w:rsidRPr="009A04C0">
        <w:rPr>
          <w:lang w:val="fr-FR"/>
        </w:rPr>
        <w:t xml:space="preserve"> in a </w:t>
      </w:r>
      <w:proofErr w:type="spellStart"/>
      <w:r w:rsidRPr="009A04C0">
        <w:rPr>
          <w:lang w:val="fr-FR"/>
        </w:rPr>
        <w:t>developing</w:t>
      </w:r>
      <w:proofErr w:type="spellEnd"/>
      <w:r w:rsidRPr="009A04C0">
        <w:rPr>
          <w:lang w:val="fr-FR"/>
        </w:rPr>
        <w:t xml:space="preserve"> </w:t>
      </w:r>
      <w:proofErr w:type="gramStart"/>
      <w:r w:rsidRPr="009A04C0">
        <w:rPr>
          <w:lang w:val="fr-FR"/>
        </w:rPr>
        <w:t>country:</w:t>
      </w:r>
      <w:proofErr w:type="gramEnd"/>
      <w:r w:rsidRPr="009A04C0">
        <w:rPr>
          <w:lang w:val="fr-FR"/>
        </w:rPr>
        <w:t xml:space="preserve"> the case of Treichville </w:t>
      </w:r>
      <w:proofErr w:type="spellStart"/>
      <w:r w:rsidRPr="009A04C0">
        <w:rPr>
          <w:lang w:val="fr-FR"/>
        </w:rPr>
        <w:t>University</w:t>
      </w:r>
      <w:proofErr w:type="spellEnd"/>
      <w:r w:rsidRPr="009A04C0">
        <w:rPr>
          <w:lang w:val="fr-FR"/>
        </w:rPr>
        <w:t xml:space="preserve"> Hospital in Abidjan </w:t>
      </w:r>
      <w:proofErr w:type="spellStart"/>
      <w:r w:rsidRPr="009A04C0">
        <w:rPr>
          <w:lang w:val="fr-FR"/>
        </w:rPr>
        <w:t>in</w:t>
      </w:r>
      <w:proofErr w:type="spellEnd"/>
      <w:r w:rsidRPr="009A04C0">
        <w:rPr>
          <w:lang w:val="fr-FR"/>
        </w:rPr>
        <w:t xml:space="preserve"> 2000. Bio-</w:t>
      </w:r>
      <w:proofErr w:type="spellStart"/>
      <w:r w:rsidRPr="009A04C0">
        <w:rPr>
          <w:lang w:val="fr-FR"/>
        </w:rPr>
        <w:t>Africa</w:t>
      </w:r>
      <w:proofErr w:type="spellEnd"/>
      <w:r w:rsidRPr="009A04C0">
        <w:rPr>
          <w:lang w:val="fr-FR"/>
        </w:rPr>
        <w:t xml:space="preserve"> </w:t>
      </w:r>
      <w:proofErr w:type="spellStart"/>
      <w:r w:rsidRPr="009A04C0">
        <w:rPr>
          <w:lang w:val="fr-FR"/>
        </w:rPr>
        <w:t>Review</w:t>
      </w:r>
      <w:proofErr w:type="spellEnd"/>
      <w:r w:rsidRPr="009A04C0">
        <w:rPr>
          <w:lang w:val="fr-FR"/>
        </w:rPr>
        <w:t xml:space="preserve">, </w:t>
      </w:r>
      <w:proofErr w:type="gramStart"/>
      <w:r w:rsidRPr="009A04C0">
        <w:rPr>
          <w:lang w:val="fr-FR"/>
        </w:rPr>
        <w:t>4:</w:t>
      </w:r>
      <w:proofErr w:type="gramEnd"/>
      <w:r w:rsidRPr="009A04C0">
        <w:rPr>
          <w:lang w:val="fr-FR"/>
        </w:rPr>
        <w:t xml:space="preserve"> 7-11.</w:t>
      </w:r>
    </w:p>
    <w:p w14:paraId="77940306" w14:textId="77777777" w:rsidR="009A04C0" w:rsidRPr="009A04C0" w:rsidRDefault="009A04C0" w:rsidP="009A04C0">
      <w:pPr>
        <w:pStyle w:val="Body"/>
        <w:rPr>
          <w:lang w:val="fr-FR"/>
        </w:rPr>
      </w:pPr>
    </w:p>
    <w:p w14:paraId="044502A2" w14:textId="77777777" w:rsidR="009A04C0" w:rsidRPr="009A04C0" w:rsidRDefault="009A04C0" w:rsidP="009A04C0">
      <w:pPr>
        <w:pStyle w:val="Body"/>
        <w:rPr>
          <w:lang w:val="fr-FR"/>
        </w:rPr>
      </w:pPr>
      <w:proofErr w:type="spellStart"/>
      <w:r w:rsidRPr="009A04C0">
        <w:rPr>
          <w:lang w:val="fr-FR"/>
        </w:rPr>
        <w:t>Guessennd</w:t>
      </w:r>
      <w:proofErr w:type="spellEnd"/>
      <w:r w:rsidRPr="009A04C0">
        <w:rPr>
          <w:lang w:val="fr-FR"/>
        </w:rPr>
        <w:t xml:space="preserve"> N., Kacou-</w:t>
      </w:r>
      <w:proofErr w:type="spellStart"/>
      <w:r w:rsidRPr="009A04C0">
        <w:rPr>
          <w:lang w:val="fr-FR"/>
        </w:rPr>
        <w:t>N’Douba</w:t>
      </w:r>
      <w:proofErr w:type="spellEnd"/>
      <w:r w:rsidRPr="009A04C0">
        <w:rPr>
          <w:lang w:val="fr-FR"/>
        </w:rPr>
        <w:t xml:space="preserve"> A., </w:t>
      </w:r>
      <w:proofErr w:type="spellStart"/>
      <w:r w:rsidRPr="009A04C0">
        <w:rPr>
          <w:lang w:val="fr-FR"/>
        </w:rPr>
        <w:t>Gbonon</w:t>
      </w:r>
      <w:proofErr w:type="spellEnd"/>
      <w:r w:rsidRPr="009A04C0">
        <w:rPr>
          <w:lang w:val="fr-FR"/>
        </w:rPr>
        <w:t xml:space="preserve"> V., </w:t>
      </w:r>
      <w:proofErr w:type="spellStart"/>
      <w:r w:rsidRPr="009A04C0">
        <w:rPr>
          <w:lang w:val="fr-FR"/>
        </w:rPr>
        <w:t>Yapi</w:t>
      </w:r>
      <w:proofErr w:type="spellEnd"/>
      <w:r w:rsidRPr="009A04C0">
        <w:rPr>
          <w:lang w:val="fr-FR"/>
        </w:rPr>
        <w:t xml:space="preserve"> D., </w:t>
      </w:r>
      <w:proofErr w:type="spellStart"/>
      <w:r w:rsidRPr="009A04C0">
        <w:rPr>
          <w:lang w:val="fr-FR"/>
        </w:rPr>
        <w:t>Ekaza</w:t>
      </w:r>
      <w:proofErr w:type="spellEnd"/>
      <w:r w:rsidRPr="009A04C0">
        <w:rPr>
          <w:lang w:val="fr-FR"/>
        </w:rPr>
        <w:t xml:space="preserve"> E., Dosso M., </w:t>
      </w:r>
      <w:proofErr w:type="spellStart"/>
      <w:r w:rsidRPr="009A04C0">
        <w:rPr>
          <w:lang w:val="fr-FR"/>
        </w:rPr>
        <w:t>Courvalin</w:t>
      </w:r>
      <w:proofErr w:type="spellEnd"/>
      <w:r w:rsidRPr="009A04C0">
        <w:rPr>
          <w:lang w:val="fr-FR"/>
        </w:rPr>
        <w:t xml:space="preserve"> P (2008a) </w:t>
      </w:r>
      <w:proofErr w:type="spellStart"/>
      <w:r w:rsidRPr="009A04C0">
        <w:rPr>
          <w:lang w:val="fr-FR"/>
        </w:rPr>
        <w:t>Prevalence</w:t>
      </w:r>
      <w:proofErr w:type="spellEnd"/>
      <w:r w:rsidRPr="009A04C0">
        <w:rPr>
          <w:lang w:val="fr-FR"/>
        </w:rPr>
        <w:t xml:space="preserve"> and </w:t>
      </w:r>
      <w:proofErr w:type="spellStart"/>
      <w:r w:rsidRPr="009A04C0">
        <w:rPr>
          <w:lang w:val="fr-FR"/>
        </w:rPr>
        <w:t>resistance</w:t>
      </w:r>
      <w:proofErr w:type="spellEnd"/>
      <w:r w:rsidRPr="009A04C0">
        <w:rPr>
          <w:lang w:val="fr-FR"/>
        </w:rPr>
        <w:t xml:space="preserve"> profile of </w:t>
      </w:r>
      <w:proofErr w:type="spellStart"/>
      <w:r w:rsidRPr="009A04C0">
        <w:rPr>
          <w:lang w:val="fr-FR"/>
        </w:rPr>
        <w:t>extended-spectrum</w:t>
      </w:r>
      <w:proofErr w:type="spellEnd"/>
      <w:r w:rsidRPr="009A04C0">
        <w:rPr>
          <w:lang w:val="fr-FR"/>
        </w:rPr>
        <w:t xml:space="preserve"> </w:t>
      </w:r>
      <w:proofErr w:type="spellStart"/>
      <w:r w:rsidRPr="009A04C0">
        <w:rPr>
          <w:lang w:val="fr-FR"/>
        </w:rPr>
        <w:t>beta</w:t>
      </w:r>
      <w:proofErr w:type="spellEnd"/>
      <w:r w:rsidRPr="009A04C0">
        <w:rPr>
          <w:lang w:val="fr-FR"/>
        </w:rPr>
        <w:t>-lactamase-</w:t>
      </w:r>
      <w:proofErr w:type="spellStart"/>
      <w:r w:rsidRPr="009A04C0">
        <w:rPr>
          <w:lang w:val="fr-FR"/>
        </w:rPr>
        <w:t>producing</w:t>
      </w:r>
      <w:proofErr w:type="spellEnd"/>
      <w:r w:rsidRPr="009A04C0">
        <w:rPr>
          <w:lang w:val="fr-FR"/>
        </w:rPr>
        <w:t xml:space="preserve"> </w:t>
      </w:r>
      <w:proofErr w:type="spellStart"/>
      <w:r w:rsidRPr="009A04C0">
        <w:rPr>
          <w:lang w:val="fr-FR"/>
        </w:rPr>
        <w:t>Enterobacteriaceae</w:t>
      </w:r>
      <w:proofErr w:type="spellEnd"/>
      <w:r w:rsidRPr="009A04C0">
        <w:rPr>
          <w:lang w:val="fr-FR"/>
        </w:rPr>
        <w:t xml:space="preserve"> in Abidjan </w:t>
      </w:r>
      <w:proofErr w:type="spellStart"/>
      <w:r w:rsidRPr="009A04C0">
        <w:rPr>
          <w:lang w:val="fr-FR"/>
        </w:rPr>
        <w:t>from</w:t>
      </w:r>
      <w:proofErr w:type="spellEnd"/>
      <w:r w:rsidRPr="009A04C0">
        <w:rPr>
          <w:lang w:val="fr-FR"/>
        </w:rPr>
        <w:t xml:space="preserve"> 2005 to 2006... Journal of Pharmaceutical and </w:t>
      </w:r>
      <w:proofErr w:type="spellStart"/>
      <w:r w:rsidRPr="009A04C0">
        <w:rPr>
          <w:lang w:val="fr-FR"/>
        </w:rPr>
        <w:t>Biological</w:t>
      </w:r>
      <w:proofErr w:type="spellEnd"/>
      <w:r w:rsidRPr="009A04C0">
        <w:rPr>
          <w:lang w:val="fr-FR"/>
        </w:rPr>
        <w:t xml:space="preserve"> Sciences, </w:t>
      </w:r>
      <w:proofErr w:type="gramStart"/>
      <w:r w:rsidRPr="009A04C0">
        <w:rPr>
          <w:lang w:val="fr-FR"/>
        </w:rPr>
        <w:t>9:</w:t>
      </w:r>
      <w:proofErr w:type="gramEnd"/>
      <w:r w:rsidRPr="009A04C0">
        <w:rPr>
          <w:lang w:val="fr-FR"/>
        </w:rPr>
        <w:t xml:space="preserve"> 63-70.</w:t>
      </w:r>
    </w:p>
    <w:p w14:paraId="6682A14B" w14:textId="77777777" w:rsidR="009A04C0" w:rsidRPr="009A04C0" w:rsidRDefault="009A04C0" w:rsidP="009A04C0">
      <w:pPr>
        <w:pStyle w:val="Body"/>
        <w:rPr>
          <w:lang w:val="fr-FR"/>
        </w:rPr>
      </w:pPr>
    </w:p>
    <w:p w14:paraId="3C72AD09" w14:textId="77777777" w:rsidR="009A04C0" w:rsidRPr="009A04C0" w:rsidRDefault="009A04C0" w:rsidP="009A04C0">
      <w:pPr>
        <w:pStyle w:val="Body"/>
        <w:rPr>
          <w:lang w:val="fr-FR"/>
        </w:rPr>
      </w:pPr>
      <w:proofErr w:type="spellStart"/>
      <w:r w:rsidRPr="009A04C0">
        <w:rPr>
          <w:lang w:val="fr-FR"/>
        </w:rPr>
        <w:t>Baguy</w:t>
      </w:r>
      <w:proofErr w:type="spellEnd"/>
      <w:r w:rsidRPr="009A04C0">
        <w:rPr>
          <w:lang w:val="fr-FR"/>
        </w:rPr>
        <w:t xml:space="preserve">, O. M., Nathalie, G. K., David, C. N. G., Daniel, S. N. G., Julien, C. K., Rose, K. N., ... &amp; Mireille, D. (2014). First report of </w:t>
      </w:r>
      <w:proofErr w:type="spellStart"/>
      <w:r w:rsidRPr="009A04C0">
        <w:rPr>
          <w:lang w:val="fr-FR"/>
        </w:rPr>
        <w:t>qnr</w:t>
      </w:r>
      <w:proofErr w:type="spellEnd"/>
      <w:r w:rsidRPr="009A04C0">
        <w:rPr>
          <w:lang w:val="fr-FR"/>
        </w:rPr>
        <w:t xml:space="preserve"> </w:t>
      </w:r>
      <w:proofErr w:type="spellStart"/>
      <w:r w:rsidRPr="009A04C0">
        <w:rPr>
          <w:lang w:val="fr-FR"/>
        </w:rPr>
        <w:t>genes</w:t>
      </w:r>
      <w:proofErr w:type="spellEnd"/>
      <w:r w:rsidRPr="009A04C0">
        <w:rPr>
          <w:lang w:val="fr-FR"/>
        </w:rPr>
        <w:t xml:space="preserve"> in </w:t>
      </w:r>
      <w:proofErr w:type="spellStart"/>
      <w:r w:rsidRPr="009A04C0">
        <w:rPr>
          <w:lang w:val="fr-FR"/>
        </w:rPr>
        <w:t>multidrug</w:t>
      </w:r>
      <w:proofErr w:type="spellEnd"/>
      <w:r w:rsidRPr="009A04C0">
        <w:rPr>
          <w:lang w:val="fr-FR"/>
        </w:rPr>
        <w:t xml:space="preserve"> </w:t>
      </w:r>
      <w:proofErr w:type="spellStart"/>
      <w:r w:rsidRPr="009A04C0">
        <w:rPr>
          <w:lang w:val="fr-FR"/>
        </w:rPr>
        <w:t>resistant</w:t>
      </w:r>
      <w:proofErr w:type="spellEnd"/>
      <w:r w:rsidRPr="009A04C0">
        <w:rPr>
          <w:lang w:val="fr-FR"/>
        </w:rPr>
        <w:t xml:space="preserve"> (ESBL) </w:t>
      </w:r>
      <w:proofErr w:type="spellStart"/>
      <w:r w:rsidRPr="009A04C0">
        <w:rPr>
          <w:lang w:val="fr-FR"/>
        </w:rPr>
        <w:t>enterobacteria</w:t>
      </w:r>
      <w:proofErr w:type="spellEnd"/>
      <w:r w:rsidRPr="009A04C0">
        <w:rPr>
          <w:lang w:val="fr-FR"/>
        </w:rPr>
        <w:t xml:space="preserve"> </w:t>
      </w:r>
      <w:proofErr w:type="spellStart"/>
      <w:r w:rsidRPr="009A04C0">
        <w:rPr>
          <w:lang w:val="fr-FR"/>
        </w:rPr>
        <w:t>isolated</w:t>
      </w:r>
      <w:proofErr w:type="spellEnd"/>
      <w:r w:rsidRPr="009A04C0">
        <w:rPr>
          <w:lang w:val="fr-FR"/>
        </w:rPr>
        <w:t xml:space="preserve"> </w:t>
      </w:r>
      <w:proofErr w:type="spellStart"/>
      <w:r w:rsidRPr="009A04C0">
        <w:rPr>
          <w:lang w:val="fr-FR"/>
        </w:rPr>
        <w:t>from</w:t>
      </w:r>
      <w:proofErr w:type="spellEnd"/>
      <w:r w:rsidRPr="009A04C0">
        <w:rPr>
          <w:lang w:val="fr-FR"/>
        </w:rPr>
        <w:t xml:space="preserve"> </w:t>
      </w:r>
      <w:proofErr w:type="spellStart"/>
      <w:r w:rsidRPr="009A04C0">
        <w:rPr>
          <w:lang w:val="fr-FR"/>
        </w:rPr>
        <w:t>different</w:t>
      </w:r>
      <w:proofErr w:type="spellEnd"/>
      <w:r w:rsidRPr="009A04C0">
        <w:rPr>
          <w:lang w:val="fr-FR"/>
        </w:rPr>
        <w:t xml:space="preserve"> </w:t>
      </w:r>
      <w:proofErr w:type="spellStart"/>
      <w:r w:rsidRPr="009A04C0">
        <w:rPr>
          <w:lang w:val="fr-FR"/>
        </w:rPr>
        <w:t>ecosystems</w:t>
      </w:r>
      <w:proofErr w:type="spellEnd"/>
      <w:r w:rsidRPr="009A04C0">
        <w:rPr>
          <w:lang w:val="fr-FR"/>
        </w:rPr>
        <w:t xml:space="preserve"> in Abidjan, Ivory </w:t>
      </w:r>
      <w:proofErr w:type="spellStart"/>
      <w:r w:rsidRPr="009A04C0">
        <w:rPr>
          <w:lang w:val="fr-FR"/>
        </w:rPr>
        <w:t>Coast</w:t>
      </w:r>
      <w:proofErr w:type="spellEnd"/>
      <w:r w:rsidRPr="009A04C0">
        <w:rPr>
          <w:lang w:val="fr-FR"/>
        </w:rPr>
        <w:t>. AMC, 21, 16.</w:t>
      </w:r>
    </w:p>
    <w:p w14:paraId="1665169A" w14:textId="77777777" w:rsidR="009A04C0" w:rsidRPr="009A04C0" w:rsidRDefault="009A04C0" w:rsidP="009A04C0">
      <w:pPr>
        <w:pStyle w:val="Body"/>
        <w:rPr>
          <w:lang w:val="fr-FR"/>
        </w:rPr>
      </w:pPr>
    </w:p>
    <w:p w14:paraId="3F20CDBD" w14:textId="77777777" w:rsidR="009A04C0" w:rsidRPr="009A04C0" w:rsidRDefault="009A04C0" w:rsidP="009A04C0">
      <w:pPr>
        <w:pStyle w:val="Body"/>
        <w:rPr>
          <w:lang w:val="fr-FR"/>
        </w:rPr>
      </w:pPr>
      <w:proofErr w:type="spellStart"/>
      <w:r w:rsidRPr="009A04C0">
        <w:rPr>
          <w:lang w:val="fr-FR"/>
        </w:rPr>
        <w:t>Toty</w:t>
      </w:r>
      <w:proofErr w:type="spellEnd"/>
      <w:r w:rsidRPr="009A04C0">
        <w:rPr>
          <w:lang w:val="fr-FR"/>
        </w:rPr>
        <w:t xml:space="preserve"> A.A., </w:t>
      </w:r>
      <w:proofErr w:type="spellStart"/>
      <w:r w:rsidRPr="009A04C0">
        <w:rPr>
          <w:lang w:val="fr-FR"/>
        </w:rPr>
        <w:t>Guessennd</w:t>
      </w:r>
      <w:proofErr w:type="spellEnd"/>
      <w:r w:rsidRPr="009A04C0">
        <w:rPr>
          <w:lang w:val="fr-FR"/>
        </w:rPr>
        <w:t xml:space="preserve"> N., Akoua-Koffi C., </w:t>
      </w:r>
      <w:proofErr w:type="spellStart"/>
      <w:r w:rsidRPr="009A04C0">
        <w:rPr>
          <w:lang w:val="fr-FR"/>
        </w:rPr>
        <w:t>Otokoré</w:t>
      </w:r>
      <w:proofErr w:type="spellEnd"/>
      <w:r w:rsidRPr="009A04C0">
        <w:rPr>
          <w:lang w:val="fr-FR"/>
        </w:rPr>
        <w:t xml:space="preserve"> D.A., </w:t>
      </w:r>
      <w:proofErr w:type="spellStart"/>
      <w:r w:rsidRPr="009A04C0">
        <w:rPr>
          <w:lang w:val="fr-FR"/>
        </w:rPr>
        <w:t>Meex</w:t>
      </w:r>
      <w:proofErr w:type="spellEnd"/>
      <w:r w:rsidRPr="009A04C0">
        <w:rPr>
          <w:lang w:val="fr-FR"/>
        </w:rPr>
        <w:t xml:space="preserve"> C., Mbengue G.V., </w:t>
      </w:r>
      <w:proofErr w:type="spellStart"/>
      <w:r w:rsidRPr="009A04C0">
        <w:rPr>
          <w:lang w:val="fr-FR"/>
        </w:rPr>
        <w:t>Djaman</w:t>
      </w:r>
      <w:proofErr w:type="spellEnd"/>
      <w:r w:rsidRPr="009A04C0">
        <w:rPr>
          <w:lang w:val="fr-FR"/>
        </w:rPr>
        <w:t xml:space="preserve"> A.J., Dosso M., </w:t>
      </w:r>
      <w:proofErr w:type="spellStart"/>
      <w:r w:rsidRPr="009A04C0">
        <w:rPr>
          <w:lang w:val="fr-FR"/>
        </w:rPr>
        <w:t>Galleni</w:t>
      </w:r>
      <w:proofErr w:type="spellEnd"/>
      <w:r w:rsidRPr="009A04C0">
        <w:rPr>
          <w:lang w:val="fr-FR"/>
        </w:rPr>
        <w:t xml:space="preserve"> M (2016). First </w:t>
      </w:r>
      <w:proofErr w:type="spellStart"/>
      <w:r w:rsidRPr="009A04C0">
        <w:rPr>
          <w:lang w:val="fr-FR"/>
        </w:rPr>
        <w:t>Detection</w:t>
      </w:r>
      <w:proofErr w:type="spellEnd"/>
      <w:r w:rsidRPr="009A04C0">
        <w:rPr>
          <w:lang w:val="fr-FR"/>
        </w:rPr>
        <w:t xml:space="preserve"> of TEM-116 and SHV-75-Producing </w:t>
      </w:r>
      <w:proofErr w:type="spellStart"/>
      <w:r w:rsidRPr="009A04C0">
        <w:rPr>
          <w:lang w:val="fr-FR"/>
        </w:rPr>
        <w:t>Enterobacteria</w:t>
      </w:r>
      <w:proofErr w:type="spellEnd"/>
      <w:r w:rsidRPr="009A04C0">
        <w:rPr>
          <w:lang w:val="fr-FR"/>
        </w:rPr>
        <w:t xml:space="preserve"> </w:t>
      </w:r>
      <w:proofErr w:type="spellStart"/>
      <w:r w:rsidRPr="009A04C0">
        <w:rPr>
          <w:lang w:val="fr-FR"/>
        </w:rPr>
        <w:t>Isolated</w:t>
      </w:r>
      <w:proofErr w:type="spellEnd"/>
      <w:r w:rsidRPr="009A04C0">
        <w:rPr>
          <w:lang w:val="fr-FR"/>
        </w:rPr>
        <w:t xml:space="preserve"> </w:t>
      </w:r>
      <w:proofErr w:type="spellStart"/>
      <w:r w:rsidRPr="009A04C0">
        <w:rPr>
          <w:lang w:val="fr-FR"/>
        </w:rPr>
        <w:t>from</w:t>
      </w:r>
      <w:proofErr w:type="spellEnd"/>
      <w:r w:rsidRPr="009A04C0">
        <w:rPr>
          <w:lang w:val="fr-FR"/>
        </w:rPr>
        <w:t xml:space="preserve"> </w:t>
      </w:r>
      <w:proofErr w:type="spellStart"/>
      <w:r w:rsidRPr="009A04C0">
        <w:rPr>
          <w:lang w:val="fr-FR"/>
        </w:rPr>
        <w:t>Two</w:t>
      </w:r>
      <w:proofErr w:type="spellEnd"/>
      <w:r w:rsidRPr="009A04C0">
        <w:rPr>
          <w:lang w:val="fr-FR"/>
        </w:rPr>
        <w:t xml:space="preserve"> </w:t>
      </w:r>
      <w:proofErr w:type="spellStart"/>
      <w:r w:rsidRPr="009A04C0">
        <w:rPr>
          <w:lang w:val="fr-FR"/>
        </w:rPr>
        <w:t>Ivorian</w:t>
      </w:r>
      <w:proofErr w:type="spellEnd"/>
      <w:r w:rsidRPr="009A04C0">
        <w:rPr>
          <w:lang w:val="fr-FR"/>
        </w:rPr>
        <w:t xml:space="preserve"> </w:t>
      </w:r>
      <w:proofErr w:type="spellStart"/>
      <w:r w:rsidRPr="009A04C0">
        <w:rPr>
          <w:lang w:val="fr-FR"/>
        </w:rPr>
        <w:t>Teaching</w:t>
      </w:r>
      <w:proofErr w:type="spellEnd"/>
      <w:r w:rsidRPr="009A04C0">
        <w:rPr>
          <w:lang w:val="fr-FR"/>
        </w:rPr>
        <w:t xml:space="preserve"> </w:t>
      </w:r>
      <w:proofErr w:type="spellStart"/>
      <w:proofErr w:type="gramStart"/>
      <w:r w:rsidRPr="009A04C0">
        <w:rPr>
          <w:lang w:val="fr-FR"/>
        </w:rPr>
        <w:t>Hospitals</w:t>
      </w:r>
      <w:proofErr w:type="spellEnd"/>
      <w:r w:rsidRPr="009A04C0">
        <w:rPr>
          <w:lang w:val="fr-FR"/>
        </w:rPr>
        <w:t>:</w:t>
      </w:r>
      <w:proofErr w:type="gramEnd"/>
      <w:r w:rsidRPr="009A04C0">
        <w:rPr>
          <w:lang w:val="fr-FR"/>
        </w:rPr>
        <w:t xml:space="preserve"> Case of Abidjan and Bouaké. International Journal of </w:t>
      </w:r>
      <w:proofErr w:type="spellStart"/>
      <w:r w:rsidRPr="009A04C0">
        <w:rPr>
          <w:lang w:val="fr-FR"/>
        </w:rPr>
        <w:t>Current</w:t>
      </w:r>
      <w:proofErr w:type="spellEnd"/>
      <w:r w:rsidRPr="009A04C0">
        <w:rPr>
          <w:lang w:val="fr-FR"/>
        </w:rPr>
        <w:t xml:space="preserve"> </w:t>
      </w:r>
      <w:proofErr w:type="spellStart"/>
      <w:r w:rsidRPr="009A04C0">
        <w:rPr>
          <w:lang w:val="fr-FR"/>
        </w:rPr>
        <w:t>Microbiology</w:t>
      </w:r>
      <w:proofErr w:type="spellEnd"/>
      <w:r w:rsidRPr="009A04C0">
        <w:rPr>
          <w:lang w:val="fr-FR"/>
        </w:rPr>
        <w:t xml:space="preserve"> and </w:t>
      </w:r>
      <w:proofErr w:type="spellStart"/>
      <w:r w:rsidRPr="009A04C0">
        <w:rPr>
          <w:lang w:val="fr-FR"/>
        </w:rPr>
        <w:t>Applied</w:t>
      </w:r>
      <w:proofErr w:type="spellEnd"/>
      <w:r w:rsidRPr="009A04C0">
        <w:rPr>
          <w:lang w:val="fr-FR"/>
        </w:rPr>
        <w:t xml:space="preserve"> Sciences </w:t>
      </w:r>
      <w:proofErr w:type="gramStart"/>
      <w:r w:rsidRPr="009A04C0">
        <w:rPr>
          <w:lang w:val="fr-FR"/>
        </w:rPr>
        <w:t>5:</w:t>
      </w:r>
      <w:proofErr w:type="gramEnd"/>
      <w:r w:rsidRPr="009A04C0">
        <w:rPr>
          <w:lang w:val="fr-FR"/>
        </w:rPr>
        <w:t xml:space="preserve"> 1-9.</w:t>
      </w:r>
    </w:p>
    <w:p w14:paraId="6881A38D" w14:textId="77777777" w:rsidR="009A04C0" w:rsidRPr="009A04C0" w:rsidRDefault="009A04C0" w:rsidP="009A04C0">
      <w:pPr>
        <w:pStyle w:val="Body"/>
        <w:rPr>
          <w:lang w:val="fr-FR"/>
        </w:rPr>
      </w:pPr>
    </w:p>
    <w:p w14:paraId="506C3489" w14:textId="77777777" w:rsidR="009A04C0" w:rsidRPr="009A04C0" w:rsidRDefault="009A04C0" w:rsidP="009A04C0">
      <w:pPr>
        <w:pStyle w:val="Body"/>
        <w:rPr>
          <w:lang w:val="fr-FR"/>
        </w:rPr>
      </w:pPr>
      <w:proofErr w:type="spellStart"/>
      <w:r w:rsidRPr="009A04C0">
        <w:rPr>
          <w:lang w:val="fr-FR"/>
        </w:rPr>
        <w:t>Guessennd</w:t>
      </w:r>
      <w:proofErr w:type="spellEnd"/>
      <w:r w:rsidRPr="009A04C0">
        <w:rPr>
          <w:lang w:val="fr-FR"/>
        </w:rPr>
        <w:t xml:space="preserve"> N., </w:t>
      </w:r>
      <w:proofErr w:type="spellStart"/>
      <w:r w:rsidRPr="009A04C0">
        <w:rPr>
          <w:lang w:val="fr-FR"/>
        </w:rPr>
        <w:t>Bremont</w:t>
      </w:r>
      <w:proofErr w:type="spellEnd"/>
      <w:r w:rsidRPr="009A04C0">
        <w:rPr>
          <w:lang w:val="fr-FR"/>
        </w:rPr>
        <w:t xml:space="preserve"> S., </w:t>
      </w:r>
      <w:proofErr w:type="spellStart"/>
      <w:r w:rsidRPr="009A04C0">
        <w:rPr>
          <w:lang w:val="fr-FR"/>
        </w:rPr>
        <w:t>Gbonon</w:t>
      </w:r>
      <w:proofErr w:type="spellEnd"/>
      <w:r w:rsidRPr="009A04C0">
        <w:rPr>
          <w:lang w:val="fr-FR"/>
        </w:rPr>
        <w:t xml:space="preserve"> V., Kacou-</w:t>
      </w:r>
      <w:proofErr w:type="spellStart"/>
      <w:r w:rsidRPr="009A04C0">
        <w:rPr>
          <w:lang w:val="fr-FR"/>
        </w:rPr>
        <w:t>NDouba</w:t>
      </w:r>
      <w:proofErr w:type="spellEnd"/>
      <w:r w:rsidRPr="009A04C0">
        <w:rPr>
          <w:lang w:val="fr-FR"/>
        </w:rPr>
        <w:t xml:space="preserve"> A., </w:t>
      </w:r>
      <w:proofErr w:type="spellStart"/>
      <w:r w:rsidRPr="009A04C0">
        <w:rPr>
          <w:lang w:val="fr-FR"/>
        </w:rPr>
        <w:t>Ekaza</w:t>
      </w:r>
      <w:proofErr w:type="spellEnd"/>
      <w:r w:rsidRPr="009A04C0">
        <w:rPr>
          <w:lang w:val="fr-FR"/>
        </w:rPr>
        <w:t xml:space="preserve"> E., Lambert T., Dosso M. &amp; </w:t>
      </w:r>
      <w:proofErr w:type="spellStart"/>
      <w:r w:rsidRPr="009A04C0">
        <w:rPr>
          <w:lang w:val="fr-FR"/>
        </w:rPr>
        <w:t>Courvalin</w:t>
      </w:r>
      <w:proofErr w:type="spellEnd"/>
      <w:r w:rsidRPr="009A04C0">
        <w:rPr>
          <w:lang w:val="fr-FR"/>
        </w:rPr>
        <w:t xml:space="preserve"> P (2008b). Resistance to QNR quinolones in </w:t>
      </w:r>
      <w:proofErr w:type="spellStart"/>
      <w:r w:rsidRPr="009A04C0">
        <w:rPr>
          <w:lang w:val="fr-FR"/>
        </w:rPr>
        <w:t>Enterobacteriaceae</w:t>
      </w:r>
      <w:proofErr w:type="spellEnd"/>
      <w:r w:rsidRPr="009A04C0">
        <w:rPr>
          <w:lang w:val="fr-FR"/>
        </w:rPr>
        <w:t xml:space="preserve"> </w:t>
      </w:r>
      <w:proofErr w:type="spellStart"/>
      <w:r w:rsidRPr="009A04C0">
        <w:rPr>
          <w:lang w:val="fr-FR"/>
        </w:rPr>
        <w:t>producing</w:t>
      </w:r>
      <w:proofErr w:type="spellEnd"/>
      <w:r w:rsidRPr="009A04C0">
        <w:rPr>
          <w:lang w:val="fr-FR"/>
        </w:rPr>
        <w:t xml:space="preserve"> </w:t>
      </w:r>
      <w:proofErr w:type="spellStart"/>
      <w:r w:rsidRPr="009A04C0">
        <w:rPr>
          <w:lang w:val="fr-FR"/>
        </w:rPr>
        <w:t>extended-spectrum</w:t>
      </w:r>
      <w:proofErr w:type="spellEnd"/>
      <w:r w:rsidRPr="009A04C0">
        <w:rPr>
          <w:lang w:val="fr-FR"/>
        </w:rPr>
        <w:t xml:space="preserve"> beta-lactamases in Abidjan, Côte d'Ivoire. </w:t>
      </w:r>
      <w:proofErr w:type="spellStart"/>
      <w:r w:rsidRPr="009A04C0">
        <w:rPr>
          <w:lang w:val="fr-FR"/>
        </w:rPr>
        <w:t>Pathology</w:t>
      </w:r>
      <w:proofErr w:type="spellEnd"/>
      <w:r w:rsidRPr="009A04C0">
        <w:rPr>
          <w:lang w:val="fr-FR"/>
        </w:rPr>
        <w:t xml:space="preserve"> </w:t>
      </w:r>
      <w:proofErr w:type="spellStart"/>
      <w:r w:rsidRPr="009A04C0">
        <w:rPr>
          <w:lang w:val="fr-FR"/>
        </w:rPr>
        <w:t>Biology</w:t>
      </w:r>
      <w:proofErr w:type="spellEnd"/>
      <w:r w:rsidRPr="009A04C0">
        <w:rPr>
          <w:lang w:val="fr-FR"/>
        </w:rPr>
        <w:t xml:space="preserve">, </w:t>
      </w:r>
      <w:proofErr w:type="gramStart"/>
      <w:r w:rsidRPr="009A04C0">
        <w:rPr>
          <w:lang w:val="fr-FR"/>
        </w:rPr>
        <w:t>56:</w:t>
      </w:r>
      <w:proofErr w:type="gramEnd"/>
      <w:r w:rsidRPr="009A04C0">
        <w:rPr>
          <w:lang w:val="fr-FR"/>
        </w:rPr>
        <w:t xml:space="preserve"> 439-446.</w:t>
      </w:r>
    </w:p>
    <w:p w14:paraId="62283D37" w14:textId="77777777" w:rsidR="009A04C0" w:rsidRPr="009A04C0" w:rsidRDefault="009A04C0" w:rsidP="009A04C0">
      <w:pPr>
        <w:pStyle w:val="Body"/>
        <w:rPr>
          <w:lang w:val="fr-FR"/>
        </w:rPr>
      </w:pPr>
    </w:p>
    <w:p w14:paraId="3CC151D4" w14:textId="77777777" w:rsidR="009A04C0" w:rsidRPr="009A04C0" w:rsidRDefault="009A04C0" w:rsidP="009A04C0">
      <w:pPr>
        <w:pStyle w:val="Body"/>
        <w:rPr>
          <w:lang w:val="fr-FR"/>
        </w:rPr>
      </w:pPr>
      <w:proofErr w:type="spellStart"/>
      <w:r w:rsidRPr="009A04C0">
        <w:rPr>
          <w:lang w:val="fr-FR"/>
        </w:rPr>
        <w:t>Sambrook</w:t>
      </w:r>
      <w:proofErr w:type="spellEnd"/>
      <w:r w:rsidRPr="009A04C0">
        <w:rPr>
          <w:lang w:val="fr-FR"/>
        </w:rPr>
        <w:t xml:space="preserve"> J, Russell DW. </w:t>
      </w:r>
      <w:proofErr w:type="spellStart"/>
      <w:r w:rsidRPr="009A04C0">
        <w:rPr>
          <w:lang w:val="fr-FR"/>
        </w:rPr>
        <w:t>Molecular</w:t>
      </w:r>
      <w:proofErr w:type="spellEnd"/>
      <w:r w:rsidRPr="009A04C0">
        <w:rPr>
          <w:lang w:val="fr-FR"/>
        </w:rPr>
        <w:t xml:space="preserve"> </w:t>
      </w:r>
      <w:proofErr w:type="spellStart"/>
      <w:proofErr w:type="gramStart"/>
      <w:r w:rsidRPr="009A04C0">
        <w:rPr>
          <w:lang w:val="fr-FR"/>
        </w:rPr>
        <w:t>Cloning</w:t>
      </w:r>
      <w:proofErr w:type="spellEnd"/>
      <w:r w:rsidRPr="009A04C0">
        <w:rPr>
          <w:lang w:val="fr-FR"/>
        </w:rPr>
        <w:t>:</w:t>
      </w:r>
      <w:proofErr w:type="gramEnd"/>
      <w:r w:rsidRPr="009A04C0">
        <w:rPr>
          <w:lang w:val="fr-FR"/>
        </w:rPr>
        <w:t xml:space="preserve"> A </w:t>
      </w:r>
      <w:proofErr w:type="spellStart"/>
      <w:r w:rsidRPr="009A04C0">
        <w:rPr>
          <w:lang w:val="fr-FR"/>
        </w:rPr>
        <w:t>Laboratory</w:t>
      </w:r>
      <w:proofErr w:type="spellEnd"/>
      <w:r w:rsidRPr="009A04C0">
        <w:rPr>
          <w:lang w:val="fr-FR"/>
        </w:rPr>
        <w:t xml:space="preserve"> Manual. 3rd </w:t>
      </w:r>
      <w:proofErr w:type="spellStart"/>
      <w:r w:rsidRPr="009A04C0">
        <w:rPr>
          <w:lang w:val="fr-FR"/>
        </w:rPr>
        <w:t>ed</w:t>
      </w:r>
      <w:proofErr w:type="spellEnd"/>
      <w:r w:rsidRPr="009A04C0">
        <w:rPr>
          <w:lang w:val="fr-FR"/>
        </w:rPr>
        <w:t xml:space="preserve">. Cold Spring Harbor </w:t>
      </w:r>
      <w:proofErr w:type="spellStart"/>
      <w:r w:rsidRPr="009A04C0">
        <w:rPr>
          <w:lang w:val="fr-FR"/>
        </w:rPr>
        <w:t>Laboratory</w:t>
      </w:r>
      <w:proofErr w:type="spellEnd"/>
      <w:r w:rsidRPr="009A04C0">
        <w:rPr>
          <w:lang w:val="fr-FR"/>
        </w:rPr>
        <w:t xml:space="preserve"> </w:t>
      </w:r>
      <w:proofErr w:type="spellStart"/>
      <w:r w:rsidRPr="009A04C0">
        <w:rPr>
          <w:lang w:val="fr-FR"/>
        </w:rPr>
        <w:t>Press</w:t>
      </w:r>
      <w:proofErr w:type="spellEnd"/>
      <w:r w:rsidRPr="009A04C0">
        <w:rPr>
          <w:lang w:val="fr-FR"/>
        </w:rPr>
        <w:t>. 2001.</w:t>
      </w:r>
    </w:p>
    <w:p w14:paraId="5F6D0C9A" w14:textId="77777777" w:rsidR="009A04C0" w:rsidRPr="009A04C0" w:rsidRDefault="009A04C0" w:rsidP="009A04C0">
      <w:pPr>
        <w:pStyle w:val="Body"/>
        <w:rPr>
          <w:lang w:val="fr-FR"/>
        </w:rPr>
      </w:pPr>
    </w:p>
    <w:p w14:paraId="758960EF" w14:textId="77777777" w:rsidR="009A04C0" w:rsidRPr="009A04C0" w:rsidRDefault="009A04C0" w:rsidP="009A04C0">
      <w:pPr>
        <w:pStyle w:val="Body"/>
        <w:rPr>
          <w:lang w:val="fr-FR"/>
        </w:rPr>
      </w:pPr>
      <w:r w:rsidRPr="009A04C0">
        <w:rPr>
          <w:lang w:val="fr-FR"/>
        </w:rPr>
        <w:t xml:space="preserve">Green, M.R., &amp; </w:t>
      </w:r>
      <w:proofErr w:type="spellStart"/>
      <w:r w:rsidRPr="009A04C0">
        <w:rPr>
          <w:lang w:val="fr-FR"/>
        </w:rPr>
        <w:t>Sambrook</w:t>
      </w:r>
      <w:proofErr w:type="spellEnd"/>
      <w:r w:rsidRPr="009A04C0">
        <w:rPr>
          <w:lang w:val="fr-FR"/>
        </w:rPr>
        <w:t>, J. (2017). Isolation of high-</w:t>
      </w:r>
      <w:proofErr w:type="spellStart"/>
      <w:r w:rsidRPr="009A04C0">
        <w:rPr>
          <w:lang w:val="fr-FR"/>
        </w:rPr>
        <w:t>molecular</w:t>
      </w:r>
      <w:proofErr w:type="spellEnd"/>
      <w:r w:rsidRPr="009A04C0">
        <w:rPr>
          <w:lang w:val="fr-FR"/>
        </w:rPr>
        <w:t>-</w:t>
      </w:r>
      <w:proofErr w:type="spellStart"/>
      <w:r w:rsidRPr="009A04C0">
        <w:rPr>
          <w:lang w:val="fr-FR"/>
        </w:rPr>
        <w:t>weight</w:t>
      </w:r>
      <w:proofErr w:type="spellEnd"/>
      <w:r w:rsidRPr="009A04C0">
        <w:rPr>
          <w:lang w:val="fr-FR"/>
        </w:rPr>
        <w:t xml:space="preserve"> DNA </w:t>
      </w:r>
      <w:proofErr w:type="spellStart"/>
      <w:r w:rsidRPr="009A04C0">
        <w:rPr>
          <w:lang w:val="fr-FR"/>
        </w:rPr>
        <w:t>using</w:t>
      </w:r>
      <w:proofErr w:type="spellEnd"/>
      <w:r w:rsidRPr="009A04C0">
        <w:rPr>
          <w:lang w:val="fr-FR"/>
        </w:rPr>
        <w:t xml:space="preserve"> </w:t>
      </w:r>
      <w:proofErr w:type="spellStart"/>
      <w:r w:rsidRPr="009A04C0">
        <w:rPr>
          <w:lang w:val="fr-FR"/>
        </w:rPr>
        <w:t>organic</w:t>
      </w:r>
      <w:proofErr w:type="spellEnd"/>
      <w:r w:rsidRPr="009A04C0">
        <w:rPr>
          <w:lang w:val="fr-FR"/>
        </w:rPr>
        <w:t xml:space="preserve"> </w:t>
      </w:r>
      <w:proofErr w:type="spellStart"/>
      <w:r w:rsidRPr="009A04C0">
        <w:rPr>
          <w:lang w:val="fr-FR"/>
        </w:rPr>
        <w:t>solvents</w:t>
      </w:r>
      <w:proofErr w:type="spellEnd"/>
      <w:r w:rsidRPr="009A04C0">
        <w:rPr>
          <w:lang w:val="fr-FR"/>
        </w:rPr>
        <w:t xml:space="preserve">. Cold Spring Harbor </w:t>
      </w:r>
      <w:proofErr w:type="spellStart"/>
      <w:r w:rsidRPr="009A04C0">
        <w:rPr>
          <w:lang w:val="fr-FR"/>
        </w:rPr>
        <w:t>Protocols</w:t>
      </w:r>
      <w:proofErr w:type="spellEnd"/>
      <w:r w:rsidRPr="009A04C0">
        <w:rPr>
          <w:lang w:val="fr-FR"/>
        </w:rPr>
        <w:t>, 2017(4), pdb-prot093450.</w:t>
      </w:r>
    </w:p>
    <w:p w14:paraId="3258ADBB" w14:textId="77777777" w:rsidR="009A04C0" w:rsidRPr="009A04C0" w:rsidRDefault="009A04C0" w:rsidP="009A04C0">
      <w:pPr>
        <w:pStyle w:val="Body"/>
        <w:rPr>
          <w:lang w:val="fr-FR"/>
        </w:rPr>
      </w:pPr>
    </w:p>
    <w:p w14:paraId="116C5F77" w14:textId="6C60BA9A" w:rsidR="009A04C0" w:rsidRPr="009A04C0" w:rsidRDefault="009A04C0" w:rsidP="009A04C0">
      <w:pPr>
        <w:pStyle w:val="Body"/>
        <w:rPr>
          <w:lang w:val="fr-FR"/>
        </w:rPr>
      </w:pPr>
      <w:proofErr w:type="spellStart"/>
      <w:r w:rsidRPr="009A04C0">
        <w:rPr>
          <w:lang w:val="fr-FR"/>
        </w:rPr>
        <w:t>Bauerfeind</w:t>
      </w:r>
      <w:proofErr w:type="spellEnd"/>
      <w:r w:rsidRPr="009A04C0">
        <w:rPr>
          <w:lang w:val="fr-FR"/>
        </w:rPr>
        <w:t xml:space="preserve">, A., I. </w:t>
      </w:r>
      <w:proofErr w:type="spellStart"/>
      <w:r w:rsidRPr="009A04C0">
        <w:rPr>
          <w:lang w:val="fr-FR"/>
        </w:rPr>
        <w:t>Stemplinger</w:t>
      </w:r>
      <w:proofErr w:type="spellEnd"/>
      <w:r w:rsidRPr="009A04C0">
        <w:rPr>
          <w:lang w:val="fr-FR"/>
        </w:rPr>
        <w:t xml:space="preserve">, R. </w:t>
      </w:r>
      <w:proofErr w:type="spellStart"/>
      <w:r w:rsidRPr="009A04C0">
        <w:rPr>
          <w:lang w:val="fr-FR"/>
        </w:rPr>
        <w:t>Jungwirth</w:t>
      </w:r>
      <w:proofErr w:type="spellEnd"/>
      <w:r w:rsidRPr="009A04C0">
        <w:rPr>
          <w:lang w:val="fr-FR"/>
        </w:rPr>
        <w:t xml:space="preserve">, S. Ernst and J.M. </w:t>
      </w:r>
      <w:proofErr w:type="spellStart"/>
      <w:r w:rsidRPr="009A04C0">
        <w:rPr>
          <w:lang w:val="fr-FR"/>
        </w:rPr>
        <w:t>Casellas</w:t>
      </w:r>
      <w:proofErr w:type="spellEnd"/>
      <w:r w:rsidRPr="009A04C0">
        <w:rPr>
          <w:lang w:val="fr-FR"/>
        </w:rPr>
        <w:t xml:space="preserve"> (1996). </w:t>
      </w:r>
      <w:proofErr w:type="spellStart"/>
      <w:r w:rsidRPr="009A04C0">
        <w:rPr>
          <w:lang w:val="fr-FR"/>
        </w:rPr>
        <w:t>Sequences</w:t>
      </w:r>
      <w:proofErr w:type="spellEnd"/>
      <w:r w:rsidRPr="009A04C0">
        <w:rPr>
          <w:lang w:val="fr-FR"/>
        </w:rPr>
        <w:t xml:space="preserve"> of the β-lactamase </w:t>
      </w:r>
      <w:proofErr w:type="spellStart"/>
      <w:r w:rsidRPr="009A04C0">
        <w:rPr>
          <w:lang w:val="fr-FR"/>
        </w:rPr>
        <w:t>genes</w:t>
      </w:r>
      <w:proofErr w:type="spellEnd"/>
      <w:r w:rsidRPr="009A04C0">
        <w:rPr>
          <w:lang w:val="fr-FR"/>
        </w:rPr>
        <w:t xml:space="preserve"> </w:t>
      </w:r>
      <w:proofErr w:type="spellStart"/>
      <w:r w:rsidRPr="009A04C0">
        <w:rPr>
          <w:lang w:val="fr-FR"/>
        </w:rPr>
        <w:t>encoding</w:t>
      </w:r>
      <w:proofErr w:type="spellEnd"/>
      <w:r w:rsidRPr="009A04C0">
        <w:rPr>
          <w:lang w:val="fr-FR"/>
        </w:rPr>
        <w:t xml:space="preserve"> CTX-M-1 (MEN-1) and CTX-M-2 and r</w:t>
      </w:r>
      <w:r w:rsidRPr="009A04C0">
        <w:t xml:space="preserve"> </w:t>
      </w:r>
      <w:r w:rsidRPr="009A04C0">
        <w:rPr>
          <w:lang w:val="fr-FR"/>
        </w:rPr>
        <w:t xml:space="preserve">Relation of </w:t>
      </w:r>
      <w:proofErr w:type="spellStart"/>
      <w:r w:rsidRPr="009A04C0">
        <w:rPr>
          <w:lang w:val="fr-FR"/>
        </w:rPr>
        <w:t>their</w:t>
      </w:r>
      <w:proofErr w:type="spellEnd"/>
      <w:r w:rsidRPr="009A04C0">
        <w:rPr>
          <w:lang w:val="fr-FR"/>
        </w:rPr>
        <w:t xml:space="preserve"> </w:t>
      </w:r>
      <w:proofErr w:type="spellStart"/>
      <w:r w:rsidRPr="009A04C0">
        <w:rPr>
          <w:lang w:val="fr-FR"/>
        </w:rPr>
        <w:t>amino</w:t>
      </w:r>
      <w:proofErr w:type="spellEnd"/>
      <w:r w:rsidRPr="009A04C0">
        <w:rPr>
          <w:lang w:val="fr-FR"/>
        </w:rPr>
        <w:t xml:space="preserve"> </w:t>
      </w:r>
      <w:proofErr w:type="spellStart"/>
      <w:r w:rsidRPr="009A04C0">
        <w:rPr>
          <w:lang w:val="fr-FR"/>
        </w:rPr>
        <w:t>acid</w:t>
      </w:r>
      <w:proofErr w:type="spellEnd"/>
      <w:r w:rsidRPr="009A04C0">
        <w:rPr>
          <w:lang w:val="fr-FR"/>
        </w:rPr>
        <w:t xml:space="preserve"> </w:t>
      </w:r>
      <w:proofErr w:type="spellStart"/>
      <w:r w:rsidRPr="009A04C0">
        <w:rPr>
          <w:lang w:val="fr-FR"/>
        </w:rPr>
        <w:t>sequences</w:t>
      </w:r>
      <w:proofErr w:type="spellEnd"/>
      <w:r w:rsidRPr="009A04C0">
        <w:rPr>
          <w:lang w:val="fr-FR"/>
        </w:rPr>
        <w:t xml:space="preserve"> </w:t>
      </w:r>
      <w:proofErr w:type="spellStart"/>
      <w:r w:rsidRPr="009A04C0">
        <w:rPr>
          <w:lang w:val="fr-FR"/>
        </w:rPr>
        <w:t>with</w:t>
      </w:r>
      <w:proofErr w:type="spellEnd"/>
      <w:r w:rsidRPr="009A04C0">
        <w:rPr>
          <w:lang w:val="fr-FR"/>
        </w:rPr>
        <w:t xml:space="preserve"> </w:t>
      </w:r>
      <w:proofErr w:type="spellStart"/>
      <w:r w:rsidRPr="009A04C0">
        <w:rPr>
          <w:lang w:val="fr-FR"/>
        </w:rPr>
        <w:t>those</w:t>
      </w:r>
      <w:proofErr w:type="spellEnd"/>
      <w:r w:rsidRPr="009A04C0">
        <w:rPr>
          <w:lang w:val="fr-FR"/>
        </w:rPr>
        <w:t xml:space="preserve"> of </w:t>
      </w:r>
      <w:proofErr w:type="spellStart"/>
      <w:r w:rsidRPr="009A04C0">
        <w:rPr>
          <w:lang w:val="fr-FR"/>
        </w:rPr>
        <w:t>other</w:t>
      </w:r>
      <w:proofErr w:type="spellEnd"/>
      <w:r w:rsidRPr="009A04C0">
        <w:rPr>
          <w:lang w:val="fr-FR"/>
        </w:rPr>
        <w:t xml:space="preserve"> β-lactamases. Journal of </w:t>
      </w:r>
      <w:proofErr w:type="spellStart"/>
      <w:r w:rsidRPr="009A04C0">
        <w:rPr>
          <w:lang w:val="fr-FR"/>
        </w:rPr>
        <w:t>Antimicrobial</w:t>
      </w:r>
      <w:proofErr w:type="spellEnd"/>
      <w:r w:rsidRPr="009A04C0">
        <w:rPr>
          <w:lang w:val="fr-FR"/>
        </w:rPr>
        <w:t xml:space="preserve"> Agents and </w:t>
      </w:r>
      <w:proofErr w:type="spellStart"/>
      <w:r w:rsidRPr="009A04C0">
        <w:rPr>
          <w:lang w:val="fr-FR"/>
        </w:rPr>
        <w:t>Chemotherapy</w:t>
      </w:r>
      <w:proofErr w:type="spellEnd"/>
      <w:r w:rsidRPr="009A04C0">
        <w:rPr>
          <w:lang w:val="fr-FR"/>
        </w:rPr>
        <w:t xml:space="preserve"> </w:t>
      </w:r>
      <w:proofErr w:type="gramStart"/>
      <w:r w:rsidRPr="009A04C0">
        <w:rPr>
          <w:lang w:val="fr-FR"/>
        </w:rPr>
        <w:t>40:</w:t>
      </w:r>
      <w:proofErr w:type="gramEnd"/>
      <w:r w:rsidRPr="009A04C0">
        <w:rPr>
          <w:lang w:val="fr-FR"/>
        </w:rPr>
        <w:t xml:space="preserve"> 509-513.</w:t>
      </w:r>
    </w:p>
    <w:p w14:paraId="059700EC" w14:textId="77777777" w:rsidR="009A04C0" w:rsidRPr="009A04C0" w:rsidRDefault="009A04C0" w:rsidP="009A04C0">
      <w:pPr>
        <w:pStyle w:val="Body"/>
        <w:rPr>
          <w:lang w:val="fr-FR"/>
        </w:rPr>
      </w:pPr>
    </w:p>
    <w:p w14:paraId="0D0B030D" w14:textId="77777777" w:rsidR="009A04C0" w:rsidRPr="009A04C0" w:rsidRDefault="009A04C0" w:rsidP="009A04C0">
      <w:pPr>
        <w:pStyle w:val="Body"/>
        <w:rPr>
          <w:lang w:val="fr-FR"/>
        </w:rPr>
      </w:pPr>
      <w:proofErr w:type="spellStart"/>
      <w:r w:rsidRPr="009A04C0">
        <w:rPr>
          <w:lang w:val="fr-FR"/>
        </w:rPr>
        <w:t>Chmelnitski</w:t>
      </w:r>
      <w:proofErr w:type="spellEnd"/>
      <w:r w:rsidRPr="009A04C0">
        <w:rPr>
          <w:lang w:val="fr-FR"/>
        </w:rPr>
        <w:t xml:space="preserve"> I., </w:t>
      </w:r>
      <w:proofErr w:type="spellStart"/>
      <w:r w:rsidRPr="009A04C0">
        <w:rPr>
          <w:lang w:val="fr-FR"/>
        </w:rPr>
        <w:t>Carmeli</w:t>
      </w:r>
      <w:proofErr w:type="spellEnd"/>
      <w:r w:rsidRPr="009A04C0">
        <w:rPr>
          <w:lang w:val="fr-FR"/>
        </w:rPr>
        <w:t xml:space="preserve"> Y., Leavitt A., </w:t>
      </w:r>
      <w:proofErr w:type="spellStart"/>
      <w:r w:rsidRPr="009A04C0">
        <w:rPr>
          <w:lang w:val="fr-FR"/>
        </w:rPr>
        <w:t>Schwaber</w:t>
      </w:r>
      <w:proofErr w:type="spellEnd"/>
      <w:r w:rsidRPr="009A04C0">
        <w:rPr>
          <w:lang w:val="fr-FR"/>
        </w:rPr>
        <w:t xml:space="preserve"> MJ., and </w:t>
      </w:r>
      <w:proofErr w:type="spellStart"/>
      <w:r w:rsidRPr="009A04C0">
        <w:rPr>
          <w:lang w:val="fr-FR"/>
        </w:rPr>
        <w:t>Navon-Venezia</w:t>
      </w:r>
      <w:proofErr w:type="spellEnd"/>
      <w:r w:rsidRPr="009A04C0">
        <w:rPr>
          <w:lang w:val="fr-FR"/>
        </w:rPr>
        <w:t xml:space="preserve"> S (2005). CTX-M-2 and a </w:t>
      </w:r>
      <w:proofErr w:type="spellStart"/>
      <w:r w:rsidRPr="009A04C0">
        <w:rPr>
          <w:lang w:val="fr-FR"/>
        </w:rPr>
        <w:t>novel</w:t>
      </w:r>
      <w:proofErr w:type="spellEnd"/>
      <w:r w:rsidRPr="009A04C0">
        <w:rPr>
          <w:lang w:val="fr-FR"/>
        </w:rPr>
        <w:t xml:space="preserve"> enzyme CTX-M-39 are the major </w:t>
      </w:r>
      <w:proofErr w:type="spellStart"/>
      <w:r w:rsidRPr="009A04C0">
        <w:rPr>
          <w:lang w:val="fr-FR"/>
        </w:rPr>
        <w:t>extended-spectrum</w:t>
      </w:r>
      <w:proofErr w:type="spellEnd"/>
      <w:r w:rsidRPr="009A04C0">
        <w:rPr>
          <w:lang w:val="fr-FR"/>
        </w:rPr>
        <w:t xml:space="preserve"> β-lactamases in </w:t>
      </w:r>
      <w:proofErr w:type="spellStart"/>
      <w:r w:rsidRPr="009A04C0">
        <w:rPr>
          <w:lang w:val="fr-FR"/>
        </w:rPr>
        <w:t>several</w:t>
      </w:r>
      <w:proofErr w:type="spellEnd"/>
      <w:r w:rsidRPr="009A04C0">
        <w:rPr>
          <w:lang w:val="fr-FR"/>
        </w:rPr>
        <w:t xml:space="preserve"> Escherichia coli clones </w:t>
      </w:r>
      <w:proofErr w:type="spellStart"/>
      <w:r w:rsidRPr="009A04C0">
        <w:rPr>
          <w:lang w:val="fr-FR"/>
        </w:rPr>
        <w:t>isolated</w:t>
      </w:r>
      <w:proofErr w:type="spellEnd"/>
      <w:r w:rsidRPr="009A04C0">
        <w:rPr>
          <w:lang w:val="fr-FR"/>
        </w:rPr>
        <w:t xml:space="preserve"> in Tel Aviv, </w:t>
      </w:r>
      <w:proofErr w:type="spellStart"/>
      <w:r w:rsidRPr="009A04C0">
        <w:rPr>
          <w:lang w:val="fr-FR"/>
        </w:rPr>
        <w:t>Israel</w:t>
      </w:r>
      <w:proofErr w:type="spellEnd"/>
      <w:r w:rsidRPr="009A04C0">
        <w:rPr>
          <w:lang w:val="fr-FR"/>
        </w:rPr>
        <w:t xml:space="preserve">. Journal of </w:t>
      </w:r>
      <w:proofErr w:type="spellStart"/>
      <w:r w:rsidRPr="009A04C0">
        <w:rPr>
          <w:lang w:val="fr-FR"/>
        </w:rPr>
        <w:t>Antimicrobial</w:t>
      </w:r>
      <w:proofErr w:type="spellEnd"/>
      <w:r w:rsidRPr="009A04C0">
        <w:rPr>
          <w:lang w:val="fr-FR"/>
        </w:rPr>
        <w:t xml:space="preserve"> Agents and </w:t>
      </w:r>
      <w:proofErr w:type="spellStart"/>
      <w:proofErr w:type="gramStart"/>
      <w:r w:rsidRPr="009A04C0">
        <w:rPr>
          <w:lang w:val="fr-FR"/>
        </w:rPr>
        <w:t>Chemotherapy</w:t>
      </w:r>
      <w:proofErr w:type="spellEnd"/>
      <w:r w:rsidRPr="009A04C0">
        <w:rPr>
          <w:lang w:val="fr-FR"/>
        </w:rPr>
        <w:t xml:space="preserve"> .</w:t>
      </w:r>
      <w:proofErr w:type="gramEnd"/>
      <w:r w:rsidRPr="009A04C0">
        <w:rPr>
          <w:lang w:val="fr-FR"/>
        </w:rPr>
        <w:t xml:space="preserve"> 49(11</w:t>
      </w:r>
      <w:proofErr w:type="gramStart"/>
      <w:r w:rsidRPr="009A04C0">
        <w:rPr>
          <w:lang w:val="fr-FR"/>
        </w:rPr>
        <w:t>):</w:t>
      </w:r>
      <w:proofErr w:type="gramEnd"/>
      <w:r w:rsidRPr="009A04C0">
        <w:rPr>
          <w:lang w:val="fr-FR"/>
        </w:rPr>
        <w:t xml:space="preserve"> 4745-4750</w:t>
      </w:r>
    </w:p>
    <w:p w14:paraId="7A80CEBA" w14:textId="77777777" w:rsidR="009A04C0" w:rsidRPr="009A04C0" w:rsidRDefault="009A04C0" w:rsidP="009A04C0">
      <w:pPr>
        <w:pStyle w:val="Body"/>
        <w:rPr>
          <w:lang w:val="fr-FR"/>
        </w:rPr>
      </w:pPr>
    </w:p>
    <w:p w14:paraId="3A87C0F0" w14:textId="77777777" w:rsidR="009A04C0" w:rsidRPr="009A04C0" w:rsidRDefault="009A04C0" w:rsidP="009A04C0">
      <w:pPr>
        <w:pStyle w:val="Body"/>
        <w:rPr>
          <w:lang w:val="fr-FR"/>
        </w:rPr>
      </w:pPr>
      <w:r w:rsidRPr="009A04C0">
        <w:rPr>
          <w:lang w:val="fr-FR"/>
        </w:rPr>
        <w:t xml:space="preserve">Eckert, V. Gautier, M. Saladin-Allard, N. </w:t>
      </w:r>
      <w:proofErr w:type="spellStart"/>
      <w:r w:rsidRPr="009A04C0">
        <w:rPr>
          <w:lang w:val="fr-FR"/>
        </w:rPr>
        <w:t>Hidri</w:t>
      </w:r>
      <w:proofErr w:type="spellEnd"/>
      <w:r w:rsidRPr="009A04C0">
        <w:rPr>
          <w:lang w:val="fr-FR"/>
        </w:rPr>
        <w:t xml:space="preserve">, C. Verdet, Z. </w:t>
      </w:r>
      <w:proofErr w:type="spellStart"/>
      <w:r w:rsidRPr="009A04C0">
        <w:rPr>
          <w:lang w:val="fr-FR"/>
        </w:rPr>
        <w:t>Ould</w:t>
      </w:r>
      <w:proofErr w:type="spellEnd"/>
      <w:r w:rsidRPr="009A04C0">
        <w:rPr>
          <w:lang w:val="fr-FR"/>
        </w:rPr>
        <w:t xml:space="preserve">-Hocine, G. </w:t>
      </w:r>
      <w:proofErr w:type="spellStart"/>
      <w:r w:rsidRPr="009A04C0">
        <w:rPr>
          <w:lang w:val="fr-FR"/>
        </w:rPr>
        <w:t>Barnaud</w:t>
      </w:r>
      <w:proofErr w:type="spellEnd"/>
      <w:r w:rsidRPr="009A04C0">
        <w:rPr>
          <w:lang w:val="fr-FR"/>
        </w:rPr>
        <w:t xml:space="preserve">, F. Delisle, A. </w:t>
      </w:r>
      <w:proofErr w:type="spellStart"/>
      <w:r w:rsidRPr="009A04C0">
        <w:rPr>
          <w:lang w:val="fr-FR"/>
        </w:rPr>
        <w:t>Rossier</w:t>
      </w:r>
      <w:proofErr w:type="spellEnd"/>
      <w:r w:rsidRPr="009A04C0">
        <w:rPr>
          <w:lang w:val="fr-FR"/>
        </w:rPr>
        <w:t xml:space="preserve">, T. Lambert, A. Philippon, G. Arlet, (2004). </w:t>
      </w:r>
      <w:proofErr w:type="spellStart"/>
      <w:r w:rsidRPr="009A04C0">
        <w:rPr>
          <w:lang w:val="fr-FR"/>
        </w:rPr>
        <w:t>Dissemination</w:t>
      </w:r>
      <w:proofErr w:type="spellEnd"/>
      <w:r w:rsidRPr="009A04C0">
        <w:rPr>
          <w:lang w:val="fr-FR"/>
        </w:rPr>
        <w:t xml:space="preserve"> of CTX-M-type β-lactamases </w:t>
      </w:r>
      <w:proofErr w:type="spellStart"/>
      <w:r w:rsidRPr="009A04C0">
        <w:rPr>
          <w:lang w:val="fr-FR"/>
        </w:rPr>
        <w:t>among</w:t>
      </w:r>
      <w:proofErr w:type="spellEnd"/>
      <w:r w:rsidRPr="009A04C0">
        <w:rPr>
          <w:lang w:val="fr-FR"/>
        </w:rPr>
        <w:t xml:space="preserve"> </w:t>
      </w:r>
      <w:proofErr w:type="spellStart"/>
      <w:r w:rsidRPr="009A04C0">
        <w:rPr>
          <w:lang w:val="fr-FR"/>
        </w:rPr>
        <w:t>clinical</w:t>
      </w:r>
      <w:proofErr w:type="spellEnd"/>
      <w:r w:rsidRPr="009A04C0">
        <w:rPr>
          <w:lang w:val="fr-FR"/>
        </w:rPr>
        <w:t xml:space="preserve"> </w:t>
      </w:r>
      <w:proofErr w:type="spellStart"/>
      <w:r w:rsidRPr="009A04C0">
        <w:rPr>
          <w:lang w:val="fr-FR"/>
        </w:rPr>
        <w:t>isolates</w:t>
      </w:r>
      <w:proofErr w:type="spellEnd"/>
      <w:r w:rsidRPr="009A04C0">
        <w:rPr>
          <w:lang w:val="fr-FR"/>
        </w:rPr>
        <w:t xml:space="preserve"> of </w:t>
      </w:r>
      <w:proofErr w:type="spellStart"/>
      <w:r w:rsidRPr="009A04C0">
        <w:rPr>
          <w:lang w:val="fr-FR"/>
        </w:rPr>
        <w:t>Enterobacteriaceae</w:t>
      </w:r>
      <w:proofErr w:type="spellEnd"/>
      <w:r w:rsidRPr="009A04C0">
        <w:rPr>
          <w:lang w:val="fr-FR"/>
        </w:rPr>
        <w:t xml:space="preserve"> in Paris. 48(4</w:t>
      </w:r>
      <w:proofErr w:type="gramStart"/>
      <w:r w:rsidRPr="009A04C0">
        <w:rPr>
          <w:lang w:val="fr-FR"/>
        </w:rPr>
        <w:t>):</w:t>
      </w:r>
      <w:proofErr w:type="gramEnd"/>
      <w:r w:rsidRPr="009A04C0">
        <w:rPr>
          <w:lang w:val="fr-FR"/>
        </w:rPr>
        <w:t>1249-55.</w:t>
      </w:r>
    </w:p>
    <w:p w14:paraId="05018B56" w14:textId="77777777" w:rsidR="009A04C0" w:rsidRPr="009A04C0" w:rsidRDefault="009A04C0" w:rsidP="009A04C0">
      <w:pPr>
        <w:pStyle w:val="Body"/>
        <w:rPr>
          <w:lang w:val="fr-FR"/>
        </w:rPr>
      </w:pPr>
    </w:p>
    <w:p w14:paraId="274B150C" w14:textId="77777777" w:rsidR="009A04C0" w:rsidRPr="009A04C0" w:rsidRDefault="009A04C0" w:rsidP="009A04C0">
      <w:pPr>
        <w:pStyle w:val="Body"/>
        <w:rPr>
          <w:lang w:val="fr-FR"/>
        </w:rPr>
      </w:pPr>
      <w:proofErr w:type="spellStart"/>
      <w:r w:rsidRPr="009A04C0">
        <w:rPr>
          <w:lang w:val="fr-FR"/>
        </w:rPr>
        <w:t>Zrardi</w:t>
      </w:r>
      <w:proofErr w:type="spellEnd"/>
      <w:r w:rsidRPr="009A04C0">
        <w:rPr>
          <w:lang w:val="fr-FR"/>
        </w:rPr>
        <w:t xml:space="preserve"> N. </w:t>
      </w:r>
      <w:proofErr w:type="spellStart"/>
      <w:r w:rsidRPr="009A04C0">
        <w:rPr>
          <w:lang w:val="fr-FR"/>
        </w:rPr>
        <w:t>Prevalence</w:t>
      </w:r>
      <w:proofErr w:type="spellEnd"/>
      <w:r w:rsidRPr="009A04C0">
        <w:rPr>
          <w:lang w:val="fr-FR"/>
        </w:rPr>
        <w:t xml:space="preserve"> of oral </w:t>
      </w:r>
      <w:proofErr w:type="spellStart"/>
      <w:r w:rsidRPr="009A04C0">
        <w:rPr>
          <w:lang w:val="fr-FR"/>
        </w:rPr>
        <w:t>bacterial</w:t>
      </w:r>
      <w:proofErr w:type="spellEnd"/>
      <w:r w:rsidRPr="009A04C0">
        <w:rPr>
          <w:lang w:val="fr-FR"/>
        </w:rPr>
        <w:t xml:space="preserve"> infections </w:t>
      </w:r>
      <w:proofErr w:type="spellStart"/>
      <w:r w:rsidRPr="009A04C0">
        <w:rPr>
          <w:lang w:val="fr-FR"/>
        </w:rPr>
        <w:t>linked</w:t>
      </w:r>
      <w:proofErr w:type="spellEnd"/>
      <w:r w:rsidRPr="009A04C0">
        <w:rPr>
          <w:lang w:val="fr-FR"/>
        </w:rPr>
        <w:t xml:space="preserve"> to </w:t>
      </w:r>
      <w:proofErr w:type="spellStart"/>
      <w:r w:rsidRPr="009A04C0">
        <w:rPr>
          <w:lang w:val="fr-FR"/>
        </w:rPr>
        <w:t>Enterobacteriaceae</w:t>
      </w:r>
      <w:proofErr w:type="spellEnd"/>
      <w:r w:rsidRPr="009A04C0">
        <w:rPr>
          <w:lang w:val="fr-FR"/>
        </w:rPr>
        <w:t>. Dissertation, Rabat. 2020.</w:t>
      </w:r>
    </w:p>
    <w:p w14:paraId="067326AF" w14:textId="77777777" w:rsidR="009A04C0" w:rsidRPr="009A04C0" w:rsidRDefault="009A04C0" w:rsidP="009A04C0">
      <w:pPr>
        <w:pStyle w:val="Body"/>
        <w:rPr>
          <w:lang w:val="fr-FR"/>
        </w:rPr>
      </w:pPr>
    </w:p>
    <w:p w14:paraId="0A9FB955" w14:textId="77777777" w:rsidR="009A04C0" w:rsidRPr="009A04C0" w:rsidRDefault="009A04C0" w:rsidP="009A04C0">
      <w:pPr>
        <w:pStyle w:val="Body"/>
        <w:rPr>
          <w:lang w:val="fr-FR"/>
        </w:rPr>
      </w:pPr>
      <w:proofErr w:type="spellStart"/>
      <w:r w:rsidRPr="009A04C0">
        <w:rPr>
          <w:lang w:val="fr-FR"/>
        </w:rPr>
        <w:t>Gadegbeku</w:t>
      </w:r>
      <w:proofErr w:type="spellEnd"/>
      <w:r w:rsidRPr="009A04C0">
        <w:rPr>
          <w:lang w:val="fr-FR"/>
        </w:rPr>
        <w:t xml:space="preserve"> B, et al. </w:t>
      </w:r>
      <w:proofErr w:type="spellStart"/>
      <w:r w:rsidRPr="009A04C0">
        <w:rPr>
          <w:lang w:val="fr-FR"/>
        </w:rPr>
        <w:t>Epidemiological</w:t>
      </w:r>
      <w:proofErr w:type="spellEnd"/>
      <w:r w:rsidRPr="009A04C0">
        <w:rPr>
          <w:lang w:val="fr-FR"/>
        </w:rPr>
        <w:t xml:space="preserve"> aspects of oral infections in </w:t>
      </w:r>
      <w:proofErr w:type="spellStart"/>
      <w:r w:rsidRPr="009A04C0">
        <w:rPr>
          <w:lang w:val="fr-FR"/>
        </w:rPr>
        <w:t>hospitals</w:t>
      </w:r>
      <w:proofErr w:type="spellEnd"/>
      <w:r w:rsidRPr="009A04C0">
        <w:rPr>
          <w:lang w:val="fr-FR"/>
        </w:rPr>
        <w:t xml:space="preserve"> in Lomé. Med </w:t>
      </w:r>
      <w:proofErr w:type="spellStart"/>
      <w:r w:rsidRPr="009A04C0">
        <w:rPr>
          <w:lang w:val="fr-FR"/>
        </w:rPr>
        <w:t>Afr</w:t>
      </w:r>
      <w:proofErr w:type="spellEnd"/>
      <w:r w:rsidRPr="009A04C0">
        <w:rPr>
          <w:lang w:val="fr-FR"/>
        </w:rPr>
        <w:t xml:space="preserve"> Noire. 2000.47(5</w:t>
      </w:r>
      <w:proofErr w:type="gramStart"/>
      <w:r w:rsidRPr="009A04C0">
        <w:rPr>
          <w:lang w:val="fr-FR"/>
        </w:rPr>
        <w:t>):</w:t>
      </w:r>
      <w:proofErr w:type="gramEnd"/>
      <w:r w:rsidRPr="009A04C0">
        <w:rPr>
          <w:lang w:val="fr-FR"/>
        </w:rPr>
        <w:t>240–244.</w:t>
      </w:r>
    </w:p>
    <w:p w14:paraId="2C95965F" w14:textId="77777777" w:rsidR="009A04C0" w:rsidRPr="009A04C0" w:rsidRDefault="009A04C0" w:rsidP="009A04C0">
      <w:pPr>
        <w:pStyle w:val="Body"/>
        <w:rPr>
          <w:lang w:val="fr-FR"/>
        </w:rPr>
      </w:pPr>
    </w:p>
    <w:p w14:paraId="01B67F9A" w14:textId="77777777" w:rsidR="009A04C0" w:rsidRPr="009A04C0" w:rsidRDefault="009A04C0" w:rsidP="009A04C0">
      <w:pPr>
        <w:pStyle w:val="Body"/>
        <w:rPr>
          <w:lang w:val="fr-FR"/>
        </w:rPr>
      </w:pPr>
      <w:r w:rsidRPr="009A04C0">
        <w:rPr>
          <w:lang w:val="fr-FR"/>
        </w:rPr>
        <w:t xml:space="preserve">Dia I, et al. Oral </w:t>
      </w:r>
      <w:proofErr w:type="gramStart"/>
      <w:r w:rsidRPr="009A04C0">
        <w:rPr>
          <w:lang w:val="fr-FR"/>
        </w:rPr>
        <w:t>infections</w:t>
      </w:r>
      <w:proofErr w:type="gramEnd"/>
      <w:r w:rsidRPr="009A04C0">
        <w:rPr>
          <w:lang w:val="fr-FR"/>
        </w:rPr>
        <w:t xml:space="preserve"> of </w:t>
      </w:r>
      <w:proofErr w:type="spellStart"/>
      <w:r w:rsidRPr="009A04C0">
        <w:rPr>
          <w:lang w:val="fr-FR"/>
        </w:rPr>
        <w:t>bacterial</w:t>
      </w:r>
      <w:proofErr w:type="spellEnd"/>
      <w:r w:rsidRPr="009A04C0">
        <w:rPr>
          <w:lang w:val="fr-FR"/>
        </w:rPr>
        <w:t xml:space="preserve"> </w:t>
      </w:r>
      <w:proofErr w:type="spellStart"/>
      <w:r w:rsidRPr="009A04C0">
        <w:rPr>
          <w:lang w:val="fr-FR"/>
        </w:rPr>
        <w:t>origin</w:t>
      </w:r>
      <w:proofErr w:type="spellEnd"/>
      <w:r w:rsidRPr="009A04C0">
        <w:rPr>
          <w:lang w:val="fr-FR"/>
        </w:rPr>
        <w:t xml:space="preserve"> in </w:t>
      </w:r>
      <w:proofErr w:type="spellStart"/>
      <w:r w:rsidRPr="009A04C0">
        <w:rPr>
          <w:lang w:val="fr-FR"/>
        </w:rPr>
        <w:t>Senegal</w:t>
      </w:r>
      <w:proofErr w:type="spellEnd"/>
      <w:r w:rsidRPr="009A04C0">
        <w:rPr>
          <w:lang w:val="fr-FR"/>
        </w:rPr>
        <w:t xml:space="preserve">. </w:t>
      </w:r>
      <w:proofErr w:type="spellStart"/>
      <w:r w:rsidRPr="009A04C0">
        <w:rPr>
          <w:lang w:val="fr-FR"/>
        </w:rPr>
        <w:t>Odonto-Stomatol</w:t>
      </w:r>
      <w:proofErr w:type="spellEnd"/>
      <w:r w:rsidRPr="009A04C0">
        <w:rPr>
          <w:lang w:val="fr-FR"/>
        </w:rPr>
        <w:t xml:space="preserve"> Trop. 2015.38(149</w:t>
      </w:r>
      <w:proofErr w:type="gramStart"/>
      <w:r w:rsidRPr="009A04C0">
        <w:rPr>
          <w:lang w:val="fr-FR"/>
        </w:rPr>
        <w:t>):</w:t>
      </w:r>
      <w:proofErr w:type="gramEnd"/>
      <w:r w:rsidRPr="009A04C0">
        <w:rPr>
          <w:lang w:val="fr-FR"/>
        </w:rPr>
        <w:t>39–44.</w:t>
      </w:r>
    </w:p>
    <w:p w14:paraId="5149D631" w14:textId="77777777" w:rsidR="009A04C0" w:rsidRPr="009A04C0" w:rsidRDefault="009A04C0" w:rsidP="009A04C0">
      <w:pPr>
        <w:pStyle w:val="Body"/>
        <w:rPr>
          <w:lang w:val="fr-FR"/>
        </w:rPr>
      </w:pPr>
    </w:p>
    <w:p w14:paraId="18AAE5D4" w14:textId="77777777" w:rsidR="009A04C0" w:rsidRPr="009A04C0" w:rsidRDefault="009A04C0" w:rsidP="009A04C0">
      <w:pPr>
        <w:pStyle w:val="Body"/>
        <w:rPr>
          <w:lang w:val="fr-FR"/>
        </w:rPr>
      </w:pPr>
      <w:r w:rsidRPr="009A04C0">
        <w:rPr>
          <w:lang w:val="fr-FR"/>
        </w:rPr>
        <w:t>De Paula EP, et al. Self-</w:t>
      </w:r>
      <w:proofErr w:type="spellStart"/>
      <w:r w:rsidRPr="009A04C0">
        <w:rPr>
          <w:lang w:val="fr-FR"/>
        </w:rPr>
        <w:t>medication</w:t>
      </w:r>
      <w:proofErr w:type="spellEnd"/>
      <w:r w:rsidRPr="009A04C0">
        <w:rPr>
          <w:lang w:val="fr-FR"/>
        </w:rPr>
        <w:t xml:space="preserve"> in dental </w:t>
      </w:r>
      <w:proofErr w:type="gramStart"/>
      <w:r w:rsidRPr="009A04C0">
        <w:rPr>
          <w:lang w:val="fr-FR"/>
        </w:rPr>
        <w:t>pain:</w:t>
      </w:r>
      <w:proofErr w:type="gramEnd"/>
      <w:r w:rsidRPr="009A04C0">
        <w:rPr>
          <w:lang w:val="fr-FR"/>
        </w:rPr>
        <w:t xml:space="preserve"> </w:t>
      </w:r>
      <w:proofErr w:type="spellStart"/>
      <w:r w:rsidRPr="009A04C0">
        <w:rPr>
          <w:lang w:val="fr-FR"/>
        </w:rPr>
        <w:t>prevalence</w:t>
      </w:r>
      <w:proofErr w:type="spellEnd"/>
      <w:r w:rsidRPr="009A04C0">
        <w:rPr>
          <w:lang w:val="fr-FR"/>
        </w:rPr>
        <w:t xml:space="preserve"> and </w:t>
      </w:r>
      <w:proofErr w:type="spellStart"/>
      <w:r w:rsidRPr="009A04C0">
        <w:rPr>
          <w:lang w:val="fr-FR"/>
        </w:rPr>
        <w:t>associated</w:t>
      </w:r>
      <w:proofErr w:type="spellEnd"/>
      <w:r w:rsidRPr="009A04C0">
        <w:rPr>
          <w:lang w:val="fr-FR"/>
        </w:rPr>
        <w:t xml:space="preserve"> </w:t>
      </w:r>
      <w:proofErr w:type="spellStart"/>
      <w:r w:rsidRPr="009A04C0">
        <w:rPr>
          <w:lang w:val="fr-FR"/>
        </w:rPr>
        <w:t>factors</w:t>
      </w:r>
      <w:proofErr w:type="spellEnd"/>
      <w:r w:rsidRPr="009A04C0">
        <w:rPr>
          <w:lang w:val="fr-FR"/>
        </w:rPr>
        <w:t xml:space="preserve">. BMC Oral </w:t>
      </w:r>
      <w:proofErr w:type="spellStart"/>
      <w:r w:rsidRPr="009A04C0">
        <w:rPr>
          <w:lang w:val="fr-FR"/>
        </w:rPr>
        <w:t>Health</w:t>
      </w:r>
      <w:proofErr w:type="spellEnd"/>
      <w:r w:rsidRPr="009A04C0">
        <w:rPr>
          <w:lang w:val="fr-FR"/>
        </w:rPr>
        <w:t>. 2014.14:96. https://doi.org/10.1186/1472-6831-14-96</w:t>
      </w:r>
    </w:p>
    <w:p w14:paraId="6F3FC031" w14:textId="77777777" w:rsidR="009A04C0" w:rsidRPr="009A04C0" w:rsidRDefault="009A04C0" w:rsidP="009A04C0">
      <w:pPr>
        <w:pStyle w:val="Body"/>
        <w:rPr>
          <w:lang w:val="fr-FR"/>
        </w:rPr>
      </w:pPr>
    </w:p>
    <w:p w14:paraId="7BBD1142" w14:textId="77777777" w:rsidR="009A04C0" w:rsidRPr="009A04C0" w:rsidRDefault="009A04C0" w:rsidP="009A04C0">
      <w:pPr>
        <w:pStyle w:val="Body"/>
        <w:rPr>
          <w:lang w:val="fr-FR"/>
        </w:rPr>
      </w:pPr>
      <w:r w:rsidRPr="009A04C0">
        <w:rPr>
          <w:lang w:val="fr-FR"/>
        </w:rPr>
        <w:t xml:space="preserve">Kaboré WAD, Konaté A, Dembélé R, Konaté K, Faye B, Ouédraogo D, et al., (2016) Occurrence and </w:t>
      </w:r>
      <w:proofErr w:type="spellStart"/>
      <w:r w:rsidRPr="009A04C0">
        <w:rPr>
          <w:lang w:val="fr-FR"/>
        </w:rPr>
        <w:t>antibiotic</w:t>
      </w:r>
      <w:proofErr w:type="spellEnd"/>
      <w:r w:rsidRPr="009A04C0">
        <w:rPr>
          <w:lang w:val="fr-FR"/>
        </w:rPr>
        <w:t xml:space="preserve"> </w:t>
      </w:r>
      <w:proofErr w:type="spellStart"/>
      <w:r w:rsidRPr="009A04C0">
        <w:rPr>
          <w:lang w:val="fr-FR"/>
        </w:rPr>
        <w:t>susceptibility</w:t>
      </w:r>
      <w:proofErr w:type="spellEnd"/>
      <w:r w:rsidRPr="009A04C0">
        <w:rPr>
          <w:lang w:val="fr-FR"/>
        </w:rPr>
        <w:t xml:space="preserve"> of </w:t>
      </w:r>
      <w:proofErr w:type="spellStart"/>
      <w:r w:rsidRPr="009A04C0">
        <w:rPr>
          <w:lang w:val="fr-FR"/>
        </w:rPr>
        <w:t>Aerococcus</w:t>
      </w:r>
      <w:proofErr w:type="spellEnd"/>
      <w:r w:rsidRPr="009A04C0">
        <w:rPr>
          <w:lang w:val="fr-FR"/>
        </w:rPr>
        <w:t xml:space="preserve"> and Enterococcus </w:t>
      </w:r>
      <w:proofErr w:type="spellStart"/>
      <w:r w:rsidRPr="009A04C0">
        <w:rPr>
          <w:lang w:val="fr-FR"/>
        </w:rPr>
        <w:t>strains</w:t>
      </w:r>
      <w:proofErr w:type="spellEnd"/>
      <w:r w:rsidRPr="009A04C0">
        <w:rPr>
          <w:lang w:val="fr-FR"/>
        </w:rPr>
        <w:t xml:space="preserve"> </w:t>
      </w:r>
      <w:proofErr w:type="spellStart"/>
      <w:r w:rsidRPr="009A04C0">
        <w:rPr>
          <w:lang w:val="fr-FR"/>
        </w:rPr>
        <w:t>isolated</w:t>
      </w:r>
      <w:proofErr w:type="spellEnd"/>
      <w:r w:rsidRPr="009A04C0">
        <w:rPr>
          <w:lang w:val="fr-FR"/>
        </w:rPr>
        <w:t xml:space="preserve"> </w:t>
      </w:r>
      <w:proofErr w:type="spellStart"/>
      <w:r w:rsidRPr="009A04C0">
        <w:rPr>
          <w:lang w:val="fr-FR"/>
        </w:rPr>
        <w:t>from</w:t>
      </w:r>
      <w:proofErr w:type="spellEnd"/>
      <w:r w:rsidRPr="009A04C0">
        <w:rPr>
          <w:lang w:val="fr-FR"/>
        </w:rPr>
        <w:t xml:space="preserve"> acute and </w:t>
      </w:r>
      <w:proofErr w:type="spellStart"/>
      <w:r w:rsidRPr="009A04C0">
        <w:rPr>
          <w:lang w:val="fr-FR"/>
        </w:rPr>
        <w:t>chronic</w:t>
      </w:r>
      <w:proofErr w:type="spellEnd"/>
      <w:r w:rsidRPr="009A04C0">
        <w:rPr>
          <w:lang w:val="fr-FR"/>
        </w:rPr>
        <w:t xml:space="preserve"> cellulites of dental </w:t>
      </w:r>
      <w:proofErr w:type="spellStart"/>
      <w:r w:rsidRPr="009A04C0">
        <w:rPr>
          <w:lang w:val="fr-FR"/>
        </w:rPr>
        <w:t>origin</w:t>
      </w:r>
      <w:proofErr w:type="spellEnd"/>
      <w:r w:rsidRPr="009A04C0">
        <w:rPr>
          <w:lang w:val="fr-FR"/>
        </w:rPr>
        <w:t xml:space="preserve"> in Ouagadougou, Burkina Faso. Journal of Dental Oral Care </w:t>
      </w:r>
      <w:proofErr w:type="spellStart"/>
      <w:r w:rsidRPr="009A04C0">
        <w:rPr>
          <w:lang w:val="fr-FR"/>
        </w:rPr>
        <w:t>Medicine</w:t>
      </w:r>
      <w:proofErr w:type="spellEnd"/>
      <w:r w:rsidRPr="009A04C0">
        <w:rPr>
          <w:lang w:val="fr-FR"/>
        </w:rPr>
        <w:t xml:space="preserve">. </w:t>
      </w:r>
      <w:proofErr w:type="gramStart"/>
      <w:r w:rsidRPr="009A04C0">
        <w:rPr>
          <w:lang w:val="fr-FR"/>
        </w:rPr>
        <w:t>2:</w:t>
      </w:r>
      <w:proofErr w:type="gramEnd"/>
      <w:r w:rsidRPr="009A04C0">
        <w:rPr>
          <w:lang w:val="fr-FR"/>
        </w:rPr>
        <w:t>1–7.</w:t>
      </w:r>
    </w:p>
    <w:p w14:paraId="1F4BFBC0" w14:textId="77777777" w:rsidR="009A04C0" w:rsidRPr="009A04C0" w:rsidRDefault="009A04C0" w:rsidP="009A04C0">
      <w:pPr>
        <w:pStyle w:val="Body"/>
        <w:rPr>
          <w:lang w:val="fr-FR"/>
        </w:rPr>
      </w:pPr>
    </w:p>
    <w:p w14:paraId="4105C872" w14:textId="77777777" w:rsidR="009A04C0" w:rsidRPr="009A04C0" w:rsidRDefault="009A04C0" w:rsidP="009A04C0">
      <w:pPr>
        <w:pStyle w:val="Body"/>
        <w:rPr>
          <w:lang w:val="fr-FR"/>
        </w:rPr>
      </w:pPr>
      <w:proofErr w:type="spellStart"/>
      <w:r w:rsidRPr="009A04C0">
        <w:rPr>
          <w:lang w:val="fr-FR"/>
        </w:rPr>
        <w:t>Souaga</w:t>
      </w:r>
      <w:proofErr w:type="spellEnd"/>
      <w:r w:rsidRPr="009A04C0">
        <w:rPr>
          <w:lang w:val="fr-FR"/>
        </w:rPr>
        <w:t xml:space="preserve"> K, et al. Self-</w:t>
      </w:r>
      <w:proofErr w:type="spellStart"/>
      <w:r w:rsidRPr="009A04C0">
        <w:rPr>
          <w:lang w:val="fr-FR"/>
        </w:rPr>
        <w:t>medication</w:t>
      </w:r>
      <w:proofErr w:type="spellEnd"/>
      <w:r w:rsidRPr="009A04C0">
        <w:rPr>
          <w:lang w:val="fr-FR"/>
        </w:rPr>
        <w:t xml:space="preserve"> in dental </w:t>
      </w:r>
      <w:proofErr w:type="spellStart"/>
      <w:r w:rsidRPr="009A04C0">
        <w:rPr>
          <w:lang w:val="fr-FR"/>
        </w:rPr>
        <w:t>surgery</w:t>
      </w:r>
      <w:proofErr w:type="spellEnd"/>
      <w:r w:rsidRPr="009A04C0">
        <w:rPr>
          <w:lang w:val="fr-FR"/>
        </w:rPr>
        <w:t xml:space="preserve"> in Abidjan. </w:t>
      </w:r>
      <w:proofErr w:type="spellStart"/>
      <w:r w:rsidRPr="009A04C0">
        <w:rPr>
          <w:lang w:val="fr-FR"/>
        </w:rPr>
        <w:t>Odonto-Stomatol</w:t>
      </w:r>
      <w:proofErr w:type="spellEnd"/>
      <w:r w:rsidRPr="009A04C0">
        <w:rPr>
          <w:lang w:val="fr-FR"/>
        </w:rPr>
        <w:t xml:space="preserve"> Trop. 2000.23(89</w:t>
      </w:r>
      <w:proofErr w:type="gramStart"/>
      <w:r w:rsidRPr="009A04C0">
        <w:rPr>
          <w:lang w:val="fr-FR"/>
        </w:rPr>
        <w:t>):</w:t>
      </w:r>
      <w:proofErr w:type="gramEnd"/>
      <w:r w:rsidRPr="009A04C0">
        <w:rPr>
          <w:lang w:val="fr-FR"/>
        </w:rPr>
        <w:t>31–35.</w:t>
      </w:r>
    </w:p>
    <w:p w14:paraId="15E79323" w14:textId="77777777" w:rsidR="009A04C0" w:rsidRPr="009A04C0" w:rsidRDefault="009A04C0" w:rsidP="009A04C0">
      <w:pPr>
        <w:pStyle w:val="Body"/>
        <w:rPr>
          <w:lang w:val="fr-FR"/>
        </w:rPr>
      </w:pPr>
    </w:p>
    <w:p w14:paraId="70045165" w14:textId="77777777" w:rsidR="009A04C0" w:rsidRPr="009A04C0" w:rsidRDefault="009A04C0" w:rsidP="009A04C0">
      <w:pPr>
        <w:pStyle w:val="Body"/>
        <w:rPr>
          <w:lang w:val="fr-FR"/>
        </w:rPr>
      </w:pPr>
      <w:proofErr w:type="spellStart"/>
      <w:r w:rsidRPr="009A04C0">
        <w:rPr>
          <w:lang w:val="fr-FR"/>
        </w:rPr>
        <w:t>Lagha</w:t>
      </w:r>
      <w:proofErr w:type="spellEnd"/>
      <w:r w:rsidRPr="009A04C0">
        <w:rPr>
          <w:lang w:val="fr-FR"/>
        </w:rPr>
        <w:t xml:space="preserve"> R. </w:t>
      </w:r>
      <w:proofErr w:type="spellStart"/>
      <w:r w:rsidRPr="009A04C0">
        <w:rPr>
          <w:lang w:val="fr-FR"/>
        </w:rPr>
        <w:t>Prevalence</w:t>
      </w:r>
      <w:proofErr w:type="spellEnd"/>
      <w:r w:rsidRPr="009A04C0">
        <w:rPr>
          <w:lang w:val="fr-FR"/>
        </w:rPr>
        <w:t xml:space="preserve"> of </w:t>
      </w:r>
      <w:proofErr w:type="spellStart"/>
      <w:r w:rsidRPr="009A04C0">
        <w:rPr>
          <w:lang w:val="fr-FR"/>
        </w:rPr>
        <w:t>ESBLs</w:t>
      </w:r>
      <w:proofErr w:type="spellEnd"/>
      <w:r w:rsidRPr="009A04C0">
        <w:rPr>
          <w:lang w:val="fr-FR"/>
        </w:rPr>
        <w:t xml:space="preserve"> in </w:t>
      </w:r>
      <w:proofErr w:type="spellStart"/>
      <w:r w:rsidRPr="009A04C0">
        <w:rPr>
          <w:lang w:val="fr-FR"/>
        </w:rPr>
        <w:t>Enterobacteriaceae</w:t>
      </w:r>
      <w:proofErr w:type="spellEnd"/>
      <w:r w:rsidRPr="009A04C0">
        <w:rPr>
          <w:lang w:val="fr-FR"/>
        </w:rPr>
        <w:t xml:space="preserve"> in Algeria. </w:t>
      </w:r>
      <w:proofErr w:type="spellStart"/>
      <w:r w:rsidRPr="009A04C0">
        <w:rPr>
          <w:lang w:val="fr-FR"/>
        </w:rPr>
        <w:t>Rev</w:t>
      </w:r>
      <w:proofErr w:type="spellEnd"/>
      <w:r w:rsidRPr="009A04C0">
        <w:rPr>
          <w:lang w:val="fr-FR"/>
        </w:rPr>
        <w:t xml:space="preserve"> Med </w:t>
      </w:r>
      <w:proofErr w:type="spellStart"/>
      <w:r w:rsidRPr="009A04C0">
        <w:rPr>
          <w:lang w:val="fr-FR"/>
        </w:rPr>
        <w:t>Microbiol</w:t>
      </w:r>
      <w:proofErr w:type="spellEnd"/>
      <w:r w:rsidRPr="009A04C0">
        <w:rPr>
          <w:lang w:val="fr-FR"/>
        </w:rPr>
        <w:t>. 2015.25(2</w:t>
      </w:r>
      <w:proofErr w:type="gramStart"/>
      <w:r w:rsidRPr="009A04C0">
        <w:rPr>
          <w:lang w:val="fr-FR"/>
        </w:rPr>
        <w:t>):</w:t>
      </w:r>
      <w:proofErr w:type="gramEnd"/>
      <w:r w:rsidRPr="009A04C0">
        <w:rPr>
          <w:lang w:val="fr-FR"/>
        </w:rPr>
        <w:t>147–153.</w:t>
      </w:r>
    </w:p>
    <w:p w14:paraId="70B38BEB" w14:textId="77777777" w:rsidR="009A04C0" w:rsidRPr="009A04C0" w:rsidRDefault="009A04C0" w:rsidP="009A04C0">
      <w:pPr>
        <w:pStyle w:val="Body"/>
        <w:rPr>
          <w:lang w:val="fr-FR"/>
        </w:rPr>
      </w:pPr>
    </w:p>
    <w:p w14:paraId="330BBCDE" w14:textId="77777777" w:rsidR="009A04C0" w:rsidRPr="009A04C0" w:rsidRDefault="009A04C0" w:rsidP="009A04C0">
      <w:pPr>
        <w:pStyle w:val="Body"/>
        <w:rPr>
          <w:lang w:val="fr-FR"/>
        </w:rPr>
      </w:pPr>
      <w:proofErr w:type="spellStart"/>
      <w:r w:rsidRPr="009A04C0">
        <w:rPr>
          <w:lang w:val="fr-FR"/>
        </w:rPr>
        <w:t>Gassama</w:t>
      </w:r>
      <w:proofErr w:type="spellEnd"/>
      <w:r w:rsidRPr="009A04C0">
        <w:rPr>
          <w:lang w:val="fr-FR"/>
        </w:rPr>
        <w:t xml:space="preserve"> AS (2004). </w:t>
      </w:r>
      <w:proofErr w:type="spellStart"/>
      <w:r w:rsidRPr="009A04C0">
        <w:rPr>
          <w:lang w:val="fr-FR"/>
        </w:rPr>
        <w:t>Study</w:t>
      </w:r>
      <w:proofErr w:type="spellEnd"/>
      <w:r w:rsidRPr="009A04C0">
        <w:rPr>
          <w:lang w:val="fr-FR"/>
        </w:rPr>
        <w:t xml:space="preserve"> of the </w:t>
      </w:r>
      <w:proofErr w:type="spellStart"/>
      <w:r w:rsidRPr="009A04C0">
        <w:rPr>
          <w:lang w:val="fr-FR"/>
        </w:rPr>
        <w:t>role</w:t>
      </w:r>
      <w:proofErr w:type="spellEnd"/>
      <w:r w:rsidRPr="009A04C0">
        <w:rPr>
          <w:lang w:val="fr-FR"/>
        </w:rPr>
        <w:t xml:space="preserve"> of </w:t>
      </w:r>
      <w:proofErr w:type="spellStart"/>
      <w:r w:rsidRPr="009A04C0">
        <w:rPr>
          <w:lang w:val="fr-FR"/>
        </w:rPr>
        <w:t>integrons</w:t>
      </w:r>
      <w:proofErr w:type="spellEnd"/>
      <w:r w:rsidRPr="009A04C0">
        <w:rPr>
          <w:lang w:val="fr-FR"/>
        </w:rPr>
        <w:t xml:space="preserve"> in </w:t>
      </w:r>
      <w:proofErr w:type="spellStart"/>
      <w:r w:rsidRPr="009A04C0">
        <w:rPr>
          <w:lang w:val="fr-FR"/>
        </w:rPr>
        <w:t>multidrug</w:t>
      </w:r>
      <w:proofErr w:type="spellEnd"/>
      <w:r w:rsidRPr="009A04C0">
        <w:rPr>
          <w:lang w:val="fr-FR"/>
        </w:rPr>
        <w:t xml:space="preserve"> </w:t>
      </w:r>
      <w:proofErr w:type="spellStart"/>
      <w:r w:rsidRPr="009A04C0">
        <w:rPr>
          <w:lang w:val="fr-FR"/>
        </w:rPr>
        <w:t>resistance</w:t>
      </w:r>
      <w:proofErr w:type="spellEnd"/>
      <w:r w:rsidRPr="009A04C0">
        <w:rPr>
          <w:lang w:val="fr-FR"/>
        </w:rPr>
        <w:t xml:space="preserve"> in </w:t>
      </w:r>
      <w:proofErr w:type="spellStart"/>
      <w:r w:rsidRPr="009A04C0">
        <w:rPr>
          <w:lang w:val="fr-FR"/>
        </w:rPr>
        <w:t>enteropathogenic</w:t>
      </w:r>
      <w:proofErr w:type="spellEnd"/>
      <w:r w:rsidRPr="009A04C0">
        <w:rPr>
          <w:lang w:val="fr-FR"/>
        </w:rPr>
        <w:t xml:space="preserve"> </w:t>
      </w:r>
      <w:proofErr w:type="spellStart"/>
      <w:r w:rsidRPr="009A04C0">
        <w:rPr>
          <w:lang w:val="fr-FR"/>
        </w:rPr>
        <w:t>bacteria</w:t>
      </w:r>
      <w:proofErr w:type="spellEnd"/>
      <w:r w:rsidRPr="009A04C0">
        <w:rPr>
          <w:lang w:val="fr-FR"/>
        </w:rPr>
        <w:t xml:space="preserve"> </w:t>
      </w:r>
      <w:proofErr w:type="spellStart"/>
      <w:r w:rsidRPr="009A04C0">
        <w:rPr>
          <w:lang w:val="fr-FR"/>
        </w:rPr>
        <w:t>isolated</w:t>
      </w:r>
      <w:proofErr w:type="spellEnd"/>
      <w:r w:rsidRPr="009A04C0">
        <w:rPr>
          <w:lang w:val="fr-FR"/>
        </w:rPr>
        <w:t xml:space="preserve"> in </w:t>
      </w:r>
      <w:proofErr w:type="spellStart"/>
      <w:r w:rsidRPr="009A04C0">
        <w:rPr>
          <w:lang w:val="fr-FR"/>
        </w:rPr>
        <w:t>sub-Saharan</w:t>
      </w:r>
      <w:proofErr w:type="spellEnd"/>
      <w:r w:rsidRPr="009A04C0">
        <w:rPr>
          <w:lang w:val="fr-FR"/>
        </w:rPr>
        <w:t xml:space="preserve"> </w:t>
      </w:r>
      <w:proofErr w:type="spellStart"/>
      <w:r w:rsidRPr="009A04C0">
        <w:rPr>
          <w:lang w:val="fr-FR"/>
        </w:rPr>
        <w:t>Africa</w:t>
      </w:r>
      <w:proofErr w:type="spellEnd"/>
      <w:r w:rsidRPr="009A04C0">
        <w:rPr>
          <w:lang w:val="fr-FR"/>
        </w:rPr>
        <w:t xml:space="preserve">. Doctoral </w:t>
      </w:r>
      <w:proofErr w:type="spellStart"/>
      <w:r w:rsidRPr="009A04C0">
        <w:rPr>
          <w:lang w:val="fr-FR"/>
        </w:rPr>
        <w:t>thesis</w:t>
      </w:r>
      <w:proofErr w:type="spellEnd"/>
      <w:r w:rsidRPr="009A04C0">
        <w:rPr>
          <w:lang w:val="fr-FR"/>
        </w:rPr>
        <w:t xml:space="preserve">, </w:t>
      </w:r>
      <w:proofErr w:type="spellStart"/>
      <w:r w:rsidRPr="009A04C0">
        <w:rPr>
          <w:lang w:val="fr-FR"/>
        </w:rPr>
        <w:t>University</w:t>
      </w:r>
      <w:proofErr w:type="spellEnd"/>
      <w:r w:rsidRPr="009A04C0">
        <w:rPr>
          <w:lang w:val="fr-FR"/>
        </w:rPr>
        <w:t xml:space="preserve"> of Limoges, France, 97p.</w:t>
      </w:r>
    </w:p>
    <w:p w14:paraId="64596C49" w14:textId="77777777" w:rsidR="009A04C0" w:rsidRPr="009A04C0" w:rsidRDefault="009A04C0" w:rsidP="009A04C0">
      <w:pPr>
        <w:pStyle w:val="Body"/>
        <w:rPr>
          <w:lang w:val="fr-FR"/>
        </w:rPr>
      </w:pPr>
    </w:p>
    <w:p w14:paraId="559C0BFA" w14:textId="77777777" w:rsidR="009A04C0" w:rsidRPr="009A04C0" w:rsidRDefault="009A04C0" w:rsidP="009A04C0">
      <w:pPr>
        <w:pStyle w:val="Body"/>
        <w:rPr>
          <w:lang w:val="fr-FR"/>
        </w:rPr>
      </w:pPr>
      <w:proofErr w:type="spellStart"/>
      <w:r w:rsidRPr="009A04C0">
        <w:rPr>
          <w:lang w:val="fr-FR"/>
        </w:rPr>
        <w:t>Rôcas</w:t>
      </w:r>
      <w:proofErr w:type="spellEnd"/>
      <w:r w:rsidRPr="009A04C0">
        <w:rPr>
          <w:lang w:val="fr-FR"/>
        </w:rPr>
        <w:t xml:space="preserve"> IN, </w:t>
      </w:r>
      <w:proofErr w:type="spellStart"/>
      <w:r w:rsidRPr="009A04C0">
        <w:rPr>
          <w:lang w:val="fr-FR"/>
        </w:rPr>
        <w:t>Siqueira</w:t>
      </w:r>
      <w:proofErr w:type="spellEnd"/>
      <w:r w:rsidRPr="009A04C0">
        <w:rPr>
          <w:lang w:val="fr-FR"/>
        </w:rPr>
        <w:t xml:space="preserve"> Jr JF (2013). </w:t>
      </w:r>
      <w:proofErr w:type="spellStart"/>
      <w:r w:rsidRPr="009A04C0">
        <w:rPr>
          <w:lang w:val="fr-FR"/>
        </w:rPr>
        <w:t>Detection</w:t>
      </w:r>
      <w:proofErr w:type="spellEnd"/>
      <w:r w:rsidRPr="009A04C0">
        <w:rPr>
          <w:lang w:val="fr-FR"/>
        </w:rPr>
        <w:t xml:space="preserve"> of </w:t>
      </w:r>
      <w:proofErr w:type="spellStart"/>
      <w:r w:rsidRPr="009A04C0">
        <w:rPr>
          <w:lang w:val="fr-FR"/>
        </w:rPr>
        <w:t>antibiotic</w:t>
      </w:r>
      <w:proofErr w:type="spellEnd"/>
      <w:r w:rsidRPr="009A04C0">
        <w:rPr>
          <w:lang w:val="fr-FR"/>
        </w:rPr>
        <w:t xml:space="preserve"> </w:t>
      </w:r>
      <w:proofErr w:type="spellStart"/>
      <w:r w:rsidRPr="009A04C0">
        <w:rPr>
          <w:lang w:val="fr-FR"/>
        </w:rPr>
        <w:t>resistance</w:t>
      </w:r>
      <w:proofErr w:type="spellEnd"/>
      <w:r w:rsidRPr="009A04C0">
        <w:rPr>
          <w:lang w:val="fr-FR"/>
        </w:rPr>
        <w:t xml:space="preserve"> </w:t>
      </w:r>
      <w:proofErr w:type="spellStart"/>
      <w:r w:rsidRPr="009A04C0">
        <w:rPr>
          <w:lang w:val="fr-FR"/>
        </w:rPr>
        <w:t>genes</w:t>
      </w:r>
      <w:proofErr w:type="spellEnd"/>
      <w:r w:rsidRPr="009A04C0">
        <w:rPr>
          <w:lang w:val="fr-FR"/>
        </w:rPr>
        <w:t xml:space="preserve"> in </w:t>
      </w:r>
      <w:proofErr w:type="spellStart"/>
      <w:r w:rsidRPr="009A04C0">
        <w:rPr>
          <w:lang w:val="fr-FR"/>
        </w:rPr>
        <w:t>samples</w:t>
      </w:r>
      <w:proofErr w:type="spellEnd"/>
      <w:r w:rsidRPr="009A04C0">
        <w:rPr>
          <w:lang w:val="fr-FR"/>
        </w:rPr>
        <w:t xml:space="preserve"> </w:t>
      </w:r>
      <w:proofErr w:type="spellStart"/>
      <w:r w:rsidRPr="009A04C0">
        <w:rPr>
          <w:lang w:val="fr-FR"/>
        </w:rPr>
        <w:t>from</w:t>
      </w:r>
      <w:proofErr w:type="spellEnd"/>
      <w:r w:rsidRPr="009A04C0">
        <w:rPr>
          <w:lang w:val="fr-FR"/>
        </w:rPr>
        <w:t xml:space="preserve"> acute and </w:t>
      </w:r>
      <w:proofErr w:type="spellStart"/>
      <w:r w:rsidRPr="009A04C0">
        <w:rPr>
          <w:lang w:val="fr-FR"/>
        </w:rPr>
        <w:t>chronic</w:t>
      </w:r>
      <w:proofErr w:type="spellEnd"/>
      <w:r w:rsidRPr="009A04C0">
        <w:rPr>
          <w:lang w:val="fr-FR"/>
        </w:rPr>
        <w:t xml:space="preserve"> </w:t>
      </w:r>
      <w:proofErr w:type="spellStart"/>
      <w:r w:rsidRPr="009A04C0">
        <w:rPr>
          <w:lang w:val="fr-FR"/>
        </w:rPr>
        <w:t>endodontic</w:t>
      </w:r>
      <w:proofErr w:type="spellEnd"/>
      <w:r w:rsidRPr="009A04C0">
        <w:rPr>
          <w:lang w:val="fr-FR"/>
        </w:rPr>
        <w:t xml:space="preserve"> infections and </w:t>
      </w:r>
      <w:proofErr w:type="spellStart"/>
      <w:r w:rsidRPr="009A04C0">
        <w:rPr>
          <w:lang w:val="fr-FR"/>
        </w:rPr>
        <w:t>after</w:t>
      </w:r>
      <w:proofErr w:type="spellEnd"/>
      <w:r w:rsidRPr="009A04C0">
        <w:rPr>
          <w:lang w:val="fr-FR"/>
        </w:rPr>
        <w:t xml:space="preserve"> </w:t>
      </w:r>
      <w:proofErr w:type="spellStart"/>
      <w:r w:rsidRPr="009A04C0">
        <w:rPr>
          <w:lang w:val="fr-FR"/>
        </w:rPr>
        <w:t>treatment</w:t>
      </w:r>
      <w:proofErr w:type="spellEnd"/>
      <w:r w:rsidRPr="009A04C0">
        <w:rPr>
          <w:lang w:val="fr-FR"/>
        </w:rPr>
        <w:t xml:space="preserve">. Archive Oral </w:t>
      </w:r>
      <w:proofErr w:type="spellStart"/>
      <w:r w:rsidRPr="009A04C0">
        <w:rPr>
          <w:lang w:val="fr-FR"/>
        </w:rPr>
        <w:t>Biology</w:t>
      </w:r>
      <w:proofErr w:type="spellEnd"/>
      <w:r w:rsidRPr="009A04C0">
        <w:rPr>
          <w:lang w:val="fr-FR"/>
        </w:rPr>
        <w:t xml:space="preserve">. </w:t>
      </w:r>
      <w:proofErr w:type="gramStart"/>
      <w:r w:rsidRPr="009A04C0">
        <w:rPr>
          <w:lang w:val="fr-FR"/>
        </w:rPr>
        <w:t>58:</w:t>
      </w:r>
      <w:proofErr w:type="gramEnd"/>
      <w:r w:rsidRPr="009A04C0">
        <w:rPr>
          <w:lang w:val="fr-FR"/>
        </w:rPr>
        <w:t>1123–1128.</w:t>
      </w:r>
    </w:p>
    <w:p w14:paraId="5E845F65" w14:textId="77777777" w:rsidR="009A04C0" w:rsidRPr="009A04C0" w:rsidRDefault="009A04C0" w:rsidP="009A04C0">
      <w:pPr>
        <w:pStyle w:val="Body"/>
        <w:rPr>
          <w:lang w:val="fr-FR"/>
        </w:rPr>
      </w:pPr>
    </w:p>
    <w:p w14:paraId="43781A4D" w14:textId="174C7CE9" w:rsidR="00B01FCD" w:rsidRPr="00FB3A86" w:rsidRDefault="009A04C0" w:rsidP="009A04C0">
      <w:pPr>
        <w:pStyle w:val="Body"/>
        <w:spacing w:after="0"/>
        <w:rPr>
          <w:rFonts w:ascii="Arial" w:hAnsi="Arial" w:cs="Arial"/>
          <w:b/>
        </w:rPr>
      </w:pPr>
      <w:r w:rsidRPr="009A04C0">
        <w:rPr>
          <w:lang w:val="fr-FR"/>
        </w:rPr>
        <w:t xml:space="preserve">World </w:t>
      </w:r>
      <w:proofErr w:type="spellStart"/>
      <w:r w:rsidRPr="009A04C0">
        <w:rPr>
          <w:lang w:val="fr-FR"/>
        </w:rPr>
        <w:t>Health</w:t>
      </w:r>
      <w:proofErr w:type="spellEnd"/>
      <w:r w:rsidRPr="009A04C0">
        <w:rPr>
          <w:lang w:val="fr-FR"/>
        </w:rPr>
        <w:t xml:space="preserve"> </w:t>
      </w:r>
      <w:proofErr w:type="spellStart"/>
      <w:r w:rsidRPr="009A04C0">
        <w:rPr>
          <w:lang w:val="fr-FR"/>
        </w:rPr>
        <w:t>Organization</w:t>
      </w:r>
      <w:proofErr w:type="spellEnd"/>
      <w:r w:rsidRPr="009A04C0">
        <w:rPr>
          <w:lang w:val="fr-FR"/>
        </w:rPr>
        <w:t xml:space="preserve">. (2023).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surveillance in Europe 2023–2021 data. In </w:t>
      </w:r>
      <w:proofErr w:type="spellStart"/>
      <w:r w:rsidRPr="009A04C0">
        <w:rPr>
          <w:lang w:val="fr-FR"/>
        </w:rPr>
        <w:t>Antimicrobial</w:t>
      </w:r>
      <w:proofErr w:type="spellEnd"/>
      <w:r w:rsidRPr="009A04C0">
        <w:rPr>
          <w:lang w:val="fr-FR"/>
        </w:rPr>
        <w:t xml:space="preserve"> </w:t>
      </w:r>
      <w:proofErr w:type="spellStart"/>
      <w:r w:rsidRPr="009A04C0">
        <w:rPr>
          <w:lang w:val="fr-FR"/>
        </w:rPr>
        <w:t>resistance</w:t>
      </w:r>
      <w:proofErr w:type="spellEnd"/>
      <w:r w:rsidRPr="009A04C0">
        <w:rPr>
          <w:lang w:val="fr-FR"/>
        </w:rPr>
        <w:t xml:space="preserve"> surveillance in Europe 2023–2021 data.</w:t>
      </w:r>
    </w:p>
    <w:sectPr w:rsidR="00B01FCD" w:rsidRPr="00FB3A86" w:rsidSect="00384BEB">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02EA2" w14:textId="77777777" w:rsidR="008C3430" w:rsidRDefault="008C3430" w:rsidP="00C37E61">
      <w:r>
        <w:separator/>
      </w:r>
    </w:p>
  </w:endnote>
  <w:endnote w:type="continuationSeparator" w:id="0">
    <w:p w14:paraId="5893F6D2" w14:textId="77777777" w:rsidR="008C3430" w:rsidRDefault="008C34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29E3" w14:textId="77777777" w:rsidR="001629EC" w:rsidRDefault="00162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3AD5" w14:textId="77777777" w:rsidR="001629EC" w:rsidRDefault="00162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6655" w14:textId="77777777" w:rsidR="009E048A" w:rsidRDefault="009E048A">
    <w:pPr>
      <w:pStyle w:val="Footer"/>
      <w:rPr>
        <w:rFonts w:ascii="Arial" w:hAnsi="Arial" w:cs="Arial"/>
        <w:sz w:val="16"/>
      </w:rPr>
    </w:pPr>
  </w:p>
  <w:p w14:paraId="585A81A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32CB50B" w14:textId="77777777" w:rsidR="009E048A" w:rsidRDefault="009E048A">
    <w:pPr>
      <w:pStyle w:val="Footer"/>
      <w:rPr>
        <w:rFonts w:ascii="Arial" w:hAnsi="Arial" w:cs="Arial"/>
        <w:sz w:val="16"/>
      </w:rPr>
    </w:pPr>
  </w:p>
  <w:p w14:paraId="052A24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183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A07A5" w14:textId="77777777" w:rsidR="008C3430" w:rsidRDefault="008C3430" w:rsidP="00C37E61">
      <w:r>
        <w:separator/>
      </w:r>
    </w:p>
  </w:footnote>
  <w:footnote w:type="continuationSeparator" w:id="0">
    <w:p w14:paraId="267F0A83" w14:textId="77777777" w:rsidR="008C3430" w:rsidRDefault="008C34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9B4F" w14:textId="0D360524" w:rsidR="001629EC" w:rsidRDefault="001629EC">
    <w:pPr>
      <w:pStyle w:val="Header"/>
    </w:pPr>
    <w:r>
      <w:rPr>
        <w:noProof/>
      </w:rPr>
      <w:pict w14:anchorId="5CD90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6E54" w14:textId="3717D57A" w:rsidR="001629EC" w:rsidRDefault="001629EC">
    <w:pPr>
      <w:pStyle w:val="Header"/>
    </w:pPr>
    <w:r>
      <w:rPr>
        <w:noProof/>
      </w:rPr>
      <w:pict w14:anchorId="1E68D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817F" w14:textId="1462C0BB" w:rsidR="00296529" w:rsidRPr="00296529" w:rsidRDefault="001629EC" w:rsidP="00296529">
    <w:pPr>
      <w:ind w:left="2160"/>
      <w:jc w:val="center"/>
      <w:rPr>
        <w:rFonts w:ascii="Times New Roman" w:eastAsia="Calibri" w:hAnsi="Times New Roman"/>
        <w:i/>
        <w:sz w:val="18"/>
        <w:szCs w:val="22"/>
      </w:rPr>
    </w:pPr>
    <w:r>
      <w:rPr>
        <w:noProof/>
      </w:rPr>
      <w:pict w14:anchorId="6FC28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0DB4F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E31F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48A3D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C14B5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732A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2C93D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4538" w14:textId="20603E8E" w:rsidR="001629EC" w:rsidRDefault="001629EC">
    <w:pPr>
      <w:pStyle w:val="Header"/>
    </w:pPr>
    <w:r>
      <w:rPr>
        <w:noProof/>
      </w:rPr>
      <w:pict w14:anchorId="4221A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BA6B" w14:textId="174C7AF3" w:rsidR="001629EC" w:rsidRDefault="001629EC">
    <w:pPr>
      <w:pStyle w:val="Header"/>
    </w:pPr>
    <w:r>
      <w:rPr>
        <w:noProof/>
      </w:rPr>
      <w:pict w14:anchorId="3B8C7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DD49" w14:textId="23B374A5" w:rsidR="001629EC" w:rsidRDefault="001629EC">
    <w:pPr>
      <w:pStyle w:val="Header"/>
    </w:pPr>
    <w:r>
      <w:rPr>
        <w:noProof/>
      </w:rPr>
      <w:pict w14:anchorId="6EE6B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1425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FA0F0F"/>
    <w:multiLevelType w:val="multilevel"/>
    <w:tmpl w:val="D0A4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715BC"/>
    <w:multiLevelType w:val="multilevel"/>
    <w:tmpl w:val="0526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9172D7E"/>
    <w:multiLevelType w:val="multilevel"/>
    <w:tmpl w:val="CEE4AB6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7"/>
  </w:num>
  <w:num w:numId="32">
    <w:abstractNumId w:val="1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404C"/>
    <w:rsid w:val="00161286"/>
    <w:rsid w:val="001629EC"/>
    <w:rsid w:val="00163BC4"/>
    <w:rsid w:val="00175083"/>
    <w:rsid w:val="00183D9E"/>
    <w:rsid w:val="00191062"/>
    <w:rsid w:val="00191582"/>
    <w:rsid w:val="00192B72"/>
    <w:rsid w:val="001A29D8"/>
    <w:rsid w:val="001A5CAA"/>
    <w:rsid w:val="001B0427"/>
    <w:rsid w:val="001B4382"/>
    <w:rsid w:val="001D3A51"/>
    <w:rsid w:val="001E10D2"/>
    <w:rsid w:val="001E25B4"/>
    <w:rsid w:val="001E44FE"/>
    <w:rsid w:val="001F4F29"/>
    <w:rsid w:val="00200595"/>
    <w:rsid w:val="00204835"/>
    <w:rsid w:val="00224842"/>
    <w:rsid w:val="00231920"/>
    <w:rsid w:val="0023195C"/>
    <w:rsid w:val="00237101"/>
    <w:rsid w:val="0024282C"/>
    <w:rsid w:val="002460DC"/>
    <w:rsid w:val="00250985"/>
    <w:rsid w:val="002556F6"/>
    <w:rsid w:val="00283105"/>
    <w:rsid w:val="00284C4C"/>
    <w:rsid w:val="00287E68"/>
    <w:rsid w:val="0029371B"/>
    <w:rsid w:val="00296529"/>
    <w:rsid w:val="002A1FE6"/>
    <w:rsid w:val="002B27FB"/>
    <w:rsid w:val="002B685A"/>
    <w:rsid w:val="002C0CFA"/>
    <w:rsid w:val="002C2A24"/>
    <w:rsid w:val="002C57D2"/>
    <w:rsid w:val="002E0D56"/>
    <w:rsid w:val="002E3D43"/>
    <w:rsid w:val="002F3157"/>
    <w:rsid w:val="00315186"/>
    <w:rsid w:val="0033343E"/>
    <w:rsid w:val="003512C2"/>
    <w:rsid w:val="00371FB6"/>
    <w:rsid w:val="003763C1"/>
    <w:rsid w:val="00376BBE"/>
    <w:rsid w:val="003837FF"/>
    <w:rsid w:val="00384BEB"/>
    <w:rsid w:val="0039224F"/>
    <w:rsid w:val="0039342E"/>
    <w:rsid w:val="003A2FCF"/>
    <w:rsid w:val="003A43A4"/>
    <w:rsid w:val="003A7E18"/>
    <w:rsid w:val="003C4C75"/>
    <w:rsid w:val="003C4C86"/>
    <w:rsid w:val="003C6258"/>
    <w:rsid w:val="003E2904"/>
    <w:rsid w:val="00401927"/>
    <w:rsid w:val="0041027F"/>
    <w:rsid w:val="00412475"/>
    <w:rsid w:val="00423789"/>
    <w:rsid w:val="00440F43"/>
    <w:rsid w:val="00441B6F"/>
    <w:rsid w:val="00446221"/>
    <w:rsid w:val="00450E62"/>
    <w:rsid w:val="004539DB"/>
    <w:rsid w:val="00453E45"/>
    <w:rsid w:val="00471A80"/>
    <w:rsid w:val="00485BBF"/>
    <w:rsid w:val="004D305E"/>
    <w:rsid w:val="004D4277"/>
    <w:rsid w:val="004E4F60"/>
    <w:rsid w:val="004F3024"/>
    <w:rsid w:val="004F66CD"/>
    <w:rsid w:val="00502516"/>
    <w:rsid w:val="00505F06"/>
    <w:rsid w:val="00506828"/>
    <w:rsid w:val="0053056E"/>
    <w:rsid w:val="005515C3"/>
    <w:rsid w:val="00554FDA"/>
    <w:rsid w:val="005554E1"/>
    <w:rsid w:val="005C784C"/>
    <w:rsid w:val="005D17F6"/>
    <w:rsid w:val="005D7002"/>
    <w:rsid w:val="005E5539"/>
    <w:rsid w:val="005F274E"/>
    <w:rsid w:val="005F4AB8"/>
    <w:rsid w:val="00602BF5"/>
    <w:rsid w:val="00617FDD"/>
    <w:rsid w:val="00633614"/>
    <w:rsid w:val="00633F68"/>
    <w:rsid w:val="00636EB2"/>
    <w:rsid w:val="006375B8"/>
    <w:rsid w:val="0066510A"/>
    <w:rsid w:val="00673B49"/>
    <w:rsid w:val="00673F9F"/>
    <w:rsid w:val="0068654C"/>
    <w:rsid w:val="00686953"/>
    <w:rsid w:val="00687DEA"/>
    <w:rsid w:val="00687E67"/>
    <w:rsid w:val="006967F7"/>
    <w:rsid w:val="006A0FC6"/>
    <w:rsid w:val="006A250C"/>
    <w:rsid w:val="006B21D3"/>
    <w:rsid w:val="006B57D0"/>
    <w:rsid w:val="006D30FF"/>
    <w:rsid w:val="006D6940"/>
    <w:rsid w:val="006E51A0"/>
    <w:rsid w:val="006F11EC"/>
    <w:rsid w:val="0070082C"/>
    <w:rsid w:val="007076BB"/>
    <w:rsid w:val="00714607"/>
    <w:rsid w:val="007369E6"/>
    <w:rsid w:val="00746E59"/>
    <w:rsid w:val="00754C9A"/>
    <w:rsid w:val="0075599A"/>
    <w:rsid w:val="00761D52"/>
    <w:rsid w:val="0077749E"/>
    <w:rsid w:val="0078182D"/>
    <w:rsid w:val="00790ADA"/>
    <w:rsid w:val="007D2288"/>
    <w:rsid w:val="007E088F"/>
    <w:rsid w:val="007F7B32"/>
    <w:rsid w:val="00804BC2"/>
    <w:rsid w:val="008050FB"/>
    <w:rsid w:val="0081431A"/>
    <w:rsid w:val="0083216F"/>
    <w:rsid w:val="00860000"/>
    <w:rsid w:val="00863BD3"/>
    <w:rsid w:val="008641ED"/>
    <w:rsid w:val="00866D66"/>
    <w:rsid w:val="008671C6"/>
    <w:rsid w:val="00875803"/>
    <w:rsid w:val="008B459E"/>
    <w:rsid w:val="008C3430"/>
    <w:rsid w:val="008E13AE"/>
    <w:rsid w:val="008E1506"/>
    <w:rsid w:val="008E710C"/>
    <w:rsid w:val="008F69D6"/>
    <w:rsid w:val="00902823"/>
    <w:rsid w:val="00913397"/>
    <w:rsid w:val="00915CA6"/>
    <w:rsid w:val="00927834"/>
    <w:rsid w:val="0093463A"/>
    <w:rsid w:val="0094010F"/>
    <w:rsid w:val="009500A6"/>
    <w:rsid w:val="00957C18"/>
    <w:rsid w:val="009659BA"/>
    <w:rsid w:val="0096635C"/>
    <w:rsid w:val="00983040"/>
    <w:rsid w:val="009A04C0"/>
    <w:rsid w:val="009B3FB9"/>
    <w:rsid w:val="009C2465"/>
    <w:rsid w:val="009D35A0"/>
    <w:rsid w:val="009D785C"/>
    <w:rsid w:val="009D7EB7"/>
    <w:rsid w:val="009E048A"/>
    <w:rsid w:val="009E08E9"/>
    <w:rsid w:val="009E3DB9"/>
    <w:rsid w:val="009E6E35"/>
    <w:rsid w:val="009F0EDA"/>
    <w:rsid w:val="009F206B"/>
    <w:rsid w:val="009F61C0"/>
    <w:rsid w:val="00A03192"/>
    <w:rsid w:val="00A03B96"/>
    <w:rsid w:val="00A05B19"/>
    <w:rsid w:val="00A1134E"/>
    <w:rsid w:val="00A24E7E"/>
    <w:rsid w:val="00A258C3"/>
    <w:rsid w:val="00A347C0"/>
    <w:rsid w:val="00A35DA7"/>
    <w:rsid w:val="00A51431"/>
    <w:rsid w:val="00A539AD"/>
    <w:rsid w:val="00A67816"/>
    <w:rsid w:val="00A94063"/>
    <w:rsid w:val="00AA6219"/>
    <w:rsid w:val="00AA74E0"/>
    <w:rsid w:val="00AB703F"/>
    <w:rsid w:val="00AC6BB8"/>
    <w:rsid w:val="00AE008F"/>
    <w:rsid w:val="00AE4FE3"/>
    <w:rsid w:val="00B01FCD"/>
    <w:rsid w:val="00B1776C"/>
    <w:rsid w:val="00B52583"/>
    <w:rsid w:val="00B52896"/>
    <w:rsid w:val="00B546B3"/>
    <w:rsid w:val="00B95236"/>
    <w:rsid w:val="00B96BD9"/>
    <w:rsid w:val="00BA148F"/>
    <w:rsid w:val="00BA1B01"/>
    <w:rsid w:val="00BA2641"/>
    <w:rsid w:val="00BB37AA"/>
    <w:rsid w:val="00BC53A0"/>
    <w:rsid w:val="00BE62AD"/>
    <w:rsid w:val="00BF121F"/>
    <w:rsid w:val="00BF1F80"/>
    <w:rsid w:val="00C166EF"/>
    <w:rsid w:val="00C17EB0"/>
    <w:rsid w:val="00C27F5F"/>
    <w:rsid w:val="00C30A0F"/>
    <w:rsid w:val="00C37776"/>
    <w:rsid w:val="00C37E61"/>
    <w:rsid w:val="00C70F1B"/>
    <w:rsid w:val="00C71A47"/>
    <w:rsid w:val="00C73AAF"/>
    <w:rsid w:val="00C7464C"/>
    <w:rsid w:val="00C85588"/>
    <w:rsid w:val="00CD6755"/>
    <w:rsid w:val="00CD6856"/>
    <w:rsid w:val="00CE0089"/>
    <w:rsid w:val="00CE793C"/>
    <w:rsid w:val="00CF193C"/>
    <w:rsid w:val="00D028BF"/>
    <w:rsid w:val="00D173F1"/>
    <w:rsid w:val="00D20F6C"/>
    <w:rsid w:val="00D54C2B"/>
    <w:rsid w:val="00D74CB0"/>
    <w:rsid w:val="00D8295D"/>
    <w:rsid w:val="00DB471F"/>
    <w:rsid w:val="00DC2A65"/>
    <w:rsid w:val="00DC3389"/>
    <w:rsid w:val="00DD6E14"/>
    <w:rsid w:val="00DE15F0"/>
    <w:rsid w:val="00DE5663"/>
    <w:rsid w:val="00DE78AA"/>
    <w:rsid w:val="00E053D0"/>
    <w:rsid w:val="00E15994"/>
    <w:rsid w:val="00E3114E"/>
    <w:rsid w:val="00E31A70"/>
    <w:rsid w:val="00E32EB6"/>
    <w:rsid w:val="00E35B02"/>
    <w:rsid w:val="00E44BCD"/>
    <w:rsid w:val="00E66496"/>
    <w:rsid w:val="00E66B35"/>
    <w:rsid w:val="00E66E10"/>
    <w:rsid w:val="00E6775C"/>
    <w:rsid w:val="00E769F6"/>
    <w:rsid w:val="00E8407C"/>
    <w:rsid w:val="00E84F3C"/>
    <w:rsid w:val="00EA012C"/>
    <w:rsid w:val="00EC6897"/>
    <w:rsid w:val="00EC6A55"/>
    <w:rsid w:val="00ED0288"/>
    <w:rsid w:val="00EE52CB"/>
    <w:rsid w:val="00EF0479"/>
    <w:rsid w:val="00EF4FD3"/>
    <w:rsid w:val="00EF581D"/>
    <w:rsid w:val="00EF6FEC"/>
    <w:rsid w:val="00EF7FD8"/>
    <w:rsid w:val="00F06F59"/>
    <w:rsid w:val="00F17988"/>
    <w:rsid w:val="00F469F0"/>
    <w:rsid w:val="00F53273"/>
    <w:rsid w:val="00F755E4"/>
    <w:rsid w:val="00F77D02"/>
    <w:rsid w:val="00FB3A86"/>
    <w:rsid w:val="00FB7345"/>
    <w:rsid w:val="00FD36C8"/>
    <w:rsid w:val="00FE6DDA"/>
    <w:rsid w:val="00FE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2B82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B471F"/>
    <w:rPr>
      <w:b/>
      <w:bCs/>
    </w:rPr>
  </w:style>
  <w:style w:type="paragraph" w:styleId="Subtitle">
    <w:name w:val="Subtitle"/>
    <w:basedOn w:val="Normal"/>
    <w:next w:val="Normal"/>
    <w:link w:val="SubtitleChar"/>
    <w:qFormat/>
    <w:rsid w:val="009663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6635C"/>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14593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376455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75584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7546216">
      <w:bodyDiv w:val="1"/>
      <w:marLeft w:val="0"/>
      <w:marRight w:val="0"/>
      <w:marTop w:val="0"/>
      <w:marBottom w:val="0"/>
      <w:divBdr>
        <w:top w:val="none" w:sz="0" w:space="0" w:color="auto"/>
        <w:left w:val="none" w:sz="0" w:space="0" w:color="auto"/>
        <w:bottom w:val="none" w:sz="0" w:space="0" w:color="auto"/>
        <w:right w:val="none" w:sz="0" w:space="0" w:color="auto"/>
      </w:divBdr>
    </w:div>
    <w:div w:id="1348949466">
      <w:bodyDiv w:val="1"/>
      <w:marLeft w:val="0"/>
      <w:marRight w:val="0"/>
      <w:marTop w:val="0"/>
      <w:marBottom w:val="0"/>
      <w:divBdr>
        <w:top w:val="none" w:sz="0" w:space="0" w:color="auto"/>
        <w:left w:val="none" w:sz="0" w:space="0" w:color="auto"/>
        <w:bottom w:val="none" w:sz="0" w:space="0" w:color="auto"/>
        <w:right w:val="none" w:sz="0" w:space="0" w:color="auto"/>
      </w:divBdr>
    </w:div>
    <w:div w:id="1356929023">
      <w:bodyDiv w:val="1"/>
      <w:marLeft w:val="0"/>
      <w:marRight w:val="0"/>
      <w:marTop w:val="0"/>
      <w:marBottom w:val="0"/>
      <w:divBdr>
        <w:top w:val="none" w:sz="0" w:space="0" w:color="auto"/>
        <w:left w:val="none" w:sz="0" w:space="0" w:color="auto"/>
        <w:bottom w:val="none" w:sz="0" w:space="0" w:color="auto"/>
        <w:right w:val="none" w:sz="0" w:space="0" w:color="auto"/>
      </w:divBdr>
    </w:div>
    <w:div w:id="1533805156">
      <w:bodyDiv w:val="1"/>
      <w:marLeft w:val="0"/>
      <w:marRight w:val="0"/>
      <w:marTop w:val="0"/>
      <w:marBottom w:val="0"/>
      <w:divBdr>
        <w:top w:val="none" w:sz="0" w:space="0" w:color="auto"/>
        <w:left w:val="none" w:sz="0" w:space="0" w:color="auto"/>
        <w:bottom w:val="none" w:sz="0" w:space="0" w:color="auto"/>
        <w:right w:val="none" w:sz="0" w:space="0" w:color="auto"/>
      </w:divBdr>
      <w:divsChild>
        <w:div w:id="1296837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7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7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602347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413362">
      <w:bodyDiv w:val="1"/>
      <w:marLeft w:val="0"/>
      <w:marRight w:val="0"/>
      <w:marTop w:val="0"/>
      <w:marBottom w:val="0"/>
      <w:divBdr>
        <w:top w:val="none" w:sz="0" w:space="0" w:color="auto"/>
        <w:left w:val="none" w:sz="0" w:space="0" w:color="auto"/>
        <w:bottom w:val="none" w:sz="0" w:space="0" w:color="auto"/>
        <w:right w:val="none" w:sz="0" w:space="0" w:color="auto"/>
      </w:divBdr>
    </w:div>
    <w:div w:id="16388786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3939669">
      <w:bodyDiv w:val="1"/>
      <w:marLeft w:val="0"/>
      <w:marRight w:val="0"/>
      <w:marTop w:val="0"/>
      <w:marBottom w:val="0"/>
      <w:divBdr>
        <w:top w:val="none" w:sz="0" w:space="0" w:color="auto"/>
        <w:left w:val="none" w:sz="0" w:space="0" w:color="auto"/>
        <w:bottom w:val="none" w:sz="0" w:space="0" w:color="auto"/>
        <w:right w:val="none" w:sz="0" w:space="0" w:color="auto"/>
      </w:divBdr>
      <w:divsChild>
        <w:div w:id="13815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18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3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317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323290">
      <w:bodyDiv w:val="1"/>
      <w:marLeft w:val="0"/>
      <w:marRight w:val="0"/>
      <w:marTop w:val="0"/>
      <w:marBottom w:val="0"/>
      <w:divBdr>
        <w:top w:val="none" w:sz="0" w:space="0" w:color="auto"/>
        <w:left w:val="none" w:sz="0" w:space="0" w:color="auto"/>
        <w:bottom w:val="none" w:sz="0" w:space="0" w:color="auto"/>
        <w:right w:val="none" w:sz="0" w:space="0" w:color="auto"/>
      </w:divBdr>
    </w:div>
    <w:div w:id="184735981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94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D6B44-E96F-41F6-BC67-99658FFD7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9</Pages>
  <Words>3493</Words>
  <Characters>19915</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23362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2025-05-26T21:20:00Z</dcterms:created>
  <dcterms:modified xsi:type="dcterms:W3CDTF">2025-05-27T10:51:00Z</dcterms:modified>
</cp:coreProperties>
</file>