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6F5D" w14:textId="110930B1" w:rsidR="00FA79EF" w:rsidRDefault="00FA79EF" w:rsidP="00441B6F">
      <w:pPr>
        <w:pStyle w:val="Author"/>
        <w:spacing w:line="240" w:lineRule="auto"/>
        <w:rPr>
          <w:rFonts w:ascii="Arial" w:hAnsi="Arial" w:cs="Arial"/>
          <w:bCs/>
          <w:i/>
          <w:iCs/>
          <w:kern w:val="28"/>
          <w:sz w:val="36"/>
          <w:u w:val="single"/>
        </w:rPr>
      </w:pPr>
      <w:r w:rsidRPr="00FA79EF">
        <w:rPr>
          <w:rFonts w:ascii="Arial" w:hAnsi="Arial" w:cs="Arial"/>
          <w:bCs/>
          <w:i/>
          <w:iCs/>
          <w:kern w:val="28"/>
          <w:sz w:val="36"/>
          <w:u w:val="single"/>
        </w:rPr>
        <w:t>Original Research Article</w:t>
      </w:r>
    </w:p>
    <w:p w14:paraId="1852C0E4" w14:textId="77777777" w:rsidR="00FA79EF" w:rsidRDefault="00FA79EF" w:rsidP="00441B6F">
      <w:pPr>
        <w:pStyle w:val="Author"/>
        <w:spacing w:line="240" w:lineRule="auto"/>
        <w:rPr>
          <w:rFonts w:ascii="Arial" w:hAnsi="Arial" w:cs="Arial"/>
          <w:bCs/>
          <w:iCs/>
          <w:kern w:val="28"/>
          <w:sz w:val="36"/>
        </w:rPr>
      </w:pPr>
    </w:p>
    <w:p w14:paraId="22AC4480" w14:textId="4BD01639" w:rsidR="00163BC4" w:rsidRPr="00ED3A6C" w:rsidRDefault="007E064E" w:rsidP="00441B6F">
      <w:pPr>
        <w:pStyle w:val="Author"/>
        <w:spacing w:line="240" w:lineRule="auto"/>
        <w:rPr>
          <w:rFonts w:ascii="Arial" w:hAnsi="Arial" w:cs="Arial"/>
          <w:bCs/>
          <w:iCs/>
          <w:kern w:val="28"/>
          <w:sz w:val="36"/>
        </w:rPr>
      </w:pPr>
      <w:r w:rsidRPr="007E064E">
        <w:rPr>
          <w:rFonts w:ascii="Arial" w:hAnsi="Arial" w:cs="Arial"/>
          <w:bCs/>
          <w:iCs/>
          <w:kern w:val="28"/>
          <w:sz w:val="36"/>
        </w:rPr>
        <w:t>Investigating through the Potentials of the Hydroethanolic Extract from the Dried Leaves of</w:t>
      </w:r>
      <w:r w:rsidRPr="007E064E">
        <w:rPr>
          <w:rFonts w:ascii="Arial" w:hAnsi="Arial" w:cs="Arial"/>
          <w:bCs/>
          <w:i/>
          <w:iCs/>
          <w:kern w:val="28"/>
          <w:sz w:val="36"/>
        </w:rPr>
        <w:t xml:space="preserve"> </w:t>
      </w:r>
      <w:proofErr w:type="spellStart"/>
      <w:r w:rsidRPr="007E064E">
        <w:rPr>
          <w:rFonts w:ascii="Arial" w:hAnsi="Arial" w:cs="Arial"/>
          <w:bCs/>
          <w:i/>
          <w:iCs/>
          <w:kern w:val="28"/>
          <w:sz w:val="36"/>
        </w:rPr>
        <w:t>Cajanus</w:t>
      </w:r>
      <w:proofErr w:type="spellEnd"/>
      <w:r w:rsidRPr="007E064E">
        <w:rPr>
          <w:rFonts w:ascii="Arial" w:hAnsi="Arial" w:cs="Arial"/>
          <w:bCs/>
          <w:i/>
          <w:iCs/>
          <w:kern w:val="28"/>
          <w:sz w:val="36"/>
        </w:rPr>
        <w:t xml:space="preserve"> </w:t>
      </w:r>
      <w:proofErr w:type="spellStart"/>
      <w:r w:rsidRPr="007E064E">
        <w:rPr>
          <w:rFonts w:ascii="Arial" w:hAnsi="Arial" w:cs="Arial"/>
          <w:bCs/>
          <w:i/>
          <w:iCs/>
          <w:kern w:val="28"/>
          <w:sz w:val="36"/>
        </w:rPr>
        <w:t>cajan</w:t>
      </w:r>
      <w:proofErr w:type="spellEnd"/>
      <w:r w:rsidRPr="007E064E">
        <w:rPr>
          <w:rFonts w:ascii="Arial" w:hAnsi="Arial" w:cs="Arial"/>
          <w:bCs/>
          <w:iCs/>
          <w:kern w:val="28"/>
          <w:sz w:val="36"/>
        </w:rPr>
        <w:t xml:space="preserve"> (L.) </w:t>
      </w:r>
      <w:proofErr w:type="spellStart"/>
      <w:r w:rsidRPr="007E064E">
        <w:rPr>
          <w:rFonts w:ascii="Arial" w:hAnsi="Arial" w:cs="Arial"/>
          <w:bCs/>
          <w:iCs/>
          <w:kern w:val="28"/>
          <w:sz w:val="36"/>
        </w:rPr>
        <w:t>Millsp</w:t>
      </w:r>
      <w:proofErr w:type="spellEnd"/>
      <w:r w:rsidRPr="007E064E">
        <w:rPr>
          <w:rFonts w:ascii="Arial" w:hAnsi="Arial" w:cs="Arial"/>
          <w:bCs/>
          <w:iCs/>
          <w:kern w:val="28"/>
          <w:sz w:val="36"/>
        </w:rPr>
        <w:t>. on Healthcare Environment’s Multidrug-Resistant Bacteria</w:t>
      </w:r>
      <w:r w:rsidR="00231920" w:rsidRPr="00ED3A6C">
        <w:rPr>
          <w:rFonts w:ascii="Arial" w:hAnsi="Arial" w:cs="Arial"/>
          <w:bCs/>
          <w:iCs/>
          <w:kern w:val="28"/>
          <w:sz w:val="36"/>
        </w:rPr>
        <w:t xml:space="preserve"> </w:t>
      </w:r>
    </w:p>
    <w:p w14:paraId="366E023B" w14:textId="77777777" w:rsidR="00FA79EF" w:rsidRPr="00A25D9D" w:rsidRDefault="00FA79EF" w:rsidP="00A25D9D">
      <w:pPr>
        <w:numPr>
          <w:ilvl w:val="0"/>
          <w:numId w:val="37"/>
        </w:numPr>
        <w:spacing w:after="200" w:line="276" w:lineRule="auto"/>
        <w:rPr>
          <w:rFonts w:asciiTheme="minorHAnsi" w:eastAsiaTheme="minorHAnsi" w:hAnsiTheme="minorHAnsi" w:cstheme="minorBidi"/>
          <w:sz w:val="22"/>
          <w:szCs w:val="22"/>
          <w:lang w:val="fr-FR"/>
        </w:rPr>
      </w:pPr>
    </w:p>
    <w:p w14:paraId="699F231B" w14:textId="77777777" w:rsidR="00A25D9D" w:rsidRPr="007E064E" w:rsidRDefault="00A25D9D" w:rsidP="007E064E">
      <w:pPr>
        <w:pStyle w:val="Affiliation"/>
        <w:spacing w:after="0" w:line="240" w:lineRule="auto"/>
        <w:rPr>
          <w:rFonts w:ascii="Arial" w:hAnsi="Arial" w:cs="Arial"/>
          <w:i/>
          <w:vertAlign w:val="superscript"/>
        </w:rPr>
      </w:pPr>
    </w:p>
    <w:p w14:paraId="0429629A" w14:textId="63870500" w:rsidR="002C57D2" w:rsidRPr="00ED3A6C" w:rsidRDefault="002C57D2" w:rsidP="00EA750E">
      <w:pPr>
        <w:pStyle w:val="Affiliation"/>
        <w:spacing w:after="0" w:line="240" w:lineRule="auto"/>
        <w:rPr>
          <w:rFonts w:ascii="Arial" w:hAnsi="Arial" w:cs="Arial"/>
          <w:i/>
          <w:sz w:val="24"/>
        </w:rPr>
      </w:pPr>
    </w:p>
    <w:p w14:paraId="42B86252"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4F66BD5C" w14:textId="77777777" w:rsidTr="003342FF">
        <w:tc>
          <w:tcPr>
            <w:tcW w:w="9918" w:type="dxa"/>
            <w:shd w:val="clear" w:color="auto" w:fill="F2F2F2"/>
          </w:tcPr>
          <w:p w14:paraId="36A0BC5B" w14:textId="77777777" w:rsidR="00505F06" w:rsidRPr="007E064E" w:rsidRDefault="007E064E" w:rsidP="007E064E">
            <w:pPr>
              <w:pStyle w:val="Body"/>
              <w:rPr>
                <w:rFonts w:ascii="Arial" w:eastAsia="Calibri" w:hAnsi="Arial" w:cs="Arial"/>
                <w:szCs w:val="22"/>
              </w:rPr>
            </w:pPr>
            <w:r w:rsidRPr="007E064E">
              <w:rPr>
                <w:rFonts w:ascii="Arial" w:eastAsia="Calibri" w:hAnsi="Arial" w:cs="Arial"/>
                <w:b/>
                <w:szCs w:val="22"/>
              </w:rPr>
              <w:t>Background and objective:</w:t>
            </w:r>
            <w:r w:rsidRPr="007E064E">
              <w:rPr>
                <w:rFonts w:ascii="Arial" w:eastAsia="Calibri" w:hAnsi="Arial" w:cs="Arial"/>
                <w:szCs w:val="22"/>
              </w:rPr>
              <w:t xml:space="preserve"> To promote therapeutic plants as alternatives to current conventional antibacterial agents which are increasingly tolerated by bacteria, the present investigation assessed the antibacterial potentials of the hydroethanolic extract recovered from dried leaves of </w:t>
            </w:r>
            <w:proofErr w:type="spellStart"/>
            <w:r w:rsidRPr="007E064E">
              <w:rPr>
                <w:rFonts w:ascii="Arial" w:eastAsia="Calibri" w:hAnsi="Arial" w:cs="Arial"/>
                <w:i/>
                <w:szCs w:val="22"/>
              </w:rPr>
              <w:t>Cajanus</w:t>
            </w:r>
            <w:proofErr w:type="spellEnd"/>
            <w:r w:rsidRPr="007E064E">
              <w:rPr>
                <w:rFonts w:ascii="Arial" w:eastAsia="Calibri" w:hAnsi="Arial" w:cs="Arial"/>
                <w:i/>
                <w:szCs w:val="22"/>
              </w:rPr>
              <w:t xml:space="preserve">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on multidrug-resistant bacteria isolated from a healthcare facility environment. </w:t>
            </w:r>
            <w:r w:rsidRPr="007E064E">
              <w:rPr>
                <w:rFonts w:ascii="Arial" w:eastAsia="Calibri" w:hAnsi="Arial" w:cs="Arial"/>
                <w:b/>
                <w:szCs w:val="22"/>
              </w:rPr>
              <w:t>Methods:</w:t>
            </w:r>
            <w:r w:rsidRPr="007E064E">
              <w:rPr>
                <w:rFonts w:ascii="Arial" w:eastAsia="Calibri" w:hAnsi="Arial" w:cs="Arial"/>
                <w:szCs w:val="22"/>
              </w:rPr>
              <w:t xml:space="preserve"> For this purpose, multidrug-resistant bacteria were isolated from specimens collected from the “</w:t>
            </w:r>
            <w:proofErr w:type="spellStart"/>
            <w:r w:rsidRPr="007E064E">
              <w:rPr>
                <w:rFonts w:ascii="Arial" w:eastAsia="Calibri" w:hAnsi="Arial" w:cs="Arial"/>
                <w:szCs w:val="22"/>
              </w:rPr>
              <w:t>Université</w:t>
            </w:r>
            <w:proofErr w:type="spellEnd"/>
            <w:r w:rsidRPr="007E064E">
              <w:rPr>
                <w:rFonts w:ascii="Arial" w:eastAsia="Calibri" w:hAnsi="Arial" w:cs="Arial"/>
                <w:szCs w:val="22"/>
              </w:rPr>
              <w:t xml:space="preserve"> des </w:t>
            </w:r>
            <w:proofErr w:type="spellStart"/>
            <w:r w:rsidRPr="007E064E">
              <w:rPr>
                <w:rFonts w:ascii="Arial" w:eastAsia="Calibri" w:hAnsi="Arial" w:cs="Arial"/>
                <w:szCs w:val="22"/>
              </w:rPr>
              <w:t>Montagnes</w:t>
            </w:r>
            <w:proofErr w:type="spellEnd"/>
            <w:r w:rsidRPr="007E064E">
              <w:rPr>
                <w:rFonts w:ascii="Arial" w:eastAsia="Calibri" w:hAnsi="Arial" w:cs="Arial"/>
                <w:szCs w:val="22"/>
              </w:rPr>
              <w:t xml:space="preserve">” Teaching Hospital environment, where local bacterial flora were previously found to express high rates of resistance to conventional antibacterial agents and to disinfectants. The antibacterial potential was investigation through determination of the minimal inhibitory and bactericidal concentrations of the extract from which a few groups of secondary metabolites were screened. </w:t>
            </w:r>
            <w:r w:rsidRPr="007E064E">
              <w:rPr>
                <w:rFonts w:ascii="Arial" w:eastAsia="Calibri" w:hAnsi="Arial" w:cs="Arial"/>
                <w:b/>
                <w:szCs w:val="22"/>
              </w:rPr>
              <w:t>Results:</w:t>
            </w:r>
            <w:r w:rsidRPr="007E064E">
              <w:rPr>
                <w:rFonts w:ascii="Arial" w:eastAsia="Calibri" w:hAnsi="Arial" w:cs="Arial"/>
                <w:szCs w:val="22"/>
              </w:rPr>
              <w:t xml:space="preserve"> Qualitative phytochemical screening revealed the presence of flavonoids, polyphenols, quinones, tannins and terpenes in the extract used. On a pool of 64 multidrug-resistant bacteria isolates (Gram-positive rods: 23; Gram-positive cocci: 20; Gram-negative rods: 21), the minimal inhibitory and bactericidal concentrations of the hydroethanolic extract from dried leaves of</w:t>
            </w:r>
            <w:r w:rsidRPr="007E064E">
              <w:rPr>
                <w:rFonts w:ascii="Arial" w:eastAsia="Calibri" w:hAnsi="Arial" w:cs="Arial"/>
                <w:i/>
                <w:szCs w:val="22"/>
              </w:rPr>
              <w:t xml:space="preserve"> </w:t>
            </w:r>
            <w:proofErr w:type="spellStart"/>
            <w:r w:rsidRPr="007E064E">
              <w:rPr>
                <w:rFonts w:ascii="Arial" w:eastAsia="Calibri" w:hAnsi="Arial" w:cs="Arial"/>
                <w:i/>
                <w:szCs w:val="22"/>
              </w:rPr>
              <w:t>Cajanus</w:t>
            </w:r>
            <w:proofErr w:type="spellEnd"/>
            <w:r w:rsidRPr="007E064E">
              <w:rPr>
                <w:rFonts w:ascii="Arial" w:eastAsia="Calibri" w:hAnsi="Arial" w:cs="Arial"/>
                <w:i/>
                <w:szCs w:val="22"/>
              </w:rPr>
              <w:t xml:space="preserve">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ranged from 1.465 through 93.75 mg/mL, and from 6.25 through 175 mg/mL, respectively. Gram-positive rods exhibited highest tolerance (MIC = 69.4185±17.4405 mg/mL; MBC = 116.8478±35.677 mg/mL), while Gram-positive cocci were most susceptible (MIC = 3.2663±1.6854 mg/mL; MBC = 12.0701±5.7882 mg/mL). Amongst the Gram-negative rods, higher resistance was observed with </w:t>
            </w:r>
            <w:r w:rsidRPr="007E064E">
              <w:rPr>
                <w:rFonts w:ascii="Arial" w:eastAsia="Calibri" w:hAnsi="Arial" w:cs="Arial"/>
                <w:i/>
                <w:szCs w:val="22"/>
              </w:rPr>
              <w:t>Pseudomonas</w:t>
            </w:r>
            <w:r w:rsidRPr="007E064E">
              <w:rPr>
                <w:rFonts w:ascii="Arial" w:eastAsia="Calibri" w:hAnsi="Arial" w:cs="Arial"/>
                <w:szCs w:val="22"/>
              </w:rPr>
              <w:t xml:space="preserve"> (MIC = 43.2292±3.0725 mg/mL; MBC = 73.9583±11.2962 mg/mL), and </w:t>
            </w:r>
            <w:r w:rsidRPr="007E064E">
              <w:rPr>
                <w:rFonts w:ascii="Arial" w:eastAsia="Calibri" w:hAnsi="Arial" w:cs="Arial"/>
                <w:i/>
                <w:szCs w:val="22"/>
              </w:rPr>
              <w:t>Enterobacteriaceae</w:t>
            </w:r>
            <w:r w:rsidRPr="007E064E">
              <w:rPr>
                <w:rFonts w:ascii="Arial" w:eastAsia="Calibri" w:hAnsi="Arial" w:cs="Arial"/>
                <w:szCs w:val="22"/>
              </w:rPr>
              <w:t xml:space="preserve"> (MIC = 12.2342±3.6743 mg/mL; MBC = 22.1153±6.3016 mg/mL). Eventually, this extract expressed a bactericidal potential on 78.125% of subjected isolates. </w:t>
            </w:r>
            <w:r w:rsidRPr="007E064E">
              <w:rPr>
                <w:rFonts w:ascii="Arial" w:eastAsia="Calibri" w:hAnsi="Arial" w:cs="Arial"/>
                <w:b/>
                <w:szCs w:val="22"/>
              </w:rPr>
              <w:t>Conclusion:</w:t>
            </w:r>
            <w:r>
              <w:rPr>
                <w:rFonts w:ascii="Arial" w:eastAsia="Calibri" w:hAnsi="Arial" w:cs="Arial"/>
                <w:szCs w:val="22"/>
              </w:rPr>
              <w:t xml:space="preserve"> </w:t>
            </w:r>
            <w:r w:rsidRPr="007E064E">
              <w:rPr>
                <w:rFonts w:ascii="Arial" w:eastAsia="Calibri" w:hAnsi="Arial" w:cs="Arial"/>
                <w:szCs w:val="22"/>
              </w:rPr>
              <w:t>Beyond the expected role in care taking build on additional pieces of information that future studies will provide, the current findings indicate that this extract could effectively serve in controlling environmental antibiotic-resistant bacterial population if it is used at convenient concentrations.</w:t>
            </w:r>
          </w:p>
        </w:tc>
      </w:tr>
    </w:tbl>
    <w:p w14:paraId="337B4525"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7E064E">
        <w:rPr>
          <w:szCs w:val="24"/>
        </w:rPr>
        <w:t>A</w:t>
      </w:r>
      <w:r w:rsidR="007E064E" w:rsidRPr="0048445D">
        <w:rPr>
          <w:szCs w:val="24"/>
        </w:rPr>
        <w:t>ntibacterial potential</w:t>
      </w:r>
      <w:r w:rsidR="007E064E">
        <w:rPr>
          <w:szCs w:val="24"/>
        </w:rPr>
        <w:t>,</w:t>
      </w:r>
      <w:r w:rsidR="007E064E" w:rsidRPr="0048445D">
        <w:rPr>
          <w:i/>
          <w:szCs w:val="24"/>
        </w:rPr>
        <w:t xml:space="preserve"> </w:t>
      </w:r>
      <w:proofErr w:type="spellStart"/>
      <w:r w:rsidR="007E064E" w:rsidRPr="0048445D">
        <w:rPr>
          <w:i/>
          <w:szCs w:val="24"/>
        </w:rPr>
        <w:t>Cajanus</w:t>
      </w:r>
      <w:proofErr w:type="spellEnd"/>
      <w:r w:rsidR="007E064E" w:rsidRPr="0048445D">
        <w:rPr>
          <w:i/>
          <w:szCs w:val="24"/>
        </w:rPr>
        <w:t xml:space="preserve"> </w:t>
      </w:r>
      <w:proofErr w:type="spellStart"/>
      <w:r w:rsidR="007E064E" w:rsidRPr="0048445D">
        <w:rPr>
          <w:i/>
          <w:szCs w:val="24"/>
        </w:rPr>
        <w:t>cajan</w:t>
      </w:r>
      <w:proofErr w:type="spellEnd"/>
      <w:r w:rsidR="00FA1224">
        <w:rPr>
          <w:szCs w:val="24"/>
        </w:rPr>
        <w:t xml:space="preserve">, Plant, </w:t>
      </w:r>
      <w:r w:rsidR="007E064E">
        <w:rPr>
          <w:szCs w:val="24"/>
        </w:rPr>
        <w:t>MIC, MBC</w:t>
      </w:r>
      <w:r w:rsidR="00FA1224">
        <w:rPr>
          <w:szCs w:val="24"/>
        </w:rPr>
        <w:t>, M</w:t>
      </w:r>
      <w:r w:rsidR="007E064E" w:rsidRPr="0048445D">
        <w:rPr>
          <w:szCs w:val="24"/>
        </w:rPr>
        <w:t>ultidrug-resistant bacteria</w:t>
      </w:r>
      <w:r w:rsidR="00E23F0C" w:rsidRPr="00ED3A6C">
        <w:rPr>
          <w:rFonts w:ascii="Arial" w:hAnsi="Arial" w:cs="Arial"/>
          <w:i/>
        </w:rPr>
        <w:t xml:space="preserve"> </w:t>
      </w:r>
    </w:p>
    <w:p w14:paraId="1B18644D"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1CC98DF" w14:textId="77777777" w:rsidR="007E064E" w:rsidRPr="007E064E" w:rsidRDefault="007E064E" w:rsidP="007E064E">
      <w:pPr>
        <w:pStyle w:val="Body"/>
        <w:rPr>
          <w:rFonts w:ascii="Arial" w:hAnsi="Arial" w:cs="Arial"/>
        </w:rPr>
      </w:pPr>
      <w:r w:rsidRPr="007E064E">
        <w:rPr>
          <w:rFonts w:ascii="Arial" w:hAnsi="Arial" w:cs="Arial"/>
        </w:rPr>
        <w:t>The burden of drug-resistant microbial diseases acquired in healthcare facilities is high and deserves special attention. Contracted during healthcare procedures and formerly referred to as hospital-acquired, healthcare associated infections (HAIs)-related clinical manifestations develop in patients who undergo infections caused by healthcare setting microbes (WHO, 2010; Rambaud, 2008). These infections are frequent causes of morbidity and mortality in both developed and developing countries. The global picture estimates that about 5% of hospitalized patients develop HAIs every year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Observance of specific guidance aiming at controlling the phenomenon has shown effective in reducing its incidence in all settings though at varied </w:t>
      </w:r>
      <w:bookmarkStart w:id="0" w:name="_Hlk187854412"/>
      <w:r w:rsidRPr="007E064E">
        <w:rPr>
          <w:rFonts w:ascii="Arial" w:hAnsi="Arial" w:cs="Arial"/>
        </w:rPr>
        <w:t>ranges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w:t>
      </w:r>
      <w:bookmarkEnd w:id="0"/>
      <w:r w:rsidRPr="007E064E">
        <w:rPr>
          <w:rFonts w:ascii="Arial" w:hAnsi="Arial" w:cs="Arial"/>
        </w:rPr>
        <w:t xml:space="preserve">in connection with available human, technical and financial resources. In contexts characterized by drugs-resistance etiologies, they are regarded as serious threats to all healthcare systems (Antimicrobial Resistance Collaborators, 2022). With increased resistance to disinfectants (Rozman </w:t>
      </w:r>
      <w:r w:rsidRPr="007E064E">
        <w:rPr>
          <w:rFonts w:ascii="Arial" w:hAnsi="Arial" w:cs="Arial"/>
          <w:i/>
        </w:rPr>
        <w:t>et al</w:t>
      </w:r>
      <w:r w:rsidRPr="007E064E">
        <w:rPr>
          <w:rFonts w:ascii="Arial" w:hAnsi="Arial" w:cs="Arial"/>
        </w:rPr>
        <w:t>, 2021), preventing HAIs is therefore, seriously threatened, especially amongst populations that cannot afford conventional amenities. Previous surveys in 2010 reported 20.74% of HAIs in Cameroon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2016).</w:t>
      </w:r>
    </w:p>
    <w:p w14:paraId="71114DA5" w14:textId="77777777" w:rsidR="007E064E" w:rsidRPr="007E064E" w:rsidRDefault="007E064E" w:rsidP="007E064E">
      <w:pPr>
        <w:pStyle w:val="Body"/>
        <w:rPr>
          <w:rFonts w:ascii="Arial" w:hAnsi="Arial" w:cs="Arial"/>
        </w:rPr>
      </w:pPr>
      <w:r w:rsidRPr="007E064E">
        <w:rPr>
          <w:rFonts w:ascii="Arial" w:hAnsi="Arial" w:cs="Arial"/>
        </w:rPr>
        <w:t xml:space="preserve">To address antimicrobial resistance as a global health issue, investigations through alternatives to drugs that are no longer effective in controlling microbial infections was encouraged by the WHO, and several studies are currently conducted in the potential of some plants and plant extracts, known for their antimicrobial and/or their </w:t>
      </w:r>
      <w:r w:rsidRPr="007E064E">
        <w:rPr>
          <w:rFonts w:ascii="Arial" w:hAnsi="Arial" w:cs="Arial"/>
        </w:rPr>
        <w:lastRenderedPageBreak/>
        <w:t xml:space="preserve">therapeutic effects on microorganisms (Porras </w:t>
      </w:r>
      <w:r w:rsidRPr="007E064E">
        <w:rPr>
          <w:rFonts w:ascii="Arial" w:hAnsi="Arial" w:cs="Arial"/>
          <w:i/>
        </w:rPr>
        <w:t>et al</w:t>
      </w:r>
      <w:r w:rsidRPr="007E064E">
        <w:rPr>
          <w:rFonts w:ascii="Arial" w:hAnsi="Arial" w:cs="Arial"/>
        </w:rPr>
        <w:t xml:space="preserve">., 2021; Abass </w:t>
      </w:r>
      <w:r w:rsidRPr="007E064E">
        <w:rPr>
          <w:rFonts w:ascii="Arial" w:hAnsi="Arial" w:cs="Arial"/>
          <w:i/>
        </w:rPr>
        <w:t>et al</w:t>
      </w:r>
      <w:r w:rsidRPr="007E064E">
        <w:rPr>
          <w:rFonts w:ascii="Arial" w:hAnsi="Arial" w:cs="Arial"/>
        </w:rPr>
        <w:t>., 2022). All aim at identifying alternatives for diseases prevention and control primarily amongst human population in low-income communities worldwide (</w:t>
      </w:r>
      <w:proofErr w:type="spellStart"/>
      <w:r w:rsidRPr="007E064E">
        <w:rPr>
          <w:rFonts w:ascii="Arial" w:hAnsi="Arial" w:cs="Arial"/>
        </w:rPr>
        <w:t>Ouro-Djeri</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2022). In this vein, pharmacological studies have demonstrated that some plants from the</w:t>
      </w:r>
      <w:r w:rsidRPr="007E064E">
        <w:rPr>
          <w:rFonts w:ascii="Arial" w:hAnsi="Arial" w:cs="Arial"/>
          <w:i/>
        </w:rPr>
        <w:t xml:space="preserve"> Fabaceae</w:t>
      </w:r>
      <w:r w:rsidRPr="007E064E">
        <w:rPr>
          <w:rFonts w:ascii="Arial" w:hAnsi="Arial" w:cs="Arial"/>
        </w:rPr>
        <w:t xml:space="preserve"> family were potent in controlling microbial populations (</w:t>
      </w:r>
      <w:proofErr w:type="spellStart"/>
      <w:r w:rsidRPr="007E064E">
        <w:rPr>
          <w:rFonts w:ascii="Arial" w:hAnsi="Arial" w:cs="Arial"/>
        </w:rPr>
        <w:t>Hannani</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2014). In this family,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rPr>
        <w:t xml:space="preserve"> or “pigeon pea” is empirically used by some communities in the caretaking of several microbial conditions, including bacterial infections (</w:t>
      </w:r>
      <w:proofErr w:type="spellStart"/>
      <w:r w:rsidRPr="007E064E">
        <w:rPr>
          <w:rFonts w:ascii="Arial" w:hAnsi="Arial" w:cs="Arial"/>
        </w:rPr>
        <w:t>Okigbo</w:t>
      </w:r>
      <w:proofErr w:type="spellEnd"/>
      <w:r w:rsidRPr="007E064E">
        <w:rPr>
          <w:rFonts w:ascii="Arial" w:hAnsi="Arial" w:cs="Arial"/>
        </w:rPr>
        <w:t xml:space="preserve"> and </w:t>
      </w:r>
      <w:proofErr w:type="spellStart"/>
      <w:r w:rsidRPr="007E064E">
        <w:rPr>
          <w:rFonts w:ascii="Arial" w:hAnsi="Arial" w:cs="Arial"/>
        </w:rPr>
        <w:t>Omodamiro</w:t>
      </w:r>
      <w:proofErr w:type="spellEnd"/>
      <w:r w:rsidRPr="007E064E">
        <w:rPr>
          <w:rFonts w:ascii="Arial" w:hAnsi="Arial" w:cs="Arial"/>
        </w:rPr>
        <w:t xml:space="preserve">, 2007; Pal </w:t>
      </w:r>
      <w:r w:rsidRPr="007E064E">
        <w:rPr>
          <w:rFonts w:ascii="Arial" w:hAnsi="Arial" w:cs="Arial"/>
          <w:i/>
        </w:rPr>
        <w:t>et al</w:t>
      </w:r>
      <w:r w:rsidRPr="007E064E">
        <w:rPr>
          <w:rFonts w:ascii="Arial" w:hAnsi="Arial" w:cs="Arial"/>
        </w:rPr>
        <w:t xml:space="preserve">., 2011). Several authors throughout the world have confirmed the antibacterial properties of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rPr>
        <w:t xml:space="preserve"> (</w:t>
      </w:r>
      <w:proofErr w:type="spellStart"/>
      <w:r w:rsidRPr="007E064E">
        <w:rPr>
          <w:rFonts w:ascii="Arial" w:hAnsi="Arial" w:cs="Arial"/>
        </w:rPr>
        <w:t>Okigbo</w:t>
      </w:r>
      <w:proofErr w:type="spellEnd"/>
      <w:r w:rsidRPr="007E064E">
        <w:rPr>
          <w:rFonts w:ascii="Arial" w:hAnsi="Arial" w:cs="Arial"/>
        </w:rPr>
        <w:t xml:space="preserve"> and </w:t>
      </w:r>
      <w:proofErr w:type="spellStart"/>
      <w:r w:rsidRPr="007E064E">
        <w:rPr>
          <w:rFonts w:ascii="Arial" w:hAnsi="Arial" w:cs="Arial"/>
        </w:rPr>
        <w:t>Omodamiro</w:t>
      </w:r>
      <w:proofErr w:type="spellEnd"/>
      <w:r w:rsidRPr="007E064E">
        <w:rPr>
          <w:rFonts w:ascii="Arial" w:hAnsi="Arial" w:cs="Arial"/>
        </w:rPr>
        <w:t xml:space="preserve">, 2007; Kong </w:t>
      </w:r>
      <w:r w:rsidRPr="007E064E">
        <w:rPr>
          <w:rFonts w:ascii="Arial" w:hAnsi="Arial" w:cs="Arial"/>
          <w:i/>
        </w:rPr>
        <w:t>et al</w:t>
      </w:r>
      <w:r w:rsidRPr="007E064E">
        <w:rPr>
          <w:rFonts w:ascii="Arial" w:hAnsi="Arial" w:cs="Arial"/>
        </w:rPr>
        <w:t xml:space="preserve">., 2010; Nwachukwu and </w:t>
      </w:r>
      <w:proofErr w:type="spellStart"/>
      <w:r w:rsidRPr="007E064E">
        <w:rPr>
          <w:rFonts w:ascii="Arial" w:hAnsi="Arial" w:cs="Arial"/>
        </w:rPr>
        <w:t>Uzoeto</w:t>
      </w:r>
      <w:proofErr w:type="spellEnd"/>
      <w:r w:rsidRPr="007E064E">
        <w:rPr>
          <w:rFonts w:ascii="Arial" w:hAnsi="Arial" w:cs="Arial"/>
        </w:rPr>
        <w:t xml:space="preserve">, 2010; </w:t>
      </w:r>
      <w:proofErr w:type="spellStart"/>
      <w:r w:rsidRPr="007E064E">
        <w:rPr>
          <w:rFonts w:ascii="Arial" w:hAnsi="Arial" w:cs="Arial"/>
        </w:rPr>
        <w:t>Oyewole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2010; Pal </w:t>
      </w:r>
      <w:r w:rsidRPr="007E064E">
        <w:rPr>
          <w:rFonts w:ascii="Arial" w:hAnsi="Arial" w:cs="Arial"/>
          <w:i/>
        </w:rPr>
        <w:t>et al</w:t>
      </w:r>
      <w:r w:rsidRPr="007E064E">
        <w:rPr>
          <w:rFonts w:ascii="Arial" w:hAnsi="Arial" w:cs="Arial"/>
        </w:rPr>
        <w:t xml:space="preserve">., 2011; Pratima and </w:t>
      </w:r>
      <w:proofErr w:type="spellStart"/>
      <w:r w:rsidRPr="007E064E">
        <w:rPr>
          <w:rFonts w:ascii="Arial" w:hAnsi="Arial" w:cs="Arial"/>
        </w:rPr>
        <w:t>Mathad</w:t>
      </w:r>
      <w:proofErr w:type="spellEnd"/>
      <w:r w:rsidRPr="007E064E">
        <w:rPr>
          <w:rFonts w:ascii="Arial" w:hAnsi="Arial" w:cs="Arial"/>
        </w:rPr>
        <w:t xml:space="preserve">, 2011; </w:t>
      </w:r>
      <w:proofErr w:type="spellStart"/>
      <w:r w:rsidRPr="007E064E">
        <w:rPr>
          <w:rFonts w:ascii="Arial" w:hAnsi="Arial" w:cs="Arial"/>
        </w:rPr>
        <w:t>Ahomadegbe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2018; Gargi </w:t>
      </w:r>
      <w:r w:rsidRPr="007E064E">
        <w:rPr>
          <w:rFonts w:ascii="Arial" w:hAnsi="Arial" w:cs="Arial"/>
          <w:i/>
        </w:rPr>
        <w:t>et al</w:t>
      </w:r>
      <w:r w:rsidRPr="007E064E">
        <w:rPr>
          <w:rFonts w:ascii="Arial" w:hAnsi="Arial" w:cs="Arial"/>
        </w:rPr>
        <w:t xml:space="preserve">., 2022; </w:t>
      </w:r>
      <w:proofErr w:type="spellStart"/>
      <w:r w:rsidRPr="007E064E">
        <w:rPr>
          <w:rFonts w:ascii="Arial" w:hAnsi="Arial" w:cs="Arial"/>
        </w:rPr>
        <w:t>Yilwa</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2023), but pieces of information on its potential on healthcare environment multidrug-resistant bacteria that are potential etiologies are scarce. Acknowledging that the antimicrobial potential may vary with geographical, pedological and anthropological determinants, investigating through Cameroon variants appears very important. These combined knowledges could effectively guide the protocols used in controlling environment bacterial populations and mitigating the rates of HAIs in many contexts.  </w:t>
      </w:r>
    </w:p>
    <w:p w14:paraId="3FDC9A58" w14:textId="77777777" w:rsidR="00790ADA" w:rsidRPr="00ED3A6C" w:rsidRDefault="007E064E" w:rsidP="007E064E">
      <w:pPr>
        <w:pStyle w:val="Body"/>
        <w:rPr>
          <w:rFonts w:ascii="Arial" w:hAnsi="Arial" w:cs="Arial"/>
        </w:rPr>
      </w:pPr>
      <w:r w:rsidRPr="007E064E">
        <w:rPr>
          <w:rFonts w:ascii="Arial" w:hAnsi="Arial" w:cs="Arial"/>
        </w:rPr>
        <w:t xml:space="preserve">The present work focused on the antimicrobial potential of the hydroethanolic extract obtained from dried leaves of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i/>
        </w:rPr>
        <w:t xml:space="preserve">. </w:t>
      </w:r>
      <w:r w:rsidRPr="007E064E">
        <w:rPr>
          <w:rFonts w:ascii="Arial" w:hAnsi="Arial" w:cs="Arial"/>
          <w:iCs/>
        </w:rPr>
        <w:t xml:space="preserve">It was </w:t>
      </w:r>
      <w:r w:rsidRPr="007E064E">
        <w:rPr>
          <w:rFonts w:ascii="Arial" w:hAnsi="Arial" w:cs="Arial"/>
        </w:rPr>
        <w:t>conducted on selected multidrug-resistant bacteria isolated from a healthcare environment where previous studies revealed high rates of antibiotic-resistant bacteria (</w:t>
      </w:r>
      <w:proofErr w:type="spellStart"/>
      <w:r w:rsidRPr="007E064E">
        <w:rPr>
          <w:rFonts w:ascii="Arial" w:hAnsi="Arial" w:cs="Arial"/>
        </w:rPr>
        <w:t>Tchoukoua</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2018;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2023) and disinfectants-tolerant (chlorinated water (bleach), </w:t>
      </w:r>
      <w:proofErr w:type="spellStart"/>
      <w:r w:rsidRPr="007E064E">
        <w:rPr>
          <w:rFonts w:ascii="Arial" w:hAnsi="Arial" w:cs="Arial"/>
        </w:rPr>
        <w:t>Surfanios</w:t>
      </w:r>
      <w:proofErr w:type="spellEnd"/>
      <w:r w:rsidRPr="007E064E">
        <w:rPr>
          <w:rFonts w:ascii="Arial" w:hAnsi="Arial" w:cs="Arial"/>
          <w:vertAlign w:val="superscript"/>
        </w:rPr>
        <w:t>®</w:t>
      </w:r>
      <w:r w:rsidRPr="007E064E">
        <w:rPr>
          <w:rFonts w:ascii="Arial" w:hAnsi="Arial" w:cs="Arial"/>
        </w:rPr>
        <w:t>, iodine (Betadine</w:t>
      </w:r>
      <w:r w:rsidRPr="007E064E">
        <w:rPr>
          <w:rFonts w:ascii="Arial" w:hAnsi="Arial" w:cs="Arial"/>
          <w:vertAlign w:val="superscript"/>
        </w:rPr>
        <w:t>®</w:t>
      </w:r>
      <w:r w:rsidRPr="007E064E">
        <w:rPr>
          <w:rFonts w:ascii="Arial" w:hAnsi="Arial" w:cs="Arial"/>
        </w:rPr>
        <w:t>)) (</w:t>
      </w:r>
      <w:proofErr w:type="spellStart"/>
      <w:r w:rsidRPr="007E064E">
        <w:rPr>
          <w:rFonts w:ascii="Arial" w:hAnsi="Arial" w:cs="Arial"/>
        </w:rPr>
        <w:t>Seuwo</w:t>
      </w:r>
      <w:proofErr w:type="spellEnd"/>
      <w:r w:rsidRPr="007E064E">
        <w:rPr>
          <w:rFonts w:ascii="Arial" w:hAnsi="Arial" w:cs="Arial"/>
        </w:rPr>
        <w:t xml:space="preserve"> </w:t>
      </w:r>
      <w:proofErr w:type="spellStart"/>
      <w:r w:rsidRPr="007E064E">
        <w:rPr>
          <w:rFonts w:ascii="Arial" w:hAnsi="Arial" w:cs="Arial"/>
        </w:rPr>
        <w:t>Koumwou</w:t>
      </w:r>
      <w:proofErr w:type="spellEnd"/>
      <w:r w:rsidRPr="007E064E">
        <w:rPr>
          <w:rFonts w:ascii="Arial" w:hAnsi="Arial" w:cs="Arial"/>
        </w:rPr>
        <w:t xml:space="preserve"> and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2020; </w:t>
      </w:r>
      <w:proofErr w:type="spellStart"/>
      <w:r w:rsidRPr="007E064E">
        <w:rPr>
          <w:rFonts w:ascii="Arial" w:hAnsi="Arial" w:cs="Arial"/>
        </w:rPr>
        <w:t>Tsono</w:t>
      </w:r>
      <w:proofErr w:type="spellEnd"/>
      <w:r w:rsidRPr="007E064E">
        <w:rPr>
          <w:rFonts w:ascii="Arial" w:hAnsi="Arial" w:cs="Arial"/>
        </w:rPr>
        <w:t xml:space="preserve"> and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2020; Youté </w:t>
      </w:r>
      <w:r w:rsidRPr="007E064E">
        <w:rPr>
          <w:rFonts w:ascii="Arial" w:hAnsi="Arial" w:cs="Arial"/>
          <w:i/>
        </w:rPr>
        <w:t>et al</w:t>
      </w:r>
      <w:r w:rsidRPr="007E064E">
        <w:rPr>
          <w:rFonts w:ascii="Arial" w:hAnsi="Arial" w:cs="Arial"/>
        </w:rPr>
        <w:t>., 2024) strains. It is done in the framework that encompasses search for strategies and innovations that promote hygiene in healthcare facilities. The resulting findings will, therefore, guide development of cheaper and available useful onsite policies in controlling contextual microbial populations and mitigating the risk of HAIs.</w:t>
      </w:r>
    </w:p>
    <w:p w14:paraId="0D19EEEC"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36EF9C1E"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2144F036" w14:textId="77777777" w:rsidR="007E064E" w:rsidRPr="007E064E" w:rsidRDefault="007E064E" w:rsidP="007E064E">
      <w:pPr>
        <w:pStyle w:val="Body"/>
        <w:rPr>
          <w:rFonts w:ascii="Arial" w:hAnsi="Arial" w:cs="Arial"/>
        </w:rPr>
      </w:pPr>
      <w:r w:rsidRPr="007E064E">
        <w:rPr>
          <w:rFonts w:ascii="Arial" w:hAnsi="Arial" w:cs="Arial"/>
        </w:rPr>
        <w:t>This cross-sectional study was conducted between January 2</w:t>
      </w:r>
      <w:r w:rsidRPr="007E064E">
        <w:rPr>
          <w:rFonts w:ascii="Arial" w:hAnsi="Arial" w:cs="Arial"/>
          <w:vertAlign w:val="superscript"/>
        </w:rPr>
        <w:t>nd</w:t>
      </w:r>
      <w:r w:rsidRPr="007E064E">
        <w:rPr>
          <w:rFonts w:ascii="Arial" w:hAnsi="Arial" w:cs="Arial"/>
        </w:rPr>
        <w:t xml:space="preserve"> and July 2</w:t>
      </w:r>
      <w:r w:rsidRPr="007E064E">
        <w:rPr>
          <w:rFonts w:ascii="Arial" w:hAnsi="Arial" w:cs="Arial"/>
          <w:vertAlign w:val="superscript"/>
        </w:rPr>
        <w:t>nd</w:t>
      </w:r>
      <w:r w:rsidRPr="007E064E">
        <w:rPr>
          <w:rFonts w:ascii="Arial" w:hAnsi="Arial" w:cs="Arial"/>
        </w:rPr>
        <w:t xml:space="preserve">, 2024. The plant material was collected in the </w:t>
      </w:r>
      <w:proofErr w:type="spellStart"/>
      <w:r w:rsidRPr="007E064E">
        <w:rPr>
          <w:rFonts w:ascii="Arial" w:hAnsi="Arial" w:cs="Arial"/>
        </w:rPr>
        <w:t>Banekané</w:t>
      </w:r>
      <w:proofErr w:type="spellEnd"/>
      <w:r w:rsidRPr="007E064E">
        <w:rPr>
          <w:rFonts w:ascii="Arial" w:hAnsi="Arial" w:cs="Arial"/>
        </w:rPr>
        <w:t xml:space="preserve"> neighborhood (</w:t>
      </w:r>
      <w:proofErr w:type="spellStart"/>
      <w:r w:rsidRPr="007E064E">
        <w:rPr>
          <w:rFonts w:ascii="Arial" w:hAnsi="Arial" w:cs="Arial"/>
        </w:rPr>
        <w:t>Ndé</w:t>
      </w:r>
      <w:proofErr w:type="spellEnd"/>
      <w:r w:rsidRPr="007E064E">
        <w:rPr>
          <w:rFonts w:ascii="Arial" w:hAnsi="Arial" w:cs="Arial"/>
        </w:rPr>
        <w:t xml:space="preserve"> Division, West Cameroon) and the bacterial isolates recovered from environmental specimens collected in the premises of the “</w:t>
      </w:r>
      <w:proofErr w:type="spellStart"/>
      <w:r w:rsidRPr="007E064E">
        <w:rPr>
          <w:rFonts w:ascii="Arial" w:hAnsi="Arial" w:cs="Arial"/>
        </w:rPr>
        <w:t>Université</w:t>
      </w:r>
      <w:proofErr w:type="spellEnd"/>
      <w:r w:rsidRPr="007E064E">
        <w:rPr>
          <w:rFonts w:ascii="Arial" w:hAnsi="Arial" w:cs="Arial"/>
        </w:rPr>
        <w:t xml:space="preserve"> des </w:t>
      </w:r>
      <w:proofErr w:type="spellStart"/>
      <w:r w:rsidRPr="007E064E">
        <w:rPr>
          <w:rFonts w:ascii="Arial" w:hAnsi="Arial" w:cs="Arial"/>
        </w:rPr>
        <w:t>Montagnes</w:t>
      </w:r>
      <w:proofErr w:type="spellEnd"/>
      <w:r w:rsidRPr="007E064E">
        <w:rPr>
          <w:rFonts w:ascii="Arial" w:hAnsi="Arial" w:cs="Arial"/>
        </w:rPr>
        <w:t>” Teaching Hospital (</w:t>
      </w:r>
      <w:proofErr w:type="spellStart"/>
      <w:r w:rsidRPr="007E064E">
        <w:rPr>
          <w:rFonts w:ascii="Arial" w:hAnsi="Arial" w:cs="Arial"/>
        </w:rPr>
        <w:t>UdMTH</w:t>
      </w:r>
      <w:proofErr w:type="spellEnd"/>
      <w:r w:rsidRPr="007E064E">
        <w:rPr>
          <w:rFonts w:ascii="Arial" w:hAnsi="Arial" w:cs="Arial"/>
        </w:rPr>
        <w:t xml:space="preserve">). The chemical procedures on the plant extract were performed in the Laboratory of Chemistry of the </w:t>
      </w:r>
      <w:proofErr w:type="spellStart"/>
      <w:r w:rsidRPr="007E064E">
        <w:rPr>
          <w:rFonts w:ascii="Arial" w:hAnsi="Arial" w:cs="Arial"/>
        </w:rPr>
        <w:t>Université</w:t>
      </w:r>
      <w:proofErr w:type="spellEnd"/>
      <w:r w:rsidRPr="007E064E">
        <w:rPr>
          <w:rFonts w:ascii="Arial" w:hAnsi="Arial" w:cs="Arial"/>
        </w:rPr>
        <w:t xml:space="preserve"> des </w:t>
      </w:r>
      <w:proofErr w:type="spellStart"/>
      <w:r w:rsidRPr="007E064E">
        <w:rPr>
          <w:rFonts w:ascii="Arial" w:hAnsi="Arial" w:cs="Arial"/>
        </w:rPr>
        <w:t>Montagnes</w:t>
      </w:r>
      <w:proofErr w:type="spellEnd"/>
      <w:r w:rsidRPr="007E064E">
        <w:rPr>
          <w:rFonts w:ascii="Arial" w:hAnsi="Arial" w:cs="Arial"/>
        </w:rPr>
        <w:t xml:space="preserve"> (</w:t>
      </w:r>
      <w:proofErr w:type="spellStart"/>
      <w:r w:rsidRPr="007E064E">
        <w:rPr>
          <w:rFonts w:ascii="Arial" w:hAnsi="Arial" w:cs="Arial"/>
        </w:rPr>
        <w:t>UdM</w:t>
      </w:r>
      <w:proofErr w:type="spellEnd"/>
      <w:r w:rsidRPr="007E064E">
        <w:rPr>
          <w:rFonts w:ascii="Arial" w:hAnsi="Arial" w:cs="Arial"/>
        </w:rPr>
        <w:t xml:space="preserve">) and the microbiological screening in the laboratory of microbiology at the </w:t>
      </w:r>
      <w:proofErr w:type="spellStart"/>
      <w:r w:rsidRPr="007E064E">
        <w:rPr>
          <w:rFonts w:ascii="Arial" w:hAnsi="Arial" w:cs="Arial"/>
        </w:rPr>
        <w:t>UdMTH</w:t>
      </w:r>
      <w:proofErr w:type="spellEnd"/>
    </w:p>
    <w:p w14:paraId="6CBFFBC4" w14:textId="77777777" w:rsidR="00AA74E0" w:rsidRPr="00ED3A6C" w:rsidRDefault="007E064E" w:rsidP="007E064E">
      <w:pPr>
        <w:pStyle w:val="Body"/>
        <w:rPr>
          <w:rFonts w:ascii="Arial" w:hAnsi="Arial" w:cs="Arial"/>
        </w:rPr>
      </w:pPr>
      <w:r w:rsidRPr="007E064E">
        <w:rPr>
          <w:rFonts w:ascii="Arial" w:hAnsi="Arial" w:cs="Arial"/>
        </w:rPr>
        <w:t>Prior to all investigations, necessary ethical and administrative requirements were fulfilled. Namely, they were the Ethical clearance Ref. N° 2024/024/</w:t>
      </w:r>
      <w:proofErr w:type="spellStart"/>
      <w:r w:rsidRPr="007E064E">
        <w:rPr>
          <w:rFonts w:ascii="Arial" w:hAnsi="Arial" w:cs="Arial"/>
        </w:rPr>
        <w:t>UdM</w:t>
      </w:r>
      <w:proofErr w:type="spellEnd"/>
      <w:r w:rsidRPr="007E064E">
        <w:rPr>
          <w:rFonts w:ascii="Arial" w:hAnsi="Arial" w:cs="Arial"/>
        </w:rPr>
        <w:t xml:space="preserve">/PR/CEAQ delivered by the </w:t>
      </w:r>
      <w:proofErr w:type="spellStart"/>
      <w:r w:rsidRPr="007E064E">
        <w:rPr>
          <w:rFonts w:ascii="Arial" w:hAnsi="Arial" w:cs="Arial"/>
        </w:rPr>
        <w:t>UdM</w:t>
      </w:r>
      <w:proofErr w:type="spellEnd"/>
      <w:r w:rsidRPr="007E064E">
        <w:rPr>
          <w:rFonts w:ascii="Arial" w:hAnsi="Arial" w:cs="Arial"/>
        </w:rPr>
        <w:t xml:space="preserve"> ethical and quality Assurance Board, a research authorizations Ref. N° 2024/067/</w:t>
      </w:r>
      <w:proofErr w:type="spellStart"/>
      <w:r w:rsidRPr="007E064E">
        <w:rPr>
          <w:rFonts w:ascii="Arial" w:hAnsi="Arial" w:cs="Arial"/>
        </w:rPr>
        <w:t>UdM</w:t>
      </w:r>
      <w:proofErr w:type="spellEnd"/>
      <w:r w:rsidRPr="007E064E">
        <w:rPr>
          <w:rFonts w:ascii="Arial" w:hAnsi="Arial" w:cs="Arial"/>
        </w:rPr>
        <w:t>/PR/DECANAT-ISSS/PHA and 2024/224/</w:t>
      </w:r>
      <w:proofErr w:type="spellStart"/>
      <w:r w:rsidRPr="007E064E">
        <w:rPr>
          <w:rFonts w:ascii="Arial" w:hAnsi="Arial" w:cs="Arial"/>
        </w:rPr>
        <w:t>UdM</w:t>
      </w:r>
      <w:proofErr w:type="spellEnd"/>
      <w:r w:rsidRPr="007E064E">
        <w:rPr>
          <w:rFonts w:ascii="Arial" w:hAnsi="Arial" w:cs="Arial"/>
        </w:rPr>
        <w:t>/PR/DECANAT-ISSS/MED, provided by the academic authorities. These were followed by authorizations Ref N° 007/L/MINSANTE/SG/DRSPO/</w:t>
      </w:r>
      <w:proofErr w:type="spellStart"/>
      <w:r w:rsidRPr="007E064E">
        <w:rPr>
          <w:rFonts w:ascii="Arial" w:hAnsi="Arial" w:cs="Arial"/>
        </w:rPr>
        <w:t>DSBgté</w:t>
      </w:r>
      <w:proofErr w:type="spellEnd"/>
      <w:r w:rsidRPr="007E064E">
        <w:rPr>
          <w:rFonts w:ascii="Arial" w:hAnsi="Arial" w:cs="Arial"/>
        </w:rPr>
        <w:t xml:space="preserve"> and 2024/007/CUM/ADMN_GENE, respectively provided by the </w:t>
      </w:r>
      <w:proofErr w:type="spellStart"/>
      <w:r w:rsidRPr="007E064E">
        <w:rPr>
          <w:rFonts w:ascii="Arial" w:hAnsi="Arial" w:cs="Arial"/>
        </w:rPr>
        <w:t>Bangangté</w:t>
      </w:r>
      <w:proofErr w:type="spellEnd"/>
      <w:r w:rsidRPr="007E064E">
        <w:rPr>
          <w:rFonts w:ascii="Arial" w:hAnsi="Arial" w:cs="Arial"/>
        </w:rPr>
        <w:t xml:space="preserve"> District Hospital and the </w:t>
      </w:r>
      <w:proofErr w:type="spellStart"/>
      <w:r w:rsidRPr="007E064E">
        <w:rPr>
          <w:rFonts w:ascii="Arial" w:hAnsi="Arial" w:cs="Arial"/>
        </w:rPr>
        <w:t>UdMTH</w:t>
      </w:r>
      <w:proofErr w:type="spellEnd"/>
      <w:r w:rsidRPr="007E064E">
        <w:rPr>
          <w:rFonts w:ascii="Arial" w:hAnsi="Arial" w:cs="Arial"/>
        </w:rPr>
        <w:t xml:space="preserve"> heads.</w:t>
      </w:r>
      <w:r w:rsidR="00E23F0C" w:rsidRPr="00ED3A6C">
        <w:rPr>
          <w:rFonts w:ascii="Arial" w:hAnsi="Arial" w:cs="Arial"/>
        </w:rPr>
        <w:t xml:space="preserve"> </w:t>
      </w:r>
      <w:r w:rsidR="00AA74E0" w:rsidRPr="00ED3A6C">
        <w:rPr>
          <w:rFonts w:ascii="Arial" w:hAnsi="Arial" w:cs="Arial"/>
        </w:rPr>
        <w:t xml:space="preserve">  </w:t>
      </w:r>
    </w:p>
    <w:p w14:paraId="1C2A783B" w14:textId="77777777" w:rsidR="00E939AC" w:rsidRDefault="00E939AC" w:rsidP="000105FC">
      <w:pPr>
        <w:pStyle w:val="Body"/>
        <w:rPr>
          <w:b/>
          <w:szCs w:val="24"/>
        </w:rPr>
      </w:pPr>
      <w:r w:rsidRPr="00ED3A6C">
        <w:rPr>
          <w:rFonts w:ascii="Arial" w:hAnsi="Arial" w:cs="Arial"/>
          <w:b/>
          <w:caps/>
          <w:sz w:val="22"/>
        </w:rPr>
        <w:t>2.2</w:t>
      </w:r>
      <w:r w:rsidR="00A03930" w:rsidRPr="00ED3A6C">
        <w:rPr>
          <w:rFonts w:ascii="Arial" w:hAnsi="Arial" w:cs="Arial"/>
          <w:b/>
          <w:caps/>
          <w:sz w:val="22"/>
        </w:rPr>
        <w:t xml:space="preserve"> </w:t>
      </w:r>
      <w:r w:rsidR="007E064E" w:rsidRPr="0048445D">
        <w:rPr>
          <w:b/>
          <w:szCs w:val="24"/>
        </w:rPr>
        <w:t>Setting up the useful bacterial pool</w:t>
      </w:r>
    </w:p>
    <w:p w14:paraId="245323CF" w14:textId="77777777" w:rsidR="007E064E" w:rsidRPr="00ED3A6C" w:rsidRDefault="007E064E" w:rsidP="000105FC">
      <w:pPr>
        <w:pStyle w:val="Body"/>
        <w:rPr>
          <w:rFonts w:ascii="Arial" w:hAnsi="Arial" w:cs="Arial"/>
        </w:rPr>
      </w:pPr>
      <w:r>
        <w:rPr>
          <w:b/>
          <w:szCs w:val="24"/>
        </w:rPr>
        <w:t xml:space="preserve">2.2.1 </w:t>
      </w:r>
      <w:r w:rsidRPr="0048445D">
        <w:rPr>
          <w:b/>
          <w:szCs w:val="24"/>
        </w:rPr>
        <w:t>Sample collection, transport and storage</w:t>
      </w:r>
    </w:p>
    <w:p w14:paraId="249194C4" w14:textId="77777777" w:rsidR="007E064E" w:rsidRPr="007E064E" w:rsidRDefault="007E064E" w:rsidP="007E064E">
      <w:pPr>
        <w:pStyle w:val="Body"/>
        <w:rPr>
          <w:rFonts w:ascii="Arial" w:hAnsi="Arial" w:cs="Arial"/>
        </w:rPr>
      </w:pPr>
      <w:r w:rsidRPr="007E064E">
        <w:rPr>
          <w:rFonts w:ascii="Arial" w:hAnsi="Arial" w:cs="Arial"/>
        </w:rPr>
        <w:t xml:space="preserve">The bacterial used in the present work were isolated from surfaces and from ambient air in the operating room, the shared external sanitation room, the childbirth room, the hospitalization rooms, the biomedical analysis laboratory premises and the minor surgery room. </w:t>
      </w:r>
    </w:p>
    <w:p w14:paraId="0004F182" w14:textId="77777777" w:rsidR="00E23F0C" w:rsidRDefault="007E064E" w:rsidP="007E064E">
      <w:pPr>
        <w:pStyle w:val="Body"/>
        <w:rPr>
          <w:rFonts w:ascii="Arial" w:hAnsi="Arial" w:cs="Arial"/>
        </w:rPr>
      </w:pPr>
      <w:r w:rsidRPr="007E064E">
        <w:rPr>
          <w:rFonts w:ascii="Arial" w:hAnsi="Arial" w:cs="Arial"/>
        </w:rPr>
        <w:t>To collect surface bacteria, the adjusted wet swabbing procedure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2021, Youté </w:t>
      </w:r>
      <w:r w:rsidRPr="007E064E">
        <w:rPr>
          <w:rFonts w:ascii="Arial" w:hAnsi="Arial" w:cs="Arial"/>
          <w:i/>
        </w:rPr>
        <w:t>et al</w:t>
      </w:r>
      <w:r w:rsidRPr="007E064E">
        <w:rPr>
          <w:rFonts w:ascii="Arial" w:hAnsi="Arial" w:cs="Arial"/>
        </w:rPr>
        <w:t>., 2024) was used on the surfaces of beds, scialytic, hand-washing units, oxygenators, instrument tables, door handles, laboratory benches and baby weight scales. Ambient air bacteria were collected by passive sedimentation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2023), on agar in Petri dishes with contact time “agar - air” of 24 hrs. Namely, the culture media used were Mannitol Salt, McConkey and Cetrimide agars. Specimen collection was done in the morning before the start of day-time activities, twice on separate days for each sample point. The collected specimens were immediately conveyed to the laboratory for microbial screening according to standard protocols.</w:t>
      </w:r>
    </w:p>
    <w:p w14:paraId="58B1B495" w14:textId="77777777" w:rsidR="007E064E" w:rsidRPr="00ED3A6C" w:rsidRDefault="007E064E" w:rsidP="007E064E">
      <w:pPr>
        <w:pStyle w:val="Body"/>
        <w:rPr>
          <w:rFonts w:ascii="Arial" w:hAnsi="Arial" w:cs="Arial"/>
        </w:rPr>
      </w:pPr>
      <w:r>
        <w:rPr>
          <w:b/>
          <w:szCs w:val="24"/>
        </w:rPr>
        <w:t xml:space="preserve">2.2.2 </w:t>
      </w:r>
      <w:r w:rsidRPr="0048445D">
        <w:rPr>
          <w:b/>
          <w:szCs w:val="24"/>
        </w:rPr>
        <w:t>Bacterial screening of specimens</w:t>
      </w:r>
    </w:p>
    <w:p w14:paraId="3469A65A" w14:textId="77777777" w:rsidR="007E064E" w:rsidRPr="00ED3A6C" w:rsidRDefault="007E064E" w:rsidP="007E064E">
      <w:pPr>
        <w:pStyle w:val="Body"/>
        <w:rPr>
          <w:rFonts w:ascii="Arial" w:hAnsi="Arial" w:cs="Arial"/>
        </w:rPr>
      </w:pPr>
      <w:r w:rsidRPr="0048445D">
        <w:rPr>
          <w:szCs w:val="24"/>
        </w:rPr>
        <w:lastRenderedPageBreak/>
        <w:t>Collected specimens were processed according to usual principles</w:t>
      </w:r>
      <w:r>
        <w:rPr>
          <w:szCs w:val="24"/>
        </w:rPr>
        <w:t xml:space="preserve"> (Denis </w:t>
      </w:r>
      <w:r>
        <w:rPr>
          <w:i/>
          <w:szCs w:val="24"/>
        </w:rPr>
        <w:t>et al</w:t>
      </w:r>
      <w:r>
        <w:rPr>
          <w:szCs w:val="24"/>
        </w:rPr>
        <w:t>., 2011)</w:t>
      </w:r>
      <w:r w:rsidRPr="0048445D">
        <w:rPr>
          <w:szCs w:val="24"/>
        </w:rPr>
        <w:t xml:space="preserve"> of standard analysis protocols; with </w:t>
      </w:r>
      <w:r w:rsidRPr="0048445D">
        <w:rPr>
          <w:i/>
          <w:szCs w:val="24"/>
        </w:rPr>
        <w:t>Staphylococcus aureus</w:t>
      </w:r>
      <w:r w:rsidRPr="0048445D">
        <w:rPr>
          <w:szCs w:val="24"/>
        </w:rPr>
        <w:t xml:space="preserve"> ATCC 29213 and </w:t>
      </w:r>
      <w:r w:rsidRPr="0048445D">
        <w:rPr>
          <w:i/>
          <w:szCs w:val="24"/>
        </w:rPr>
        <w:t>Escherichia coli</w:t>
      </w:r>
      <w:r w:rsidRPr="0048445D">
        <w:rPr>
          <w:szCs w:val="24"/>
        </w:rPr>
        <w:t xml:space="preserve"> ATCC 25922 as references bacterial strains used in quality control throughout the process of identification and susceptibility testing.</w:t>
      </w:r>
    </w:p>
    <w:p w14:paraId="541F9373" w14:textId="77777777" w:rsidR="007E064E" w:rsidRPr="00ED3A6C" w:rsidRDefault="007E064E" w:rsidP="007E064E">
      <w:pPr>
        <w:pStyle w:val="Body"/>
        <w:rPr>
          <w:rFonts w:ascii="Arial" w:hAnsi="Arial" w:cs="Arial"/>
        </w:rPr>
      </w:pPr>
      <w:r>
        <w:rPr>
          <w:b/>
          <w:szCs w:val="24"/>
        </w:rPr>
        <w:t xml:space="preserve">2.2.2.1 </w:t>
      </w:r>
      <w:r w:rsidRPr="007E064E">
        <w:rPr>
          <w:b/>
          <w:szCs w:val="24"/>
        </w:rPr>
        <w:t>Culture</w:t>
      </w:r>
    </w:p>
    <w:p w14:paraId="5A688AED" w14:textId="77777777" w:rsidR="007E064E" w:rsidRDefault="007E064E" w:rsidP="007E064E">
      <w:pPr>
        <w:pStyle w:val="Body"/>
        <w:rPr>
          <w:szCs w:val="24"/>
        </w:rPr>
      </w:pPr>
      <w:r w:rsidRPr="007E064E">
        <w:rPr>
          <w:szCs w:val="24"/>
        </w:rPr>
        <w:t>In the laboratory, Petri dishes with passively sedimented microbes were directly incubated aerobically for 24 hours at 37°C. For swabs, the cotton swab was aseptically broken off and immersed into a test tube containing 2 mL sterile physiological saline (0.9% NaCl), then vigorously shaken with a vortex agitator. Each resulting suspension was then inoculated onto Mannitol Salt, McConkey and Cetrimide agars using the streak-in-quadrant method. All inoculated media were thereafter, incubated aerobically at 37°C for 24 hours.</w:t>
      </w:r>
    </w:p>
    <w:p w14:paraId="77A6925E" w14:textId="77777777" w:rsidR="007E064E" w:rsidRPr="00ED3A6C" w:rsidRDefault="007E064E" w:rsidP="007E064E">
      <w:pPr>
        <w:pStyle w:val="Body"/>
        <w:rPr>
          <w:rFonts w:ascii="Arial" w:hAnsi="Arial" w:cs="Arial"/>
        </w:rPr>
      </w:pPr>
      <w:r>
        <w:rPr>
          <w:b/>
          <w:szCs w:val="24"/>
        </w:rPr>
        <w:t xml:space="preserve">2.2.2.2 </w:t>
      </w:r>
      <w:r w:rsidRPr="0048445D">
        <w:rPr>
          <w:b/>
          <w:szCs w:val="24"/>
        </w:rPr>
        <w:t>Bacterial identification</w:t>
      </w:r>
    </w:p>
    <w:p w14:paraId="4C4A0C0B" w14:textId="77777777" w:rsidR="007E064E" w:rsidRDefault="007E064E" w:rsidP="007E064E">
      <w:pPr>
        <w:pStyle w:val="Body"/>
        <w:rPr>
          <w:szCs w:val="24"/>
        </w:rPr>
      </w:pPr>
      <w:r w:rsidRPr="007E064E">
        <w:rPr>
          <w:szCs w:val="24"/>
        </w:rPr>
        <w:t>After incubation, biochemical tests followed macroscopic and microscopic orientations in the identifications of recovered isolates globally. Other identification variables depended on major bacterial types. Accordingly, the catalase, the DNase and the coagulase tests were used for Gram-positive cocci. For Gram-negative rods, the gallery of tests included the fermentation of carbohydrates (mannitol, glucose, and lactose), motility, citrate metabolism, urea degradation, indole production, tryptophanase production, H</w:t>
      </w:r>
      <w:r w:rsidRPr="007E064E">
        <w:rPr>
          <w:szCs w:val="24"/>
          <w:vertAlign w:val="subscript"/>
        </w:rPr>
        <w:t>2</w:t>
      </w:r>
      <w:r w:rsidRPr="007E064E">
        <w:rPr>
          <w:szCs w:val="24"/>
        </w:rPr>
        <w:t>S production, oxidase, and gas production. Identification of Gram-positive rods (GPR) was limited to microscopy.</w:t>
      </w:r>
    </w:p>
    <w:p w14:paraId="4FBCF16A" w14:textId="77777777" w:rsidR="007E064E" w:rsidRPr="00ED3A6C" w:rsidRDefault="007E064E" w:rsidP="007E064E">
      <w:pPr>
        <w:pStyle w:val="Body"/>
        <w:rPr>
          <w:rFonts w:ascii="Arial" w:hAnsi="Arial" w:cs="Arial"/>
        </w:rPr>
      </w:pPr>
      <w:r>
        <w:rPr>
          <w:b/>
          <w:szCs w:val="24"/>
        </w:rPr>
        <w:t xml:space="preserve">2.2.2.3 </w:t>
      </w:r>
      <w:r w:rsidRPr="0048445D">
        <w:rPr>
          <w:b/>
          <w:szCs w:val="24"/>
        </w:rPr>
        <w:t>Antibiotics susceptibility tests</w:t>
      </w:r>
    </w:p>
    <w:p w14:paraId="1E864D2C" w14:textId="77777777" w:rsidR="007E064E" w:rsidRDefault="007E064E" w:rsidP="007E064E">
      <w:pPr>
        <w:pStyle w:val="Body"/>
        <w:rPr>
          <w:szCs w:val="24"/>
        </w:rPr>
      </w:pPr>
      <w:r w:rsidRPr="007E064E">
        <w:rPr>
          <w:szCs w:val="24"/>
        </w:rPr>
        <w:t>After identification, each isolate was sub-cultured (37°C for 24h) on nutrient agar. With the 24 h-fresh population, the susceptibility tests were carried out by standard disk diffusion according to the “</w:t>
      </w:r>
      <w:proofErr w:type="spellStart"/>
      <w:r w:rsidRPr="007E064E">
        <w:rPr>
          <w:szCs w:val="24"/>
        </w:rPr>
        <w:t>Comité</w:t>
      </w:r>
      <w:proofErr w:type="spellEnd"/>
      <w:r w:rsidRPr="007E064E">
        <w:rPr>
          <w:szCs w:val="24"/>
        </w:rPr>
        <w:t xml:space="preserve"> de </w:t>
      </w:r>
      <w:proofErr w:type="spellStart"/>
      <w:r w:rsidRPr="007E064E">
        <w:rPr>
          <w:szCs w:val="24"/>
        </w:rPr>
        <w:t>l'Antibiogramme</w:t>
      </w:r>
      <w:proofErr w:type="spellEnd"/>
      <w:r w:rsidRPr="007E064E">
        <w:rPr>
          <w:szCs w:val="24"/>
        </w:rPr>
        <w:t xml:space="preserve"> de la Société Française de Microbiologie, EUCAST” (CASFM, 2023). Seventeen conventional antibacterial agents were used on the bacterial pool. Namely, they were Amoxicillin (20 or 25 µg), Amoxicillin/Clavulanic acid (20/10 µg), Aztreonam (30 µg), Cefixime (5 µg), Cefotaxime (5 µg), Cefoxitin (30 µg), Ceftriaxone (30 µg), Ciprofloxacin (5 µg), Clindamycin (2 µg), Erythromycin (15 µg), Gentamicin (10 µg), Imipenem (10 µg), Levofloxacin (5 µg), Penicillin G (10 U), Tetracycline (30 µg), Ticarcillin (75 µg), Trimethoprim/Sulfamethoxazole (1.75/23.25 µg). For the clinical categorization of GPR isolates and the Penicillin G (10 U) testing, the 2013 recommendations of the CASFM (CASFM, 2013) were followed.</w:t>
      </w:r>
    </w:p>
    <w:p w14:paraId="214B4669" w14:textId="77777777" w:rsidR="00E939AC" w:rsidRPr="00ED3A6C" w:rsidRDefault="00E939AC" w:rsidP="000105FC">
      <w:pPr>
        <w:pStyle w:val="Body"/>
        <w:rPr>
          <w:rFonts w:ascii="Arial" w:hAnsi="Arial" w:cs="Arial"/>
          <w:b/>
          <w:sz w:val="22"/>
        </w:rPr>
      </w:pPr>
      <w:r w:rsidRPr="00ED3A6C">
        <w:rPr>
          <w:rFonts w:ascii="Arial" w:hAnsi="Arial" w:cs="Arial"/>
          <w:b/>
          <w:caps/>
          <w:sz w:val="22"/>
        </w:rPr>
        <w:t>2.3</w:t>
      </w:r>
      <w:r w:rsidR="00A03930" w:rsidRPr="00ED3A6C">
        <w:rPr>
          <w:rFonts w:ascii="Arial" w:hAnsi="Arial" w:cs="Arial"/>
          <w:b/>
          <w:caps/>
          <w:sz w:val="22"/>
        </w:rPr>
        <w:t xml:space="preserve"> </w:t>
      </w:r>
      <w:r w:rsidR="007E064E" w:rsidRPr="0048445D">
        <w:rPr>
          <w:b/>
          <w:szCs w:val="24"/>
        </w:rPr>
        <w:t xml:space="preserve">Production of hydroethanolic extract from dried leaves of </w:t>
      </w:r>
      <w:proofErr w:type="spellStart"/>
      <w:r w:rsidR="007E064E" w:rsidRPr="0048445D">
        <w:rPr>
          <w:b/>
          <w:i/>
          <w:szCs w:val="24"/>
        </w:rPr>
        <w:t>Cajanus</w:t>
      </w:r>
      <w:proofErr w:type="spellEnd"/>
      <w:r w:rsidR="007E064E" w:rsidRPr="0048445D">
        <w:rPr>
          <w:b/>
          <w:i/>
          <w:szCs w:val="24"/>
        </w:rPr>
        <w:t xml:space="preserve"> </w:t>
      </w:r>
      <w:proofErr w:type="spellStart"/>
      <w:r w:rsidR="007E064E" w:rsidRPr="0048445D">
        <w:rPr>
          <w:b/>
          <w:i/>
          <w:szCs w:val="24"/>
        </w:rPr>
        <w:t>cajan</w:t>
      </w:r>
      <w:proofErr w:type="spellEnd"/>
      <w:r w:rsidR="00A03930" w:rsidRPr="00ED3A6C">
        <w:rPr>
          <w:rFonts w:ascii="Arial" w:hAnsi="Arial" w:cs="Arial"/>
          <w:b/>
          <w:sz w:val="22"/>
        </w:rPr>
        <w:t xml:space="preserve"> </w:t>
      </w:r>
    </w:p>
    <w:p w14:paraId="5FD8F12D" w14:textId="77777777" w:rsidR="00860FA1" w:rsidRPr="00ED3A6C" w:rsidRDefault="00860FA1" w:rsidP="00860FA1">
      <w:pPr>
        <w:pStyle w:val="Body"/>
        <w:rPr>
          <w:rFonts w:ascii="Arial" w:hAnsi="Arial" w:cs="Arial"/>
        </w:rPr>
      </w:pPr>
      <w:r>
        <w:rPr>
          <w:b/>
          <w:szCs w:val="24"/>
        </w:rPr>
        <w:t xml:space="preserve">2.3.1 </w:t>
      </w:r>
      <w:r w:rsidRPr="0048445D">
        <w:rPr>
          <w:b/>
          <w:szCs w:val="24"/>
        </w:rPr>
        <w:t>Harvesting and identification of plant material</w:t>
      </w:r>
    </w:p>
    <w:p w14:paraId="20A92CAF" w14:textId="77777777" w:rsidR="00860FA1" w:rsidRDefault="00860FA1" w:rsidP="00860FA1">
      <w:pPr>
        <w:pStyle w:val="Body"/>
        <w:rPr>
          <w:rFonts w:ascii="Arial" w:hAnsi="Arial" w:cs="Arial"/>
        </w:rPr>
      </w:pPr>
      <w:r w:rsidRPr="00860FA1">
        <w:rPr>
          <w:rFonts w:ascii="Arial" w:hAnsi="Arial" w:cs="Arial"/>
          <w:iCs/>
        </w:rPr>
        <w:t>The</w:t>
      </w:r>
      <w:r w:rsidRPr="00860FA1">
        <w:rPr>
          <w:rFonts w:ascii="Arial" w:hAnsi="Arial" w:cs="Arial"/>
          <w:i/>
        </w:rPr>
        <w:t xml:space="preserve">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leaves were collected in January 2024 from a farm in </w:t>
      </w:r>
      <w:proofErr w:type="spellStart"/>
      <w:r w:rsidRPr="00860FA1">
        <w:rPr>
          <w:rFonts w:ascii="Arial" w:hAnsi="Arial" w:cs="Arial"/>
        </w:rPr>
        <w:t>Banekané</w:t>
      </w:r>
      <w:proofErr w:type="spellEnd"/>
      <w:r w:rsidRPr="00860FA1">
        <w:rPr>
          <w:rFonts w:ascii="Arial" w:hAnsi="Arial" w:cs="Arial"/>
        </w:rPr>
        <w:t xml:space="preserve"> with the farm owner authorization. Under cover of identification certificate N° 063/IRAD/DG/CRA-MB/SS-BOT/</w:t>
      </w:r>
      <w:proofErr w:type="spellStart"/>
      <w:r w:rsidRPr="00860FA1">
        <w:rPr>
          <w:rFonts w:ascii="Arial" w:hAnsi="Arial" w:cs="Arial"/>
        </w:rPr>
        <w:t>SFlo</w:t>
      </w:r>
      <w:proofErr w:type="spellEnd"/>
      <w:r w:rsidRPr="00860FA1">
        <w:rPr>
          <w:rFonts w:ascii="Arial" w:hAnsi="Arial" w:cs="Arial"/>
        </w:rPr>
        <w:t xml:space="preserve">-UR-PV/02/2024, these leaves were identified at the Cameroon National Herbarium, Yaoundé-Cameroon, as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w:t>
      </w:r>
      <w:r w:rsidRPr="00860FA1">
        <w:rPr>
          <w:rFonts w:ascii="Arial" w:hAnsi="Arial" w:cs="Arial"/>
          <w:i/>
        </w:rPr>
        <w:t>Fabaceae</w:t>
      </w:r>
      <w:r w:rsidRPr="00860FA1">
        <w:rPr>
          <w:rFonts w:ascii="Arial" w:hAnsi="Arial" w:cs="Arial"/>
        </w:rPr>
        <w:t>) in comparison with the original material reference N° 40324/HNC registered under N° 296.</w:t>
      </w:r>
    </w:p>
    <w:p w14:paraId="1523E72E" w14:textId="77777777" w:rsidR="00860FA1" w:rsidRPr="00860FA1" w:rsidRDefault="00860FA1" w:rsidP="00860FA1">
      <w:pPr>
        <w:pStyle w:val="Body"/>
        <w:rPr>
          <w:rFonts w:ascii="Arial" w:hAnsi="Arial" w:cs="Arial"/>
          <w:lang w:val="fr-FR"/>
        </w:rPr>
      </w:pPr>
      <w:r w:rsidRPr="00860FA1">
        <w:rPr>
          <w:b/>
          <w:szCs w:val="24"/>
          <w:lang w:val="fr-FR"/>
        </w:rPr>
        <w:t xml:space="preserve">2.3.2 </w:t>
      </w:r>
      <w:proofErr w:type="spellStart"/>
      <w:r w:rsidRPr="00860FA1">
        <w:rPr>
          <w:b/>
          <w:szCs w:val="24"/>
          <w:lang w:val="fr-FR"/>
        </w:rPr>
        <w:t>Hydroethanolic</w:t>
      </w:r>
      <w:proofErr w:type="spellEnd"/>
      <w:r w:rsidRPr="00860FA1">
        <w:rPr>
          <w:b/>
          <w:szCs w:val="24"/>
          <w:lang w:val="fr-FR"/>
        </w:rPr>
        <w:t xml:space="preserve"> extraction (</w:t>
      </w:r>
      <w:proofErr w:type="spellStart"/>
      <w:r w:rsidRPr="00860FA1">
        <w:rPr>
          <w:b/>
          <w:szCs w:val="24"/>
          <w:lang w:val="fr-FR"/>
        </w:rPr>
        <w:t>maceration</w:t>
      </w:r>
      <w:proofErr w:type="spellEnd"/>
      <w:r w:rsidRPr="00860FA1">
        <w:rPr>
          <w:b/>
          <w:szCs w:val="24"/>
          <w:lang w:val="fr-FR"/>
        </w:rPr>
        <w:t>)</w:t>
      </w:r>
    </w:p>
    <w:p w14:paraId="1D688CA1" w14:textId="77777777" w:rsidR="00860FA1" w:rsidRPr="00860FA1" w:rsidRDefault="00860FA1" w:rsidP="00860FA1">
      <w:pPr>
        <w:pStyle w:val="Body"/>
        <w:rPr>
          <w:szCs w:val="24"/>
        </w:rPr>
      </w:pPr>
      <w:r w:rsidRPr="003C1A38">
        <w:rPr>
          <w:szCs w:val="24"/>
          <w:lang w:val="fr-FR"/>
        </w:rPr>
        <w:t xml:space="preserve">Koné </w:t>
      </w:r>
      <w:r w:rsidRPr="003C1A38">
        <w:rPr>
          <w:i/>
          <w:szCs w:val="24"/>
          <w:lang w:val="fr-FR"/>
        </w:rPr>
        <w:t>et al</w:t>
      </w:r>
      <w:r w:rsidRPr="003C1A38">
        <w:rPr>
          <w:szCs w:val="24"/>
          <w:lang w:val="fr-FR"/>
        </w:rPr>
        <w:t xml:space="preserve">. </w:t>
      </w:r>
      <w:r w:rsidRPr="00860FA1">
        <w:rPr>
          <w:szCs w:val="24"/>
        </w:rPr>
        <w:t xml:space="preserve">(2017) guidelines on factors influencing maceration [29] were observed in this preparation. First, the harvested leaves were carefully cleaned (cleared of debris, washed with clean water and drained). The cleaned leaves were dried in an oven (28°C and 61% humidity) reducing thereby, the total mass of the leaves from 8.6 kg to 2.3 kg. </w:t>
      </w:r>
    </w:p>
    <w:p w14:paraId="4EE7C9D0" w14:textId="77777777" w:rsidR="00860FA1" w:rsidRPr="00ED3A6C" w:rsidRDefault="00860FA1" w:rsidP="00860FA1">
      <w:pPr>
        <w:pStyle w:val="Body"/>
        <w:rPr>
          <w:rFonts w:ascii="Arial" w:hAnsi="Arial" w:cs="Arial"/>
        </w:rPr>
      </w:pPr>
      <w:r w:rsidRPr="00860FA1">
        <w:rPr>
          <w:szCs w:val="24"/>
        </w:rPr>
        <w:t>After the dried leaves were completely ground, a fraction (500g) of crushed material was macerated for 48 h in 7 L of a hydroethanolic mixture (2.5 L distilled water + 4.5 L absolute ethanol) for two days. Subsequent to maceration, the mixture was filtered through a Whatman No. 1 paper. The resulting filtrate was dried at 45°C for 72 hours. The final product weighed 97.4 g for an extraction yield of 19.48%, and appeared as small green granules.</w:t>
      </w:r>
    </w:p>
    <w:p w14:paraId="2D361BC9"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2.4 </w:t>
      </w:r>
      <w:r w:rsidR="00860FA1" w:rsidRPr="0048445D">
        <w:rPr>
          <w:b/>
          <w:szCs w:val="24"/>
        </w:rPr>
        <w:t>Phytochemical screening</w:t>
      </w:r>
      <w:r w:rsidRPr="00ED3A6C">
        <w:rPr>
          <w:rFonts w:ascii="Arial" w:hAnsi="Arial" w:cs="Arial"/>
          <w:b/>
          <w:sz w:val="22"/>
        </w:rPr>
        <w:t xml:space="preserve"> </w:t>
      </w:r>
    </w:p>
    <w:p w14:paraId="0FD4C517" w14:textId="77777777" w:rsidR="00C15FA3" w:rsidRDefault="00860FA1" w:rsidP="00EA750E">
      <w:pPr>
        <w:pStyle w:val="Body"/>
      </w:pPr>
      <w:r w:rsidRPr="00860FA1">
        <w:lastRenderedPageBreak/>
        <w:t>This screening was carried according to previous investigations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xml:space="preserve">., 2023; </w:t>
      </w:r>
      <w:proofErr w:type="spellStart"/>
      <w:r w:rsidRPr="00860FA1">
        <w:t>Deumi</w:t>
      </w:r>
      <w:proofErr w:type="spellEnd"/>
      <w:r w:rsidRPr="00860FA1">
        <w:t xml:space="preserve"> </w:t>
      </w:r>
      <w:proofErr w:type="spellStart"/>
      <w:r w:rsidRPr="00860FA1">
        <w:t>Monthe</w:t>
      </w:r>
      <w:proofErr w:type="spellEnd"/>
      <w:r w:rsidRPr="00860FA1">
        <w:t xml:space="preserve"> </w:t>
      </w:r>
      <w:r w:rsidRPr="00860FA1">
        <w:rPr>
          <w:i/>
        </w:rPr>
        <w:t>et al</w:t>
      </w:r>
      <w:r w:rsidRPr="00860FA1">
        <w:t xml:space="preserve">., 2023). The groups of metabolites screened for were alkaloids, flavonoids, polyphenols, saponins, anthocyanins, </w:t>
      </w:r>
      <w:proofErr w:type="spellStart"/>
      <w:r w:rsidRPr="00860FA1">
        <w:t>catechic</w:t>
      </w:r>
      <w:proofErr w:type="spellEnd"/>
      <w:r w:rsidRPr="00860FA1">
        <w:t xml:space="preserve"> and gallic tannins, bound and free </w:t>
      </w:r>
      <w:r>
        <w:t>quinones, sterols and terpenes</w:t>
      </w:r>
      <w:r w:rsidR="00EA750E">
        <w:t>.</w:t>
      </w:r>
    </w:p>
    <w:p w14:paraId="7099B960" w14:textId="77777777" w:rsidR="00860FA1" w:rsidRPr="00ED3A6C" w:rsidRDefault="00860FA1" w:rsidP="00860FA1">
      <w:pPr>
        <w:pStyle w:val="Body"/>
        <w:rPr>
          <w:rFonts w:ascii="Arial" w:hAnsi="Arial" w:cs="Arial"/>
          <w:b/>
          <w:sz w:val="22"/>
        </w:rPr>
      </w:pPr>
      <w:r>
        <w:rPr>
          <w:rFonts w:ascii="Arial" w:hAnsi="Arial" w:cs="Arial"/>
          <w:b/>
          <w:caps/>
          <w:sz w:val="22"/>
        </w:rPr>
        <w:t>2.5</w:t>
      </w:r>
      <w:r w:rsidRPr="00ED3A6C">
        <w:rPr>
          <w:rFonts w:ascii="Arial" w:hAnsi="Arial" w:cs="Arial"/>
          <w:b/>
          <w:caps/>
          <w:sz w:val="22"/>
        </w:rPr>
        <w:t xml:space="preserve"> </w:t>
      </w:r>
      <w:r w:rsidRPr="0048445D">
        <w:rPr>
          <w:b/>
          <w:szCs w:val="24"/>
        </w:rPr>
        <w:t>Determining the minimal inhibitory, minimal bactericidal concentrations and categorizing the extract activity</w:t>
      </w:r>
      <w:r w:rsidRPr="00ED3A6C">
        <w:rPr>
          <w:rFonts w:ascii="Arial" w:hAnsi="Arial" w:cs="Arial"/>
          <w:b/>
          <w:sz w:val="22"/>
        </w:rPr>
        <w:t xml:space="preserve"> </w:t>
      </w:r>
    </w:p>
    <w:p w14:paraId="546996A7" w14:textId="77777777" w:rsidR="00860FA1" w:rsidRPr="00860FA1" w:rsidRDefault="00860FA1" w:rsidP="00860FA1">
      <w:pPr>
        <w:pStyle w:val="Body"/>
      </w:pPr>
      <w:r w:rsidRPr="00860FA1">
        <w:t>This was carried out according to the 2-step scaled serial dilution principles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xml:space="preserve">., 2023) with the following slight adjustments. </w:t>
      </w:r>
      <w:r>
        <w:t xml:space="preserve">The adjustments </w:t>
      </w:r>
      <w:proofErr w:type="gramStart"/>
      <w:r>
        <w:t>were:</w:t>
      </w:r>
      <w:r w:rsidRPr="00860FA1">
        <w:t>-</w:t>
      </w:r>
      <w:proofErr w:type="gramEnd"/>
      <w:r w:rsidRPr="00860FA1">
        <w:t xml:space="preserve">1- The initial extract concentration used 400 mg/mL; prepared in a 50% dimethyl sulfoxide solution. -2.1- The minimal inhibitory concentration (MIC) was determined on Müller Hilton agar in glass test tubes maintained in a water bath (65°C) during the serial dilution procedure. Upon completion, the preparations were kept at room temperature where they solidified with a slope -2.2- over the medium slope, 15 µL of the bacterial inoculum extemporary prepared at 0.5 McFarland were streaked. These preparations in tubes were then incubated aerobically at 37°C for 24 hours. -2.3- Upon incubation completion, the MIC was identified as the lowest concentration of the extract for which no visible bacterial growth was recorded. -3- The minimal bactericidal concentration (MBC) was determined in liquid medium: two milliliters of sterile Müller Hilton broth, were dispensed in all dilutions where no visible growth was recorded during the MIC procedure, and all were </w:t>
      </w:r>
      <w:proofErr w:type="spellStart"/>
      <w:r w:rsidRPr="00860FA1">
        <w:t>reincubated</w:t>
      </w:r>
      <w:proofErr w:type="spellEnd"/>
      <w:r w:rsidRPr="00860FA1">
        <w:t xml:space="preserve"> at 37°C for 24 h. The MBC of the extract was eventually identified as the lowed concentration in which no turbidity was recorded in the overlaying broth.   </w:t>
      </w:r>
    </w:p>
    <w:p w14:paraId="71C56B64" w14:textId="77777777" w:rsidR="00860FA1" w:rsidRPr="00ED3A6C" w:rsidRDefault="00860FA1" w:rsidP="00860FA1">
      <w:pPr>
        <w:pStyle w:val="Body"/>
        <w:rPr>
          <w:rFonts w:ascii="Arial" w:hAnsi="Arial" w:cs="Arial"/>
        </w:rPr>
      </w:pPr>
      <w:r w:rsidRPr="00860FA1">
        <w:t>Categorization as bactericidal and bacteriostatic was finally done according to previous related protocols, guided by positive and negative control tests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2023).</w:t>
      </w:r>
    </w:p>
    <w:p w14:paraId="3DB5DCA8"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2.6 </w:t>
      </w:r>
      <w:r w:rsidR="00EA750E">
        <w:rPr>
          <w:b/>
        </w:rPr>
        <w:t>Data analysis</w:t>
      </w:r>
      <w:r w:rsidRPr="00ED3A6C">
        <w:rPr>
          <w:rFonts w:ascii="Arial" w:hAnsi="Arial" w:cs="Arial"/>
          <w:b/>
          <w:sz w:val="22"/>
        </w:rPr>
        <w:t xml:space="preserve"> </w:t>
      </w:r>
    </w:p>
    <w:p w14:paraId="04DEE04B" w14:textId="77777777" w:rsidR="00A03930" w:rsidRPr="00ED3A6C" w:rsidRDefault="00860FA1" w:rsidP="007C042A">
      <w:pPr>
        <w:pStyle w:val="Body"/>
        <w:rPr>
          <w:rFonts w:ascii="Arial" w:hAnsi="Arial" w:cs="Arial"/>
        </w:rPr>
      </w:pPr>
      <w:r w:rsidRPr="0048445D">
        <w:rPr>
          <w:rFonts w:eastAsia="Calibri"/>
          <w:szCs w:val="24"/>
          <w:lang w:eastAsia="en-GB"/>
        </w:rPr>
        <w:t>The study useful variables included</w:t>
      </w:r>
      <w:r>
        <w:rPr>
          <w:rFonts w:eastAsia="Calibri"/>
          <w:szCs w:val="24"/>
          <w:lang w:eastAsia="en-GB"/>
        </w:rPr>
        <w:t xml:space="preserve"> bacterial groups,</w:t>
      </w:r>
      <w:r w:rsidRPr="0048445D">
        <w:rPr>
          <w:rFonts w:eastAsia="Calibri"/>
          <w:szCs w:val="24"/>
          <w:lang w:eastAsia="en-GB"/>
        </w:rPr>
        <w:t xml:space="preserve"> </w:t>
      </w:r>
      <w:r w:rsidRPr="00BA5C33">
        <w:rPr>
          <w:szCs w:val="24"/>
          <w:lang w:eastAsia="fr-FR"/>
        </w:rPr>
        <w:t>clinical categories (susceptible</w:t>
      </w:r>
      <w:r>
        <w:rPr>
          <w:szCs w:val="24"/>
          <w:lang w:eastAsia="fr-FR"/>
        </w:rPr>
        <w:t xml:space="preserve">, </w:t>
      </w:r>
      <w:r w:rsidRPr="00BA5C33">
        <w:rPr>
          <w:szCs w:val="24"/>
          <w:lang w:eastAsia="fr-FR"/>
        </w:rPr>
        <w:t>susceptible at high posology</w:t>
      </w:r>
      <w:r>
        <w:rPr>
          <w:szCs w:val="24"/>
          <w:lang w:eastAsia="fr-FR"/>
        </w:rPr>
        <w:t xml:space="preserve">, and </w:t>
      </w:r>
      <w:r w:rsidRPr="00BA5C33">
        <w:rPr>
          <w:szCs w:val="24"/>
          <w:lang w:eastAsia="fr-FR"/>
        </w:rPr>
        <w:t>resistant)</w:t>
      </w:r>
      <w:r>
        <w:rPr>
          <w:szCs w:val="24"/>
          <w:lang w:eastAsia="fr-FR"/>
        </w:rPr>
        <w:t xml:space="preserve"> of</w:t>
      </w:r>
      <w:r w:rsidRPr="00BA5C33">
        <w:rPr>
          <w:szCs w:val="24"/>
          <w:lang w:eastAsia="fr-FR"/>
        </w:rPr>
        <w:t xml:space="preserve"> </w:t>
      </w:r>
      <w:r w:rsidRPr="00BA5C33">
        <w:rPr>
          <w:szCs w:val="24"/>
        </w:rPr>
        <w:t xml:space="preserve">recovered </w:t>
      </w:r>
      <w:r>
        <w:rPr>
          <w:szCs w:val="24"/>
        </w:rPr>
        <w:t>isolates,</w:t>
      </w:r>
      <w:r w:rsidRPr="0048445D">
        <w:rPr>
          <w:rFonts w:eastAsia="Calibri"/>
          <w:szCs w:val="24"/>
          <w:lang w:eastAsia="en-GB"/>
        </w:rPr>
        <w:t xml:space="preserve"> the MICs</w:t>
      </w:r>
      <w:r>
        <w:rPr>
          <w:rFonts w:eastAsia="Calibri"/>
          <w:szCs w:val="24"/>
          <w:lang w:eastAsia="en-GB"/>
        </w:rPr>
        <w:t xml:space="preserve"> of extract</w:t>
      </w:r>
      <w:r w:rsidRPr="0048445D">
        <w:rPr>
          <w:rFonts w:eastAsia="Calibri"/>
          <w:szCs w:val="24"/>
          <w:lang w:eastAsia="en-GB"/>
        </w:rPr>
        <w:t>, the MBCs</w:t>
      </w:r>
      <w:r>
        <w:rPr>
          <w:rFonts w:eastAsia="Calibri"/>
          <w:szCs w:val="24"/>
          <w:lang w:eastAsia="en-GB"/>
        </w:rPr>
        <w:t xml:space="preserve"> of extract</w:t>
      </w:r>
      <w:r w:rsidRPr="0048445D">
        <w:rPr>
          <w:rFonts w:eastAsia="Calibri"/>
          <w:szCs w:val="24"/>
          <w:lang w:eastAsia="en-GB"/>
        </w:rPr>
        <w:t xml:space="preserve"> and the MBC/MIC ratio. Their values were recorded and analyzed with tools provided by the Microsoft Excel 2016 software.</w:t>
      </w:r>
      <w:r>
        <w:rPr>
          <w:rFonts w:eastAsia="Calibri"/>
          <w:szCs w:val="24"/>
          <w:lang w:eastAsia="en-GB"/>
        </w:rPr>
        <w:t xml:space="preserve"> Bacterial groups were presented by sampling location. </w:t>
      </w:r>
      <w:r w:rsidRPr="00BA5C33">
        <w:rPr>
          <w:szCs w:val="24"/>
        </w:rPr>
        <w:t>C</w:t>
      </w:r>
      <w:r w:rsidRPr="00BA5C33">
        <w:rPr>
          <w:szCs w:val="24"/>
          <w:lang w:eastAsia="fr-FR"/>
        </w:rPr>
        <w:t>linical categories results were presented as frequencies per bacterial types and antibacterial agents.</w:t>
      </w:r>
      <w:r>
        <w:rPr>
          <w:szCs w:val="24"/>
          <w:lang w:eastAsia="fr-FR"/>
        </w:rPr>
        <w:t xml:space="preserve"> It was used mean, standard deviation, </w:t>
      </w:r>
      <w:r>
        <w:rPr>
          <w:rFonts w:eastAsia="Calibri"/>
          <w:szCs w:val="24"/>
          <w:lang w:eastAsia="en-GB"/>
        </w:rPr>
        <w:t>m</w:t>
      </w:r>
      <w:r w:rsidRPr="008C6567">
        <w:rPr>
          <w:rFonts w:eastAsia="Calibri"/>
          <w:szCs w:val="24"/>
          <w:lang w:eastAsia="en-GB"/>
        </w:rPr>
        <w:t>inimum</w:t>
      </w:r>
      <w:r>
        <w:rPr>
          <w:rFonts w:eastAsia="Calibri"/>
          <w:szCs w:val="24"/>
          <w:lang w:eastAsia="en-GB"/>
        </w:rPr>
        <w:t xml:space="preserve"> and m</w:t>
      </w:r>
      <w:r w:rsidRPr="008C6567">
        <w:rPr>
          <w:rFonts w:eastAsia="Calibri"/>
          <w:szCs w:val="24"/>
          <w:lang w:eastAsia="en-GB"/>
        </w:rPr>
        <w:t>aximum</w:t>
      </w:r>
      <w:r>
        <w:rPr>
          <w:rFonts w:eastAsia="Calibri"/>
          <w:szCs w:val="24"/>
          <w:lang w:eastAsia="en-GB"/>
        </w:rPr>
        <w:t xml:space="preserve"> to present </w:t>
      </w:r>
      <w:r w:rsidRPr="0048445D">
        <w:rPr>
          <w:rFonts w:eastAsia="Calibri"/>
          <w:szCs w:val="24"/>
          <w:lang w:eastAsia="en-GB"/>
        </w:rPr>
        <w:t>MICs</w:t>
      </w:r>
      <w:r>
        <w:rPr>
          <w:rFonts w:eastAsia="Calibri"/>
          <w:szCs w:val="24"/>
          <w:lang w:eastAsia="en-GB"/>
        </w:rPr>
        <w:t>,</w:t>
      </w:r>
      <w:r w:rsidRPr="0048445D">
        <w:rPr>
          <w:rFonts w:eastAsia="Calibri"/>
          <w:szCs w:val="24"/>
          <w:lang w:eastAsia="en-GB"/>
        </w:rPr>
        <w:t xml:space="preserve"> MBCs</w:t>
      </w:r>
      <w:r>
        <w:rPr>
          <w:rFonts w:eastAsia="Calibri"/>
          <w:szCs w:val="24"/>
          <w:lang w:eastAsia="en-GB"/>
        </w:rPr>
        <w:t xml:space="preserve"> and</w:t>
      </w:r>
      <w:r w:rsidRPr="0048445D">
        <w:rPr>
          <w:rFonts w:eastAsia="Calibri"/>
          <w:szCs w:val="24"/>
          <w:lang w:eastAsia="en-GB"/>
        </w:rPr>
        <w:t xml:space="preserve"> MBC/MIC ratio</w:t>
      </w:r>
      <w:r>
        <w:rPr>
          <w:rFonts w:eastAsia="Calibri"/>
          <w:szCs w:val="24"/>
          <w:lang w:eastAsia="en-GB"/>
        </w:rPr>
        <w:t xml:space="preserve"> </w:t>
      </w:r>
      <w:r>
        <w:rPr>
          <w:szCs w:val="24"/>
          <w:lang w:eastAsia="fr-FR"/>
        </w:rPr>
        <w:t>per bacterial groups.</w:t>
      </w:r>
      <w:r w:rsidR="00A03930" w:rsidRPr="00ED3A6C">
        <w:rPr>
          <w:rFonts w:ascii="Arial" w:hAnsi="Arial" w:cs="Arial"/>
        </w:rPr>
        <w:t xml:space="preserve"> </w:t>
      </w:r>
    </w:p>
    <w:p w14:paraId="754F46C1"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7D5A4C1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860FA1" w:rsidRPr="0048445D">
        <w:rPr>
          <w:b/>
          <w:szCs w:val="24"/>
        </w:rPr>
        <w:t>Bacterial pool subjected</w:t>
      </w:r>
      <w:r w:rsidRPr="00ED3A6C">
        <w:rPr>
          <w:rFonts w:ascii="Arial" w:hAnsi="Arial" w:cs="Arial"/>
        </w:rPr>
        <w:t xml:space="preserve"> </w:t>
      </w:r>
    </w:p>
    <w:p w14:paraId="0C257FBF" w14:textId="77777777" w:rsidR="00027371" w:rsidRDefault="00860FA1" w:rsidP="00027371">
      <w:pPr>
        <w:pStyle w:val="Body"/>
        <w:rPr>
          <w:rFonts w:ascii="Arial" w:hAnsi="Arial" w:cs="Arial"/>
        </w:rPr>
      </w:pPr>
      <w:r w:rsidRPr="00860FA1">
        <w:rPr>
          <w:rFonts w:ascii="Arial" w:hAnsi="Arial" w:cs="Arial"/>
        </w:rPr>
        <w:t xml:space="preserve">The bacterial pool for the present study was made up of 64 isolates, predominantly </w:t>
      </w:r>
      <w:r w:rsidRPr="00860FA1">
        <w:rPr>
          <w:rFonts w:ascii="Arial" w:hAnsi="Arial" w:cs="Arial"/>
          <w:i/>
        </w:rPr>
        <w:t>Staphylococcus</w:t>
      </w:r>
      <w:r w:rsidRPr="00860FA1">
        <w:rPr>
          <w:rFonts w:ascii="Arial" w:hAnsi="Arial" w:cs="Arial"/>
        </w:rPr>
        <w:t xml:space="preserve">, and Gram-positive rods. Less frequently recovered, Gram-negative rods were dominated by </w:t>
      </w:r>
      <w:r w:rsidRPr="00860FA1">
        <w:rPr>
          <w:rFonts w:ascii="Arial" w:hAnsi="Arial" w:cs="Arial"/>
          <w:i/>
        </w:rPr>
        <w:t>Enterobacter</w:t>
      </w:r>
      <w:r w:rsidRPr="00860FA1">
        <w:rPr>
          <w:rFonts w:ascii="Arial" w:hAnsi="Arial" w:cs="Arial"/>
        </w:rPr>
        <w:t xml:space="preserve"> and </w:t>
      </w:r>
      <w:r w:rsidRPr="00860FA1">
        <w:rPr>
          <w:rFonts w:ascii="Arial" w:hAnsi="Arial" w:cs="Arial"/>
          <w:i/>
        </w:rPr>
        <w:t>Pseudomonas</w:t>
      </w:r>
      <w:r w:rsidRPr="00860FA1">
        <w:rPr>
          <w:rFonts w:ascii="Arial" w:hAnsi="Arial" w:cs="Arial"/>
        </w:rPr>
        <w:t xml:space="preserve"> (9%, each). Additional related details are presented as displayed in Table 1. The overall picture reveals high bacterial diversity observed in five settings (laboratory, selected hospitalization, minor surgery, hospitalization and shared external sanitation room). Surfaces of hand-washing units and door handles were found to host the greatest bacteria diversity. </w:t>
      </w:r>
    </w:p>
    <w:p w14:paraId="15A28C32"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1. Distribution of bacterial types found according to premises</w:t>
      </w:r>
    </w:p>
    <w:tbl>
      <w:tblPr>
        <w:tblW w:w="8931" w:type="dxa"/>
        <w:jc w:val="center"/>
        <w:tblBorders>
          <w:top w:val="single" w:sz="4" w:space="0" w:color="auto"/>
          <w:bottom w:val="single" w:sz="4" w:space="0" w:color="auto"/>
        </w:tblBorders>
        <w:tblLook w:val="04A0" w:firstRow="1" w:lastRow="0" w:firstColumn="1" w:lastColumn="0" w:noHBand="0" w:noVBand="1"/>
      </w:tblPr>
      <w:tblGrid>
        <w:gridCol w:w="1767"/>
        <w:gridCol w:w="1772"/>
        <w:gridCol w:w="624"/>
        <w:gridCol w:w="624"/>
        <w:gridCol w:w="624"/>
        <w:gridCol w:w="624"/>
        <w:gridCol w:w="624"/>
        <w:gridCol w:w="624"/>
        <w:gridCol w:w="624"/>
        <w:gridCol w:w="624"/>
        <w:gridCol w:w="435"/>
      </w:tblGrid>
      <w:tr w:rsidR="00027371" w:rsidRPr="00027371" w14:paraId="6D6F9F9D" w14:textId="77777777" w:rsidTr="00027371">
        <w:trPr>
          <w:cantSplit/>
          <w:trHeight w:val="1520"/>
          <w:jc w:val="center"/>
        </w:trPr>
        <w:tc>
          <w:tcPr>
            <w:tcW w:w="1767" w:type="dxa"/>
            <w:tcBorders>
              <w:top w:val="single" w:sz="4" w:space="0" w:color="auto"/>
              <w:bottom w:val="single" w:sz="4" w:space="0" w:color="auto"/>
            </w:tcBorders>
            <w:noWrap/>
            <w:vAlign w:val="center"/>
            <w:hideMark/>
          </w:tcPr>
          <w:p w14:paraId="17E90A6C"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Premises</w:t>
            </w:r>
          </w:p>
        </w:tc>
        <w:tc>
          <w:tcPr>
            <w:tcW w:w="1772" w:type="dxa"/>
            <w:tcBorders>
              <w:top w:val="single" w:sz="4" w:space="0" w:color="auto"/>
              <w:bottom w:val="single" w:sz="4" w:space="0" w:color="auto"/>
            </w:tcBorders>
            <w:noWrap/>
            <w:vAlign w:val="center"/>
            <w:hideMark/>
          </w:tcPr>
          <w:p w14:paraId="624183CF"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Sample points</w:t>
            </w:r>
          </w:p>
        </w:tc>
        <w:tc>
          <w:tcPr>
            <w:tcW w:w="624" w:type="dxa"/>
            <w:tcBorders>
              <w:top w:val="single" w:sz="4" w:space="0" w:color="auto"/>
              <w:bottom w:val="single" w:sz="4" w:space="0" w:color="auto"/>
            </w:tcBorders>
            <w:noWrap/>
            <w:textDirection w:val="btLr"/>
            <w:vAlign w:val="center"/>
            <w:hideMark/>
          </w:tcPr>
          <w:p w14:paraId="066A8D58"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Acinetobacter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40BD271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GPR</w:t>
            </w:r>
          </w:p>
        </w:tc>
        <w:tc>
          <w:tcPr>
            <w:tcW w:w="624" w:type="dxa"/>
            <w:tcBorders>
              <w:top w:val="single" w:sz="4" w:space="0" w:color="auto"/>
              <w:bottom w:val="single" w:sz="4" w:space="0" w:color="auto"/>
            </w:tcBorders>
            <w:noWrap/>
            <w:textDirection w:val="btLr"/>
            <w:vAlign w:val="center"/>
            <w:hideMark/>
          </w:tcPr>
          <w:p w14:paraId="339140B9"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Enterobacter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666CC8D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Klebsiella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7662569E"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Pseudomonas</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35A1DC2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Salmonella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1D881F5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Serratia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0A26E530"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Staphylococcus</w:t>
            </w:r>
            <w:r w:rsidRPr="00027371">
              <w:rPr>
                <w:rFonts w:ascii="Arial" w:hAnsi="Arial" w:cs="Arial"/>
                <w:b/>
                <w:sz w:val="18"/>
                <w:szCs w:val="18"/>
              </w:rPr>
              <w:t xml:space="preserve"> spp.</w:t>
            </w:r>
          </w:p>
        </w:tc>
        <w:tc>
          <w:tcPr>
            <w:tcW w:w="400" w:type="dxa"/>
            <w:tcBorders>
              <w:top w:val="single" w:sz="4" w:space="0" w:color="auto"/>
              <w:bottom w:val="single" w:sz="4" w:space="0" w:color="auto"/>
            </w:tcBorders>
            <w:noWrap/>
            <w:textDirection w:val="btLr"/>
            <w:vAlign w:val="center"/>
            <w:hideMark/>
          </w:tcPr>
          <w:p w14:paraId="113305B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Yersinia</w:t>
            </w:r>
            <w:r w:rsidRPr="00027371">
              <w:rPr>
                <w:rFonts w:ascii="Arial" w:hAnsi="Arial" w:cs="Arial"/>
                <w:b/>
                <w:sz w:val="18"/>
                <w:szCs w:val="18"/>
              </w:rPr>
              <w:t xml:space="preserve"> spp.</w:t>
            </w:r>
          </w:p>
        </w:tc>
      </w:tr>
      <w:tr w:rsidR="00027371" w:rsidRPr="00027371" w14:paraId="5ADB2972" w14:textId="77777777" w:rsidTr="00027371">
        <w:trPr>
          <w:trHeight w:val="20"/>
          <w:jc w:val="center"/>
        </w:trPr>
        <w:tc>
          <w:tcPr>
            <w:tcW w:w="1767" w:type="dxa"/>
            <w:vMerge w:val="restart"/>
            <w:tcBorders>
              <w:top w:val="single" w:sz="4" w:space="0" w:color="auto"/>
            </w:tcBorders>
            <w:noWrap/>
            <w:hideMark/>
          </w:tcPr>
          <w:p w14:paraId="6E4B2B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Operating room</w:t>
            </w:r>
          </w:p>
          <w:p w14:paraId="54C5CD72" w14:textId="77777777" w:rsidR="00027371" w:rsidRPr="00027371" w:rsidRDefault="00027371" w:rsidP="00027371">
            <w:pPr>
              <w:pStyle w:val="Body"/>
              <w:spacing w:after="0"/>
              <w:rPr>
                <w:rFonts w:ascii="Arial" w:hAnsi="Arial" w:cs="Arial"/>
                <w:sz w:val="18"/>
                <w:szCs w:val="18"/>
              </w:rPr>
            </w:pPr>
          </w:p>
        </w:tc>
        <w:tc>
          <w:tcPr>
            <w:tcW w:w="1772" w:type="dxa"/>
            <w:tcBorders>
              <w:top w:val="single" w:sz="4" w:space="0" w:color="auto"/>
            </w:tcBorders>
            <w:noWrap/>
            <w:vAlign w:val="center"/>
            <w:hideMark/>
          </w:tcPr>
          <w:p w14:paraId="436780F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tcBorders>
            <w:noWrap/>
            <w:vAlign w:val="center"/>
            <w:hideMark/>
          </w:tcPr>
          <w:p w14:paraId="74CBEC9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4E40E4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tcBorders>
            <w:noWrap/>
            <w:vAlign w:val="center"/>
            <w:hideMark/>
          </w:tcPr>
          <w:p w14:paraId="2A976F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0EAB12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3EDDE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677209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1CED89B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FC9A97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single" w:sz="4" w:space="0" w:color="auto"/>
            </w:tcBorders>
            <w:noWrap/>
            <w:vAlign w:val="center"/>
            <w:hideMark/>
          </w:tcPr>
          <w:p w14:paraId="567829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4C3118D" w14:textId="77777777" w:rsidTr="00027371">
        <w:trPr>
          <w:trHeight w:val="20"/>
          <w:jc w:val="center"/>
        </w:trPr>
        <w:tc>
          <w:tcPr>
            <w:tcW w:w="1767" w:type="dxa"/>
            <w:vMerge/>
            <w:noWrap/>
            <w:hideMark/>
          </w:tcPr>
          <w:p w14:paraId="24D1E03E"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7E9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Hand-washing unit </w:t>
            </w:r>
          </w:p>
        </w:tc>
        <w:tc>
          <w:tcPr>
            <w:tcW w:w="624" w:type="dxa"/>
            <w:noWrap/>
            <w:vAlign w:val="center"/>
            <w:hideMark/>
          </w:tcPr>
          <w:p w14:paraId="35C95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95E49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12F59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09502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F82AB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2F2C4F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679F5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FBB6A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3FB8F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A43F4B" w14:textId="77777777" w:rsidTr="00027371">
        <w:trPr>
          <w:trHeight w:val="20"/>
          <w:jc w:val="center"/>
        </w:trPr>
        <w:tc>
          <w:tcPr>
            <w:tcW w:w="1767" w:type="dxa"/>
            <w:vMerge/>
            <w:noWrap/>
            <w:hideMark/>
          </w:tcPr>
          <w:p w14:paraId="4A8508D1"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CB015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3A3255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7F4DF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829A2E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05ACFD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6E3F16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1B0B9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3D433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EBC39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5F358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3F5B841" w14:textId="77777777" w:rsidTr="00027371">
        <w:trPr>
          <w:trHeight w:val="20"/>
          <w:jc w:val="center"/>
        </w:trPr>
        <w:tc>
          <w:tcPr>
            <w:tcW w:w="1767" w:type="dxa"/>
            <w:vMerge/>
            <w:noWrap/>
            <w:hideMark/>
          </w:tcPr>
          <w:p w14:paraId="0F1CFE8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65C88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Oxygenator</w:t>
            </w:r>
          </w:p>
        </w:tc>
        <w:tc>
          <w:tcPr>
            <w:tcW w:w="624" w:type="dxa"/>
            <w:noWrap/>
            <w:vAlign w:val="center"/>
            <w:hideMark/>
          </w:tcPr>
          <w:p w14:paraId="06DB8D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FD7C9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46CF7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35D0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40F9D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61A55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55925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CDBA17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0CE43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6398EAC" w14:textId="77777777" w:rsidTr="00027371">
        <w:trPr>
          <w:trHeight w:val="20"/>
          <w:jc w:val="center"/>
        </w:trPr>
        <w:tc>
          <w:tcPr>
            <w:tcW w:w="1767" w:type="dxa"/>
            <w:vMerge/>
            <w:noWrap/>
            <w:hideMark/>
          </w:tcPr>
          <w:p w14:paraId="54AA4138"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F69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47C57C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42B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129E5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F5F12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D4CCB0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6152C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54B838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D017D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noWrap/>
            <w:vAlign w:val="center"/>
            <w:hideMark/>
          </w:tcPr>
          <w:p w14:paraId="0D411E7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A3D628A" w14:textId="77777777" w:rsidTr="00027371">
        <w:trPr>
          <w:trHeight w:val="20"/>
          <w:jc w:val="center"/>
        </w:trPr>
        <w:tc>
          <w:tcPr>
            <w:tcW w:w="1767" w:type="dxa"/>
            <w:vMerge/>
            <w:noWrap/>
            <w:hideMark/>
          </w:tcPr>
          <w:p w14:paraId="39232A1C"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51354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Scialytic</w:t>
            </w:r>
          </w:p>
        </w:tc>
        <w:tc>
          <w:tcPr>
            <w:tcW w:w="624" w:type="dxa"/>
            <w:noWrap/>
            <w:vAlign w:val="center"/>
            <w:hideMark/>
          </w:tcPr>
          <w:p w14:paraId="21AD0ED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72012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465EC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5279A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B4F6D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1F04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E010F7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9BB41E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FDC87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6A760AB" w14:textId="77777777" w:rsidTr="00027371">
        <w:trPr>
          <w:trHeight w:val="20"/>
          <w:jc w:val="center"/>
        </w:trPr>
        <w:tc>
          <w:tcPr>
            <w:tcW w:w="1767" w:type="dxa"/>
            <w:vMerge/>
            <w:tcBorders>
              <w:bottom w:val="single" w:sz="4" w:space="0" w:color="auto"/>
            </w:tcBorders>
            <w:noWrap/>
            <w:hideMark/>
          </w:tcPr>
          <w:p w14:paraId="0FFA1C2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0915E93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28A0CA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B94FDA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D39B3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F5E1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8E51D8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8AA1D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14735C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3E7762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1AD76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F559286" w14:textId="77777777" w:rsidTr="00027371">
        <w:trPr>
          <w:trHeight w:val="20"/>
          <w:jc w:val="center"/>
        </w:trPr>
        <w:tc>
          <w:tcPr>
            <w:tcW w:w="1767" w:type="dxa"/>
            <w:vMerge w:val="restart"/>
            <w:tcBorders>
              <w:top w:val="single" w:sz="4" w:space="0" w:color="auto"/>
              <w:bottom w:val="nil"/>
            </w:tcBorders>
            <w:noWrap/>
            <w:hideMark/>
          </w:tcPr>
          <w:p w14:paraId="1E344F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Biomedical analysis laboratory</w:t>
            </w:r>
          </w:p>
        </w:tc>
        <w:tc>
          <w:tcPr>
            <w:tcW w:w="1772" w:type="dxa"/>
            <w:tcBorders>
              <w:top w:val="single" w:sz="4" w:space="0" w:color="auto"/>
              <w:bottom w:val="nil"/>
            </w:tcBorders>
            <w:noWrap/>
            <w:vAlign w:val="center"/>
            <w:hideMark/>
          </w:tcPr>
          <w:p w14:paraId="57EDB5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554EC99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978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3173D67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3F7233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B0DDCB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DD9A1D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121851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DFBF6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4629DE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5D9C5D9" w14:textId="77777777" w:rsidTr="00027371">
        <w:trPr>
          <w:trHeight w:val="20"/>
          <w:jc w:val="center"/>
        </w:trPr>
        <w:tc>
          <w:tcPr>
            <w:tcW w:w="1767" w:type="dxa"/>
            <w:vMerge/>
            <w:tcBorders>
              <w:top w:val="nil"/>
            </w:tcBorders>
            <w:noWrap/>
            <w:hideMark/>
          </w:tcPr>
          <w:p w14:paraId="20E30B07"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412AD8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23AF09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D0460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tcBorders>
            <w:noWrap/>
            <w:vAlign w:val="center"/>
            <w:hideMark/>
          </w:tcPr>
          <w:p w14:paraId="7BEE82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80E42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2607C37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2E253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F9E6A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B563F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nil"/>
            </w:tcBorders>
            <w:noWrap/>
            <w:vAlign w:val="center"/>
            <w:hideMark/>
          </w:tcPr>
          <w:p w14:paraId="46C530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r>
      <w:tr w:rsidR="00027371" w:rsidRPr="00027371" w14:paraId="18427B57" w14:textId="77777777" w:rsidTr="00027371">
        <w:trPr>
          <w:trHeight w:val="20"/>
          <w:jc w:val="center"/>
        </w:trPr>
        <w:tc>
          <w:tcPr>
            <w:tcW w:w="1767" w:type="dxa"/>
            <w:vMerge/>
            <w:noWrap/>
            <w:hideMark/>
          </w:tcPr>
          <w:p w14:paraId="5E87D63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C31172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Benches</w:t>
            </w:r>
          </w:p>
        </w:tc>
        <w:tc>
          <w:tcPr>
            <w:tcW w:w="624" w:type="dxa"/>
            <w:noWrap/>
            <w:vAlign w:val="center"/>
            <w:hideMark/>
          </w:tcPr>
          <w:p w14:paraId="225114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7CC5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C9F2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04E4B0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A1FB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3B40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F2C6C5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644EA0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CD2A64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0A020AF" w14:textId="77777777" w:rsidTr="00027371">
        <w:trPr>
          <w:trHeight w:val="20"/>
          <w:jc w:val="center"/>
        </w:trPr>
        <w:tc>
          <w:tcPr>
            <w:tcW w:w="1767" w:type="dxa"/>
            <w:vMerge/>
            <w:tcBorders>
              <w:bottom w:val="single" w:sz="4" w:space="0" w:color="auto"/>
            </w:tcBorders>
            <w:noWrap/>
            <w:hideMark/>
          </w:tcPr>
          <w:p w14:paraId="4982884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2FB202A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tcBorders>
              <w:bottom w:val="single" w:sz="4" w:space="0" w:color="auto"/>
            </w:tcBorders>
            <w:noWrap/>
            <w:vAlign w:val="center"/>
            <w:hideMark/>
          </w:tcPr>
          <w:p w14:paraId="5B1D71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38E8C4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EA751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3F1B54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AC3E0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478381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00F9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F74E5B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29C48C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187F9E3" w14:textId="77777777" w:rsidTr="00027371">
        <w:trPr>
          <w:trHeight w:val="20"/>
          <w:jc w:val="center"/>
        </w:trPr>
        <w:tc>
          <w:tcPr>
            <w:tcW w:w="1767" w:type="dxa"/>
            <w:vMerge w:val="restart"/>
            <w:tcBorders>
              <w:top w:val="single" w:sz="4" w:space="0" w:color="auto"/>
              <w:bottom w:val="nil"/>
            </w:tcBorders>
            <w:noWrap/>
            <w:hideMark/>
          </w:tcPr>
          <w:p w14:paraId="6A1283C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Childbirth room</w:t>
            </w:r>
          </w:p>
        </w:tc>
        <w:tc>
          <w:tcPr>
            <w:tcW w:w="1772" w:type="dxa"/>
            <w:tcBorders>
              <w:top w:val="single" w:sz="4" w:space="0" w:color="auto"/>
              <w:bottom w:val="nil"/>
            </w:tcBorders>
            <w:noWrap/>
            <w:vAlign w:val="center"/>
            <w:hideMark/>
          </w:tcPr>
          <w:p w14:paraId="63558D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641F9AA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B7C4B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5A715F8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6BADA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F14B5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6E5000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A3E22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CC4E1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07FB5F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70B4882" w14:textId="77777777" w:rsidTr="00027371">
        <w:trPr>
          <w:trHeight w:val="20"/>
          <w:jc w:val="center"/>
        </w:trPr>
        <w:tc>
          <w:tcPr>
            <w:tcW w:w="1767" w:type="dxa"/>
            <w:vMerge/>
            <w:tcBorders>
              <w:top w:val="nil"/>
            </w:tcBorders>
            <w:noWrap/>
            <w:hideMark/>
          </w:tcPr>
          <w:p w14:paraId="688A62E3"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20008E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tcBorders>
              <w:top w:val="nil"/>
            </w:tcBorders>
            <w:noWrap/>
            <w:vAlign w:val="center"/>
            <w:hideMark/>
          </w:tcPr>
          <w:p w14:paraId="505894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140F6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6435B0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AB2B8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5698AD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D00F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3DB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DBD1F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6B79B4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45EFE13" w14:textId="77777777" w:rsidTr="00027371">
        <w:trPr>
          <w:trHeight w:val="20"/>
          <w:jc w:val="center"/>
        </w:trPr>
        <w:tc>
          <w:tcPr>
            <w:tcW w:w="1767" w:type="dxa"/>
            <w:vMerge/>
            <w:noWrap/>
            <w:hideMark/>
          </w:tcPr>
          <w:p w14:paraId="46E982C3"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074A3D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Baby weigh scales</w:t>
            </w:r>
          </w:p>
        </w:tc>
        <w:tc>
          <w:tcPr>
            <w:tcW w:w="624" w:type="dxa"/>
            <w:noWrap/>
            <w:vAlign w:val="center"/>
            <w:hideMark/>
          </w:tcPr>
          <w:p w14:paraId="4613BB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1CC4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0A530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C4716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E3EFA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1D6ED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1324C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BF09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8DB692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5F6CEFF" w14:textId="77777777" w:rsidTr="00027371">
        <w:trPr>
          <w:trHeight w:val="20"/>
          <w:jc w:val="center"/>
        </w:trPr>
        <w:tc>
          <w:tcPr>
            <w:tcW w:w="1767" w:type="dxa"/>
            <w:vMerge/>
            <w:tcBorders>
              <w:bottom w:val="single" w:sz="4" w:space="0" w:color="auto"/>
            </w:tcBorders>
            <w:noWrap/>
            <w:hideMark/>
          </w:tcPr>
          <w:p w14:paraId="0B45FC1E"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6E5BC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068BBD2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9E3A0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6C8EA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8EC87B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51E79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347C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19552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892DB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bottom w:val="single" w:sz="4" w:space="0" w:color="auto"/>
            </w:tcBorders>
            <w:noWrap/>
            <w:vAlign w:val="center"/>
            <w:hideMark/>
          </w:tcPr>
          <w:p w14:paraId="54EA27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89AE9E" w14:textId="77777777" w:rsidTr="00027371">
        <w:trPr>
          <w:trHeight w:val="20"/>
          <w:jc w:val="center"/>
        </w:trPr>
        <w:tc>
          <w:tcPr>
            <w:tcW w:w="1767" w:type="dxa"/>
            <w:vMerge w:val="restart"/>
            <w:tcBorders>
              <w:top w:val="single" w:sz="4" w:space="0" w:color="auto"/>
              <w:bottom w:val="nil"/>
            </w:tcBorders>
            <w:noWrap/>
            <w:hideMark/>
          </w:tcPr>
          <w:p w14:paraId="586FDD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Minor surgical room</w:t>
            </w:r>
          </w:p>
        </w:tc>
        <w:tc>
          <w:tcPr>
            <w:tcW w:w="1772" w:type="dxa"/>
            <w:tcBorders>
              <w:top w:val="single" w:sz="4" w:space="0" w:color="auto"/>
              <w:bottom w:val="nil"/>
            </w:tcBorders>
            <w:noWrap/>
            <w:vAlign w:val="center"/>
            <w:hideMark/>
          </w:tcPr>
          <w:p w14:paraId="567F78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733676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B6A9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2808D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8D2BD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BBEA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F1F3F8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CD43B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4F630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13A532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4577051" w14:textId="77777777" w:rsidTr="00027371">
        <w:trPr>
          <w:trHeight w:val="20"/>
          <w:jc w:val="center"/>
        </w:trPr>
        <w:tc>
          <w:tcPr>
            <w:tcW w:w="1767" w:type="dxa"/>
            <w:vMerge/>
            <w:tcBorders>
              <w:top w:val="nil"/>
            </w:tcBorders>
            <w:noWrap/>
            <w:hideMark/>
          </w:tcPr>
          <w:p w14:paraId="13FCA9E9"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5F0F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5D8772F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052C1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71D54B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EB684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B0A6B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9C540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F3EA7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1BDE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nil"/>
            </w:tcBorders>
            <w:noWrap/>
            <w:vAlign w:val="center"/>
            <w:hideMark/>
          </w:tcPr>
          <w:p w14:paraId="6C661C4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03936E1" w14:textId="77777777" w:rsidTr="00027371">
        <w:trPr>
          <w:trHeight w:val="20"/>
          <w:jc w:val="center"/>
        </w:trPr>
        <w:tc>
          <w:tcPr>
            <w:tcW w:w="1767" w:type="dxa"/>
            <w:vMerge/>
            <w:noWrap/>
            <w:hideMark/>
          </w:tcPr>
          <w:p w14:paraId="497C9789"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4BCE40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29BD6F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F92E3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120263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6682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C9C67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729C6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8A264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041E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2E0CE8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26F1AD5" w14:textId="77777777" w:rsidTr="00027371">
        <w:trPr>
          <w:trHeight w:val="20"/>
          <w:jc w:val="center"/>
        </w:trPr>
        <w:tc>
          <w:tcPr>
            <w:tcW w:w="1767" w:type="dxa"/>
            <w:vMerge/>
            <w:noWrap/>
            <w:hideMark/>
          </w:tcPr>
          <w:p w14:paraId="6DFB2C34"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57DBB84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23388F1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BD590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B0B4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9C23E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BE1FE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7DE9D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25CE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CD2B8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70C6AE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3C7B4D" w14:textId="77777777" w:rsidTr="00027371">
        <w:trPr>
          <w:trHeight w:val="20"/>
          <w:jc w:val="center"/>
        </w:trPr>
        <w:tc>
          <w:tcPr>
            <w:tcW w:w="1767" w:type="dxa"/>
            <w:vMerge/>
            <w:tcBorders>
              <w:bottom w:val="single" w:sz="4" w:space="0" w:color="auto"/>
            </w:tcBorders>
            <w:noWrap/>
            <w:hideMark/>
          </w:tcPr>
          <w:p w14:paraId="1B652636"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277A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Instrument table </w:t>
            </w:r>
          </w:p>
        </w:tc>
        <w:tc>
          <w:tcPr>
            <w:tcW w:w="624" w:type="dxa"/>
            <w:tcBorders>
              <w:bottom w:val="single" w:sz="4" w:space="0" w:color="auto"/>
            </w:tcBorders>
            <w:noWrap/>
            <w:vAlign w:val="center"/>
            <w:hideMark/>
          </w:tcPr>
          <w:p w14:paraId="14695A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28C7F1A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8EF2A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FFE01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24489A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A61A7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F61FA8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CD53B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3B492C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2E4C836" w14:textId="77777777" w:rsidTr="00027371">
        <w:trPr>
          <w:trHeight w:val="20"/>
          <w:jc w:val="center"/>
        </w:trPr>
        <w:tc>
          <w:tcPr>
            <w:tcW w:w="1767" w:type="dxa"/>
            <w:vMerge w:val="restart"/>
            <w:tcBorders>
              <w:top w:val="single" w:sz="4" w:space="0" w:color="auto"/>
              <w:bottom w:val="nil"/>
            </w:tcBorders>
            <w:noWrap/>
            <w:hideMark/>
          </w:tcPr>
          <w:p w14:paraId="0852DBD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Hospitalization room</w:t>
            </w:r>
          </w:p>
        </w:tc>
        <w:tc>
          <w:tcPr>
            <w:tcW w:w="1772" w:type="dxa"/>
            <w:tcBorders>
              <w:top w:val="single" w:sz="4" w:space="0" w:color="auto"/>
              <w:bottom w:val="nil"/>
            </w:tcBorders>
            <w:noWrap/>
            <w:vAlign w:val="center"/>
            <w:hideMark/>
          </w:tcPr>
          <w:p w14:paraId="6DC7A6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1F3E51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4DA611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8CBA7B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ED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A2D88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DF7C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BA8D5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1B0F3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64238CF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72FA7AA3" w14:textId="77777777" w:rsidTr="00027371">
        <w:trPr>
          <w:trHeight w:val="20"/>
          <w:jc w:val="center"/>
        </w:trPr>
        <w:tc>
          <w:tcPr>
            <w:tcW w:w="1767" w:type="dxa"/>
            <w:vMerge/>
            <w:tcBorders>
              <w:top w:val="nil"/>
            </w:tcBorders>
            <w:noWrap/>
            <w:hideMark/>
          </w:tcPr>
          <w:p w14:paraId="5DE19496"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320E17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61AB87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C8745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C89FB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477F5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90E4A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451F70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77DA6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5BCF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4F43B16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0D251EDF" w14:textId="77777777" w:rsidTr="00027371">
        <w:trPr>
          <w:trHeight w:val="20"/>
          <w:jc w:val="center"/>
        </w:trPr>
        <w:tc>
          <w:tcPr>
            <w:tcW w:w="1767" w:type="dxa"/>
            <w:vMerge/>
            <w:noWrap/>
            <w:hideMark/>
          </w:tcPr>
          <w:p w14:paraId="0E3FA97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3B55039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7776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A5D990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3C5C3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4E3DA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43742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6F57C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2A3C5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E818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45F618E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4D6306" w14:textId="77777777" w:rsidTr="00027371">
        <w:trPr>
          <w:trHeight w:val="20"/>
          <w:jc w:val="center"/>
        </w:trPr>
        <w:tc>
          <w:tcPr>
            <w:tcW w:w="1767" w:type="dxa"/>
            <w:vMerge/>
            <w:noWrap/>
            <w:hideMark/>
          </w:tcPr>
          <w:p w14:paraId="641E0E2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7011D06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7674B7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C0645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DD68A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A7F536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1AEC68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903AA9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CB388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E8261A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0AE7FF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41EBE8C" w14:textId="77777777" w:rsidTr="00027371">
        <w:trPr>
          <w:trHeight w:val="20"/>
          <w:jc w:val="center"/>
        </w:trPr>
        <w:tc>
          <w:tcPr>
            <w:tcW w:w="1767" w:type="dxa"/>
            <w:vMerge/>
            <w:tcBorders>
              <w:bottom w:val="single" w:sz="4" w:space="0" w:color="auto"/>
            </w:tcBorders>
            <w:noWrap/>
            <w:hideMark/>
          </w:tcPr>
          <w:p w14:paraId="10DC80D9"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7647C9F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w:t>
            </w:r>
          </w:p>
        </w:tc>
        <w:tc>
          <w:tcPr>
            <w:tcW w:w="624" w:type="dxa"/>
            <w:tcBorders>
              <w:bottom w:val="single" w:sz="4" w:space="0" w:color="auto"/>
            </w:tcBorders>
            <w:noWrap/>
            <w:vAlign w:val="center"/>
            <w:hideMark/>
          </w:tcPr>
          <w:p w14:paraId="3B1CED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FCA704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74426B2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31567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72A936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764C6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010D9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1800E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58B4333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4272AAD" w14:textId="77777777" w:rsidTr="00027371">
        <w:trPr>
          <w:trHeight w:val="20"/>
          <w:jc w:val="center"/>
        </w:trPr>
        <w:tc>
          <w:tcPr>
            <w:tcW w:w="1767" w:type="dxa"/>
            <w:tcBorders>
              <w:top w:val="single" w:sz="4" w:space="0" w:color="auto"/>
              <w:bottom w:val="single" w:sz="4" w:space="0" w:color="auto"/>
            </w:tcBorders>
            <w:noWrap/>
            <w:hideMark/>
          </w:tcPr>
          <w:p w14:paraId="7A80BF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Shared external </w:t>
            </w:r>
            <w:bookmarkStart w:id="1" w:name="_Hlk190432948"/>
            <w:r w:rsidRPr="00027371">
              <w:rPr>
                <w:rFonts w:ascii="Arial" w:hAnsi="Arial" w:cs="Arial"/>
                <w:sz w:val="18"/>
                <w:szCs w:val="18"/>
              </w:rPr>
              <w:t>sanitation room</w:t>
            </w:r>
            <w:bookmarkEnd w:id="1"/>
          </w:p>
        </w:tc>
        <w:tc>
          <w:tcPr>
            <w:tcW w:w="1772" w:type="dxa"/>
            <w:tcBorders>
              <w:top w:val="single" w:sz="4" w:space="0" w:color="auto"/>
              <w:bottom w:val="single" w:sz="4" w:space="0" w:color="auto"/>
            </w:tcBorders>
            <w:noWrap/>
            <w:vAlign w:val="center"/>
            <w:hideMark/>
          </w:tcPr>
          <w:p w14:paraId="3839A5E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single" w:sz="4" w:space="0" w:color="auto"/>
              <w:bottom w:val="single" w:sz="4" w:space="0" w:color="auto"/>
            </w:tcBorders>
            <w:noWrap/>
            <w:vAlign w:val="center"/>
            <w:hideMark/>
          </w:tcPr>
          <w:p w14:paraId="169E70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574ADE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6E58380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496ACC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2123B2D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7191D0C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020446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791A29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single" w:sz="4" w:space="0" w:color="auto"/>
              <w:bottom w:val="single" w:sz="4" w:space="0" w:color="auto"/>
            </w:tcBorders>
            <w:noWrap/>
            <w:vAlign w:val="center"/>
            <w:hideMark/>
          </w:tcPr>
          <w:p w14:paraId="7BC874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441C8A8C" w14:textId="77777777" w:rsidTr="00027371">
        <w:trPr>
          <w:trHeight w:val="20"/>
          <w:jc w:val="center"/>
        </w:trPr>
        <w:tc>
          <w:tcPr>
            <w:tcW w:w="3539" w:type="dxa"/>
            <w:gridSpan w:val="2"/>
            <w:tcBorders>
              <w:top w:val="single" w:sz="4" w:space="0" w:color="auto"/>
              <w:bottom w:val="single" w:sz="4" w:space="0" w:color="auto"/>
            </w:tcBorders>
            <w:noWrap/>
          </w:tcPr>
          <w:p w14:paraId="7D9D07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Total</w:t>
            </w:r>
          </w:p>
        </w:tc>
        <w:tc>
          <w:tcPr>
            <w:tcW w:w="624" w:type="dxa"/>
            <w:tcBorders>
              <w:top w:val="nil"/>
              <w:left w:val="nil"/>
              <w:bottom w:val="single" w:sz="8" w:space="0" w:color="auto"/>
              <w:right w:val="nil"/>
            </w:tcBorders>
            <w:shd w:val="clear" w:color="auto" w:fill="auto"/>
            <w:noWrap/>
            <w:vAlign w:val="center"/>
          </w:tcPr>
          <w:p w14:paraId="0C409B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258D58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23</w:t>
            </w:r>
          </w:p>
        </w:tc>
        <w:tc>
          <w:tcPr>
            <w:tcW w:w="624" w:type="dxa"/>
            <w:tcBorders>
              <w:top w:val="nil"/>
              <w:left w:val="nil"/>
              <w:bottom w:val="single" w:sz="8" w:space="0" w:color="auto"/>
              <w:right w:val="nil"/>
            </w:tcBorders>
            <w:shd w:val="clear" w:color="auto" w:fill="auto"/>
            <w:noWrap/>
            <w:vAlign w:val="center"/>
          </w:tcPr>
          <w:p w14:paraId="3A89E4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5709F1B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left w:val="nil"/>
              <w:bottom w:val="single" w:sz="8" w:space="0" w:color="auto"/>
              <w:right w:val="nil"/>
            </w:tcBorders>
            <w:shd w:val="clear" w:color="auto" w:fill="auto"/>
            <w:noWrap/>
            <w:vAlign w:val="center"/>
          </w:tcPr>
          <w:p w14:paraId="338BBD7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12F08E5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31909E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142075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20</w:t>
            </w:r>
          </w:p>
        </w:tc>
        <w:tc>
          <w:tcPr>
            <w:tcW w:w="400" w:type="dxa"/>
            <w:tcBorders>
              <w:top w:val="nil"/>
              <w:left w:val="nil"/>
              <w:bottom w:val="single" w:sz="8" w:space="0" w:color="auto"/>
              <w:right w:val="nil"/>
            </w:tcBorders>
            <w:shd w:val="clear" w:color="auto" w:fill="auto"/>
            <w:noWrap/>
            <w:vAlign w:val="center"/>
          </w:tcPr>
          <w:p w14:paraId="3C55D6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4</w:t>
            </w:r>
          </w:p>
        </w:tc>
      </w:tr>
    </w:tbl>
    <w:p w14:paraId="15FBEDEF" w14:textId="77777777" w:rsidR="00027371" w:rsidRPr="00027371" w:rsidRDefault="00027371" w:rsidP="00027371">
      <w:pPr>
        <w:pStyle w:val="Body"/>
        <w:jc w:val="center"/>
        <w:rPr>
          <w:rFonts w:ascii="Arial" w:hAnsi="Arial" w:cs="Arial"/>
          <w:sz w:val="16"/>
        </w:rPr>
      </w:pPr>
      <w:r w:rsidRPr="00027371">
        <w:rPr>
          <w:rFonts w:ascii="Arial" w:hAnsi="Arial" w:cs="Arial"/>
          <w:sz w:val="16"/>
        </w:rPr>
        <w:t>GPR: Gram-Positive rods</w:t>
      </w:r>
    </w:p>
    <w:p w14:paraId="7CE3B1D4" w14:textId="77777777" w:rsidR="00027371" w:rsidRDefault="00860FA1" w:rsidP="00860FA1">
      <w:pPr>
        <w:pStyle w:val="Body"/>
        <w:rPr>
          <w:rFonts w:ascii="Arial" w:hAnsi="Arial" w:cs="Arial"/>
        </w:rPr>
      </w:pPr>
      <w:r w:rsidRPr="00860FA1">
        <w:rPr>
          <w:rFonts w:ascii="Arial" w:hAnsi="Arial" w:cs="Arial"/>
        </w:rPr>
        <w:t>This bacterial pool expressed high rates of resistance and multidrug resistance profiles. Table 2 indicates that the “susceptible at high posology” profile is rare in Gram-positive isolates, while resistance rates are invariably high for most antibiotics. Gentamicin was most effective, followed by Clindamycin on Gram-positive isolates.</w:t>
      </w:r>
    </w:p>
    <w:p w14:paraId="462A0136"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2. Antibiotic susceptibility profile of isolates</w:t>
      </w:r>
    </w:p>
    <w:tbl>
      <w:tblPr>
        <w:tblStyle w:val="TableGrid"/>
        <w:tblW w:w="0" w:type="auto"/>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9"/>
        <w:gridCol w:w="846"/>
        <w:gridCol w:w="887"/>
        <w:gridCol w:w="627"/>
        <w:gridCol w:w="871"/>
        <w:gridCol w:w="871"/>
        <w:gridCol w:w="790"/>
        <w:gridCol w:w="790"/>
        <w:gridCol w:w="790"/>
      </w:tblGrid>
      <w:tr w:rsidR="00027371" w:rsidRPr="00027371" w14:paraId="1F129F17" w14:textId="77777777" w:rsidTr="00027371">
        <w:trPr>
          <w:trHeight w:val="227"/>
        </w:trPr>
        <w:tc>
          <w:tcPr>
            <w:tcW w:w="1951" w:type="dxa"/>
            <w:vMerge w:val="restart"/>
            <w:noWrap/>
            <w:vAlign w:val="center"/>
            <w:hideMark/>
          </w:tcPr>
          <w:p w14:paraId="547D3D5F"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Antibiotics</w:t>
            </w:r>
          </w:p>
        </w:tc>
        <w:tc>
          <w:tcPr>
            <w:tcW w:w="2372" w:type="dxa"/>
            <w:gridSpan w:val="3"/>
            <w:noWrap/>
            <w:vAlign w:val="center"/>
            <w:hideMark/>
          </w:tcPr>
          <w:p w14:paraId="63A84DA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GNR</w:t>
            </w:r>
          </w:p>
        </w:tc>
        <w:tc>
          <w:tcPr>
            <w:tcW w:w="2369" w:type="dxa"/>
            <w:gridSpan w:val="3"/>
            <w:noWrap/>
            <w:vAlign w:val="center"/>
            <w:hideMark/>
          </w:tcPr>
          <w:p w14:paraId="4AB838A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GPR</w:t>
            </w:r>
          </w:p>
        </w:tc>
        <w:tc>
          <w:tcPr>
            <w:tcW w:w="2370" w:type="dxa"/>
            <w:gridSpan w:val="3"/>
            <w:noWrap/>
            <w:vAlign w:val="center"/>
            <w:hideMark/>
          </w:tcPr>
          <w:p w14:paraId="1862BDA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GPC</w:t>
            </w:r>
          </w:p>
        </w:tc>
      </w:tr>
      <w:tr w:rsidR="00027371" w:rsidRPr="00027371" w14:paraId="166CB484" w14:textId="77777777" w:rsidTr="00027371">
        <w:trPr>
          <w:trHeight w:val="227"/>
        </w:trPr>
        <w:tc>
          <w:tcPr>
            <w:tcW w:w="1951" w:type="dxa"/>
            <w:vMerge/>
            <w:tcBorders>
              <w:bottom w:val="single" w:sz="4" w:space="0" w:color="auto"/>
            </w:tcBorders>
            <w:vAlign w:val="center"/>
            <w:hideMark/>
          </w:tcPr>
          <w:p w14:paraId="286DECA8" w14:textId="77777777" w:rsidR="00027371" w:rsidRPr="00027371" w:rsidRDefault="00027371" w:rsidP="00027371">
            <w:pPr>
              <w:pStyle w:val="Body"/>
              <w:spacing w:after="0"/>
              <w:rPr>
                <w:rFonts w:ascii="Arial" w:eastAsia="Times New Roman" w:hAnsi="Arial" w:cs="Arial"/>
                <w:b/>
                <w:sz w:val="18"/>
                <w:szCs w:val="18"/>
              </w:rPr>
            </w:pPr>
          </w:p>
        </w:tc>
        <w:tc>
          <w:tcPr>
            <w:tcW w:w="639" w:type="dxa"/>
            <w:tcBorders>
              <w:bottom w:val="single" w:sz="4" w:space="0" w:color="auto"/>
            </w:tcBorders>
            <w:noWrap/>
            <w:vAlign w:val="center"/>
            <w:hideMark/>
          </w:tcPr>
          <w:p w14:paraId="1C1C9E75"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46" w:type="dxa"/>
            <w:tcBorders>
              <w:bottom w:val="single" w:sz="4" w:space="0" w:color="auto"/>
            </w:tcBorders>
            <w:noWrap/>
            <w:vAlign w:val="center"/>
            <w:hideMark/>
          </w:tcPr>
          <w:p w14:paraId="10F7B58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87" w:type="dxa"/>
            <w:tcBorders>
              <w:bottom w:val="single" w:sz="4" w:space="0" w:color="auto"/>
            </w:tcBorders>
            <w:noWrap/>
            <w:vAlign w:val="center"/>
            <w:hideMark/>
          </w:tcPr>
          <w:p w14:paraId="09FC2A1B"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627" w:type="dxa"/>
            <w:tcBorders>
              <w:bottom w:val="single" w:sz="4" w:space="0" w:color="auto"/>
            </w:tcBorders>
            <w:noWrap/>
            <w:vAlign w:val="center"/>
            <w:hideMark/>
          </w:tcPr>
          <w:p w14:paraId="29E7FF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71" w:type="dxa"/>
            <w:tcBorders>
              <w:bottom w:val="single" w:sz="4" w:space="0" w:color="auto"/>
            </w:tcBorders>
            <w:noWrap/>
            <w:vAlign w:val="center"/>
            <w:hideMark/>
          </w:tcPr>
          <w:p w14:paraId="443E426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71" w:type="dxa"/>
            <w:tcBorders>
              <w:bottom w:val="single" w:sz="4" w:space="0" w:color="auto"/>
            </w:tcBorders>
            <w:noWrap/>
            <w:vAlign w:val="center"/>
            <w:hideMark/>
          </w:tcPr>
          <w:p w14:paraId="23871C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790" w:type="dxa"/>
            <w:tcBorders>
              <w:bottom w:val="single" w:sz="4" w:space="0" w:color="auto"/>
            </w:tcBorders>
            <w:noWrap/>
            <w:vAlign w:val="center"/>
            <w:hideMark/>
          </w:tcPr>
          <w:p w14:paraId="116D74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790" w:type="dxa"/>
            <w:tcBorders>
              <w:bottom w:val="single" w:sz="4" w:space="0" w:color="auto"/>
            </w:tcBorders>
            <w:noWrap/>
            <w:vAlign w:val="center"/>
            <w:hideMark/>
          </w:tcPr>
          <w:p w14:paraId="2F2CB21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790" w:type="dxa"/>
            <w:tcBorders>
              <w:bottom w:val="single" w:sz="4" w:space="0" w:color="auto"/>
            </w:tcBorders>
            <w:noWrap/>
            <w:vAlign w:val="center"/>
            <w:hideMark/>
          </w:tcPr>
          <w:p w14:paraId="60B838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r>
      <w:tr w:rsidR="00027371" w:rsidRPr="00027371" w14:paraId="0AD0D2F0" w14:textId="77777777" w:rsidTr="00027371">
        <w:trPr>
          <w:trHeight w:val="227"/>
        </w:trPr>
        <w:tc>
          <w:tcPr>
            <w:tcW w:w="1951" w:type="dxa"/>
            <w:tcBorders>
              <w:top w:val="single" w:sz="4" w:space="0" w:color="auto"/>
              <w:bottom w:val="nil"/>
            </w:tcBorders>
            <w:noWrap/>
            <w:vAlign w:val="center"/>
          </w:tcPr>
          <w:p w14:paraId="6355EC5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Amoxicillin</w:t>
            </w:r>
          </w:p>
        </w:tc>
        <w:tc>
          <w:tcPr>
            <w:tcW w:w="639" w:type="dxa"/>
            <w:tcBorders>
              <w:top w:val="single" w:sz="4" w:space="0" w:color="auto"/>
              <w:bottom w:val="nil"/>
            </w:tcBorders>
            <w:noWrap/>
            <w:vAlign w:val="center"/>
          </w:tcPr>
          <w:p w14:paraId="7257BA6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tcBorders>
              <w:top w:val="single" w:sz="4" w:space="0" w:color="auto"/>
              <w:bottom w:val="nil"/>
            </w:tcBorders>
            <w:noWrap/>
            <w:vAlign w:val="center"/>
          </w:tcPr>
          <w:p w14:paraId="2A96557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tcBorders>
              <w:top w:val="single" w:sz="4" w:space="0" w:color="auto"/>
              <w:bottom w:val="nil"/>
            </w:tcBorders>
            <w:noWrap/>
            <w:vAlign w:val="center"/>
          </w:tcPr>
          <w:p w14:paraId="64586BB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tcBorders>
              <w:top w:val="single" w:sz="4" w:space="0" w:color="auto"/>
              <w:bottom w:val="nil"/>
            </w:tcBorders>
            <w:noWrap/>
            <w:vAlign w:val="center"/>
          </w:tcPr>
          <w:p w14:paraId="2F288CD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w:t>
            </w:r>
          </w:p>
        </w:tc>
        <w:tc>
          <w:tcPr>
            <w:tcW w:w="871" w:type="dxa"/>
            <w:tcBorders>
              <w:top w:val="single" w:sz="4" w:space="0" w:color="auto"/>
              <w:bottom w:val="nil"/>
            </w:tcBorders>
            <w:noWrap/>
            <w:vAlign w:val="center"/>
          </w:tcPr>
          <w:p w14:paraId="41AFF3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single" w:sz="4" w:space="0" w:color="auto"/>
              <w:bottom w:val="nil"/>
            </w:tcBorders>
            <w:noWrap/>
            <w:vAlign w:val="center"/>
          </w:tcPr>
          <w:p w14:paraId="1622A4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91</w:t>
            </w:r>
          </w:p>
        </w:tc>
        <w:tc>
          <w:tcPr>
            <w:tcW w:w="790" w:type="dxa"/>
            <w:tcBorders>
              <w:top w:val="single" w:sz="4" w:space="0" w:color="auto"/>
              <w:bottom w:val="nil"/>
            </w:tcBorders>
            <w:noWrap/>
            <w:vAlign w:val="center"/>
          </w:tcPr>
          <w:p w14:paraId="4A1779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019FC0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68B1DF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E4ED810" w14:textId="77777777" w:rsidTr="00027371">
        <w:trPr>
          <w:trHeight w:val="227"/>
        </w:trPr>
        <w:tc>
          <w:tcPr>
            <w:tcW w:w="1951" w:type="dxa"/>
            <w:tcBorders>
              <w:top w:val="nil"/>
              <w:bottom w:val="nil"/>
            </w:tcBorders>
            <w:noWrap/>
            <w:vAlign w:val="center"/>
            <w:hideMark/>
          </w:tcPr>
          <w:p w14:paraId="0838FC16"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Amox</w:t>
            </w:r>
            <w:proofErr w:type="spellEnd"/>
            <w:r w:rsidRPr="00027371">
              <w:rPr>
                <w:rFonts w:ascii="Arial" w:eastAsia="Times New Roman" w:hAnsi="Arial" w:cs="Arial"/>
                <w:b/>
                <w:sz w:val="18"/>
                <w:szCs w:val="18"/>
              </w:rPr>
              <w:t>./</w:t>
            </w:r>
            <w:proofErr w:type="spellStart"/>
            <w:r w:rsidRPr="00027371">
              <w:rPr>
                <w:rFonts w:ascii="Arial" w:eastAsia="Times New Roman" w:hAnsi="Arial" w:cs="Arial"/>
                <w:b/>
                <w:sz w:val="18"/>
                <w:szCs w:val="18"/>
              </w:rPr>
              <w:t>a.clac</w:t>
            </w:r>
            <w:proofErr w:type="spellEnd"/>
            <w:r w:rsidRPr="00027371">
              <w:rPr>
                <w:rFonts w:ascii="Arial" w:eastAsia="Times New Roman" w:hAnsi="Arial" w:cs="Arial"/>
                <w:b/>
                <w:sz w:val="18"/>
                <w:szCs w:val="18"/>
              </w:rPr>
              <w:t xml:space="preserve">. </w:t>
            </w:r>
          </w:p>
        </w:tc>
        <w:tc>
          <w:tcPr>
            <w:tcW w:w="639" w:type="dxa"/>
            <w:tcBorders>
              <w:top w:val="nil"/>
              <w:bottom w:val="nil"/>
            </w:tcBorders>
            <w:noWrap/>
            <w:vAlign w:val="center"/>
            <w:hideMark/>
          </w:tcPr>
          <w:p w14:paraId="0D2B8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w:t>
            </w:r>
          </w:p>
        </w:tc>
        <w:tc>
          <w:tcPr>
            <w:tcW w:w="846" w:type="dxa"/>
            <w:tcBorders>
              <w:top w:val="nil"/>
              <w:bottom w:val="nil"/>
            </w:tcBorders>
            <w:noWrap/>
            <w:vAlign w:val="center"/>
            <w:hideMark/>
          </w:tcPr>
          <w:p w14:paraId="593F1B8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887" w:type="dxa"/>
            <w:tcBorders>
              <w:top w:val="nil"/>
              <w:bottom w:val="nil"/>
            </w:tcBorders>
            <w:noWrap/>
            <w:vAlign w:val="center"/>
            <w:hideMark/>
          </w:tcPr>
          <w:p w14:paraId="650FD6F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c>
          <w:tcPr>
            <w:tcW w:w="627" w:type="dxa"/>
            <w:tcBorders>
              <w:top w:val="nil"/>
              <w:bottom w:val="nil"/>
            </w:tcBorders>
            <w:noWrap/>
            <w:vAlign w:val="center"/>
            <w:hideMark/>
          </w:tcPr>
          <w:p w14:paraId="2BB7BD0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42DB2E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6D855C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tcBorders>
              <w:top w:val="nil"/>
              <w:bottom w:val="nil"/>
            </w:tcBorders>
            <w:noWrap/>
            <w:vAlign w:val="center"/>
            <w:hideMark/>
          </w:tcPr>
          <w:p w14:paraId="302C94B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952F16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E03AE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3767598" w14:textId="77777777" w:rsidTr="00027371">
        <w:trPr>
          <w:trHeight w:val="227"/>
        </w:trPr>
        <w:tc>
          <w:tcPr>
            <w:tcW w:w="1951" w:type="dxa"/>
            <w:noWrap/>
            <w:vAlign w:val="center"/>
            <w:hideMark/>
          </w:tcPr>
          <w:p w14:paraId="21C3B08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Aztreonam</w:t>
            </w:r>
          </w:p>
        </w:tc>
        <w:tc>
          <w:tcPr>
            <w:tcW w:w="639" w:type="dxa"/>
            <w:noWrap/>
            <w:vAlign w:val="center"/>
            <w:hideMark/>
          </w:tcPr>
          <w:p w14:paraId="6B583FA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338DBE6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87" w:type="dxa"/>
            <w:noWrap/>
            <w:vAlign w:val="center"/>
            <w:hideMark/>
          </w:tcPr>
          <w:p w14:paraId="5FCD86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627" w:type="dxa"/>
            <w:noWrap/>
            <w:vAlign w:val="center"/>
            <w:hideMark/>
          </w:tcPr>
          <w:p w14:paraId="6AB742B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3879E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CFF94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99B4A2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786B7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7BFC85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CFDC1EC" w14:textId="77777777" w:rsidTr="00027371">
        <w:trPr>
          <w:trHeight w:val="227"/>
        </w:trPr>
        <w:tc>
          <w:tcPr>
            <w:tcW w:w="1951" w:type="dxa"/>
            <w:noWrap/>
            <w:vAlign w:val="center"/>
            <w:hideMark/>
          </w:tcPr>
          <w:p w14:paraId="228A31F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Cefixime</w:t>
            </w:r>
          </w:p>
        </w:tc>
        <w:tc>
          <w:tcPr>
            <w:tcW w:w="639" w:type="dxa"/>
            <w:noWrap/>
            <w:vAlign w:val="center"/>
            <w:hideMark/>
          </w:tcPr>
          <w:p w14:paraId="2AAACFC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75F1EE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D5172C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18ACD0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8C5A04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0A3594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A3DDB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A7CA94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B775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B80733E" w14:textId="77777777" w:rsidTr="00027371">
        <w:trPr>
          <w:trHeight w:val="227"/>
        </w:trPr>
        <w:tc>
          <w:tcPr>
            <w:tcW w:w="1951" w:type="dxa"/>
            <w:noWrap/>
            <w:vAlign w:val="center"/>
            <w:hideMark/>
          </w:tcPr>
          <w:p w14:paraId="1E0549C9"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Cefotaxine</w:t>
            </w:r>
            <w:proofErr w:type="spellEnd"/>
          </w:p>
        </w:tc>
        <w:tc>
          <w:tcPr>
            <w:tcW w:w="639" w:type="dxa"/>
            <w:noWrap/>
            <w:vAlign w:val="center"/>
            <w:hideMark/>
          </w:tcPr>
          <w:p w14:paraId="4BEC6F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36</w:t>
            </w:r>
          </w:p>
        </w:tc>
        <w:tc>
          <w:tcPr>
            <w:tcW w:w="846" w:type="dxa"/>
            <w:noWrap/>
            <w:vAlign w:val="center"/>
            <w:hideMark/>
          </w:tcPr>
          <w:p w14:paraId="4885EB0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4969D4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64</w:t>
            </w:r>
          </w:p>
        </w:tc>
        <w:tc>
          <w:tcPr>
            <w:tcW w:w="627" w:type="dxa"/>
            <w:noWrap/>
            <w:vAlign w:val="center"/>
            <w:hideMark/>
          </w:tcPr>
          <w:p w14:paraId="311C5A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27CB92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7C2A4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128358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E9AB9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0DDE3F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E6232BA" w14:textId="77777777" w:rsidTr="00027371">
        <w:trPr>
          <w:trHeight w:val="227"/>
        </w:trPr>
        <w:tc>
          <w:tcPr>
            <w:tcW w:w="1951" w:type="dxa"/>
            <w:noWrap/>
            <w:vAlign w:val="center"/>
            <w:hideMark/>
          </w:tcPr>
          <w:p w14:paraId="09D207E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Ceftriaxone</w:t>
            </w:r>
          </w:p>
        </w:tc>
        <w:tc>
          <w:tcPr>
            <w:tcW w:w="639" w:type="dxa"/>
            <w:noWrap/>
            <w:vAlign w:val="center"/>
            <w:hideMark/>
          </w:tcPr>
          <w:p w14:paraId="59864F2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21</w:t>
            </w:r>
          </w:p>
        </w:tc>
        <w:tc>
          <w:tcPr>
            <w:tcW w:w="846" w:type="dxa"/>
            <w:noWrap/>
            <w:vAlign w:val="center"/>
            <w:hideMark/>
          </w:tcPr>
          <w:p w14:paraId="10989A3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961D9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79</w:t>
            </w:r>
          </w:p>
        </w:tc>
        <w:tc>
          <w:tcPr>
            <w:tcW w:w="627" w:type="dxa"/>
            <w:noWrap/>
            <w:vAlign w:val="center"/>
            <w:hideMark/>
          </w:tcPr>
          <w:p w14:paraId="49E8683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3F2B9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1C18F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99E8AE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2430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FC89E0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FC18C2E" w14:textId="77777777" w:rsidTr="00027371">
        <w:trPr>
          <w:trHeight w:val="227"/>
        </w:trPr>
        <w:tc>
          <w:tcPr>
            <w:tcW w:w="1951" w:type="dxa"/>
            <w:noWrap/>
            <w:vAlign w:val="center"/>
            <w:hideMark/>
          </w:tcPr>
          <w:p w14:paraId="5840E36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Ciprofloxacin</w:t>
            </w:r>
          </w:p>
        </w:tc>
        <w:tc>
          <w:tcPr>
            <w:tcW w:w="639" w:type="dxa"/>
            <w:noWrap/>
            <w:vAlign w:val="center"/>
            <w:hideMark/>
          </w:tcPr>
          <w:p w14:paraId="4C6104D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67</w:t>
            </w:r>
          </w:p>
        </w:tc>
        <w:tc>
          <w:tcPr>
            <w:tcW w:w="846" w:type="dxa"/>
            <w:noWrap/>
            <w:vAlign w:val="center"/>
            <w:hideMark/>
          </w:tcPr>
          <w:p w14:paraId="41029F5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w:t>
            </w:r>
          </w:p>
        </w:tc>
        <w:tc>
          <w:tcPr>
            <w:tcW w:w="887" w:type="dxa"/>
            <w:noWrap/>
            <w:vAlign w:val="center"/>
            <w:hideMark/>
          </w:tcPr>
          <w:p w14:paraId="1CA6B4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29</w:t>
            </w:r>
          </w:p>
        </w:tc>
        <w:tc>
          <w:tcPr>
            <w:tcW w:w="627" w:type="dxa"/>
            <w:noWrap/>
            <w:vAlign w:val="center"/>
            <w:hideMark/>
          </w:tcPr>
          <w:p w14:paraId="426D36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2CD993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7B8D8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2F03C1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53E415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05D20D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6DF670AC" w14:textId="77777777" w:rsidTr="00027371">
        <w:trPr>
          <w:trHeight w:val="227"/>
        </w:trPr>
        <w:tc>
          <w:tcPr>
            <w:tcW w:w="1951" w:type="dxa"/>
            <w:noWrap/>
            <w:vAlign w:val="center"/>
            <w:hideMark/>
          </w:tcPr>
          <w:p w14:paraId="7F2BA3D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Imipenem</w:t>
            </w:r>
          </w:p>
        </w:tc>
        <w:tc>
          <w:tcPr>
            <w:tcW w:w="639" w:type="dxa"/>
            <w:noWrap/>
            <w:vAlign w:val="center"/>
            <w:hideMark/>
          </w:tcPr>
          <w:p w14:paraId="483954D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5A7949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9F9013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627" w:type="dxa"/>
            <w:noWrap/>
            <w:vAlign w:val="center"/>
            <w:hideMark/>
          </w:tcPr>
          <w:p w14:paraId="60B15C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0F309E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73A51C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36010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7580E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832BFD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0E3D917" w14:textId="77777777" w:rsidTr="00027371">
        <w:trPr>
          <w:trHeight w:val="227"/>
        </w:trPr>
        <w:tc>
          <w:tcPr>
            <w:tcW w:w="1951" w:type="dxa"/>
            <w:noWrap/>
            <w:vAlign w:val="center"/>
            <w:hideMark/>
          </w:tcPr>
          <w:p w14:paraId="224D60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Ticarcillin</w:t>
            </w:r>
          </w:p>
        </w:tc>
        <w:tc>
          <w:tcPr>
            <w:tcW w:w="639" w:type="dxa"/>
            <w:noWrap/>
            <w:vAlign w:val="center"/>
            <w:hideMark/>
          </w:tcPr>
          <w:p w14:paraId="0D8D753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14</w:t>
            </w:r>
          </w:p>
        </w:tc>
        <w:tc>
          <w:tcPr>
            <w:tcW w:w="846" w:type="dxa"/>
            <w:noWrap/>
            <w:vAlign w:val="center"/>
            <w:hideMark/>
          </w:tcPr>
          <w:p w14:paraId="06D598A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B4D9C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86</w:t>
            </w:r>
          </w:p>
        </w:tc>
        <w:tc>
          <w:tcPr>
            <w:tcW w:w="627" w:type="dxa"/>
            <w:noWrap/>
            <w:vAlign w:val="center"/>
            <w:hideMark/>
          </w:tcPr>
          <w:p w14:paraId="7B6B5B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60A5227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A2735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0D40F6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030AE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6A55C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BE784B7" w14:textId="77777777" w:rsidTr="00027371">
        <w:trPr>
          <w:trHeight w:val="227"/>
        </w:trPr>
        <w:tc>
          <w:tcPr>
            <w:tcW w:w="1951" w:type="dxa"/>
            <w:noWrap/>
            <w:vAlign w:val="center"/>
          </w:tcPr>
          <w:p w14:paraId="400C08B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Gentamicin</w:t>
            </w:r>
          </w:p>
        </w:tc>
        <w:tc>
          <w:tcPr>
            <w:tcW w:w="639" w:type="dxa"/>
            <w:noWrap/>
            <w:vAlign w:val="center"/>
          </w:tcPr>
          <w:p w14:paraId="28B6572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46" w:type="dxa"/>
            <w:noWrap/>
            <w:vAlign w:val="center"/>
          </w:tcPr>
          <w:p w14:paraId="763950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tcPr>
          <w:p w14:paraId="0FCC4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627" w:type="dxa"/>
            <w:noWrap/>
            <w:vAlign w:val="center"/>
          </w:tcPr>
          <w:p w14:paraId="2B78B6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96</w:t>
            </w:r>
          </w:p>
        </w:tc>
        <w:tc>
          <w:tcPr>
            <w:tcW w:w="871" w:type="dxa"/>
            <w:noWrap/>
            <w:vAlign w:val="center"/>
          </w:tcPr>
          <w:p w14:paraId="50F5A0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7A20FED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w:t>
            </w:r>
          </w:p>
        </w:tc>
        <w:tc>
          <w:tcPr>
            <w:tcW w:w="790" w:type="dxa"/>
            <w:noWrap/>
            <w:vAlign w:val="center"/>
          </w:tcPr>
          <w:p w14:paraId="5EDE0F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080ED35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BCEE9A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7A40BC2" w14:textId="77777777" w:rsidTr="00027371">
        <w:trPr>
          <w:trHeight w:val="227"/>
        </w:trPr>
        <w:tc>
          <w:tcPr>
            <w:tcW w:w="1951" w:type="dxa"/>
            <w:noWrap/>
            <w:vAlign w:val="center"/>
          </w:tcPr>
          <w:p w14:paraId="4BDB25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Levofloxacin</w:t>
            </w:r>
          </w:p>
        </w:tc>
        <w:tc>
          <w:tcPr>
            <w:tcW w:w="639" w:type="dxa"/>
            <w:noWrap/>
            <w:vAlign w:val="center"/>
          </w:tcPr>
          <w:p w14:paraId="313731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846" w:type="dxa"/>
            <w:noWrap/>
            <w:vAlign w:val="center"/>
          </w:tcPr>
          <w:p w14:paraId="2D7479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87" w:type="dxa"/>
            <w:noWrap/>
            <w:vAlign w:val="center"/>
          </w:tcPr>
          <w:p w14:paraId="687006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627" w:type="dxa"/>
            <w:noWrap/>
            <w:vAlign w:val="center"/>
          </w:tcPr>
          <w:p w14:paraId="2CBB31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246E400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871" w:type="dxa"/>
            <w:noWrap/>
            <w:vAlign w:val="center"/>
          </w:tcPr>
          <w:p w14:paraId="349AEF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6D5CE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4363306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4F44A61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E720B9C" w14:textId="77777777" w:rsidTr="00027371">
        <w:trPr>
          <w:trHeight w:val="227"/>
        </w:trPr>
        <w:tc>
          <w:tcPr>
            <w:tcW w:w="1951" w:type="dxa"/>
            <w:noWrap/>
            <w:vAlign w:val="center"/>
            <w:hideMark/>
          </w:tcPr>
          <w:p w14:paraId="0B63D7B0" w14:textId="77777777" w:rsidR="00027371" w:rsidRPr="00027371" w:rsidRDefault="00027371" w:rsidP="00027371">
            <w:pPr>
              <w:pStyle w:val="Body"/>
              <w:spacing w:after="0"/>
              <w:rPr>
                <w:rFonts w:ascii="Arial" w:eastAsia="Times New Roman" w:hAnsi="Arial" w:cs="Arial"/>
                <w:b/>
                <w:sz w:val="18"/>
                <w:szCs w:val="18"/>
              </w:rPr>
            </w:pPr>
            <w:proofErr w:type="gramStart"/>
            <w:r w:rsidRPr="00027371">
              <w:rPr>
                <w:rFonts w:ascii="Arial" w:eastAsia="Times New Roman" w:hAnsi="Arial" w:cs="Arial"/>
                <w:b/>
                <w:sz w:val="18"/>
                <w:szCs w:val="18"/>
              </w:rPr>
              <w:t>Tri./</w:t>
            </w:r>
            <w:proofErr w:type="spellStart"/>
            <w:proofErr w:type="gramEnd"/>
            <w:r w:rsidRPr="00027371">
              <w:rPr>
                <w:rFonts w:ascii="Arial" w:eastAsia="Times New Roman" w:hAnsi="Arial" w:cs="Arial"/>
                <w:b/>
                <w:sz w:val="18"/>
                <w:szCs w:val="18"/>
              </w:rPr>
              <w:t>sulf</w:t>
            </w:r>
            <w:proofErr w:type="spellEnd"/>
            <w:r w:rsidRPr="00027371">
              <w:rPr>
                <w:rFonts w:ascii="Arial" w:eastAsia="Times New Roman" w:hAnsi="Arial" w:cs="Arial"/>
                <w:b/>
                <w:sz w:val="18"/>
                <w:szCs w:val="18"/>
              </w:rPr>
              <w:t>.</w:t>
            </w:r>
          </w:p>
        </w:tc>
        <w:tc>
          <w:tcPr>
            <w:tcW w:w="639" w:type="dxa"/>
            <w:noWrap/>
            <w:vAlign w:val="center"/>
            <w:hideMark/>
          </w:tcPr>
          <w:p w14:paraId="105635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5661BD1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EA1070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029898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311D1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DA20A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C7C01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65</w:t>
            </w:r>
          </w:p>
        </w:tc>
        <w:tc>
          <w:tcPr>
            <w:tcW w:w="790" w:type="dxa"/>
            <w:noWrap/>
            <w:vAlign w:val="center"/>
            <w:hideMark/>
          </w:tcPr>
          <w:p w14:paraId="1C42B3D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5F9E27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35</w:t>
            </w:r>
          </w:p>
        </w:tc>
      </w:tr>
      <w:tr w:rsidR="00027371" w:rsidRPr="00027371" w14:paraId="5CFD020E" w14:textId="77777777" w:rsidTr="00027371">
        <w:trPr>
          <w:trHeight w:val="227"/>
        </w:trPr>
        <w:tc>
          <w:tcPr>
            <w:tcW w:w="1951" w:type="dxa"/>
            <w:noWrap/>
            <w:vAlign w:val="center"/>
            <w:hideMark/>
          </w:tcPr>
          <w:p w14:paraId="1834165F"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Cefoxitine</w:t>
            </w:r>
            <w:proofErr w:type="spellEnd"/>
          </w:p>
        </w:tc>
        <w:tc>
          <w:tcPr>
            <w:tcW w:w="639" w:type="dxa"/>
            <w:vAlign w:val="center"/>
          </w:tcPr>
          <w:p w14:paraId="214B04E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56086D0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1C4AC41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7B5067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6A2D4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FB20D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2CC365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25</w:t>
            </w:r>
          </w:p>
        </w:tc>
        <w:tc>
          <w:tcPr>
            <w:tcW w:w="790" w:type="dxa"/>
            <w:noWrap/>
            <w:vAlign w:val="center"/>
            <w:hideMark/>
          </w:tcPr>
          <w:p w14:paraId="5F09E28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943E6E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r>
      <w:tr w:rsidR="00027371" w:rsidRPr="00027371" w14:paraId="4AC20B88" w14:textId="77777777" w:rsidTr="00027371">
        <w:trPr>
          <w:trHeight w:val="227"/>
        </w:trPr>
        <w:tc>
          <w:tcPr>
            <w:tcW w:w="1951" w:type="dxa"/>
            <w:noWrap/>
            <w:vAlign w:val="center"/>
            <w:hideMark/>
          </w:tcPr>
          <w:p w14:paraId="7144B564"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Clindamycin</w:t>
            </w:r>
          </w:p>
        </w:tc>
        <w:tc>
          <w:tcPr>
            <w:tcW w:w="639" w:type="dxa"/>
            <w:vAlign w:val="center"/>
          </w:tcPr>
          <w:p w14:paraId="73EFA3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B5309A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A70B1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626131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71" w:type="dxa"/>
            <w:noWrap/>
            <w:vAlign w:val="center"/>
            <w:hideMark/>
          </w:tcPr>
          <w:p w14:paraId="45BA5A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193F746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790" w:type="dxa"/>
            <w:noWrap/>
            <w:vAlign w:val="center"/>
            <w:hideMark/>
          </w:tcPr>
          <w:p w14:paraId="3261EE6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790" w:type="dxa"/>
            <w:noWrap/>
            <w:vAlign w:val="center"/>
            <w:hideMark/>
          </w:tcPr>
          <w:p w14:paraId="7204EFB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26C2B3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r>
      <w:tr w:rsidR="00027371" w:rsidRPr="00027371" w14:paraId="1BA122C9" w14:textId="77777777" w:rsidTr="00027371">
        <w:trPr>
          <w:trHeight w:val="227"/>
        </w:trPr>
        <w:tc>
          <w:tcPr>
            <w:tcW w:w="1951" w:type="dxa"/>
            <w:noWrap/>
            <w:vAlign w:val="center"/>
            <w:hideMark/>
          </w:tcPr>
          <w:p w14:paraId="11414F9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Erythromycin</w:t>
            </w:r>
          </w:p>
        </w:tc>
        <w:tc>
          <w:tcPr>
            <w:tcW w:w="639" w:type="dxa"/>
            <w:vAlign w:val="center"/>
          </w:tcPr>
          <w:p w14:paraId="11978FB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7E70AE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3D6E09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2573F95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19</w:t>
            </w:r>
          </w:p>
        </w:tc>
        <w:tc>
          <w:tcPr>
            <w:tcW w:w="871" w:type="dxa"/>
            <w:noWrap/>
            <w:vAlign w:val="center"/>
            <w:hideMark/>
          </w:tcPr>
          <w:p w14:paraId="6D32818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5A03E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81</w:t>
            </w:r>
          </w:p>
        </w:tc>
        <w:tc>
          <w:tcPr>
            <w:tcW w:w="790" w:type="dxa"/>
            <w:noWrap/>
            <w:vAlign w:val="center"/>
            <w:hideMark/>
          </w:tcPr>
          <w:p w14:paraId="2F8338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70</w:t>
            </w:r>
          </w:p>
        </w:tc>
        <w:tc>
          <w:tcPr>
            <w:tcW w:w="790" w:type="dxa"/>
            <w:noWrap/>
            <w:vAlign w:val="center"/>
            <w:hideMark/>
          </w:tcPr>
          <w:p w14:paraId="582C19A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2EE17DB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30</w:t>
            </w:r>
          </w:p>
        </w:tc>
      </w:tr>
      <w:tr w:rsidR="00027371" w:rsidRPr="00027371" w14:paraId="3CE82105" w14:textId="77777777" w:rsidTr="00027371">
        <w:trPr>
          <w:trHeight w:val="227"/>
        </w:trPr>
        <w:tc>
          <w:tcPr>
            <w:tcW w:w="1951" w:type="dxa"/>
            <w:noWrap/>
            <w:vAlign w:val="center"/>
            <w:hideMark/>
          </w:tcPr>
          <w:p w14:paraId="0FC0472C"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Penicillin G</w:t>
            </w:r>
          </w:p>
        </w:tc>
        <w:tc>
          <w:tcPr>
            <w:tcW w:w="639" w:type="dxa"/>
            <w:vAlign w:val="center"/>
          </w:tcPr>
          <w:p w14:paraId="5E7727C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1C3D80A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7E7DDA4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3D2B3A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E7975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497A78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901E7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3914C88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6D5DA74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r>
      <w:tr w:rsidR="00027371" w:rsidRPr="00027371" w14:paraId="64FA0607" w14:textId="77777777" w:rsidTr="00027371">
        <w:trPr>
          <w:trHeight w:val="227"/>
        </w:trPr>
        <w:tc>
          <w:tcPr>
            <w:tcW w:w="1951" w:type="dxa"/>
            <w:noWrap/>
            <w:vAlign w:val="center"/>
            <w:hideMark/>
          </w:tcPr>
          <w:p w14:paraId="304793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Tetracycline</w:t>
            </w:r>
          </w:p>
        </w:tc>
        <w:tc>
          <w:tcPr>
            <w:tcW w:w="639" w:type="dxa"/>
            <w:vAlign w:val="center"/>
          </w:tcPr>
          <w:p w14:paraId="450401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5B4FAB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0325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52C59C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39</w:t>
            </w:r>
          </w:p>
        </w:tc>
        <w:tc>
          <w:tcPr>
            <w:tcW w:w="871" w:type="dxa"/>
            <w:noWrap/>
            <w:vAlign w:val="center"/>
            <w:hideMark/>
          </w:tcPr>
          <w:p w14:paraId="021465E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639639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61</w:t>
            </w:r>
          </w:p>
        </w:tc>
        <w:tc>
          <w:tcPr>
            <w:tcW w:w="790" w:type="dxa"/>
            <w:noWrap/>
            <w:vAlign w:val="center"/>
            <w:hideMark/>
          </w:tcPr>
          <w:p w14:paraId="15190FF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60</w:t>
            </w:r>
          </w:p>
        </w:tc>
        <w:tc>
          <w:tcPr>
            <w:tcW w:w="790" w:type="dxa"/>
            <w:noWrap/>
            <w:vAlign w:val="center"/>
            <w:hideMark/>
          </w:tcPr>
          <w:p w14:paraId="7D860A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A485BE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40</w:t>
            </w:r>
          </w:p>
        </w:tc>
      </w:tr>
    </w:tbl>
    <w:p w14:paraId="66C63054" w14:textId="77777777" w:rsidR="00A651A1" w:rsidRPr="00027371" w:rsidRDefault="00027371" w:rsidP="00027371">
      <w:pPr>
        <w:pStyle w:val="Body"/>
        <w:jc w:val="center"/>
        <w:rPr>
          <w:rFonts w:ascii="Arial" w:hAnsi="Arial" w:cs="Arial"/>
          <w:sz w:val="16"/>
        </w:rPr>
      </w:pPr>
      <w:r w:rsidRPr="00027371">
        <w:rPr>
          <w:rFonts w:ascii="Arial" w:hAnsi="Arial" w:cs="Arial"/>
          <w:sz w:val="16"/>
        </w:rPr>
        <w:t xml:space="preserve">-: Not tested; GNR: Gram-negative rods; GPR: Gram-positive rods; GPC: Gram-positive cocci; S: frequencies of susceptible isolates; SHP: frequencies of isolates susceptible at high posology; R: frequencies of resistant isolates; </w:t>
      </w:r>
      <w:proofErr w:type="spellStart"/>
      <w:r w:rsidRPr="00027371">
        <w:rPr>
          <w:rFonts w:ascii="Arial" w:hAnsi="Arial" w:cs="Arial"/>
          <w:sz w:val="16"/>
        </w:rPr>
        <w:t>Amox</w:t>
      </w:r>
      <w:proofErr w:type="spellEnd"/>
      <w:r w:rsidRPr="00027371">
        <w:rPr>
          <w:rFonts w:ascii="Arial" w:hAnsi="Arial" w:cs="Arial"/>
          <w:sz w:val="16"/>
        </w:rPr>
        <w:t>./</w:t>
      </w:r>
      <w:proofErr w:type="spellStart"/>
      <w:r w:rsidRPr="00027371">
        <w:rPr>
          <w:rFonts w:ascii="Arial" w:hAnsi="Arial" w:cs="Arial"/>
          <w:sz w:val="16"/>
        </w:rPr>
        <w:t>a.clac</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 xml:space="preserve">Amoxicillin/Clavulanic acid, </w:t>
      </w:r>
      <w:proofErr w:type="gramStart"/>
      <w:r w:rsidRPr="00027371">
        <w:rPr>
          <w:rFonts w:ascii="Arial" w:hAnsi="Arial" w:cs="Arial"/>
          <w:sz w:val="16"/>
        </w:rPr>
        <w:t>Tri./</w:t>
      </w:r>
      <w:proofErr w:type="spellStart"/>
      <w:proofErr w:type="gramEnd"/>
      <w:r w:rsidRPr="00027371">
        <w:rPr>
          <w:rFonts w:ascii="Arial" w:hAnsi="Arial" w:cs="Arial"/>
          <w:sz w:val="16"/>
        </w:rPr>
        <w:t>sulf</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Trimethoprim/Sulfamethoxazole</w:t>
      </w:r>
    </w:p>
    <w:p w14:paraId="5C38F509"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860FA1" w:rsidRPr="00860FA1">
        <w:rPr>
          <w:b/>
        </w:rPr>
        <w:t>Groups of secondary metabolites in the extract</w:t>
      </w:r>
      <w:r w:rsidRPr="00ED3A6C">
        <w:rPr>
          <w:rFonts w:ascii="Arial" w:hAnsi="Arial" w:cs="Arial"/>
        </w:rPr>
        <w:t xml:space="preserve"> </w:t>
      </w:r>
    </w:p>
    <w:p w14:paraId="101D310A" w14:textId="77777777" w:rsidR="00860FA1" w:rsidRDefault="00860FA1" w:rsidP="00F61306">
      <w:pPr>
        <w:jc w:val="both"/>
      </w:pPr>
      <w:r w:rsidRPr="007F68A6">
        <w:t xml:space="preserve">The phytochemical screening performed on the hydroethanolic extract obtained from the dried leaves of </w:t>
      </w:r>
      <w:proofErr w:type="spellStart"/>
      <w:r w:rsidRPr="007F68A6">
        <w:rPr>
          <w:i/>
        </w:rPr>
        <w:t>Cajanus</w:t>
      </w:r>
      <w:proofErr w:type="spellEnd"/>
      <w:r w:rsidRPr="007F68A6">
        <w:rPr>
          <w:i/>
        </w:rPr>
        <w:t xml:space="preserve"> </w:t>
      </w:r>
      <w:proofErr w:type="spellStart"/>
      <w:r w:rsidRPr="007F68A6">
        <w:rPr>
          <w:i/>
        </w:rPr>
        <w:t>cajan</w:t>
      </w:r>
      <w:proofErr w:type="spellEnd"/>
      <w:r w:rsidRPr="007F68A6">
        <w:t xml:space="preserve"> (L.) </w:t>
      </w:r>
      <w:proofErr w:type="spellStart"/>
      <w:r w:rsidRPr="007F68A6">
        <w:t>Millsp</w:t>
      </w:r>
      <w:proofErr w:type="spellEnd"/>
      <w:r w:rsidRPr="007F68A6">
        <w:t>. revealed the presence of flavonoids, polyphenols, bound quinones, tannins and terpenes.</w:t>
      </w:r>
    </w:p>
    <w:p w14:paraId="4AEF0D25" w14:textId="77777777" w:rsidR="00860FA1" w:rsidRDefault="00860FA1" w:rsidP="00F61306">
      <w:pPr>
        <w:jc w:val="both"/>
      </w:pPr>
    </w:p>
    <w:p w14:paraId="4FD82D57" w14:textId="77777777" w:rsidR="00860FA1" w:rsidRPr="00ED3A6C" w:rsidRDefault="00860FA1" w:rsidP="00860FA1">
      <w:pPr>
        <w:pStyle w:val="Body"/>
        <w:rPr>
          <w:rFonts w:ascii="Arial" w:hAnsi="Arial" w:cs="Arial"/>
        </w:rPr>
      </w:pPr>
      <w:r w:rsidRPr="00ED3A6C">
        <w:rPr>
          <w:rFonts w:ascii="Arial" w:hAnsi="Arial" w:cs="Arial"/>
          <w:b/>
          <w:caps/>
          <w:sz w:val="22"/>
        </w:rPr>
        <w:t>3.</w:t>
      </w:r>
      <w:r>
        <w:rPr>
          <w:rFonts w:ascii="Arial" w:hAnsi="Arial" w:cs="Arial"/>
          <w:b/>
          <w:caps/>
          <w:sz w:val="22"/>
        </w:rPr>
        <w:t>3</w:t>
      </w:r>
      <w:r w:rsidRPr="00ED3A6C">
        <w:rPr>
          <w:rFonts w:ascii="Arial" w:hAnsi="Arial" w:cs="Arial"/>
          <w:b/>
          <w:caps/>
          <w:sz w:val="22"/>
        </w:rPr>
        <w:t xml:space="preserve"> </w:t>
      </w:r>
      <w:r w:rsidRPr="00860FA1">
        <w:rPr>
          <w:b/>
        </w:rPr>
        <w:t>The MIC, MBC and extract categories</w:t>
      </w:r>
    </w:p>
    <w:p w14:paraId="335047D6" w14:textId="77777777" w:rsidR="00860FA1" w:rsidRPr="00860FA1" w:rsidRDefault="00860FA1" w:rsidP="00027371">
      <w:pPr>
        <w:spacing w:after="120"/>
        <w:jc w:val="both"/>
      </w:pPr>
      <w:r w:rsidRPr="00860FA1">
        <w:t>The minimal inhibitory and bactericidal concentrations (Table 3) of this hydroethanolic extract ranged from 1.465 through 93.75 mg/mL and from 6.25 through 175 mg/mL, respectively.</w:t>
      </w:r>
    </w:p>
    <w:p w14:paraId="29E09F6E" w14:textId="77777777" w:rsidR="00860FA1" w:rsidRPr="00860FA1" w:rsidRDefault="00860FA1" w:rsidP="00027371">
      <w:pPr>
        <w:spacing w:after="120"/>
        <w:jc w:val="both"/>
      </w:pPr>
      <w:r w:rsidRPr="00860FA1">
        <w:lastRenderedPageBreak/>
        <w:t xml:space="preserve">Further details (Table 3) indicate that this extract was most effective on </w:t>
      </w:r>
      <w:r w:rsidRPr="00860FA1">
        <w:rPr>
          <w:i/>
        </w:rPr>
        <w:t>Staphylococcus</w:t>
      </w:r>
      <w:r w:rsidRPr="00860FA1">
        <w:t xml:space="preserve"> (MIC = 3.2663±1.6854 mg/mL; MBC = 12.0701±5.7882 mg/mL). Conversely, GPR were the least affected (MIC = 69.4185±17.4405 mg/mL; MBC = 116.8478±35.677 mg/mL) by the extract. Amongst the Gram-negative rods, </w:t>
      </w:r>
      <w:r w:rsidRPr="00860FA1">
        <w:rPr>
          <w:i/>
        </w:rPr>
        <w:t>Pseudomonas</w:t>
      </w:r>
      <w:r w:rsidRPr="00860FA1">
        <w:t xml:space="preserve"> expressed the highest tolerance levels (MIC = 43.2292±3.0725 mg/mL; MBC = 73.9583±11.2962 mg/mL), followed by </w:t>
      </w:r>
      <w:r w:rsidRPr="00860FA1">
        <w:rPr>
          <w:i/>
        </w:rPr>
        <w:t>Enterobacteriaceae</w:t>
      </w:r>
      <w:r w:rsidRPr="00860FA1">
        <w:t xml:space="preserve"> (MIC = 12.2342±3.6743 mg/mL; MBC = 22.1153±6.3016 mg/mL).</w:t>
      </w:r>
    </w:p>
    <w:p w14:paraId="29510BC4" w14:textId="77777777" w:rsidR="00860FA1" w:rsidRDefault="00860FA1" w:rsidP="00027371">
      <w:pPr>
        <w:spacing w:after="120"/>
        <w:jc w:val="both"/>
      </w:pPr>
      <w:r w:rsidRPr="00860FA1">
        <w:t xml:space="preserve">The results from Table 3 shown that the bacteriostatic potential was recorded on 70% of </w:t>
      </w:r>
      <w:r w:rsidRPr="00860FA1">
        <w:rPr>
          <w:i/>
        </w:rPr>
        <w:t>Staphylococcus</w:t>
      </w:r>
      <w:r w:rsidRPr="00860FA1">
        <w:t xml:space="preserve"> and the bactericidal on 78.125% of the subjected isolates.</w:t>
      </w:r>
    </w:p>
    <w:p w14:paraId="253D18A6" w14:textId="77777777" w:rsidR="00027371" w:rsidRPr="00E0388A" w:rsidRDefault="00027371" w:rsidP="00027371">
      <w:pPr>
        <w:jc w:val="both"/>
        <w:rPr>
          <w:b/>
          <w:sz w:val="18"/>
        </w:rPr>
      </w:pPr>
      <w:r w:rsidRPr="00E0388A">
        <w:rPr>
          <w:b/>
          <w:sz w:val="18"/>
        </w:rPr>
        <w:t xml:space="preserve">Table 3. MICs and MBCs of the present extract of </w:t>
      </w:r>
      <w:proofErr w:type="spellStart"/>
      <w:r w:rsidRPr="00E0388A">
        <w:rPr>
          <w:b/>
          <w:i/>
          <w:sz w:val="18"/>
        </w:rPr>
        <w:t>Cajanus</w:t>
      </w:r>
      <w:proofErr w:type="spellEnd"/>
      <w:r w:rsidRPr="00E0388A">
        <w:rPr>
          <w:b/>
          <w:i/>
          <w:sz w:val="18"/>
        </w:rPr>
        <w:t xml:space="preserve"> </w:t>
      </w:r>
      <w:proofErr w:type="spellStart"/>
      <w:r w:rsidRPr="00E0388A">
        <w:rPr>
          <w:b/>
          <w:i/>
          <w:sz w:val="18"/>
        </w:rPr>
        <w:t>cajan</w:t>
      </w:r>
      <w:proofErr w:type="spellEnd"/>
      <w:r w:rsidRPr="00E0388A">
        <w:rPr>
          <w:b/>
          <w:sz w:val="18"/>
        </w:rPr>
        <w:t xml:space="preserve"> in relation to the present bacterial pool</w:t>
      </w:r>
    </w:p>
    <w:tbl>
      <w:tblPr>
        <w:tblW w:w="10228" w:type="dxa"/>
        <w:jc w:val="center"/>
        <w:tblBorders>
          <w:top w:val="single" w:sz="4" w:space="0" w:color="auto"/>
          <w:bottom w:val="single" w:sz="4" w:space="0" w:color="auto"/>
        </w:tblBorders>
        <w:tblLook w:val="04A0" w:firstRow="1" w:lastRow="0" w:firstColumn="1" w:lastColumn="0" w:noHBand="0" w:noVBand="1"/>
      </w:tblPr>
      <w:tblGrid>
        <w:gridCol w:w="1413"/>
        <w:gridCol w:w="1050"/>
        <w:gridCol w:w="823"/>
        <w:gridCol w:w="967"/>
        <w:gridCol w:w="867"/>
        <w:gridCol w:w="867"/>
        <w:gridCol w:w="867"/>
        <w:gridCol w:w="823"/>
        <w:gridCol w:w="823"/>
        <w:gridCol w:w="867"/>
        <w:gridCol w:w="867"/>
      </w:tblGrid>
      <w:tr w:rsidR="00027371" w:rsidRPr="00027371" w14:paraId="77498634" w14:textId="77777777" w:rsidTr="00027371">
        <w:trPr>
          <w:cantSplit/>
          <w:trHeight w:val="1505"/>
          <w:jc w:val="center"/>
        </w:trPr>
        <w:tc>
          <w:tcPr>
            <w:tcW w:w="2463" w:type="dxa"/>
            <w:gridSpan w:val="2"/>
            <w:tcBorders>
              <w:bottom w:val="single" w:sz="4" w:space="0" w:color="auto"/>
            </w:tcBorders>
            <w:noWrap/>
            <w:vAlign w:val="center"/>
            <w:hideMark/>
          </w:tcPr>
          <w:p w14:paraId="33E765DB" w14:textId="77777777" w:rsidR="00027371" w:rsidRPr="00027371" w:rsidRDefault="00027371" w:rsidP="00027371">
            <w:pPr>
              <w:jc w:val="both"/>
              <w:rPr>
                <w:b/>
                <w:bCs/>
                <w:sz w:val="18"/>
                <w:szCs w:val="18"/>
              </w:rPr>
            </w:pPr>
            <w:r w:rsidRPr="00027371">
              <w:rPr>
                <w:b/>
                <w:bCs/>
                <w:sz w:val="18"/>
                <w:szCs w:val="18"/>
              </w:rPr>
              <w:t>Parameters</w:t>
            </w:r>
          </w:p>
        </w:tc>
        <w:tc>
          <w:tcPr>
            <w:tcW w:w="823" w:type="dxa"/>
            <w:tcBorders>
              <w:bottom w:val="single" w:sz="4" w:space="0" w:color="auto"/>
            </w:tcBorders>
            <w:noWrap/>
            <w:textDirection w:val="btLr"/>
            <w:vAlign w:val="center"/>
            <w:hideMark/>
          </w:tcPr>
          <w:p w14:paraId="4F3B5C52" w14:textId="77777777" w:rsidR="00027371" w:rsidRPr="00027371" w:rsidRDefault="00027371" w:rsidP="00027371">
            <w:pPr>
              <w:jc w:val="both"/>
              <w:rPr>
                <w:b/>
                <w:bCs/>
                <w:sz w:val="18"/>
                <w:szCs w:val="18"/>
              </w:rPr>
            </w:pPr>
            <w:r w:rsidRPr="00027371">
              <w:rPr>
                <w:b/>
                <w:bCs/>
                <w:i/>
                <w:sz w:val="18"/>
                <w:szCs w:val="18"/>
              </w:rPr>
              <w:t>Acinetobacter</w:t>
            </w:r>
            <w:r w:rsidRPr="00027371">
              <w:rPr>
                <w:b/>
                <w:bCs/>
                <w:sz w:val="18"/>
                <w:szCs w:val="18"/>
              </w:rPr>
              <w:t xml:space="preserve"> spp.</w:t>
            </w:r>
          </w:p>
        </w:tc>
        <w:tc>
          <w:tcPr>
            <w:tcW w:w="966" w:type="dxa"/>
            <w:tcBorders>
              <w:bottom w:val="single" w:sz="4" w:space="0" w:color="auto"/>
            </w:tcBorders>
            <w:noWrap/>
            <w:textDirection w:val="btLr"/>
            <w:vAlign w:val="center"/>
            <w:hideMark/>
          </w:tcPr>
          <w:p w14:paraId="3351A6DB" w14:textId="77777777" w:rsidR="00027371" w:rsidRPr="00027371" w:rsidRDefault="00027371" w:rsidP="00027371">
            <w:pPr>
              <w:jc w:val="both"/>
              <w:rPr>
                <w:b/>
                <w:bCs/>
                <w:sz w:val="18"/>
                <w:szCs w:val="18"/>
              </w:rPr>
            </w:pPr>
            <w:r w:rsidRPr="00027371">
              <w:rPr>
                <w:b/>
                <w:bCs/>
                <w:sz w:val="18"/>
                <w:szCs w:val="18"/>
              </w:rPr>
              <w:t>GPR</w:t>
            </w:r>
          </w:p>
        </w:tc>
        <w:tc>
          <w:tcPr>
            <w:tcW w:w="866" w:type="dxa"/>
            <w:tcBorders>
              <w:bottom w:val="single" w:sz="4" w:space="0" w:color="auto"/>
            </w:tcBorders>
            <w:noWrap/>
            <w:textDirection w:val="btLr"/>
            <w:vAlign w:val="center"/>
            <w:hideMark/>
          </w:tcPr>
          <w:p w14:paraId="5E7AFD11" w14:textId="77777777" w:rsidR="00027371" w:rsidRPr="00027371" w:rsidRDefault="00027371" w:rsidP="00027371">
            <w:pPr>
              <w:jc w:val="both"/>
              <w:rPr>
                <w:b/>
                <w:bCs/>
                <w:sz w:val="18"/>
                <w:szCs w:val="18"/>
              </w:rPr>
            </w:pPr>
            <w:r w:rsidRPr="00027371">
              <w:rPr>
                <w:b/>
                <w:bCs/>
                <w:i/>
                <w:sz w:val="18"/>
                <w:szCs w:val="18"/>
              </w:rPr>
              <w:t>Enterobacter</w:t>
            </w:r>
            <w:r w:rsidRPr="00027371">
              <w:rPr>
                <w:b/>
                <w:bCs/>
                <w:sz w:val="18"/>
                <w:szCs w:val="18"/>
              </w:rPr>
              <w:t xml:space="preserve"> spp.</w:t>
            </w:r>
          </w:p>
        </w:tc>
        <w:tc>
          <w:tcPr>
            <w:tcW w:w="866" w:type="dxa"/>
            <w:tcBorders>
              <w:bottom w:val="single" w:sz="4" w:space="0" w:color="auto"/>
            </w:tcBorders>
            <w:noWrap/>
            <w:textDirection w:val="btLr"/>
            <w:vAlign w:val="center"/>
            <w:hideMark/>
          </w:tcPr>
          <w:p w14:paraId="2F4B6964" w14:textId="77777777" w:rsidR="00027371" w:rsidRPr="00027371" w:rsidRDefault="00027371" w:rsidP="00027371">
            <w:pPr>
              <w:jc w:val="both"/>
              <w:rPr>
                <w:b/>
                <w:bCs/>
                <w:sz w:val="18"/>
                <w:szCs w:val="18"/>
              </w:rPr>
            </w:pPr>
            <w:r w:rsidRPr="00027371">
              <w:rPr>
                <w:b/>
                <w:bCs/>
                <w:i/>
                <w:sz w:val="18"/>
                <w:szCs w:val="18"/>
              </w:rPr>
              <w:t>Klebsiella</w:t>
            </w:r>
            <w:r w:rsidRPr="00027371">
              <w:rPr>
                <w:b/>
                <w:bCs/>
                <w:sz w:val="18"/>
                <w:szCs w:val="18"/>
              </w:rPr>
              <w:t xml:space="preserve"> spp.</w:t>
            </w:r>
          </w:p>
        </w:tc>
        <w:tc>
          <w:tcPr>
            <w:tcW w:w="866" w:type="dxa"/>
            <w:tcBorders>
              <w:bottom w:val="single" w:sz="4" w:space="0" w:color="auto"/>
            </w:tcBorders>
            <w:noWrap/>
            <w:textDirection w:val="btLr"/>
            <w:vAlign w:val="center"/>
            <w:hideMark/>
          </w:tcPr>
          <w:p w14:paraId="7B16F099" w14:textId="77777777" w:rsidR="00027371" w:rsidRPr="00027371" w:rsidRDefault="00027371" w:rsidP="00027371">
            <w:pPr>
              <w:jc w:val="both"/>
              <w:rPr>
                <w:b/>
                <w:bCs/>
                <w:sz w:val="18"/>
                <w:szCs w:val="18"/>
              </w:rPr>
            </w:pPr>
            <w:r w:rsidRPr="00027371">
              <w:rPr>
                <w:b/>
                <w:bCs/>
                <w:i/>
                <w:sz w:val="18"/>
                <w:szCs w:val="18"/>
              </w:rPr>
              <w:t>Pseudomonas</w:t>
            </w:r>
            <w:r w:rsidRPr="00027371">
              <w:rPr>
                <w:b/>
                <w:bCs/>
                <w:sz w:val="18"/>
                <w:szCs w:val="18"/>
              </w:rPr>
              <w:t xml:space="preserve"> spp.</w:t>
            </w:r>
          </w:p>
        </w:tc>
        <w:tc>
          <w:tcPr>
            <w:tcW w:w="823" w:type="dxa"/>
            <w:tcBorders>
              <w:bottom w:val="single" w:sz="4" w:space="0" w:color="auto"/>
            </w:tcBorders>
            <w:noWrap/>
            <w:textDirection w:val="btLr"/>
            <w:vAlign w:val="center"/>
            <w:hideMark/>
          </w:tcPr>
          <w:p w14:paraId="3A192487" w14:textId="77777777" w:rsidR="00027371" w:rsidRPr="00027371" w:rsidRDefault="00027371" w:rsidP="00027371">
            <w:pPr>
              <w:jc w:val="both"/>
              <w:rPr>
                <w:b/>
                <w:bCs/>
                <w:sz w:val="18"/>
                <w:szCs w:val="18"/>
              </w:rPr>
            </w:pPr>
            <w:r w:rsidRPr="00027371">
              <w:rPr>
                <w:b/>
                <w:bCs/>
                <w:i/>
                <w:sz w:val="18"/>
                <w:szCs w:val="18"/>
              </w:rPr>
              <w:t>Salmonella</w:t>
            </w:r>
            <w:r w:rsidRPr="00027371">
              <w:rPr>
                <w:b/>
                <w:bCs/>
                <w:sz w:val="18"/>
                <w:szCs w:val="18"/>
              </w:rPr>
              <w:t xml:space="preserve"> spp.</w:t>
            </w:r>
          </w:p>
        </w:tc>
        <w:tc>
          <w:tcPr>
            <w:tcW w:w="823" w:type="dxa"/>
            <w:tcBorders>
              <w:bottom w:val="single" w:sz="4" w:space="0" w:color="auto"/>
            </w:tcBorders>
            <w:noWrap/>
            <w:textDirection w:val="btLr"/>
            <w:vAlign w:val="center"/>
            <w:hideMark/>
          </w:tcPr>
          <w:p w14:paraId="719B2E20" w14:textId="77777777" w:rsidR="00027371" w:rsidRPr="00027371" w:rsidRDefault="00027371" w:rsidP="00027371">
            <w:pPr>
              <w:jc w:val="both"/>
              <w:rPr>
                <w:b/>
                <w:bCs/>
                <w:sz w:val="18"/>
                <w:szCs w:val="18"/>
              </w:rPr>
            </w:pPr>
            <w:r w:rsidRPr="00027371">
              <w:rPr>
                <w:b/>
                <w:bCs/>
                <w:i/>
                <w:sz w:val="18"/>
                <w:szCs w:val="18"/>
              </w:rPr>
              <w:t>Serratia</w:t>
            </w:r>
            <w:r w:rsidRPr="00027371">
              <w:rPr>
                <w:b/>
                <w:bCs/>
                <w:sz w:val="18"/>
                <w:szCs w:val="18"/>
              </w:rPr>
              <w:t xml:space="preserve"> spp.</w:t>
            </w:r>
          </w:p>
        </w:tc>
        <w:tc>
          <w:tcPr>
            <w:tcW w:w="866" w:type="dxa"/>
            <w:tcBorders>
              <w:bottom w:val="single" w:sz="4" w:space="0" w:color="auto"/>
            </w:tcBorders>
            <w:noWrap/>
            <w:textDirection w:val="btLr"/>
            <w:vAlign w:val="center"/>
            <w:hideMark/>
          </w:tcPr>
          <w:p w14:paraId="69456EB8" w14:textId="77777777" w:rsidR="00027371" w:rsidRPr="00027371" w:rsidRDefault="00027371" w:rsidP="00027371">
            <w:pPr>
              <w:jc w:val="both"/>
              <w:rPr>
                <w:b/>
                <w:bCs/>
                <w:sz w:val="18"/>
                <w:szCs w:val="18"/>
              </w:rPr>
            </w:pPr>
            <w:r w:rsidRPr="00027371">
              <w:rPr>
                <w:b/>
                <w:bCs/>
                <w:i/>
                <w:sz w:val="18"/>
                <w:szCs w:val="18"/>
              </w:rPr>
              <w:t>Staphylococcus</w:t>
            </w:r>
            <w:r w:rsidRPr="00027371">
              <w:rPr>
                <w:b/>
                <w:bCs/>
                <w:sz w:val="18"/>
                <w:szCs w:val="18"/>
              </w:rPr>
              <w:t xml:space="preserve"> spp.</w:t>
            </w:r>
          </w:p>
        </w:tc>
        <w:tc>
          <w:tcPr>
            <w:tcW w:w="866" w:type="dxa"/>
            <w:tcBorders>
              <w:bottom w:val="single" w:sz="4" w:space="0" w:color="auto"/>
            </w:tcBorders>
            <w:noWrap/>
            <w:textDirection w:val="btLr"/>
            <w:vAlign w:val="center"/>
            <w:hideMark/>
          </w:tcPr>
          <w:p w14:paraId="27B574AB" w14:textId="77777777" w:rsidR="00027371" w:rsidRPr="00027371" w:rsidRDefault="00027371" w:rsidP="00027371">
            <w:pPr>
              <w:jc w:val="both"/>
              <w:rPr>
                <w:b/>
                <w:bCs/>
                <w:sz w:val="18"/>
                <w:szCs w:val="18"/>
              </w:rPr>
            </w:pPr>
            <w:r w:rsidRPr="00027371">
              <w:rPr>
                <w:b/>
                <w:bCs/>
                <w:i/>
                <w:sz w:val="18"/>
                <w:szCs w:val="18"/>
              </w:rPr>
              <w:t>Yersinia</w:t>
            </w:r>
            <w:r w:rsidRPr="00027371">
              <w:rPr>
                <w:b/>
                <w:bCs/>
                <w:sz w:val="18"/>
                <w:szCs w:val="18"/>
              </w:rPr>
              <w:t xml:space="preserve"> spp.</w:t>
            </w:r>
          </w:p>
        </w:tc>
      </w:tr>
      <w:tr w:rsidR="00027371" w:rsidRPr="00027371" w14:paraId="03BF2076" w14:textId="77777777" w:rsidTr="00027371">
        <w:trPr>
          <w:trHeight w:val="227"/>
          <w:jc w:val="center"/>
        </w:trPr>
        <w:tc>
          <w:tcPr>
            <w:tcW w:w="1413" w:type="dxa"/>
            <w:vMerge w:val="restart"/>
            <w:tcBorders>
              <w:top w:val="single" w:sz="4" w:space="0" w:color="auto"/>
              <w:bottom w:val="nil"/>
            </w:tcBorders>
            <w:noWrap/>
            <w:hideMark/>
          </w:tcPr>
          <w:p w14:paraId="5AAE8109" w14:textId="77777777" w:rsidR="00027371" w:rsidRPr="00027371" w:rsidRDefault="00027371" w:rsidP="00027371">
            <w:pPr>
              <w:jc w:val="both"/>
              <w:rPr>
                <w:b/>
                <w:bCs/>
                <w:sz w:val="18"/>
                <w:szCs w:val="18"/>
              </w:rPr>
            </w:pPr>
            <w:r w:rsidRPr="00027371">
              <w:rPr>
                <w:b/>
                <w:bCs/>
                <w:sz w:val="18"/>
                <w:szCs w:val="18"/>
              </w:rPr>
              <w:t>MIC (mg/mL)</w:t>
            </w:r>
          </w:p>
        </w:tc>
        <w:tc>
          <w:tcPr>
            <w:tcW w:w="1050" w:type="dxa"/>
            <w:tcBorders>
              <w:top w:val="single" w:sz="4" w:space="0" w:color="auto"/>
              <w:bottom w:val="nil"/>
            </w:tcBorders>
            <w:noWrap/>
            <w:hideMark/>
          </w:tcPr>
          <w:p w14:paraId="739911C1"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524B10FF" w14:textId="77777777" w:rsidR="00027371" w:rsidRPr="00027371" w:rsidRDefault="00027371" w:rsidP="00027371">
            <w:pPr>
              <w:jc w:val="both"/>
              <w:rPr>
                <w:bCs/>
                <w:sz w:val="18"/>
                <w:szCs w:val="18"/>
              </w:rPr>
            </w:pPr>
            <w:r w:rsidRPr="00027371">
              <w:rPr>
                <w:bCs/>
                <w:sz w:val="18"/>
                <w:szCs w:val="18"/>
              </w:rPr>
              <w:t>12.5</w:t>
            </w:r>
          </w:p>
        </w:tc>
        <w:tc>
          <w:tcPr>
            <w:tcW w:w="966" w:type="dxa"/>
            <w:tcBorders>
              <w:top w:val="single" w:sz="4" w:space="0" w:color="auto"/>
              <w:bottom w:val="nil"/>
            </w:tcBorders>
            <w:noWrap/>
            <w:vAlign w:val="center"/>
            <w:hideMark/>
          </w:tcPr>
          <w:p w14:paraId="24D7F874" w14:textId="77777777" w:rsidR="00027371" w:rsidRPr="00027371" w:rsidRDefault="00027371" w:rsidP="00027371">
            <w:pPr>
              <w:jc w:val="both"/>
              <w:rPr>
                <w:bCs/>
                <w:sz w:val="18"/>
                <w:szCs w:val="18"/>
              </w:rPr>
            </w:pPr>
            <w:r w:rsidRPr="00027371">
              <w:rPr>
                <w:bCs/>
                <w:sz w:val="18"/>
                <w:szCs w:val="18"/>
              </w:rPr>
              <w:t>69.4185</w:t>
            </w:r>
          </w:p>
        </w:tc>
        <w:tc>
          <w:tcPr>
            <w:tcW w:w="866" w:type="dxa"/>
            <w:tcBorders>
              <w:top w:val="single" w:sz="4" w:space="0" w:color="auto"/>
              <w:bottom w:val="nil"/>
            </w:tcBorders>
            <w:noWrap/>
            <w:vAlign w:val="center"/>
            <w:hideMark/>
          </w:tcPr>
          <w:p w14:paraId="0C63509D" w14:textId="77777777" w:rsidR="00027371" w:rsidRPr="00027371" w:rsidRDefault="00027371" w:rsidP="00027371">
            <w:pPr>
              <w:jc w:val="both"/>
              <w:rPr>
                <w:bCs/>
                <w:sz w:val="18"/>
                <w:szCs w:val="18"/>
              </w:rPr>
            </w:pPr>
            <w:r w:rsidRPr="00027371">
              <w:rPr>
                <w:bCs/>
                <w:sz w:val="18"/>
                <w:szCs w:val="18"/>
              </w:rPr>
              <w:t>11.4582</w:t>
            </w:r>
          </w:p>
        </w:tc>
        <w:tc>
          <w:tcPr>
            <w:tcW w:w="866" w:type="dxa"/>
            <w:tcBorders>
              <w:top w:val="single" w:sz="4" w:space="0" w:color="auto"/>
              <w:bottom w:val="nil"/>
            </w:tcBorders>
            <w:noWrap/>
            <w:vAlign w:val="center"/>
            <w:hideMark/>
          </w:tcPr>
          <w:p w14:paraId="59183BAD" w14:textId="77777777" w:rsidR="00027371" w:rsidRPr="00027371" w:rsidRDefault="00027371" w:rsidP="00027371">
            <w:pPr>
              <w:jc w:val="both"/>
              <w:rPr>
                <w:bCs/>
                <w:sz w:val="18"/>
                <w:szCs w:val="18"/>
              </w:rPr>
            </w:pPr>
            <w:r w:rsidRPr="00027371">
              <w:rPr>
                <w:bCs/>
                <w:sz w:val="18"/>
                <w:szCs w:val="18"/>
              </w:rPr>
              <w:t>10.3515</w:t>
            </w:r>
          </w:p>
        </w:tc>
        <w:tc>
          <w:tcPr>
            <w:tcW w:w="866" w:type="dxa"/>
            <w:tcBorders>
              <w:top w:val="single" w:sz="4" w:space="0" w:color="auto"/>
              <w:bottom w:val="nil"/>
            </w:tcBorders>
            <w:noWrap/>
            <w:vAlign w:val="center"/>
            <w:hideMark/>
          </w:tcPr>
          <w:p w14:paraId="11B62EDF" w14:textId="77777777" w:rsidR="00027371" w:rsidRPr="00027371" w:rsidRDefault="00027371" w:rsidP="00027371">
            <w:pPr>
              <w:jc w:val="both"/>
              <w:rPr>
                <w:bCs/>
                <w:sz w:val="18"/>
                <w:szCs w:val="18"/>
              </w:rPr>
            </w:pPr>
            <w:r w:rsidRPr="00027371">
              <w:rPr>
                <w:bCs/>
                <w:sz w:val="18"/>
                <w:szCs w:val="18"/>
              </w:rPr>
              <w:t>43.2292</w:t>
            </w:r>
          </w:p>
        </w:tc>
        <w:tc>
          <w:tcPr>
            <w:tcW w:w="823" w:type="dxa"/>
            <w:tcBorders>
              <w:top w:val="single" w:sz="4" w:space="0" w:color="auto"/>
              <w:bottom w:val="nil"/>
            </w:tcBorders>
            <w:noWrap/>
            <w:vAlign w:val="center"/>
            <w:hideMark/>
          </w:tcPr>
          <w:p w14:paraId="1530DE62" w14:textId="77777777" w:rsidR="00027371" w:rsidRPr="00027371" w:rsidRDefault="00027371" w:rsidP="00027371">
            <w:pPr>
              <w:jc w:val="both"/>
              <w:rPr>
                <w:bCs/>
                <w:sz w:val="18"/>
                <w:szCs w:val="18"/>
              </w:rPr>
            </w:pPr>
            <w:r w:rsidRPr="00027371">
              <w:rPr>
                <w:bCs/>
                <w:sz w:val="18"/>
                <w:szCs w:val="18"/>
              </w:rPr>
              <w:t>10.937</w:t>
            </w:r>
          </w:p>
        </w:tc>
        <w:tc>
          <w:tcPr>
            <w:tcW w:w="823" w:type="dxa"/>
            <w:tcBorders>
              <w:top w:val="single" w:sz="4" w:space="0" w:color="auto"/>
              <w:bottom w:val="nil"/>
            </w:tcBorders>
            <w:noWrap/>
            <w:vAlign w:val="center"/>
            <w:hideMark/>
          </w:tcPr>
          <w:p w14:paraId="0ED00004" w14:textId="77777777" w:rsidR="00027371" w:rsidRPr="00027371" w:rsidRDefault="00027371" w:rsidP="00027371">
            <w:pPr>
              <w:jc w:val="both"/>
              <w:rPr>
                <w:bCs/>
                <w:sz w:val="18"/>
                <w:szCs w:val="18"/>
              </w:rPr>
            </w:pPr>
            <w:r w:rsidRPr="00027371">
              <w:rPr>
                <w:bCs/>
                <w:sz w:val="18"/>
                <w:szCs w:val="18"/>
              </w:rPr>
              <w:t>23.625</w:t>
            </w:r>
          </w:p>
        </w:tc>
        <w:tc>
          <w:tcPr>
            <w:tcW w:w="866" w:type="dxa"/>
            <w:tcBorders>
              <w:top w:val="single" w:sz="4" w:space="0" w:color="auto"/>
              <w:bottom w:val="nil"/>
            </w:tcBorders>
            <w:noWrap/>
            <w:vAlign w:val="center"/>
            <w:hideMark/>
          </w:tcPr>
          <w:p w14:paraId="5C9D4596" w14:textId="77777777" w:rsidR="00027371" w:rsidRPr="00027371" w:rsidRDefault="00027371" w:rsidP="00027371">
            <w:pPr>
              <w:jc w:val="both"/>
              <w:rPr>
                <w:bCs/>
                <w:sz w:val="18"/>
                <w:szCs w:val="18"/>
              </w:rPr>
            </w:pPr>
            <w:r w:rsidRPr="00027371">
              <w:rPr>
                <w:bCs/>
                <w:sz w:val="18"/>
                <w:szCs w:val="18"/>
              </w:rPr>
              <w:t>3.2663</w:t>
            </w:r>
          </w:p>
        </w:tc>
        <w:tc>
          <w:tcPr>
            <w:tcW w:w="866" w:type="dxa"/>
            <w:tcBorders>
              <w:top w:val="single" w:sz="4" w:space="0" w:color="auto"/>
              <w:bottom w:val="nil"/>
            </w:tcBorders>
            <w:noWrap/>
            <w:vAlign w:val="center"/>
            <w:hideMark/>
          </w:tcPr>
          <w:p w14:paraId="188364CF" w14:textId="77777777" w:rsidR="00027371" w:rsidRPr="00027371" w:rsidRDefault="00027371" w:rsidP="00027371">
            <w:pPr>
              <w:jc w:val="both"/>
              <w:rPr>
                <w:bCs/>
                <w:sz w:val="18"/>
                <w:szCs w:val="18"/>
              </w:rPr>
            </w:pPr>
            <w:r w:rsidRPr="00027371">
              <w:rPr>
                <w:bCs/>
                <w:sz w:val="18"/>
                <w:szCs w:val="18"/>
              </w:rPr>
              <w:t>11.8162</w:t>
            </w:r>
          </w:p>
        </w:tc>
      </w:tr>
      <w:tr w:rsidR="00027371" w:rsidRPr="00027371" w14:paraId="2E466687" w14:textId="77777777" w:rsidTr="00027371">
        <w:trPr>
          <w:trHeight w:val="227"/>
          <w:jc w:val="center"/>
        </w:trPr>
        <w:tc>
          <w:tcPr>
            <w:tcW w:w="1413" w:type="dxa"/>
            <w:vMerge/>
            <w:tcBorders>
              <w:top w:val="nil"/>
            </w:tcBorders>
            <w:noWrap/>
            <w:hideMark/>
          </w:tcPr>
          <w:p w14:paraId="564CF860" w14:textId="77777777" w:rsidR="00027371" w:rsidRPr="00027371" w:rsidRDefault="00027371" w:rsidP="00027371">
            <w:pPr>
              <w:jc w:val="both"/>
              <w:rPr>
                <w:b/>
                <w:bCs/>
                <w:sz w:val="18"/>
                <w:szCs w:val="18"/>
              </w:rPr>
            </w:pPr>
          </w:p>
        </w:tc>
        <w:tc>
          <w:tcPr>
            <w:tcW w:w="1050" w:type="dxa"/>
            <w:tcBorders>
              <w:top w:val="nil"/>
            </w:tcBorders>
            <w:noWrap/>
            <w:hideMark/>
          </w:tcPr>
          <w:p w14:paraId="61E16CD7"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20195883"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07655C5B" w14:textId="77777777" w:rsidR="00027371" w:rsidRPr="00027371" w:rsidRDefault="00027371" w:rsidP="00027371">
            <w:pPr>
              <w:jc w:val="both"/>
              <w:rPr>
                <w:bCs/>
                <w:sz w:val="18"/>
                <w:szCs w:val="18"/>
              </w:rPr>
            </w:pPr>
            <w:r w:rsidRPr="00027371">
              <w:rPr>
                <w:bCs/>
                <w:sz w:val="18"/>
                <w:szCs w:val="18"/>
              </w:rPr>
              <w:t>17.4405</w:t>
            </w:r>
          </w:p>
        </w:tc>
        <w:tc>
          <w:tcPr>
            <w:tcW w:w="866" w:type="dxa"/>
            <w:tcBorders>
              <w:top w:val="nil"/>
            </w:tcBorders>
            <w:noWrap/>
            <w:vAlign w:val="center"/>
            <w:hideMark/>
          </w:tcPr>
          <w:p w14:paraId="5694BC77" w14:textId="77777777" w:rsidR="00027371" w:rsidRPr="00027371" w:rsidRDefault="00027371" w:rsidP="00027371">
            <w:pPr>
              <w:jc w:val="both"/>
              <w:rPr>
                <w:bCs/>
                <w:sz w:val="18"/>
                <w:szCs w:val="18"/>
              </w:rPr>
            </w:pPr>
            <w:r w:rsidRPr="00027371">
              <w:rPr>
                <w:bCs/>
                <w:sz w:val="18"/>
                <w:szCs w:val="18"/>
              </w:rPr>
              <w:t>1.2759</w:t>
            </w:r>
          </w:p>
        </w:tc>
        <w:tc>
          <w:tcPr>
            <w:tcW w:w="866" w:type="dxa"/>
            <w:tcBorders>
              <w:top w:val="nil"/>
            </w:tcBorders>
            <w:noWrap/>
            <w:vAlign w:val="center"/>
            <w:hideMark/>
          </w:tcPr>
          <w:p w14:paraId="230EFDEB" w14:textId="77777777" w:rsidR="00027371" w:rsidRPr="00027371" w:rsidRDefault="00027371" w:rsidP="00027371">
            <w:pPr>
              <w:jc w:val="both"/>
              <w:rPr>
                <w:bCs/>
                <w:sz w:val="18"/>
                <w:szCs w:val="18"/>
              </w:rPr>
            </w:pPr>
            <w:r w:rsidRPr="00027371">
              <w:rPr>
                <w:bCs/>
                <w:sz w:val="18"/>
                <w:szCs w:val="18"/>
              </w:rPr>
              <w:t>3.0384</w:t>
            </w:r>
          </w:p>
        </w:tc>
        <w:tc>
          <w:tcPr>
            <w:tcW w:w="866" w:type="dxa"/>
            <w:tcBorders>
              <w:top w:val="nil"/>
            </w:tcBorders>
            <w:noWrap/>
            <w:vAlign w:val="center"/>
            <w:hideMark/>
          </w:tcPr>
          <w:p w14:paraId="112FEE4D" w14:textId="77777777" w:rsidR="00027371" w:rsidRPr="00027371" w:rsidRDefault="00027371" w:rsidP="00027371">
            <w:pPr>
              <w:jc w:val="both"/>
              <w:rPr>
                <w:bCs/>
                <w:sz w:val="18"/>
                <w:szCs w:val="18"/>
              </w:rPr>
            </w:pPr>
            <w:r w:rsidRPr="00027371">
              <w:rPr>
                <w:bCs/>
                <w:sz w:val="18"/>
                <w:szCs w:val="18"/>
              </w:rPr>
              <w:t>3.0725</w:t>
            </w:r>
          </w:p>
        </w:tc>
        <w:tc>
          <w:tcPr>
            <w:tcW w:w="823" w:type="dxa"/>
            <w:tcBorders>
              <w:top w:val="nil"/>
            </w:tcBorders>
            <w:noWrap/>
            <w:vAlign w:val="center"/>
            <w:hideMark/>
          </w:tcPr>
          <w:p w14:paraId="76D5AFD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7EC81AA7"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5DB37E90" w14:textId="77777777" w:rsidR="00027371" w:rsidRPr="00027371" w:rsidRDefault="00027371" w:rsidP="00027371">
            <w:pPr>
              <w:jc w:val="both"/>
              <w:rPr>
                <w:bCs/>
                <w:sz w:val="18"/>
                <w:szCs w:val="18"/>
              </w:rPr>
            </w:pPr>
            <w:r w:rsidRPr="00027371">
              <w:rPr>
                <w:bCs/>
                <w:sz w:val="18"/>
                <w:szCs w:val="18"/>
              </w:rPr>
              <w:t>1.6854</w:t>
            </w:r>
          </w:p>
        </w:tc>
        <w:tc>
          <w:tcPr>
            <w:tcW w:w="866" w:type="dxa"/>
            <w:tcBorders>
              <w:top w:val="nil"/>
            </w:tcBorders>
            <w:noWrap/>
            <w:vAlign w:val="center"/>
            <w:hideMark/>
          </w:tcPr>
          <w:p w14:paraId="4A0B4AEE" w14:textId="77777777" w:rsidR="00027371" w:rsidRPr="00027371" w:rsidRDefault="00027371" w:rsidP="00027371">
            <w:pPr>
              <w:jc w:val="both"/>
              <w:rPr>
                <w:bCs/>
                <w:sz w:val="18"/>
                <w:szCs w:val="18"/>
              </w:rPr>
            </w:pPr>
            <w:r w:rsidRPr="00027371">
              <w:rPr>
                <w:bCs/>
                <w:sz w:val="18"/>
                <w:szCs w:val="18"/>
              </w:rPr>
              <w:t>3.0985</w:t>
            </w:r>
          </w:p>
        </w:tc>
      </w:tr>
      <w:tr w:rsidR="00027371" w:rsidRPr="00027371" w14:paraId="505921AA" w14:textId="77777777" w:rsidTr="00027371">
        <w:trPr>
          <w:trHeight w:val="227"/>
          <w:jc w:val="center"/>
        </w:trPr>
        <w:tc>
          <w:tcPr>
            <w:tcW w:w="1413" w:type="dxa"/>
            <w:vMerge/>
            <w:noWrap/>
            <w:hideMark/>
          </w:tcPr>
          <w:p w14:paraId="5DD80941" w14:textId="77777777" w:rsidR="00027371" w:rsidRPr="00027371" w:rsidRDefault="00027371" w:rsidP="00027371">
            <w:pPr>
              <w:jc w:val="both"/>
              <w:rPr>
                <w:b/>
                <w:bCs/>
                <w:sz w:val="18"/>
                <w:szCs w:val="18"/>
              </w:rPr>
            </w:pPr>
          </w:p>
        </w:tc>
        <w:tc>
          <w:tcPr>
            <w:tcW w:w="1050" w:type="dxa"/>
            <w:noWrap/>
            <w:hideMark/>
          </w:tcPr>
          <w:p w14:paraId="43E7F601"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34D553B7" w14:textId="77777777" w:rsidR="00027371" w:rsidRPr="00027371" w:rsidRDefault="00027371" w:rsidP="00027371">
            <w:pPr>
              <w:jc w:val="both"/>
              <w:rPr>
                <w:bCs/>
                <w:sz w:val="18"/>
                <w:szCs w:val="18"/>
              </w:rPr>
            </w:pPr>
            <w:r w:rsidRPr="00027371">
              <w:rPr>
                <w:bCs/>
                <w:sz w:val="18"/>
                <w:szCs w:val="18"/>
              </w:rPr>
              <w:t>12.5</w:t>
            </w:r>
          </w:p>
        </w:tc>
        <w:tc>
          <w:tcPr>
            <w:tcW w:w="966" w:type="dxa"/>
            <w:noWrap/>
            <w:vAlign w:val="center"/>
            <w:hideMark/>
          </w:tcPr>
          <w:p w14:paraId="76F954AA" w14:textId="77777777" w:rsidR="00027371" w:rsidRPr="00027371" w:rsidRDefault="00027371" w:rsidP="00027371">
            <w:pPr>
              <w:jc w:val="both"/>
              <w:rPr>
                <w:bCs/>
                <w:sz w:val="18"/>
                <w:szCs w:val="18"/>
              </w:rPr>
            </w:pPr>
            <w:r w:rsidRPr="00027371">
              <w:rPr>
                <w:bCs/>
                <w:sz w:val="18"/>
                <w:szCs w:val="18"/>
              </w:rPr>
              <w:t>43.5</w:t>
            </w:r>
          </w:p>
        </w:tc>
        <w:tc>
          <w:tcPr>
            <w:tcW w:w="866" w:type="dxa"/>
            <w:noWrap/>
            <w:vAlign w:val="center"/>
            <w:hideMark/>
          </w:tcPr>
          <w:p w14:paraId="5631FF02" w14:textId="77777777" w:rsidR="00027371" w:rsidRPr="00027371" w:rsidRDefault="00027371" w:rsidP="00027371">
            <w:pPr>
              <w:jc w:val="both"/>
              <w:rPr>
                <w:bCs/>
                <w:sz w:val="18"/>
                <w:szCs w:val="18"/>
              </w:rPr>
            </w:pPr>
            <w:r w:rsidRPr="00027371">
              <w:rPr>
                <w:bCs/>
                <w:sz w:val="18"/>
                <w:szCs w:val="18"/>
              </w:rPr>
              <w:t>9.375</w:t>
            </w:r>
          </w:p>
        </w:tc>
        <w:tc>
          <w:tcPr>
            <w:tcW w:w="866" w:type="dxa"/>
            <w:noWrap/>
            <w:vAlign w:val="center"/>
            <w:hideMark/>
          </w:tcPr>
          <w:p w14:paraId="5710D64D" w14:textId="77777777" w:rsidR="00027371" w:rsidRPr="00027371" w:rsidRDefault="00027371" w:rsidP="00027371">
            <w:pPr>
              <w:jc w:val="both"/>
              <w:rPr>
                <w:bCs/>
                <w:sz w:val="18"/>
                <w:szCs w:val="18"/>
              </w:rPr>
            </w:pPr>
            <w:r w:rsidRPr="00027371">
              <w:rPr>
                <w:bCs/>
                <w:sz w:val="18"/>
                <w:szCs w:val="18"/>
              </w:rPr>
              <w:t>8.203</w:t>
            </w:r>
          </w:p>
        </w:tc>
        <w:tc>
          <w:tcPr>
            <w:tcW w:w="866" w:type="dxa"/>
            <w:noWrap/>
            <w:vAlign w:val="center"/>
            <w:hideMark/>
          </w:tcPr>
          <w:p w14:paraId="3BFA3B5D" w14:textId="77777777" w:rsidR="00027371" w:rsidRPr="00027371" w:rsidRDefault="00027371" w:rsidP="00027371">
            <w:pPr>
              <w:jc w:val="both"/>
              <w:rPr>
                <w:bCs/>
                <w:sz w:val="18"/>
                <w:szCs w:val="18"/>
              </w:rPr>
            </w:pPr>
            <w:r w:rsidRPr="00027371">
              <w:rPr>
                <w:bCs/>
                <w:sz w:val="18"/>
                <w:szCs w:val="18"/>
              </w:rPr>
              <w:t>37.5</w:t>
            </w:r>
          </w:p>
        </w:tc>
        <w:tc>
          <w:tcPr>
            <w:tcW w:w="823" w:type="dxa"/>
            <w:noWrap/>
            <w:vAlign w:val="center"/>
            <w:hideMark/>
          </w:tcPr>
          <w:p w14:paraId="09C42E23" w14:textId="77777777" w:rsidR="00027371" w:rsidRPr="00027371" w:rsidRDefault="00027371" w:rsidP="00027371">
            <w:pPr>
              <w:jc w:val="both"/>
              <w:rPr>
                <w:bCs/>
                <w:sz w:val="18"/>
                <w:szCs w:val="18"/>
              </w:rPr>
            </w:pPr>
            <w:r w:rsidRPr="00027371">
              <w:rPr>
                <w:bCs/>
                <w:sz w:val="18"/>
                <w:szCs w:val="18"/>
              </w:rPr>
              <w:t>10.937</w:t>
            </w:r>
          </w:p>
        </w:tc>
        <w:tc>
          <w:tcPr>
            <w:tcW w:w="823" w:type="dxa"/>
            <w:noWrap/>
            <w:vAlign w:val="center"/>
            <w:hideMark/>
          </w:tcPr>
          <w:p w14:paraId="462AB5E7" w14:textId="77777777" w:rsidR="00027371" w:rsidRPr="00027371" w:rsidRDefault="00027371" w:rsidP="00027371">
            <w:pPr>
              <w:jc w:val="both"/>
              <w:rPr>
                <w:bCs/>
                <w:sz w:val="18"/>
                <w:szCs w:val="18"/>
              </w:rPr>
            </w:pPr>
            <w:r w:rsidRPr="00027371">
              <w:rPr>
                <w:bCs/>
                <w:sz w:val="18"/>
                <w:szCs w:val="18"/>
              </w:rPr>
              <w:t>23.625</w:t>
            </w:r>
          </w:p>
        </w:tc>
        <w:tc>
          <w:tcPr>
            <w:tcW w:w="866" w:type="dxa"/>
            <w:noWrap/>
            <w:vAlign w:val="center"/>
            <w:hideMark/>
          </w:tcPr>
          <w:p w14:paraId="6F9139CE" w14:textId="77777777" w:rsidR="00027371" w:rsidRPr="00027371" w:rsidRDefault="00027371" w:rsidP="00027371">
            <w:pPr>
              <w:jc w:val="both"/>
              <w:rPr>
                <w:bCs/>
                <w:sz w:val="18"/>
                <w:szCs w:val="18"/>
              </w:rPr>
            </w:pPr>
            <w:r w:rsidRPr="00027371">
              <w:rPr>
                <w:bCs/>
                <w:sz w:val="18"/>
                <w:szCs w:val="18"/>
              </w:rPr>
              <w:t>1.465</w:t>
            </w:r>
          </w:p>
        </w:tc>
        <w:tc>
          <w:tcPr>
            <w:tcW w:w="866" w:type="dxa"/>
            <w:noWrap/>
            <w:vAlign w:val="center"/>
            <w:hideMark/>
          </w:tcPr>
          <w:p w14:paraId="31637A57" w14:textId="77777777" w:rsidR="00027371" w:rsidRPr="00027371" w:rsidRDefault="00027371" w:rsidP="00027371">
            <w:pPr>
              <w:jc w:val="both"/>
              <w:rPr>
                <w:bCs/>
                <w:sz w:val="18"/>
                <w:szCs w:val="18"/>
              </w:rPr>
            </w:pPr>
            <w:r w:rsidRPr="00027371">
              <w:rPr>
                <w:bCs/>
                <w:sz w:val="18"/>
                <w:szCs w:val="18"/>
              </w:rPr>
              <w:t>8.203</w:t>
            </w:r>
          </w:p>
        </w:tc>
      </w:tr>
      <w:tr w:rsidR="00027371" w:rsidRPr="00027371" w14:paraId="3C96D847" w14:textId="77777777" w:rsidTr="00027371">
        <w:trPr>
          <w:trHeight w:val="227"/>
          <w:jc w:val="center"/>
        </w:trPr>
        <w:tc>
          <w:tcPr>
            <w:tcW w:w="1413" w:type="dxa"/>
            <w:vMerge/>
            <w:tcBorders>
              <w:bottom w:val="single" w:sz="4" w:space="0" w:color="auto"/>
            </w:tcBorders>
            <w:noWrap/>
            <w:hideMark/>
          </w:tcPr>
          <w:p w14:paraId="066D4A3B"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29C57A40"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17EFA14D" w14:textId="77777777" w:rsidR="00027371" w:rsidRPr="00027371" w:rsidRDefault="00027371" w:rsidP="00027371">
            <w:pPr>
              <w:jc w:val="both"/>
              <w:rPr>
                <w:bCs/>
                <w:sz w:val="18"/>
                <w:szCs w:val="18"/>
              </w:rPr>
            </w:pPr>
            <w:r w:rsidRPr="00027371">
              <w:rPr>
                <w:bCs/>
                <w:sz w:val="18"/>
                <w:szCs w:val="18"/>
              </w:rPr>
              <w:t>12.5</w:t>
            </w:r>
          </w:p>
        </w:tc>
        <w:tc>
          <w:tcPr>
            <w:tcW w:w="966" w:type="dxa"/>
            <w:tcBorders>
              <w:bottom w:val="single" w:sz="4" w:space="0" w:color="auto"/>
            </w:tcBorders>
            <w:noWrap/>
            <w:vAlign w:val="center"/>
            <w:hideMark/>
          </w:tcPr>
          <w:p w14:paraId="5F0BB55A" w14:textId="77777777" w:rsidR="00027371" w:rsidRPr="00027371" w:rsidRDefault="00027371" w:rsidP="00027371">
            <w:pPr>
              <w:jc w:val="both"/>
              <w:rPr>
                <w:bCs/>
                <w:sz w:val="18"/>
                <w:szCs w:val="18"/>
              </w:rPr>
            </w:pPr>
            <w:r w:rsidRPr="00027371">
              <w:rPr>
                <w:bCs/>
                <w:sz w:val="18"/>
                <w:szCs w:val="18"/>
              </w:rPr>
              <w:t>93.75</w:t>
            </w:r>
          </w:p>
        </w:tc>
        <w:tc>
          <w:tcPr>
            <w:tcW w:w="866" w:type="dxa"/>
            <w:tcBorders>
              <w:bottom w:val="single" w:sz="4" w:space="0" w:color="auto"/>
            </w:tcBorders>
            <w:noWrap/>
            <w:vAlign w:val="center"/>
            <w:hideMark/>
          </w:tcPr>
          <w:p w14:paraId="5F39283E"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2EC9B79A"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0B956A10" w14:textId="77777777" w:rsidR="00027371" w:rsidRPr="00027371" w:rsidRDefault="00027371" w:rsidP="00027371">
            <w:pPr>
              <w:jc w:val="both"/>
              <w:rPr>
                <w:bCs/>
                <w:sz w:val="18"/>
                <w:szCs w:val="18"/>
              </w:rPr>
            </w:pPr>
            <w:r w:rsidRPr="00027371">
              <w:rPr>
                <w:bCs/>
                <w:sz w:val="18"/>
                <w:szCs w:val="18"/>
              </w:rPr>
              <w:t>46.875</w:t>
            </w:r>
          </w:p>
        </w:tc>
        <w:tc>
          <w:tcPr>
            <w:tcW w:w="823" w:type="dxa"/>
            <w:tcBorders>
              <w:bottom w:val="single" w:sz="4" w:space="0" w:color="auto"/>
            </w:tcBorders>
            <w:noWrap/>
            <w:vAlign w:val="center"/>
            <w:hideMark/>
          </w:tcPr>
          <w:p w14:paraId="7E12967D" w14:textId="77777777" w:rsidR="00027371" w:rsidRPr="00027371" w:rsidRDefault="00027371" w:rsidP="00027371">
            <w:pPr>
              <w:jc w:val="both"/>
              <w:rPr>
                <w:bCs/>
                <w:sz w:val="18"/>
                <w:szCs w:val="18"/>
              </w:rPr>
            </w:pPr>
            <w:r w:rsidRPr="00027371">
              <w:rPr>
                <w:bCs/>
                <w:sz w:val="18"/>
                <w:szCs w:val="18"/>
              </w:rPr>
              <w:t>10.937</w:t>
            </w:r>
          </w:p>
        </w:tc>
        <w:tc>
          <w:tcPr>
            <w:tcW w:w="823" w:type="dxa"/>
            <w:tcBorders>
              <w:bottom w:val="single" w:sz="4" w:space="0" w:color="auto"/>
            </w:tcBorders>
            <w:noWrap/>
            <w:vAlign w:val="center"/>
            <w:hideMark/>
          </w:tcPr>
          <w:p w14:paraId="2A243FD5" w14:textId="77777777" w:rsidR="00027371" w:rsidRPr="00027371" w:rsidRDefault="00027371" w:rsidP="00027371">
            <w:pPr>
              <w:jc w:val="both"/>
              <w:rPr>
                <w:bCs/>
                <w:sz w:val="18"/>
                <w:szCs w:val="18"/>
              </w:rPr>
            </w:pPr>
            <w:r w:rsidRPr="00027371">
              <w:rPr>
                <w:bCs/>
                <w:sz w:val="18"/>
                <w:szCs w:val="18"/>
              </w:rPr>
              <w:t>23.625</w:t>
            </w:r>
          </w:p>
        </w:tc>
        <w:tc>
          <w:tcPr>
            <w:tcW w:w="866" w:type="dxa"/>
            <w:tcBorders>
              <w:bottom w:val="single" w:sz="4" w:space="0" w:color="auto"/>
            </w:tcBorders>
            <w:noWrap/>
            <w:vAlign w:val="center"/>
            <w:hideMark/>
          </w:tcPr>
          <w:p w14:paraId="4BB1A31F" w14:textId="77777777" w:rsidR="00027371" w:rsidRPr="00027371" w:rsidRDefault="00027371" w:rsidP="00027371">
            <w:pPr>
              <w:jc w:val="both"/>
              <w:rPr>
                <w:bCs/>
                <w:sz w:val="18"/>
                <w:szCs w:val="18"/>
              </w:rPr>
            </w:pPr>
            <w:r w:rsidRPr="00027371">
              <w:rPr>
                <w:bCs/>
                <w:sz w:val="18"/>
                <w:szCs w:val="18"/>
              </w:rPr>
              <w:t>8.203</w:t>
            </w:r>
          </w:p>
        </w:tc>
        <w:tc>
          <w:tcPr>
            <w:tcW w:w="866" w:type="dxa"/>
            <w:tcBorders>
              <w:bottom w:val="single" w:sz="4" w:space="0" w:color="auto"/>
            </w:tcBorders>
            <w:noWrap/>
            <w:vAlign w:val="center"/>
            <w:hideMark/>
          </w:tcPr>
          <w:p w14:paraId="78CBC6CE" w14:textId="77777777" w:rsidR="00027371" w:rsidRPr="00027371" w:rsidRDefault="00027371" w:rsidP="00027371">
            <w:pPr>
              <w:jc w:val="both"/>
              <w:rPr>
                <w:bCs/>
                <w:sz w:val="18"/>
                <w:szCs w:val="18"/>
              </w:rPr>
            </w:pPr>
            <w:r w:rsidRPr="00027371">
              <w:rPr>
                <w:bCs/>
                <w:sz w:val="18"/>
                <w:szCs w:val="18"/>
              </w:rPr>
              <w:t>15.625</w:t>
            </w:r>
          </w:p>
        </w:tc>
      </w:tr>
      <w:tr w:rsidR="00027371" w:rsidRPr="00027371" w14:paraId="3B652845" w14:textId="77777777" w:rsidTr="00027371">
        <w:trPr>
          <w:trHeight w:val="227"/>
          <w:jc w:val="center"/>
        </w:trPr>
        <w:tc>
          <w:tcPr>
            <w:tcW w:w="1413" w:type="dxa"/>
            <w:vMerge w:val="restart"/>
            <w:tcBorders>
              <w:top w:val="single" w:sz="4" w:space="0" w:color="auto"/>
              <w:bottom w:val="nil"/>
            </w:tcBorders>
            <w:noWrap/>
            <w:hideMark/>
          </w:tcPr>
          <w:p w14:paraId="01F3F6FC" w14:textId="77777777" w:rsidR="00027371" w:rsidRPr="00027371" w:rsidRDefault="00027371" w:rsidP="00027371">
            <w:pPr>
              <w:jc w:val="both"/>
              <w:rPr>
                <w:b/>
                <w:bCs/>
                <w:sz w:val="18"/>
                <w:szCs w:val="18"/>
              </w:rPr>
            </w:pPr>
            <w:r w:rsidRPr="00027371">
              <w:rPr>
                <w:b/>
                <w:bCs/>
                <w:sz w:val="18"/>
                <w:szCs w:val="18"/>
              </w:rPr>
              <w:t>MBC (mg/mL)</w:t>
            </w:r>
          </w:p>
        </w:tc>
        <w:tc>
          <w:tcPr>
            <w:tcW w:w="1050" w:type="dxa"/>
            <w:tcBorders>
              <w:top w:val="single" w:sz="4" w:space="0" w:color="auto"/>
              <w:bottom w:val="nil"/>
            </w:tcBorders>
            <w:noWrap/>
            <w:hideMark/>
          </w:tcPr>
          <w:p w14:paraId="0756D733"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298A751B" w14:textId="77777777" w:rsidR="00027371" w:rsidRPr="00027371" w:rsidRDefault="00027371" w:rsidP="00027371">
            <w:pPr>
              <w:jc w:val="both"/>
              <w:rPr>
                <w:bCs/>
                <w:sz w:val="18"/>
                <w:szCs w:val="18"/>
              </w:rPr>
            </w:pPr>
            <w:r w:rsidRPr="00027371">
              <w:rPr>
                <w:bCs/>
                <w:sz w:val="18"/>
                <w:szCs w:val="18"/>
              </w:rPr>
              <w:t>25</w:t>
            </w:r>
          </w:p>
        </w:tc>
        <w:tc>
          <w:tcPr>
            <w:tcW w:w="966" w:type="dxa"/>
            <w:tcBorders>
              <w:top w:val="single" w:sz="4" w:space="0" w:color="auto"/>
              <w:bottom w:val="nil"/>
            </w:tcBorders>
            <w:noWrap/>
            <w:vAlign w:val="center"/>
            <w:hideMark/>
          </w:tcPr>
          <w:p w14:paraId="3FBB5268" w14:textId="77777777" w:rsidR="00027371" w:rsidRPr="00027371" w:rsidRDefault="00027371" w:rsidP="00027371">
            <w:pPr>
              <w:jc w:val="both"/>
              <w:rPr>
                <w:bCs/>
                <w:sz w:val="18"/>
                <w:szCs w:val="18"/>
              </w:rPr>
            </w:pPr>
            <w:r w:rsidRPr="00027371">
              <w:rPr>
                <w:bCs/>
                <w:sz w:val="18"/>
                <w:szCs w:val="18"/>
              </w:rPr>
              <w:t>116.8478</w:t>
            </w:r>
          </w:p>
        </w:tc>
        <w:tc>
          <w:tcPr>
            <w:tcW w:w="866" w:type="dxa"/>
            <w:tcBorders>
              <w:top w:val="single" w:sz="4" w:space="0" w:color="auto"/>
              <w:bottom w:val="nil"/>
            </w:tcBorders>
            <w:noWrap/>
            <w:vAlign w:val="center"/>
            <w:hideMark/>
          </w:tcPr>
          <w:p w14:paraId="105546EC" w14:textId="77777777" w:rsidR="00027371" w:rsidRPr="00027371" w:rsidRDefault="00027371" w:rsidP="00027371">
            <w:pPr>
              <w:jc w:val="both"/>
              <w:rPr>
                <w:bCs/>
                <w:sz w:val="18"/>
                <w:szCs w:val="18"/>
              </w:rPr>
            </w:pPr>
            <w:r w:rsidRPr="00027371">
              <w:rPr>
                <w:bCs/>
                <w:sz w:val="18"/>
                <w:szCs w:val="18"/>
              </w:rPr>
              <w:t>21.875</w:t>
            </w:r>
          </w:p>
        </w:tc>
        <w:tc>
          <w:tcPr>
            <w:tcW w:w="866" w:type="dxa"/>
            <w:tcBorders>
              <w:top w:val="single" w:sz="4" w:space="0" w:color="auto"/>
              <w:bottom w:val="nil"/>
            </w:tcBorders>
            <w:noWrap/>
            <w:vAlign w:val="center"/>
            <w:hideMark/>
          </w:tcPr>
          <w:p w14:paraId="328E9384" w14:textId="77777777" w:rsidR="00027371" w:rsidRPr="00027371" w:rsidRDefault="00027371" w:rsidP="00027371">
            <w:pPr>
              <w:jc w:val="both"/>
              <w:rPr>
                <w:bCs/>
                <w:sz w:val="18"/>
                <w:szCs w:val="18"/>
              </w:rPr>
            </w:pPr>
            <w:r w:rsidRPr="00027371">
              <w:rPr>
                <w:bCs/>
                <w:sz w:val="18"/>
                <w:szCs w:val="18"/>
              </w:rPr>
              <w:t>17.9685</w:t>
            </w:r>
          </w:p>
        </w:tc>
        <w:tc>
          <w:tcPr>
            <w:tcW w:w="866" w:type="dxa"/>
            <w:tcBorders>
              <w:top w:val="single" w:sz="4" w:space="0" w:color="auto"/>
              <w:bottom w:val="nil"/>
            </w:tcBorders>
            <w:noWrap/>
            <w:vAlign w:val="center"/>
            <w:hideMark/>
          </w:tcPr>
          <w:p w14:paraId="22BE093E" w14:textId="77777777" w:rsidR="00027371" w:rsidRPr="00027371" w:rsidRDefault="00027371" w:rsidP="00027371">
            <w:pPr>
              <w:jc w:val="both"/>
              <w:rPr>
                <w:bCs/>
                <w:sz w:val="18"/>
                <w:szCs w:val="18"/>
              </w:rPr>
            </w:pPr>
            <w:r w:rsidRPr="00027371">
              <w:rPr>
                <w:bCs/>
                <w:sz w:val="18"/>
                <w:szCs w:val="18"/>
              </w:rPr>
              <w:t>73.9583</w:t>
            </w:r>
          </w:p>
        </w:tc>
        <w:tc>
          <w:tcPr>
            <w:tcW w:w="823" w:type="dxa"/>
            <w:tcBorders>
              <w:top w:val="single" w:sz="4" w:space="0" w:color="auto"/>
              <w:bottom w:val="nil"/>
            </w:tcBorders>
            <w:noWrap/>
            <w:vAlign w:val="center"/>
            <w:hideMark/>
          </w:tcPr>
          <w:p w14:paraId="6F7564A4" w14:textId="77777777" w:rsidR="00027371" w:rsidRPr="00027371" w:rsidRDefault="00027371" w:rsidP="00027371">
            <w:pPr>
              <w:jc w:val="both"/>
              <w:rPr>
                <w:bCs/>
                <w:sz w:val="18"/>
                <w:szCs w:val="18"/>
              </w:rPr>
            </w:pPr>
            <w:r w:rsidRPr="00027371">
              <w:rPr>
                <w:bCs/>
                <w:sz w:val="18"/>
                <w:szCs w:val="18"/>
              </w:rPr>
              <w:t>21.875</w:t>
            </w:r>
          </w:p>
        </w:tc>
        <w:tc>
          <w:tcPr>
            <w:tcW w:w="823" w:type="dxa"/>
            <w:tcBorders>
              <w:top w:val="single" w:sz="4" w:space="0" w:color="auto"/>
              <w:bottom w:val="nil"/>
            </w:tcBorders>
            <w:noWrap/>
            <w:vAlign w:val="center"/>
            <w:hideMark/>
          </w:tcPr>
          <w:p w14:paraId="05A2CE9C" w14:textId="77777777" w:rsidR="00027371" w:rsidRPr="00027371" w:rsidRDefault="00027371" w:rsidP="00027371">
            <w:pPr>
              <w:jc w:val="both"/>
              <w:rPr>
                <w:bCs/>
                <w:sz w:val="18"/>
                <w:szCs w:val="18"/>
              </w:rPr>
            </w:pPr>
            <w:r w:rsidRPr="00027371">
              <w:rPr>
                <w:bCs/>
                <w:sz w:val="18"/>
                <w:szCs w:val="18"/>
              </w:rPr>
              <w:t>31.5</w:t>
            </w:r>
          </w:p>
        </w:tc>
        <w:tc>
          <w:tcPr>
            <w:tcW w:w="866" w:type="dxa"/>
            <w:tcBorders>
              <w:top w:val="single" w:sz="4" w:space="0" w:color="auto"/>
              <w:bottom w:val="nil"/>
            </w:tcBorders>
            <w:noWrap/>
            <w:vAlign w:val="center"/>
            <w:hideMark/>
          </w:tcPr>
          <w:p w14:paraId="51DCE0DB" w14:textId="77777777" w:rsidR="00027371" w:rsidRPr="00027371" w:rsidRDefault="00027371" w:rsidP="00027371">
            <w:pPr>
              <w:jc w:val="both"/>
              <w:rPr>
                <w:bCs/>
                <w:sz w:val="18"/>
                <w:szCs w:val="18"/>
              </w:rPr>
            </w:pPr>
            <w:r w:rsidRPr="00027371">
              <w:rPr>
                <w:bCs/>
                <w:sz w:val="18"/>
                <w:szCs w:val="18"/>
              </w:rPr>
              <w:t>12.0701</w:t>
            </w:r>
          </w:p>
        </w:tc>
        <w:tc>
          <w:tcPr>
            <w:tcW w:w="866" w:type="dxa"/>
            <w:tcBorders>
              <w:top w:val="single" w:sz="4" w:space="0" w:color="auto"/>
              <w:bottom w:val="nil"/>
            </w:tcBorders>
            <w:noWrap/>
            <w:vAlign w:val="center"/>
            <w:hideMark/>
          </w:tcPr>
          <w:p w14:paraId="21AB1584" w14:textId="77777777" w:rsidR="00027371" w:rsidRPr="00027371" w:rsidRDefault="00027371" w:rsidP="00027371">
            <w:pPr>
              <w:jc w:val="both"/>
              <w:rPr>
                <w:bCs/>
                <w:sz w:val="18"/>
                <w:szCs w:val="18"/>
              </w:rPr>
            </w:pPr>
            <w:r w:rsidRPr="00027371">
              <w:rPr>
                <w:bCs/>
                <w:sz w:val="18"/>
                <w:szCs w:val="18"/>
              </w:rPr>
              <w:t>22.263</w:t>
            </w:r>
          </w:p>
        </w:tc>
      </w:tr>
      <w:tr w:rsidR="00027371" w:rsidRPr="00027371" w14:paraId="440DFA71" w14:textId="77777777" w:rsidTr="00027371">
        <w:trPr>
          <w:trHeight w:val="227"/>
          <w:jc w:val="center"/>
        </w:trPr>
        <w:tc>
          <w:tcPr>
            <w:tcW w:w="1413" w:type="dxa"/>
            <w:vMerge/>
            <w:tcBorders>
              <w:top w:val="nil"/>
            </w:tcBorders>
            <w:noWrap/>
            <w:hideMark/>
          </w:tcPr>
          <w:p w14:paraId="32C6A533" w14:textId="77777777" w:rsidR="00027371" w:rsidRPr="00027371" w:rsidRDefault="00027371" w:rsidP="00027371">
            <w:pPr>
              <w:jc w:val="both"/>
              <w:rPr>
                <w:b/>
                <w:bCs/>
                <w:sz w:val="18"/>
                <w:szCs w:val="18"/>
              </w:rPr>
            </w:pPr>
          </w:p>
        </w:tc>
        <w:tc>
          <w:tcPr>
            <w:tcW w:w="1050" w:type="dxa"/>
            <w:tcBorders>
              <w:top w:val="nil"/>
            </w:tcBorders>
            <w:noWrap/>
            <w:hideMark/>
          </w:tcPr>
          <w:p w14:paraId="09BC6FF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1D2039CA"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7855B2CD" w14:textId="77777777" w:rsidR="00027371" w:rsidRPr="00027371" w:rsidRDefault="00027371" w:rsidP="00027371">
            <w:pPr>
              <w:jc w:val="both"/>
              <w:rPr>
                <w:bCs/>
                <w:sz w:val="18"/>
                <w:szCs w:val="18"/>
              </w:rPr>
            </w:pPr>
            <w:r w:rsidRPr="00027371">
              <w:rPr>
                <w:bCs/>
                <w:sz w:val="18"/>
                <w:szCs w:val="18"/>
              </w:rPr>
              <w:t>35.677</w:t>
            </w:r>
          </w:p>
        </w:tc>
        <w:tc>
          <w:tcPr>
            <w:tcW w:w="866" w:type="dxa"/>
            <w:tcBorders>
              <w:top w:val="nil"/>
            </w:tcBorders>
            <w:noWrap/>
            <w:vAlign w:val="center"/>
            <w:hideMark/>
          </w:tcPr>
          <w:p w14:paraId="0AB95A10" w14:textId="77777777" w:rsidR="00027371" w:rsidRPr="00027371" w:rsidRDefault="00027371" w:rsidP="00027371">
            <w:pPr>
              <w:jc w:val="both"/>
              <w:rPr>
                <w:bCs/>
                <w:sz w:val="18"/>
                <w:szCs w:val="18"/>
              </w:rPr>
            </w:pPr>
            <w:r w:rsidRPr="00027371">
              <w:rPr>
                <w:bCs/>
                <w:sz w:val="18"/>
                <w:szCs w:val="18"/>
              </w:rPr>
              <w:t>4.8412</w:t>
            </w:r>
          </w:p>
        </w:tc>
        <w:tc>
          <w:tcPr>
            <w:tcW w:w="866" w:type="dxa"/>
            <w:tcBorders>
              <w:top w:val="nil"/>
            </w:tcBorders>
            <w:noWrap/>
            <w:vAlign w:val="center"/>
            <w:hideMark/>
          </w:tcPr>
          <w:p w14:paraId="03C0C765" w14:textId="77777777" w:rsidR="00027371" w:rsidRPr="00027371" w:rsidRDefault="00027371" w:rsidP="00027371">
            <w:pPr>
              <w:jc w:val="both"/>
              <w:rPr>
                <w:bCs/>
                <w:sz w:val="18"/>
                <w:szCs w:val="18"/>
              </w:rPr>
            </w:pPr>
            <w:r w:rsidRPr="00027371">
              <w:rPr>
                <w:bCs/>
                <w:sz w:val="18"/>
                <w:szCs w:val="18"/>
              </w:rPr>
              <w:t>9.944</w:t>
            </w:r>
          </w:p>
        </w:tc>
        <w:tc>
          <w:tcPr>
            <w:tcW w:w="866" w:type="dxa"/>
            <w:tcBorders>
              <w:top w:val="nil"/>
            </w:tcBorders>
            <w:noWrap/>
            <w:vAlign w:val="center"/>
            <w:hideMark/>
          </w:tcPr>
          <w:p w14:paraId="15AE2E48" w14:textId="77777777" w:rsidR="00027371" w:rsidRPr="00027371" w:rsidRDefault="00027371" w:rsidP="00027371">
            <w:pPr>
              <w:jc w:val="both"/>
              <w:rPr>
                <w:bCs/>
                <w:sz w:val="18"/>
                <w:szCs w:val="18"/>
              </w:rPr>
            </w:pPr>
            <w:r w:rsidRPr="00027371">
              <w:rPr>
                <w:bCs/>
                <w:sz w:val="18"/>
                <w:szCs w:val="18"/>
              </w:rPr>
              <w:t>11.2962</w:t>
            </w:r>
          </w:p>
        </w:tc>
        <w:tc>
          <w:tcPr>
            <w:tcW w:w="823" w:type="dxa"/>
            <w:tcBorders>
              <w:top w:val="nil"/>
            </w:tcBorders>
            <w:noWrap/>
            <w:vAlign w:val="center"/>
            <w:hideMark/>
          </w:tcPr>
          <w:p w14:paraId="563249A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240B980"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68194CEC" w14:textId="77777777" w:rsidR="00027371" w:rsidRPr="00027371" w:rsidRDefault="00027371" w:rsidP="00027371">
            <w:pPr>
              <w:jc w:val="both"/>
              <w:rPr>
                <w:bCs/>
                <w:sz w:val="18"/>
                <w:szCs w:val="18"/>
              </w:rPr>
            </w:pPr>
            <w:r w:rsidRPr="00027371">
              <w:rPr>
                <w:bCs/>
                <w:sz w:val="18"/>
                <w:szCs w:val="18"/>
              </w:rPr>
              <w:t>5.7882</w:t>
            </w:r>
          </w:p>
        </w:tc>
        <w:tc>
          <w:tcPr>
            <w:tcW w:w="866" w:type="dxa"/>
            <w:tcBorders>
              <w:top w:val="nil"/>
            </w:tcBorders>
            <w:noWrap/>
            <w:vAlign w:val="center"/>
            <w:hideMark/>
          </w:tcPr>
          <w:p w14:paraId="2DA8E961" w14:textId="77777777" w:rsidR="00027371" w:rsidRPr="00027371" w:rsidRDefault="00027371" w:rsidP="00027371">
            <w:pPr>
              <w:jc w:val="both"/>
              <w:rPr>
                <w:bCs/>
                <w:sz w:val="18"/>
                <w:szCs w:val="18"/>
              </w:rPr>
            </w:pPr>
            <w:r w:rsidRPr="00027371">
              <w:rPr>
                <w:bCs/>
                <w:sz w:val="18"/>
                <w:szCs w:val="18"/>
              </w:rPr>
              <w:t>8.5032</w:t>
            </w:r>
          </w:p>
        </w:tc>
      </w:tr>
      <w:tr w:rsidR="00027371" w:rsidRPr="00027371" w14:paraId="74BCFB33" w14:textId="77777777" w:rsidTr="00027371">
        <w:trPr>
          <w:trHeight w:val="227"/>
          <w:jc w:val="center"/>
        </w:trPr>
        <w:tc>
          <w:tcPr>
            <w:tcW w:w="1413" w:type="dxa"/>
            <w:vMerge/>
            <w:noWrap/>
            <w:hideMark/>
          </w:tcPr>
          <w:p w14:paraId="674D9079" w14:textId="77777777" w:rsidR="00027371" w:rsidRPr="00027371" w:rsidRDefault="00027371" w:rsidP="00027371">
            <w:pPr>
              <w:jc w:val="both"/>
              <w:rPr>
                <w:b/>
                <w:bCs/>
                <w:sz w:val="18"/>
                <w:szCs w:val="18"/>
              </w:rPr>
            </w:pPr>
          </w:p>
        </w:tc>
        <w:tc>
          <w:tcPr>
            <w:tcW w:w="1050" w:type="dxa"/>
            <w:noWrap/>
            <w:hideMark/>
          </w:tcPr>
          <w:p w14:paraId="25AC607A"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60FDFF16" w14:textId="77777777" w:rsidR="00027371" w:rsidRPr="00027371" w:rsidRDefault="00027371" w:rsidP="00027371">
            <w:pPr>
              <w:jc w:val="both"/>
              <w:rPr>
                <w:bCs/>
                <w:sz w:val="18"/>
                <w:szCs w:val="18"/>
              </w:rPr>
            </w:pPr>
            <w:r w:rsidRPr="00027371">
              <w:rPr>
                <w:bCs/>
                <w:sz w:val="18"/>
                <w:szCs w:val="18"/>
              </w:rPr>
              <w:t>25</w:t>
            </w:r>
          </w:p>
        </w:tc>
        <w:tc>
          <w:tcPr>
            <w:tcW w:w="966" w:type="dxa"/>
            <w:noWrap/>
            <w:vAlign w:val="center"/>
            <w:hideMark/>
          </w:tcPr>
          <w:p w14:paraId="0B2FD5DF"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452C8E8C" w14:textId="77777777" w:rsidR="00027371" w:rsidRPr="00027371" w:rsidRDefault="00027371" w:rsidP="00027371">
            <w:pPr>
              <w:jc w:val="both"/>
              <w:rPr>
                <w:bCs/>
                <w:sz w:val="18"/>
                <w:szCs w:val="18"/>
              </w:rPr>
            </w:pPr>
            <w:r w:rsidRPr="00027371">
              <w:rPr>
                <w:bCs/>
                <w:sz w:val="18"/>
                <w:szCs w:val="18"/>
              </w:rPr>
              <w:t>12.5</w:t>
            </w:r>
          </w:p>
        </w:tc>
        <w:tc>
          <w:tcPr>
            <w:tcW w:w="866" w:type="dxa"/>
            <w:noWrap/>
            <w:vAlign w:val="center"/>
            <w:hideMark/>
          </w:tcPr>
          <w:p w14:paraId="59657616" w14:textId="77777777" w:rsidR="00027371" w:rsidRPr="00027371" w:rsidRDefault="00027371" w:rsidP="00027371">
            <w:pPr>
              <w:jc w:val="both"/>
              <w:rPr>
                <w:bCs/>
                <w:sz w:val="18"/>
                <w:szCs w:val="18"/>
              </w:rPr>
            </w:pPr>
            <w:r w:rsidRPr="00027371">
              <w:rPr>
                <w:bCs/>
                <w:sz w:val="18"/>
                <w:szCs w:val="18"/>
              </w:rPr>
              <w:t>10.937</w:t>
            </w:r>
          </w:p>
        </w:tc>
        <w:tc>
          <w:tcPr>
            <w:tcW w:w="866" w:type="dxa"/>
            <w:noWrap/>
            <w:vAlign w:val="center"/>
            <w:hideMark/>
          </w:tcPr>
          <w:p w14:paraId="2470130B" w14:textId="77777777" w:rsidR="00027371" w:rsidRPr="00027371" w:rsidRDefault="00027371" w:rsidP="00027371">
            <w:pPr>
              <w:jc w:val="both"/>
              <w:rPr>
                <w:bCs/>
                <w:sz w:val="18"/>
                <w:szCs w:val="18"/>
              </w:rPr>
            </w:pPr>
            <w:r w:rsidRPr="00027371">
              <w:rPr>
                <w:bCs/>
                <w:sz w:val="18"/>
                <w:szCs w:val="18"/>
              </w:rPr>
              <w:t>62.5</w:t>
            </w:r>
          </w:p>
        </w:tc>
        <w:tc>
          <w:tcPr>
            <w:tcW w:w="823" w:type="dxa"/>
            <w:noWrap/>
            <w:vAlign w:val="center"/>
            <w:hideMark/>
          </w:tcPr>
          <w:p w14:paraId="7A9759CB" w14:textId="77777777" w:rsidR="00027371" w:rsidRPr="00027371" w:rsidRDefault="00027371" w:rsidP="00027371">
            <w:pPr>
              <w:jc w:val="both"/>
              <w:rPr>
                <w:bCs/>
                <w:sz w:val="18"/>
                <w:szCs w:val="18"/>
              </w:rPr>
            </w:pPr>
            <w:r w:rsidRPr="00027371">
              <w:rPr>
                <w:bCs/>
                <w:sz w:val="18"/>
                <w:szCs w:val="18"/>
              </w:rPr>
              <w:t>21.875</w:t>
            </w:r>
          </w:p>
        </w:tc>
        <w:tc>
          <w:tcPr>
            <w:tcW w:w="823" w:type="dxa"/>
            <w:noWrap/>
            <w:vAlign w:val="center"/>
            <w:hideMark/>
          </w:tcPr>
          <w:p w14:paraId="1B5CC7EB" w14:textId="77777777" w:rsidR="00027371" w:rsidRPr="00027371" w:rsidRDefault="00027371" w:rsidP="00027371">
            <w:pPr>
              <w:jc w:val="both"/>
              <w:rPr>
                <w:bCs/>
                <w:sz w:val="18"/>
                <w:szCs w:val="18"/>
              </w:rPr>
            </w:pPr>
            <w:r w:rsidRPr="00027371">
              <w:rPr>
                <w:bCs/>
                <w:sz w:val="18"/>
                <w:szCs w:val="18"/>
              </w:rPr>
              <w:t>31.5</w:t>
            </w:r>
          </w:p>
        </w:tc>
        <w:tc>
          <w:tcPr>
            <w:tcW w:w="866" w:type="dxa"/>
            <w:noWrap/>
            <w:vAlign w:val="center"/>
            <w:hideMark/>
          </w:tcPr>
          <w:p w14:paraId="516E4FEC"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0FFCEA80" w14:textId="77777777" w:rsidR="00027371" w:rsidRPr="00027371" w:rsidRDefault="00027371" w:rsidP="00027371">
            <w:pPr>
              <w:jc w:val="both"/>
              <w:rPr>
                <w:bCs/>
                <w:sz w:val="18"/>
                <w:szCs w:val="18"/>
              </w:rPr>
            </w:pPr>
            <w:r w:rsidRPr="00027371">
              <w:rPr>
                <w:bCs/>
                <w:sz w:val="18"/>
                <w:szCs w:val="18"/>
              </w:rPr>
              <w:t>10.927</w:t>
            </w:r>
          </w:p>
        </w:tc>
      </w:tr>
      <w:tr w:rsidR="00027371" w:rsidRPr="00027371" w14:paraId="1ECE3A86" w14:textId="77777777" w:rsidTr="00027371">
        <w:trPr>
          <w:trHeight w:val="227"/>
          <w:jc w:val="center"/>
        </w:trPr>
        <w:tc>
          <w:tcPr>
            <w:tcW w:w="1413" w:type="dxa"/>
            <w:vMerge/>
            <w:tcBorders>
              <w:bottom w:val="single" w:sz="4" w:space="0" w:color="auto"/>
            </w:tcBorders>
            <w:noWrap/>
            <w:hideMark/>
          </w:tcPr>
          <w:p w14:paraId="10FDD768"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753D5844"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4D701E57" w14:textId="77777777" w:rsidR="00027371" w:rsidRPr="00027371" w:rsidRDefault="00027371" w:rsidP="00027371">
            <w:pPr>
              <w:jc w:val="both"/>
              <w:rPr>
                <w:bCs/>
                <w:sz w:val="18"/>
                <w:szCs w:val="18"/>
              </w:rPr>
            </w:pPr>
            <w:r w:rsidRPr="00027371">
              <w:rPr>
                <w:bCs/>
                <w:sz w:val="18"/>
                <w:szCs w:val="18"/>
              </w:rPr>
              <w:t>25</w:t>
            </w:r>
          </w:p>
        </w:tc>
        <w:tc>
          <w:tcPr>
            <w:tcW w:w="966" w:type="dxa"/>
            <w:tcBorders>
              <w:bottom w:val="single" w:sz="4" w:space="0" w:color="auto"/>
            </w:tcBorders>
            <w:noWrap/>
            <w:vAlign w:val="center"/>
            <w:hideMark/>
          </w:tcPr>
          <w:p w14:paraId="6148D056" w14:textId="77777777" w:rsidR="00027371" w:rsidRPr="00027371" w:rsidRDefault="00027371" w:rsidP="00027371">
            <w:pPr>
              <w:jc w:val="both"/>
              <w:rPr>
                <w:bCs/>
                <w:sz w:val="18"/>
                <w:szCs w:val="18"/>
              </w:rPr>
            </w:pPr>
            <w:r w:rsidRPr="00027371">
              <w:rPr>
                <w:bCs/>
                <w:sz w:val="18"/>
                <w:szCs w:val="18"/>
              </w:rPr>
              <w:t>175</w:t>
            </w:r>
          </w:p>
        </w:tc>
        <w:tc>
          <w:tcPr>
            <w:tcW w:w="866" w:type="dxa"/>
            <w:tcBorders>
              <w:bottom w:val="single" w:sz="4" w:space="0" w:color="auto"/>
            </w:tcBorders>
            <w:noWrap/>
            <w:vAlign w:val="center"/>
            <w:hideMark/>
          </w:tcPr>
          <w:p w14:paraId="416D6030"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1C0FEF53"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2A5D0D7C" w14:textId="77777777" w:rsidR="00027371" w:rsidRPr="00027371" w:rsidRDefault="00027371" w:rsidP="00027371">
            <w:pPr>
              <w:jc w:val="both"/>
              <w:rPr>
                <w:bCs/>
                <w:sz w:val="18"/>
                <w:szCs w:val="18"/>
              </w:rPr>
            </w:pPr>
            <w:r w:rsidRPr="00027371">
              <w:rPr>
                <w:bCs/>
                <w:sz w:val="18"/>
                <w:szCs w:val="18"/>
              </w:rPr>
              <w:t>87.5</w:t>
            </w:r>
          </w:p>
        </w:tc>
        <w:tc>
          <w:tcPr>
            <w:tcW w:w="823" w:type="dxa"/>
            <w:tcBorders>
              <w:bottom w:val="single" w:sz="4" w:space="0" w:color="auto"/>
            </w:tcBorders>
            <w:noWrap/>
            <w:vAlign w:val="center"/>
            <w:hideMark/>
          </w:tcPr>
          <w:p w14:paraId="4EDB08B7" w14:textId="77777777" w:rsidR="00027371" w:rsidRPr="00027371" w:rsidRDefault="00027371" w:rsidP="00027371">
            <w:pPr>
              <w:jc w:val="both"/>
              <w:rPr>
                <w:bCs/>
                <w:sz w:val="18"/>
                <w:szCs w:val="18"/>
              </w:rPr>
            </w:pPr>
            <w:r w:rsidRPr="00027371">
              <w:rPr>
                <w:bCs/>
                <w:sz w:val="18"/>
                <w:szCs w:val="18"/>
              </w:rPr>
              <w:t>21.875</w:t>
            </w:r>
          </w:p>
        </w:tc>
        <w:tc>
          <w:tcPr>
            <w:tcW w:w="823" w:type="dxa"/>
            <w:tcBorders>
              <w:bottom w:val="single" w:sz="4" w:space="0" w:color="auto"/>
            </w:tcBorders>
            <w:noWrap/>
            <w:vAlign w:val="center"/>
            <w:hideMark/>
          </w:tcPr>
          <w:p w14:paraId="43EA36F0" w14:textId="77777777" w:rsidR="00027371" w:rsidRPr="00027371" w:rsidRDefault="00027371" w:rsidP="00027371">
            <w:pPr>
              <w:jc w:val="both"/>
              <w:rPr>
                <w:bCs/>
                <w:sz w:val="18"/>
                <w:szCs w:val="18"/>
              </w:rPr>
            </w:pPr>
            <w:r w:rsidRPr="00027371">
              <w:rPr>
                <w:bCs/>
                <w:sz w:val="18"/>
                <w:szCs w:val="18"/>
              </w:rPr>
              <w:t>31.5</w:t>
            </w:r>
          </w:p>
        </w:tc>
        <w:tc>
          <w:tcPr>
            <w:tcW w:w="866" w:type="dxa"/>
            <w:tcBorders>
              <w:bottom w:val="single" w:sz="4" w:space="0" w:color="auto"/>
            </w:tcBorders>
            <w:noWrap/>
            <w:vAlign w:val="center"/>
            <w:hideMark/>
          </w:tcPr>
          <w:p w14:paraId="0B4A6298" w14:textId="77777777" w:rsidR="00027371" w:rsidRPr="00027371" w:rsidRDefault="00027371" w:rsidP="00027371">
            <w:pPr>
              <w:jc w:val="both"/>
              <w:rPr>
                <w:bCs/>
                <w:sz w:val="18"/>
                <w:szCs w:val="18"/>
              </w:rPr>
            </w:pPr>
            <w:r w:rsidRPr="00027371">
              <w:rPr>
                <w:bCs/>
                <w:sz w:val="18"/>
                <w:szCs w:val="18"/>
              </w:rPr>
              <w:t>32.812</w:t>
            </w:r>
          </w:p>
        </w:tc>
        <w:tc>
          <w:tcPr>
            <w:tcW w:w="866" w:type="dxa"/>
            <w:tcBorders>
              <w:bottom w:val="single" w:sz="4" w:space="0" w:color="auto"/>
            </w:tcBorders>
            <w:noWrap/>
            <w:vAlign w:val="center"/>
            <w:hideMark/>
          </w:tcPr>
          <w:p w14:paraId="3FB506AF" w14:textId="77777777" w:rsidR="00027371" w:rsidRPr="00027371" w:rsidRDefault="00027371" w:rsidP="00027371">
            <w:pPr>
              <w:jc w:val="both"/>
              <w:rPr>
                <w:bCs/>
                <w:sz w:val="18"/>
                <w:szCs w:val="18"/>
              </w:rPr>
            </w:pPr>
            <w:r w:rsidRPr="00027371">
              <w:rPr>
                <w:bCs/>
                <w:sz w:val="18"/>
                <w:szCs w:val="18"/>
              </w:rPr>
              <w:t>31.25</w:t>
            </w:r>
          </w:p>
        </w:tc>
      </w:tr>
      <w:tr w:rsidR="00027371" w:rsidRPr="00027371" w14:paraId="5CDCF681" w14:textId="77777777" w:rsidTr="00027371">
        <w:trPr>
          <w:trHeight w:val="227"/>
          <w:jc w:val="center"/>
        </w:trPr>
        <w:tc>
          <w:tcPr>
            <w:tcW w:w="1413" w:type="dxa"/>
            <w:vMerge w:val="restart"/>
            <w:tcBorders>
              <w:top w:val="single" w:sz="4" w:space="0" w:color="auto"/>
              <w:bottom w:val="nil"/>
            </w:tcBorders>
            <w:noWrap/>
            <w:hideMark/>
          </w:tcPr>
          <w:p w14:paraId="68A7DD13" w14:textId="77777777" w:rsidR="00027371" w:rsidRPr="00027371" w:rsidRDefault="00027371" w:rsidP="00027371">
            <w:pPr>
              <w:jc w:val="both"/>
              <w:rPr>
                <w:b/>
                <w:bCs/>
                <w:sz w:val="18"/>
                <w:szCs w:val="18"/>
              </w:rPr>
            </w:pPr>
            <w:r w:rsidRPr="00027371">
              <w:rPr>
                <w:b/>
                <w:bCs/>
                <w:sz w:val="18"/>
                <w:szCs w:val="18"/>
              </w:rPr>
              <w:t>MBC/MIC</w:t>
            </w:r>
          </w:p>
        </w:tc>
        <w:tc>
          <w:tcPr>
            <w:tcW w:w="1050" w:type="dxa"/>
            <w:tcBorders>
              <w:top w:val="single" w:sz="4" w:space="0" w:color="auto"/>
              <w:bottom w:val="nil"/>
            </w:tcBorders>
            <w:noWrap/>
            <w:hideMark/>
          </w:tcPr>
          <w:p w14:paraId="0AD91D2A"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46408004" w14:textId="77777777" w:rsidR="00027371" w:rsidRPr="00027371" w:rsidRDefault="00027371" w:rsidP="00027371">
            <w:pPr>
              <w:jc w:val="both"/>
              <w:rPr>
                <w:bCs/>
                <w:sz w:val="18"/>
                <w:szCs w:val="18"/>
              </w:rPr>
            </w:pPr>
            <w:r w:rsidRPr="00027371">
              <w:rPr>
                <w:bCs/>
                <w:sz w:val="18"/>
                <w:szCs w:val="18"/>
              </w:rPr>
              <w:t>2</w:t>
            </w:r>
          </w:p>
        </w:tc>
        <w:tc>
          <w:tcPr>
            <w:tcW w:w="966" w:type="dxa"/>
            <w:tcBorders>
              <w:top w:val="single" w:sz="4" w:space="0" w:color="auto"/>
              <w:bottom w:val="nil"/>
            </w:tcBorders>
            <w:noWrap/>
            <w:vAlign w:val="center"/>
            <w:hideMark/>
          </w:tcPr>
          <w:p w14:paraId="337BF64A" w14:textId="77777777" w:rsidR="00027371" w:rsidRPr="00027371" w:rsidRDefault="00027371" w:rsidP="00027371">
            <w:pPr>
              <w:jc w:val="both"/>
              <w:rPr>
                <w:bCs/>
                <w:sz w:val="18"/>
                <w:szCs w:val="18"/>
              </w:rPr>
            </w:pPr>
            <w:r w:rsidRPr="00027371">
              <w:rPr>
                <w:bCs/>
                <w:sz w:val="18"/>
                <w:szCs w:val="18"/>
              </w:rPr>
              <w:t>1.73</w:t>
            </w:r>
          </w:p>
        </w:tc>
        <w:tc>
          <w:tcPr>
            <w:tcW w:w="866" w:type="dxa"/>
            <w:tcBorders>
              <w:top w:val="single" w:sz="4" w:space="0" w:color="auto"/>
              <w:bottom w:val="nil"/>
            </w:tcBorders>
            <w:noWrap/>
            <w:vAlign w:val="center"/>
            <w:hideMark/>
          </w:tcPr>
          <w:p w14:paraId="35A450BF" w14:textId="77777777" w:rsidR="00027371" w:rsidRPr="00027371" w:rsidRDefault="00027371" w:rsidP="00027371">
            <w:pPr>
              <w:jc w:val="both"/>
              <w:rPr>
                <w:bCs/>
                <w:sz w:val="18"/>
                <w:szCs w:val="18"/>
              </w:rPr>
            </w:pPr>
            <w:r w:rsidRPr="00027371">
              <w:rPr>
                <w:bCs/>
                <w:sz w:val="18"/>
                <w:szCs w:val="18"/>
              </w:rPr>
              <w:t>1.95</w:t>
            </w:r>
          </w:p>
        </w:tc>
        <w:tc>
          <w:tcPr>
            <w:tcW w:w="866" w:type="dxa"/>
            <w:tcBorders>
              <w:top w:val="single" w:sz="4" w:space="0" w:color="auto"/>
              <w:bottom w:val="nil"/>
            </w:tcBorders>
            <w:noWrap/>
            <w:vAlign w:val="center"/>
            <w:hideMark/>
          </w:tcPr>
          <w:p w14:paraId="7BBA7D62" w14:textId="77777777" w:rsidR="00027371" w:rsidRPr="00027371" w:rsidRDefault="00027371" w:rsidP="00027371">
            <w:pPr>
              <w:jc w:val="both"/>
              <w:rPr>
                <w:bCs/>
                <w:sz w:val="18"/>
                <w:szCs w:val="18"/>
              </w:rPr>
            </w:pPr>
            <w:r w:rsidRPr="00027371">
              <w:rPr>
                <w:bCs/>
                <w:sz w:val="18"/>
                <w:szCs w:val="18"/>
              </w:rPr>
              <w:t>1.65</w:t>
            </w:r>
          </w:p>
        </w:tc>
        <w:tc>
          <w:tcPr>
            <w:tcW w:w="866" w:type="dxa"/>
            <w:tcBorders>
              <w:top w:val="single" w:sz="4" w:space="0" w:color="auto"/>
              <w:bottom w:val="nil"/>
            </w:tcBorders>
            <w:noWrap/>
            <w:vAlign w:val="center"/>
            <w:hideMark/>
          </w:tcPr>
          <w:p w14:paraId="3C691C2D" w14:textId="77777777" w:rsidR="00027371" w:rsidRPr="00027371" w:rsidRDefault="00027371" w:rsidP="00027371">
            <w:pPr>
              <w:jc w:val="both"/>
              <w:rPr>
                <w:bCs/>
                <w:sz w:val="18"/>
                <w:szCs w:val="18"/>
              </w:rPr>
            </w:pPr>
            <w:r w:rsidRPr="00027371">
              <w:rPr>
                <w:bCs/>
                <w:sz w:val="18"/>
                <w:szCs w:val="18"/>
              </w:rPr>
              <w:t>1.72</w:t>
            </w:r>
          </w:p>
        </w:tc>
        <w:tc>
          <w:tcPr>
            <w:tcW w:w="823" w:type="dxa"/>
            <w:tcBorders>
              <w:top w:val="single" w:sz="4" w:space="0" w:color="auto"/>
              <w:bottom w:val="nil"/>
            </w:tcBorders>
            <w:noWrap/>
            <w:vAlign w:val="center"/>
            <w:hideMark/>
          </w:tcPr>
          <w:p w14:paraId="276AC2B1" w14:textId="77777777" w:rsidR="00027371" w:rsidRPr="00027371" w:rsidRDefault="00027371" w:rsidP="00027371">
            <w:pPr>
              <w:jc w:val="both"/>
              <w:rPr>
                <w:bCs/>
                <w:sz w:val="18"/>
                <w:szCs w:val="18"/>
              </w:rPr>
            </w:pPr>
            <w:r w:rsidRPr="00027371">
              <w:rPr>
                <w:bCs/>
                <w:sz w:val="18"/>
                <w:szCs w:val="18"/>
              </w:rPr>
              <w:t>2</w:t>
            </w:r>
          </w:p>
        </w:tc>
        <w:tc>
          <w:tcPr>
            <w:tcW w:w="823" w:type="dxa"/>
            <w:tcBorders>
              <w:top w:val="single" w:sz="4" w:space="0" w:color="auto"/>
              <w:bottom w:val="nil"/>
            </w:tcBorders>
            <w:noWrap/>
            <w:vAlign w:val="center"/>
            <w:hideMark/>
          </w:tcPr>
          <w:p w14:paraId="45BBB9B2" w14:textId="77777777" w:rsidR="00027371" w:rsidRPr="00027371" w:rsidRDefault="00027371" w:rsidP="00027371">
            <w:pPr>
              <w:jc w:val="both"/>
              <w:rPr>
                <w:bCs/>
                <w:sz w:val="18"/>
                <w:szCs w:val="18"/>
              </w:rPr>
            </w:pPr>
            <w:r w:rsidRPr="00027371">
              <w:rPr>
                <w:bCs/>
                <w:sz w:val="18"/>
                <w:szCs w:val="18"/>
              </w:rPr>
              <w:t>1.3</w:t>
            </w:r>
          </w:p>
        </w:tc>
        <w:tc>
          <w:tcPr>
            <w:tcW w:w="866" w:type="dxa"/>
            <w:tcBorders>
              <w:top w:val="single" w:sz="4" w:space="0" w:color="auto"/>
              <w:bottom w:val="nil"/>
            </w:tcBorders>
            <w:noWrap/>
            <w:vAlign w:val="center"/>
            <w:hideMark/>
          </w:tcPr>
          <w:p w14:paraId="4DCFC0BF" w14:textId="77777777" w:rsidR="00027371" w:rsidRPr="00027371" w:rsidRDefault="00027371" w:rsidP="00027371">
            <w:pPr>
              <w:jc w:val="both"/>
              <w:rPr>
                <w:bCs/>
                <w:sz w:val="18"/>
                <w:szCs w:val="18"/>
              </w:rPr>
            </w:pPr>
            <w:r w:rsidRPr="00027371">
              <w:rPr>
                <w:bCs/>
                <w:sz w:val="18"/>
                <w:szCs w:val="18"/>
              </w:rPr>
              <w:t>4.15</w:t>
            </w:r>
          </w:p>
        </w:tc>
        <w:tc>
          <w:tcPr>
            <w:tcW w:w="866" w:type="dxa"/>
            <w:tcBorders>
              <w:top w:val="single" w:sz="4" w:space="0" w:color="auto"/>
              <w:bottom w:val="nil"/>
            </w:tcBorders>
            <w:noWrap/>
            <w:vAlign w:val="center"/>
            <w:hideMark/>
          </w:tcPr>
          <w:p w14:paraId="36224C7C" w14:textId="77777777" w:rsidR="00027371" w:rsidRPr="00027371" w:rsidRDefault="00027371" w:rsidP="00027371">
            <w:pPr>
              <w:jc w:val="both"/>
              <w:rPr>
                <w:bCs/>
                <w:sz w:val="18"/>
                <w:szCs w:val="18"/>
              </w:rPr>
            </w:pPr>
            <w:r w:rsidRPr="00027371">
              <w:rPr>
                <w:bCs/>
                <w:sz w:val="18"/>
                <w:szCs w:val="18"/>
              </w:rPr>
              <w:t>1.83</w:t>
            </w:r>
          </w:p>
        </w:tc>
      </w:tr>
      <w:tr w:rsidR="00027371" w:rsidRPr="00027371" w14:paraId="7CF4634F" w14:textId="77777777" w:rsidTr="00027371">
        <w:trPr>
          <w:trHeight w:val="227"/>
          <w:jc w:val="center"/>
        </w:trPr>
        <w:tc>
          <w:tcPr>
            <w:tcW w:w="1413" w:type="dxa"/>
            <w:vMerge/>
            <w:tcBorders>
              <w:top w:val="nil"/>
            </w:tcBorders>
            <w:noWrap/>
            <w:hideMark/>
          </w:tcPr>
          <w:p w14:paraId="23E99B51" w14:textId="77777777" w:rsidR="00027371" w:rsidRPr="00027371" w:rsidRDefault="00027371" w:rsidP="00027371">
            <w:pPr>
              <w:jc w:val="both"/>
              <w:rPr>
                <w:bCs/>
                <w:sz w:val="18"/>
                <w:szCs w:val="18"/>
              </w:rPr>
            </w:pPr>
          </w:p>
        </w:tc>
        <w:tc>
          <w:tcPr>
            <w:tcW w:w="1050" w:type="dxa"/>
            <w:tcBorders>
              <w:top w:val="nil"/>
            </w:tcBorders>
            <w:noWrap/>
            <w:hideMark/>
          </w:tcPr>
          <w:p w14:paraId="53F82DD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730392E1"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6B26B2A7" w14:textId="77777777" w:rsidR="00027371" w:rsidRPr="00027371" w:rsidRDefault="00027371" w:rsidP="00027371">
            <w:pPr>
              <w:jc w:val="both"/>
              <w:rPr>
                <w:bCs/>
                <w:sz w:val="18"/>
                <w:szCs w:val="18"/>
              </w:rPr>
            </w:pPr>
            <w:r w:rsidRPr="00027371">
              <w:rPr>
                <w:bCs/>
                <w:sz w:val="18"/>
                <w:szCs w:val="18"/>
              </w:rPr>
              <w:t>0.51</w:t>
            </w:r>
          </w:p>
        </w:tc>
        <w:tc>
          <w:tcPr>
            <w:tcW w:w="866" w:type="dxa"/>
            <w:tcBorders>
              <w:top w:val="nil"/>
            </w:tcBorders>
            <w:noWrap/>
            <w:vAlign w:val="center"/>
            <w:hideMark/>
          </w:tcPr>
          <w:p w14:paraId="46A0A6AE" w14:textId="77777777" w:rsidR="00027371" w:rsidRPr="00027371" w:rsidRDefault="00027371" w:rsidP="00027371">
            <w:pPr>
              <w:jc w:val="both"/>
              <w:rPr>
                <w:bCs/>
                <w:sz w:val="18"/>
                <w:szCs w:val="18"/>
              </w:rPr>
            </w:pPr>
            <w:r w:rsidRPr="00027371">
              <w:rPr>
                <w:bCs/>
                <w:sz w:val="18"/>
                <w:szCs w:val="18"/>
              </w:rPr>
              <w:t>0.54</w:t>
            </w:r>
          </w:p>
        </w:tc>
        <w:tc>
          <w:tcPr>
            <w:tcW w:w="866" w:type="dxa"/>
            <w:tcBorders>
              <w:top w:val="nil"/>
            </w:tcBorders>
            <w:noWrap/>
            <w:vAlign w:val="center"/>
            <w:hideMark/>
          </w:tcPr>
          <w:p w14:paraId="1C273E59" w14:textId="77777777" w:rsidR="00027371" w:rsidRPr="00027371" w:rsidRDefault="00027371" w:rsidP="00027371">
            <w:pPr>
              <w:jc w:val="both"/>
              <w:rPr>
                <w:bCs/>
                <w:sz w:val="18"/>
                <w:szCs w:val="18"/>
              </w:rPr>
            </w:pPr>
            <w:r w:rsidRPr="00027371">
              <w:rPr>
                <w:bCs/>
                <w:sz w:val="18"/>
                <w:szCs w:val="18"/>
              </w:rPr>
              <w:t>0.49</w:t>
            </w:r>
          </w:p>
        </w:tc>
        <w:tc>
          <w:tcPr>
            <w:tcW w:w="866" w:type="dxa"/>
            <w:tcBorders>
              <w:top w:val="nil"/>
            </w:tcBorders>
            <w:noWrap/>
            <w:vAlign w:val="center"/>
            <w:hideMark/>
          </w:tcPr>
          <w:p w14:paraId="288FADB5" w14:textId="77777777" w:rsidR="00027371" w:rsidRPr="00027371" w:rsidRDefault="00027371" w:rsidP="00027371">
            <w:pPr>
              <w:jc w:val="both"/>
              <w:rPr>
                <w:bCs/>
                <w:sz w:val="18"/>
                <w:szCs w:val="18"/>
              </w:rPr>
            </w:pPr>
            <w:r w:rsidRPr="00027371">
              <w:rPr>
                <w:bCs/>
                <w:sz w:val="18"/>
                <w:szCs w:val="18"/>
              </w:rPr>
              <w:t>0.32</w:t>
            </w:r>
          </w:p>
        </w:tc>
        <w:tc>
          <w:tcPr>
            <w:tcW w:w="823" w:type="dxa"/>
            <w:tcBorders>
              <w:top w:val="nil"/>
            </w:tcBorders>
            <w:noWrap/>
            <w:vAlign w:val="center"/>
            <w:hideMark/>
          </w:tcPr>
          <w:p w14:paraId="2B07B646"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1E853C6"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28E2C38C" w14:textId="77777777" w:rsidR="00027371" w:rsidRPr="00027371" w:rsidRDefault="00027371" w:rsidP="00027371">
            <w:pPr>
              <w:jc w:val="both"/>
              <w:rPr>
                <w:bCs/>
                <w:sz w:val="18"/>
                <w:szCs w:val="18"/>
              </w:rPr>
            </w:pPr>
            <w:r w:rsidRPr="00027371">
              <w:rPr>
                <w:bCs/>
                <w:sz w:val="18"/>
                <w:szCs w:val="18"/>
              </w:rPr>
              <w:t>1.73</w:t>
            </w:r>
          </w:p>
        </w:tc>
        <w:tc>
          <w:tcPr>
            <w:tcW w:w="866" w:type="dxa"/>
            <w:tcBorders>
              <w:top w:val="nil"/>
            </w:tcBorders>
            <w:noWrap/>
            <w:vAlign w:val="center"/>
            <w:hideMark/>
          </w:tcPr>
          <w:p w14:paraId="1E74ABED" w14:textId="77777777" w:rsidR="00027371" w:rsidRPr="00027371" w:rsidRDefault="00027371" w:rsidP="00027371">
            <w:pPr>
              <w:jc w:val="both"/>
              <w:rPr>
                <w:bCs/>
                <w:sz w:val="18"/>
                <w:szCs w:val="18"/>
              </w:rPr>
            </w:pPr>
            <w:r w:rsidRPr="00027371">
              <w:rPr>
                <w:bCs/>
                <w:sz w:val="18"/>
                <w:szCs w:val="18"/>
              </w:rPr>
              <w:t>0.35</w:t>
            </w:r>
          </w:p>
        </w:tc>
      </w:tr>
      <w:tr w:rsidR="00027371" w:rsidRPr="00027371" w14:paraId="17BD195C" w14:textId="77777777" w:rsidTr="00027371">
        <w:trPr>
          <w:trHeight w:val="227"/>
          <w:jc w:val="center"/>
        </w:trPr>
        <w:tc>
          <w:tcPr>
            <w:tcW w:w="1413" w:type="dxa"/>
            <w:vMerge/>
            <w:noWrap/>
            <w:hideMark/>
          </w:tcPr>
          <w:p w14:paraId="4692C117" w14:textId="77777777" w:rsidR="00027371" w:rsidRPr="00027371" w:rsidRDefault="00027371" w:rsidP="00027371">
            <w:pPr>
              <w:jc w:val="both"/>
              <w:rPr>
                <w:bCs/>
                <w:sz w:val="18"/>
                <w:szCs w:val="18"/>
              </w:rPr>
            </w:pPr>
          </w:p>
        </w:tc>
        <w:tc>
          <w:tcPr>
            <w:tcW w:w="1050" w:type="dxa"/>
            <w:noWrap/>
            <w:hideMark/>
          </w:tcPr>
          <w:p w14:paraId="07065EB5"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1A6C06F2"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3D532670"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39F67D31"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402D86DC"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D9B7965" w14:textId="77777777" w:rsidR="00027371" w:rsidRPr="00027371" w:rsidRDefault="00027371" w:rsidP="00027371">
            <w:pPr>
              <w:jc w:val="both"/>
              <w:rPr>
                <w:bCs/>
                <w:sz w:val="18"/>
                <w:szCs w:val="18"/>
              </w:rPr>
            </w:pPr>
            <w:r w:rsidRPr="00027371">
              <w:rPr>
                <w:bCs/>
                <w:sz w:val="18"/>
                <w:szCs w:val="18"/>
              </w:rPr>
              <w:t>1.3</w:t>
            </w:r>
          </w:p>
        </w:tc>
        <w:tc>
          <w:tcPr>
            <w:tcW w:w="823" w:type="dxa"/>
            <w:noWrap/>
            <w:vAlign w:val="center"/>
            <w:hideMark/>
          </w:tcPr>
          <w:p w14:paraId="408CD881"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765AAB45"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0F69712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5B278F9B" w14:textId="77777777" w:rsidR="00027371" w:rsidRPr="00027371" w:rsidRDefault="00027371" w:rsidP="00027371">
            <w:pPr>
              <w:jc w:val="both"/>
              <w:rPr>
                <w:bCs/>
                <w:sz w:val="18"/>
                <w:szCs w:val="18"/>
              </w:rPr>
            </w:pPr>
            <w:r w:rsidRPr="00027371">
              <w:rPr>
                <w:bCs/>
                <w:sz w:val="18"/>
                <w:szCs w:val="18"/>
              </w:rPr>
              <w:t>1.3</w:t>
            </w:r>
          </w:p>
        </w:tc>
      </w:tr>
      <w:tr w:rsidR="00027371" w:rsidRPr="00027371" w14:paraId="63180989" w14:textId="77777777" w:rsidTr="00027371">
        <w:trPr>
          <w:trHeight w:val="227"/>
          <w:jc w:val="center"/>
        </w:trPr>
        <w:tc>
          <w:tcPr>
            <w:tcW w:w="1413" w:type="dxa"/>
            <w:vMerge/>
            <w:noWrap/>
            <w:hideMark/>
          </w:tcPr>
          <w:p w14:paraId="4C828F0D" w14:textId="77777777" w:rsidR="00027371" w:rsidRPr="00027371" w:rsidRDefault="00027371" w:rsidP="00027371">
            <w:pPr>
              <w:jc w:val="both"/>
              <w:rPr>
                <w:bCs/>
                <w:sz w:val="18"/>
                <w:szCs w:val="18"/>
              </w:rPr>
            </w:pPr>
          </w:p>
        </w:tc>
        <w:tc>
          <w:tcPr>
            <w:tcW w:w="1050" w:type="dxa"/>
            <w:noWrap/>
            <w:hideMark/>
          </w:tcPr>
          <w:p w14:paraId="47B6BB24" w14:textId="77777777" w:rsidR="00027371" w:rsidRPr="00027371" w:rsidRDefault="00027371" w:rsidP="00027371">
            <w:pPr>
              <w:jc w:val="both"/>
              <w:rPr>
                <w:bCs/>
                <w:sz w:val="18"/>
                <w:szCs w:val="18"/>
              </w:rPr>
            </w:pPr>
            <w:r w:rsidRPr="00027371">
              <w:rPr>
                <w:bCs/>
                <w:sz w:val="18"/>
                <w:szCs w:val="18"/>
              </w:rPr>
              <w:t>Maximum</w:t>
            </w:r>
          </w:p>
        </w:tc>
        <w:tc>
          <w:tcPr>
            <w:tcW w:w="823" w:type="dxa"/>
            <w:noWrap/>
            <w:vAlign w:val="center"/>
            <w:hideMark/>
          </w:tcPr>
          <w:p w14:paraId="4836309D"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61F3DD6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380FD7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688007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0A87A1D7"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10587433"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2C6E79C2"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541C7EB" w14:textId="77777777" w:rsidR="00027371" w:rsidRPr="00027371" w:rsidRDefault="00027371" w:rsidP="00027371">
            <w:pPr>
              <w:jc w:val="both"/>
              <w:rPr>
                <w:bCs/>
                <w:sz w:val="18"/>
                <w:szCs w:val="18"/>
              </w:rPr>
            </w:pPr>
            <w:r w:rsidRPr="00027371">
              <w:rPr>
                <w:bCs/>
                <w:sz w:val="18"/>
                <w:szCs w:val="18"/>
              </w:rPr>
              <w:t>8</w:t>
            </w:r>
          </w:p>
        </w:tc>
        <w:tc>
          <w:tcPr>
            <w:tcW w:w="866" w:type="dxa"/>
            <w:noWrap/>
            <w:vAlign w:val="center"/>
            <w:hideMark/>
          </w:tcPr>
          <w:p w14:paraId="679F3DF0" w14:textId="77777777" w:rsidR="00027371" w:rsidRPr="00027371" w:rsidRDefault="00027371" w:rsidP="00027371">
            <w:pPr>
              <w:jc w:val="both"/>
              <w:rPr>
                <w:bCs/>
                <w:sz w:val="18"/>
                <w:szCs w:val="18"/>
              </w:rPr>
            </w:pPr>
            <w:r w:rsidRPr="00027371">
              <w:rPr>
                <w:bCs/>
                <w:sz w:val="18"/>
                <w:szCs w:val="18"/>
              </w:rPr>
              <w:t>2</w:t>
            </w:r>
          </w:p>
        </w:tc>
      </w:tr>
    </w:tbl>
    <w:p w14:paraId="2C32B572" w14:textId="77777777" w:rsidR="00027371" w:rsidRPr="00E0388A" w:rsidRDefault="00027371" w:rsidP="00E0388A">
      <w:pPr>
        <w:jc w:val="center"/>
        <w:rPr>
          <w:sz w:val="16"/>
        </w:rPr>
      </w:pPr>
      <w:r w:rsidRPr="00E0388A">
        <w:rPr>
          <w:sz w:val="16"/>
        </w:rPr>
        <w:t>GPR: Gram-positive rods; MIC: minimum inhibitory concentration; MBC: minimum bactericidal concentration, Sta-Dev: Standard deviation</w:t>
      </w:r>
    </w:p>
    <w:p w14:paraId="3067A6BD" w14:textId="77777777" w:rsidR="00860FA1" w:rsidRDefault="00860FA1" w:rsidP="00860FA1">
      <w:pPr>
        <w:jc w:val="both"/>
      </w:pPr>
    </w:p>
    <w:p w14:paraId="13746FB6"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74EE64CB" w14:textId="77777777" w:rsidR="00860FA1" w:rsidRPr="00860FA1" w:rsidRDefault="00860FA1" w:rsidP="00860FA1">
      <w:pPr>
        <w:pStyle w:val="Body"/>
        <w:rPr>
          <w:rFonts w:ascii="Arial" w:hAnsi="Arial" w:cs="Arial"/>
        </w:rPr>
      </w:pPr>
      <w:r w:rsidRPr="00860FA1">
        <w:rPr>
          <w:rFonts w:ascii="Arial" w:hAnsi="Arial" w:cs="Arial"/>
        </w:rPr>
        <w:t>In the framework that aims at valorizing plant derivatives as alternatives to conventional antibacterial agents, the present investigation assessed the antibacterial potentials of a hydroethanolic extract from the dried leaves of</w:t>
      </w:r>
      <w:r w:rsidRPr="00860FA1">
        <w:rPr>
          <w:rFonts w:ascii="Arial" w:hAnsi="Arial" w:cs="Arial"/>
          <w:i/>
        </w:rPr>
        <w:t xml:space="preserve">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i/>
        </w:rPr>
        <w:t>,</w:t>
      </w:r>
      <w:r w:rsidRPr="00860FA1">
        <w:rPr>
          <w:rFonts w:ascii="Arial" w:hAnsi="Arial" w:cs="Arial"/>
        </w:rPr>
        <w:t xml:space="preserve"> on a pool of antibiotic-resistant bacteria recovered from a healthcare facility environment. The subjected bacterial pool consisted primarily of </w:t>
      </w:r>
      <w:r w:rsidRPr="00860FA1">
        <w:rPr>
          <w:rFonts w:ascii="Arial" w:hAnsi="Arial" w:cs="Arial"/>
          <w:i/>
        </w:rPr>
        <w:t xml:space="preserve">Staphylococcus </w:t>
      </w:r>
      <w:r w:rsidRPr="00860FA1">
        <w:rPr>
          <w:rFonts w:ascii="Arial" w:hAnsi="Arial" w:cs="Arial"/>
          <w:iCs/>
        </w:rPr>
        <w:t>and</w:t>
      </w:r>
      <w:r w:rsidRPr="00860FA1">
        <w:rPr>
          <w:rFonts w:ascii="Arial" w:hAnsi="Arial" w:cs="Arial"/>
        </w:rPr>
        <w:t xml:space="preserve"> </w:t>
      </w:r>
      <w:r w:rsidRPr="00860FA1">
        <w:rPr>
          <w:rFonts w:ascii="Arial" w:hAnsi="Arial" w:cs="Arial"/>
          <w:i/>
          <w:iCs/>
        </w:rPr>
        <w:t>Bacillus</w:t>
      </w:r>
      <w:r w:rsidRPr="00860FA1">
        <w:rPr>
          <w:rFonts w:ascii="Arial" w:hAnsi="Arial" w:cs="Arial"/>
        </w:rPr>
        <w:t xml:space="preserve">, thought the isolation spectrum extended to </w:t>
      </w:r>
      <w:r w:rsidRPr="00860FA1">
        <w:rPr>
          <w:rFonts w:ascii="Arial" w:hAnsi="Arial" w:cs="Arial"/>
          <w:i/>
          <w:iCs/>
        </w:rPr>
        <w:t>Enterobacteriaceae</w:t>
      </w:r>
      <w:r w:rsidRPr="00860FA1">
        <w:rPr>
          <w:rFonts w:ascii="Arial" w:hAnsi="Arial" w:cs="Arial"/>
          <w:iCs/>
        </w:rPr>
        <w:t>,</w:t>
      </w:r>
      <w:r w:rsidRPr="00860FA1">
        <w:rPr>
          <w:rFonts w:ascii="Arial" w:hAnsi="Arial" w:cs="Arial"/>
        </w:rPr>
        <w:t xml:space="preserve"> </w:t>
      </w:r>
      <w:r w:rsidRPr="00860FA1">
        <w:rPr>
          <w:rFonts w:ascii="Arial" w:hAnsi="Arial" w:cs="Arial"/>
          <w:i/>
        </w:rPr>
        <w:t>Pseudomonas</w:t>
      </w:r>
      <w:r w:rsidRPr="00860FA1">
        <w:rPr>
          <w:rFonts w:ascii="Arial" w:hAnsi="Arial" w:cs="Arial"/>
        </w:rPr>
        <w:t xml:space="preserve"> and </w:t>
      </w:r>
      <w:r w:rsidRPr="00860FA1">
        <w:rPr>
          <w:rFonts w:ascii="Arial" w:hAnsi="Arial" w:cs="Arial"/>
          <w:i/>
        </w:rPr>
        <w:t>Acinetobacter</w:t>
      </w:r>
      <w:r w:rsidRPr="00860FA1">
        <w:rPr>
          <w:rFonts w:ascii="Arial" w:hAnsi="Arial" w:cs="Arial"/>
        </w:rPr>
        <w:t>. Higher bacterial diversity was recorded in the biomedical laboratory, the minor surgery room, the hospitalization wards, the shared external sanitation rooms, on the surfaces of hand-washing units and door handles. These settings are commonly used by healthcare personnels, patients and visitors and deserve appropriate hygiene practices for optimal safety. The bacterial population subjected to susceptibility tests expressed high rates of multidrug resistance. This diversity and susceptibility profiles were in line with previous findings in the same healthcare facility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and in the others (</w:t>
      </w:r>
      <w:proofErr w:type="spellStart"/>
      <w:r w:rsidRPr="00860FA1">
        <w:rPr>
          <w:rFonts w:ascii="Arial" w:hAnsi="Arial" w:cs="Arial"/>
        </w:rPr>
        <w:t>Tchapdie</w:t>
      </w:r>
      <w:proofErr w:type="spellEnd"/>
      <w:r w:rsidRPr="00860FA1">
        <w:rPr>
          <w:rFonts w:ascii="Arial" w:hAnsi="Arial" w:cs="Arial"/>
        </w:rPr>
        <w:t xml:space="preserve"> </w:t>
      </w:r>
      <w:proofErr w:type="spellStart"/>
      <w:r w:rsidRPr="00860FA1">
        <w:rPr>
          <w:rFonts w:ascii="Arial" w:hAnsi="Arial" w:cs="Arial"/>
        </w:rPr>
        <w:t>Ngassam</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2017).</w:t>
      </w:r>
    </w:p>
    <w:p w14:paraId="789DAB1D" w14:textId="77777777" w:rsidR="00860FA1" w:rsidRPr="00860FA1" w:rsidRDefault="00860FA1" w:rsidP="00860FA1">
      <w:pPr>
        <w:pStyle w:val="Body"/>
        <w:rPr>
          <w:rFonts w:ascii="Arial" w:hAnsi="Arial" w:cs="Arial"/>
        </w:rPr>
      </w:pPr>
      <w:r w:rsidRPr="00860FA1">
        <w:rPr>
          <w:rFonts w:ascii="Arial" w:hAnsi="Arial" w:cs="Arial"/>
        </w:rPr>
        <w:t xml:space="preserve">The predominance of Gram-positive bacteria could at first glance, reflect cell stability conferred by the chemical composition of the cell envelop, but also their ability to withstand harsher environmental stresses with spore in </w:t>
      </w:r>
      <w:r w:rsidRPr="00860FA1">
        <w:rPr>
          <w:rFonts w:ascii="Arial" w:hAnsi="Arial" w:cs="Arial"/>
          <w:i/>
          <w:iCs/>
        </w:rPr>
        <w:t>Bacillus</w:t>
      </w:r>
      <w:r w:rsidRPr="00860FA1">
        <w:rPr>
          <w:rFonts w:ascii="Arial" w:hAnsi="Arial" w:cs="Arial"/>
        </w:rPr>
        <w:t xml:space="preserve">. These characteristics are shared by the major categories recovered, and appear consistent with the reduced isolation rates of Gram-negative bacteria. As ubiquitous facultative aerobes, higher likelihood to contaminate and cause opportunistic infections to more vulnerable exposed humans could reasonably be anticipated (Albert </w:t>
      </w:r>
      <w:r w:rsidRPr="00860FA1">
        <w:rPr>
          <w:rFonts w:ascii="Arial" w:hAnsi="Arial" w:cs="Arial"/>
          <w:i/>
        </w:rPr>
        <w:t>et al</w:t>
      </w:r>
      <w:r w:rsidRPr="00860FA1">
        <w:rPr>
          <w:rFonts w:ascii="Arial" w:hAnsi="Arial" w:cs="Arial"/>
        </w:rPr>
        <w:t xml:space="preserve">., 2000;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Souza </w:t>
      </w:r>
      <w:r w:rsidRPr="00860FA1">
        <w:rPr>
          <w:rFonts w:ascii="Arial" w:hAnsi="Arial" w:cs="Arial"/>
          <w:i/>
        </w:rPr>
        <w:t>et al</w:t>
      </w:r>
      <w:r w:rsidRPr="00860FA1">
        <w:rPr>
          <w:rFonts w:ascii="Arial" w:hAnsi="Arial" w:cs="Arial"/>
        </w:rPr>
        <w:t>., 2021;</w:t>
      </w:r>
      <w:r w:rsidRPr="00860FA1">
        <w:rPr>
          <w:rFonts w:ascii="Arial" w:hAnsi="Arial" w:cs="Arial"/>
          <w:i/>
        </w:rPr>
        <w:t xml:space="preserve">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Consistent with previous authors conclusions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these bacterial types could effectively be regarded as reliable indices on what healthcare environment hygiene initiatives could build, particularly in contexts where resources for in-depth analyses are limited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w:t>
      </w:r>
    </w:p>
    <w:p w14:paraId="53BA82FA" w14:textId="77777777" w:rsidR="00860FA1" w:rsidRPr="00860FA1" w:rsidRDefault="00860FA1" w:rsidP="00860FA1">
      <w:pPr>
        <w:pStyle w:val="Body"/>
        <w:rPr>
          <w:rFonts w:ascii="Arial" w:hAnsi="Arial" w:cs="Arial"/>
        </w:rPr>
      </w:pPr>
      <w:r w:rsidRPr="00860FA1">
        <w:rPr>
          <w:rFonts w:ascii="Arial" w:hAnsi="Arial" w:cs="Arial"/>
        </w:rPr>
        <w:t>The great diversity observed at various sampling points could be justified by human frequentation (staff, patients, visitors) and the diversity of frequent human activities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w:t>
      </w:r>
      <w:r w:rsidRPr="00860FA1">
        <w:rPr>
          <w:rFonts w:ascii="Arial" w:hAnsi="Arial" w:cs="Arial"/>
        </w:rPr>
        <w:lastRenderedPageBreak/>
        <w:t xml:space="preserve">2023). In fact, these premises and materials (hand-washing units and door handles) are frequently used in healthcare, implying that designing policies for optimal hygiene should be rethought in the context. </w:t>
      </w:r>
    </w:p>
    <w:p w14:paraId="353F8C02" w14:textId="77777777" w:rsidR="00860FA1" w:rsidRPr="00860FA1" w:rsidRDefault="00860FA1" w:rsidP="00860FA1">
      <w:pPr>
        <w:pStyle w:val="Body"/>
        <w:rPr>
          <w:rFonts w:ascii="Arial" w:hAnsi="Arial" w:cs="Arial"/>
        </w:rPr>
      </w:pPr>
      <w:r w:rsidRPr="00860FA1">
        <w:rPr>
          <w:rFonts w:ascii="Arial" w:hAnsi="Arial" w:cs="Arial"/>
        </w:rPr>
        <w:t xml:space="preserve">The high resistance rates observed in the present study could predict caretaking failure in the case of infections acquired in the </w:t>
      </w:r>
      <w:proofErr w:type="spellStart"/>
      <w:r w:rsidRPr="00860FA1">
        <w:rPr>
          <w:rFonts w:ascii="Arial" w:hAnsi="Arial" w:cs="Arial"/>
        </w:rPr>
        <w:t>UdMTH</w:t>
      </w:r>
      <w:proofErr w:type="spellEnd"/>
      <w:r w:rsidRPr="00860FA1">
        <w:rPr>
          <w:rFonts w:ascii="Arial" w:hAnsi="Arial" w:cs="Arial"/>
        </w:rPr>
        <w:t>. These resistance rates could initially be attributed to probabilistic use of antimicrobial agents in community and/or hospital, due to economic constraints and resource limitations endured by local populations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These constraints are part of the reasons for the frequent uncontrolled use of first-line drugs with broad spectra of action, such as many beta-lactams in connection with their availability, affordability and administration routes. Acknowledging that the routine probabilistic and empiric use of these drugs is core justification for resistant growth, reinforcing individual knowledge and overall regulation appears as a paramount necessity in preventing microbial resistance exacerbation. In this regard, the GNR profile to imipenem emerges as a puzzle. Not usually recommended, expectation would be high effectiveness. The related resistance rate recorded resists clear explanation, but could be in connection with frequent administration of other antimicrobials that select resistance from complex mobile genetic determinants in cross or co-resistance within the polymicrobial population in hospital environments, and consistent with the necessity to reinforce policies for better contextual hygiene (Souza </w:t>
      </w:r>
      <w:r w:rsidRPr="00860FA1">
        <w:rPr>
          <w:rFonts w:ascii="Arial" w:hAnsi="Arial" w:cs="Arial"/>
          <w:i/>
        </w:rPr>
        <w:t>et al</w:t>
      </w:r>
      <w:r w:rsidRPr="00860FA1">
        <w:rPr>
          <w:rFonts w:ascii="Arial" w:hAnsi="Arial" w:cs="Arial"/>
        </w:rPr>
        <w:t xml:space="preserve">., 2021). This gap should be fulfilled in order to anticipate effectiveness of therapies with antibiotics sustainably. In this vein, investigations through new alternatives like the current one on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extract should relentlessly be encouraged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primarily for environmental hygiene.</w:t>
      </w:r>
    </w:p>
    <w:p w14:paraId="61EB04BD" w14:textId="77777777" w:rsidR="00860FA1" w:rsidRPr="00860FA1" w:rsidRDefault="00860FA1" w:rsidP="00860FA1">
      <w:pPr>
        <w:pStyle w:val="Body"/>
        <w:rPr>
          <w:rFonts w:ascii="Arial" w:hAnsi="Arial" w:cs="Arial"/>
        </w:rPr>
      </w:pPr>
      <w:r w:rsidRPr="00860FA1">
        <w:rPr>
          <w:rFonts w:ascii="Arial" w:hAnsi="Arial" w:cs="Arial"/>
        </w:rPr>
        <w:t xml:space="preserve">The phytochemical screening of the hydroethanolic extract of dried leaves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revealed the presence of flavonoids, polyphenols, bound quinones, tannins and terpenes, and the absence of alkaloids, saponins, anthocyanins and sterols. Several previous studies reported the presence of alkaloids, flavonoids, terpenoids, steroids, </w:t>
      </w:r>
      <w:proofErr w:type="spellStart"/>
      <w:r w:rsidRPr="00860FA1">
        <w:rPr>
          <w:rFonts w:ascii="Arial" w:hAnsi="Arial" w:cs="Arial"/>
        </w:rPr>
        <w:t>phytosteroids</w:t>
      </w:r>
      <w:proofErr w:type="spellEnd"/>
      <w:r w:rsidRPr="00860FA1">
        <w:rPr>
          <w:rFonts w:ascii="Arial" w:hAnsi="Arial" w:cs="Arial"/>
        </w:rPr>
        <w:t xml:space="preserve">, saponins, tannins, phenol, anthraquinones, quinones, xanthoproteins, </w:t>
      </w:r>
      <w:proofErr w:type="spellStart"/>
      <w:r w:rsidRPr="00860FA1">
        <w:rPr>
          <w:rFonts w:ascii="Arial" w:hAnsi="Arial" w:cs="Arial"/>
        </w:rPr>
        <w:t>phlobatannin</w:t>
      </w:r>
      <w:proofErr w:type="spellEnd"/>
      <w:r w:rsidRPr="00860FA1">
        <w:rPr>
          <w:rFonts w:ascii="Arial" w:hAnsi="Arial" w:cs="Arial"/>
        </w:rPr>
        <w:t xml:space="preserve">, coumarins, </w:t>
      </w:r>
      <w:proofErr w:type="spellStart"/>
      <w:r w:rsidRPr="00860FA1">
        <w:rPr>
          <w:rFonts w:ascii="Arial" w:hAnsi="Arial" w:cs="Arial"/>
        </w:rPr>
        <w:t>stilbenoids</w:t>
      </w:r>
      <w:proofErr w:type="spellEnd"/>
      <w:r w:rsidRPr="00860FA1">
        <w:rPr>
          <w:rFonts w:ascii="Arial" w:hAnsi="Arial" w:cs="Arial"/>
        </w:rPr>
        <w:t xml:space="preserve"> from these plant’s leaves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The absence of some in the present research may be related to the extraction protocol (</w:t>
      </w:r>
      <w:proofErr w:type="spellStart"/>
      <w:r w:rsidRPr="00860FA1">
        <w:rPr>
          <w:rFonts w:ascii="Arial" w:hAnsi="Arial" w:cs="Arial"/>
        </w:rPr>
        <w:t>Moroh</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2008; Bagre </w:t>
      </w:r>
      <w:r w:rsidRPr="00860FA1">
        <w:rPr>
          <w:rFonts w:ascii="Arial" w:hAnsi="Arial" w:cs="Arial"/>
          <w:i/>
        </w:rPr>
        <w:t>et al</w:t>
      </w:r>
      <w:r w:rsidRPr="00860FA1">
        <w:rPr>
          <w:rFonts w:ascii="Arial" w:hAnsi="Arial" w:cs="Arial"/>
        </w:rPr>
        <w:t xml:space="preserve">., 2011; Nwachukwu and </w:t>
      </w:r>
      <w:proofErr w:type="spellStart"/>
      <w:r w:rsidRPr="00860FA1">
        <w:rPr>
          <w:rFonts w:ascii="Arial" w:hAnsi="Arial" w:cs="Arial"/>
        </w:rPr>
        <w:t>Uzoeto</w:t>
      </w:r>
      <w:proofErr w:type="spellEnd"/>
      <w:r w:rsidRPr="00860FA1">
        <w:rPr>
          <w:rFonts w:ascii="Arial" w:hAnsi="Arial" w:cs="Arial"/>
        </w:rPr>
        <w:t xml:space="preserve">, 2010;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Fogue</w:t>
      </w:r>
      <w:proofErr w:type="spellEnd"/>
      <w:r w:rsidRPr="00860FA1">
        <w:rPr>
          <w:rFonts w:ascii="Arial" w:hAnsi="Arial" w:cs="Arial"/>
        </w:rPr>
        <w:t xml:space="preserve"> </w:t>
      </w:r>
      <w:proofErr w:type="spellStart"/>
      <w:r w:rsidRPr="00860FA1">
        <w:rPr>
          <w:rFonts w:ascii="Arial" w:hAnsi="Arial" w:cs="Arial"/>
        </w:rPr>
        <w:t>Totzo</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It may also be linked with geographic, pedologic and anthropologic determinants that could vary with the raw material collection sites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Garcia-Salas </w:t>
      </w:r>
      <w:r w:rsidRPr="00860FA1">
        <w:rPr>
          <w:rFonts w:ascii="Arial" w:hAnsi="Arial" w:cs="Arial"/>
          <w:i/>
        </w:rPr>
        <w:t>et al</w:t>
      </w:r>
      <w:r w:rsidRPr="00860FA1">
        <w:rPr>
          <w:rFonts w:ascii="Arial" w:hAnsi="Arial" w:cs="Arial"/>
        </w:rPr>
        <w:t xml:space="preserve">., 2010;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
    <w:p w14:paraId="1021A29A" w14:textId="77777777" w:rsidR="00860FA1" w:rsidRPr="00860FA1" w:rsidRDefault="00860FA1" w:rsidP="00860FA1">
      <w:pPr>
        <w:pStyle w:val="Body"/>
        <w:rPr>
          <w:rFonts w:ascii="Arial" w:hAnsi="Arial" w:cs="Arial"/>
        </w:rPr>
      </w:pPr>
      <w:r w:rsidRPr="00860FA1">
        <w:rPr>
          <w:rFonts w:ascii="Arial" w:hAnsi="Arial" w:cs="Arial"/>
        </w:rPr>
        <w:t xml:space="preserve">The minimal inhibitory and bactericidal concentrations of the hydroethanolic extract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leaves ranged from 1.465 through 93.75 mg/mL and from 6.25 through 175 mg/mL, respectively. This extract was more effective (inhibitory and bactericidal effectiveness) on </w:t>
      </w:r>
      <w:r w:rsidRPr="00860FA1">
        <w:rPr>
          <w:rFonts w:ascii="Arial" w:hAnsi="Arial" w:cs="Arial"/>
          <w:i/>
        </w:rPr>
        <w:t>Staphylococcus</w:t>
      </w:r>
      <w:r w:rsidRPr="00860FA1">
        <w:rPr>
          <w:rFonts w:ascii="Arial" w:hAnsi="Arial" w:cs="Arial"/>
        </w:rPr>
        <w:t xml:space="preserve"> (MIC = 3.2663±1.6854 mg/mL; MBC = 12.0701±5.7882 mg/mL). This effectiveness was found to be drastically reduced on Gram-positive rods (MIC = 69.4185±17.4405 mg/mL; MBC = 116.8478±35.677 mg/mL). Amongst the Gram-negative rod isolates, the highest MIC and MBC values were recorded with </w:t>
      </w:r>
      <w:r w:rsidRPr="00860FA1">
        <w:rPr>
          <w:rFonts w:ascii="Arial" w:hAnsi="Arial" w:cs="Arial"/>
          <w:i/>
        </w:rPr>
        <w:t>Pseudomonas</w:t>
      </w:r>
      <w:r w:rsidRPr="00860FA1">
        <w:rPr>
          <w:rFonts w:ascii="Arial" w:hAnsi="Arial" w:cs="Arial"/>
        </w:rPr>
        <w:t xml:space="preserve"> (MIC = 43.2292±3.0725 mg/mL; MBC = 73.9583±11.2962 mg/mL). Combined, these findings deserve closer attention to understand on what bacterial feature susceptibility or resistance is related. At first glance, however, it seems not to be solely related to the chemical composition of the bacterial cell envelop as observed above. More insight could anticipate the role of spores in GPR which likely provide additional protection. These inhibitory potentials are better expressed than those reported in a previous study (Pratima and </w:t>
      </w:r>
      <w:proofErr w:type="spellStart"/>
      <w:r w:rsidRPr="00860FA1">
        <w:rPr>
          <w:rFonts w:ascii="Arial" w:hAnsi="Arial" w:cs="Arial"/>
        </w:rPr>
        <w:t>Mathad</w:t>
      </w:r>
      <w:proofErr w:type="spellEnd"/>
      <w:r w:rsidRPr="00860FA1">
        <w:rPr>
          <w:rFonts w:ascii="Arial" w:hAnsi="Arial" w:cs="Arial"/>
        </w:rPr>
        <w:t xml:space="preserve">, 2011) when chloroform or </w:t>
      </w:r>
      <w:proofErr w:type="spellStart"/>
      <w:r w:rsidRPr="00860FA1">
        <w:rPr>
          <w:rFonts w:ascii="Arial" w:hAnsi="Arial" w:cs="Arial"/>
        </w:rPr>
        <w:t>petroum</w:t>
      </w:r>
      <w:proofErr w:type="spellEnd"/>
      <w:r w:rsidRPr="00860FA1">
        <w:rPr>
          <w:rFonts w:ascii="Arial" w:hAnsi="Arial" w:cs="Arial"/>
        </w:rPr>
        <w:t xml:space="preserve"> ether was used for extraction; but not as well as reported with the methanolic, the ethanolic, and the aqueous extracts (MICs globally recorded at 6.25 mg/mL). However, these inhibitory and bactericidal levels were better than those obtained with methanolic, ethanolic, acetonic, hot water and cold water extracts in another previous work (Nwachukwu and </w:t>
      </w:r>
      <w:proofErr w:type="spellStart"/>
      <w:r w:rsidRPr="00860FA1">
        <w:rPr>
          <w:rFonts w:ascii="Arial" w:hAnsi="Arial" w:cs="Arial"/>
        </w:rPr>
        <w:t>Uzoeto</w:t>
      </w:r>
      <w:proofErr w:type="spellEnd"/>
      <w:r w:rsidRPr="00860FA1">
        <w:rPr>
          <w:rFonts w:ascii="Arial" w:hAnsi="Arial" w:cs="Arial"/>
        </w:rPr>
        <w:t xml:space="preserve">, 2010).  </w:t>
      </w:r>
    </w:p>
    <w:p w14:paraId="75679C8C" w14:textId="77777777" w:rsidR="00860FA1" w:rsidRPr="00860FA1" w:rsidRDefault="00860FA1" w:rsidP="00860FA1">
      <w:pPr>
        <w:pStyle w:val="Body"/>
        <w:rPr>
          <w:rFonts w:ascii="Arial" w:hAnsi="Arial" w:cs="Arial"/>
        </w:rPr>
      </w:pPr>
      <w:r w:rsidRPr="00860FA1">
        <w:rPr>
          <w:rFonts w:ascii="Arial" w:hAnsi="Arial" w:cs="Arial"/>
        </w:rPr>
        <w:t xml:space="preserve">The antibacterial activity in the present survey could be justify (at least partially) by the chemical composition in terms of secondary metabolites groups, according to several previous studies (Elizondo </w:t>
      </w:r>
      <w:r w:rsidRPr="00860FA1">
        <w:rPr>
          <w:rFonts w:ascii="Arial" w:hAnsi="Arial" w:cs="Arial"/>
          <w:i/>
        </w:rPr>
        <w:t>et al</w:t>
      </w:r>
      <w:r w:rsidRPr="00860FA1">
        <w:rPr>
          <w:rFonts w:ascii="Arial" w:hAnsi="Arial" w:cs="Arial"/>
        </w:rPr>
        <w:t xml:space="preserve">., 2010; Cushnie </w:t>
      </w:r>
      <w:r w:rsidRPr="00860FA1">
        <w:rPr>
          <w:rFonts w:ascii="Arial" w:hAnsi="Arial" w:cs="Arial"/>
          <w:i/>
        </w:rPr>
        <w:t>et al</w:t>
      </w:r>
      <w:r w:rsidRPr="00860FA1">
        <w:rPr>
          <w:rFonts w:ascii="Arial" w:hAnsi="Arial" w:cs="Arial"/>
        </w:rPr>
        <w:t xml:space="preserve">., 2014; </w:t>
      </w:r>
      <w:proofErr w:type="spellStart"/>
      <w:r w:rsidRPr="00860FA1">
        <w:rPr>
          <w:rFonts w:ascii="Arial" w:hAnsi="Arial" w:cs="Arial"/>
        </w:rPr>
        <w:t>Bakrim</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Dahlem Junior </w:t>
      </w:r>
      <w:r w:rsidRPr="00860FA1">
        <w:rPr>
          <w:rFonts w:ascii="Arial" w:hAnsi="Arial" w:cs="Arial"/>
          <w:i/>
        </w:rPr>
        <w:t>et al</w:t>
      </w:r>
      <w:r w:rsidRPr="00860FA1">
        <w:rPr>
          <w:rFonts w:ascii="Arial" w:hAnsi="Arial" w:cs="Arial"/>
        </w:rPr>
        <w:t xml:space="preserve">., 2022; Gargi </w:t>
      </w:r>
      <w:r w:rsidRPr="00860FA1">
        <w:rPr>
          <w:rFonts w:ascii="Arial" w:hAnsi="Arial" w:cs="Arial"/>
          <w:i/>
        </w:rPr>
        <w:t>et al</w:t>
      </w:r>
      <w:r w:rsidRPr="00860FA1">
        <w:rPr>
          <w:rFonts w:ascii="Arial" w:hAnsi="Arial" w:cs="Arial"/>
        </w:rPr>
        <w:t xml:space="preserve">., 2022; Hamdi Abdulkareem </w:t>
      </w:r>
      <w:r w:rsidRPr="00860FA1">
        <w:rPr>
          <w:rFonts w:ascii="Arial" w:hAnsi="Arial" w:cs="Arial"/>
          <w:i/>
        </w:rPr>
        <w:t>et al</w:t>
      </w:r>
      <w:r w:rsidRPr="00860FA1">
        <w:rPr>
          <w:rFonts w:ascii="Arial" w:hAnsi="Arial" w:cs="Arial"/>
        </w:rPr>
        <w:t xml:space="preserve">., 2022; Shamsudin </w:t>
      </w:r>
      <w:r w:rsidRPr="00860FA1">
        <w:rPr>
          <w:rFonts w:ascii="Arial" w:hAnsi="Arial" w:cs="Arial"/>
          <w:i/>
        </w:rPr>
        <w:t>et al</w:t>
      </w:r>
      <w:r w:rsidRPr="00860FA1">
        <w:rPr>
          <w:rFonts w:ascii="Arial" w:hAnsi="Arial" w:cs="Arial"/>
        </w:rPr>
        <w:t xml:space="preserve">., 2022; Wiart </w:t>
      </w:r>
      <w:r w:rsidRPr="00860FA1">
        <w:rPr>
          <w:rFonts w:ascii="Arial" w:hAnsi="Arial" w:cs="Arial"/>
          <w:i/>
        </w:rPr>
        <w:t>et al</w:t>
      </w:r>
      <w:r w:rsidRPr="00860FA1">
        <w:rPr>
          <w:rFonts w:ascii="Arial" w:hAnsi="Arial" w:cs="Arial"/>
        </w:rPr>
        <w:t xml:space="preserve">., 2023; Sharma </w:t>
      </w:r>
      <w:r w:rsidRPr="00860FA1">
        <w:rPr>
          <w:rFonts w:ascii="Arial" w:hAnsi="Arial" w:cs="Arial"/>
          <w:i/>
        </w:rPr>
        <w:t>et al</w:t>
      </w:r>
      <w:r w:rsidRPr="00860FA1">
        <w:rPr>
          <w:rFonts w:ascii="Arial" w:hAnsi="Arial" w:cs="Arial"/>
        </w:rPr>
        <w:t xml:space="preserve">., 2024; Li </w:t>
      </w:r>
      <w:r w:rsidRPr="00860FA1">
        <w:rPr>
          <w:rFonts w:ascii="Arial" w:hAnsi="Arial" w:cs="Arial"/>
          <w:i/>
        </w:rPr>
        <w:t>et al</w:t>
      </w:r>
      <w:r w:rsidRPr="00860FA1">
        <w:rPr>
          <w:rFonts w:ascii="Arial" w:hAnsi="Arial" w:cs="Arial"/>
        </w:rPr>
        <w:t xml:space="preserve">., 2024; Deng </w:t>
      </w:r>
      <w:r w:rsidRPr="00860FA1">
        <w:rPr>
          <w:rFonts w:ascii="Arial" w:hAnsi="Arial" w:cs="Arial"/>
          <w:i/>
        </w:rPr>
        <w:t>et al</w:t>
      </w:r>
      <w:r w:rsidRPr="00860FA1">
        <w:rPr>
          <w:rFonts w:ascii="Arial" w:hAnsi="Arial" w:cs="Arial"/>
        </w:rPr>
        <w:t xml:space="preserve">., 2024). Other factors related to unidentified metabolites and stochastic chemical interactions likely impact the findings, as they basically occur naturally to ensure plant survival and fitness. </w:t>
      </w:r>
    </w:p>
    <w:p w14:paraId="22EDA651" w14:textId="77777777" w:rsidR="00860FA1" w:rsidRPr="00860FA1" w:rsidRDefault="00860FA1" w:rsidP="00860FA1">
      <w:pPr>
        <w:pStyle w:val="Body"/>
        <w:rPr>
          <w:rFonts w:ascii="Arial" w:hAnsi="Arial" w:cs="Arial"/>
        </w:rPr>
      </w:pPr>
      <w:r w:rsidRPr="00860FA1">
        <w:rPr>
          <w:rFonts w:ascii="Arial" w:hAnsi="Arial" w:cs="Arial"/>
        </w:rPr>
        <w:lastRenderedPageBreak/>
        <w:t>The variation in MICs and MBCs observed highlights that microbial tolerance to antimicrobials also depends on the individual microbial characteristics. Accordingly, in addition to how the extracts act on microorganisms,</w:t>
      </w:r>
      <w:r w:rsidRPr="00860FA1" w:rsidDel="007D3DA9">
        <w:rPr>
          <w:rFonts w:ascii="Arial" w:hAnsi="Arial" w:cs="Arial"/>
        </w:rPr>
        <w:t xml:space="preserve"> </w:t>
      </w:r>
      <w:r w:rsidRPr="00860FA1">
        <w:rPr>
          <w:rFonts w:ascii="Arial" w:hAnsi="Arial" w:cs="Arial"/>
        </w:rPr>
        <w:t xml:space="preserve">it would be important to understand what strategies the target microbes use to withstand the action of the extract they are exposed to. </w:t>
      </w:r>
    </w:p>
    <w:p w14:paraId="121223DB" w14:textId="77777777" w:rsidR="00860FA1" w:rsidRPr="00860FA1" w:rsidRDefault="00860FA1" w:rsidP="00860FA1">
      <w:pPr>
        <w:pStyle w:val="Body"/>
        <w:rPr>
          <w:rFonts w:ascii="Arial" w:hAnsi="Arial" w:cs="Arial"/>
        </w:rPr>
      </w:pPr>
      <w:r w:rsidRPr="00860FA1">
        <w:rPr>
          <w:rFonts w:ascii="Arial" w:hAnsi="Arial" w:cs="Arial"/>
        </w:rPr>
        <w:t xml:space="preserve">Built on the antibacterial potentials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observed in the present survey, the diversity of bacterial isolates exposed to its hydroethanolic extract and inhibitory values recorded should motivate initiative towards enhancing the prospect through clinical categorization for this plant extracts as done with conventional antibiotics. The bacterial group-dependent values (</w:t>
      </w:r>
      <w:r w:rsidRPr="00860FA1">
        <w:rPr>
          <w:rFonts w:ascii="Arial" w:hAnsi="Arial" w:cs="Arial"/>
          <w:i/>
        </w:rPr>
        <w:t>Staphylococcus</w:t>
      </w:r>
      <w:r w:rsidRPr="00860FA1">
        <w:rPr>
          <w:rFonts w:ascii="Arial" w:hAnsi="Arial" w:cs="Arial"/>
        </w:rPr>
        <w:t xml:space="preserve">: MIC = 3.2663±1.6854 mg/mL; CMB = 12.0701±5.7882 mg/mL; </w:t>
      </w:r>
      <w:r w:rsidRPr="00860FA1">
        <w:rPr>
          <w:rFonts w:ascii="Arial" w:hAnsi="Arial" w:cs="Arial"/>
          <w:i/>
        </w:rPr>
        <w:t>Acinetobacter</w:t>
      </w:r>
      <w:r w:rsidRPr="00860FA1">
        <w:rPr>
          <w:rFonts w:ascii="Arial" w:hAnsi="Arial" w:cs="Arial"/>
        </w:rPr>
        <w:t xml:space="preserve">: MIC = 12.5 mg/mL; CMB = 25 mg/ml; </w:t>
      </w:r>
      <w:r w:rsidRPr="00860FA1">
        <w:rPr>
          <w:rFonts w:ascii="Arial" w:hAnsi="Arial" w:cs="Arial"/>
          <w:i/>
        </w:rPr>
        <w:t>Enterobacteriaceae</w:t>
      </w:r>
      <w:r w:rsidRPr="00860FA1">
        <w:rPr>
          <w:rFonts w:ascii="Arial" w:hAnsi="Arial" w:cs="Arial"/>
        </w:rPr>
        <w:t xml:space="preserve">: MIC = 12.2342±3.6743 mg/mL; BMC = 22.1153±6.3016 mg/mL; </w:t>
      </w:r>
      <w:r w:rsidRPr="00860FA1">
        <w:rPr>
          <w:rFonts w:ascii="Arial" w:hAnsi="Arial" w:cs="Arial"/>
          <w:i/>
        </w:rPr>
        <w:t>Pseudomonas</w:t>
      </w:r>
      <w:r w:rsidRPr="00860FA1">
        <w:rPr>
          <w:rFonts w:ascii="Arial" w:hAnsi="Arial" w:cs="Arial"/>
        </w:rPr>
        <w:t xml:space="preserve">: MIC = 43.2292±3.0725 mg/mL; BMC = 73.9583±11.2962 mg/mL; GPR: MIC = 69.4185±17.4405 mg/mL; MBC = 116.8478±35.677 mg/mL) are clear indications that this categorization can be achieved. Once done, it would help to build ranges of extract concentrations that could be used for hospital surface hygiene or other protocols that require bacterial selection.  </w:t>
      </w:r>
    </w:p>
    <w:p w14:paraId="5CF64566" w14:textId="77777777" w:rsidR="0093685F" w:rsidRPr="00ED3A6C" w:rsidRDefault="00860FA1" w:rsidP="00860FA1">
      <w:pPr>
        <w:pStyle w:val="Body"/>
        <w:rPr>
          <w:rFonts w:ascii="Arial" w:hAnsi="Arial" w:cs="Arial"/>
        </w:rPr>
      </w:pPr>
      <w:r w:rsidRPr="00860FA1">
        <w:rPr>
          <w:rFonts w:ascii="Arial" w:hAnsi="Arial" w:cs="Arial"/>
        </w:rPr>
        <w:t xml:space="preserve">The bactericidal potential of the extract predominated throughout the process (78.125%), consistent with the conclusions on the selective role it could play. All above pieces of information from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robustly suggest it as proper candidate for traditional drugs or disinfectants alternative in several contexts as previously alleged (Youté </w:t>
      </w:r>
      <w:r w:rsidRPr="00860FA1">
        <w:rPr>
          <w:rFonts w:ascii="Arial" w:hAnsi="Arial" w:cs="Arial"/>
          <w:i/>
        </w:rPr>
        <w:t>et al</w:t>
      </w:r>
      <w:r w:rsidRPr="00860FA1">
        <w:rPr>
          <w:rFonts w:ascii="Arial" w:hAnsi="Arial" w:cs="Arial"/>
        </w:rPr>
        <w:t xml:space="preserve">., 2024; </w:t>
      </w:r>
      <w:proofErr w:type="spellStart"/>
      <w:r w:rsidRPr="00860FA1">
        <w:rPr>
          <w:rFonts w:ascii="Arial" w:hAnsi="Arial" w:cs="Arial"/>
        </w:rPr>
        <w:t>Seuwo</w:t>
      </w:r>
      <w:proofErr w:type="spellEnd"/>
      <w:r w:rsidRPr="00860FA1">
        <w:rPr>
          <w:rFonts w:ascii="Arial" w:hAnsi="Arial" w:cs="Arial"/>
        </w:rPr>
        <w:t xml:space="preserve"> </w:t>
      </w:r>
      <w:proofErr w:type="spellStart"/>
      <w:r w:rsidRPr="00860FA1">
        <w:rPr>
          <w:rFonts w:ascii="Arial" w:hAnsi="Arial" w:cs="Arial"/>
        </w:rPr>
        <w:t>Koumwou</w:t>
      </w:r>
      <w:proofErr w:type="spellEnd"/>
      <w:r w:rsidRPr="00860FA1">
        <w:rPr>
          <w:rFonts w:ascii="Arial" w:hAnsi="Arial" w:cs="Arial"/>
        </w:rPr>
        <w:t xml:space="preserve"> and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2020; </w:t>
      </w:r>
      <w:proofErr w:type="spellStart"/>
      <w:r w:rsidRPr="00860FA1">
        <w:rPr>
          <w:rFonts w:ascii="Arial" w:hAnsi="Arial" w:cs="Arial"/>
        </w:rPr>
        <w:t>Tsono</w:t>
      </w:r>
      <w:proofErr w:type="spellEnd"/>
      <w:r w:rsidRPr="00860FA1">
        <w:rPr>
          <w:rFonts w:ascii="Arial" w:hAnsi="Arial" w:cs="Arial"/>
        </w:rPr>
        <w:t xml:space="preserve"> and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2020). In fact, it was found that selection of resistance with plant extract would be less common (if ever) (</w:t>
      </w:r>
      <w:proofErr w:type="spellStart"/>
      <w:r w:rsidRPr="00860FA1">
        <w:rPr>
          <w:rFonts w:ascii="Arial" w:hAnsi="Arial" w:cs="Arial"/>
        </w:rPr>
        <w:t>Bouyahya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and that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extract was significantly safer for the users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2018). Therefore, it could be use in controlling bacterial populations not only in healthcare facilities, but also in animal farm and in households where selective agents are commonly used to prevent infections.</w:t>
      </w:r>
    </w:p>
    <w:p w14:paraId="6ED146C6"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6D950945" w14:textId="77777777" w:rsidR="00D0555F" w:rsidRPr="00ED3A6C" w:rsidRDefault="00860FA1" w:rsidP="00D0555F">
      <w:pPr>
        <w:pStyle w:val="Body"/>
        <w:rPr>
          <w:rFonts w:ascii="Arial" w:hAnsi="Arial" w:cs="Arial"/>
        </w:rPr>
      </w:pPr>
      <w:r w:rsidRPr="00860FA1">
        <w:rPr>
          <w:rFonts w:ascii="Arial" w:hAnsi="Arial" w:cs="Arial"/>
        </w:rPr>
        <w:t xml:space="preserve">The present study on the antibacterial potential of the hydroethanolic extract from the dry leaves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on multidrug-resistant bacteria recovered from the healthcare facility environment revealed the highest effectiveness on </w:t>
      </w:r>
      <w:r w:rsidRPr="00860FA1">
        <w:rPr>
          <w:rFonts w:ascii="Arial" w:hAnsi="Arial" w:cs="Arial"/>
          <w:i/>
          <w:iCs/>
        </w:rPr>
        <w:t xml:space="preserve">Staphylococcus </w:t>
      </w:r>
      <w:r w:rsidRPr="00860FA1">
        <w:rPr>
          <w:rFonts w:ascii="Arial" w:hAnsi="Arial" w:cs="Arial"/>
        </w:rPr>
        <w:t>and the lowest on Gram-positive rods.</w:t>
      </w:r>
      <w:r w:rsidRPr="00860FA1" w:rsidDel="00933DFC">
        <w:rPr>
          <w:rFonts w:ascii="Arial" w:hAnsi="Arial" w:cs="Arial"/>
        </w:rPr>
        <w:t xml:space="preserve"> </w:t>
      </w:r>
      <w:r w:rsidRPr="00860FA1">
        <w:rPr>
          <w:rFonts w:ascii="Arial" w:hAnsi="Arial" w:cs="Arial"/>
        </w:rPr>
        <w:t xml:space="preserve">With the Gram-negative rod populations, extract effectiveness was drastically reduced on </w:t>
      </w:r>
      <w:r w:rsidRPr="00860FA1">
        <w:rPr>
          <w:rFonts w:ascii="Arial" w:hAnsi="Arial" w:cs="Arial"/>
          <w:i/>
        </w:rPr>
        <w:t>Pseudomonas,</w:t>
      </w:r>
      <w:r w:rsidRPr="00860FA1">
        <w:rPr>
          <w:rFonts w:ascii="Arial" w:hAnsi="Arial" w:cs="Arial"/>
        </w:rPr>
        <w:t xml:space="preserve"> compared to members of the</w:t>
      </w:r>
      <w:r w:rsidRPr="00860FA1">
        <w:rPr>
          <w:rFonts w:ascii="Arial" w:hAnsi="Arial" w:cs="Arial"/>
          <w:i/>
          <w:iCs/>
        </w:rPr>
        <w:t xml:space="preserve"> Enterobacteriaceae</w:t>
      </w:r>
      <w:r w:rsidRPr="00860FA1">
        <w:rPr>
          <w:rFonts w:ascii="Arial" w:hAnsi="Arial" w:cs="Arial"/>
        </w:rPr>
        <w:t xml:space="preserve"> family. Acknowledging that Gram-positive cocci and Gram-positive rods are common colonizers of healthcare environments and indices that can serve contextual hygiene, additional investigations could make this extract, a suitable candidate to be used in controlling bacterial populations in healthcare settings.</w:t>
      </w:r>
      <w:r w:rsidR="00E70667" w:rsidRPr="00E70667">
        <w:rPr>
          <w:rFonts w:ascii="Arial" w:hAnsi="Arial" w:cs="Arial"/>
        </w:rPr>
        <w:t xml:space="preserve"> </w:t>
      </w:r>
      <w:r w:rsidR="00D0555F" w:rsidRPr="00ED3A6C">
        <w:rPr>
          <w:rFonts w:ascii="Arial" w:hAnsi="Arial" w:cs="Arial"/>
        </w:rPr>
        <w:t xml:space="preserve"> </w:t>
      </w:r>
    </w:p>
    <w:p w14:paraId="09919946"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31B1D9FD"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7A0108D3" w14:textId="77777777" w:rsidR="003C1A38" w:rsidRPr="003C1A38" w:rsidRDefault="003C1A38" w:rsidP="003C1A38">
      <w:pPr>
        <w:pStyle w:val="Body"/>
        <w:rPr>
          <w:rFonts w:ascii="Arial" w:hAnsi="Arial" w:cs="Arial"/>
          <w:b/>
          <w:caps/>
        </w:rPr>
      </w:pPr>
      <w:r w:rsidRPr="003C1A38">
        <w:rPr>
          <w:rFonts w:ascii="Arial" w:hAnsi="Arial" w:cs="Arial"/>
          <w:b/>
        </w:rPr>
        <w:t xml:space="preserve">DISCLAIMER (ARTIFICIAL INTELLIGENCE) </w:t>
      </w:r>
    </w:p>
    <w:p w14:paraId="14BC8D27" w14:textId="77777777" w:rsidR="003C1A38" w:rsidRPr="00ED3A6C" w:rsidRDefault="003C1A38" w:rsidP="000105FC">
      <w:pPr>
        <w:pStyle w:val="ReferHead"/>
        <w:jc w:val="both"/>
        <w:rPr>
          <w:rFonts w:ascii="Arial" w:hAnsi="Arial" w:cs="Arial"/>
          <w:b w:val="0"/>
          <w:caps w:val="0"/>
          <w:sz w:val="20"/>
        </w:rPr>
      </w:pPr>
      <w:r w:rsidRPr="003C1A38">
        <w:rPr>
          <w:rFonts w:ascii="Arial" w:hAnsi="Arial" w:cs="Arial"/>
          <w:b w:val="0"/>
          <w:caps w:val="0"/>
          <w:sz w:val="20"/>
        </w:rPr>
        <w:t>Author(</w:t>
      </w:r>
      <w:proofErr w:type="gramStart"/>
      <w:r w:rsidRPr="003C1A38">
        <w:rPr>
          <w:rFonts w:ascii="Arial" w:hAnsi="Arial" w:cs="Arial"/>
          <w:b w:val="0"/>
          <w:caps w:val="0"/>
          <w:sz w:val="20"/>
        </w:rPr>
        <w:t>s)  hereby</w:t>
      </w:r>
      <w:proofErr w:type="gramEnd"/>
      <w:r w:rsidRPr="003C1A38">
        <w:rPr>
          <w:rFonts w:ascii="Arial" w:hAnsi="Arial" w:cs="Arial"/>
          <w:b w:val="0"/>
          <w:caps w:val="0"/>
          <w:sz w:val="20"/>
        </w:rPr>
        <w:t xml:space="preserve">  declare  that  NO  generative  AI technologies  such  as  Large  Language  Models (</w:t>
      </w:r>
      <w:proofErr w:type="spellStart"/>
      <w:r w:rsidRPr="003C1A38">
        <w:rPr>
          <w:rFonts w:ascii="Arial" w:hAnsi="Arial" w:cs="Arial"/>
          <w:b w:val="0"/>
          <w:caps w:val="0"/>
          <w:sz w:val="20"/>
        </w:rPr>
        <w:t>ChatGPT</w:t>
      </w:r>
      <w:proofErr w:type="spellEnd"/>
      <w:r w:rsidRPr="003C1A38">
        <w:rPr>
          <w:rFonts w:ascii="Arial" w:hAnsi="Arial" w:cs="Arial"/>
          <w:b w:val="0"/>
          <w:caps w:val="0"/>
          <w:sz w:val="20"/>
        </w:rPr>
        <w:t xml:space="preserve">,   COPILOT,   </w:t>
      </w:r>
      <w:proofErr w:type="spellStart"/>
      <w:r w:rsidRPr="003C1A38">
        <w:rPr>
          <w:rFonts w:ascii="Arial" w:hAnsi="Arial" w:cs="Arial"/>
          <w:b w:val="0"/>
          <w:caps w:val="0"/>
          <w:sz w:val="20"/>
        </w:rPr>
        <w:t>etc</w:t>
      </w:r>
      <w:proofErr w:type="spellEnd"/>
      <w:r w:rsidRPr="003C1A38">
        <w:rPr>
          <w:rFonts w:ascii="Arial" w:hAnsi="Arial" w:cs="Arial"/>
          <w:b w:val="0"/>
          <w:caps w:val="0"/>
          <w:sz w:val="20"/>
        </w:rPr>
        <w:t>)   and   text-to-image generators  have  been  used  during  writing  or editing of this manuscript.</w:t>
      </w:r>
    </w:p>
    <w:p w14:paraId="45334358" w14:textId="77777777" w:rsidR="0041027F" w:rsidRPr="00ED3A6C" w:rsidRDefault="0041027F" w:rsidP="000105FC">
      <w:pPr>
        <w:pStyle w:val="Body"/>
        <w:rPr>
          <w:rFonts w:ascii="Arial" w:hAnsi="Arial" w:cs="Arial"/>
        </w:rPr>
      </w:pPr>
      <w:bookmarkStart w:id="2" w:name="_GoBack"/>
      <w:bookmarkEnd w:id="2"/>
    </w:p>
    <w:p w14:paraId="5AAB5DBC" w14:textId="77777777" w:rsidR="00B01FCD" w:rsidRPr="003C1A38" w:rsidRDefault="00B01FCD" w:rsidP="000105FC">
      <w:pPr>
        <w:pStyle w:val="ReferHead"/>
        <w:jc w:val="both"/>
        <w:rPr>
          <w:rFonts w:ascii="Arial" w:hAnsi="Arial" w:cs="Arial"/>
        </w:rPr>
      </w:pPr>
      <w:r w:rsidRPr="003C1A38">
        <w:rPr>
          <w:rFonts w:ascii="Arial" w:hAnsi="Arial" w:cs="Arial"/>
        </w:rPr>
        <w:t>References</w:t>
      </w:r>
    </w:p>
    <w:p w14:paraId="7B37DC2C" w14:textId="77777777" w:rsidR="00860FA1" w:rsidRPr="00BF10D9" w:rsidRDefault="00860FA1" w:rsidP="00BF10D9">
      <w:pPr>
        <w:spacing w:before="120" w:after="120"/>
        <w:ind w:left="360"/>
        <w:rPr>
          <w:rFonts w:ascii="Arial" w:hAnsi="Arial" w:cs="Arial"/>
        </w:rPr>
      </w:pPr>
      <w:r w:rsidRPr="00BF10D9">
        <w:rPr>
          <w:rFonts w:ascii="Arial" w:hAnsi="Arial" w:cs="Arial"/>
        </w:rPr>
        <w:t xml:space="preserve">Abass, S., Parveen, R., Irfan, M., Jan, B., Husain, S.A. and Ahmad, S., 2022. Synergy based Extracts of Medicinal Plants: Future Antimicrobials to Combat Multidrug Resistance. </w:t>
      </w:r>
      <w:proofErr w:type="spellStart"/>
      <w:r w:rsidRPr="00BF10D9">
        <w:rPr>
          <w:rFonts w:ascii="Arial" w:hAnsi="Arial" w:cs="Arial"/>
        </w:rPr>
        <w:t>Curr</w:t>
      </w:r>
      <w:proofErr w:type="spellEnd"/>
      <w:r w:rsidRPr="00BF10D9">
        <w:rPr>
          <w:rFonts w:ascii="Arial" w:hAnsi="Arial" w:cs="Arial"/>
        </w:rPr>
        <w:t xml:space="preserve"> Pharm </w:t>
      </w:r>
      <w:proofErr w:type="spellStart"/>
      <w:r w:rsidRPr="00BF10D9">
        <w:rPr>
          <w:rFonts w:ascii="Arial" w:hAnsi="Arial" w:cs="Arial"/>
        </w:rPr>
        <w:t>Biotechnol</w:t>
      </w:r>
      <w:proofErr w:type="spellEnd"/>
      <w:r w:rsidRPr="00BF10D9">
        <w:rPr>
          <w:rFonts w:ascii="Arial" w:hAnsi="Arial" w:cs="Arial"/>
        </w:rPr>
        <w:t>., 23(13): 1527-1540. https://doi.org/10.2174/1389201023666220126115656</w:t>
      </w:r>
    </w:p>
    <w:p w14:paraId="29066CE3" w14:textId="77777777" w:rsidR="00860FA1" w:rsidRPr="00BF10D9" w:rsidRDefault="00860FA1" w:rsidP="00BF10D9">
      <w:pPr>
        <w:spacing w:before="120" w:after="120"/>
        <w:ind w:left="360"/>
        <w:rPr>
          <w:rFonts w:ascii="Arial" w:hAnsi="Arial" w:cs="Arial"/>
        </w:rPr>
      </w:pPr>
      <w:proofErr w:type="spellStart"/>
      <w:r w:rsidRPr="00BF10D9">
        <w:rPr>
          <w:rFonts w:ascii="Arial" w:hAnsi="Arial" w:cs="Arial"/>
        </w:rPr>
        <w:t>Ahomadegbe</w:t>
      </w:r>
      <w:proofErr w:type="spellEnd"/>
      <w:r w:rsidRPr="00BF10D9">
        <w:rPr>
          <w:rFonts w:ascii="Arial" w:hAnsi="Arial" w:cs="Arial"/>
        </w:rPr>
        <w:t xml:space="preserve">, M.A., </w:t>
      </w:r>
      <w:proofErr w:type="spellStart"/>
      <w:r w:rsidRPr="00BF10D9">
        <w:rPr>
          <w:rFonts w:ascii="Arial" w:hAnsi="Arial" w:cs="Arial"/>
        </w:rPr>
        <w:t>Ladekan</w:t>
      </w:r>
      <w:proofErr w:type="spellEnd"/>
      <w:r w:rsidRPr="00BF10D9">
        <w:rPr>
          <w:rFonts w:ascii="Arial" w:hAnsi="Arial" w:cs="Arial"/>
        </w:rPr>
        <w:t xml:space="preserve">, E.Y., </w:t>
      </w:r>
      <w:proofErr w:type="spellStart"/>
      <w:r w:rsidRPr="00BF10D9">
        <w:rPr>
          <w:rFonts w:ascii="Arial" w:hAnsi="Arial" w:cs="Arial"/>
        </w:rPr>
        <w:t>Togbenou</w:t>
      </w:r>
      <w:proofErr w:type="spellEnd"/>
      <w:r w:rsidRPr="00BF10D9">
        <w:rPr>
          <w:rFonts w:ascii="Arial" w:hAnsi="Arial" w:cs="Arial"/>
        </w:rPr>
        <w:t xml:space="preserve">, N., Assogba, F., </w:t>
      </w:r>
      <w:proofErr w:type="spellStart"/>
      <w:r w:rsidRPr="00BF10D9">
        <w:rPr>
          <w:rFonts w:ascii="Arial" w:hAnsi="Arial" w:cs="Arial"/>
        </w:rPr>
        <w:t>Agbonon</w:t>
      </w:r>
      <w:proofErr w:type="spellEnd"/>
      <w:r w:rsidRPr="00BF10D9">
        <w:rPr>
          <w:rFonts w:ascii="Arial" w:hAnsi="Arial" w:cs="Arial"/>
        </w:rPr>
        <w:t xml:space="preserve">, A. and </w:t>
      </w:r>
      <w:proofErr w:type="spellStart"/>
      <w:r w:rsidRPr="00BF10D9">
        <w:rPr>
          <w:rFonts w:ascii="Arial" w:hAnsi="Arial" w:cs="Arial"/>
        </w:rPr>
        <w:t>Gbenou</w:t>
      </w:r>
      <w:proofErr w:type="spellEnd"/>
      <w:r w:rsidRPr="00BF10D9">
        <w:rPr>
          <w:rFonts w:ascii="Arial" w:hAnsi="Arial" w:cs="Arial"/>
        </w:rPr>
        <w:t xml:space="preserve">, J., 2018. Phytochemical and toxicity studies of the leaves of </w:t>
      </w:r>
      <w:proofErr w:type="spellStart"/>
      <w:r w:rsidRPr="00BF10D9">
        <w:rPr>
          <w:rFonts w:ascii="Arial" w:hAnsi="Arial" w:cs="Arial"/>
          <w:i/>
        </w:rPr>
        <w:t>Mangifera</w:t>
      </w:r>
      <w:proofErr w:type="spellEnd"/>
      <w:r w:rsidRPr="00BF10D9">
        <w:rPr>
          <w:rFonts w:ascii="Arial" w:hAnsi="Arial" w:cs="Arial"/>
          <w:i/>
        </w:rPr>
        <w:t xml:space="preserve"> Indica</w:t>
      </w:r>
      <w:r w:rsidRPr="00BF10D9">
        <w:rPr>
          <w:rFonts w:ascii="Arial" w:hAnsi="Arial" w:cs="Arial"/>
        </w:rPr>
        <w:t xml:space="preserve">, </w:t>
      </w:r>
      <w:proofErr w:type="spellStart"/>
      <w:r w:rsidRPr="00BF10D9">
        <w:rPr>
          <w:rFonts w:ascii="Arial" w:hAnsi="Arial" w:cs="Arial"/>
          <w:i/>
        </w:rPr>
        <w:t>Cajanus</w:t>
      </w:r>
      <w:proofErr w:type="spellEnd"/>
      <w:r w:rsidRPr="00BF10D9">
        <w:rPr>
          <w:rFonts w:ascii="Arial" w:hAnsi="Arial" w:cs="Arial"/>
          <w:i/>
        </w:rPr>
        <w:t xml:space="preserve"> </w:t>
      </w:r>
      <w:proofErr w:type="spellStart"/>
      <w:r w:rsidRPr="00BF10D9">
        <w:rPr>
          <w:rFonts w:ascii="Arial" w:hAnsi="Arial" w:cs="Arial"/>
          <w:i/>
        </w:rPr>
        <w:t>cajan</w:t>
      </w:r>
      <w:proofErr w:type="spellEnd"/>
      <w:r w:rsidRPr="00BF10D9">
        <w:rPr>
          <w:rFonts w:ascii="Arial" w:hAnsi="Arial" w:cs="Arial"/>
        </w:rPr>
        <w:t xml:space="preserve"> and of </w:t>
      </w:r>
      <w:proofErr w:type="spellStart"/>
      <w:r w:rsidRPr="00BF10D9">
        <w:rPr>
          <w:rFonts w:ascii="Arial" w:hAnsi="Arial" w:cs="Arial"/>
          <w:i/>
        </w:rPr>
        <w:t>Piliostigma</w:t>
      </w:r>
      <w:proofErr w:type="spellEnd"/>
      <w:r w:rsidRPr="00BF10D9">
        <w:rPr>
          <w:rFonts w:ascii="Arial" w:hAnsi="Arial" w:cs="Arial"/>
          <w:i/>
        </w:rPr>
        <w:t xml:space="preserve"> </w:t>
      </w:r>
      <w:proofErr w:type="spellStart"/>
      <w:r w:rsidRPr="00BF10D9">
        <w:rPr>
          <w:rFonts w:ascii="Arial" w:hAnsi="Arial" w:cs="Arial"/>
          <w:i/>
        </w:rPr>
        <w:t>thonningii</w:t>
      </w:r>
      <w:proofErr w:type="spellEnd"/>
      <w:r w:rsidRPr="00BF10D9">
        <w:rPr>
          <w:rFonts w:ascii="Arial" w:hAnsi="Arial" w:cs="Arial"/>
        </w:rPr>
        <w:t xml:space="preserve">, acclimated in Benin, used against diarrheal disease. J. </w:t>
      </w:r>
      <w:proofErr w:type="spellStart"/>
      <w:r w:rsidRPr="00BF10D9">
        <w:rPr>
          <w:rFonts w:ascii="Arial" w:hAnsi="Arial" w:cs="Arial"/>
        </w:rPr>
        <w:t>Pharmacogn</w:t>
      </w:r>
      <w:proofErr w:type="spellEnd"/>
      <w:r w:rsidRPr="00BF10D9">
        <w:rPr>
          <w:rFonts w:ascii="Arial" w:hAnsi="Arial" w:cs="Arial"/>
        </w:rPr>
        <w:t xml:space="preserve">. </w:t>
      </w:r>
      <w:proofErr w:type="spellStart"/>
      <w:r w:rsidRPr="00BF10D9">
        <w:rPr>
          <w:rFonts w:ascii="Arial" w:hAnsi="Arial" w:cs="Arial"/>
        </w:rPr>
        <w:t>Phytochem</w:t>
      </w:r>
      <w:proofErr w:type="spellEnd"/>
      <w:r w:rsidRPr="00BF10D9">
        <w:rPr>
          <w:rFonts w:ascii="Arial" w:hAnsi="Arial" w:cs="Arial"/>
        </w:rPr>
        <w:t>., 7(2): 2971-2978.</w:t>
      </w:r>
    </w:p>
    <w:p w14:paraId="768BFF54" w14:textId="77777777" w:rsidR="00860FA1" w:rsidRPr="00BF10D9" w:rsidRDefault="00860FA1" w:rsidP="00BF10D9">
      <w:pPr>
        <w:spacing w:before="120" w:after="120"/>
        <w:ind w:left="360"/>
        <w:rPr>
          <w:rFonts w:ascii="Arial" w:hAnsi="Arial" w:cs="Arial"/>
        </w:rPr>
      </w:pPr>
      <w:r w:rsidRPr="00BF10D9">
        <w:rPr>
          <w:rFonts w:ascii="Arial" w:hAnsi="Arial" w:cs="Arial"/>
        </w:rPr>
        <w:lastRenderedPageBreak/>
        <w:t xml:space="preserve">Albert, S., Schäfer, V. and Brade, V., 2000. </w:t>
      </w:r>
      <w:proofErr w:type="spellStart"/>
      <w:r w:rsidRPr="00BF10D9">
        <w:rPr>
          <w:rFonts w:ascii="Arial" w:hAnsi="Arial" w:cs="Arial"/>
        </w:rPr>
        <w:t>Epidemiologie</w:t>
      </w:r>
      <w:proofErr w:type="spellEnd"/>
      <w:r w:rsidRPr="00BF10D9">
        <w:rPr>
          <w:rFonts w:ascii="Arial" w:hAnsi="Arial" w:cs="Arial"/>
        </w:rPr>
        <w:t xml:space="preserve">, </w:t>
      </w:r>
      <w:proofErr w:type="spellStart"/>
      <w:r w:rsidRPr="00BF10D9">
        <w:rPr>
          <w:rFonts w:ascii="Arial" w:hAnsi="Arial" w:cs="Arial"/>
        </w:rPr>
        <w:t>Epidemiologie</w:t>
      </w:r>
      <w:proofErr w:type="spellEnd"/>
      <w:r w:rsidRPr="00BF10D9">
        <w:rPr>
          <w:rFonts w:ascii="Arial" w:hAnsi="Arial" w:cs="Arial"/>
        </w:rPr>
        <w:t xml:space="preserve"> und </w:t>
      </w:r>
      <w:proofErr w:type="spellStart"/>
      <w:r w:rsidRPr="00BF10D9">
        <w:rPr>
          <w:rFonts w:ascii="Arial" w:hAnsi="Arial" w:cs="Arial"/>
        </w:rPr>
        <w:t>Therapie</w:t>
      </w:r>
      <w:proofErr w:type="spellEnd"/>
      <w:r w:rsidRPr="00BF10D9">
        <w:rPr>
          <w:rFonts w:ascii="Arial" w:hAnsi="Arial" w:cs="Arial"/>
        </w:rPr>
        <w:t xml:space="preserve"> </w:t>
      </w:r>
      <w:proofErr w:type="spellStart"/>
      <w:r w:rsidRPr="00BF10D9">
        <w:rPr>
          <w:rFonts w:ascii="Arial" w:hAnsi="Arial" w:cs="Arial"/>
        </w:rPr>
        <w:t>bakterieller</w:t>
      </w:r>
      <w:proofErr w:type="spellEnd"/>
      <w:r w:rsidRPr="00BF10D9">
        <w:rPr>
          <w:rFonts w:ascii="Arial" w:hAnsi="Arial" w:cs="Arial"/>
        </w:rPr>
        <w:t xml:space="preserve"> </w:t>
      </w:r>
      <w:proofErr w:type="spellStart"/>
      <w:r w:rsidRPr="00BF10D9">
        <w:rPr>
          <w:rFonts w:ascii="Arial" w:hAnsi="Arial" w:cs="Arial"/>
        </w:rPr>
        <w:t>Infektionen</w:t>
      </w:r>
      <w:proofErr w:type="spellEnd"/>
      <w:r w:rsidRPr="00BF10D9">
        <w:rPr>
          <w:rFonts w:ascii="Arial" w:hAnsi="Arial" w:cs="Arial"/>
        </w:rPr>
        <w:t xml:space="preserve"> in der </w:t>
      </w:r>
      <w:proofErr w:type="spellStart"/>
      <w:r w:rsidRPr="00BF10D9">
        <w:rPr>
          <w:rFonts w:ascii="Arial" w:hAnsi="Arial" w:cs="Arial"/>
        </w:rPr>
        <w:t>Geriatrie</w:t>
      </w:r>
      <w:proofErr w:type="spellEnd"/>
      <w:r w:rsidRPr="00BF10D9">
        <w:rPr>
          <w:rFonts w:ascii="Arial" w:hAnsi="Arial" w:cs="Arial"/>
        </w:rPr>
        <w:t xml:space="preserve"> [Epidemiology and antibiotic therapy for common infections in the elderly]. Z. </w:t>
      </w:r>
      <w:proofErr w:type="spellStart"/>
      <w:r w:rsidRPr="00BF10D9">
        <w:rPr>
          <w:rFonts w:ascii="Arial" w:hAnsi="Arial" w:cs="Arial"/>
        </w:rPr>
        <w:t>Gerontol</w:t>
      </w:r>
      <w:proofErr w:type="spellEnd"/>
      <w:r w:rsidRPr="00BF10D9">
        <w:rPr>
          <w:rFonts w:ascii="Arial" w:hAnsi="Arial" w:cs="Arial"/>
        </w:rPr>
        <w:t xml:space="preserve">. </w:t>
      </w:r>
      <w:proofErr w:type="spellStart"/>
      <w:r w:rsidRPr="00BF10D9">
        <w:rPr>
          <w:rFonts w:ascii="Arial" w:hAnsi="Arial" w:cs="Arial"/>
        </w:rPr>
        <w:t>Geriatr</w:t>
      </w:r>
      <w:proofErr w:type="spellEnd"/>
      <w:r w:rsidRPr="00BF10D9">
        <w:rPr>
          <w:rFonts w:ascii="Arial" w:hAnsi="Arial" w:cs="Arial"/>
        </w:rPr>
        <w:t>., 33: 357-366. (German) https://doi.org/10.1007/s003910070032</w:t>
      </w:r>
    </w:p>
    <w:p w14:paraId="73CF2290" w14:textId="77777777" w:rsidR="00860FA1" w:rsidRPr="00BF10D9" w:rsidRDefault="00860FA1" w:rsidP="00BF10D9">
      <w:pPr>
        <w:spacing w:before="120" w:after="120"/>
        <w:ind w:left="360"/>
        <w:rPr>
          <w:rFonts w:ascii="Arial" w:hAnsi="Arial" w:cs="Arial"/>
          <w:lang w:val="fr-FR"/>
        </w:rPr>
      </w:pPr>
      <w:r w:rsidRPr="00BF10D9">
        <w:rPr>
          <w:rFonts w:ascii="Arial" w:hAnsi="Arial" w:cs="Arial"/>
        </w:rPr>
        <w:t xml:space="preserve">Antimicrobial Resistance Collaborators, 2022. Global burden of bacterial antimicrobial resistance in 2019: a systematic analysis. </w:t>
      </w:r>
      <w:r w:rsidRPr="00BF10D9">
        <w:rPr>
          <w:rFonts w:ascii="Arial" w:hAnsi="Arial" w:cs="Arial"/>
          <w:lang w:val="fr-FR"/>
        </w:rPr>
        <w:t>The Lancet, 399(10325</w:t>
      </w:r>
      <w:proofErr w:type="gramStart"/>
      <w:r w:rsidRPr="00BF10D9">
        <w:rPr>
          <w:rFonts w:ascii="Arial" w:hAnsi="Arial" w:cs="Arial"/>
          <w:lang w:val="fr-FR"/>
        </w:rPr>
        <w:t>):</w:t>
      </w:r>
      <w:proofErr w:type="gramEnd"/>
      <w:r w:rsidRPr="00BF10D9">
        <w:rPr>
          <w:rFonts w:ascii="Arial" w:hAnsi="Arial" w:cs="Arial"/>
          <w:lang w:val="fr-FR"/>
        </w:rPr>
        <w:t xml:space="preserve"> 629-655. </w:t>
      </w:r>
      <w:hyperlink r:id="rId8" w:history="1">
        <w:r w:rsidRPr="00BF10D9">
          <w:rPr>
            <w:rStyle w:val="Hyperlink"/>
            <w:rFonts w:ascii="Arial" w:hAnsi="Arial" w:cs="Arial"/>
            <w:color w:val="auto"/>
            <w:u w:val="none"/>
            <w:lang w:val="fr-FR"/>
          </w:rPr>
          <w:t>https://doi.org/10.1016/S0140-6736(21)02724-0</w:t>
        </w:r>
      </w:hyperlink>
    </w:p>
    <w:p w14:paraId="2746A2E8" w14:textId="35D44247" w:rsidR="002E0A32" w:rsidRDefault="002E0A32" w:rsidP="00BF10D9">
      <w:pPr>
        <w:spacing w:before="120" w:after="120"/>
        <w:ind w:left="360"/>
        <w:rPr>
          <w:rFonts w:ascii="Arial" w:hAnsi="Arial" w:cs="Arial"/>
          <w:lang w:val="fr-FR"/>
        </w:rPr>
      </w:pPr>
      <w:proofErr w:type="spellStart"/>
      <w:r w:rsidRPr="002E0A32">
        <w:rPr>
          <w:rFonts w:ascii="Arial" w:hAnsi="Arial" w:cs="Arial"/>
          <w:lang w:val="fr-FR"/>
        </w:rPr>
        <w:t>Bagre</w:t>
      </w:r>
      <w:proofErr w:type="spellEnd"/>
      <w:r w:rsidRPr="002E0A32">
        <w:rPr>
          <w:rFonts w:ascii="Arial" w:hAnsi="Arial" w:cs="Arial"/>
          <w:lang w:val="fr-FR"/>
        </w:rPr>
        <w:t xml:space="preserve">, I., </w:t>
      </w:r>
      <w:proofErr w:type="spellStart"/>
      <w:r w:rsidRPr="002E0A32">
        <w:rPr>
          <w:rFonts w:ascii="Arial" w:hAnsi="Arial" w:cs="Arial"/>
          <w:lang w:val="fr-FR"/>
        </w:rPr>
        <w:t>Bahi</w:t>
      </w:r>
      <w:proofErr w:type="spellEnd"/>
      <w:r w:rsidRPr="002E0A32">
        <w:rPr>
          <w:rFonts w:ascii="Arial" w:hAnsi="Arial" w:cs="Arial"/>
          <w:lang w:val="fr-FR"/>
        </w:rPr>
        <w:t xml:space="preserve">, C., Ouattara, K., </w:t>
      </w:r>
      <w:proofErr w:type="spellStart"/>
      <w:r w:rsidRPr="002E0A32">
        <w:rPr>
          <w:rFonts w:ascii="Arial" w:hAnsi="Arial" w:cs="Arial"/>
          <w:lang w:val="fr-FR"/>
        </w:rPr>
        <w:t>Zirihi</w:t>
      </w:r>
      <w:proofErr w:type="spellEnd"/>
      <w:r w:rsidRPr="002E0A32">
        <w:rPr>
          <w:rFonts w:ascii="Arial" w:hAnsi="Arial" w:cs="Arial"/>
          <w:lang w:val="fr-FR"/>
        </w:rPr>
        <w:t xml:space="preserve"> </w:t>
      </w:r>
      <w:proofErr w:type="spellStart"/>
      <w:r w:rsidRPr="002E0A32">
        <w:rPr>
          <w:rFonts w:ascii="Arial" w:hAnsi="Arial" w:cs="Arial"/>
          <w:lang w:val="fr-FR"/>
        </w:rPr>
        <w:t>Guede</w:t>
      </w:r>
      <w:proofErr w:type="spellEnd"/>
      <w:r w:rsidRPr="002E0A32">
        <w:rPr>
          <w:rFonts w:ascii="Arial" w:hAnsi="Arial" w:cs="Arial"/>
          <w:lang w:val="fr-FR"/>
        </w:rPr>
        <w:t xml:space="preserve">, N., </w:t>
      </w:r>
      <w:proofErr w:type="spellStart"/>
      <w:r w:rsidRPr="002E0A32">
        <w:rPr>
          <w:rFonts w:ascii="Arial" w:hAnsi="Arial" w:cs="Arial"/>
          <w:lang w:val="fr-FR"/>
        </w:rPr>
        <w:t>Djaman</w:t>
      </w:r>
      <w:proofErr w:type="spellEnd"/>
      <w:r w:rsidRPr="002E0A32">
        <w:rPr>
          <w:rFonts w:ascii="Arial" w:hAnsi="Arial" w:cs="Arial"/>
          <w:lang w:val="fr-FR"/>
        </w:rPr>
        <w:t xml:space="preserve">, A.J., Coulibaly, A. et al., 2011. </w:t>
      </w:r>
      <w:proofErr w:type="spellStart"/>
      <w:r w:rsidRPr="002E0A32">
        <w:rPr>
          <w:rFonts w:ascii="Arial" w:hAnsi="Arial" w:cs="Arial"/>
          <w:lang w:val="fr-FR"/>
        </w:rPr>
        <w:t>Botanical</w:t>
      </w:r>
      <w:proofErr w:type="spellEnd"/>
      <w:r w:rsidRPr="002E0A32">
        <w:rPr>
          <w:rFonts w:ascii="Arial" w:hAnsi="Arial" w:cs="Arial"/>
          <w:lang w:val="fr-FR"/>
        </w:rPr>
        <w:t xml:space="preserve"> </w:t>
      </w:r>
      <w:proofErr w:type="spellStart"/>
      <w:r w:rsidRPr="002E0A32">
        <w:rPr>
          <w:rFonts w:ascii="Arial" w:hAnsi="Arial" w:cs="Arial"/>
          <w:lang w:val="fr-FR"/>
        </w:rPr>
        <w:t>study</w:t>
      </w:r>
      <w:proofErr w:type="spellEnd"/>
      <w:r w:rsidRPr="002E0A32">
        <w:rPr>
          <w:rFonts w:ascii="Arial" w:hAnsi="Arial" w:cs="Arial"/>
          <w:lang w:val="fr-FR"/>
        </w:rPr>
        <w:t xml:space="preserve"> and exploration of the </w:t>
      </w:r>
      <w:proofErr w:type="spellStart"/>
      <w:r w:rsidRPr="002E0A32">
        <w:rPr>
          <w:rFonts w:ascii="Arial" w:hAnsi="Arial" w:cs="Arial"/>
          <w:lang w:val="fr-FR"/>
        </w:rPr>
        <w:t>antifungal</w:t>
      </w:r>
      <w:proofErr w:type="spellEnd"/>
      <w:r w:rsidRPr="002E0A32">
        <w:rPr>
          <w:rFonts w:ascii="Arial" w:hAnsi="Arial" w:cs="Arial"/>
          <w:lang w:val="fr-FR"/>
        </w:rPr>
        <w:t xml:space="preserve"> </w:t>
      </w:r>
      <w:proofErr w:type="spellStart"/>
      <w:r w:rsidRPr="002E0A32">
        <w:rPr>
          <w:rFonts w:ascii="Arial" w:hAnsi="Arial" w:cs="Arial"/>
          <w:lang w:val="fr-FR"/>
        </w:rPr>
        <w:t>activity</w:t>
      </w:r>
      <w:proofErr w:type="spellEnd"/>
      <w:r w:rsidRPr="002E0A32">
        <w:rPr>
          <w:rFonts w:ascii="Arial" w:hAnsi="Arial" w:cs="Arial"/>
          <w:lang w:val="fr-FR"/>
        </w:rPr>
        <w:t xml:space="preserve"> of </w:t>
      </w:r>
      <w:proofErr w:type="spellStart"/>
      <w:r w:rsidRPr="002E0A32">
        <w:rPr>
          <w:rFonts w:ascii="Arial" w:hAnsi="Arial" w:cs="Arial"/>
          <w:lang w:val="fr-FR"/>
        </w:rPr>
        <w:t>Morinda</w:t>
      </w:r>
      <w:proofErr w:type="spellEnd"/>
      <w:r w:rsidRPr="002E0A32">
        <w:rPr>
          <w:rFonts w:ascii="Arial" w:hAnsi="Arial" w:cs="Arial"/>
          <w:lang w:val="fr-FR"/>
        </w:rPr>
        <w:t xml:space="preserve"> </w:t>
      </w:r>
      <w:proofErr w:type="spellStart"/>
      <w:r w:rsidRPr="002E0A32">
        <w:rPr>
          <w:rFonts w:ascii="Arial" w:hAnsi="Arial" w:cs="Arial"/>
          <w:lang w:val="fr-FR"/>
        </w:rPr>
        <w:t>morindoides</w:t>
      </w:r>
      <w:proofErr w:type="spellEnd"/>
      <w:r w:rsidRPr="002E0A32">
        <w:rPr>
          <w:rFonts w:ascii="Arial" w:hAnsi="Arial" w:cs="Arial"/>
          <w:lang w:val="fr-FR"/>
        </w:rPr>
        <w:t xml:space="preserve"> (Baker) Milne-</w:t>
      </w:r>
      <w:proofErr w:type="spellStart"/>
      <w:r w:rsidRPr="002E0A32">
        <w:rPr>
          <w:rFonts w:ascii="Arial" w:hAnsi="Arial" w:cs="Arial"/>
          <w:lang w:val="fr-FR"/>
        </w:rPr>
        <w:t>Redh</w:t>
      </w:r>
      <w:proofErr w:type="spellEnd"/>
      <w:r w:rsidRPr="002E0A32">
        <w:rPr>
          <w:rFonts w:ascii="Arial" w:hAnsi="Arial" w:cs="Arial"/>
          <w:lang w:val="fr-FR"/>
        </w:rPr>
        <w:t xml:space="preserve">. </w:t>
      </w:r>
      <w:proofErr w:type="gramStart"/>
      <w:r w:rsidRPr="002E0A32">
        <w:rPr>
          <w:rFonts w:ascii="Arial" w:hAnsi="Arial" w:cs="Arial"/>
          <w:lang w:val="fr-FR"/>
        </w:rPr>
        <w:t>on</w:t>
      </w:r>
      <w:proofErr w:type="gramEnd"/>
      <w:r w:rsidRPr="002E0A32">
        <w:rPr>
          <w:rFonts w:ascii="Arial" w:hAnsi="Arial" w:cs="Arial"/>
          <w:lang w:val="fr-FR"/>
        </w:rPr>
        <w:t xml:space="preserve"> the in vitro </w:t>
      </w:r>
      <w:proofErr w:type="spellStart"/>
      <w:r w:rsidRPr="002E0A32">
        <w:rPr>
          <w:rFonts w:ascii="Arial" w:hAnsi="Arial" w:cs="Arial"/>
          <w:lang w:val="fr-FR"/>
        </w:rPr>
        <w:t>growth</w:t>
      </w:r>
      <w:proofErr w:type="spellEnd"/>
      <w:r w:rsidRPr="002E0A32">
        <w:rPr>
          <w:rFonts w:ascii="Arial" w:hAnsi="Arial" w:cs="Arial"/>
          <w:lang w:val="fr-FR"/>
        </w:rPr>
        <w:t xml:space="preserve"> of </w:t>
      </w:r>
      <w:proofErr w:type="spellStart"/>
      <w:r w:rsidRPr="002E0A32">
        <w:rPr>
          <w:rFonts w:ascii="Arial" w:hAnsi="Arial" w:cs="Arial"/>
          <w:lang w:val="fr-FR"/>
        </w:rPr>
        <w:t>Cryptococcus</w:t>
      </w:r>
      <w:proofErr w:type="spellEnd"/>
      <w:r w:rsidRPr="002E0A32">
        <w:rPr>
          <w:rFonts w:ascii="Arial" w:hAnsi="Arial" w:cs="Arial"/>
          <w:lang w:val="fr-FR"/>
        </w:rPr>
        <w:t xml:space="preserve"> </w:t>
      </w:r>
      <w:proofErr w:type="spellStart"/>
      <w:r w:rsidRPr="002E0A32">
        <w:rPr>
          <w:rFonts w:ascii="Arial" w:hAnsi="Arial" w:cs="Arial"/>
          <w:lang w:val="fr-FR"/>
        </w:rPr>
        <w:t>neoformans</w:t>
      </w:r>
      <w:proofErr w:type="spellEnd"/>
      <w:r w:rsidRPr="002E0A32">
        <w:rPr>
          <w:rFonts w:ascii="Arial" w:hAnsi="Arial" w:cs="Arial"/>
          <w:lang w:val="fr-FR"/>
        </w:rPr>
        <w:t xml:space="preserve">. </w:t>
      </w:r>
      <w:proofErr w:type="spellStart"/>
      <w:r w:rsidRPr="002E0A32">
        <w:rPr>
          <w:rFonts w:ascii="Arial" w:hAnsi="Arial" w:cs="Arial"/>
          <w:lang w:val="fr-FR"/>
        </w:rPr>
        <w:t>Phytotherapy</w:t>
      </w:r>
      <w:proofErr w:type="spellEnd"/>
      <w:r w:rsidRPr="002E0A32">
        <w:rPr>
          <w:rFonts w:ascii="Arial" w:hAnsi="Arial" w:cs="Arial"/>
          <w:lang w:val="fr-FR"/>
        </w:rPr>
        <w:t xml:space="preserve">, </w:t>
      </w:r>
      <w:proofErr w:type="gramStart"/>
      <w:r w:rsidRPr="002E0A32">
        <w:rPr>
          <w:rFonts w:ascii="Arial" w:hAnsi="Arial" w:cs="Arial"/>
          <w:lang w:val="fr-FR"/>
        </w:rPr>
        <w:t>9:</w:t>
      </w:r>
      <w:proofErr w:type="gramEnd"/>
      <w:r w:rsidRPr="002E0A32">
        <w:rPr>
          <w:rFonts w:ascii="Arial" w:hAnsi="Arial" w:cs="Arial"/>
          <w:lang w:val="fr-FR"/>
        </w:rPr>
        <w:t xml:space="preserve"> 136-141. (French) </w:t>
      </w:r>
      <w:hyperlink r:id="rId9" w:history="1">
        <w:r w:rsidRPr="00645C14">
          <w:rPr>
            <w:rStyle w:val="Hyperlink"/>
            <w:rFonts w:ascii="Arial" w:hAnsi="Arial" w:cs="Arial"/>
            <w:lang w:val="fr-FR"/>
          </w:rPr>
          <w:t>https://doi.org/10.1007/s10298-011-0612-y</w:t>
        </w:r>
      </w:hyperlink>
    </w:p>
    <w:p w14:paraId="4E75A5F2" w14:textId="15CAFC88" w:rsidR="00860FA1" w:rsidRPr="00BF10D9" w:rsidRDefault="00860FA1" w:rsidP="00BF10D9">
      <w:pPr>
        <w:spacing w:before="120" w:after="120"/>
        <w:ind w:left="360"/>
        <w:rPr>
          <w:rFonts w:ascii="Arial" w:hAnsi="Arial" w:cs="Arial"/>
        </w:rPr>
      </w:pPr>
      <w:proofErr w:type="spellStart"/>
      <w:r w:rsidRPr="00BF10D9">
        <w:rPr>
          <w:rFonts w:ascii="Arial" w:hAnsi="Arial" w:cs="Arial"/>
          <w:lang w:val="fr-FR"/>
        </w:rPr>
        <w:t>Bakrim</w:t>
      </w:r>
      <w:proofErr w:type="spellEnd"/>
      <w:r w:rsidRPr="00BF10D9">
        <w:rPr>
          <w:rFonts w:ascii="Arial" w:hAnsi="Arial" w:cs="Arial"/>
          <w:lang w:val="fr-FR"/>
        </w:rPr>
        <w:t xml:space="preserve">, S., </w:t>
      </w:r>
      <w:proofErr w:type="spellStart"/>
      <w:r w:rsidRPr="00BF10D9">
        <w:rPr>
          <w:rFonts w:ascii="Arial" w:hAnsi="Arial" w:cs="Arial"/>
          <w:lang w:val="fr-FR"/>
        </w:rPr>
        <w:t>Benkhaira</w:t>
      </w:r>
      <w:proofErr w:type="spellEnd"/>
      <w:r w:rsidRPr="00BF10D9">
        <w:rPr>
          <w:rFonts w:ascii="Arial" w:hAnsi="Arial" w:cs="Arial"/>
          <w:lang w:val="fr-FR"/>
        </w:rPr>
        <w:t xml:space="preserve">, N., </w:t>
      </w:r>
      <w:proofErr w:type="spellStart"/>
      <w:r w:rsidRPr="00BF10D9">
        <w:rPr>
          <w:rFonts w:ascii="Arial" w:hAnsi="Arial" w:cs="Arial"/>
          <w:lang w:val="fr-FR"/>
        </w:rPr>
        <w:t>Bourais</w:t>
      </w:r>
      <w:proofErr w:type="spellEnd"/>
      <w:r w:rsidRPr="00BF10D9">
        <w:rPr>
          <w:rFonts w:ascii="Arial" w:hAnsi="Arial" w:cs="Arial"/>
          <w:lang w:val="fr-FR"/>
        </w:rPr>
        <w:t xml:space="preserve">, I., Benali, T., Lee, L.H., El Omari, N. </w:t>
      </w:r>
      <w:r w:rsidRPr="00BF10D9">
        <w:rPr>
          <w:rFonts w:ascii="Arial" w:hAnsi="Arial" w:cs="Arial"/>
          <w:i/>
          <w:lang w:val="fr-FR"/>
        </w:rPr>
        <w:t>et al</w:t>
      </w:r>
      <w:r w:rsidRPr="00BF10D9">
        <w:rPr>
          <w:rFonts w:ascii="Arial" w:hAnsi="Arial" w:cs="Arial"/>
          <w:lang w:val="fr-FR"/>
        </w:rPr>
        <w:t xml:space="preserve">., 2022. </w:t>
      </w:r>
      <w:r w:rsidRPr="00BF10D9">
        <w:rPr>
          <w:rFonts w:ascii="Arial" w:hAnsi="Arial" w:cs="Arial"/>
        </w:rPr>
        <w:t>Health Benefits and Pharmacological Properties of Stigmasterol. Antioxidants (Basel), 11(10): 1912. https://doi.org/10.3390/antiox11101912</w:t>
      </w:r>
    </w:p>
    <w:p w14:paraId="126C0145" w14:textId="77777777" w:rsidR="00860FA1" w:rsidRPr="00BF10D9" w:rsidRDefault="00860FA1" w:rsidP="00BF10D9">
      <w:pPr>
        <w:spacing w:before="120" w:after="120"/>
        <w:ind w:left="360"/>
        <w:rPr>
          <w:rFonts w:ascii="Arial" w:hAnsi="Arial" w:cs="Arial"/>
          <w:lang w:val="fr-FR"/>
        </w:rPr>
      </w:pPr>
      <w:proofErr w:type="spellStart"/>
      <w:r w:rsidRPr="00BF10D9">
        <w:rPr>
          <w:rFonts w:ascii="Arial" w:hAnsi="Arial" w:cs="Arial"/>
        </w:rPr>
        <w:t>Bouyahya</w:t>
      </w:r>
      <w:proofErr w:type="spellEnd"/>
      <w:r w:rsidRPr="00BF10D9">
        <w:rPr>
          <w:rFonts w:ascii="Arial" w:hAnsi="Arial" w:cs="Arial"/>
        </w:rPr>
        <w:t xml:space="preserve">, A., </w:t>
      </w:r>
      <w:proofErr w:type="spellStart"/>
      <w:r w:rsidRPr="00BF10D9">
        <w:rPr>
          <w:rFonts w:ascii="Arial" w:hAnsi="Arial" w:cs="Arial"/>
        </w:rPr>
        <w:t>Chamkhi</w:t>
      </w:r>
      <w:proofErr w:type="spellEnd"/>
      <w:r w:rsidRPr="00BF10D9">
        <w:rPr>
          <w:rFonts w:ascii="Arial" w:hAnsi="Arial" w:cs="Arial"/>
        </w:rPr>
        <w:t xml:space="preserve">, I., </w:t>
      </w:r>
      <w:proofErr w:type="spellStart"/>
      <w:r w:rsidRPr="00BF10D9">
        <w:rPr>
          <w:rFonts w:ascii="Arial" w:hAnsi="Arial" w:cs="Arial"/>
        </w:rPr>
        <w:t>Balahbib</w:t>
      </w:r>
      <w:proofErr w:type="spellEnd"/>
      <w:r w:rsidRPr="00BF10D9">
        <w:rPr>
          <w:rFonts w:ascii="Arial" w:hAnsi="Arial" w:cs="Arial"/>
        </w:rPr>
        <w:t xml:space="preserve">, A., </w:t>
      </w:r>
      <w:proofErr w:type="spellStart"/>
      <w:r w:rsidRPr="00BF10D9">
        <w:rPr>
          <w:rFonts w:ascii="Arial" w:hAnsi="Arial" w:cs="Arial"/>
        </w:rPr>
        <w:t>Rebezov</w:t>
      </w:r>
      <w:proofErr w:type="spellEnd"/>
      <w:r w:rsidRPr="00BF10D9">
        <w:rPr>
          <w:rFonts w:ascii="Arial" w:hAnsi="Arial" w:cs="Arial"/>
        </w:rPr>
        <w:t xml:space="preserve">, M., Shariati, M.A., </w:t>
      </w:r>
      <w:proofErr w:type="spellStart"/>
      <w:r w:rsidRPr="00BF10D9">
        <w:rPr>
          <w:rFonts w:ascii="Arial" w:hAnsi="Arial" w:cs="Arial"/>
        </w:rPr>
        <w:t>Wilairatana</w:t>
      </w:r>
      <w:proofErr w:type="spellEnd"/>
      <w:r w:rsidRPr="00BF10D9">
        <w:rPr>
          <w:rFonts w:ascii="Arial" w:hAnsi="Arial" w:cs="Arial"/>
        </w:rPr>
        <w:t xml:space="preserve">, P. </w:t>
      </w:r>
      <w:r w:rsidRPr="00BF10D9">
        <w:rPr>
          <w:rFonts w:ascii="Arial" w:hAnsi="Arial" w:cs="Arial"/>
          <w:i/>
        </w:rPr>
        <w:t>et al</w:t>
      </w:r>
      <w:r w:rsidRPr="00BF10D9">
        <w:rPr>
          <w:rFonts w:ascii="Arial" w:hAnsi="Arial" w:cs="Arial"/>
        </w:rPr>
        <w:t xml:space="preserve">., 2022. Mechanisms, Anti-Quorum-Sensing Actions, and Clinical Trials of Medicinal Plant Bioactive Compounds against Bacteria: A Comprehensive Review. </w:t>
      </w:r>
      <w:proofErr w:type="spellStart"/>
      <w:r w:rsidRPr="00BF10D9">
        <w:rPr>
          <w:rFonts w:ascii="Arial" w:hAnsi="Arial" w:cs="Arial"/>
          <w:lang w:val="fr-FR"/>
        </w:rPr>
        <w:t>Molecules</w:t>
      </w:r>
      <w:proofErr w:type="spellEnd"/>
      <w:r w:rsidRPr="00BF10D9">
        <w:rPr>
          <w:rFonts w:ascii="Arial" w:hAnsi="Arial" w:cs="Arial"/>
          <w:lang w:val="fr-FR"/>
        </w:rPr>
        <w:t>, 27(5</w:t>
      </w:r>
      <w:proofErr w:type="gramStart"/>
      <w:r w:rsidRPr="00BF10D9">
        <w:rPr>
          <w:rFonts w:ascii="Arial" w:hAnsi="Arial" w:cs="Arial"/>
          <w:lang w:val="fr-FR"/>
        </w:rPr>
        <w:t>):</w:t>
      </w:r>
      <w:proofErr w:type="gramEnd"/>
      <w:r w:rsidRPr="00BF10D9">
        <w:rPr>
          <w:rFonts w:ascii="Arial" w:hAnsi="Arial" w:cs="Arial"/>
          <w:lang w:val="fr-FR"/>
        </w:rPr>
        <w:t xml:space="preserve"> 1484. </w:t>
      </w:r>
      <w:hyperlink r:id="rId10" w:history="1">
        <w:r w:rsidRPr="00BF10D9">
          <w:rPr>
            <w:rStyle w:val="Hyperlink"/>
            <w:rFonts w:ascii="Arial" w:hAnsi="Arial" w:cs="Arial"/>
            <w:color w:val="auto"/>
            <w:u w:val="none"/>
            <w:lang w:val="fr-FR"/>
          </w:rPr>
          <w:t>https://doi.org/10.3390/molecules27051484</w:t>
        </w:r>
      </w:hyperlink>
    </w:p>
    <w:p w14:paraId="7E5C81F0"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 EUCAST, 2023. </w:t>
      </w:r>
      <w:proofErr w:type="spellStart"/>
      <w:r w:rsidRPr="00BF10D9">
        <w:rPr>
          <w:rFonts w:ascii="Arial" w:hAnsi="Arial" w:cs="Arial"/>
          <w:lang w:val="fr-FR"/>
        </w:rPr>
        <w:t>Recommendations</w:t>
      </w:r>
      <w:proofErr w:type="spellEnd"/>
      <w:r w:rsidRPr="00BF10D9">
        <w:rPr>
          <w:rFonts w:ascii="Arial" w:hAnsi="Arial" w:cs="Arial"/>
          <w:lang w:val="fr-FR"/>
        </w:rPr>
        <w:t xml:space="preserve"> 2023 V.1.0 June.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3DF1C27B"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2013. </w:t>
      </w:r>
      <w:proofErr w:type="spellStart"/>
      <w:r w:rsidRPr="00BF10D9">
        <w:rPr>
          <w:rFonts w:ascii="Arial" w:hAnsi="Arial" w:cs="Arial"/>
          <w:lang w:val="fr-FR"/>
        </w:rPr>
        <w:t>Recommendations</w:t>
      </w:r>
      <w:proofErr w:type="spellEnd"/>
      <w:r w:rsidRPr="00BF10D9">
        <w:rPr>
          <w:rFonts w:ascii="Arial" w:hAnsi="Arial" w:cs="Arial"/>
          <w:lang w:val="fr-FR"/>
        </w:rPr>
        <w:t xml:space="preserve"> 2013.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7EBED0E8"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Cushnie</w:t>
      </w:r>
      <w:proofErr w:type="spellEnd"/>
      <w:r w:rsidRPr="00BF10D9">
        <w:rPr>
          <w:rFonts w:ascii="Arial" w:hAnsi="Arial" w:cs="Arial"/>
          <w:lang w:val="fr-FR"/>
        </w:rPr>
        <w:t xml:space="preserve">, T.P., </w:t>
      </w:r>
      <w:proofErr w:type="spellStart"/>
      <w:r w:rsidRPr="00BF10D9">
        <w:rPr>
          <w:rFonts w:ascii="Arial" w:hAnsi="Arial" w:cs="Arial"/>
          <w:lang w:val="fr-FR"/>
        </w:rPr>
        <w:t>Cushnie</w:t>
      </w:r>
      <w:proofErr w:type="spellEnd"/>
      <w:r w:rsidRPr="00BF10D9">
        <w:rPr>
          <w:rFonts w:ascii="Arial" w:hAnsi="Arial" w:cs="Arial"/>
          <w:lang w:val="fr-FR"/>
        </w:rPr>
        <w:t xml:space="preserve">, B. and Lamb, A.J., 2014. </w:t>
      </w:r>
      <w:proofErr w:type="spellStart"/>
      <w:proofErr w:type="gramStart"/>
      <w:r w:rsidRPr="00BF10D9">
        <w:rPr>
          <w:rFonts w:ascii="Arial" w:hAnsi="Arial" w:cs="Arial"/>
          <w:lang w:val="fr-FR"/>
        </w:rPr>
        <w:t>Alkaloids</w:t>
      </w:r>
      <w:proofErr w:type="spellEnd"/>
      <w:r w:rsidRPr="00BF10D9">
        <w:rPr>
          <w:rFonts w:ascii="Arial" w:hAnsi="Arial" w:cs="Arial"/>
          <w:lang w:val="fr-FR"/>
        </w:rPr>
        <w:t>:</w:t>
      </w:r>
      <w:proofErr w:type="gramEnd"/>
      <w:r w:rsidRPr="00BF10D9">
        <w:rPr>
          <w:rFonts w:ascii="Arial" w:hAnsi="Arial" w:cs="Arial"/>
          <w:lang w:val="fr-FR"/>
        </w:rPr>
        <w:t xml:space="preserve"> an </w:t>
      </w:r>
      <w:proofErr w:type="spellStart"/>
      <w:r w:rsidRPr="00BF10D9">
        <w:rPr>
          <w:rFonts w:ascii="Arial" w:hAnsi="Arial" w:cs="Arial"/>
          <w:lang w:val="fr-FR"/>
        </w:rPr>
        <w:t>overview</w:t>
      </w:r>
      <w:proofErr w:type="spellEnd"/>
      <w:r w:rsidRPr="00BF10D9">
        <w:rPr>
          <w:rFonts w:ascii="Arial" w:hAnsi="Arial" w:cs="Arial"/>
          <w:lang w:val="fr-FR"/>
        </w:rPr>
        <w:t xml:space="preserve"> of </w:t>
      </w:r>
      <w:proofErr w:type="spellStart"/>
      <w:r w:rsidRPr="00BF10D9">
        <w:rPr>
          <w:rFonts w:ascii="Arial" w:hAnsi="Arial" w:cs="Arial"/>
          <w:lang w:val="fr-FR"/>
        </w:rPr>
        <w:t>their</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antibiotic-enhancing</w:t>
      </w:r>
      <w:proofErr w:type="spellEnd"/>
      <w:r w:rsidRPr="00BF10D9">
        <w:rPr>
          <w:rFonts w:ascii="Arial" w:hAnsi="Arial" w:cs="Arial"/>
          <w:lang w:val="fr-FR"/>
        </w:rPr>
        <w:t xml:space="preserve"> and </w:t>
      </w:r>
      <w:proofErr w:type="spellStart"/>
      <w:r w:rsidRPr="00BF10D9">
        <w:rPr>
          <w:rFonts w:ascii="Arial" w:hAnsi="Arial" w:cs="Arial"/>
          <w:lang w:val="fr-FR"/>
        </w:rPr>
        <w:t>antivirulence</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Int. J. </w:t>
      </w:r>
      <w:proofErr w:type="spellStart"/>
      <w:r w:rsidRPr="00BF10D9">
        <w:rPr>
          <w:rFonts w:ascii="Arial" w:hAnsi="Arial" w:cs="Arial"/>
          <w:lang w:val="fr-FR"/>
        </w:rPr>
        <w:t>Antimicrob</w:t>
      </w:r>
      <w:proofErr w:type="spellEnd"/>
      <w:r w:rsidRPr="00BF10D9">
        <w:rPr>
          <w:rFonts w:ascii="Arial" w:hAnsi="Arial" w:cs="Arial"/>
          <w:lang w:val="fr-FR"/>
        </w:rPr>
        <w:t>. Agents., 44(5</w:t>
      </w:r>
      <w:proofErr w:type="gramStart"/>
      <w:r w:rsidRPr="00BF10D9">
        <w:rPr>
          <w:rFonts w:ascii="Arial" w:hAnsi="Arial" w:cs="Arial"/>
          <w:lang w:val="fr-FR"/>
        </w:rPr>
        <w:t>):</w:t>
      </w:r>
      <w:proofErr w:type="gramEnd"/>
      <w:r w:rsidRPr="00BF10D9">
        <w:rPr>
          <w:rFonts w:ascii="Arial" w:hAnsi="Arial" w:cs="Arial"/>
          <w:lang w:val="fr-FR"/>
        </w:rPr>
        <w:t xml:space="preserve"> 377-86. https://doi.org/10.1016/j.ijantimicag.2014.06.001</w:t>
      </w:r>
    </w:p>
    <w:p w14:paraId="79614785"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Dahlem</w:t>
      </w:r>
      <w:proofErr w:type="spellEnd"/>
      <w:r w:rsidRPr="00BF10D9">
        <w:rPr>
          <w:rFonts w:ascii="Arial" w:hAnsi="Arial" w:cs="Arial"/>
          <w:lang w:val="fr-FR"/>
        </w:rPr>
        <w:t xml:space="preserve"> Junior, M.A., </w:t>
      </w:r>
      <w:proofErr w:type="spellStart"/>
      <w:r w:rsidRPr="00BF10D9">
        <w:rPr>
          <w:rFonts w:ascii="Arial" w:hAnsi="Arial" w:cs="Arial"/>
          <w:lang w:val="fr-FR"/>
        </w:rPr>
        <w:t>Nguema</w:t>
      </w:r>
      <w:proofErr w:type="spellEnd"/>
      <w:r w:rsidRPr="00BF10D9">
        <w:rPr>
          <w:rFonts w:ascii="Arial" w:hAnsi="Arial" w:cs="Arial"/>
          <w:lang w:val="fr-FR"/>
        </w:rPr>
        <w:t xml:space="preserve"> </w:t>
      </w:r>
      <w:proofErr w:type="spellStart"/>
      <w:r w:rsidRPr="00BF10D9">
        <w:rPr>
          <w:rFonts w:ascii="Arial" w:hAnsi="Arial" w:cs="Arial"/>
          <w:lang w:val="fr-FR"/>
        </w:rPr>
        <w:t>Edzang</w:t>
      </w:r>
      <w:proofErr w:type="spellEnd"/>
      <w:r w:rsidRPr="00BF10D9">
        <w:rPr>
          <w:rFonts w:ascii="Arial" w:hAnsi="Arial" w:cs="Arial"/>
          <w:lang w:val="fr-FR"/>
        </w:rPr>
        <w:t xml:space="preserve">, R.W., </w:t>
      </w:r>
      <w:proofErr w:type="spellStart"/>
      <w:r w:rsidRPr="00BF10D9">
        <w:rPr>
          <w:rFonts w:ascii="Arial" w:hAnsi="Arial" w:cs="Arial"/>
          <w:lang w:val="fr-FR"/>
        </w:rPr>
        <w:t>Catto</w:t>
      </w:r>
      <w:proofErr w:type="spellEnd"/>
      <w:r w:rsidRPr="00BF10D9">
        <w:rPr>
          <w:rFonts w:ascii="Arial" w:hAnsi="Arial" w:cs="Arial"/>
          <w:lang w:val="fr-FR"/>
        </w:rPr>
        <w:t xml:space="preserve">, A.L. and </w:t>
      </w:r>
      <w:proofErr w:type="spellStart"/>
      <w:r w:rsidRPr="00BF10D9">
        <w:rPr>
          <w:rFonts w:ascii="Arial" w:hAnsi="Arial" w:cs="Arial"/>
          <w:lang w:val="fr-FR"/>
        </w:rPr>
        <w:t>Raimundo</w:t>
      </w:r>
      <w:proofErr w:type="spellEnd"/>
      <w:r w:rsidRPr="00BF10D9">
        <w:rPr>
          <w:rFonts w:ascii="Arial" w:hAnsi="Arial" w:cs="Arial"/>
          <w:lang w:val="fr-FR"/>
        </w:rPr>
        <w:t xml:space="preserve">, J.M., 2022. Quinones as an Efficient </w:t>
      </w:r>
      <w:proofErr w:type="spellStart"/>
      <w:r w:rsidRPr="00BF10D9">
        <w:rPr>
          <w:rFonts w:ascii="Arial" w:hAnsi="Arial" w:cs="Arial"/>
          <w:lang w:val="fr-FR"/>
        </w:rPr>
        <w:t>Molecular</w:t>
      </w:r>
      <w:proofErr w:type="spellEnd"/>
      <w:r w:rsidRPr="00BF10D9">
        <w:rPr>
          <w:rFonts w:ascii="Arial" w:hAnsi="Arial" w:cs="Arial"/>
          <w:lang w:val="fr-FR"/>
        </w:rPr>
        <w:t xml:space="preserve"> </w:t>
      </w:r>
      <w:proofErr w:type="spellStart"/>
      <w:r w:rsidRPr="00BF10D9">
        <w:rPr>
          <w:rFonts w:ascii="Arial" w:hAnsi="Arial" w:cs="Arial"/>
          <w:lang w:val="fr-FR"/>
        </w:rPr>
        <w:t>Scaffold</w:t>
      </w:r>
      <w:proofErr w:type="spellEnd"/>
      <w:r w:rsidRPr="00BF10D9">
        <w:rPr>
          <w:rFonts w:ascii="Arial" w:hAnsi="Arial" w:cs="Arial"/>
          <w:lang w:val="fr-FR"/>
        </w:rPr>
        <w:t xml:space="preserve"> in the </w:t>
      </w:r>
      <w:proofErr w:type="spellStart"/>
      <w:r w:rsidRPr="00BF10D9">
        <w:rPr>
          <w:rFonts w:ascii="Arial" w:hAnsi="Arial" w:cs="Arial"/>
          <w:lang w:val="fr-FR"/>
        </w:rPr>
        <w:t>Antibacterial</w:t>
      </w:r>
      <w:proofErr w:type="spellEnd"/>
      <w:r w:rsidRPr="00BF10D9">
        <w:rPr>
          <w:rFonts w:ascii="Arial" w:hAnsi="Arial" w:cs="Arial"/>
          <w:lang w:val="fr-FR"/>
        </w:rPr>
        <w:t>/</w:t>
      </w:r>
      <w:proofErr w:type="spellStart"/>
      <w:r w:rsidRPr="00BF10D9">
        <w:rPr>
          <w:rFonts w:ascii="Arial" w:hAnsi="Arial" w:cs="Arial"/>
          <w:lang w:val="fr-FR"/>
        </w:rPr>
        <w:t>Antifungal</w:t>
      </w:r>
      <w:proofErr w:type="spellEnd"/>
      <w:r w:rsidRPr="00BF10D9">
        <w:rPr>
          <w:rFonts w:ascii="Arial" w:hAnsi="Arial" w:cs="Arial"/>
          <w:lang w:val="fr-FR"/>
        </w:rPr>
        <w:t xml:space="preserve"> or </w:t>
      </w:r>
      <w:proofErr w:type="spellStart"/>
      <w:r w:rsidRPr="00BF10D9">
        <w:rPr>
          <w:rFonts w:ascii="Arial" w:hAnsi="Arial" w:cs="Arial"/>
          <w:lang w:val="fr-FR"/>
        </w:rPr>
        <w:t>Antitumor</w:t>
      </w:r>
      <w:proofErr w:type="spellEnd"/>
      <w:r w:rsidRPr="00BF10D9">
        <w:rPr>
          <w:rFonts w:ascii="Arial" w:hAnsi="Arial" w:cs="Arial"/>
          <w:lang w:val="fr-FR"/>
        </w:rPr>
        <w:t xml:space="preserve"> Arsenal. Int. J. Mol. </w:t>
      </w:r>
      <w:proofErr w:type="spellStart"/>
      <w:r w:rsidRPr="00BF10D9">
        <w:rPr>
          <w:rFonts w:ascii="Arial" w:hAnsi="Arial" w:cs="Arial"/>
          <w:lang w:val="fr-FR"/>
        </w:rPr>
        <w:t>Sci</w:t>
      </w:r>
      <w:proofErr w:type="spellEnd"/>
      <w:r w:rsidRPr="00BF10D9">
        <w:rPr>
          <w:rFonts w:ascii="Arial" w:hAnsi="Arial" w:cs="Arial"/>
          <w:lang w:val="fr-FR"/>
        </w:rPr>
        <w:t>., 23(22</w:t>
      </w:r>
      <w:proofErr w:type="gramStart"/>
      <w:r w:rsidRPr="00BF10D9">
        <w:rPr>
          <w:rFonts w:ascii="Arial" w:hAnsi="Arial" w:cs="Arial"/>
          <w:lang w:val="fr-FR"/>
        </w:rPr>
        <w:t>):</w:t>
      </w:r>
      <w:proofErr w:type="gramEnd"/>
      <w:r w:rsidRPr="00BF10D9">
        <w:rPr>
          <w:rFonts w:ascii="Arial" w:hAnsi="Arial" w:cs="Arial"/>
          <w:lang w:val="fr-FR"/>
        </w:rPr>
        <w:t xml:space="preserve"> 14108. https://doi.org/10.3390/ijms232214108</w:t>
      </w:r>
    </w:p>
    <w:p w14:paraId="2401A13E"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Deng, H., Meng, X., Xue, B. and Li, L., 2024. </w:t>
      </w:r>
      <w:proofErr w:type="spellStart"/>
      <w:r w:rsidRPr="00BF10D9">
        <w:rPr>
          <w:rFonts w:ascii="Arial" w:hAnsi="Arial" w:cs="Arial"/>
          <w:lang w:val="fr-FR"/>
        </w:rPr>
        <w:t>Unveiling</w:t>
      </w:r>
      <w:proofErr w:type="spellEnd"/>
      <w:r w:rsidRPr="00BF10D9">
        <w:rPr>
          <w:rFonts w:ascii="Arial" w:hAnsi="Arial" w:cs="Arial"/>
          <w:lang w:val="fr-FR"/>
        </w:rPr>
        <w:t xml:space="preserve">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anthocyanins</w:t>
      </w:r>
      <w:proofErr w:type="spellEnd"/>
      <w:r w:rsidRPr="00BF10D9">
        <w:rPr>
          <w:rFonts w:ascii="Arial" w:hAnsi="Arial" w:cs="Arial"/>
          <w:lang w:val="fr-FR"/>
        </w:rPr>
        <w:t xml:space="preserve"> - a </w:t>
      </w:r>
      <w:proofErr w:type="spellStart"/>
      <w:r w:rsidRPr="00BF10D9">
        <w:rPr>
          <w:rFonts w:ascii="Arial" w:hAnsi="Arial" w:cs="Arial"/>
          <w:lang w:val="fr-FR"/>
        </w:rPr>
        <w:t>comprehensive</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on </w:t>
      </w:r>
      <w:proofErr w:type="spellStart"/>
      <w:r w:rsidRPr="00BF10D9">
        <w:rPr>
          <w:rFonts w:ascii="Arial" w:hAnsi="Arial" w:cs="Arial"/>
          <w:lang w:val="fr-FR"/>
        </w:rPr>
        <w:t>this</w:t>
      </w:r>
      <w:proofErr w:type="spellEnd"/>
      <w:r w:rsidRPr="00BF10D9">
        <w:rPr>
          <w:rFonts w:ascii="Arial" w:hAnsi="Arial" w:cs="Arial"/>
          <w:lang w:val="fr-FR"/>
        </w:rPr>
        <w:t xml:space="preserve"> </w:t>
      </w:r>
      <w:proofErr w:type="spellStart"/>
      <w:r w:rsidRPr="00BF10D9">
        <w:rPr>
          <w:rFonts w:ascii="Arial" w:hAnsi="Arial" w:cs="Arial"/>
          <w:lang w:val="fr-FR"/>
        </w:rPr>
        <w:t>natural</w:t>
      </w:r>
      <w:proofErr w:type="spellEnd"/>
      <w:r w:rsidRPr="00BF10D9">
        <w:rPr>
          <w:rFonts w:ascii="Arial" w:hAnsi="Arial" w:cs="Arial"/>
          <w:lang w:val="fr-FR"/>
        </w:rPr>
        <w:t xml:space="preserve"> plant </w:t>
      </w:r>
      <w:proofErr w:type="spellStart"/>
      <w:r w:rsidRPr="00BF10D9">
        <w:rPr>
          <w:rFonts w:ascii="Arial" w:hAnsi="Arial" w:cs="Arial"/>
          <w:lang w:val="fr-FR"/>
        </w:rPr>
        <w:t>extract</w:t>
      </w:r>
      <w:proofErr w:type="spellEnd"/>
      <w:r w:rsidRPr="00BF10D9">
        <w:rPr>
          <w:rFonts w:ascii="Arial" w:hAnsi="Arial" w:cs="Arial"/>
          <w:lang w:val="fr-FR"/>
        </w:rPr>
        <w:t xml:space="preserve">. Crit. </w:t>
      </w:r>
      <w:proofErr w:type="spellStart"/>
      <w:r w:rsidRPr="00BF10D9">
        <w:rPr>
          <w:rFonts w:ascii="Arial" w:hAnsi="Arial" w:cs="Arial"/>
          <w:lang w:val="fr-FR"/>
        </w:rPr>
        <w:t>Rev</w:t>
      </w:r>
      <w:proofErr w:type="spellEnd"/>
      <w:r w:rsidRPr="00BF10D9">
        <w:rPr>
          <w:rFonts w:ascii="Arial" w:hAnsi="Arial" w:cs="Arial"/>
          <w:lang w:val="fr-FR"/>
        </w:rPr>
        <w:t xml:space="preserve">. Food </w:t>
      </w:r>
      <w:proofErr w:type="spellStart"/>
      <w:r w:rsidRPr="00BF10D9">
        <w:rPr>
          <w:rFonts w:ascii="Arial" w:hAnsi="Arial" w:cs="Arial"/>
          <w:lang w:val="fr-FR"/>
        </w:rPr>
        <w:t>Sci</w:t>
      </w:r>
      <w:proofErr w:type="spellEnd"/>
      <w:r w:rsidRPr="00BF10D9">
        <w:rPr>
          <w:rFonts w:ascii="Arial" w:hAnsi="Arial" w:cs="Arial"/>
          <w:lang w:val="fr-FR"/>
        </w:rPr>
        <w:t xml:space="preserve">. </w:t>
      </w:r>
      <w:proofErr w:type="spellStart"/>
      <w:r w:rsidRPr="00BF10D9">
        <w:rPr>
          <w:rFonts w:ascii="Arial" w:hAnsi="Arial" w:cs="Arial"/>
          <w:lang w:val="fr-FR"/>
        </w:rPr>
        <w:t>Nutr</w:t>
      </w:r>
      <w:proofErr w:type="spellEnd"/>
      <w:r w:rsidRPr="00BF10D9">
        <w:rPr>
          <w:rFonts w:ascii="Arial" w:hAnsi="Arial" w:cs="Arial"/>
          <w:lang w:val="fr-FR"/>
        </w:rPr>
        <w:t xml:space="preserve">., 1-14. </w:t>
      </w:r>
      <w:proofErr w:type="gramStart"/>
      <w:r w:rsidRPr="00BF10D9">
        <w:rPr>
          <w:rFonts w:ascii="Arial" w:hAnsi="Arial" w:cs="Arial"/>
          <w:lang w:val="fr-FR"/>
        </w:rPr>
        <w:t>DOI:</w:t>
      </w:r>
      <w:proofErr w:type="gramEnd"/>
      <w:r w:rsidRPr="00BF10D9">
        <w:rPr>
          <w:rFonts w:ascii="Arial" w:hAnsi="Arial" w:cs="Arial"/>
          <w:lang w:val="fr-FR"/>
        </w:rPr>
        <w:t xml:space="preserve"> https://doi.org/10.1080/10408398.2024.2411411</w:t>
      </w:r>
    </w:p>
    <w:p w14:paraId="6D939EF6"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Denis, F., </w:t>
      </w:r>
      <w:proofErr w:type="spellStart"/>
      <w:r w:rsidRPr="00BF10D9">
        <w:rPr>
          <w:rFonts w:ascii="Arial" w:hAnsi="Arial" w:cs="Arial"/>
          <w:lang w:val="fr-FR"/>
        </w:rPr>
        <w:t>Ploy</w:t>
      </w:r>
      <w:proofErr w:type="spellEnd"/>
      <w:r w:rsidRPr="00BF10D9">
        <w:rPr>
          <w:rFonts w:ascii="Arial" w:hAnsi="Arial" w:cs="Arial"/>
          <w:lang w:val="fr-FR"/>
        </w:rPr>
        <w:t xml:space="preserve">, M.C., Martin C., Bingen, E. and Quentin, R., 2011. </w:t>
      </w:r>
      <w:proofErr w:type="spellStart"/>
      <w:r w:rsidRPr="00BF10D9">
        <w:rPr>
          <w:rFonts w:ascii="Arial" w:hAnsi="Arial" w:cs="Arial"/>
          <w:lang w:val="fr-FR"/>
        </w:rPr>
        <w:t>Medical</w:t>
      </w:r>
      <w:proofErr w:type="spellEnd"/>
      <w:r w:rsidRPr="00BF10D9">
        <w:rPr>
          <w:rFonts w:ascii="Arial" w:hAnsi="Arial" w:cs="Arial"/>
          <w:lang w:val="fr-FR"/>
        </w:rPr>
        <w:t xml:space="preserve"> </w:t>
      </w:r>
      <w:proofErr w:type="spellStart"/>
      <w:r w:rsidRPr="00BF10D9">
        <w:rPr>
          <w:rFonts w:ascii="Arial" w:hAnsi="Arial" w:cs="Arial"/>
          <w:lang w:val="fr-FR"/>
        </w:rPr>
        <w:t>bacteriology</w:t>
      </w:r>
      <w:proofErr w:type="spellEnd"/>
      <w:r w:rsidRPr="00BF10D9">
        <w:rPr>
          <w:rFonts w:ascii="Arial" w:hAnsi="Arial" w:cs="Arial"/>
          <w:lang w:val="fr-FR"/>
        </w:rPr>
        <w:t xml:space="preserve">, </w:t>
      </w:r>
      <w:proofErr w:type="spellStart"/>
      <w:r w:rsidRPr="00BF10D9">
        <w:rPr>
          <w:rFonts w:ascii="Arial" w:hAnsi="Arial" w:cs="Arial"/>
          <w:lang w:val="fr-FR"/>
        </w:rPr>
        <w:t>Usual</w:t>
      </w:r>
      <w:proofErr w:type="spellEnd"/>
      <w:r w:rsidRPr="00BF10D9">
        <w:rPr>
          <w:rFonts w:ascii="Arial" w:hAnsi="Arial" w:cs="Arial"/>
          <w:lang w:val="fr-FR"/>
        </w:rPr>
        <w:t xml:space="preserve"> techniques. 2nd </w:t>
      </w:r>
      <w:proofErr w:type="spellStart"/>
      <w:r w:rsidRPr="00BF10D9">
        <w:rPr>
          <w:rFonts w:ascii="Arial" w:hAnsi="Arial" w:cs="Arial"/>
          <w:lang w:val="fr-FR"/>
        </w:rPr>
        <w:t>edn</w:t>
      </w:r>
      <w:proofErr w:type="spellEnd"/>
      <w:r w:rsidRPr="00BF10D9">
        <w:rPr>
          <w:rFonts w:ascii="Arial" w:hAnsi="Arial" w:cs="Arial"/>
          <w:lang w:val="fr-FR"/>
        </w:rPr>
        <w:t>. Elsevier Masson SAS, Paris. (French)</w:t>
      </w:r>
    </w:p>
    <w:p w14:paraId="53464298"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Monthe</w:t>
      </w:r>
      <w:proofErr w:type="spellEnd"/>
      <w:r w:rsidRPr="00BF10D9">
        <w:rPr>
          <w:rFonts w:ascii="Arial" w:hAnsi="Arial" w:cs="Arial"/>
          <w:lang w:val="fr-FR"/>
        </w:rPr>
        <w:t xml:space="preserve">, V.I., </w:t>
      </w:r>
      <w:proofErr w:type="spellStart"/>
      <w:r w:rsidRPr="00BF10D9">
        <w:rPr>
          <w:rFonts w:ascii="Arial" w:hAnsi="Arial" w:cs="Arial"/>
          <w:lang w:val="fr-FR"/>
        </w:rPr>
        <w:t>Yamen</w:t>
      </w:r>
      <w:proofErr w:type="spellEnd"/>
      <w:r w:rsidRPr="00BF10D9">
        <w:rPr>
          <w:rFonts w:ascii="Arial" w:hAnsi="Arial" w:cs="Arial"/>
          <w:lang w:val="fr-FR"/>
        </w:rPr>
        <w:t xml:space="preserve"> </w:t>
      </w:r>
      <w:proofErr w:type="spellStart"/>
      <w:r w:rsidRPr="00BF10D9">
        <w:rPr>
          <w:rFonts w:ascii="Arial" w:hAnsi="Arial" w:cs="Arial"/>
          <w:lang w:val="fr-FR"/>
        </w:rPr>
        <w:t>Mbopi</w:t>
      </w:r>
      <w:proofErr w:type="spellEnd"/>
      <w:r w:rsidRPr="00BF10D9">
        <w:rPr>
          <w:rFonts w:ascii="Arial" w:hAnsi="Arial" w:cs="Arial"/>
          <w:lang w:val="fr-FR"/>
        </w:rPr>
        <w:t xml:space="preserve">, P., Signe </w:t>
      </w:r>
      <w:proofErr w:type="spellStart"/>
      <w:r w:rsidRPr="00BF10D9">
        <w:rPr>
          <w:rFonts w:ascii="Arial" w:hAnsi="Arial" w:cs="Arial"/>
          <w:lang w:val="fr-FR"/>
        </w:rPr>
        <w:t>Mawout</w:t>
      </w:r>
      <w:proofErr w:type="spellEnd"/>
      <w:r w:rsidRPr="00BF10D9">
        <w:rPr>
          <w:rFonts w:ascii="Arial" w:hAnsi="Arial" w:cs="Arial"/>
          <w:lang w:val="fr-FR"/>
        </w:rPr>
        <w:t xml:space="preserve">, C., </w:t>
      </w:r>
      <w:proofErr w:type="spellStart"/>
      <w:r w:rsidRPr="00BF10D9">
        <w:rPr>
          <w:rFonts w:ascii="Arial" w:hAnsi="Arial" w:cs="Arial"/>
          <w:lang w:val="fr-FR"/>
        </w:rPr>
        <w:t>Tchouani</w:t>
      </w:r>
      <w:proofErr w:type="spellEnd"/>
      <w:r w:rsidRPr="00BF10D9">
        <w:rPr>
          <w:rFonts w:ascii="Arial" w:hAnsi="Arial" w:cs="Arial"/>
          <w:lang w:val="fr-FR"/>
        </w:rPr>
        <w:t xml:space="preserve"> J.J.,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Yonkeu</w:t>
      </w:r>
      <w:proofErr w:type="spellEnd"/>
      <w:r w:rsidRPr="00BF10D9">
        <w:rPr>
          <w:rFonts w:ascii="Arial" w:hAnsi="Arial" w:cs="Arial"/>
          <w:lang w:val="fr-FR"/>
        </w:rPr>
        <w:t xml:space="preserve"> </w:t>
      </w:r>
      <w:proofErr w:type="spellStart"/>
      <w:r w:rsidRPr="00BF10D9">
        <w:rPr>
          <w:rFonts w:ascii="Arial" w:hAnsi="Arial" w:cs="Arial"/>
          <w:lang w:val="fr-FR"/>
        </w:rPr>
        <w:t>Ngogang</w:t>
      </w:r>
      <w:proofErr w:type="spellEnd"/>
      <w:r w:rsidRPr="00BF10D9">
        <w:rPr>
          <w:rFonts w:ascii="Arial" w:hAnsi="Arial" w:cs="Arial"/>
          <w:lang w:val="fr-FR"/>
        </w:rPr>
        <w:t xml:space="preserve">, J., 2023. Evaluation of the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in vitro of the </w:t>
      </w:r>
      <w:proofErr w:type="spellStart"/>
      <w:r w:rsidRPr="00BF10D9">
        <w:rPr>
          <w:rFonts w:ascii="Arial" w:hAnsi="Arial" w:cs="Arial"/>
          <w:lang w:val="fr-FR"/>
        </w:rPr>
        <w:t>trunk</w:t>
      </w:r>
      <w:proofErr w:type="spellEnd"/>
      <w:r w:rsidRPr="00BF10D9">
        <w:rPr>
          <w:rFonts w:ascii="Arial" w:hAnsi="Arial" w:cs="Arial"/>
          <w:lang w:val="fr-FR"/>
        </w:rPr>
        <w:t xml:space="preserve"> </w:t>
      </w:r>
      <w:proofErr w:type="spellStart"/>
      <w:r w:rsidRPr="00BF10D9">
        <w:rPr>
          <w:rFonts w:ascii="Arial" w:hAnsi="Arial" w:cs="Arial"/>
          <w:lang w:val="fr-FR"/>
        </w:rPr>
        <w:t>bark</w:t>
      </w:r>
      <w:proofErr w:type="spellEnd"/>
      <w:r w:rsidRPr="00BF10D9">
        <w:rPr>
          <w:rFonts w:ascii="Arial" w:hAnsi="Arial" w:cs="Arial"/>
          <w:lang w:val="fr-FR"/>
        </w:rPr>
        <w:t xml:space="preserve"> of </w:t>
      </w:r>
      <w:proofErr w:type="spellStart"/>
      <w:r w:rsidRPr="00BF10D9">
        <w:rPr>
          <w:rFonts w:ascii="Arial" w:hAnsi="Arial" w:cs="Arial"/>
          <w:lang w:val="fr-FR"/>
        </w:rPr>
        <w:t>Canarium</w:t>
      </w:r>
      <w:proofErr w:type="spellEnd"/>
      <w:r w:rsidRPr="00BF10D9">
        <w:rPr>
          <w:rFonts w:ascii="Arial" w:hAnsi="Arial" w:cs="Arial"/>
          <w:lang w:val="fr-FR"/>
        </w:rPr>
        <w:t xml:space="preserve"> </w:t>
      </w:r>
      <w:proofErr w:type="spellStart"/>
      <w:r w:rsidRPr="00BF10D9">
        <w:rPr>
          <w:rFonts w:ascii="Arial" w:hAnsi="Arial" w:cs="Arial"/>
          <w:lang w:val="fr-FR"/>
        </w:rPr>
        <w:t>schweinfurthii</w:t>
      </w:r>
      <w:proofErr w:type="spellEnd"/>
      <w:r w:rsidRPr="00BF10D9">
        <w:rPr>
          <w:rFonts w:ascii="Arial" w:hAnsi="Arial" w:cs="Arial"/>
          <w:lang w:val="fr-FR"/>
        </w:rPr>
        <w:t xml:space="preserve"> </w:t>
      </w:r>
      <w:proofErr w:type="spellStart"/>
      <w:r w:rsidRPr="00BF10D9">
        <w:rPr>
          <w:rFonts w:ascii="Arial" w:hAnsi="Arial" w:cs="Arial"/>
          <w:lang w:val="fr-FR"/>
        </w:rPr>
        <w:t>Engl</w:t>
      </w:r>
      <w:proofErr w:type="spellEnd"/>
      <w:r w:rsidRPr="00BF10D9">
        <w:rPr>
          <w:rFonts w:ascii="Arial" w:hAnsi="Arial" w:cs="Arial"/>
          <w:lang w:val="fr-FR"/>
        </w:rPr>
        <w:t xml:space="preserve"> (</w:t>
      </w:r>
      <w:proofErr w:type="spellStart"/>
      <w:r w:rsidRPr="00BF10D9">
        <w:rPr>
          <w:rFonts w:ascii="Arial" w:hAnsi="Arial" w:cs="Arial"/>
          <w:lang w:val="fr-FR"/>
        </w:rPr>
        <w:t>Burseraceae</w:t>
      </w:r>
      <w:proofErr w:type="spellEnd"/>
      <w:r w:rsidRPr="00BF10D9">
        <w:rPr>
          <w:rFonts w:ascii="Arial" w:hAnsi="Arial" w:cs="Arial"/>
          <w:lang w:val="fr-FR"/>
        </w:rPr>
        <w:t xml:space="preserve">). Int. J. Biol. Pharm. </w:t>
      </w:r>
      <w:proofErr w:type="spellStart"/>
      <w:r w:rsidRPr="00BF10D9">
        <w:rPr>
          <w:rFonts w:ascii="Arial" w:hAnsi="Arial" w:cs="Arial"/>
          <w:lang w:val="fr-FR"/>
        </w:rPr>
        <w:t>Sci</w:t>
      </w:r>
      <w:proofErr w:type="spellEnd"/>
      <w:r w:rsidRPr="00BF10D9">
        <w:rPr>
          <w:rFonts w:ascii="Arial" w:hAnsi="Arial" w:cs="Arial"/>
          <w:lang w:val="fr-FR"/>
        </w:rPr>
        <w:t>. Arch., 06(02</w:t>
      </w:r>
      <w:proofErr w:type="gramStart"/>
      <w:r w:rsidRPr="00BF10D9">
        <w:rPr>
          <w:rFonts w:ascii="Arial" w:hAnsi="Arial" w:cs="Arial"/>
          <w:lang w:val="fr-FR"/>
        </w:rPr>
        <w:t>):</w:t>
      </w:r>
      <w:proofErr w:type="gramEnd"/>
      <w:r w:rsidRPr="00BF10D9">
        <w:rPr>
          <w:rFonts w:ascii="Arial" w:hAnsi="Arial" w:cs="Arial"/>
          <w:lang w:val="fr-FR"/>
        </w:rPr>
        <w:t xml:space="preserve"> 101-109. https://doi.org/10.53771/ijbpsa.2023.6.2.0102</w:t>
      </w:r>
    </w:p>
    <w:p w14:paraId="4975AB8B"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Elizondo</w:t>
      </w:r>
      <w:proofErr w:type="spellEnd"/>
      <w:r w:rsidRPr="00BF10D9">
        <w:rPr>
          <w:rFonts w:ascii="Arial" w:hAnsi="Arial" w:cs="Arial"/>
          <w:lang w:val="fr-FR"/>
        </w:rPr>
        <w:t xml:space="preserve">, A.M., </w:t>
      </w:r>
      <w:proofErr w:type="spellStart"/>
      <w:r w:rsidRPr="00BF10D9">
        <w:rPr>
          <w:rFonts w:ascii="Arial" w:hAnsi="Arial" w:cs="Arial"/>
          <w:lang w:val="fr-FR"/>
        </w:rPr>
        <w:t>Mercado</w:t>
      </w:r>
      <w:proofErr w:type="spellEnd"/>
      <w:r w:rsidRPr="00BF10D9">
        <w:rPr>
          <w:rFonts w:ascii="Arial" w:hAnsi="Arial" w:cs="Arial"/>
          <w:lang w:val="fr-FR"/>
        </w:rPr>
        <w:t xml:space="preserve">, E.C., </w:t>
      </w:r>
      <w:proofErr w:type="spellStart"/>
      <w:r w:rsidRPr="00BF10D9">
        <w:rPr>
          <w:rFonts w:ascii="Arial" w:hAnsi="Arial" w:cs="Arial"/>
          <w:lang w:val="fr-FR"/>
        </w:rPr>
        <w:t>Rabinovitz</w:t>
      </w:r>
      <w:proofErr w:type="spellEnd"/>
      <w:r w:rsidRPr="00BF10D9">
        <w:rPr>
          <w:rFonts w:ascii="Arial" w:hAnsi="Arial" w:cs="Arial"/>
          <w:lang w:val="fr-FR"/>
        </w:rPr>
        <w:t>, B.C. and Fernandez-</w:t>
      </w:r>
      <w:proofErr w:type="spellStart"/>
      <w:r w:rsidRPr="00BF10D9">
        <w:rPr>
          <w:rFonts w:ascii="Arial" w:hAnsi="Arial" w:cs="Arial"/>
          <w:lang w:val="fr-FR"/>
        </w:rPr>
        <w:t>Miyakawa</w:t>
      </w:r>
      <w:proofErr w:type="spellEnd"/>
      <w:r w:rsidRPr="00BF10D9">
        <w:rPr>
          <w:rFonts w:ascii="Arial" w:hAnsi="Arial" w:cs="Arial"/>
          <w:lang w:val="fr-FR"/>
        </w:rPr>
        <w:t xml:space="preserve">, M.E., 2010. </w:t>
      </w:r>
      <w:proofErr w:type="spellStart"/>
      <w:r w:rsidRPr="00BF10D9">
        <w:rPr>
          <w:rFonts w:ascii="Arial" w:hAnsi="Arial" w:cs="Arial"/>
          <w:lang w:val="fr-FR"/>
        </w:rPr>
        <w:t>Effect</w:t>
      </w:r>
      <w:proofErr w:type="spellEnd"/>
      <w:r w:rsidRPr="00BF10D9">
        <w:rPr>
          <w:rFonts w:ascii="Arial" w:hAnsi="Arial" w:cs="Arial"/>
          <w:lang w:val="fr-FR"/>
        </w:rPr>
        <w:t xml:space="preserve"> of tannins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Clostridium perfringens. </w:t>
      </w:r>
      <w:proofErr w:type="spellStart"/>
      <w:r w:rsidRPr="00BF10D9">
        <w:rPr>
          <w:rFonts w:ascii="Arial" w:hAnsi="Arial" w:cs="Arial"/>
          <w:lang w:val="fr-FR"/>
        </w:rPr>
        <w:t>Vet</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145(3-4</w:t>
      </w:r>
      <w:proofErr w:type="gramStart"/>
      <w:r w:rsidRPr="00BF10D9">
        <w:rPr>
          <w:rFonts w:ascii="Arial" w:hAnsi="Arial" w:cs="Arial"/>
          <w:lang w:val="fr-FR"/>
        </w:rPr>
        <w:t>):</w:t>
      </w:r>
      <w:proofErr w:type="gramEnd"/>
      <w:r w:rsidRPr="00BF10D9">
        <w:rPr>
          <w:rFonts w:ascii="Arial" w:hAnsi="Arial" w:cs="Arial"/>
          <w:lang w:val="fr-FR"/>
        </w:rPr>
        <w:t xml:space="preserve"> 308-314. https://doi.org/10.1016/j.vetmic.2010.04.003</w:t>
      </w:r>
    </w:p>
    <w:p w14:paraId="4242C3AB"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Fogue</w:t>
      </w:r>
      <w:proofErr w:type="spellEnd"/>
      <w:r w:rsidRPr="00BF10D9">
        <w:rPr>
          <w:rFonts w:ascii="Arial" w:hAnsi="Arial" w:cs="Arial"/>
          <w:lang w:val="fr-FR"/>
        </w:rPr>
        <w:t xml:space="preserve"> </w:t>
      </w:r>
      <w:proofErr w:type="spellStart"/>
      <w:r w:rsidRPr="00BF10D9">
        <w:rPr>
          <w:rFonts w:ascii="Arial" w:hAnsi="Arial" w:cs="Arial"/>
          <w:lang w:val="fr-FR"/>
        </w:rPr>
        <w:t>Totzo</w:t>
      </w:r>
      <w:proofErr w:type="spellEnd"/>
      <w:r w:rsidRPr="00BF10D9">
        <w:rPr>
          <w:rFonts w:ascii="Arial" w:hAnsi="Arial" w:cs="Arial"/>
          <w:lang w:val="fr-FR"/>
        </w:rPr>
        <w:t xml:space="preserve">, K.C., </w:t>
      </w:r>
      <w:proofErr w:type="spellStart"/>
      <w:r w:rsidRPr="00BF10D9">
        <w:rPr>
          <w:rFonts w:ascii="Arial" w:hAnsi="Arial" w:cs="Arial"/>
          <w:lang w:val="fr-FR"/>
        </w:rPr>
        <w:t>Mafo</w:t>
      </w:r>
      <w:proofErr w:type="spellEnd"/>
      <w:r w:rsidRPr="00BF10D9">
        <w:rPr>
          <w:rFonts w:ascii="Arial" w:hAnsi="Arial" w:cs="Arial"/>
          <w:lang w:val="fr-FR"/>
        </w:rPr>
        <w:t xml:space="preserve"> </w:t>
      </w:r>
      <w:proofErr w:type="spellStart"/>
      <w:r w:rsidRPr="00BF10D9">
        <w:rPr>
          <w:rFonts w:ascii="Arial" w:hAnsi="Arial" w:cs="Arial"/>
          <w:lang w:val="fr-FR"/>
        </w:rPr>
        <w:t>Fokam</w:t>
      </w:r>
      <w:proofErr w:type="spellEnd"/>
      <w:r w:rsidRPr="00BF10D9">
        <w:rPr>
          <w:rFonts w:ascii="Arial" w:hAnsi="Arial" w:cs="Arial"/>
          <w:lang w:val="fr-FR"/>
        </w:rPr>
        <w:t xml:space="preserve">, M.A., </w:t>
      </w:r>
      <w:proofErr w:type="spellStart"/>
      <w:r w:rsidRPr="00BF10D9">
        <w:rPr>
          <w:rFonts w:ascii="Arial" w:hAnsi="Arial" w:cs="Arial"/>
          <w:lang w:val="fr-FR"/>
        </w:rPr>
        <w:t>Ngoupayo</w:t>
      </w:r>
      <w:proofErr w:type="spellEnd"/>
      <w:r w:rsidRPr="00BF10D9">
        <w:rPr>
          <w:rFonts w:ascii="Arial" w:hAnsi="Arial" w:cs="Arial"/>
          <w:lang w:val="fr-FR"/>
        </w:rPr>
        <w:t xml:space="preserve">, J., </w:t>
      </w:r>
      <w:proofErr w:type="spellStart"/>
      <w:r w:rsidRPr="00BF10D9">
        <w:rPr>
          <w:rFonts w:ascii="Arial" w:hAnsi="Arial" w:cs="Arial"/>
          <w:lang w:val="fr-FR"/>
        </w:rPr>
        <w:t>Mfifen</w:t>
      </w:r>
      <w:proofErr w:type="spellEnd"/>
      <w:r w:rsidRPr="00BF10D9">
        <w:rPr>
          <w:rFonts w:ascii="Arial" w:hAnsi="Arial" w:cs="Arial"/>
          <w:lang w:val="fr-FR"/>
        </w:rPr>
        <w:t xml:space="preserve">, 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whole</w:t>
      </w:r>
      <w:proofErr w:type="spellEnd"/>
      <w:r w:rsidRPr="00BF10D9">
        <w:rPr>
          <w:rFonts w:ascii="Arial" w:hAnsi="Arial" w:cs="Arial"/>
          <w:lang w:val="fr-FR"/>
        </w:rPr>
        <w:t xml:space="preserve"> plant </w:t>
      </w:r>
      <w:proofErr w:type="spellStart"/>
      <w:r w:rsidRPr="00BF10D9">
        <w:rPr>
          <w:rFonts w:ascii="Arial" w:hAnsi="Arial" w:cs="Arial"/>
          <w:lang w:val="fr-FR"/>
        </w:rPr>
        <w:t>extracts</w:t>
      </w:r>
      <w:proofErr w:type="spellEnd"/>
      <w:r w:rsidRPr="00BF10D9">
        <w:rPr>
          <w:rFonts w:ascii="Arial" w:hAnsi="Arial" w:cs="Arial"/>
          <w:lang w:val="fr-FR"/>
        </w:rPr>
        <w:t xml:space="preserve"> of </w:t>
      </w:r>
      <w:proofErr w:type="spellStart"/>
      <w:r w:rsidRPr="00BF10D9">
        <w:rPr>
          <w:rFonts w:ascii="Arial" w:hAnsi="Arial" w:cs="Arial"/>
          <w:lang w:val="fr-FR"/>
        </w:rPr>
        <w:t>Setaria</w:t>
      </w:r>
      <w:proofErr w:type="spellEnd"/>
      <w:r w:rsidRPr="00BF10D9">
        <w:rPr>
          <w:rFonts w:ascii="Arial" w:hAnsi="Arial" w:cs="Arial"/>
          <w:lang w:val="fr-FR"/>
        </w:rPr>
        <w:t xml:space="preserve"> </w:t>
      </w:r>
      <w:proofErr w:type="spellStart"/>
      <w:r w:rsidRPr="00BF10D9">
        <w:rPr>
          <w:rFonts w:ascii="Arial" w:hAnsi="Arial" w:cs="Arial"/>
          <w:lang w:val="fr-FR"/>
        </w:rPr>
        <w:t>barbata</w:t>
      </w:r>
      <w:proofErr w:type="spellEnd"/>
      <w:r w:rsidRPr="00BF10D9">
        <w:rPr>
          <w:rFonts w:ascii="Arial" w:hAnsi="Arial" w:cs="Arial"/>
          <w:lang w:val="fr-FR"/>
        </w:rPr>
        <w:t xml:space="preserve"> (</w:t>
      </w:r>
      <w:proofErr w:type="spellStart"/>
      <w:r w:rsidRPr="00BF10D9">
        <w:rPr>
          <w:rFonts w:ascii="Arial" w:hAnsi="Arial" w:cs="Arial"/>
          <w:lang w:val="fr-FR"/>
        </w:rPr>
        <w:t>Poaceae</w:t>
      </w:r>
      <w:proofErr w:type="spellEnd"/>
      <w:r w:rsidRPr="00BF10D9">
        <w:rPr>
          <w:rFonts w:ascii="Arial" w:hAnsi="Arial" w:cs="Arial"/>
          <w:lang w:val="fr-FR"/>
        </w:rPr>
        <w:t xml:space="preserve">) and of </w:t>
      </w:r>
      <w:proofErr w:type="spellStart"/>
      <w:r w:rsidRPr="00BF10D9">
        <w:rPr>
          <w:rFonts w:ascii="Arial" w:hAnsi="Arial" w:cs="Arial"/>
          <w:lang w:val="fr-FR"/>
        </w:rPr>
        <w:t>leaves</w:t>
      </w:r>
      <w:proofErr w:type="spellEnd"/>
      <w:r w:rsidRPr="00BF10D9">
        <w:rPr>
          <w:rFonts w:ascii="Arial" w:hAnsi="Arial" w:cs="Arial"/>
          <w:lang w:val="fr-FR"/>
        </w:rPr>
        <w:t xml:space="preserve"> and fruits of Pinus </w:t>
      </w:r>
      <w:proofErr w:type="spellStart"/>
      <w:r w:rsidRPr="00BF10D9">
        <w:rPr>
          <w:rFonts w:ascii="Arial" w:hAnsi="Arial" w:cs="Arial"/>
          <w:lang w:val="fr-FR"/>
        </w:rPr>
        <w:t>sylvestris</w:t>
      </w:r>
      <w:proofErr w:type="spellEnd"/>
      <w:r w:rsidRPr="00BF10D9">
        <w:rPr>
          <w:rFonts w:ascii="Arial" w:hAnsi="Arial" w:cs="Arial"/>
          <w:lang w:val="fr-FR"/>
        </w:rPr>
        <w:t xml:space="preserve"> (</w:t>
      </w:r>
      <w:proofErr w:type="spellStart"/>
      <w:r w:rsidRPr="00BF10D9">
        <w:rPr>
          <w:rFonts w:ascii="Arial" w:hAnsi="Arial" w:cs="Arial"/>
          <w:lang w:val="fr-FR"/>
        </w:rPr>
        <w:t>Pinaceae</w:t>
      </w:r>
      <w:proofErr w:type="spellEnd"/>
      <w:r w:rsidRPr="00BF10D9">
        <w:rPr>
          <w:rFonts w:ascii="Arial" w:hAnsi="Arial" w:cs="Arial"/>
          <w:lang w:val="fr-FR"/>
        </w:rPr>
        <w:t xml:space="preserve">). World J. Pharm. </w:t>
      </w:r>
      <w:proofErr w:type="spellStart"/>
      <w:r w:rsidRPr="00BF10D9">
        <w:rPr>
          <w:rFonts w:ascii="Arial" w:hAnsi="Arial" w:cs="Arial"/>
          <w:lang w:val="fr-FR"/>
        </w:rPr>
        <w:t>Res</w:t>
      </w:r>
      <w:proofErr w:type="spellEnd"/>
      <w:r w:rsidRPr="00BF10D9">
        <w:rPr>
          <w:rFonts w:ascii="Arial" w:hAnsi="Arial" w:cs="Arial"/>
          <w:lang w:val="fr-FR"/>
        </w:rPr>
        <w:t>., 12(11</w:t>
      </w:r>
      <w:proofErr w:type="gramStart"/>
      <w:r w:rsidRPr="00BF10D9">
        <w:rPr>
          <w:rFonts w:ascii="Arial" w:hAnsi="Arial" w:cs="Arial"/>
          <w:lang w:val="fr-FR"/>
        </w:rPr>
        <w:t>):</w:t>
      </w:r>
      <w:proofErr w:type="gramEnd"/>
      <w:r w:rsidRPr="00BF10D9">
        <w:rPr>
          <w:rFonts w:ascii="Arial" w:hAnsi="Arial" w:cs="Arial"/>
          <w:lang w:val="fr-FR"/>
        </w:rPr>
        <w:t xml:space="preserve"> 15-30</w:t>
      </w:r>
    </w:p>
    <w:p w14:paraId="16595E9A"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Monthé</w:t>
      </w:r>
      <w:proofErr w:type="spellEnd"/>
      <w:r w:rsidRPr="00BF10D9">
        <w:rPr>
          <w:rFonts w:ascii="Arial" w:hAnsi="Arial" w:cs="Arial"/>
          <w:lang w:val="fr-FR"/>
        </w:rPr>
        <w:t xml:space="preserve">, V.I. et al., 2021. </w:t>
      </w:r>
      <w:proofErr w:type="spellStart"/>
      <w:r w:rsidRPr="00BF10D9">
        <w:rPr>
          <w:rFonts w:ascii="Arial" w:hAnsi="Arial" w:cs="Arial"/>
          <w:lang w:val="fr-FR"/>
        </w:rPr>
        <w:t>Microbiological</w:t>
      </w:r>
      <w:proofErr w:type="spellEnd"/>
      <w:r w:rsidRPr="00BF10D9">
        <w:rPr>
          <w:rFonts w:ascii="Arial" w:hAnsi="Arial" w:cs="Arial"/>
          <w:lang w:val="fr-FR"/>
        </w:rPr>
        <w:t xml:space="preserve"> control in </w:t>
      </w:r>
      <w:proofErr w:type="spellStart"/>
      <w:r w:rsidRPr="00BF10D9">
        <w:rPr>
          <w:rFonts w:ascii="Arial" w:hAnsi="Arial" w:cs="Arial"/>
          <w:lang w:val="fr-FR"/>
        </w:rPr>
        <w:t>hospital</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environment</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Calibrating</w:t>
      </w:r>
      <w:proofErr w:type="spellEnd"/>
      <w:r w:rsidRPr="00BF10D9">
        <w:rPr>
          <w:rFonts w:ascii="Arial" w:hAnsi="Arial" w:cs="Arial"/>
          <w:lang w:val="fr-FR"/>
        </w:rPr>
        <w:t xml:space="preserve"> </w:t>
      </w:r>
      <w:proofErr w:type="spellStart"/>
      <w:r w:rsidRPr="00BF10D9">
        <w:rPr>
          <w:rFonts w:ascii="Arial" w:hAnsi="Arial" w:cs="Arial"/>
          <w:lang w:val="fr-FR"/>
        </w:rPr>
        <w:t>enumeration</w:t>
      </w:r>
      <w:proofErr w:type="spellEnd"/>
      <w:r w:rsidRPr="00BF10D9">
        <w:rPr>
          <w:rFonts w:ascii="Arial" w:hAnsi="Arial" w:cs="Arial"/>
          <w:lang w:val="fr-FR"/>
        </w:rPr>
        <w:t xml:space="preserve"> of </w:t>
      </w:r>
      <w:proofErr w:type="spellStart"/>
      <w:r w:rsidRPr="00BF10D9">
        <w:rPr>
          <w:rFonts w:ascii="Arial" w:hAnsi="Arial" w:cs="Arial"/>
          <w:lang w:val="fr-FR"/>
        </w:rPr>
        <w:t>bacteria</w:t>
      </w:r>
      <w:proofErr w:type="spellEnd"/>
      <w:r w:rsidRPr="00BF10D9">
        <w:rPr>
          <w:rFonts w:ascii="Arial" w:hAnsi="Arial" w:cs="Arial"/>
          <w:lang w:val="fr-FR"/>
        </w:rPr>
        <w:t xml:space="preserve"> on flat surfaces </w:t>
      </w:r>
      <w:proofErr w:type="spellStart"/>
      <w:r w:rsidRPr="00BF10D9">
        <w:rPr>
          <w:rFonts w:ascii="Arial" w:hAnsi="Arial" w:cs="Arial"/>
          <w:lang w:val="fr-FR"/>
        </w:rPr>
        <w:t>with</w:t>
      </w:r>
      <w:proofErr w:type="spellEnd"/>
      <w:r w:rsidRPr="00BF10D9">
        <w:rPr>
          <w:rFonts w:ascii="Arial" w:hAnsi="Arial" w:cs="Arial"/>
          <w:lang w:val="fr-FR"/>
        </w:rPr>
        <w:t xml:space="preserve"> </w:t>
      </w:r>
      <w:proofErr w:type="spellStart"/>
      <w:r w:rsidRPr="00BF10D9">
        <w:rPr>
          <w:rFonts w:ascii="Arial" w:hAnsi="Arial" w:cs="Arial"/>
          <w:lang w:val="fr-FR"/>
        </w:rPr>
        <w:t>wet</w:t>
      </w:r>
      <w:proofErr w:type="spellEnd"/>
      <w:r w:rsidRPr="00BF10D9">
        <w:rPr>
          <w:rFonts w:ascii="Arial" w:hAnsi="Arial" w:cs="Arial"/>
          <w:lang w:val="fr-FR"/>
        </w:rPr>
        <w:t xml:space="preserve"> </w:t>
      </w:r>
      <w:proofErr w:type="spellStart"/>
      <w:r w:rsidRPr="00BF10D9">
        <w:rPr>
          <w:rFonts w:ascii="Arial" w:hAnsi="Arial" w:cs="Arial"/>
          <w:lang w:val="fr-FR"/>
        </w:rPr>
        <w:t>swab</w:t>
      </w:r>
      <w:proofErr w:type="spellEnd"/>
      <w:r w:rsidRPr="00BF10D9">
        <w:rPr>
          <w:rFonts w:ascii="Arial" w:hAnsi="Arial" w:cs="Arial"/>
          <w:lang w:val="fr-FR"/>
        </w:rPr>
        <w:t xml:space="preserve">. Int. J. </w:t>
      </w:r>
      <w:proofErr w:type="spellStart"/>
      <w:r w:rsidRPr="00BF10D9">
        <w:rPr>
          <w:rFonts w:ascii="Arial" w:hAnsi="Arial" w:cs="Arial"/>
          <w:lang w:val="fr-FR"/>
        </w:rPr>
        <w:t>Curr</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App. </w:t>
      </w:r>
      <w:proofErr w:type="spellStart"/>
      <w:r w:rsidRPr="00BF10D9">
        <w:rPr>
          <w:rFonts w:ascii="Arial" w:hAnsi="Arial" w:cs="Arial"/>
          <w:lang w:val="fr-FR"/>
        </w:rPr>
        <w:t>Sci</w:t>
      </w:r>
      <w:proofErr w:type="spellEnd"/>
      <w:r w:rsidRPr="00BF10D9">
        <w:rPr>
          <w:rFonts w:ascii="Arial" w:hAnsi="Arial" w:cs="Arial"/>
          <w:lang w:val="fr-FR"/>
        </w:rPr>
        <w:t>., 10(02</w:t>
      </w:r>
      <w:proofErr w:type="gramStart"/>
      <w:r w:rsidRPr="00BF10D9">
        <w:rPr>
          <w:rFonts w:ascii="Arial" w:hAnsi="Arial" w:cs="Arial"/>
          <w:lang w:val="fr-FR"/>
        </w:rPr>
        <w:t>):</w:t>
      </w:r>
      <w:proofErr w:type="gramEnd"/>
      <w:r w:rsidRPr="00BF10D9">
        <w:rPr>
          <w:rFonts w:ascii="Arial" w:hAnsi="Arial" w:cs="Arial"/>
          <w:lang w:val="fr-FR"/>
        </w:rPr>
        <w:t xml:space="preserve"> 452-461. https://doi.org/10.20546/ijcmas.2021.1002.053.</w:t>
      </w:r>
    </w:p>
    <w:p w14:paraId="7D8EE780"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Djogang</w:t>
      </w:r>
      <w:proofErr w:type="spellEnd"/>
      <w:r w:rsidRPr="00BF10D9">
        <w:rPr>
          <w:rFonts w:ascii="Arial" w:hAnsi="Arial" w:cs="Arial"/>
          <w:lang w:val="fr-FR"/>
        </w:rPr>
        <w:t xml:space="preserve">, A.M. et al., 2020. </w:t>
      </w:r>
      <w:proofErr w:type="spellStart"/>
      <w:r w:rsidRPr="00BF10D9">
        <w:rPr>
          <w:rFonts w:ascii="Arial" w:hAnsi="Arial" w:cs="Arial"/>
          <w:lang w:val="fr-FR"/>
        </w:rPr>
        <w:t>Mitigating</w:t>
      </w:r>
      <w:proofErr w:type="spellEnd"/>
      <w:r w:rsidRPr="00BF10D9">
        <w:rPr>
          <w:rFonts w:ascii="Arial" w:hAnsi="Arial" w:cs="Arial"/>
          <w:lang w:val="fr-FR"/>
        </w:rPr>
        <w:t xml:space="preserve"> </w:t>
      </w:r>
      <w:proofErr w:type="spellStart"/>
      <w:r w:rsidRPr="00BF10D9">
        <w:rPr>
          <w:rFonts w:ascii="Arial" w:hAnsi="Arial" w:cs="Arial"/>
          <w:lang w:val="fr-FR"/>
        </w:rPr>
        <w:t>hospital</w:t>
      </w:r>
      <w:proofErr w:type="spellEnd"/>
      <w:r w:rsidRPr="00BF10D9">
        <w:rPr>
          <w:rFonts w:ascii="Arial" w:hAnsi="Arial" w:cs="Arial"/>
          <w:lang w:val="fr-FR"/>
        </w:rPr>
        <w:t xml:space="preserve"> infection </w:t>
      </w:r>
      <w:proofErr w:type="spellStart"/>
      <w:r w:rsidRPr="00BF10D9">
        <w:rPr>
          <w:rFonts w:ascii="Arial" w:hAnsi="Arial" w:cs="Arial"/>
          <w:lang w:val="fr-FR"/>
        </w:rPr>
        <w:t>risks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holistic</w:t>
      </w:r>
      <w:proofErr w:type="spellEnd"/>
      <w:r w:rsidRPr="00BF10D9">
        <w:rPr>
          <w:rFonts w:ascii="Arial" w:hAnsi="Arial" w:cs="Arial"/>
          <w:lang w:val="fr-FR"/>
        </w:rPr>
        <w:t xml:space="preserve"> </w:t>
      </w:r>
      <w:proofErr w:type="spellStart"/>
      <w:r w:rsidRPr="00BF10D9">
        <w:rPr>
          <w:rFonts w:ascii="Arial" w:hAnsi="Arial" w:cs="Arial"/>
          <w:lang w:val="fr-FR"/>
        </w:rPr>
        <w:t>policy</w:t>
      </w:r>
      <w:proofErr w:type="spellEnd"/>
      <w:r w:rsidRPr="00BF10D9">
        <w:rPr>
          <w:rFonts w:ascii="Arial" w:hAnsi="Arial" w:cs="Arial"/>
          <w:lang w:val="fr-FR"/>
        </w:rPr>
        <w:t xml:space="preserve"> to </w:t>
      </w:r>
      <w:proofErr w:type="spellStart"/>
      <w:r w:rsidRPr="00BF10D9">
        <w:rPr>
          <w:rFonts w:ascii="Arial" w:hAnsi="Arial" w:cs="Arial"/>
          <w:lang w:val="fr-FR"/>
        </w:rPr>
        <w:t>meet</w:t>
      </w:r>
      <w:proofErr w:type="spellEnd"/>
      <w:r w:rsidRPr="00BF10D9">
        <w:rPr>
          <w:rFonts w:ascii="Arial" w:hAnsi="Arial" w:cs="Arial"/>
          <w:lang w:val="fr-FR"/>
        </w:rPr>
        <w:t xml:space="preserve"> the challenge. World. J. Pharm. Pharm. </w:t>
      </w:r>
      <w:proofErr w:type="spellStart"/>
      <w:r w:rsidRPr="00BF10D9">
        <w:rPr>
          <w:rFonts w:ascii="Arial" w:hAnsi="Arial" w:cs="Arial"/>
          <w:lang w:val="fr-FR"/>
        </w:rPr>
        <w:t>Sci</w:t>
      </w:r>
      <w:proofErr w:type="spellEnd"/>
      <w:r w:rsidRPr="00BF10D9">
        <w:rPr>
          <w:rFonts w:ascii="Arial" w:hAnsi="Arial" w:cs="Arial"/>
          <w:lang w:val="fr-FR"/>
        </w:rPr>
        <w:t>., 9(3</w:t>
      </w:r>
      <w:proofErr w:type="gramStart"/>
      <w:r w:rsidRPr="00BF10D9">
        <w:rPr>
          <w:rFonts w:ascii="Arial" w:hAnsi="Arial" w:cs="Arial"/>
          <w:lang w:val="fr-FR"/>
        </w:rPr>
        <w:t>):</w:t>
      </w:r>
      <w:proofErr w:type="gramEnd"/>
      <w:r w:rsidRPr="00BF10D9">
        <w:rPr>
          <w:rFonts w:ascii="Arial" w:hAnsi="Arial" w:cs="Arial"/>
          <w:lang w:val="fr-FR"/>
        </w:rPr>
        <w:t xml:space="preserve"> 518 – 35.</w:t>
      </w:r>
    </w:p>
    <w:p w14:paraId="6E54041F"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lastRenderedPageBreak/>
        <w:t>Garcia-Salas, P., Morales-Soto, A., Segura-</w:t>
      </w:r>
      <w:proofErr w:type="spellStart"/>
      <w:r w:rsidRPr="00BF10D9">
        <w:rPr>
          <w:rFonts w:ascii="Arial" w:hAnsi="Arial" w:cs="Arial"/>
          <w:lang w:val="fr-FR"/>
        </w:rPr>
        <w:t>Carretero</w:t>
      </w:r>
      <w:proofErr w:type="spellEnd"/>
      <w:r w:rsidRPr="00BF10D9">
        <w:rPr>
          <w:rFonts w:ascii="Arial" w:hAnsi="Arial" w:cs="Arial"/>
          <w:lang w:val="fr-FR"/>
        </w:rPr>
        <w:t xml:space="preserve">, A. and Fernández-Gutiérrez, A., 2010. </w:t>
      </w:r>
      <w:proofErr w:type="spellStart"/>
      <w:r w:rsidRPr="00BF10D9">
        <w:rPr>
          <w:rFonts w:ascii="Arial" w:hAnsi="Arial" w:cs="Arial"/>
          <w:lang w:val="fr-FR"/>
        </w:rPr>
        <w:t>Phenolic</w:t>
      </w:r>
      <w:proofErr w:type="spellEnd"/>
      <w:r w:rsidRPr="00BF10D9">
        <w:rPr>
          <w:rFonts w:ascii="Arial" w:hAnsi="Arial" w:cs="Arial"/>
          <w:lang w:val="fr-FR"/>
        </w:rPr>
        <w:t xml:space="preserve">-compound-extraction </w:t>
      </w:r>
      <w:proofErr w:type="spellStart"/>
      <w:r w:rsidRPr="00BF10D9">
        <w:rPr>
          <w:rFonts w:ascii="Arial" w:hAnsi="Arial" w:cs="Arial"/>
          <w:lang w:val="fr-FR"/>
        </w:rPr>
        <w:t>systems</w:t>
      </w:r>
      <w:proofErr w:type="spellEnd"/>
      <w:r w:rsidRPr="00BF10D9">
        <w:rPr>
          <w:rFonts w:ascii="Arial" w:hAnsi="Arial" w:cs="Arial"/>
          <w:lang w:val="fr-FR"/>
        </w:rPr>
        <w:t xml:space="preserve"> for fruit and </w:t>
      </w:r>
      <w:proofErr w:type="spellStart"/>
      <w:r w:rsidRPr="00BF10D9">
        <w:rPr>
          <w:rFonts w:ascii="Arial" w:hAnsi="Arial" w:cs="Arial"/>
          <w:lang w:val="fr-FR"/>
        </w:rPr>
        <w:t>vegetable</w:t>
      </w:r>
      <w:proofErr w:type="spellEnd"/>
      <w:r w:rsidRPr="00BF10D9">
        <w:rPr>
          <w:rFonts w:ascii="Arial" w:hAnsi="Arial" w:cs="Arial"/>
          <w:lang w:val="fr-FR"/>
        </w:rPr>
        <w:t xml:space="preserve"> </w:t>
      </w:r>
      <w:proofErr w:type="spellStart"/>
      <w:r w:rsidRPr="00BF10D9">
        <w:rPr>
          <w:rFonts w:ascii="Arial" w:hAnsi="Arial" w:cs="Arial"/>
          <w:lang w:val="fr-FR"/>
        </w:rPr>
        <w:t>samples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15:</w:t>
      </w:r>
      <w:proofErr w:type="gramEnd"/>
      <w:r w:rsidRPr="00BF10D9">
        <w:rPr>
          <w:rFonts w:ascii="Arial" w:hAnsi="Arial" w:cs="Arial"/>
          <w:lang w:val="fr-FR"/>
        </w:rPr>
        <w:t>8813-8826. https://doi.org/10.3390/molecules15128813.</w:t>
      </w:r>
    </w:p>
    <w:p w14:paraId="282F0563"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Gargi, B., </w:t>
      </w:r>
      <w:proofErr w:type="spellStart"/>
      <w:r w:rsidRPr="00BF10D9">
        <w:rPr>
          <w:rFonts w:ascii="Arial" w:hAnsi="Arial" w:cs="Arial"/>
          <w:lang w:val="fr-FR"/>
        </w:rPr>
        <w:t>Semwal</w:t>
      </w:r>
      <w:proofErr w:type="spellEnd"/>
      <w:r w:rsidRPr="00BF10D9">
        <w:rPr>
          <w:rFonts w:ascii="Arial" w:hAnsi="Arial" w:cs="Arial"/>
          <w:lang w:val="fr-FR"/>
        </w:rPr>
        <w:t xml:space="preserve">, P., </w:t>
      </w:r>
      <w:proofErr w:type="spellStart"/>
      <w:r w:rsidRPr="00BF10D9">
        <w:rPr>
          <w:rFonts w:ascii="Arial" w:hAnsi="Arial" w:cs="Arial"/>
          <w:lang w:val="fr-FR"/>
        </w:rPr>
        <w:t>Jameel</w:t>
      </w:r>
      <w:proofErr w:type="spellEnd"/>
      <w:r w:rsidRPr="00BF10D9">
        <w:rPr>
          <w:rFonts w:ascii="Arial" w:hAnsi="Arial" w:cs="Arial"/>
          <w:lang w:val="fr-FR"/>
        </w:rPr>
        <w:t xml:space="preserve">, </w:t>
      </w:r>
      <w:proofErr w:type="spellStart"/>
      <w:r w:rsidRPr="00BF10D9">
        <w:rPr>
          <w:rFonts w:ascii="Arial" w:hAnsi="Arial" w:cs="Arial"/>
          <w:lang w:val="fr-FR"/>
        </w:rPr>
        <w:t>Pasha</w:t>
      </w:r>
      <w:proofErr w:type="spellEnd"/>
      <w:r w:rsidRPr="00BF10D9">
        <w:rPr>
          <w:rFonts w:ascii="Arial" w:hAnsi="Arial" w:cs="Arial"/>
          <w:lang w:val="fr-FR"/>
        </w:rPr>
        <w:t xml:space="preserve">, S.B., Singh, P., </w:t>
      </w:r>
      <w:proofErr w:type="spellStart"/>
      <w:r w:rsidRPr="00BF10D9">
        <w:rPr>
          <w:rFonts w:ascii="Arial" w:hAnsi="Arial" w:cs="Arial"/>
          <w:lang w:val="fr-FR"/>
        </w:rPr>
        <w:t>Painuli</w:t>
      </w:r>
      <w:proofErr w:type="spellEnd"/>
      <w:r w:rsidRPr="00BF10D9">
        <w:rPr>
          <w:rFonts w:ascii="Arial" w:hAnsi="Arial" w:cs="Arial"/>
          <w:lang w:val="fr-FR"/>
        </w:rPr>
        <w:t xml:space="preserve">, S., </w:t>
      </w:r>
      <w:proofErr w:type="spellStart"/>
      <w:r w:rsidRPr="00BF10D9">
        <w:rPr>
          <w:rFonts w:ascii="Arial" w:hAnsi="Arial" w:cs="Arial"/>
          <w:lang w:val="fr-FR"/>
        </w:rPr>
        <w:t>Thapliyal</w:t>
      </w:r>
      <w:proofErr w:type="spellEnd"/>
      <w:r w:rsidRPr="00BF10D9">
        <w:rPr>
          <w:rFonts w:ascii="Arial" w:hAnsi="Arial" w:cs="Arial"/>
          <w:lang w:val="fr-FR"/>
        </w:rPr>
        <w:t xml:space="preserve">, A. et al., 2022. </w:t>
      </w:r>
      <w:proofErr w:type="spellStart"/>
      <w:r w:rsidRPr="00BF10D9">
        <w:rPr>
          <w:rFonts w:ascii="Arial" w:hAnsi="Arial" w:cs="Arial"/>
          <w:lang w:val="fr-FR"/>
        </w:rPr>
        <w:t>Revisiting</w:t>
      </w:r>
      <w:proofErr w:type="spellEnd"/>
      <w:r w:rsidRPr="00BF10D9">
        <w:rPr>
          <w:rFonts w:ascii="Arial" w:hAnsi="Arial" w:cs="Arial"/>
          <w:lang w:val="fr-FR"/>
        </w:rPr>
        <w:t xml:space="preserve"> the </w:t>
      </w:r>
      <w:proofErr w:type="spellStart"/>
      <w:r w:rsidRPr="00BF10D9">
        <w:rPr>
          <w:rFonts w:ascii="Arial" w:hAnsi="Arial" w:cs="Arial"/>
          <w:lang w:val="fr-FR"/>
        </w:rPr>
        <w:t>Nutritional</w:t>
      </w:r>
      <w:proofErr w:type="spellEnd"/>
      <w:r w:rsidRPr="00BF10D9">
        <w:rPr>
          <w:rFonts w:ascii="Arial" w:hAnsi="Arial" w:cs="Arial"/>
          <w:lang w:val="fr-FR"/>
        </w:rPr>
        <w:t xml:space="preserve">, Chemical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27(20</w:t>
      </w:r>
      <w:proofErr w:type="gramStart"/>
      <w:r w:rsidRPr="00BF10D9">
        <w:rPr>
          <w:rFonts w:ascii="Arial" w:hAnsi="Arial" w:cs="Arial"/>
          <w:lang w:val="fr-FR"/>
        </w:rPr>
        <w:t>):</w:t>
      </w:r>
      <w:proofErr w:type="gramEnd"/>
      <w:r w:rsidRPr="00BF10D9">
        <w:rPr>
          <w:rFonts w:ascii="Arial" w:hAnsi="Arial" w:cs="Arial"/>
          <w:lang w:val="fr-FR"/>
        </w:rPr>
        <w:t xml:space="preserve"> 6877. https://doi.org/10.3390/molecules27206877</w:t>
      </w:r>
    </w:p>
    <w:p w14:paraId="2EEE5EA3"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Hamdi </w:t>
      </w:r>
      <w:proofErr w:type="spellStart"/>
      <w:r w:rsidRPr="00BF10D9">
        <w:rPr>
          <w:rFonts w:ascii="Arial" w:hAnsi="Arial" w:cs="Arial"/>
          <w:lang w:val="fr-FR"/>
        </w:rPr>
        <w:t>Abdulkareem</w:t>
      </w:r>
      <w:proofErr w:type="spellEnd"/>
      <w:r w:rsidRPr="00BF10D9">
        <w:rPr>
          <w:rFonts w:ascii="Arial" w:hAnsi="Arial" w:cs="Arial"/>
          <w:lang w:val="fr-FR"/>
        </w:rPr>
        <w:t xml:space="preserve">, M., Abbas </w:t>
      </w:r>
      <w:proofErr w:type="spellStart"/>
      <w:r w:rsidRPr="00BF10D9">
        <w:rPr>
          <w:rFonts w:ascii="Arial" w:hAnsi="Arial" w:cs="Arial"/>
          <w:lang w:val="fr-FR"/>
        </w:rPr>
        <w:t>Abood</w:t>
      </w:r>
      <w:proofErr w:type="spellEnd"/>
      <w:r w:rsidRPr="00BF10D9">
        <w:rPr>
          <w:rFonts w:ascii="Arial" w:hAnsi="Arial" w:cs="Arial"/>
          <w:lang w:val="fr-FR"/>
        </w:rPr>
        <w:t xml:space="preserve">, I., Munis </w:t>
      </w:r>
      <w:proofErr w:type="spellStart"/>
      <w:r w:rsidRPr="00BF10D9">
        <w:rPr>
          <w:rFonts w:ascii="Arial" w:hAnsi="Arial" w:cs="Arial"/>
          <w:lang w:val="fr-FR"/>
        </w:rPr>
        <w:t>Dakheel</w:t>
      </w:r>
      <w:proofErr w:type="spellEnd"/>
      <w:r w:rsidRPr="00BF10D9">
        <w:rPr>
          <w:rFonts w:ascii="Arial" w:hAnsi="Arial" w:cs="Arial"/>
          <w:lang w:val="fr-FR"/>
        </w:rPr>
        <w:t xml:space="preserve">, M., 2022.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of Tannin </w:t>
      </w:r>
      <w:proofErr w:type="spellStart"/>
      <w:r w:rsidRPr="00BF10D9">
        <w:rPr>
          <w:rFonts w:ascii="Arial" w:hAnsi="Arial" w:cs="Arial"/>
          <w:lang w:val="fr-FR"/>
        </w:rPr>
        <w:t>Extract</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E. coli </w:t>
      </w:r>
      <w:proofErr w:type="spellStart"/>
      <w:r w:rsidRPr="00BF10D9">
        <w:rPr>
          <w:rFonts w:ascii="Arial" w:hAnsi="Arial" w:cs="Arial"/>
          <w:lang w:val="fr-FR"/>
        </w:rPr>
        <w:t>Isolates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Sheep</w:t>
      </w:r>
      <w:proofErr w:type="spellEnd"/>
      <w:r w:rsidRPr="00BF10D9">
        <w:rPr>
          <w:rFonts w:ascii="Arial" w:hAnsi="Arial" w:cs="Arial"/>
          <w:lang w:val="fr-FR"/>
        </w:rPr>
        <w:t xml:space="preserve">. Arch. </w:t>
      </w:r>
      <w:proofErr w:type="spellStart"/>
      <w:r w:rsidRPr="00BF10D9">
        <w:rPr>
          <w:rFonts w:ascii="Arial" w:hAnsi="Arial" w:cs="Arial"/>
          <w:lang w:val="fr-FR"/>
        </w:rPr>
        <w:t>Razi</w:t>
      </w:r>
      <w:proofErr w:type="spellEnd"/>
      <w:r w:rsidRPr="00BF10D9">
        <w:rPr>
          <w:rFonts w:ascii="Arial" w:hAnsi="Arial" w:cs="Arial"/>
          <w:lang w:val="fr-FR"/>
        </w:rPr>
        <w:t>. Institute, 77(2</w:t>
      </w:r>
      <w:proofErr w:type="gramStart"/>
      <w:r w:rsidRPr="00BF10D9">
        <w:rPr>
          <w:rFonts w:ascii="Arial" w:hAnsi="Arial" w:cs="Arial"/>
          <w:lang w:val="fr-FR"/>
        </w:rPr>
        <w:t>):</w:t>
      </w:r>
      <w:proofErr w:type="gramEnd"/>
      <w:r w:rsidRPr="00BF10D9">
        <w:rPr>
          <w:rFonts w:ascii="Arial" w:hAnsi="Arial" w:cs="Arial"/>
          <w:lang w:val="fr-FR"/>
        </w:rPr>
        <w:t xml:space="preserve"> 697-701. https://doi.org/10.22092/ari.2022.356982.1955</w:t>
      </w:r>
    </w:p>
    <w:p w14:paraId="09B16B7C"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Hannani</w:t>
      </w:r>
      <w:proofErr w:type="spellEnd"/>
      <w:r w:rsidRPr="00BF10D9">
        <w:rPr>
          <w:rFonts w:ascii="Arial" w:hAnsi="Arial" w:cs="Arial"/>
          <w:lang w:val="fr-FR"/>
        </w:rPr>
        <w:t xml:space="preserve">, A., </w:t>
      </w:r>
      <w:proofErr w:type="spellStart"/>
      <w:r w:rsidRPr="00BF10D9">
        <w:rPr>
          <w:rFonts w:ascii="Arial" w:hAnsi="Arial" w:cs="Arial"/>
          <w:lang w:val="fr-FR"/>
        </w:rPr>
        <w:t>Kaliche</w:t>
      </w:r>
      <w:proofErr w:type="spellEnd"/>
      <w:r w:rsidRPr="00BF10D9">
        <w:rPr>
          <w:rFonts w:ascii="Arial" w:hAnsi="Arial" w:cs="Arial"/>
          <w:lang w:val="fr-FR"/>
        </w:rPr>
        <w:t xml:space="preserve">, F.Z. and </w:t>
      </w:r>
      <w:proofErr w:type="spellStart"/>
      <w:r w:rsidRPr="00BF10D9">
        <w:rPr>
          <w:rFonts w:ascii="Arial" w:hAnsi="Arial" w:cs="Arial"/>
          <w:lang w:val="fr-FR"/>
        </w:rPr>
        <w:t>Djemoui</w:t>
      </w:r>
      <w:proofErr w:type="spellEnd"/>
      <w:r w:rsidRPr="00BF10D9">
        <w:rPr>
          <w:rFonts w:ascii="Arial" w:hAnsi="Arial" w:cs="Arial"/>
          <w:lang w:val="fr-FR"/>
        </w:rPr>
        <w:t xml:space="preserve">, F., 2014. </w:t>
      </w:r>
      <w:proofErr w:type="spellStart"/>
      <w:r w:rsidRPr="00BF10D9">
        <w:rPr>
          <w:rFonts w:ascii="Arial" w:hAnsi="Arial" w:cs="Arial"/>
          <w:lang w:val="fr-FR"/>
        </w:rPr>
        <w:t>Phytochemical</w:t>
      </w:r>
      <w:proofErr w:type="spellEnd"/>
      <w:r w:rsidRPr="00BF10D9">
        <w:rPr>
          <w:rFonts w:ascii="Arial" w:hAnsi="Arial" w:cs="Arial"/>
          <w:lang w:val="fr-FR"/>
        </w:rPr>
        <w:t xml:space="preserve"> expression of plants (</w:t>
      </w:r>
      <w:proofErr w:type="spellStart"/>
      <w:r w:rsidRPr="00BF10D9">
        <w:rPr>
          <w:rFonts w:ascii="Arial" w:hAnsi="Arial" w:cs="Arial"/>
          <w:lang w:val="fr-FR"/>
        </w:rPr>
        <w:t>Fabaceae</w:t>
      </w:r>
      <w:proofErr w:type="spellEnd"/>
      <w:r w:rsidRPr="00BF10D9">
        <w:rPr>
          <w:rFonts w:ascii="Arial" w:hAnsi="Arial" w:cs="Arial"/>
          <w:lang w:val="fr-FR"/>
        </w:rPr>
        <w:t xml:space="preserve">) in the face of </w:t>
      </w:r>
      <w:proofErr w:type="spellStart"/>
      <w:r w:rsidRPr="00BF10D9">
        <w:rPr>
          <w:rFonts w:ascii="Arial" w:hAnsi="Arial" w:cs="Arial"/>
          <w:lang w:val="fr-FR"/>
        </w:rPr>
        <w:t>ecological</w:t>
      </w:r>
      <w:proofErr w:type="spellEnd"/>
      <w:r w:rsidRPr="00BF10D9">
        <w:rPr>
          <w:rFonts w:ascii="Arial" w:hAnsi="Arial" w:cs="Arial"/>
          <w:lang w:val="fr-FR"/>
        </w:rPr>
        <w:t xml:space="preserve"> stress.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Kasdi</w:t>
      </w:r>
      <w:proofErr w:type="spellEnd"/>
      <w:r w:rsidRPr="00BF10D9">
        <w:rPr>
          <w:rFonts w:ascii="Arial" w:hAnsi="Arial" w:cs="Arial"/>
          <w:lang w:val="fr-FR"/>
        </w:rPr>
        <w:t xml:space="preserve"> </w:t>
      </w:r>
      <w:proofErr w:type="spellStart"/>
      <w:r w:rsidRPr="00BF10D9">
        <w:rPr>
          <w:rFonts w:ascii="Arial" w:hAnsi="Arial" w:cs="Arial"/>
          <w:lang w:val="fr-FR"/>
        </w:rPr>
        <w:t>Merbah</w:t>
      </w:r>
      <w:proofErr w:type="spellEnd"/>
      <w:r w:rsidRPr="00BF10D9">
        <w:rPr>
          <w:rFonts w:ascii="Arial" w:hAnsi="Arial" w:cs="Arial"/>
          <w:lang w:val="fr-FR"/>
        </w:rPr>
        <w:t xml:space="preserve"> </w:t>
      </w:r>
      <w:proofErr w:type="spellStart"/>
      <w:r w:rsidRPr="00BF10D9">
        <w:rPr>
          <w:rFonts w:ascii="Arial" w:hAnsi="Arial" w:cs="Arial"/>
          <w:lang w:val="fr-FR"/>
        </w:rPr>
        <w:t>University</w:t>
      </w:r>
      <w:proofErr w:type="spellEnd"/>
      <w:r w:rsidRPr="00BF10D9">
        <w:rPr>
          <w:rFonts w:ascii="Arial" w:hAnsi="Arial" w:cs="Arial"/>
          <w:lang w:val="fr-FR"/>
        </w:rPr>
        <w:t>, Ouargla, Algeria. (French) https://dspace.univ-ouargla.dz/jspui/handle/123456789/8124</w:t>
      </w:r>
    </w:p>
    <w:p w14:paraId="76752678"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Koné </w:t>
      </w:r>
      <w:proofErr w:type="spellStart"/>
      <w:r w:rsidRPr="00BF10D9">
        <w:rPr>
          <w:rFonts w:ascii="Arial" w:hAnsi="Arial" w:cs="Arial"/>
          <w:lang w:val="fr-FR"/>
        </w:rPr>
        <w:t>Kouwelton</w:t>
      </w:r>
      <w:proofErr w:type="spellEnd"/>
      <w:r w:rsidRPr="00BF10D9">
        <w:rPr>
          <w:rFonts w:ascii="Arial" w:hAnsi="Arial" w:cs="Arial"/>
          <w:lang w:val="fr-FR"/>
        </w:rPr>
        <w:t xml:space="preserve">, P.F., Soro, Y. and Siaka, S., 2017. </w:t>
      </w:r>
      <w:proofErr w:type="spellStart"/>
      <w:r w:rsidRPr="00BF10D9">
        <w:rPr>
          <w:rFonts w:ascii="Arial" w:hAnsi="Arial" w:cs="Arial"/>
          <w:lang w:val="fr-FR"/>
        </w:rPr>
        <w:t>Determination</w:t>
      </w:r>
      <w:proofErr w:type="spellEnd"/>
      <w:r w:rsidRPr="00BF10D9">
        <w:rPr>
          <w:rFonts w:ascii="Arial" w:hAnsi="Arial" w:cs="Arial"/>
          <w:lang w:val="fr-FR"/>
        </w:rPr>
        <w:t xml:space="preserve"> of </w:t>
      </w:r>
      <w:proofErr w:type="spellStart"/>
      <w:r w:rsidRPr="00BF10D9">
        <w:rPr>
          <w:rFonts w:ascii="Arial" w:hAnsi="Arial" w:cs="Arial"/>
          <w:lang w:val="fr-FR"/>
        </w:rPr>
        <w:t>parameters</w:t>
      </w:r>
      <w:proofErr w:type="spellEnd"/>
      <w:r w:rsidRPr="00BF10D9">
        <w:rPr>
          <w:rFonts w:ascii="Arial" w:hAnsi="Arial" w:cs="Arial"/>
          <w:lang w:val="fr-FR"/>
        </w:rPr>
        <w:t xml:space="preserve"> </w:t>
      </w:r>
      <w:proofErr w:type="spellStart"/>
      <w:r w:rsidRPr="00BF10D9">
        <w:rPr>
          <w:rFonts w:ascii="Arial" w:hAnsi="Arial" w:cs="Arial"/>
          <w:lang w:val="fr-FR"/>
        </w:rPr>
        <w:t>influencing</w:t>
      </w:r>
      <w:proofErr w:type="spellEnd"/>
      <w:r w:rsidRPr="00BF10D9">
        <w:rPr>
          <w:rFonts w:ascii="Arial" w:hAnsi="Arial" w:cs="Arial"/>
          <w:lang w:val="fr-FR"/>
        </w:rPr>
        <w:t xml:space="preserve"> the </w:t>
      </w:r>
      <w:proofErr w:type="spellStart"/>
      <w:r w:rsidRPr="00BF10D9">
        <w:rPr>
          <w:rFonts w:ascii="Arial" w:hAnsi="Arial" w:cs="Arial"/>
          <w:lang w:val="fr-FR"/>
        </w:rPr>
        <w:t>yield</w:t>
      </w:r>
      <w:proofErr w:type="spellEnd"/>
      <w:r w:rsidRPr="00BF10D9">
        <w:rPr>
          <w:rFonts w:ascii="Arial" w:hAnsi="Arial" w:cs="Arial"/>
          <w:lang w:val="fr-FR"/>
        </w:rPr>
        <w:t xml:space="preserve"> of hydro-</w:t>
      </w:r>
      <w:proofErr w:type="spellStart"/>
      <w:r w:rsidRPr="00BF10D9">
        <w:rPr>
          <w:rFonts w:ascii="Arial" w:hAnsi="Arial" w:cs="Arial"/>
          <w:lang w:val="fr-FR"/>
        </w:rPr>
        <w:t>alcoholic</w:t>
      </w:r>
      <w:proofErr w:type="spellEnd"/>
      <w:r w:rsidRPr="00BF10D9">
        <w:rPr>
          <w:rFonts w:ascii="Arial" w:hAnsi="Arial" w:cs="Arial"/>
          <w:lang w:val="fr-FR"/>
        </w:rPr>
        <w:t xml:space="preserve"> extraction of </w:t>
      </w:r>
      <w:proofErr w:type="spellStart"/>
      <w:r w:rsidRPr="00BF10D9">
        <w:rPr>
          <w:rFonts w:ascii="Arial" w:hAnsi="Arial" w:cs="Arial"/>
          <w:lang w:val="fr-FR"/>
        </w:rPr>
        <w:t>secondary</w:t>
      </w:r>
      <w:proofErr w:type="spellEnd"/>
      <w:r w:rsidRPr="00BF10D9">
        <w:rPr>
          <w:rFonts w:ascii="Arial" w:hAnsi="Arial" w:cs="Arial"/>
          <w:lang w:val="fr-FR"/>
        </w:rPr>
        <w:t xml:space="preserve"> </w:t>
      </w:r>
      <w:proofErr w:type="spellStart"/>
      <w:r w:rsidRPr="00BF10D9">
        <w:rPr>
          <w:rFonts w:ascii="Arial" w:hAnsi="Arial" w:cs="Arial"/>
          <w:lang w:val="fr-FR"/>
        </w:rPr>
        <w:t>metabolites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Alchornea</w:t>
      </w:r>
      <w:proofErr w:type="spellEnd"/>
      <w:r w:rsidRPr="00BF10D9">
        <w:rPr>
          <w:rFonts w:ascii="Arial" w:hAnsi="Arial" w:cs="Arial"/>
          <w:lang w:val="fr-FR"/>
        </w:rPr>
        <w:t xml:space="preserve"> </w:t>
      </w:r>
      <w:proofErr w:type="spellStart"/>
      <w:r w:rsidRPr="00BF10D9">
        <w:rPr>
          <w:rFonts w:ascii="Arial" w:hAnsi="Arial" w:cs="Arial"/>
          <w:lang w:val="fr-FR"/>
        </w:rPr>
        <w:t>cordifolia</w:t>
      </w:r>
      <w:proofErr w:type="spellEnd"/>
      <w:r w:rsidRPr="00BF10D9">
        <w:rPr>
          <w:rFonts w:ascii="Arial" w:hAnsi="Arial" w:cs="Arial"/>
          <w:lang w:val="fr-FR"/>
        </w:rPr>
        <w:t xml:space="preserve"> (</w:t>
      </w:r>
      <w:proofErr w:type="spellStart"/>
      <w:r w:rsidRPr="00BF10D9">
        <w:rPr>
          <w:rFonts w:ascii="Arial" w:hAnsi="Arial" w:cs="Arial"/>
          <w:lang w:val="fr-FR"/>
        </w:rPr>
        <w:t>Euphorbiaceae</w:t>
      </w:r>
      <w:proofErr w:type="spellEnd"/>
      <w:r w:rsidRPr="00BF10D9">
        <w:rPr>
          <w:rFonts w:ascii="Arial" w:hAnsi="Arial" w:cs="Arial"/>
          <w:lang w:val="fr-FR"/>
        </w:rPr>
        <w:t xml:space="preserve">) and </w:t>
      </w:r>
      <w:proofErr w:type="spellStart"/>
      <w:r w:rsidRPr="00BF10D9">
        <w:rPr>
          <w:rFonts w:ascii="Arial" w:hAnsi="Arial" w:cs="Arial"/>
          <w:lang w:val="fr-FR"/>
        </w:rPr>
        <w:t>Tridax</w:t>
      </w:r>
      <w:proofErr w:type="spellEnd"/>
      <w:r w:rsidRPr="00BF10D9">
        <w:rPr>
          <w:rFonts w:ascii="Arial" w:hAnsi="Arial" w:cs="Arial"/>
          <w:lang w:val="fr-FR"/>
        </w:rPr>
        <w:t xml:space="preserve"> </w:t>
      </w:r>
      <w:proofErr w:type="spellStart"/>
      <w:r w:rsidRPr="00BF10D9">
        <w:rPr>
          <w:rFonts w:ascii="Arial" w:hAnsi="Arial" w:cs="Arial"/>
          <w:lang w:val="fr-FR"/>
        </w:rPr>
        <w:t>procumbens</w:t>
      </w:r>
      <w:proofErr w:type="spellEnd"/>
      <w:r w:rsidRPr="00BF10D9">
        <w:rPr>
          <w:rFonts w:ascii="Arial" w:hAnsi="Arial" w:cs="Arial"/>
          <w:lang w:val="fr-FR"/>
        </w:rPr>
        <w:t xml:space="preserve"> </w:t>
      </w:r>
      <w:proofErr w:type="spellStart"/>
      <w:r w:rsidRPr="00BF10D9">
        <w:rPr>
          <w:rFonts w:ascii="Arial" w:hAnsi="Arial" w:cs="Arial"/>
          <w:lang w:val="fr-FR"/>
        </w:rPr>
        <w:t>linn</w:t>
      </w:r>
      <w:proofErr w:type="spellEnd"/>
      <w:r w:rsidRPr="00BF10D9">
        <w:rPr>
          <w:rFonts w:ascii="Arial" w:hAnsi="Arial" w:cs="Arial"/>
          <w:lang w:val="fr-FR"/>
        </w:rPr>
        <w:t xml:space="preserve"> (</w:t>
      </w:r>
      <w:proofErr w:type="spellStart"/>
      <w:r w:rsidRPr="00BF10D9">
        <w:rPr>
          <w:rFonts w:ascii="Arial" w:hAnsi="Arial" w:cs="Arial"/>
          <w:lang w:val="fr-FR"/>
        </w:rPr>
        <w:t>Asteraceae</w:t>
      </w:r>
      <w:proofErr w:type="spellEnd"/>
      <w:r w:rsidRPr="00BF10D9">
        <w:rPr>
          <w:rFonts w:ascii="Arial" w:hAnsi="Arial" w:cs="Arial"/>
          <w:lang w:val="fr-FR"/>
        </w:rPr>
        <w:t>). J. Soc. Ouest-</w:t>
      </w:r>
      <w:proofErr w:type="spellStart"/>
      <w:r w:rsidRPr="00BF10D9">
        <w:rPr>
          <w:rFonts w:ascii="Arial" w:hAnsi="Arial" w:cs="Arial"/>
          <w:lang w:val="fr-FR"/>
        </w:rPr>
        <w:t>Afr</w:t>
      </w:r>
      <w:proofErr w:type="spellEnd"/>
      <w:r w:rsidRPr="00BF10D9">
        <w:rPr>
          <w:rFonts w:ascii="Arial" w:hAnsi="Arial" w:cs="Arial"/>
          <w:lang w:val="fr-FR"/>
        </w:rPr>
        <w:t xml:space="preserve">.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gramStart"/>
      <w:r w:rsidRPr="00BF10D9">
        <w:rPr>
          <w:rFonts w:ascii="Arial" w:hAnsi="Arial" w:cs="Arial"/>
          <w:lang w:val="fr-FR"/>
        </w:rPr>
        <w:t>044:</w:t>
      </w:r>
      <w:proofErr w:type="gramEnd"/>
      <w:r w:rsidRPr="00BF10D9">
        <w:rPr>
          <w:rFonts w:ascii="Arial" w:hAnsi="Arial" w:cs="Arial"/>
          <w:lang w:val="fr-FR"/>
        </w:rPr>
        <w:t>15-22. (French)</w:t>
      </w:r>
    </w:p>
    <w:p w14:paraId="0751D32A"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Kong, Y., Fu, Y.-J., </w:t>
      </w:r>
      <w:proofErr w:type="spellStart"/>
      <w:r w:rsidRPr="00BF10D9">
        <w:rPr>
          <w:rFonts w:ascii="Arial" w:hAnsi="Arial" w:cs="Arial"/>
          <w:lang w:val="fr-FR"/>
        </w:rPr>
        <w:t>Zu</w:t>
      </w:r>
      <w:proofErr w:type="spellEnd"/>
      <w:r w:rsidRPr="00BF10D9">
        <w:rPr>
          <w:rFonts w:ascii="Arial" w:hAnsi="Arial" w:cs="Arial"/>
          <w:lang w:val="fr-FR"/>
        </w:rPr>
        <w:t xml:space="preserve">, Y.-G., Chang, F.-R., Chen, Y.-H., Liu, X.-L., et al., 2010. </w:t>
      </w:r>
      <w:proofErr w:type="spellStart"/>
      <w:r w:rsidRPr="00BF10D9">
        <w:rPr>
          <w:rFonts w:ascii="Arial" w:hAnsi="Arial" w:cs="Arial"/>
          <w:lang w:val="fr-FR"/>
        </w:rPr>
        <w:t>Cajanuslactone</w:t>
      </w:r>
      <w:proofErr w:type="spellEnd"/>
      <w:r w:rsidRPr="00BF10D9">
        <w:rPr>
          <w:rFonts w:ascii="Arial" w:hAnsi="Arial" w:cs="Arial"/>
          <w:lang w:val="fr-FR"/>
        </w:rPr>
        <w:t xml:space="preserve">, a new </w:t>
      </w:r>
      <w:proofErr w:type="spellStart"/>
      <w:r w:rsidRPr="00BF10D9">
        <w:rPr>
          <w:rFonts w:ascii="Arial" w:hAnsi="Arial" w:cs="Arial"/>
          <w:lang w:val="fr-FR"/>
        </w:rPr>
        <w:t>coumarin</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anti-</w:t>
      </w:r>
      <w:proofErr w:type="spellStart"/>
      <w:r w:rsidRPr="00BF10D9">
        <w:rPr>
          <w:rFonts w:ascii="Arial" w:hAnsi="Arial" w:cs="Arial"/>
          <w:lang w:val="fr-FR"/>
        </w:rPr>
        <w:t>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leaves</w:t>
      </w:r>
      <w:proofErr w:type="spellEnd"/>
      <w:r w:rsidRPr="00BF10D9">
        <w:rPr>
          <w:rFonts w:ascii="Arial" w:hAnsi="Arial" w:cs="Arial"/>
          <w:lang w:val="fr-FR"/>
        </w:rPr>
        <w:t xml:space="preserve">. Food </w:t>
      </w:r>
      <w:proofErr w:type="spellStart"/>
      <w:r w:rsidRPr="00BF10D9">
        <w:rPr>
          <w:rFonts w:ascii="Arial" w:hAnsi="Arial" w:cs="Arial"/>
          <w:lang w:val="fr-FR"/>
        </w:rPr>
        <w:t>Chem</w:t>
      </w:r>
      <w:proofErr w:type="spellEnd"/>
      <w:r w:rsidRPr="00BF10D9">
        <w:rPr>
          <w:rFonts w:ascii="Arial" w:hAnsi="Arial" w:cs="Arial"/>
          <w:lang w:val="fr-FR"/>
        </w:rPr>
        <w:t>., 121(4</w:t>
      </w:r>
      <w:proofErr w:type="gramStart"/>
      <w:r w:rsidRPr="00BF10D9">
        <w:rPr>
          <w:rFonts w:ascii="Arial" w:hAnsi="Arial" w:cs="Arial"/>
          <w:lang w:val="fr-FR"/>
        </w:rPr>
        <w:t>):</w:t>
      </w:r>
      <w:proofErr w:type="gramEnd"/>
      <w:r w:rsidRPr="00BF10D9">
        <w:rPr>
          <w:rFonts w:ascii="Arial" w:hAnsi="Arial" w:cs="Arial"/>
          <w:lang w:val="fr-FR"/>
        </w:rPr>
        <w:t xml:space="preserve"> 1150-1155. https://doi.org/10.1016/j.foodchem.2010.01.062</w:t>
      </w:r>
    </w:p>
    <w:p w14:paraId="691EB89D"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Li, L., Zhang, J., Cheng, W., Di, F., Wang, C. and An, Q., 2024. </w:t>
      </w:r>
      <w:proofErr w:type="spellStart"/>
      <w:r w:rsidRPr="00BF10D9">
        <w:rPr>
          <w:rFonts w:ascii="Arial" w:hAnsi="Arial" w:cs="Arial"/>
          <w:lang w:val="fr-FR"/>
        </w:rPr>
        <w:t>Saponins</w:t>
      </w:r>
      <w:proofErr w:type="spellEnd"/>
      <w:r w:rsidRPr="00BF10D9">
        <w:rPr>
          <w:rFonts w:ascii="Arial" w:hAnsi="Arial" w:cs="Arial"/>
          <w:lang w:val="fr-FR"/>
        </w:rPr>
        <w:t xml:space="preserve"> of Paris </w:t>
      </w:r>
      <w:proofErr w:type="spellStart"/>
      <w:r w:rsidRPr="00BF10D9">
        <w:rPr>
          <w:rFonts w:ascii="Arial" w:hAnsi="Arial" w:cs="Arial"/>
          <w:lang w:val="fr-FR"/>
        </w:rPr>
        <w:t>polyphylla</w:t>
      </w:r>
      <w:proofErr w:type="spellEnd"/>
      <w:r w:rsidRPr="00BF10D9">
        <w:rPr>
          <w:rFonts w:ascii="Arial" w:hAnsi="Arial" w:cs="Arial"/>
          <w:lang w:val="fr-FR"/>
        </w:rPr>
        <w:t xml:space="preserve"> for the </w:t>
      </w:r>
      <w:proofErr w:type="spellStart"/>
      <w:r w:rsidRPr="00BF10D9">
        <w:rPr>
          <w:rFonts w:ascii="Arial" w:hAnsi="Arial" w:cs="Arial"/>
          <w:lang w:val="fr-FR"/>
        </w:rPr>
        <w:t>Improvement</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Acne</w:t>
      </w:r>
      <w:proofErr w:type="spellEnd"/>
      <w:r w:rsidRPr="00BF10D9">
        <w:rPr>
          <w:rFonts w:ascii="Arial" w:hAnsi="Arial" w:cs="Arial"/>
          <w:lang w:val="fr-FR"/>
        </w:rPr>
        <w:t>:</w:t>
      </w:r>
      <w:proofErr w:type="gramEnd"/>
      <w:r w:rsidRPr="00BF10D9">
        <w:rPr>
          <w:rFonts w:ascii="Arial" w:hAnsi="Arial" w:cs="Arial"/>
          <w:lang w:val="fr-FR"/>
        </w:rPr>
        <w:t xml:space="preserve"> Anti-</w:t>
      </w:r>
      <w:proofErr w:type="spellStart"/>
      <w:r w:rsidRPr="00BF10D9">
        <w:rPr>
          <w:rFonts w:ascii="Arial" w:hAnsi="Arial" w:cs="Arial"/>
          <w:lang w:val="fr-FR"/>
        </w:rPr>
        <w:t>Inflammatory</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Immunomodulatory</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2024;</w:t>
      </w:r>
      <w:proofErr w:type="gramEnd"/>
      <w:r w:rsidRPr="00BF10D9">
        <w:rPr>
          <w:rFonts w:ascii="Arial" w:hAnsi="Arial" w:cs="Arial"/>
          <w:lang w:val="fr-FR"/>
        </w:rPr>
        <w:t xml:space="preserve"> 29(8): 1793. https://doi.org/10.3390/molecules29081793</w:t>
      </w:r>
    </w:p>
    <w:p w14:paraId="5A9D4E61"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Menteng</w:t>
      </w:r>
      <w:proofErr w:type="spellEnd"/>
      <w:r w:rsidRPr="00BF10D9">
        <w:rPr>
          <w:rFonts w:ascii="Arial" w:hAnsi="Arial" w:cs="Arial"/>
          <w:lang w:val="fr-FR"/>
        </w:rPr>
        <w:t xml:space="preserve"> </w:t>
      </w:r>
      <w:proofErr w:type="spellStart"/>
      <w:r w:rsidRPr="00BF10D9">
        <w:rPr>
          <w:rFonts w:ascii="Arial" w:hAnsi="Arial" w:cs="Arial"/>
          <w:lang w:val="fr-FR"/>
        </w:rPr>
        <w:t>Tchuenté</w:t>
      </w:r>
      <w:proofErr w:type="spellEnd"/>
      <w:r w:rsidRPr="00BF10D9">
        <w:rPr>
          <w:rFonts w:ascii="Arial" w:hAnsi="Arial" w:cs="Arial"/>
          <w:lang w:val="fr-FR"/>
        </w:rPr>
        <w:t xml:space="preserve">, S.A.,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Strengthening</w:t>
      </w:r>
      <w:proofErr w:type="spellEnd"/>
      <w:r w:rsidRPr="00BF10D9">
        <w:rPr>
          <w:rFonts w:ascii="Arial" w:hAnsi="Arial" w:cs="Arial"/>
          <w:lang w:val="fr-FR"/>
        </w:rPr>
        <w:t xml:space="preserve"> </w:t>
      </w:r>
      <w:proofErr w:type="spellStart"/>
      <w:r w:rsidRPr="00BF10D9">
        <w:rPr>
          <w:rFonts w:ascii="Arial" w:hAnsi="Arial" w:cs="Arial"/>
          <w:lang w:val="fr-FR"/>
        </w:rPr>
        <w:t>Environmental</w:t>
      </w:r>
      <w:proofErr w:type="spellEnd"/>
      <w:r w:rsidRPr="00BF10D9">
        <w:rPr>
          <w:rFonts w:ascii="Arial" w:hAnsi="Arial" w:cs="Arial"/>
          <w:lang w:val="fr-FR"/>
        </w:rPr>
        <w:t xml:space="preserve"> </w:t>
      </w:r>
      <w:proofErr w:type="spellStart"/>
      <w:r w:rsidRPr="00BF10D9">
        <w:rPr>
          <w:rFonts w:ascii="Arial" w:hAnsi="Arial" w:cs="Arial"/>
          <w:lang w:val="fr-FR"/>
        </w:rPr>
        <w:t>Hygiene</w:t>
      </w:r>
      <w:proofErr w:type="spellEnd"/>
      <w:r w:rsidRPr="00BF10D9">
        <w:rPr>
          <w:rFonts w:ascii="Arial" w:hAnsi="Arial" w:cs="Arial"/>
          <w:lang w:val="fr-FR"/>
        </w:rPr>
        <w:t xml:space="preserve"> for Healthcare-</w:t>
      </w:r>
      <w:proofErr w:type="spellStart"/>
      <w:r w:rsidRPr="00BF10D9">
        <w:rPr>
          <w:rFonts w:ascii="Arial" w:hAnsi="Arial" w:cs="Arial"/>
          <w:lang w:val="fr-FR"/>
        </w:rPr>
        <w:t>associated</w:t>
      </w:r>
      <w:proofErr w:type="spellEnd"/>
      <w:r w:rsidRPr="00BF10D9">
        <w:rPr>
          <w:rFonts w:ascii="Arial" w:hAnsi="Arial" w:cs="Arial"/>
          <w:lang w:val="fr-FR"/>
        </w:rPr>
        <w:t xml:space="preserve"> Infections Prevention in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gramStart"/>
      <w:r w:rsidRPr="00BF10D9">
        <w:rPr>
          <w:rFonts w:ascii="Arial" w:hAnsi="Arial" w:cs="Arial"/>
          <w:lang w:val="fr-FR"/>
        </w:rPr>
        <w:t>Ward:</w:t>
      </w:r>
      <w:proofErr w:type="gramEnd"/>
      <w:r w:rsidRPr="00BF10D9">
        <w:rPr>
          <w:rFonts w:ascii="Arial" w:hAnsi="Arial" w:cs="Arial"/>
          <w:lang w:val="fr-FR"/>
        </w:rPr>
        <w:t xml:space="preserve"> </w:t>
      </w:r>
      <w:proofErr w:type="spellStart"/>
      <w:r w:rsidRPr="00BF10D9">
        <w:rPr>
          <w:rFonts w:ascii="Arial" w:hAnsi="Arial" w:cs="Arial"/>
          <w:lang w:val="fr-FR"/>
        </w:rPr>
        <w:t>Outstanding</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Multisite Survey in the </w:t>
      </w:r>
      <w:proofErr w:type="spellStart"/>
      <w:r w:rsidRPr="00BF10D9">
        <w:rPr>
          <w:rFonts w:ascii="Arial" w:hAnsi="Arial" w:cs="Arial"/>
          <w:lang w:val="fr-FR"/>
        </w:rPr>
        <w:t>Ndé</w:t>
      </w:r>
      <w:proofErr w:type="spellEnd"/>
      <w:r w:rsidRPr="00BF10D9">
        <w:rPr>
          <w:rFonts w:ascii="Arial" w:hAnsi="Arial" w:cs="Arial"/>
          <w:lang w:val="fr-FR"/>
        </w:rPr>
        <w:t xml:space="preserve"> Division, West </w:t>
      </w:r>
      <w:proofErr w:type="spellStart"/>
      <w:r w:rsidRPr="00BF10D9">
        <w:rPr>
          <w:rFonts w:ascii="Arial" w:hAnsi="Arial" w:cs="Arial"/>
          <w:lang w:val="fr-FR"/>
        </w:rPr>
        <w:t>Cameroon</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J. Int., 33(8</w:t>
      </w:r>
      <w:proofErr w:type="gramStart"/>
      <w:r w:rsidRPr="00BF10D9">
        <w:rPr>
          <w:rFonts w:ascii="Arial" w:hAnsi="Arial" w:cs="Arial"/>
          <w:lang w:val="fr-FR"/>
        </w:rPr>
        <w:t>):</w:t>
      </w:r>
      <w:proofErr w:type="gramEnd"/>
      <w:r w:rsidRPr="00BF10D9">
        <w:rPr>
          <w:rFonts w:ascii="Arial" w:hAnsi="Arial" w:cs="Arial"/>
          <w:lang w:val="fr-FR"/>
        </w:rPr>
        <w:t xml:space="preserve"> 25-35. https://doi.org/10.9734/mrji/2023/v33i81399.</w:t>
      </w:r>
    </w:p>
    <w:p w14:paraId="63BBDD52" w14:textId="58C961DE"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Moroh</w:t>
      </w:r>
      <w:proofErr w:type="spellEnd"/>
      <w:r w:rsidRPr="00BF10D9">
        <w:rPr>
          <w:rFonts w:ascii="Arial" w:hAnsi="Arial" w:cs="Arial"/>
          <w:lang w:val="fr-FR"/>
        </w:rPr>
        <w:t xml:space="preserve">, J.-L.A., </w:t>
      </w:r>
      <w:proofErr w:type="spellStart"/>
      <w:r w:rsidRPr="00BF10D9">
        <w:rPr>
          <w:rFonts w:ascii="Arial" w:hAnsi="Arial" w:cs="Arial"/>
          <w:lang w:val="fr-FR"/>
        </w:rPr>
        <w:t>Bahi</w:t>
      </w:r>
      <w:proofErr w:type="spellEnd"/>
      <w:r w:rsidRPr="00BF10D9">
        <w:rPr>
          <w:rFonts w:ascii="Arial" w:hAnsi="Arial" w:cs="Arial"/>
          <w:lang w:val="fr-FR"/>
        </w:rPr>
        <w:t>, C.,</w:t>
      </w:r>
      <w:r w:rsidRPr="007E6121">
        <w:t xml:space="preserve"> </w:t>
      </w:r>
      <w:proofErr w:type="spellStart"/>
      <w:r w:rsidRPr="00BF10D9">
        <w:rPr>
          <w:rFonts w:ascii="Arial" w:hAnsi="Arial" w:cs="Arial"/>
          <w:lang w:val="fr-FR"/>
        </w:rPr>
        <w:t>Djè</w:t>
      </w:r>
      <w:proofErr w:type="spellEnd"/>
      <w:r w:rsidRPr="00BF10D9">
        <w:rPr>
          <w:rFonts w:ascii="Arial" w:hAnsi="Arial" w:cs="Arial"/>
          <w:lang w:val="fr-FR"/>
        </w:rPr>
        <w:t xml:space="preserve">, K., </w:t>
      </w:r>
      <w:proofErr w:type="spellStart"/>
      <w:r w:rsidRPr="00BF10D9">
        <w:rPr>
          <w:rFonts w:ascii="Arial" w:hAnsi="Arial" w:cs="Arial"/>
          <w:lang w:val="fr-FR"/>
        </w:rPr>
        <w:t>Loukou</w:t>
      </w:r>
      <w:proofErr w:type="spellEnd"/>
      <w:r w:rsidRPr="00BF10D9">
        <w:rPr>
          <w:rFonts w:ascii="Arial" w:hAnsi="Arial" w:cs="Arial"/>
          <w:lang w:val="fr-FR"/>
        </w:rPr>
        <w:t>, Y.G. and Guédé-</w:t>
      </w:r>
      <w:proofErr w:type="spellStart"/>
      <w:r w:rsidRPr="00BF10D9">
        <w:rPr>
          <w:rFonts w:ascii="Arial" w:hAnsi="Arial" w:cs="Arial"/>
          <w:lang w:val="fr-FR"/>
        </w:rPr>
        <w:t>Guina</w:t>
      </w:r>
      <w:proofErr w:type="spellEnd"/>
      <w:r w:rsidRPr="00BF10D9">
        <w:rPr>
          <w:rFonts w:ascii="Arial" w:hAnsi="Arial" w:cs="Arial"/>
          <w:lang w:val="fr-FR"/>
        </w:rPr>
        <w:t xml:space="preserve">, F., 2008. </w:t>
      </w:r>
      <w:proofErr w:type="spellStart"/>
      <w:r w:rsidRPr="00BF10D9">
        <w:rPr>
          <w:rFonts w:ascii="Arial" w:hAnsi="Arial" w:cs="Arial"/>
          <w:lang w:val="fr-FR"/>
        </w:rPr>
        <w:t>Study</w:t>
      </w:r>
      <w:proofErr w:type="spellEnd"/>
      <w:r w:rsidRPr="00BF10D9">
        <w:rPr>
          <w:rFonts w:ascii="Arial" w:hAnsi="Arial" w:cs="Arial"/>
          <w:lang w:val="fr-FR"/>
        </w:rPr>
        <w:t xml:space="preserve"> of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the </w:t>
      </w:r>
      <w:proofErr w:type="spellStart"/>
      <w:r w:rsidRPr="00BF10D9">
        <w:rPr>
          <w:rFonts w:ascii="Arial" w:hAnsi="Arial" w:cs="Arial"/>
          <w:lang w:val="fr-FR"/>
        </w:rPr>
        <w:t>acetate</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(ACE) of </w:t>
      </w:r>
      <w:proofErr w:type="spellStart"/>
      <w:r w:rsidRPr="00BF10D9">
        <w:rPr>
          <w:rFonts w:ascii="Arial" w:hAnsi="Arial" w:cs="Arial"/>
          <w:lang w:val="fr-FR"/>
        </w:rPr>
        <w:t>Morinda</w:t>
      </w:r>
      <w:proofErr w:type="spellEnd"/>
      <w:r w:rsidRPr="00BF10D9">
        <w:rPr>
          <w:rFonts w:ascii="Arial" w:hAnsi="Arial" w:cs="Arial"/>
          <w:lang w:val="fr-FR"/>
        </w:rPr>
        <w:t xml:space="preserve"> </w:t>
      </w:r>
      <w:proofErr w:type="spellStart"/>
      <w:r w:rsidRPr="00BF10D9">
        <w:rPr>
          <w:rFonts w:ascii="Arial" w:hAnsi="Arial" w:cs="Arial"/>
          <w:lang w:val="fr-FR"/>
        </w:rPr>
        <w:t>morindoides</w:t>
      </w:r>
      <w:proofErr w:type="spellEnd"/>
      <w:r w:rsidRPr="00BF10D9">
        <w:rPr>
          <w:rFonts w:ascii="Arial" w:hAnsi="Arial" w:cs="Arial"/>
          <w:lang w:val="fr-FR"/>
        </w:rPr>
        <w:t xml:space="preserve"> (Baker) </w:t>
      </w:r>
      <w:proofErr w:type="spellStart"/>
      <w:r w:rsidRPr="00BF10D9">
        <w:rPr>
          <w:rFonts w:ascii="Arial" w:hAnsi="Arial" w:cs="Arial"/>
          <w:lang w:val="fr-FR"/>
        </w:rPr>
        <w:t>milne-redheat</w:t>
      </w:r>
      <w:proofErr w:type="spellEnd"/>
      <w:r w:rsidRPr="00BF10D9">
        <w:rPr>
          <w:rFonts w:ascii="Arial" w:hAnsi="Arial" w:cs="Arial"/>
          <w:lang w:val="fr-FR"/>
        </w:rPr>
        <w:t xml:space="preserve"> (</w:t>
      </w:r>
      <w:proofErr w:type="spellStart"/>
      <w:r w:rsidRPr="00BF10D9">
        <w:rPr>
          <w:rFonts w:ascii="Arial" w:hAnsi="Arial" w:cs="Arial"/>
          <w:lang w:val="fr-FR"/>
        </w:rPr>
        <w:t>Rubiaceae</w:t>
      </w:r>
      <w:proofErr w:type="spellEnd"/>
      <w:r w:rsidRPr="00BF10D9">
        <w:rPr>
          <w:rFonts w:ascii="Arial" w:hAnsi="Arial" w:cs="Arial"/>
          <w:lang w:val="fr-FR"/>
        </w:rPr>
        <w:t xml:space="preserve">)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Escherichia coli </w:t>
      </w:r>
      <w:proofErr w:type="spellStart"/>
      <w:r w:rsidRPr="00BF10D9">
        <w:rPr>
          <w:rFonts w:ascii="Arial" w:hAnsi="Arial" w:cs="Arial"/>
          <w:lang w:val="fr-FR"/>
        </w:rPr>
        <w:t>strains</w:t>
      </w:r>
      <w:proofErr w:type="spellEnd"/>
      <w:r w:rsidRPr="00BF10D9">
        <w:rPr>
          <w:rFonts w:ascii="Arial" w:hAnsi="Arial" w:cs="Arial"/>
          <w:lang w:val="fr-FR"/>
        </w:rPr>
        <w:t xml:space="preserve">. Bulletin of the Royal Society of Sciences of Liège, </w:t>
      </w:r>
      <w:proofErr w:type="gramStart"/>
      <w:r w:rsidRPr="00BF10D9">
        <w:rPr>
          <w:rFonts w:ascii="Arial" w:hAnsi="Arial" w:cs="Arial"/>
          <w:lang w:val="fr-FR"/>
        </w:rPr>
        <w:t>77:</w:t>
      </w:r>
      <w:proofErr w:type="gramEnd"/>
      <w:r w:rsidRPr="00BF10D9">
        <w:rPr>
          <w:rFonts w:ascii="Arial" w:hAnsi="Arial" w:cs="Arial"/>
          <w:lang w:val="fr-FR"/>
        </w:rPr>
        <w:t xml:space="preserve"> 44-61. (French)</w:t>
      </w:r>
    </w:p>
    <w:p w14:paraId="39267AB7"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Nouetchognou</w:t>
      </w:r>
      <w:proofErr w:type="spellEnd"/>
      <w:r w:rsidRPr="00BF10D9">
        <w:rPr>
          <w:rFonts w:ascii="Arial" w:hAnsi="Arial" w:cs="Arial"/>
          <w:lang w:val="fr-FR"/>
        </w:rPr>
        <w:t xml:space="preserve">, J.S., </w:t>
      </w:r>
      <w:proofErr w:type="spellStart"/>
      <w:r w:rsidRPr="00BF10D9">
        <w:rPr>
          <w:rFonts w:ascii="Arial" w:hAnsi="Arial" w:cs="Arial"/>
          <w:lang w:val="fr-FR"/>
        </w:rPr>
        <w:t>Ateudjieu</w:t>
      </w:r>
      <w:proofErr w:type="spellEnd"/>
      <w:r w:rsidRPr="00BF10D9">
        <w:rPr>
          <w:rFonts w:ascii="Arial" w:hAnsi="Arial" w:cs="Arial"/>
          <w:lang w:val="fr-FR"/>
        </w:rPr>
        <w:t xml:space="preserve">, J., </w:t>
      </w:r>
      <w:proofErr w:type="spellStart"/>
      <w:r w:rsidRPr="00BF10D9">
        <w:rPr>
          <w:rFonts w:ascii="Arial" w:hAnsi="Arial" w:cs="Arial"/>
          <w:lang w:val="fr-FR"/>
        </w:rPr>
        <w:t>Jemea</w:t>
      </w:r>
      <w:proofErr w:type="spellEnd"/>
      <w:r w:rsidRPr="00BF10D9">
        <w:rPr>
          <w:rFonts w:ascii="Arial" w:hAnsi="Arial" w:cs="Arial"/>
          <w:lang w:val="fr-FR"/>
        </w:rPr>
        <w:t xml:space="preserve">, B., </w:t>
      </w:r>
      <w:proofErr w:type="spellStart"/>
      <w:r w:rsidRPr="00BF10D9">
        <w:rPr>
          <w:rFonts w:ascii="Arial" w:hAnsi="Arial" w:cs="Arial"/>
          <w:lang w:val="fr-FR"/>
        </w:rPr>
        <w:t>Mesumbe</w:t>
      </w:r>
      <w:proofErr w:type="spellEnd"/>
      <w:r w:rsidRPr="00BF10D9">
        <w:rPr>
          <w:rFonts w:ascii="Arial" w:hAnsi="Arial" w:cs="Arial"/>
          <w:lang w:val="fr-FR"/>
        </w:rPr>
        <w:t xml:space="preserve">, E.N. and </w:t>
      </w:r>
      <w:proofErr w:type="spellStart"/>
      <w:r w:rsidRPr="00BF10D9">
        <w:rPr>
          <w:rFonts w:ascii="Arial" w:hAnsi="Arial" w:cs="Arial"/>
          <w:lang w:val="fr-FR"/>
        </w:rPr>
        <w:t>Mbanya</w:t>
      </w:r>
      <w:proofErr w:type="spellEnd"/>
      <w:r w:rsidRPr="00BF10D9">
        <w:rPr>
          <w:rFonts w:ascii="Arial" w:hAnsi="Arial" w:cs="Arial"/>
          <w:lang w:val="fr-FR"/>
        </w:rPr>
        <w:t xml:space="preserve">, D., 2016. Surveillance of nosocomial infections in the Yaoundé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Hospital, </w:t>
      </w:r>
      <w:proofErr w:type="spellStart"/>
      <w:r w:rsidRPr="00BF10D9">
        <w:rPr>
          <w:rFonts w:ascii="Arial" w:hAnsi="Arial" w:cs="Arial"/>
          <w:lang w:val="fr-FR"/>
        </w:rPr>
        <w:t>Cameroon</w:t>
      </w:r>
      <w:proofErr w:type="spellEnd"/>
      <w:r w:rsidRPr="00BF10D9">
        <w:rPr>
          <w:rFonts w:ascii="Arial" w:hAnsi="Arial" w:cs="Arial"/>
          <w:lang w:val="fr-FR"/>
        </w:rPr>
        <w:t xml:space="preserve">. BMC. </w:t>
      </w:r>
      <w:proofErr w:type="spellStart"/>
      <w:r w:rsidRPr="00BF10D9">
        <w:rPr>
          <w:rFonts w:ascii="Arial" w:hAnsi="Arial" w:cs="Arial"/>
          <w:lang w:val="fr-FR"/>
        </w:rPr>
        <w:t>Res</w:t>
      </w:r>
      <w:proofErr w:type="spellEnd"/>
      <w:r w:rsidRPr="00BF10D9">
        <w:rPr>
          <w:rFonts w:ascii="Arial" w:hAnsi="Arial" w:cs="Arial"/>
          <w:lang w:val="fr-FR"/>
        </w:rPr>
        <w:t>. Notes., 9(1</w:t>
      </w:r>
      <w:proofErr w:type="gramStart"/>
      <w:r w:rsidRPr="00BF10D9">
        <w:rPr>
          <w:rFonts w:ascii="Arial" w:hAnsi="Arial" w:cs="Arial"/>
          <w:lang w:val="fr-FR"/>
        </w:rPr>
        <w:t>):</w:t>
      </w:r>
      <w:proofErr w:type="gramEnd"/>
      <w:r w:rsidRPr="00BF10D9">
        <w:rPr>
          <w:rFonts w:ascii="Arial" w:hAnsi="Arial" w:cs="Arial"/>
          <w:lang w:val="fr-FR"/>
        </w:rPr>
        <w:t>505. https://doi.org/10.1186/s13104-016-2310-1</w:t>
      </w:r>
    </w:p>
    <w:p w14:paraId="143E95DA"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Nwachukwu</w:t>
      </w:r>
      <w:proofErr w:type="spellEnd"/>
      <w:r w:rsidRPr="00BF10D9">
        <w:rPr>
          <w:rFonts w:ascii="Arial" w:hAnsi="Arial" w:cs="Arial"/>
          <w:lang w:val="fr-FR"/>
        </w:rPr>
        <w:t xml:space="preserve">, E. and </w:t>
      </w:r>
      <w:proofErr w:type="spellStart"/>
      <w:r w:rsidRPr="00BF10D9">
        <w:rPr>
          <w:rFonts w:ascii="Arial" w:hAnsi="Arial" w:cs="Arial"/>
          <w:lang w:val="fr-FR"/>
        </w:rPr>
        <w:t>Uzoeto</w:t>
      </w:r>
      <w:proofErr w:type="spellEnd"/>
      <w:r w:rsidRPr="00BF10D9">
        <w:rPr>
          <w:rFonts w:ascii="Arial" w:hAnsi="Arial" w:cs="Arial"/>
          <w:lang w:val="fr-FR"/>
        </w:rPr>
        <w:t xml:space="preserve">, H.O., 2010.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of </w:t>
      </w:r>
      <w:proofErr w:type="spellStart"/>
      <w:r w:rsidRPr="00BF10D9">
        <w:rPr>
          <w:rFonts w:ascii="Arial" w:hAnsi="Arial" w:cs="Arial"/>
          <w:lang w:val="fr-FR"/>
        </w:rPr>
        <w:t>leaves</w:t>
      </w:r>
      <w:proofErr w:type="spellEnd"/>
      <w:r w:rsidRPr="00BF10D9">
        <w:rPr>
          <w:rFonts w:ascii="Arial" w:hAnsi="Arial" w:cs="Arial"/>
          <w:lang w:val="fr-FR"/>
        </w:rPr>
        <w:t xml:space="preserve"> of Vitex </w:t>
      </w:r>
      <w:proofErr w:type="spellStart"/>
      <w:r w:rsidRPr="00BF10D9">
        <w:rPr>
          <w:rFonts w:ascii="Arial" w:hAnsi="Arial" w:cs="Arial"/>
          <w:lang w:val="fr-FR"/>
        </w:rPr>
        <w:t>doniana</w:t>
      </w:r>
      <w:proofErr w:type="spellEnd"/>
      <w:r w:rsidRPr="00BF10D9">
        <w:rPr>
          <w:rFonts w:ascii="Arial" w:hAnsi="Arial" w:cs="Arial"/>
          <w:lang w:val="fr-FR"/>
        </w:rPr>
        <w:t xml:space="preserve"> and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Researcher</w:t>
      </w:r>
      <w:proofErr w:type="spellEnd"/>
      <w:r w:rsidRPr="00BF10D9">
        <w:rPr>
          <w:rFonts w:ascii="Arial" w:hAnsi="Arial" w:cs="Arial"/>
          <w:lang w:val="fr-FR"/>
        </w:rPr>
        <w:t>, 2(3</w:t>
      </w:r>
      <w:proofErr w:type="gramStart"/>
      <w:r w:rsidRPr="00BF10D9">
        <w:rPr>
          <w:rFonts w:ascii="Arial" w:hAnsi="Arial" w:cs="Arial"/>
          <w:lang w:val="fr-FR"/>
        </w:rPr>
        <w:t>):</w:t>
      </w:r>
      <w:proofErr w:type="gramEnd"/>
      <w:r w:rsidRPr="00BF10D9">
        <w:rPr>
          <w:rFonts w:ascii="Arial" w:hAnsi="Arial" w:cs="Arial"/>
          <w:lang w:val="fr-FR"/>
        </w:rPr>
        <w:t xml:space="preserve"> 37-47.</w:t>
      </w:r>
    </w:p>
    <w:p w14:paraId="400777BB"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Okigbo</w:t>
      </w:r>
      <w:proofErr w:type="spellEnd"/>
      <w:r w:rsidRPr="00BF10D9">
        <w:rPr>
          <w:rFonts w:ascii="Arial" w:hAnsi="Arial" w:cs="Arial"/>
          <w:lang w:val="fr-FR"/>
        </w:rPr>
        <w:t xml:space="preserve">, R. and </w:t>
      </w:r>
      <w:proofErr w:type="spellStart"/>
      <w:r w:rsidRPr="00BF10D9">
        <w:rPr>
          <w:rFonts w:ascii="Arial" w:hAnsi="Arial" w:cs="Arial"/>
          <w:lang w:val="fr-FR"/>
        </w:rPr>
        <w:t>Omodamiro</w:t>
      </w:r>
      <w:proofErr w:type="spellEnd"/>
      <w:r w:rsidRPr="00BF10D9">
        <w:rPr>
          <w:rFonts w:ascii="Arial" w:hAnsi="Arial" w:cs="Arial"/>
          <w:lang w:val="fr-FR"/>
        </w:rPr>
        <w:t xml:space="preserve">, O., 2007.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effect</w:t>
      </w:r>
      <w:proofErr w:type="spellEnd"/>
      <w:r w:rsidRPr="00BF10D9">
        <w:rPr>
          <w:rFonts w:ascii="Arial" w:hAnsi="Arial" w:cs="Arial"/>
          <w:lang w:val="fr-FR"/>
        </w:rPr>
        <w:t xml:space="preserve"> of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human</w:t>
      </w:r>
      <w:proofErr w:type="spellEnd"/>
      <w:r w:rsidRPr="00BF10D9">
        <w:rPr>
          <w:rFonts w:ascii="Arial" w:hAnsi="Arial" w:cs="Arial"/>
          <w:lang w:val="fr-FR"/>
        </w:rPr>
        <w:t xml:space="preserve"> </w:t>
      </w:r>
      <w:proofErr w:type="spellStart"/>
      <w:r w:rsidRPr="00BF10D9">
        <w:rPr>
          <w:rFonts w:ascii="Arial" w:hAnsi="Arial" w:cs="Arial"/>
          <w:lang w:val="fr-FR"/>
        </w:rPr>
        <w:t>pathogens</w:t>
      </w:r>
      <w:proofErr w:type="spellEnd"/>
      <w:r w:rsidRPr="00BF10D9">
        <w:rPr>
          <w:rFonts w:ascii="Arial" w:hAnsi="Arial" w:cs="Arial"/>
          <w:lang w:val="fr-FR"/>
        </w:rPr>
        <w:t xml:space="preserve">. J. </w:t>
      </w:r>
      <w:proofErr w:type="spellStart"/>
      <w:r w:rsidRPr="00BF10D9">
        <w:rPr>
          <w:rFonts w:ascii="Arial" w:hAnsi="Arial" w:cs="Arial"/>
          <w:lang w:val="fr-FR"/>
        </w:rPr>
        <w:t>Herbs</w:t>
      </w:r>
      <w:proofErr w:type="spellEnd"/>
      <w:r w:rsidRPr="00BF10D9">
        <w:rPr>
          <w:rFonts w:ascii="Arial" w:hAnsi="Arial" w:cs="Arial"/>
          <w:lang w:val="fr-FR"/>
        </w:rPr>
        <w:t xml:space="preserve">. </w:t>
      </w:r>
      <w:proofErr w:type="spellStart"/>
      <w:r w:rsidRPr="00BF10D9">
        <w:rPr>
          <w:rFonts w:ascii="Arial" w:hAnsi="Arial" w:cs="Arial"/>
          <w:lang w:val="fr-FR"/>
        </w:rPr>
        <w:t>Spices</w:t>
      </w:r>
      <w:proofErr w:type="spellEnd"/>
      <w:r w:rsidRPr="00BF10D9">
        <w:rPr>
          <w:rFonts w:ascii="Arial" w:hAnsi="Arial" w:cs="Arial"/>
          <w:lang w:val="fr-FR"/>
        </w:rPr>
        <w:t>. Med. Plants., 12 (1-2</w:t>
      </w:r>
      <w:proofErr w:type="gramStart"/>
      <w:r w:rsidRPr="00BF10D9">
        <w:rPr>
          <w:rFonts w:ascii="Arial" w:hAnsi="Arial" w:cs="Arial"/>
          <w:lang w:val="fr-FR"/>
        </w:rPr>
        <w:t>):</w:t>
      </w:r>
      <w:proofErr w:type="gramEnd"/>
      <w:r w:rsidRPr="00BF10D9">
        <w:rPr>
          <w:rFonts w:ascii="Arial" w:hAnsi="Arial" w:cs="Arial"/>
          <w:lang w:val="fr-FR"/>
        </w:rPr>
        <w:t xml:space="preserve"> 117-127. https://doi.org/10.1300/J044v12n01_11.</w:t>
      </w:r>
    </w:p>
    <w:p w14:paraId="798908DD"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Ouro-Djeri</w:t>
      </w:r>
      <w:proofErr w:type="spellEnd"/>
      <w:r w:rsidRPr="00BF10D9">
        <w:rPr>
          <w:rFonts w:ascii="Arial" w:hAnsi="Arial" w:cs="Arial"/>
          <w:lang w:val="fr-FR"/>
        </w:rPr>
        <w:t xml:space="preserve">, H., </w:t>
      </w:r>
      <w:proofErr w:type="spellStart"/>
      <w:r w:rsidRPr="00BF10D9">
        <w:rPr>
          <w:rFonts w:ascii="Arial" w:hAnsi="Arial" w:cs="Arial"/>
          <w:lang w:val="fr-FR"/>
        </w:rPr>
        <w:t>Koudouvo</w:t>
      </w:r>
      <w:proofErr w:type="spellEnd"/>
      <w:r w:rsidRPr="00BF10D9">
        <w:rPr>
          <w:rFonts w:ascii="Arial" w:hAnsi="Arial" w:cs="Arial"/>
          <w:lang w:val="fr-FR"/>
        </w:rPr>
        <w:t xml:space="preserve">, K., </w:t>
      </w:r>
      <w:proofErr w:type="spellStart"/>
      <w:r w:rsidRPr="00BF10D9">
        <w:rPr>
          <w:rFonts w:ascii="Arial" w:hAnsi="Arial" w:cs="Arial"/>
          <w:lang w:val="fr-FR"/>
        </w:rPr>
        <w:t>Esseh</w:t>
      </w:r>
      <w:proofErr w:type="spellEnd"/>
      <w:r w:rsidRPr="00BF10D9">
        <w:rPr>
          <w:rFonts w:ascii="Arial" w:hAnsi="Arial" w:cs="Arial"/>
          <w:lang w:val="fr-FR"/>
        </w:rPr>
        <w:t xml:space="preserve">, K., </w:t>
      </w:r>
      <w:proofErr w:type="spellStart"/>
      <w:r w:rsidRPr="00BF10D9">
        <w:rPr>
          <w:rFonts w:ascii="Arial" w:hAnsi="Arial" w:cs="Arial"/>
          <w:lang w:val="fr-FR"/>
        </w:rPr>
        <w:t>Tchacondo</w:t>
      </w:r>
      <w:proofErr w:type="spellEnd"/>
      <w:r w:rsidRPr="00BF10D9">
        <w:rPr>
          <w:rFonts w:ascii="Arial" w:hAnsi="Arial" w:cs="Arial"/>
          <w:lang w:val="fr-FR"/>
        </w:rPr>
        <w:t xml:space="preserve">, T., </w:t>
      </w:r>
      <w:proofErr w:type="spellStart"/>
      <w:r w:rsidRPr="00BF10D9">
        <w:rPr>
          <w:rFonts w:ascii="Arial" w:hAnsi="Arial" w:cs="Arial"/>
          <w:lang w:val="fr-FR"/>
        </w:rPr>
        <w:t>Batawila</w:t>
      </w:r>
      <w:proofErr w:type="spellEnd"/>
      <w:r w:rsidRPr="00BF10D9">
        <w:rPr>
          <w:rFonts w:ascii="Arial" w:hAnsi="Arial" w:cs="Arial"/>
          <w:lang w:val="fr-FR"/>
        </w:rPr>
        <w:t xml:space="preserve">, K., </w:t>
      </w:r>
      <w:proofErr w:type="spellStart"/>
      <w:r w:rsidRPr="00BF10D9">
        <w:rPr>
          <w:rFonts w:ascii="Arial" w:hAnsi="Arial" w:cs="Arial"/>
          <w:lang w:val="fr-FR"/>
        </w:rPr>
        <w:t>Wateba</w:t>
      </w:r>
      <w:proofErr w:type="spellEnd"/>
      <w:r w:rsidRPr="00BF10D9">
        <w:rPr>
          <w:rFonts w:ascii="Arial" w:hAnsi="Arial" w:cs="Arial"/>
          <w:lang w:val="fr-FR"/>
        </w:rPr>
        <w:t xml:space="preserve">, M.I. et al., 2022. </w:t>
      </w:r>
      <w:proofErr w:type="spellStart"/>
      <w:r w:rsidRPr="00BF10D9">
        <w:rPr>
          <w:rFonts w:ascii="Arial" w:hAnsi="Arial" w:cs="Arial"/>
          <w:lang w:val="fr-FR"/>
        </w:rPr>
        <w:t>Ethnopharmacological</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of plants </w:t>
      </w:r>
      <w:proofErr w:type="spellStart"/>
      <w:r w:rsidRPr="00BF10D9">
        <w:rPr>
          <w:rFonts w:ascii="Arial" w:hAnsi="Arial" w:cs="Arial"/>
          <w:lang w:val="fr-FR"/>
        </w:rPr>
        <w:t>used</w:t>
      </w:r>
      <w:proofErr w:type="spellEnd"/>
      <w:r w:rsidRPr="00BF10D9">
        <w:rPr>
          <w:rFonts w:ascii="Arial" w:hAnsi="Arial" w:cs="Arial"/>
          <w:lang w:val="fr-FR"/>
        </w:rPr>
        <w:t xml:space="preserve"> in the </w:t>
      </w:r>
      <w:proofErr w:type="spellStart"/>
      <w:r w:rsidRPr="00BF10D9">
        <w:rPr>
          <w:rFonts w:ascii="Arial" w:hAnsi="Arial" w:cs="Arial"/>
          <w:lang w:val="fr-FR"/>
        </w:rPr>
        <w:t>preparation</w:t>
      </w:r>
      <w:proofErr w:type="spellEnd"/>
      <w:r w:rsidRPr="00BF10D9">
        <w:rPr>
          <w:rFonts w:ascii="Arial" w:hAnsi="Arial" w:cs="Arial"/>
          <w:lang w:val="fr-FR"/>
        </w:rPr>
        <w:t xml:space="preserve"> of </w:t>
      </w:r>
      <w:proofErr w:type="spellStart"/>
      <w:r w:rsidRPr="00BF10D9">
        <w:rPr>
          <w:rFonts w:ascii="Arial" w:hAnsi="Arial" w:cs="Arial"/>
          <w:lang w:val="fr-FR"/>
        </w:rPr>
        <w:t>extemporaneous</w:t>
      </w:r>
      <w:proofErr w:type="spellEnd"/>
      <w:r w:rsidRPr="00BF10D9">
        <w:rPr>
          <w:rFonts w:ascii="Arial" w:hAnsi="Arial" w:cs="Arial"/>
          <w:lang w:val="fr-FR"/>
        </w:rPr>
        <w:t xml:space="preserve"> </w:t>
      </w:r>
      <w:proofErr w:type="spellStart"/>
      <w:r w:rsidRPr="00BF10D9">
        <w:rPr>
          <w:rFonts w:ascii="Arial" w:hAnsi="Arial" w:cs="Arial"/>
          <w:lang w:val="fr-FR"/>
        </w:rPr>
        <w:t>phytomedicines</w:t>
      </w:r>
      <w:proofErr w:type="spellEnd"/>
      <w:r w:rsidRPr="00BF10D9">
        <w:rPr>
          <w:rFonts w:ascii="Arial" w:hAnsi="Arial" w:cs="Arial"/>
          <w:lang w:val="fr-FR"/>
        </w:rPr>
        <w:t xml:space="preserve"> in </w:t>
      </w:r>
      <w:proofErr w:type="spellStart"/>
      <w:r w:rsidRPr="00BF10D9">
        <w:rPr>
          <w:rFonts w:ascii="Arial" w:hAnsi="Arial" w:cs="Arial"/>
          <w:lang w:val="fr-FR"/>
        </w:rPr>
        <w:t>Tomety-Kondji</w:t>
      </w:r>
      <w:proofErr w:type="spellEnd"/>
      <w:r w:rsidRPr="00BF10D9">
        <w:rPr>
          <w:rFonts w:ascii="Arial" w:hAnsi="Arial" w:cs="Arial"/>
          <w:lang w:val="fr-FR"/>
        </w:rPr>
        <w:t xml:space="preserve">, a </w:t>
      </w:r>
      <w:proofErr w:type="spellStart"/>
      <w:r w:rsidRPr="00BF10D9">
        <w:rPr>
          <w:rFonts w:ascii="Arial" w:hAnsi="Arial" w:cs="Arial"/>
          <w:lang w:val="fr-FR"/>
        </w:rPr>
        <w:t>riverside</w:t>
      </w:r>
      <w:proofErr w:type="spellEnd"/>
      <w:r w:rsidRPr="00BF10D9">
        <w:rPr>
          <w:rFonts w:ascii="Arial" w:hAnsi="Arial" w:cs="Arial"/>
          <w:lang w:val="fr-FR"/>
        </w:rPr>
        <w:t xml:space="preserve"> canton in the </w:t>
      </w:r>
      <w:proofErr w:type="spellStart"/>
      <w:r w:rsidRPr="00BF10D9">
        <w:rPr>
          <w:rFonts w:ascii="Arial" w:hAnsi="Arial" w:cs="Arial"/>
          <w:lang w:val="fr-FR"/>
        </w:rPr>
        <w:t>Togodo</w:t>
      </w:r>
      <w:proofErr w:type="spellEnd"/>
      <w:r w:rsidRPr="00BF10D9">
        <w:rPr>
          <w:rFonts w:ascii="Arial" w:hAnsi="Arial" w:cs="Arial"/>
          <w:lang w:val="fr-FR"/>
        </w:rPr>
        <w:t xml:space="preserve"> National Park - South of Togo. Int. J. Bio.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16(3</w:t>
      </w:r>
      <w:proofErr w:type="gramStart"/>
      <w:r w:rsidRPr="00BF10D9">
        <w:rPr>
          <w:rFonts w:ascii="Arial" w:hAnsi="Arial" w:cs="Arial"/>
          <w:lang w:val="fr-FR"/>
        </w:rPr>
        <w:t>):</w:t>
      </w:r>
      <w:proofErr w:type="gramEnd"/>
      <w:r w:rsidRPr="00BF10D9">
        <w:rPr>
          <w:rFonts w:ascii="Arial" w:hAnsi="Arial" w:cs="Arial"/>
          <w:lang w:val="fr-FR"/>
        </w:rPr>
        <w:t xml:space="preserve"> 967-991. (French)</w:t>
      </w:r>
    </w:p>
    <w:p w14:paraId="58A9906D" w14:textId="77777777" w:rsidR="00BF10D9"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Oyewole</w:t>
      </w:r>
      <w:proofErr w:type="spellEnd"/>
      <w:r w:rsidRPr="00BF10D9">
        <w:rPr>
          <w:rFonts w:ascii="Arial" w:hAnsi="Arial" w:cs="Arial"/>
          <w:lang w:val="fr-FR"/>
        </w:rPr>
        <w:t xml:space="preserve">, O.I., </w:t>
      </w:r>
      <w:proofErr w:type="spellStart"/>
      <w:r w:rsidRPr="00BF10D9">
        <w:rPr>
          <w:rFonts w:ascii="Arial" w:hAnsi="Arial" w:cs="Arial"/>
          <w:lang w:val="fr-FR"/>
        </w:rPr>
        <w:t>Owoseni</w:t>
      </w:r>
      <w:proofErr w:type="spellEnd"/>
      <w:r w:rsidRPr="00BF10D9">
        <w:rPr>
          <w:rFonts w:ascii="Arial" w:hAnsi="Arial" w:cs="Arial"/>
          <w:lang w:val="fr-FR"/>
        </w:rPr>
        <w:t xml:space="preserve">, A.A. and </w:t>
      </w:r>
      <w:proofErr w:type="spellStart"/>
      <w:r w:rsidRPr="00BF10D9">
        <w:rPr>
          <w:rFonts w:ascii="Arial" w:hAnsi="Arial" w:cs="Arial"/>
          <w:lang w:val="fr-FR"/>
        </w:rPr>
        <w:t>Faboro</w:t>
      </w:r>
      <w:proofErr w:type="spellEnd"/>
      <w:r w:rsidRPr="00BF10D9">
        <w:rPr>
          <w:rFonts w:ascii="Arial" w:hAnsi="Arial" w:cs="Arial"/>
          <w:lang w:val="fr-FR"/>
        </w:rPr>
        <w:t xml:space="preserve">, E.O., 2010. </w:t>
      </w:r>
      <w:proofErr w:type="spellStart"/>
      <w:r w:rsidRPr="00BF10D9">
        <w:rPr>
          <w:rFonts w:ascii="Arial" w:hAnsi="Arial" w:cs="Arial"/>
          <w:lang w:val="fr-FR"/>
        </w:rPr>
        <w:t>Studies</w:t>
      </w:r>
      <w:proofErr w:type="spellEnd"/>
      <w:r w:rsidRPr="00BF10D9">
        <w:rPr>
          <w:rFonts w:ascii="Arial" w:hAnsi="Arial" w:cs="Arial"/>
          <w:lang w:val="fr-FR"/>
        </w:rPr>
        <w:t xml:space="preserve"> on </w:t>
      </w:r>
      <w:proofErr w:type="spellStart"/>
      <w:r w:rsidRPr="00BF10D9">
        <w:rPr>
          <w:rFonts w:ascii="Arial" w:hAnsi="Arial" w:cs="Arial"/>
          <w:lang w:val="fr-FR"/>
        </w:rPr>
        <w:t>medicinal</w:t>
      </w:r>
      <w:proofErr w:type="spellEnd"/>
      <w:r w:rsidRPr="00BF10D9">
        <w:rPr>
          <w:rFonts w:ascii="Arial" w:hAnsi="Arial" w:cs="Arial"/>
          <w:lang w:val="fr-FR"/>
        </w:rPr>
        <w:t xml:space="preserve"> and </w:t>
      </w:r>
      <w:proofErr w:type="spellStart"/>
      <w:r w:rsidRPr="00BF10D9">
        <w:rPr>
          <w:rFonts w:ascii="Arial" w:hAnsi="Arial" w:cs="Arial"/>
          <w:lang w:val="fr-FR"/>
        </w:rPr>
        <w:t>toxicological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w:t>
      </w:r>
      <w:proofErr w:type="spellStart"/>
      <w:r w:rsidRPr="00BF10D9">
        <w:rPr>
          <w:rFonts w:ascii="Arial" w:hAnsi="Arial" w:cs="Arial"/>
          <w:lang w:val="fr-FR"/>
        </w:rPr>
        <w:t>Ricinus</w:t>
      </w:r>
      <w:proofErr w:type="spellEnd"/>
      <w:r w:rsidRPr="00BF10D9">
        <w:rPr>
          <w:rFonts w:ascii="Arial" w:hAnsi="Arial" w:cs="Arial"/>
          <w:lang w:val="fr-FR"/>
        </w:rPr>
        <w:t xml:space="preserve"> </w:t>
      </w:r>
      <w:proofErr w:type="spellStart"/>
      <w:r w:rsidRPr="00BF10D9">
        <w:rPr>
          <w:rFonts w:ascii="Arial" w:hAnsi="Arial" w:cs="Arial"/>
          <w:lang w:val="fr-FR"/>
        </w:rPr>
        <w:t>communis</w:t>
      </w:r>
      <w:proofErr w:type="spellEnd"/>
      <w:r w:rsidRPr="00BF10D9">
        <w:rPr>
          <w:rFonts w:ascii="Arial" w:hAnsi="Arial" w:cs="Arial"/>
          <w:lang w:val="fr-FR"/>
        </w:rPr>
        <w:t xml:space="preserve"> and Thymus vulgaris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J. Med. Plant. </w:t>
      </w:r>
      <w:proofErr w:type="spellStart"/>
      <w:r w:rsidRPr="00BF10D9">
        <w:rPr>
          <w:rFonts w:ascii="Arial" w:hAnsi="Arial" w:cs="Arial"/>
          <w:lang w:val="fr-FR"/>
        </w:rPr>
        <w:t>Res</w:t>
      </w:r>
      <w:proofErr w:type="spellEnd"/>
      <w:r w:rsidRPr="00BF10D9">
        <w:rPr>
          <w:rFonts w:ascii="Arial" w:hAnsi="Arial" w:cs="Arial"/>
          <w:lang w:val="fr-FR"/>
        </w:rPr>
        <w:t>., 4(19</w:t>
      </w:r>
      <w:proofErr w:type="gramStart"/>
      <w:r w:rsidRPr="00BF10D9">
        <w:rPr>
          <w:rFonts w:ascii="Arial" w:hAnsi="Arial" w:cs="Arial"/>
          <w:lang w:val="fr-FR"/>
        </w:rPr>
        <w:t>):</w:t>
      </w:r>
      <w:proofErr w:type="gramEnd"/>
      <w:r w:rsidRPr="00BF10D9">
        <w:rPr>
          <w:rFonts w:ascii="Arial" w:hAnsi="Arial" w:cs="Arial"/>
          <w:lang w:val="fr-FR"/>
        </w:rPr>
        <w:t xml:space="preserve"> 2004-2008. </w:t>
      </w:r>
    </w:p>
    <w:p w14:paraId="1925EE83" w14:textId="3CF9DD3F"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Pal, D., Mishra, P., </w:t>
      </w:r>
      <w:proofErr w:type="spellStart"/>
      <w:r w:rsidRPr="00BF10D9">
        <w:rPr>
          <w:rFonts w:ascii="Arial" w:hAnsi="Arial" w:cs="Arial"/>
          <w:lang w:val="fr-FR"/>
        </w:rPr>
        <w:t>Sachan</w:t>
      </w:r>
      <w:proofErr w:type="spellEnd"/>
      <w:r w:rsidRPr="00BF10D9">
        <w:rPr>
          <w:rFonts w:ascii="Arial" w:hAnsi="Arial" w:cs="Arial"/>
          <w:lang w:val="fr-FR"/>
        </w:rPr>
        <w:t xml:space="preserve"> N. and Ghosh A., 2011.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and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J.Adv</w:t>
      </w:r>
      <w:proofErr w:type="spellEnd"/>
      <w:r w:rsidRPr="00BF10D9">
        <w:rPr>
          <w:rFonts w:ascii="Arial" w:hAnsi="Arial" w:cs="Arial"/>
          <w:lang w:val="fr-FR"/>
        </w:rPr>
        <w:t xml:space="preserve">. Pharm. </w:t>
      </w:r>
      <w:proofErr w:type="spellStart"/>
      <w:r w:rsidRPr="00BF10D9">
        <w:rPr>
          <w:rFonts w:ascii="Arial" w:hAnsi="Arial" w:cs="Arial"/>
          <w:lang w:val="fr-FR"/>
        </w:rPr>
        <w:t>Technol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xml:space="preserve">., </w:t>
      </w:r>
      <w:proofErr w:type="gramStart"/>
      <w:r w:rsidRPr="00BF10D9">
        <w:rPr>
          <w:rFonts w:ascii="Arial" w:hAnsi="Arial" w:cs="Arial"/>
          <w:lang w:val="fr-FR"/>
        </w:rPr>
        <w:t>2011;</w:t>
      </w:r>
      <w:proofErr w:type="gramEnd"/>
      <w:r w:rsidRPr="00BF10D9">
        <w:rPr>
          <w:rFonts w:ascii="Arial" w:hAnsi="Arial" w:cs="Arial"/>
          <w:lang w:val="fr-FR"/>
        </w:rPr>
        <w:t xml:space="preserve"> 2(4): 207-214. https://doi.org/10.4103/2231-4040.90874</w:t>
      </w:r>
    </w:p>
    <w:p w14:paraId="5F3BE48A"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Porras</w:t>
      </w:r>
      <w:proofErr w:type="spellEnd"/>
      <w:r w:rsidRPr="00BF10D9">
        <w:rPr>
          <w:rFonts w:ascii="Arial" w:hAnsi="Arial" w:cs="Arial"/>
          <w:lang w:val="fr-FR"/>
        </w:rPr>
        <w:t xml:space="preserve">, G., Chassagne, F., </w:t>
      </w:r>
      <w:proofErr w:type="spellStart"/>
      <w:r w:rsidRPr="00BF10D9">
        <w:rPr>
          <w:rFonts w:ascii="Arial" w:hAnsi="Arial" w:cs="Arial"/>
          <w:lang w:val="fr-FR"/>
        </w:rPr>
        <w:t>Lyles</w:t>
      </w:r>
      <w:proofErr w:type="spellEnd"/>
      <w:r w:rsidRPr="00BF10D9">
        <w:rPr>
          <w:rFonts w:ascii="Arial" w:hAnsi="Arial" w:cs="Arial"/>
          <w:lang w:val="fr-FR"/>
        </w:rPr>
        <w:t xml:space="preserve">, J.T., Marquez, L., </w:t>
      </w:r>
      <w:proofErr w:type="spellStart"/>
      <w:r w:rsidRPr="00BF10D9">
        <w:rPr>
          <w:rFonts w:ascii="Arial" w:hAnsi="Arial" w:cs="Arial"/>
          <w:lang w:val="fr-FR"/>
        </w:rPr>
        <w:t>Dettweiler</w:t>
      </w:r>
      <w:proofErr w:type="spellEnd"/>
      <w:r w:rsidRPr="00BF10D9">
        <w:rPr>
          <w:rFonts w:ascii="Arial" w:hAnsi="Arial" w:cs="Arial"/>
          <w:lang w:val="fr-FR"/>
        </w:rPr>
        <w:t xml:space="preserve">, M., Salam, A.M. et al., 2021. </w:t>
      </w:r>
      <w:proofErr w:type="spellStart"/>
      <w:r w:rsidRPr="00BF10D9">
        <w:rPr>
          <w:rFonts w:ascii="Arial" w:hAnsi="Arial" w:cs="Arial"/>
          <w:lang w:val="fr-FR"/>
        </w:rPr>
        <w:t>Ethnobotany</w:t>
      </w:r>
      <w:proofErr w:type="spellEnd"/>
      <w:r w:rsidRPr="00BF10D9">
        <w:rPr>
          <w:rFonts w:ascii="Arial" w:hAnsi="Arial" w:cs="Arial"/>
          <w:lang w:val="fr-FR"/>
        </w:rPr>
        <w:t xml:space="preserve"> and the </w:t>
      </w:r>
      <w:proofErr w:type="spellStart"/>
      <w:r w:rsidRPr="00BF10D9">
        <w:rPr>
          <w:rFonts w:ascii="Arial" w:hAnsi="Arial" w:cs="Arial"/>
          <w:lang w:val="fr-FR"/>
        </w:rPr>
        <w:t>Role</w:t>
      </w:r>
      <w:proofErr w:type="spellEnd"/>
      <w:r w:rsidRPr="00BF10D9">
        <w:rPr>
          <w:rFonts w:ascii="Arial" w:hAnsi="Arial" w:cs="Arial"/>
          <w:lang w:val="fr-FR"/>
        </w:rPr>
        <w:t xml:space="preserve"> of Plant Natural </w:t>
      </w:r>
      <w:proofErr w:type="spellStart"/>
      <w:r w:rsidRPr="00BF10D9">
        <w:rPr>
          <w:rFonts w:ascii="Arial" w:hAnsi="Arial" w:cs="Arial"/>
          <w:lang w:val="fr-FR"/>
        </w:rPr>
        <w:t>Products</w:t>
      </w:r>
      <w:proofErr w:type="spellEnd"/>
      <w:r w:rsidRPr="00BF10D9">
        <w:rPr>
          <w:rFonts w:ascii="Arial" w:hAnsi="Arial" w:cs="Arial"/>
          <w:lang w:val="fr-FR"/>
        </w:rPr>
        <w:t xml:space="preserve"> in </w:t>
      </w:r>
      <w:proofErr w:type="spellStart"/>
      <w:r w:rsidRPr="00BF10D9">
        <w:rPr>
          <w:rFonts w:ascii="Arial" w:hAnsi="Arial" w:cs="Arial"/>
          <w:lang w:val="fr-FR"/>
        </w:rPr>
        <w:t>Antibiotic</w:t>
      </w:r>
      <w:proofErr w:type="spellEnd"/>
      <w:r w:rsidRPr="00BF10D9">
        <w:rPr>
          <w:rFonts w:ascii="Arial" w:hAnsi="Arial" w:cs="Arial"/>
          <w:lang w:val="fr-FR"/>
        </w:rPr>
        <w:t xml:space="preserve"> Drug Discovery.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Rev</w:t>
      </w:r>
      <w:proofErr w:type="spellEnd"/>
      <w:r w:rsidRPr="00BF10D9">
        <w:rPr>
          <w:rFonts w:ascii="Arial" w:hAnsi="Arial" w:cs="Arial"/>
          <w:lang w:val="fr-FR"/>
        </w:rPr>
        <w:t>., 121(6</w:t>
      </w:r>
      <w:proofErr w:type="gramStart"/>
      <w:r w:rsidRPr="00BF10D9">
        <w:rPr>
          <w:rFonts w:ascii="Arial" w:hAnsi="Arial" w:cs="Arial"/>
          <w:lang w:val="fr-FR"/>
        </w:rPr>
        <w:t>):</w:t>
      </w:r>
      <w:proofErr w:type="gramEnd"/>
      <w:r w:rsidRPr="00BF10D9">
        <w:rPr>
          <w:rFonts w:ascii="Arial" w:hAnsi="Arial" w:cs="Arial"/>
          <w:lang w:val="fr-FR"/>
        </w:rPr>
        <w:t>3495-3560. https://doi.org/10.1021/acs.chemrev.0c00922</w:t>
      </w:r>
    </w:p>
    <w:p w14:paraId="17BB70E1"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Pratima, H. and </w:t>
      </w:r>
      <w:proofErr w:type="spellStart"/>
      <w:r w:rsidRPr="00BF10D9">
        <w:rPr>
          <w:rFonts w:ascii="Arial" w:hAnsi="Arial" w:cs="Arial"/>
          <w:lang w:val="fr-FR"/>
        </w:rPr>
        <w:t>Mathad</w:t>
      </w:r>
      <w:proofErr w:type="spellEnd"/>
      <w:r w:rsidRPr="00BF10D9">
        <w:rPr>
          <w:rFonts w:ascii="Arial" w:hAnsi="Arial" w:cs="Arial"/>
          <w:lang w:val="fr-FR"/>
        </w:rPr>
        <w:t xml:space="preserve">, P., 2011.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w:t>
      </w:r>
      <w:proofErr w:type="spellStart"/>
      <w:r w:rsidRPr="00BF10D9">
        <w:rPr>
          <w:rFonts w:ascii="Arial" w:hAnsi="Arial" w:cs="Arial"/>
          <w:lang w:val="fr-FR"/>
        </w:rPr>
        <w:t>various</w:t>
      </w:r>
      <w:proofErr w:type="spellEnd"/>
      <w:r w:rsidRPr="00BF10D9">
        <w:rPr>
          <w:rFonts w:ascii="Arial" w:hAnsi="Arial" w:cs="Arial"/>
          <w:lang w:val="fr-FR"/>
        </w:rPr>
        <w:t xml:space="preserve">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Bioscan</w:t>
      </w:r>
      <w:proofErr w:type="spellEnd"/>
      <w:r w:rsidRPr="00BF10D9">
        <w:rPr>
          <w:rFonts w:ascii="Arial" w:hAnsi="Arial" w:cs="Arial"/>
          <w:lang w:val="fr-FR"/>
        </w:rPr>
        <w:t>., 6(1</w:t>
      </w:r>
      <w:proofErr w:type="gramStart"/>
      <w:r w:rsidRPr="00BF10D9">
        <w:rPr>
          <w:rFonts w:ascii="Arial" w:hAnsi="Arial" w:cs="Arial"/>
          <w:lang w:val="fr-FR"/>
        </w:rPr>
        <w:t>):</w:t>
      </w:r>
      <w:proofErr w:type="gramEnd"/>
      <w:r w:rsidRPr="00BF10D9">
        <w:rPr>
          <w:rFonts w:ascii="Arial" w:hAnsi="Arial" w:cs="Arial"/>
          <w:lang w:val="fr-FR"/>
        </w:rPr>
        <w:t xml:space="preserve"> 111-1114.</w:t>
      </w:r>
    </w:p>
    <w:p w14:paraId="0CE62D0D"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lastRenderedPageBreak/>
        <w:t xml:space="preserve">Rambaud, C., 2008. </w:t>
      </w:r>
      <w:proofErr w:type="spellStart"/>
      <w:r w:rsidRPr="00BF10D9">
        <w:rPr>
          <w:rFonts w:ascii="Arial" w:hAnsi="Arial" w:cs="Arial"/>
          <w:lang w:val="fr-FR"/>
        </w:rPr>
        <w:t>Decisions</w:t>
      </w:r>
      <w:proofErr w:type="spellEnd"/>
      <w:r w:rsidRPr="00BF10D9">
        <w:rPr>
          <w:rFonts w:ascii="Arial" w:hAnsi="Arial" w:cs="Arial"/>
          <w:lang w:val="fr-FR"/>
        </w:rPr>
        <w:t xml:space="preserve"> have a </w:t>
      </w:r>
      <w:proofErr w:type="spellStart"/>
      <w:proofErr w:type="gramStart"/>
      <w:r w:rsidRPr="00BF10D9">
        <w:rPr>
          <w:rFonts w:ascii="Arial" w:hAnsi="Arial" w:cs="Arial"/>
          <w:lang w:val="fr-FR"/>
        </w:rPr>
        <w:t>history</w:t>
      </w:r>
      <w:proofErr w:type="spellEnd"/>
      <w:r w:rsidRPr="00BF10D9">
        <w:rPr>
          <w:rFonts w:ascii="Arial" w:hAnsi="Arial" w:cs="Arial"/>
          <w:lang w:val="fr-FR"/>
        </w:rPr>
        <w:t>:</w:t>
      </w:r>
      <w:proofErr w:type="gramEnd"/>
      <w:r w:rsidRPr="00BF10D9">
        <w:rPr>
          <w:rFonts w:ascii="Arial" w:hAnsi="Arial" w:cs="Arial"/>
          <w:lang w:val="fr-FR"/>
        </w:rPr>
        <w:t xml:space="preserve"> nosocomial infections. Public </w:t>
      </w:r>
      <w:proofErr w:type="spellStart"/>
      <w:r w:rsidRPr="00BF10D9">
        <w:rPr>
          <w:rFonts w:ascii="Arial" w:hAnsi="Arial" w:cs="Arial"/>
          <w:lang w:val="fr-FR"/>
        </w:rPr>
        <w:t>Health</w:t>
      </w:r>
      <w:proofErr w:type="spellEnd"/>
      <w:r w:rsidRPr="00BF10D9">
        <w:rPr>
          <w:rFonts w:ascii="Arial" w:hAnsi="Arial" w:cs="Arial"/>
          <w:lang w:val="fr-FR"/>
        </w:rPr>
        <w:t>, 20(4</w:t>
      </w:r>
      <w:proofErr w:type="gramStart"/>
      <w:r w:rsidRPr="00BF10D9">
        <w:rPr>
          <w:rFonts w:ascii="Arial" w:hAnsi="Arial" w:cs="Arial"/>
          <w:lang w:val="fr-FR"/>
        </w:rPr>
        <w:t>):</w:t>
      </w:r>
      <w:proofErr w:type="gramEnd"/>
      <w:r w:rsidRPr="00BF10D9">
        <w:rPr>
          <w:rFonts w:ascii="Arial" w:hAnsi="Arial" w:cs="Arial"/>
          <w:lang w:val="fr-FR"/>
        </w:rPr>
        <w:t xml:space="preserve"> 353-356. (French)</w:t>
      </w:r>
    </w:p>
    <w:p w14:paraId="755AFFDF" w14:textId="7684314B"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Rozman</w:t>
      </w:r>
      <w:proofErr w:type="spellEnd"/>
      <w:r w:rsidRPr="00BF10D9">
        <w:rPr>
          <w:rFonts w:ascii="Arial" w:hAnsi="Arial" w:cs="Arial"/>
          <w:lang w:val="fr-FR"/>
        </w:rPr>
        <w:t xml:space="preserve">, U., </w:t>
      </w:r>
      <w:proofErr w:type="spellStart"/>
      <w:r w:rsidRPr="00BF10D9">
        <w:rPr>
          <w:rFonts w:ascii="Arial" w:hAnsi="Arial" w:cs="Arial"/>
          <w:lang w:val="fr-FR"/>
        </w:rPr>
        <w:t>Pušnik</w:t>
      </w:r>
      <w:proofErr w:type="spellEnd"/>
      <w:r w:rsidRPr="00BF10D9">
        <w:rPr>
          <w:rFonts w:ascii="Arial" w:hAnsi="Arial" w:cs="Arial"/>
          <w:lang w:val="fr-FR"/>
        </w:rPr>
        <w:t xml:space="preserve">, M., </w:t>
      </w:r>
      <w:proofErr w:type="spellStart"/>
      <w:r w:rsidRPr="00BF10D9">
        <w:rPr>
          <w:rFonts w:ascii="Arial" w:hAnsi="Arial" w:cs="Arial"/>
          <w:lang w:val="fr-FR"/>
        </w:rPr>
        <w:t>Kmetec</w:t>
      </w:r>
      <w:proofErr w:type="spellEnd"/>
      <w:r w:rsidRPr="00BF10D9">
        <w:rPr>
          <w:rFonts w:ascii="Arial" w:hAnsi="Arial" w:cs="Arial"/>
          <w:lang w:val="fr-FR"/>
        </w:rPr>
        <w:t xml:space="preserve">, S., </w:t>
      </w:r>
      <w:proofErr w:type="spellStart"/>
      <w:r w:rsidRPr="00BF10D9">
        <w:rPr>
          <w:rFonts w:ascii="Arial" w:hAnsi="Arial" w:cs="Arial"/>
          <w:lang w:val="fr-FR"/>
        </w:rPr>
        <w:t>Duh</w:t>
      </w:r>
      <w:proofErr w:type="spellEnd"/>
      <w:r w:rsidRPr="00BF10D9">
        <w:rPr>
          <w:rFonts w:ascii="Arial" w:hAnsi="Arial" w:cs="Arial"/>
          <w:lang w:val="fr-FR"/>
        </w:rPr>
        <w:t xml:space="preserve">, D. and </w:t>
      </w:r>
      <w:proofErr w:type="spellStart"/>
      <w:r w:rsidRPr="00BF10D9">
        <w:rPr>
          <w:rFonts w:ascii="Arial" w:hAnsi="Arial" w:cs="Arial"/>
          <w:lang w:val="fr-FR"/>
        </w:rPr>
        <w:t>Šostar</w:t>
      </w:r>
      <w:proofErr w:type="spellEnd"/>
      <w:r w:rsidRPr="00BF10D9">
        <w:rPr>
          <w:rFonts w:ascii="Arial" w:hAnsi="Arial" w:cs="Arial"/>
          <w:lang w:val="fr-FR"/>
        </w:rPr>
        <w:t xml:space="preserve"> Turk, S., 2021. </w:t>
      </w:r>
      <w:proofErr w:type="spellStart"/>
      <w:r w:rsidRPr="00BF10D9">
        <w:rPr>
          <w:rFonts w:ascii="Arial" w:hAnsi="Arial" w:cs="Arial"/>
          <w:lang w:val="fr-FR"/>
        </w:rPr>
        <w:t>Reduced</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 xml:space="preserve"> and </w:t>
      </w:r>
      <w:proofErr w:type="spellStart"/>
      <w:r w:rsidRPr="00BF10D9">
        <w:rPr>
          <w:rFonts w:ascii="Arial" w:hAnsi="Arial" w:cs="Arial"/>
          <w:lang w:val="fr-FR"/>
        </w:rPr>
        <w:t>Increased</w:t>
      </w:r>
      <w:proofErr w:type="spellEnd"/>
      <w:r w:rsidRPr="00BF10D9">
        <w:rPr>
          <w:rFonts w:ascii="Arial" w:hAnsi="Arial" w:cs="Arial"/>
          <w:lang w:val="fr-FR"/>
        </w:rPr>
        <w:t xml:space="preserve"> Resistance of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Disinfectants</w:t>
      </w:r>
      <w:proofErr w:type="spellEnd"/>
      <w:r w:rsidRPr="00BF10D9">
        <w:rPr>
          <w:rFonts w:ascii="Arial" w:hAnsi="Arial" w:cs="Arial"/>
          <w:lang w:val="fr-FR"/>
        </w:rPr>
        <w:t>:</w:t>
      </w:r>
      <w:proofErr w:type="gramEnd"/>
      <w:r w:rsidRPr="00BF10D9">
        <w:rPr>
          <w:rFonts w:ascii="Arial" w:hAnsi="Arial" w:cs="Arial"/>
          <w:lang w:val="fr-FR"/>
        </w:rPr>
        <w:t xml:space="preserve"> A </w:t>
      </w:r>
      <w:proofErr w:type="spellStart"/>
      <w:r w:rsidRPr="00BF10D9">
        <w:rPr>
          <w:rFonts w:ascii="Arial" w:hAnsi="Arial" w:cs="Arial"/>
          <w:lang w:val="fr-FR"/>
        </w:rPr>
        <w:t>Systematic</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w:t>
      </w:r>
      <w:proofErr w:type="spellStart"/>
      <w:r w:rsidRPr="00BF10D9">
        <w:rPr>
          <w:rFonts w:ascii="Arial" w:hAnsi="Arial" w:cs="Arial"/>
          <w:lang w:val="fr-FR"/>
        </w:rPr>
        <w:t>Microorganisms</w:t>
      </w:r>
      <w:proofErr w:type="spellEnd"/>
      <w:r w:rsidRPr="00BF10D9">
        <w:rPr>
          <w:rFonts w:ascii="Arial" w:hAnsi="Arial" w:cs="Arial"/>
          <w:lang w:val="fr-FR"/>
        </w:rPr>
        <w:t>, 9(12</w:t>
      </w:r>
      <w:proofErr w:type="gramStart"/>
      <w:r w:rsidRPr="00BF10D9">
        <w:rPr>
          <w:rFonts w:ascii="Arial" w:hAnsi="Arial" w:cs="Arial"/>
          <w:lang w:val="fr-FR"/>
        </w:rPr>
        <w:t>):</w:t>
      </w:r>
      <w:proofErr w:type="gramEnd"/>
      <w:r w:rsidRPr="00BF10D9">
        <w:rPr>
          <w:rFonts w:ascii="Arial" w:hAnsi="Arial" w:cs="Arial"/>
          <w:lang w:val="fr-FR"/>
        </w:rPr>
        <w:t xml:space="preserve">2550. </w:t>
      </w:r>
      <w:hyperlink r:id="rId11" w:history="1">
        <w:r w:rsidR="00BF10D9" w:rsidRPr="00BF10D9">
          <w:rPr>
            <w:rStyle w:val="Hyperlink"/>
            <w:rFonts w:ascii="Arial" w:hAnsi="Arial" w:cs="Arial"/>
            <w:lang w:val="fr-FR"/>
          </w:rPr>
          <w:t>https://doi.org/10.3390/microorganisms9122550</w:t>
        </w:r>
      </w:hyperlink>
    </w:p>
    <w:p w14:paraId="15B86659" w14:textId="77777777" w:rsidR="00BF10D9" w:rsidRPr="00BF10D9" w:rsidRDefault="00BF10D9" w:rsidP="00BF10D9">
      <w:pPr>
        <w:spacing w:before="120" w:after="120"/>
        <w:rPr>
          <w:rFonts w:ascii="Arial" w:hAnsi="Arial" w:cs="Arial"/>
          <w:lang w:val="fr-FR"/>
        </w:rPr>
      </w:pPr>
    </w:p>
    <w:p w14:paraId="3F16F809"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Seuwo</w:t>
      </w:r>
      <w:proofErr w:type="spellEnd"/>
      <w:r w:rsidRPr="00BF10D9">
        <w:rPr>
          <w:rFonts w:ascii="Arial" w:hAnsi="Arial" w:cs="Arial"/>
          <w:lang w:val="fr-FR"/>
        </w:rPr>
        <w:t xml:space="preserve"> </w:t>
      </w:r>
      <w:proofErr w:type="spellStart"/>
      <w:r w:rsidRPr="00BF10D9">
        <w:rPr>
          <w:rFonts w:ascii="Arial" w:hAnsi="Arial" w:cs="Arial"/>
          <w:lang w:val="fr-FR"/>
        </w:rPr>
        <w:t>Koumwou</w:t>
      </w:r>
      <w:proofErr w:type="spellEnd"/>
      <w:r w:rsidRPr="00BF10D9">
        <w:rPr>
          <w:rFonts w:ascii="Arial" w:hAnsi="Arial" w:cs="Arial"/>
          <w:lang w:val="fr-FR"/>
        </w:rPr>
        <w:t xml:space="preserve">, C.C.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w:t>
      </w:r>
      <w:proofErr w:type="spellStart"/>
      <w:r w:rsidRPr="00BF10D9">
        <w:rPr>
          <w:rFonts w:ascii="Arial" w:hAnsi="Arial" w:cs="Arial"/>
          <w:lang w:val="fr-FR"/>
        </w:rPr>
        <w:t>Betadine</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surfaces of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Clinics</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University</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6F364C01"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Shamsudin</w:t>
      </w:r>
      <w:proofErr w:type="spellEnd"/>
      <w:r w:rsidRPr="00BF10D9">
        <w:rPr>
          <w:rFonts w:ascii="Arial" w:hAnsi="Arial" w:cs="Arial"/>
          <w:lang w:val="fr-FR"/>
        </w:rPr>
        <w:t xml:space="preserve">, N.F., Ahmed, Q.U., Mahmood, S., Ali Shah, S.A., Khatib, A., Mukhtar, S. et al., 2022.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of </w:t>
      </w:r>
      <w:proofErr w:type="spellStart"/>
      <w:r w:rsidRPr="00BF10D9">
        <w:rPr>
          <w:rFonts w:ascii="Arial" w:hAnsi="Arial" w:cs="Arial"/>
          <w:lang w:val="fr-FR"/>
        </w:rPr>
        <w:t>Flavonoids</w:t>
      </w:r>
      <w:proofErr w:type="spellEnd"/>
      <w:r w:rsidRPr="00BF10D9">
        <w:rPr>
          <w:rFonts w:ascii="Arial" w:hAnsi="Arial" w:cs="Arial"/>
          <w:lang w:val="fr-FR"/>
        </w:rPr>
        <w:t xml:space="preserve"> and </w:t>
      </w:r>
      <w:proofErr w:type="spellStart"/>
      <w:r w:rsidRPr="00BF10D9">
        <w:rPr>
          <w:rFonts w:ascii="Arial" w:hAnsi="Arial" w:cs="Arial"/>
          <w:lang w:val="fr-FR"/>
        </w:rPr>
        <w:t>Their</w:t>
      </w:r>
      <w:proofErr w:type="spellEnd"/>
      <w:r w:rsidRPr="00BF10D9">
        <w:rPr>
          <w:rFonts w:ascii="Arial" w:hAnsi="Arial" w:cs="Arial"/>
          <w:lang w:val="fr-FR"/>
        </w:rPr>
        <w:t xml:space="preserve"> Structure-Activity Relationship </w:t>
      </w:r>
      <w:proofErr w:type="spellStart"/>
      <w:proofErr w:type="gramStart"/>
      <w:r w:rsidRPr="00BF10D9">
        <w:rPr>
          <w:rFonts w:ascii="Arial" w:hAnsi="Arial" w:cs="Arial"/>
          <w:lang w:val="fr-FR"/>
        </w:rPr>
        <w:t>Study</w:t>
      </w:r>
      <w:proofErr w:type="spellEnd"/>
      <w:r w:rsidRPr="00BF10D9">
        <w:rPr>
          <w:rFonts w:ascii="Arial" w:hAnsi="Arial" w:cs="Arial"/>
          <w:lang w:val="fr-FR"/>
        </w:rPr>
        <w:t>:</w:t>
      </w:r>
      <w:proofErr w:type="gramEnd"/>
      <w:r w:rsidRPr="00BF10D9">
        <w:rPr>
          <w:rFonts w:ascii="Arial" w:hAnsi="Arial" w:cs="Arial"/>
          <w:lang w:val="fr-FR"/>
        </w:rPr>
        <w:t xml:space="preserve"> A Comparative </w:t>
      </w:r>
      <w:proofErr w:type="spellStart"/>
      <w:r w:rsidRPr="00BF10D9">
        <w:rPr>
          <w:rFonts w:ascii="Arial" w:hAnsi="Arial" w:cs="Arial"/>
          <w:lang w:val="fr-FR"/>
        </w:rPr>
        <w:t>Interpretation</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27(4</w:t>
      </w:r>
      <w:proofErr w:type="gramStart"/>
      <w:r w:rsidRPr="00BF10D9">
        <w:rPr>
          <w:rFonts w:ascii="Arial" w:hAnsi="Arial" w:cs="Arial"/>
          <w:lang w:val="fr-FR"/>
        </w:rPr>
        <w:t>):</w:t>
      </w:r>
      <w:proofErr w:type="gramEnd"/>
      <w:r w:rsidRPr="00BF10D9">
        <w:rPr>
          <w:rFonts w:ascii="Arial" w:hAnsi="Arial" w:cs="Arial"/>
          <w:lang w:val="fr-FR"/>
        </w:rPr>
        <w:t xml:space="preserve"> 1149. https://doi.org/10.3390/molecules27041149</w:t>
      </w:r>
    </w:p>
    <w:p w14:paraId="110EC14C"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Sharma, A., Anurag Kaur, J., </w:t>
      </w:r>
      <w:proofErr w:type="spellStart"/>
      <w:r w:rsidRPr="00BF10D9">
        <w:rPr>
          <w:rFonts w:ascii="Arial" w:hAnsi="Arial" w:cs="Arial"/>
          <w:lang w:val="fr-FR"/>
        </w:rPr>
        <w:t>Kesharwani</w:t>
      </w:r>
      <w:proofErr w:type="spellEnd"/>
      <w:r w:rsidRPr="00BF10D9">
        <w:rPr>
          <w:rFonts w:ascii="Arial" w:hAnsi="Arial" w:cs="Arial"/>
          <w:lang w:val="fr-FR"/>
        </w:rPr>
        <w:t xml:space="preserve">, A. and </w:t>
      </w:r>
      <w:proofErr w:type="spellStart"/>
      <w:r w:rsidRPr="00BF10D9">
        <w:rPr>
          <w:rFonts w:ascii="Arial" w:hAnsi="Arial" w:cs="Arial"/>
          <w:lang w:val="fr-FR"/>
        </w:rPr>
        <w:t>Parihar</w:t>
      </w:r>
      <w:proofErr w:type="spellEnd"/>
      <w:r w:rsidRPr="00BF10D9">
        <w:rPr>
          <w:rFonts w:ascii="Arial" w:hAnsi="Arial" w:cs="Arial"/>
          <w:lang w:val="fr-FR"/>
        </w:rPr>
        <w:t xml:space="preserve">, V.K., 2024.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Polyphenols</w:t>
      </w:r>
      <w:proofErr w:type="spellEnd"/>
      <w:r w:rsidRPr="00BF10D9">
        <w:rPr>
          <w:rFonts w:ascii="Arial" w:hAnsi="Arial" w:cs="Arial"/>
          <w:lang w:val="fr-FR"/>
        </w:rPr>
        <w:t>:</w:t>
      </w:r>
      <w:proofErr w:type="gramEnd"/>
      <w:r w:rsidRPr="00BF10D9">
        <w:rPr>
          <w:rFonts w:ascii="Arial" w:hAnsi="Arial" w:cs="Arial"/>
          <w:lang w:val="fr-FR"/>
        </w:rPr>
        <w:t xml:space="preserve"> An Update on Alternative for </w:t>
      </w:r>
      <w:proofErr w:type="spellStart"/>
      <w:r w:rsidRPr="00BF10D9">
        <w:rPr>
          <w:rFonts w:ascii="Arial" w:hAnsi="Arial" w:cs="Arial"/>
          <w:lang w:val="fr-FR"/>
        </w:rPr>
        <w:t>Combating</w:t>
      </w:r>
      <w:proofErr w:type="spellEnd"/>
      <w:r w:rsidRPr="00BF10D9">
        <w:rPr>
          <w:rFonts w:ascii="Arial" w:hAnsi="Arial" w:cs="Arial"/>
          <w:lang w:val="fr-FR"/>
        </w:rPr>
        <w:t xml:space="preserve">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Med. </w:t>
      </w:r>
      <w:proofErr w:type="spellStart"/>
      <w:r w:rsidRPr="00BF10D9">
        <w:rPr>
          <w:rFonts w:ascii="Arial" w:hAnsi="Arial" w:cs="Arial"/>
          <w:lang w:val="fr-FR"/>
        </w:rPr>
        <w:t>Chem</w:t>
      </w:r>
      <w:proofErr w:type="spellEnd"/>
      <w:r w:rsidRPr="00BF10D9">
        <w:rPr>
          <w:rFonts w:ascii="Arial" w:hAnsi="Arial" w:cs="Arial"/>
          <w:lang w:val="fr-FR"/>
        </w:rPr>
        <w:t>., 20(6</w:t>
      </w:r>
      <w:proofErr w:type="gramStart"/>
      <w:r w:rsidRPr="00BF10D9">
        <w:rPr>
          <w:rFonts w:ascii="Arial" w:hAnsi="Arial" w:cs="Arial"/>
          <w:lang w:val="fr-FR"/>
        </w:rPr>
        <w:t>):</w:t>
      </w:r>
      <w:proofErr w:type="gramEnd"/>
      <w:r w:rsidRPr="00BF10D9">
        <w:rPr>
          <w:rFonts w:ascii="Arial" w:hAnsi="Arial" w:cs="Arial"/>
          <w:lang w:val="fr-FR"/>
        </w:rPr>
        <w:t xml:space="preserve"> 576-596. https://doi.org/10.2174/0115734064277579240328142639</w:t>
      </w:r>
    </w:p>
    <w:p w14:paraId="7E1A28B1" w14:textId="77777777" w:rsidR="007E6121"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Souza, S.G.P., Santos, I.C.D., </w:t>
      </w:r>
      <w:proofErr w:type="spellStart"/>
      <w:r w:rsidRPr="00BF10D9">
        <w:rPr>
          <w:rFonts w:ascii="Arial" w:hAnsi="Arial" w:cs="Arial"/>
          <w:lang w:val="fr-FR"/>
        </w:rPr>
        <w:t>Bondezan</w:t>
      </w:r>
      <w:proofErr w:type="spellEnd"/>
      <w:r w:rsidRPr="00BF10D9">
        <w:rPr>
          <w:rFonts w:ascii="Arial" w:hAnsi="Arial" w:cs="Arial"/>
          <w:lang w:val="fr-FR"/>
        </w:rPr>
        <w:t xml:space="preserve">, M.A.D., </w:t>
      </w:r>
      <w:proofErr w:type="spellStart"/>
      <w:r w:rsidRPr="00BF10D9">
        <w:rPr>
          <w:rFonts w:ascii="Arial" w:hAnsi="Arial" w:cs="Arial"/>
          <w:lang w:val="fr-FR"/>
        </w:rPr>
        <w:t>Corsatto</w:t>
      </w:r>
      <w:proofErr w:type="spellEnd"/>
      <w:r w:rsidRPr="00BF10D9">
        <w:rPr>
          <w:rFonts w:ascii="Arial" w:hAnsi="Arial" w:cs="Arial"/>
          <w:lang w:val="fr-FR"/>
        </w:rPr>
        <w:t xml:space="preserve">, L.F.M., Caetano, I.C.D.S., </w:t>
      </w:r>
      <w:proofErr w:type="spellStart"/>
      <w:r w:rsidRPr="00BF10D9">
        <w:rPr>
          <w:rFonts w:ascii="Arial" w:hAnsi="Arial" w:cs="Arial"/>
          <w:lang w:val="fr-FR"/>
        </w:rPr>
        <w:t>Zaniolo</w:t>
      </w:r>
      <w:proofErr w:type="spellEnd"/>
      <w:r w:rsidRPr="00BF10D9">
        <w:rPr>
          <w:rFonts w:ascii="Arial" w:hAnsi="Arial" w:cs="Arial"/>
          <w:lang w:val="fr-FR"/>
        </w:rPr>
        <w:t xml:space="preserve"> M.M. et al., 2021.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 </w:t>
      </w:r>
      <w:proofErr w:type="spellStart"/>
      <w:r w:rsidRPr="00BF10D9">
        <w:rPr>
          <w:rFonts w:ascii="Arial" w:hAnsi="Arial" w:cs="Arial"/>
          <w:lang w:val="fr-FR"/>
        </w:rPr>
        <w:t>Potential</w:t>
      </w:r>
      <w:proofErr w:type="spellEnd"/>
      <w:r w:rsidRPr="00BF10D9">
        <w:rPr>
          <w:rFonts w:ascii="Arial" w:hAnsi="Arial" w:cs="Arial"/>
          <w:lang w:val="fr-FR"/>
        </w:rPr>
        <w:t xml:space="preserve"> for </w:t>
      </w:r>
      <w:proofErr w:type="spellStart"/>
      <w:r w:rsidRPr="00BF10D9">
        <w:rPr>
          <w:rFonts w:ascii="Arial" w:hAnsi="Arial" w:cs="Arial"/>
          <w:lang w:val="fr-FR"/>
        </w:rPr>
        <w:t>Multidrug</w:t>
      </w:r>
      <w:proofErr w:type="spellEnd"/>
      <w:r w:rsidRPr="00BF10D9">
        <w:rPr>
          <w:rFonts w:ascii="Arial" w:hAnsi="Arial" w:cs="Arial"/>
          <w:lang w:val="fr-FR"/>
        </w:rPr>
        <w:t xml:space="preserve"> Resistance in Hospital </w:t>
      </w:r>
      <w:proofErr w:type="spellStart"/>
      <w:r w:rsidRPr="00BF10D9">
        <w:rPr>
          <w:rFonts w:ascii="Arial" w:hAnsi="Arial" w:cs="Arial"/>
          <w:lang w:val="fr-FR"/>
        </w:rPr>
        <w:t>Material</w:t>
      </w:r>
      <w:proofErr w:type="spellEnd"/>
      <w:r w:rsidRPr="00BF10D9">
        <w:rPr>
          <w:rFonts w:ascii="Arial" w:hAnsi="Arial" w:cs="Arial"/>
          <w:lang w:val="fr-FR"/>
        </w:rPr>
        <w:t xml:space="preserve">. </w:t>
      </w:r>
      <w:proofErr w:type="spellStart"/>
      <w:r w:rsidRPr="00BF10D9">
        <w:rPr>
          <w:rFonts w:ascii="Arial" w:hAnsi="Arial" w:cs="Arial"/>
          <w:lang w:val="fr-FR"/>
        </w:rPr>
        <w:t>Microb</w:t>
      </w:r>
      <w:proofErr w:type="spellEnd"/>
      <w:r w:rsidRPr="00BF10D9">
        <w:rPr>
          <w:rFonts w:ascii="Arial" w:hAnsi="Arial" w:cs="Arial"/>
          <w:lang w:val="fr-FR"/>
        </w:rPr>
        <w:t xml:space="preserve">. Drug. </w:t>
      </w:r>
      <w:proofErr w:type="spellStart"/>
      <w:r w:rsidRPr="00BF10D9">
        <w:rPr>
          <w:rFonts w:ascii="Arial" w:hAnsi="Arial" w:cs="Arial"/>
          <w:lang w:val="fr-FR"/>
        </w:rPr>
        <w:t>Resist</w:t>
      </w:r>
      <w:proofErr w:type="spellEnd"/>
      <w:r w:rsidRPr="00BF10D9">
        <w:rPr>
          <w:rFonts w:ascii="Arial" w:hAnsi="Arial" w:cs="Arial"/>
          <w:lang w:val="fr-FR"/>
        </w:rPr>
        <w:t>., 27(6</w:t>
      </w:r>
      <w:proofErr w:type="gramStart"/>
      <w:r w:rsidRPr="00BF10D9">
        <w:rPr>
          <w:rFonts w:ascii="Arial" w:hAnsi="Arial" w:cs="Arial"/>
          <w:lang w:val="fr-FR"/>
        </w:rPr>
        <w:t>):</w:t>
      </w:r>
      <w:proofErr w:type="gramEnd"/>
      <w:r w:rsidRPr="00BF10D9">
        <w:rPr>
          <w:rFonts w:ascii="Arial" w:hAnsi="Arial" w:cs="Arial"/>
          <w:lang w:val="fr-FR"/>
        </w:rPr>
        <w:t xml:space="preserve"> 835-842. https://doi.org/10.1089/mdr.2019.0305</w:t>
      </w:r>
    </w:p>
    <w:p w14:paraId="4C981552"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Tchapdie</w:t>
      </w:r>
      <w:proofErr w:type="spellEnd"/>
      <w:r w:rsidRPr="00BF10D9">
        <w:rPr>
          <w:rFonts w:ascii="Arial" w:hAnsi="Arial" w:cs="Arial"/>
          <w:lang w:val="fr-FR"/>
        </w:rPr>
        <w:t xml:space="preserve"> </w:t>
      </w:r>
      <w:proofErr w:type="spellStart"/>
      <w:r w:rsidRPr="00BF10D9">
        <w:rPr>
          <w:rFonts w:ascii="Arial" w:hAnsi="Arial" w:cs="Arial"/>
          <w:lang w:val="fr-FR"/>
        </w:rPr>
        <w:t>Ngassam</w:t>
      </w:r>
      <w:proofErr w:type="spellEnd"/>
      <w:r w:rsidRPr="00BF10D9">
        <w:rPr>
          <w:rFonts w:ascii="Arial" w:hAnsi="Arial" w:cs="Arial"/>
          <w:lang w:val="fr-FR"/>
        </w:rPr>
        <w:t xml:space="preserve">, F.R., </w:t>
      </w:r>
      <w:proofErr w:type="spellStart"/>
      <w:r w:rsidRPr="00BF10D9">
        <w:rPr>
          <w:rFonts w:ascii="Arial" w:hAnsi="Arial" w:cs="Arial"/>
          <w:lang w:val="fr-FR"/>
        </w:rPr>
        <w:t>Megne</w:t>
      </w:r>
      <w:proofErr w:type="spellEnd"/>
      <w:r w:rsidRPr="00BF10D9">
        <w:rPr>
          <w:rFonts w:ascii="Arial" w:hAnsi="Arial" w:cs="Arial"/>
          <w:lang w:val="fr-FR"/>
        </w:rPr>
        <w:t xml:space="preserve"> </w:t>
      </w:r>
      <w:proofErr w:type="spellStart"/>
      <w:r w:rsidRPr="00BF10D9">
        <w:rPr>
          <w:rFonts w:ascii="Arial" w:hAnsi="Arial" w:cs="Arial"/>
          <w:lang w:val="fr-FR"/>
        </w:rPr>
        <w:t>Tantse</w:t>
      </w:r>
      <w:proofErr w:type="spellEnd"/>
      <w:r w:rsidRPr="00BF10D9">
        <w:rPr>
          <w:rFonts w:ascii="Arial" w:hAnsi="Arial" w:cs="Arial"/>
          <w:lang w:val="fr-FR"/>
        </w:rPr>
        <w:t xml:space="preserve">,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Noukela</w:t>
      </w:r>
      <w:proofErr w:type="spellEnd"/>
      <w:r w:rsidRPr="00BF10D9">
        <w:rPr>
          <w:rFonts w:ascii="Arial" w:hAnsi="Arial" w:cs="Arial"/>
          <w:lang w:val="fr-FR"/>
        </w:rPr>
        <w:t xml:space="preserve"> </w:t>
      </w:r>
      <w:proofErr w:type="spellStart"/>
      <w:r w:rsidRPr="00BF10D9">
        <w:rPr>
          <w:rFonts w:ascii="Arial" w:hAnsi="Arial" w:cs="Arial"/>
          <w:lang w:val="fr-FR"/>
        </w:rPr>
        <w:t>Noumi</w:t>
      </w:r>
      <w:proofErr w:type="spellEnd"/>
      <w:r w:rsidRPr="00BF10D9">
        <w:rPr>
          <w:rFonts w:ascii="Arial" w:hAnsi="Arial" w:cs="Arial"/>
          <w:lang w:val="fr-FR"/>
        </w:rPr>
        <w:t xml:space="preserve">, D.P., </w:t>
      </w:r>
      <w:proofErr w:type="spellStart"/>
      <w:r w:rsidRPr="00BF10D9">
        <w:rPr>
          <w:rFonts w:ascii="Arial" w:hAnsi="Arial" w:cs="Arial"/>
          <w:lang w:val="fr-FR"/>
        </w:rPr>
        <w:t>Kouamouo</w:t>
      </w:r>
      <w:proofErr w:type="spellEnd"/>
      <w:r w:rsidRPr="00BF10D9">
        <w:rPr>
          <w:rFonts w:ascii="Arial" w:hAnsi="Arial" w:cs="Arial"/>
          <w:lang w:val="fr-FR"/>
        </w:rPr>
        <w:t xml:space="preserve">, J., Simo </w:t>
      </w:r>
      <w:proofErr w:type="spellStart"/>
      <w:r w:rsidRPr="00BF10D9">
        <w:rPr>
          <w:rFonts w:ascii="Arial" w:hAnsi="Arial" w:cs="Arial"/>
          <w:lang w:val="fr-FR"/>
        </w:rPr>
        <w:t>Louokdom</w:t>
      </w:r>
      <w:proofErr w:type="spellEnd"/>
      <w:r w:rsidRPr="00BF10D9">
        <w:rPr>
          <w:rFonts w:ascii="Arial" w:hAnsi="Arial" w:cs="Arial"/>
          <w:lang w:val="fr-FR"/>
        </w:rPr>
        <w:t xml:space="preserve">, J. et al., 2017. </w:t>
      </w:r>
      <w:proofErr w:type="spellStart"/>
      <w:r w:rsidRPr="00BF10D9">
        <w:rPr>
          <w:rFonts w:ascii="Arial" w:hAnsi="Arial" w:cs="Arial"/>
          <w:lang w:val="fr-FR"/>
        </w:rPr>
        <w:t>Multicenter</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on </w:t>
      </w:r>
      <w:proofErr w:type="spellStart"/>
      <w:r w:rsidRPr="00BF10D9">
        <w:rPr>
          <w:rFonts w:ascii="Arial" w:hAnsi="Arial" w:cs="Arial"/>
          <w:lang w:val="fr-FR"/>
        </w:rPr>
        <w:t>antibiotic</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w:t>
      </w:r>
      <w:proofErr w:type="spellStart"/>
      <w:r w:rsidRPr="00BF10D9">
        <w:rPr>
          <w:rFonts w:ascii="Arial" w:hAnsi="Arial" w:cs="Arial"/>
          <w:lang w:val="fr-FR"/>
        </w:rPr>
        <w:t>resistance</w:t>
      </w:r>
      <w:proofErr w:type="spellEnd"/>
      <w:r w:rsidRPr="00BF10D9">
        <w:rPr>
          <w:rFonts w:ascii="Arial" w:hAnsi="Arial" w:cs="Arial"/>
          <w:lang w:val="fr-FR"/>
        </w:rPr>
        <w:t xml:space="preserve"> trends in the western </w:t>
      </w:r>
      <w:proofErr w:type="spellStart"/>
      <w:r w:rsidRPr="00BF10D9">
        <w:rPr>
          <w:rFonts w:ascii="Arial" w:hAnsi="Arial" w:cs="Arial"/>
          <w:lang w:val="fr-FR"/>
        </w:rPr>
        <w:t>region</w:t>
      </w:r>
      <w:proofErr w:type="spellEnd"/>
      <w:r w:rsidRPr="00BF10D9">
        <w:rPr>
          <w:rFonts w:ascii="Arial" w:hAnsi="Arial" w:cs="Arial"/>
          <w:lang w:val="fr-FR"/>
        </w:rPr>
        <w:t xml:space="preserve"> of </w:t>
      </w:r>
      <w:proofErr w:type="spellStart"/>
      <w:r w:rsidRPr="00BF10D9">
        <w:rPr>
          <w:rFonts w:ascii="Arial" w:hAnsi="Arial" w:cs="Arial"/>
          <w:lang w:val="fr-FR"/>
        </w:rPr>
        <w:t>Cameroon</w:t>
      </w:r>
      <w:proofErr w:type="spellEnd"/>
      <w:r w:rsidRPr="00BF10D9">
        <w:rPr>
          <w:rFonts w:ascii="Arial" w:hAnsi="Arial" w:cs="Arial"/>
          <w:lang w:val="fr-FR"/>
        </w:rPr>
        <w:t xml:space="preserve">. Int. J. Biol.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11(1</w:t>
      </w:r>
      <w:proofErr w:type="gramStart"/>
      <w:r w:rsidRPr="00BF10D9">
        <w:rPr>
          <w:rFonts w:ascii="Arial" w:hAnsi="Arial" w:cs="Arial"/>
          <w:lang w:val="fr-FR"/>
        </w:rPr>
        <w:t>):</w:t>
      </w:r>
      <w:proofErr w:type="gramEnd"/>
      <w:r w:rsidRPr="00BF10D9">
        <w:rPr>
          <w:rFonts w:ascii="Arial" w:hAnsi="Arial" w:cs="Arial"/>
          <w:lang w:val="fr-FR"/>
        </w:rPr>
        <w:t xml:space="preserve"> 131-143. http://dx.doi.org/10.4314/ijbcs.v11i1.11</w:t>
      </w:r>
    </w:p>
    <w:p w14:paraId="0176D0EC"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Njonga</w:t>
      </w:r>
      <w:proofErr w:type="spellEnd"/>
      <w:r w:rsidRPr="00BF10D9">
        <w:rPr>
          <w:rFonts w:ascii="Arial" w:hAnsi="Arial" w:cs="Arial"/>
          <w:lang w:val="fr-FR"/>
        </w:rPr>
        <w:t xml:space="preserve"> </w:t>
      </w:r>
      <w:proofErr w:type="spellStart"/>
      <w:r w:rsidRPr="00BF10D9">
        <w:rPr>
          <w:rFonts w:ascii="Arial" w:hAnsi="Arial" w:cs="Arial"/>
          <w:lang w:val="fr-FR"/>
        </w:rPr>
        <w:t>Tchami</w:t>
      </w:r>
      <w:proofErr w:type="spellEnd"/>
      <w:r w:rsidRPr="00BF10D9">
        <w:rPr>
          <w:rFonts w:ascii="Arial" w:hAnsi="Arial" w:cs="Arial"/>
          <w:lang w:val="fr-FR"/>
        </w:rPr>
        <w:t xml:space="preserve">, F., </w:t>
      </w:r>
      <w:proofErr w:type="spellStart"/>
      <w:r w:rsidRPr="00BF10D9">
        <w:rPr>
          <w:rFonts w:ascii="Arial" w:hAnsi="Arial" w:cs="Arial"/>
          <w:lang w:val="fr-FR"/>
        </w:rPr>
        <w:t>Gamwo</w:t>
      </w:r>
      <w:proofErr w:type="spellEnd"/>
      <w:r w:rsidRPr="00BF10D9">
        <w:rPr>
          <w:rFonts w:ascii="Arial" w:hAnsi="Arial" w:cs="Arial"/>
          <w:lang w:val="fr-FR"/>
        </w:rPr>
        <w:t xml:space="preserve"> Dongmo, S.,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Djongang</w:t>
      </w:r>
      <w:proofErr w:type="spellEnd"/>
      <w:r w:rsidRPr="00BF10D9">
        <w:rPr>
          <w:rFonts w:ascii="Arial" w:hAnsi="Arial" w:cs="Arial"/>
          <w:lang w:val="fr-FR"/>
        </w:rPr>
        <w:t xml:space="preserve">, A.M. et al., 2018. Observance of guidelines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mitigating</w:t>
      </w:r>
      <w:proofErr w:type="spellEnd"/>
      <w:r w:rsidRPr="00BF10D9">
        <w:rPr>
          <w:rFonts w:ascii="Arial" w:hAnsi="Arial" w:cs="Arial"/>
          <w:lang w:val="fr-FR"/>
        </w:rPr>
        <w:t xml:space="preserve"> the </w:t>
      </w:r>
      <w:proofErr w:type="spellStart"/>
      <w:r w:rsidRPr="00BF10D9">
        <w:rPr>
          <w:rFonts w:ascii="Arial" w:hAnsi="Arial" w:cs="Arial"/>
          <w:lang w:val="fr-FR"/>
        </w:rPr>
        <w:t>risk</w:t>
      </w:r>
      <w:proofErr w:type="spellEnd"/>
      <w:r w:rsidRPr="00BF10D9">
        <w:rPr>
          <w:rFonts w:ascii="Arial" w:hAnsi="Arial" w:cs="Arial"/>
          <w:lang w:val="fr-FR"/>
        </w:rPr>
        <w:t xml:space="preserve"> of </w:t>
      </w:r>
      <w:proofErr w:type="spellStart"/>
      <w:r w:rsidRPr="00BF10D9">
        <w:rPr>
          <w:rFonts w:ascii="Arial" w:hAnsi="Arial" w:cs="Arial"/>
          <w:lang w:val="fr-FR"/>
        </w:rPr>
        <w:t>hospital-acquired</w:t>
      </w:r>
      <w:proofErr w:type="spellEnd"/>
      <w:r w:rsidRPr="00BF10D9">
        <w:rPr>
          <w:rFonts w:ascii="Arial" w:hAnsi="Arial" w:cs="Arial"/>
          <w:lang w:val="fr-FR"/>
        </w:rPr>
        <w:t xml:space="preserve"> infections in a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preliminary</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pilot </w:t>
      </w:r>
      <w:proofErr w:type="spellStart"/>
      <w:r w:rsidRPr="00BF10D9">
        <w:rPr>
          <w:rFonts w:ascii="Arial" w:hAnsi="Arial" w:cs="Arial"/>
          <w:lang w:val="fr-FR"/>
        </w:rPr>
        <w:t>study</w:t>
      </w:r>
      <w:proofErr w:type="spellEnd"/>
      <w:r w:rsidRPr="00BF10D9">
        <w:rPr>
          <w:rFonts w:ascii="Arial" w:hAnsi="Arial" w:cs="Arial"/>
          <w:lang w:val="fr-FR"/>
        </w:rPr>
        <w:t xml:space="preserve">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healthcare</w:t>
      </w:r>
      <w:proofErr w:type="spellEnd"/>
      <w:r w:rsidRPr="00BF10D9">
        <w:rPr>
          <w:rFonts w:ascii="Arial" w:hAnsi="Arial" w:cs="Arial"/>
          <w:lang w:val="fr-FR"/>
        </w:rPr>
        <w:t xml:space="preserve"> </w:t>
      </w:r>
      <w:proofErr w:type="spellStart"/>
      <w:r w:rsidRPr="00BF10D9">
        <w:rPr>
          <w:rFonts w:ascii="Arial" w:hAnsi="Arial" w:cs="Arial"/>
          <w:lang w:val="fr-FR"/>
        </w:rPr>
        <w:t>quality</w:t>
      </w:r>
      <w:proofErr w:type="spellEnd"/>
      <w:r w:rsidRPr="00BF10D9">
        <w:rPr>
          <w:rFonts w:ascii="Arial" w:hAnsi="Arial" w:cs="Arial"/>
          <w:lang w:val="fr-FR"/>
        </w:rPr>
        <w:t xml:space="preserve"> </w:t>
      </w:r>
      <w:proofErr w:type="spellStart"/>
      <w:r w:rsidRPr="00BF10D9">
        <w:rPr>
          <w:rFonts w:ascii="Arial" w:hAnsi="Arial" w:cs="Arial"/>
          <w:lang w:val="fr-FR"/>
        </w:rPr>
        <w:t>improvement</w:t>
      </w:r>
      <w:proofErr w:type="spellEnd"/>
      <w:r w:rsidRPr="00BF10D9">
        <w:rPr>
          <w:rFonts w:ascii="Arial" w:hAnsi="Arial" w:cs="Arial"/>
          <w:lang w:val="fr-FR"/>
        </w:rPr>
        <w:t>. W.J.A.H.R., 2(4</w:t>
      </w:r>
      <w:proofErr w:type="gramStart"/>
      <w:r w:rsidRPr="00BF10D9">
        <w:rPr>
          <w:rFonts w:ascii="Arial" w:hAnsi="Arial" w:cs="Arial"/>
          <w:lang w:val="fr-FR"/>
        </w:rPr>
        <w:t>):</w:t>
      </w:r>
      <w:proofErr w:type="gramEnd"/>
      <w:r w:rsidRPr="00BF10D9">
        <w:rPr>
          <w:rFonts w:ascii="Arial" w:hAnsi="Arial" w:cs="Arial"/>
          <w:lang w:val="fr-FR"/>
        </w:rPr>
        <w:t xml:space="preserve"> 204-212.</w:t>
      </w:r>
    </w:p>
    <w:p w14:paraId="463990F3"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Tsono</w:t>
      </w:r>
      <w:proofErr w:type="spellEnd"/>
      <w:r w:rsidRPr="00BF10D9">
        <w:rPr>
          <w:rFonts w:ascii="Arial" w:hAnsi="Arial" w:cs="Arial"/>
          <w:lang w:val="fr-FR"/>
        </w:rPr>
        <w:t xml:space="preserve">, E.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0.12% </w:t>
      </w:r>
      <w:proofErr w:type="spellStart"/>
      <w:r w:rsidRPr="00BF10D9">
        <w:rPr>
          <w:rFonts w:ascii="Arial" w:hAnsi="Arial" w:cs="Arial"/>
          <w:lang w:val="fr-FR"/>
        </w:rPr>
        <w:t>bleach</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surfaces in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Cliniques Universitaires des Montagnes. </w:t>
      </w:r>
      <w:proofErr w:type="spellStart"/>
      <w:r w:rsidRPr="00BF10D9">
        <w:rPr>
          <w:rFonts w:ascii="Arial" w:hAnsi="Arial" w:cs="Arial"/>
          <w:lang w:val="fr-FR"/>
        </w:rPr>
        <w:t>Bachelor</w:t>
      </w:r>
      <w:proofErr w:type="spellEnd"/>
      <w:r w:rsidRPr="00BF10D9">
        <w:rPr>
          <w:rFonts w:ascii="Arial" w:hAnsi="Arial" w:cs="Arial"/>
          <w:lang w:val="fr-FR"/>
        </w:rPr>
        <w:t xml:space="preserve"> dissertation, Université des Montagnes,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297AA25B" w14:textId="77777777" w:rsidR="007E6121" w:rsidRPr="00BF10D9" w:rsidRDefault="007E6121" w:rsidP="00BF10D9">
      <w:pPr>
        <w:spacing w:before="120" w:after="120"/>
        <w:ind w:left="360"/>
        <w:rPr>
          <w:rFonts w:ascii="Arial" w:hAnsi="Arial" w:cs="Arial"/>
          <w:lang w:val="fr-FR"/>
        </w:rPr>
      </w:pPr>
      <w:proofErr w:type="spellStart"/>
      <w:r w:rsidRPr="00BF10D9">
        <w:rPr>
          <w:rFonts w:ascii="Arial" w:hAnsi="Arial" w:cs="Arial"/>
          <w:lang w:val="fr-FR"/>
        </w:rPr>
        <w:t>Tungmunnithum</w:t>
      </w:r>
      <w:proofErr w:type="spellEnd"/>
      <w:r w:rsidRPr="00BF10D9">
        <w:rPr>
          <w:rFonts w:ascii="Arial" w:hAnsi="Arial" w:cs="Arial"/>
          <w:lang w:val="fr-FR"/>
        </w:rPr>
        <w:t xml:space="preserve">, D. and </w:t>
      </w:r>
      <w:proofErr w:type="spellStart"/>
      <w:r w:rsidRPr="00BF10D9">
        <w:rPr>
          <w:rFonts w:ascii="Arial" w:hAnsi="Arial" w:cs="Arial"/>
          <w:lang w:val="fr-FR"/>
        </w:rPr>
        <w:t>Hano</w:t>
      </w:r>
      <w:proofErr w:type="spellEnd"/>
      <w:r w:rsidRPr="00BF10D9">
        <w:rPr>
          <w:rFonts w:ascii="Arial" w:hAnsi="Arial" w:cs="Arial"/>
          <w:lang w:val="fr-FR"/>
        </w:rPr>
        <w:t xml:space="preserve">, C., 2020. </w:t>
      </w:r>
      <w:proofErr w:type="spellStart"/>
      <w:r w:rsidRPr="00BF10D9">
        <w:rPr>
          <w:rFonts w:ascii="Arial" w:hAnsi="Arial" w:cs="Arial"/>
          <w:lang w:val="fr-FR"/>
        </w:rPr>
        <w:t>Cosmetic</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proofErr w:type="gramStart"/>
      <w:r w:rsidRPr="00BF10D9">
        <w:rPr>
          <w:rFonts w:ascii="Arial" w:hAnsi="Arial" w:cs="Arial"/>
          <w:lang w:val="fr-FR"/>
        </w:rPr>
        <w:t>Millsp</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Botanical</w:t>
      </w:r>
      <w:proofErr w:type="spellEnd"/>
      <w:r w:rsidRPr="00BF10D9">
        <w:rPr>
          <w:rFonts w:ascii="Arial" w:hAnsi="Arial" w:cs="Arial"/>
          <w:lang w:val="fr-FR"/>
        </w:rPr>
        <w:t xml:space="preserve"> Data, </w:t>
      </w:r>
      <w:proofErr w:type="spellStart"/>
      <w:r w:rsidRPr="00BF10D9">
        <w:rPr>
          <w:rFonts w:ascii="Arial" w:hAnsi="Arial" w:cs="Arial"/>
          <w:lang w:val="fr-FR"/>
        </w:rPr>
        <w:t>Traditional</w:t>
      </w:r>
      <w:proofErr w:type="spellEnd"/>
      <w:r w:rsidRPr="00BF10D9">
        <w:rPr>
          <w:rFonts w:ascii="Arial" w:hAnsi="Arial" w:cs="Arial"/>
          <w:lang w:val="fr-FR"/>
        </w:rPr>
        <w:t xml:space="preserve"> Uses, </w:t>
      </w:r>
      <w:proofErr w:type="spellStart"/>
      <w:r w:rsidRPr="00BF10D9">
        <w:rPr>
          <w:rFonts w:ascii="Arial" w:hAnsi="Arial" w:cs="Arial"/>
          <w:lang w:val="fr-FR"/>
        </w:rPr>
        <w:t>Phytochemistry</w:t>
      </w:r>
      <w:proofErr w:type="spellEnd"/>
      <w:r w:rsidRPr="00BF10D9">
        <w:rPr>
          <w:rFonts w:ascii="Arial" w:hAnsi="Arial" w:cs="Arial"/>
          <w:lang w:val="fr-FR"/>
        </w:rPr>
        <w:t xml:space="preserve">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Cosmetics, 7 (4</w:t>
      </w:r>
      <w:proofErr w:type="gramStart"/>
      <w:r w:rsidRPr="00BF10D9">
        <w:rPr>
          <w:rFonts w:ascii="Arial" w:hAnsi="Arial" w:cs="Arial"/>
          <w:lang w:val="fr-FR"/>
        </w:rPr>
        <w:t>):</w:t>
      </w:r>
      <w:proofErr w:type="gramEnd"/>
      <w:r w:rsidRPr="00BF10D9">
        <w:rPr>
          <w:rFonts w:ascii="Arial" w:hAnsi="Arial" w:cs="Arial"/>
          <w:lang w:val="fr-FR"/>
        </w:rPr>
        <w:t xml:space="preserve"> 84. https://doi.org/10.3390/cosmetics7040084</w:t>
      </w:r>
    </w:p>
    <w:p w14:paraId="119FA59D" w14:textId="230C51B2" w:rsidR="00BF10D9" w:rsidRPr="00BF10D9" w:rsidRDefault="007E6121" w:rsidP="00BF10D9">
      <w:pPr>
        <w:spacing w:before="120" w:after="120"/>
        <w:ind w:left="360"/>
        <w:rPr>
          <w:rFonts w:ascii="Arial" w:hAnsi="Arial" w:cs="Arial"/>
          <w:lang w:val="fr-FR"/>
        </w:rPr>
      </w:pPr>
      <w:r w:rsidRPr="00BF10D9">
        <w:rPr>
          <w:rFonts w:ascii="Arial" w:hAnsi="Arial" w:cs="Arial"/>
          <w:lang w:val="fr-FR"/>
        </w:rPr>
        <w:t xml:space="preserve">Wiart, C., </w:t>
      </w:r>
      <w:proofErr w:type="spellStart"/>
      <w:r w:rsidRPr="00BF10D9">
        <w:rPr>
          <w:rFonts w:ascii="Arial" w:hAnsi="Arial" w:cs="Arial"/>
          <w:lang w:val="fr-FR"/>
        </w:rPr>
        <w:t>Kathirvalu</w:t>
      </w:r>
      <w:proofErr w:type="spellEnd"/>
      <w:r w:rsidRPr="00BF10D9">
        <w:rPr>
          <w:rFonts w:ascii="Arial" w:hAnsi="Arial" w:cs="Arial"/>
          <w:lang w:val="fr-FR"/>
        </w:rPr>
        <w:t xml:space="preserve">, G., Raju, C.S., </w:t>
      </w:r>
      <w:proofErr w:type="spellStart"/>
      <w:r w:rsidRPr="00BF10D9">
        <w:rPr>
          <w:rFonts w:ascii="Arial" w:hAnsi="Arial" w:cs="Arial"/>
          <w:lang w:val="fr-FR"/>
        </w:rPr>
        <w:t>Nissapatorn</w:t>
      </w:r>
      <w:proofErr w:type="spellEnd"/>
      <w:r w:rsidRPr="00BF10D9">
        <w:rPr>
          <w:rFonts w:ascii="Arial" w:hAnsi="Arial" w:cs="Arial"/>
          <w:lang w:val="fr-FR"/>
        </w:rPr>
        <w:t xml:space="preserve">, V., </w:t>
      </w:r>
      <w:proofErr w:type="spellStart"/>
      <w:r w:rsidRPr="00BF10D9">
        <w:rPr>
          <w:rFonts w:ascii="Arial" w:hAnsi="Arial" w:cs="Arial"/>
          <w:lang w:val="fr-FR"/>
        </w:rPr>
        <w:t>Rahmatullah</w:t>
      </w:r>
      <w:proofErr w:type="spellEnd"/>
      <w:r w:rsidRPr="00BF10D9">
        <w:rPr>
          <w:rFonts w:ascii="Arial" w:hAnsi="Arial" w:cs="Arial"/>
          <w:lang w:val="fr-FR"/>
        </w:rPr>
        <w:t xml:space="preserve">, M., Paul, A.K. et al.,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Terpenes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Angiosperms</w:t>
      </w:r>
      <w:proofErr w:type="spellEnd"/>
      <w:r w:rsidRPr="00BF10D9">
        <w:rPr>
          <w:rFonts w:ascii="Arial" w:hAnsi="Arial" w:cs="Arial"/>
          <w:lang w:val="fr-FR"/>
        </w:rPr>
        <w:t xml:space="preserve"> of Asia and the </w:t>
      </w:r>
      <w:proofErr w:type="gramStart"/>
      <w:r w:rsidRPr="00BF10D9">
        <w:rPr>
          <w:rFonts w:ascii="Arial" w:hAnsi="Arial" w:cs="Arial"/>
          <w:lang w:val="fr-FR"/>
        </w:rPr>
        <w:t>Pacific:</w:t>
      </w:r>
      <w:proofErr w:type="gramEnd"/>
      <w:r w:rsidRPr="00BF10D9">
        <w:rPr>
          <w:rFonts w:ascii="Arial" w:hAnsi="Arial" w:cs="Arial"/>
          <w:lang w:val="fr-FR"/>
        </w:rPr>
        <w:t xml:space="preserve"> </w:t>
      </w:r>
      <w:proofErr w:type="spellStart"/>
      <w:r w:rsidRPr="00BF10D9">
        <w:rPr>
          <w:rFonts w:ascii="Arial" w:hAnsi="Arial" w:cs="Arial"/>
          <w:lang w:val="fr-FR"/>
        </w:rPr>
        <w:t>Haystacks</w:t>
      </w:r>
      <w:proofErr w:type="spellEnd"/>
      <w:r w:rsidRPr="00BF10D9">
        <w:rPr>
          <w:rFonts w:ascii="Arial" w:hAnsi="Arial" w:cs="Arial"/>
          <w:lang w:val="fr-FR"/>
        </w:rPr>
        <w:t xml:space="preserve"> and Gold </w:t>
      </w:r>
      <w:proofErr w:type="spellStart"/>
      <w:r w:rsidRPr="00BF10D9">
        <w:rPr>
          <w:rFonts w:ascii="Arial" w:hAnsi="Arial" w:cs="Arial"/>
          <w:lang w:val="fr-FR"/>
        </w:rPr>
        <w:t>Needles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28(9</w:t>
      </w:r>
      <w:proofErr w:type="gramStart"/>
      <w:r w:rsidRPr="00BF10D9">
        <w:rPr>
          <w:rFonts w:ascii="Arial" w:hAnsi="Arial" w:cs="Arial"/>
          <w:lang w:val="fr-FR"/>
        </w:rPr>
        <w:t>):</w:t>
      </w:r>
      <w:proofErr w:type="gramEnd"/>
      <w:r w:rsidRPr="00BF10D9">
        <w:rPr>
          <w:rFonts w:ascii="Arial" w:hAnsi="Arial" w:cs="Arial"/>
          <w:lang w:val="fr-FR"/>
        </w:rPr>
        <w:t xml:space="preserve"> 3873. </w:t>
      </w:r>
      <w:hyperlink r:id="rId12" w:history="1">
        <w:r w:rsidR="00BF10D9" w:rsidRPr="00BF10D9">
          <w:rPr>
            <w:rStyle w:val="Hyperlink"/>
            <w:rFonts w:ascii="Arial" w:hAnsi="Arial" w:cs="Arial"/>
            <w:lang w:val="fr-FR"/>
          </w:rPr>
          <w:t>https://doi.org/10</w:t>
        </w:r>
      </w:hyperlink>
      <w:r w:rsidR="00BF10D9" w:rsidRPr="00BF10D9">
        <w:t xml:space="preserve"> </w:t>
      </w:r>
      <w:r w:rsidR="00BF10D9" w:rsidRPr="00BF10D9">
        <w:rPr>
          <w:rFonts w:ascii="Arial" w:hAnsi="Arial" w:cs="Arial"/>
          <w:lang w:val="fr-FR"/>
        </w:rPr>
        <w:t>.3390/molecules28093873</w:t>
      </w:r>
    </w:p>
    <w:p w14:paraId="34A144D6" w14:textId="77777777" w:rsidR="00BF10D9" w:rsidRPr="00BF10D9" w:rsidRDefault="00BF10D9" w:rsidP="00BF10D9">
      <w:pPr>
        <w:spacing w:before="120" w:after="120"/>
        <w:ind w:left="360"/>
        <w:rPr>
          <w:rFonts w:ascii="Arial" w:hAnsi="Arial" w:cs="Arial"/>
          <w:lang w:val="fr-FR"/>
        </w:rPr>
      </w:pPr>
      <w:r w:rsidRPr="00BF10D9">
        <w:rPr>
          <w:rFonts w:ascii="Arial" w:hAnsi="Arial" w:cs="Arial"/>
          <w:lang w:val="fr-FR"/>
        </w:rPr>
        <w:t xml:space="preserve">World </w:t>
      </w:r>
      <w:proofErr w:type="spellStart"/>
      <w:r w:rsidRPr="00BF10D9">
        <w:rPr>
          <w:rFonts w:ascii="Arial" w:hAnsi="Arial" w:cs="Arial"/>
          <w:lang w:val="fr-FR"/>
        </w:rPr>
        <w:t>Health</w:t>
      </w:r>
      <w:proofErr w:type="spellEnd"/>
      <w:r w:rsidRPr="00BF10D9">
        <w:rPr>
          <w:rFonts w:ascii="Arial" w:hAnsi="Arial" w:cs="Arial"/>
          <w:lang w:val="fr-FR"/>
        </w:rPr>
        <w:t xml:space="preserve"> </w:t>
      </w:r>
      <w:proofErr w:type="spellStart"/>
      <w:r w:rsidRPr="00BF10D9">
        <w:rPr>
          <w:rFonts w:ascii="Arial" w:hAnsi="Arial" w:cs="Arial"/>
          <w:lang w:val="fr-FR"/>
        </w:rPr>
        <w:t>Organization</w:t>
      </w:r>
      <w:proofErr w:type="spellEnd"/>
      <w:r w:rsidRPr="00BF10D9">
        <w:rPr>
          <w:rFonts w:ascii="Arial" w:hAnsi="Arial" w:cs="Arial"/>
          <w:lang w:val="fr-FR"/>
        </w:rPr>
        <w:t xml:space="preserve">. 2010. The </w:t>
      </w:r>
      <w:proofErr w:type="spellStart"/>
      <w:r w:rsidRPr="00BF10D9">
        <w:rPr>
          <w:rFonts w:ascii="Arial" w:hAnsi="Arial" w:cs="Arial"/>
          <w:lang w:val="fr-FR"/>
        </w:rPr>
        <w:t>burden</w:t>
      </w:r>
      <w:proofErr w:type="spellEnd"/>
      <w:r w:rsidRPr="00BF10D9">
        <w:rPr>
          <w:rFonts w:ascii="Arial" w:hAnsi="Arial" w:cs="Arial"/>
          <w:lang w:val="fr-FR"/>
        </w:rPr>
        <w:t xml:space="preserve"> of </w:t>
      </w:r>
      <w:proofErr w:type="spellStart"/>
      <w:r w:rsidRPr="00BF10D9">
        <w:rPr>
          <w:rFonts w:ascii="Arial" w:hAnsi="Arial" w:cs="Arial"/>
          <w:lang w:val="fr-FR"/>
        </w:rPr>
        <w:t>health</w:t>
      </w:r>
      <w:proofErr w:type="spellEnd"/>
      <w:r w:rsidRPr="00BF10D9">
        <w:rPr>
          <w:rFonts w:ascii="Arial" w:hAnsi="Arial" w:cs="Arial"/>
          <w:lang w:val="fr-FR"/>
        </w:rPr>
        <w:t xml:space="preserve"> care-</w:t>
      </w:r>
      <w:proofErr w:type="spellStart"/>
      <w:r w:rsidRPr="00BF10D9">
        <w:rPr>
          <w:rFonts w:ascii="Arial" w:hAnsi="Arial" w:cs="Arial"/>
          <w:lang w:val="fr-FR"/>
        </w:rPr>
        <w:t>associated</w:t>
      </w:r>
      <w:proofErr w:type="spellEnd"/>
      <w:r w:rsidRPr="00BF10D9">
        <w:rPr>
          <w:rFonts w:ascii="Arial" w:hAnsi="Arial" w:cs="Arial"/>
          <w:lang w:val="fr-FR"/>
        </w:rPr>
        <w:t xml:space="preserve"> infection </w:t>
      </w:r>
      <w:proofErr w:type="spellStart"/>
      <w:r w:rsidRPr="00BF10D9">
        <w:rPr>
          <w:rFonts w:ascii="Arial" w:hAnsi="Arial" w:cs="Arial"/>
          <w:lang w:val="fr-FR"/>
        </w:rPr>
        <w:t>worldwide</w:t>
      </w:r>
      <w:proofErr w:type="spellEnd"/>
      <w:r w:rsidRPr="00BF10D9">
        <w:rPr>
          <w:rFonts w:ascii="Arial" w:hAnsi="Arial" w:cs="Arial"/>
          <w:lang w:val="fr-FR"/>
        </w:rPr>
        <w:t>. WHO (https://www.who.int/news-room/feature-stories/detail/the-burden-of-health-care-associated-infection-worldwide).</w:t>
      </w:r>
    </w:p>
    <w:p w14:paraId="29DAA68D" w14:textId="77777777" w:rsidR="00BF10D9" w:rsidRPr="00BF10D9" w:rsidRDefault="00BF10D9" w:rsidP="00BF10D9">
      <w:pPr>
        <w:spacing w:before="120" w:after="120"/>
        <w:ind w:left="360"/>
        <w:rPr>
          <w:rFonts w:ascii="Arial" w:hAnsi="Arial" w:cs="Arial"/>
          <w:lang w:val="fr-FR"/>
        </w:rPr>
      </w:pPr>
      <w:proofErr w:type="spellStart"/>
      <w:r w:rsidRPr="00BF10D9">
        <w:rPr>
          <w:rFonts w:ascii="Arial" w:hAnsi="Arial" w:cs="Arial"/>
          <w:lang w:val="fr-FR"/>
        </w:rPr>
        <w:t>Yilwa</w:t>
      </w:r>
      <w:proofErr w:type="spellEnd"/>
      <w:r w:rsidRPr="00BF10D9">
        <w:rPr>
          <w:rFonts w:ascii="Arial" w:hAnsi="Arial" w:cs="Arial"/>
          <w:lang w:val="fr-FR"/>
        </w:rPr>
        <w:t xml:space="preserve">, V.M., </w:t>
      </w:r>
      <w:proofErr w:type="spellStart"/>
      <w:r w:rsidRPr="00BF10D9">
        <w:rPr>
          <w:rFonts w:ascii="Arial" w:hAnsi="Arial" w:cs="Arial"/>
          <w:lang w:val="fr-FR"/>
        </w:rPr>
        <w:t>Dikwa</w:t>
      </w:r>
      <w:proofErr w:type="spellEnd"/>
      <w:r w:rsidRPr="00BF10D9">
        <w:rPr>
          <w:rFonts w:ascii="Arial" w:hAnsi="Arial" w:cs="Arial"/>
          <w:lang w:val="fr-FR"/>
        </w:rPr>
        <w:t xml:space="preserve">, K.B., </w:t>
      </w:r>
      <w:proofErr w:type="spellStart"/>
      <w:r w:rsidRPr="00BF10D9">
        <w:rPr>
          <w:rFonts w:ascii="Arial" w:hAnsi="Arial" w:cs="Arial"/>
          <w:lang w:val="fr-FR"/>
        </w:rPr>
        <w:t>Emere</w:t>
      </w:r>
      <w:proofErr w:type="spellEnd"/>
      <w:r w:rsidRPr="00BF10D9">
        <w:rPr>
          <w:rFonts w:ascii="Arial" w:hAnsi="Arial" w:cs="Arial"/>
          <w:lang w:val="fr-FR"/>
        </w:rPr>
        <w:t xml:space="preserve">, M.C. and </w:t>
      </w:r>
      <w:proofErr w:type="spellStart"/>
      <w:r w:rsidRPr="00BF10D9">
        <w:rPr>
          <w:rFonts w:ascii="Arial" w:hAnsi="Arial" w:cs="Arial"/>
          <w:lang w:val="fr-FR"/>
        </w:rPr>
        <w:t>Airoboman</w:t>
      </w:r>
      <w:proofErr w:type="spellEnd"/>
      <w:r w:rsidRPr="00BF10D9">
        <w:rPr>
          <w:rFonts w:ascii="Arial" w:hAnsi="Arial" w:cs="Arial"/>
          <w:lang w:val="fr-FR"/>
        </w:rPr>
        <w:t xml:space="preserve">, P.O., 2023. Comparative </w:t>
      </w:r>
      <w:proofErr w:type="spellStart"/>
      <w:r w:rsidRPr="00BF10D9">
        <w:rPr>
          <w:rFonts w:ascii="Arial" w:hAnsi="Arial" w:cs="Arial"/>
          <w:lang w:val="fr-FR"/>
        </w:rPr>
        <w:t>assessment</w:t>
      </w:r>
      <w:proofErr w:type="spellEnd"/>
      <w:r w:rsidRPr="00BF10D9">
        <w:rPr>
          <w:rFonts w:ascii="Arial" w:hAnsi="Arial" w:cs="Arial"/>
          <w:lang w:val="fr-FR"/>
        </w:rPr>
        <w:t xml:space="preserve"> of the </w:t>
      </w:r>
      <w:proofErr w:type="spellStart"/>
      <w:r w:rsidRPr="00BF10D9">
        <w:rPr>
          <w:rFonts w:ascii="Arial" w:hAnsi="Arial" w:cs="Arial"/>
          <w:lang w:val="fr-FR"/>
        </w:rPr>
        <w:t>phytochemicals</w:t>
      </w:r>
      <w:proofErr w:type="spellEnd"/>
      <w:r w:rsidRPr="00BF10D9">
        <w:rPr>
          <w:rFonts w:ascii="Arial" w:hAnsi="Arial" w:cs="Arial"/>
          <w:lang w:val="fr-FR"/>
        </w:rPr>
        <w:t xml:space="preserve"> of the </w:t>
      </w:r>
      <w:proofErr w:type="spellStart"/>
      <w:r w:rsidRPr="00BF10D9">
        <w:rPr>
          <w:rFonts w:ascii="Arial" w:hAnsi="Arial" w:cs="Arial"/>
          <w:lang w:val="fr-FR"/>
        </w:rPr>
        <w:t>leaves</w:t>
      </w:r>
      <w:proofErr w:type="spellEnd"/>
      <w:r w:rsidRPr="00BF10D9">
        <w:rPr>
          <w:rFonts w:ascii="Arial" w:hAnsi="Arial" w:cs="Arial"/>
          <w:lang w:val="fr-FR"/>
        </w:rPr>
        <w:t xml:space="preserve"> and </w:t>
      </w:r>
      <w:proofErr w:type="spellStart"/>
      <w:r w:rsidRPr="00BF10D9">
        <w:rPr>
          <w:rFonts w:ascii="Arial" w:hAnsi="Arial" w:cs="Arial"/>
          <w:lang w:val="fr-FR"/>
        </w:rPr>
        <w:t>seeds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Huth</w:t>
      </w:r>
      <w:proofErr w:type="spellEnd"/>
      <w:r w:rsidRPr="00BF10D9">
        <w:rPr>
          <w:rFonts w:ascii="Arial" w:hAnsi="Arial" w:cs="Arial"/>
          <w:lang w:val="fr-FR"/>
        </w:rPr>
        <w:t xml:space="preserve">) plant. J. Adv. </w:t>
      </w:r>
      <w:proofErr w:type="spellStart"/>
      <w:r w:rsidRPr="00BF10D9">
        <w:rPr>
          <w:rFonts w:ascii="Arial" w:hAnsi="Arial" w:cs="Arial"/>
          <w:lang w:val="fr-FR"/>
        </w:rPr>
        <w:t>Sci</w:t>
      </w:r>
      <w:proofErr w:type="spellEnd"/>
      <w:r w:rsidRPr="00BF10D9">
        <w:rPr>
          <w:rFonts w:ascii="Arial" w:hAnsi="Arial" w:cs="Arial"/>
          <w:lang w:val="fr-FR"/>
        </w:rPr>
        <w:t>. Eng., 8(1</w:t>
      </w:r>
      <w:proofErr w:type="gramStart"/>
      <w:r w:rsidRPr="00BF10D9">
        <w:rPr>
          <w:rFonts w:ascii="Arial" w:hAnsi="Arial" w:cs="Arial"/>
          <w:lang w:val="fr-FR"/>
        </w:rPr>
        <w:t>):</w:t>
      </w:r>
      <w:proofErr w:type="gramEnd"/>
      <w:r w:rsidRPr="00BF10D9">
        <w:rPr>
          <w:rFonts w:ascii="Arial" w:hAnsi="Arial" w:cs="Arial"/>
          <w:lang w:val="fr-FR"/>
        </w:rPr>
        <w:t xml:space="preserve"> 1-17. https://doi.org/10.37121/jase.v8i1.205</w:t>
      </w:r>
    </w:p>
    <w:p w14:paraId="2910BA97" w14:textId="44343CC6" w:rsidR="00860FA1" w:rsidRPr="00BF10D9" w:rsidRDefault="00BF10D9" w:rsidP="00BF10D9">
      <w:pPr>
        <w:spacing w:before="120" w:after="120"/>
        <w:ind w:left="360"/>
        <w:rPr>
          <w:rFonts w:ascii="Arial" w:hAnsi="Arial" w:cs="Arial"/>
          <w:lang w:val="fr-FR"/>
        </w:rPr>
      </w:pP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2024. Surface </w:t>
      </w:r>
      <w:proofErr w:type="spellStart"/>
      <w:r w:rsidRPr="00BF10D9">
        <w:rPr>
          <w:rFonts w:ascii="Arial" w:hAnsi="Arial" w:cs="Arial"/>
          <w:lang w:val="fr-FR"/>
        </w:rPr>
        <w:t>decontamination</w:t>
      </w:r>
      <w:proofErr w:type="spellEnd"/>
      <w:r w:rsidRPr="00BF10D9">
        <w:rPr>
          <w:rFonts w:ascii="Arial" w:hAnsi="Arial" w:cs="Arial"/>
          <w:lang w:val="fr-FR"/>
        </w:rPr>
        <w:t xml:space="preserve"> </w:t>
      </w:r>
      <w:proofErr w:type="spellStart"/>
      <w:r w:rsidRPr="00BF10D9">
        <w:rPr>
          <w:rFonts w:ascii="Arial" w:hAnsi="Arial" w:cs="Arial"/>
          <w:lang w:val="fr-FR"/>
        </w:rPr>
        <w:t>effectiveness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gramStart"/>
      <w:r w:rsidRPr="00BF10D9">
        <w:rPr>
          <w:rFonts w:ascii="Arial" w:hAnsi="Arial" w:cs="Arial"/>
          <w:lang w:val="fr-FR"/>
        </w:rPr>
        <w:t>Hospital:</w:t>
      </w:r>
      <w:proofErr w:type="gramEnd"/>
      <w:r w:rsidRPr="00BF10D9">
        <w:rPr>
          <w:rFonts w:ascii="Arial" w:hAnsi="Arial" w:cs="Arial"/>
          <w:lang w:val="fr-FR"/>
        </w:rPr>
        <w:t xml:space="preserve"> Monitoring in the </w:t>
      </w:r>
      <w:proofErr w:type="spellStart"/>
      <w:r w:rsidRPr="00BF10D9">
        <w:rPr>
          <w:rFonts w:ascii="Arial" w:hAnsi="Arial" w:cs="Arial"/>
          <w:lang w:val="fr-FR"/>
        </w:rPr>
        <w:t>biomedical</w:t>
      </w:r>
      <w:proofErr w:type="spellEnd"/>
      <w:r w:rsidRPr="00BF10D9">
        <w:rPr>
          <w:rFonts w:ascii="Arial" w:hAnsi="Arial" w:cs="Arial"/>
          <w:lang w:val="fr-FR"/>
        </w:rPr>
        <w:t xml:space="preserve"> </w:t>
      </w:r>
      <w:proofErr w:type="spellStart"/>
      <w:r w:rsidRPr="00BF10D9">
        <w:rPr>
          <w:rFonts w:ascii="Arial" w:hAnsi="Arial" w:cs="Arial"/>
          <w:lang w:val="fr-FR"/>
        </w:rPr>
        <w:t>analysis</w:t>
      </w:r>
      <w:proofErr w:type="spellEnd"/>
      <w:r w:rsidRPr="00BF10D9">
        <w:rPr>
          <w:rFonts w:ascii="Arial" w:hAnsi="Arial" w:cs="Arial"/>
          <w:lang w:val="fr-FR"/>
        </w:rPr>
        <w:t xml:space="preserve"> </w:t>
      </w:r>
      <w:proofErr w:type="spellStart"/>
      <w:r w:rsidRPr="00BF10D9">
        <w:rPr>
          <w:rFonts w:ascii="Arial" w:hAnsi="Arial" w:cs="Arial"/>
          <w:lang w:val="fr-FR"/>
        </w:rPr>
        <w:t>laboratory</w:t>
      </w:r>
      <w:proofErr w:type="spellEnd"/>
      <w:r w:rsidRPr="00BF10D9">
        <w:rPr>
          <w:rFonts w:ascii="Arial" w:hAnsi="Arial" w:cs="Arial"/>
          <w:lang w:val="fr-FR"/>
        </w:rPr>
        <w:t xml:space="preserve">. </w:t>
      </w:r>
      <w:proofErr w:type="spellStart"/>
      <w:r w:rsidRPr="00BF10D9">
        <w:rPr>
          <w:rFonts w:ascii="Arial" w:hAnsi="Arial" w:cs="Arial"/>
          <w:lang w:val="fr-FR"/>
        </w:rPr>
        <w:t>Heliyon</w:t>
      </w:r>
      <w:proofErr w:type="spellEnd"/>
      <w:r w:rsidRPr="00BF10D9">
        <w:rPr>
          <w:rFonts w:ascii="Arial" w:hAnsi="Arial" w:cs="Arial"/>
          <w:lang w:val="fr-FR"/>
        </w:rPr>
        <w:t>, 10(4</w:t>
      </w:r>
      <w:proofErr w:type="gramStart"/>
      <w:r w:rsidRPr="00BF10D9">
        <w:rPr>
          <w:rFonts w:ascii="Arial" w:hAnsi="Arial" w:cs="Arial"/>
          <w:lang w:val="fr-FR"/>
        </w:rPr>
        <w:t>):</w:t>
      </w:r>
      <w:proofErr w:type="gramEnd"/>
      <w:r w:rsidRPr="00BF10D9">
        <w:rPr>
          <w:rFonts w:ascii="Arial" w:hAnsi="Arial" w:cs="Arial"/>
          <w:lang w:val="fr-FR"/>
        </w:rPr>
        <w:t xml:space="preserve"> e25647. https://doi.org/10.1016/j.heliyon.2024.e25647</w:t>
      </w:r>
    </w:p>
    <w:p w14:paraId="0B2ED32C" w14:textId="77777777" w:rsidR="00BF10D9" w:rsidRPr="00BF10D9" w:rsidRDefault="00BF10D9" w:rsidP="00BF10D9">
      <w:pPr>
        <w:spacing w:before="120" w:after="120"/>
        <w:rPr>
          <w:rFonts w:ascii="Arial" w:hAnsi="Arial" w:cs="Arial"/>
        </w:rPr>
      </w:pPr>
    </w:p>
    <w:sectPr w:rsidR="00BF10D9" w:rsidRPr="00BF10D9" w:rsidSect="00534CC8">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8DCF" w14:textId="77777777" w:rsidR="0033444F" w:rsidRDefault="0033444F" w:rsidP="00C37E61">
      <w:r>
        <w:separator/>
      </w:r>
    </w:p>
  </w:endnote>
  <w:endnote w:type="continuationSeparator" w:id="0">
    <w:p w14:paraId="4F691E2F" w14:textId="77777777" w:rsidR="0033444F" w:rsidRDefault="003344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B180" w14:textId="77777777" w:rsidR="0034633A" w:rsidRDefault="0034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F74E" w14:textId="77777777" w:rsidR="0034633A" w:rsidRDefault="00346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3B19" w14:textId="77777777" w:rsidR="0034633A" w:rsidRDefault="0034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CD29" w14:textId="77777777" w:rsidR="0033444F" w:rsidRDefault="0033444F" w:rsidP="00C37E61">
      <w:r>
        <w:separator/>
      </w:r>
    </w:p>
  </w:footnote>
  <w:footnote w:type="continuationSeparator" w:id="0">
    <w:p w14:paraId="14D0FBD1" w14:textId="77777777" w:rsidR="0033444F" w:rsidRDefault="003344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7D8C" w14:textId="7F7915B5" w:rsidR="0034633A" w:rsidRDefault="0034633A">
    <w:pPr>
      <w:pStyle w:val="Header"/>
    </w:pPr>
    <w:r>
      <w:rPr>
        <w:noProof/>
      </w:rPr>
      <w:pict w14:anchorId="2E51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07BF" w14:textId="27ED0409" w:rsidR="0034633A" w:rsidRDefault="0034633A">
    <w:pPr>
      <w:pStyle w:val="Header"/>
    </w:pPr>
    <w:r>
      <w:rPr>
        <w:noProof/>
      </w:rPr>
      <w:pict w14:anchorId="352A0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80"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63ED" w14:textId="5043123D" w:rsidR="0034633A" w:rsidRDefault="0034633A">
    <w:pPr>
      <w:pStyle w:val="Header"/>
    </w:pPr>
    <w:r>
      <w:rPr>
        <w:noProof/>
      </w:rPr>
      <w:pict w14:anchorId="334A9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A3214"/>
    <w:multiLevelType w:val="hybridMultilevel"/>
    <w:tmpl w:val="EF121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9F585D"/>
    <w:multiLevelType w:val="hybridMultilevel"/>
    <w:tmpl w:val="66E4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3"/>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7"/>
  </w:num>
  <w:num w:numId="19">
    <w:abstractNumId w:val="37"/>
  </w:num>
  <w:num w:numId="20">
    <w:abstractNumId w:val="14"/>
  </w:num>
  <w:num w:numId="21">
    <w:abstractNumId w:val="12"/>
  </w:num>
  <w:num w:numId="22">
    <w:abstractNumId w:val="16"/>
  </w:num>
  <w:num w:numId="23">
    <w:abstractNumId w:val="25"/>
  </w:num>
  <w:num w:numId="24">
    <w:abstractNumId w:val="34"/>
  </w:num>
  <w:num w:numId="25">
    <w:abstractNumId w:val="5"/>
  </w:num>
  <w:num w:numId="26">
    <w:abstractNumId w:val="20"/>
  </w:num>
  <w:num w:numId="27">
    <w:abstractNumId w:val="26"/>
  </w:num>
  <w:num w:numId="28">
    <w:abstractNumId w:val="35"/>
  </w:num>
  <w:num w:numId="29">
    <w:abstractNumId w:val="32"/>
  </w:num>
  <w:num w:numId="30">
    <w:abstractNumId w:val="13"/>
  </w:num>
  <w:num w:numId="31">
    <w:abstractNumId w:val="23"/>
  </w:num>
  <w:num w:numId="32">
    <w:abstractNumId w:val="36"/>
  </w:num>
  <w:num w:numId="33">
    <w:abstractNumId w:val="18"/>
  </w:num>
  <w:num w:numId="34">
    <w:abstractNumId w:val="7"/>
  </w:num>
  <w:num w:numId="35">
    <w:abstractNumId w:val="3"/>
  </w:num>
  <w:num w:numId="36">
    <w:abstractNumId w:val="30"/>
  </w:num>
  <w:num w:numId="37">
    <w:abstractNumId w:val="9"/>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9C"/>
    <w:rsid w:val="000077DE"/>
    <w:rsid w:val="000105FC"/>
    <w:rsid w:val="00027371"/>
    <w:rsid w:val="00030174"/>
    <w:rsid w:val="0004579C"/>
    <w:rsid w:val="000542F5"/>
    <w:rsid w:val="000568D8"/>
    <w:rsid w:val="000849B2"/>
    <w:rsid w:val="000A47FA"/>
    <w:rsid w:val="000A65D3"/>
    <w:rsid w:val="000B1E33"/>
    <w:rsid w:val="000B2767"/>
    <w:rsid w:val="000B2E41"/>
    <w:rsid w:val="000D689F"/>
    <w:rsid w:val="000E7B7B"/>
    <w:rsid w:val="000E7D62"/>
    <w:rsid w:val="00103357"/>
    <w:rsid w:val="00111069"/>
    <w:rsid w:val="00121628"/>
    <w:rsid w:val="00123C9F"/>
    <w:rsid w:val="00126190"/>
    <w:rsid w:val="00130F17"/>
    <w:rsid w:val="001320BF"/>
    <w:rsid w:val="00135343"/>
    <w:rsid w:val="00145E26"/>
    <w:rsid w:val="00163BC4"/>
    <w:rsid w:val="001706A3"/>
    <w:rsid w:val="00183264"/>
    <w:rsid w:val="00191062"/>
    <w:rsid w:val="00192B72"/>
    <w:rsid w:val="001A29D8"/>
    <w:rsid w:val="001A5CAA"/>
    <w:rsid w:val="001B0427"/>
    <w:rsid w:val="001D3A51"/>
    <w:rsid w:val="001E10D2"/>
    <w:rsid w:val="001E1371"/>
    <w:rsid w:val="001E25B4"/>
    <w:rsid w:val="001E44FE"/>
    <w:rsid w:val="001F66CE"/>
    <w:rsid w:val="00200595"/>
    <w:rsid w:val="00204835"/>
    <w:rsid w:val="002277B0"/>
    <w:rsid w:val="00227C1A"/>
    <w:rsid w:val="00231920"/>
    <w:rsid w:val="0023195C"/>
    <w:rsid w:val="0023568F"/>
    <w:rsid w:val="00242151"/>
    <w:rsid w:val="0024282C"/>
    <w:rsid w:val="002460DC"/>
    <w:rsid w:val="00250985"/>
    <w:rsid w:val="002556F6"/>
    <w:rsid w:val="002619D4"/>
    <w:rsid w:val="002644B9"/>
    <w:rsid w:val="00264FA3"/>
    <w:rsid w:val="00283105"/>
    <w:rsid w:val="00284C4C"/>
    <w:rsid w:val="00296529"/>
    <w:rsid w:val="002A772B"/>
    <w:rsid w:val="002B27FB"/>
    <w:rsid w:val="002B685A"/>
    <w:rsid w:val="002C32C6"/>
    <w:rsid w:val="002C57D2"/>
    <w:rsid w:val="002E0A32"/>
    <w:rsid w:val="002E0D56"/>
    <w:rsid w:val="002E798C"/>
    <w:rsid w:val="00315186"/>
    <w:rsid w:val="003220F1"/>
    <w:rsid w:val="00332B2A"/>
    <w:rsid w:val="0033343E"/>
    <w:rsid w:val="003342FF"/>
    <w:rsid w:val="0033444F"/>
    <w:rsid w:val="0034633A"/>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6A1"/>
    <w:rsid w:val="00440F43"/>
    <w:rsid w:val="004418FF"/>
    <w:rsid w:val="00441B6F"/>
    <w:rsid w:val="00446221"/>
    <w:rsid w:val="00450E62"/>
    <w:rsid w:val="004539DB"/>
    <w:rsid w:val="00471A80"/>
    <w:rsid w:val="004A7F72"/>
    <w:rsid w:val="004D305E"/>
    <w:rsid w:val="004D4277"/>
    <w:rsid w:val="004D64AB"/>
    <w:rsid w:val="004F07FE"/>
    <w:rsid w:val="00502516"/>
    <w:rsid w:val="00505F06"/>
    <w:rsid w:val="00506828"/>
    <w:rsid w:val="00517E0A"/>
    <w:rsid w:val="00525EDE"/>
    <w:rsid w:val="0053056E"/>
    <w:rsid w:val="00530C26"/>
    <w:rsid w:val="00534CC8"/>
    <w:rsid w:val="005360C8"/>
    <w:rsid w:val="00554FDA"/>
    <w:rsid w:val="005758D0"/>
    <w:rsid w:val="005C77FC"/>
    <w:rsid w:val="005C784C"/>
    <w:rsid w:val="005D0EF4"/>
    <w:rsid w:val="005D17F6"/>
    <w:rsid w:val="005E5539"/>
    <w:rsid w:val="005F7EA8"/>
    <w:rsid w:val="00602BF5"/>
    <w:rsid w:val="00617FDD"/>
    <w:rsid w:val="00633614"/>
    <w:rsid w:val="00633F68"/>
    <w:rsid w:val="00636EB2"/>
    <w:rsid w:val="006375B8"/>
    <w:rsid w:val="006521D5"/>
    <w:rsid w:val="00663F83"/>
    <w:rsid w:val="0066510A"/>
    <w:rsid w:val="00673F9F"/>
    <w:rsid w:val="00686953"/>
    <w:rsid w:val="00687DEA"/>
    <w:rsid w:val="00687E67"/>
    <w:rsid w:val="006967F7"/>
    <w:rsid w:val="006A250C"/>
    <w:rsid w:val="006A6715"/>
    <w:rsid w:val="006B21D3"/>
    <w:rsid w:val="006B3284"/>
    <w:rsid w:val="006B57D0"/>
    <w:rsid w:val="006D2DE8"/>
    <w:rsid w:val="006D30FF"/>
    <w:rsid w:val="006D6940"/>
    <w:rsid w:val="006F11EC"/>
    <w:rsid w:val="0070082C"/>
    <w:rsid w:val="00713CEE"/>
    <w:rsid w:val="00735711"/>
    <w:rsid w:val="007369E6"/>
    <w:rsid w:val="007378B8"/>
    <w:rsid w:val="00746E59"/>
    <w:rsid w:val="00750A80"/>
    <w:rsid w:val="00753B7E"/>
    <w:rsid w:val="00754C9A"/>
    <w:rsid w:val="0075599A"/>
    <w:rsid w:val="00761D52"/>
    <w:rsid w:val="007705EF"/>
    <w:rsid w:val="0077749E"/>
    <w:rsid w:val="00790ADA"/>
    <w:rsid w:val="00790C32"/>
    <w:rsid w:val="007C042A"/>
    <w:rsid w:val="007D2288"/>
    <w:rsid w:val="007E064E"/>
    <w:rsid w:val="007E088F"/>
    <w:rsid w:val="007E6121"/>
    <w:rsid w:val="007F7B32"/>
    <w:rsid w:val="00804BC2"/>
    <w:rsid w:val="0081431A"/>
    <w:rsid w:val="00826E53"/>
    <w:rsid w:val="0083216F"/>
    <w:rsid w:val="00860000"/>
    <w:rsid w:val="00860FA1"/>
    <w:rsid w:val="00863BD3"/>
    <w:rsid w:val="00865700"/>
    <w:rsid w:val="00866D66"/>
    <w:rsid w:val="008671C6"/>
    <w:rsid w:val="00874F95"/>
    <w:rsid w:val="00875803"/>
    <w:rsid w:val="0088006A"/>
    <w:rsid w:val="00894FA6"/>
    <w:rsid w:val="008B459E"/>
    <w:rsid w:val="008B5E39"/>
    <w:rsid w:val="008E13AE"/>
    <w:rsid w:val="008E1506"/>
    <w:rsid w:val="008E710C"/>
    <w:rsid w:val="008F69D6"/>
    <w:rsid w:val="00902823"/>
    <w:rsid w:val="00911ADC"/>
    <w:rsid w:val="00915CA6"/>
    <w:rsid w:val="00927834"/>
    <w:rsid w:val="0093685F"/>
    <w:rsid w:val="00941CDC"/>
    <w:rsid w:val="009500A6"/>
    <w:rsid w:val="00957C18"/>
    <w:rsid w:val="009659BA"/>
    <w:rsid w:val="00983040"/>
    <w:rsid w:val="009B3FB9"/>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2356E"/>
    <w:rsid w:val="00A24E7E"/>
    <w:rsid w:val="00A258C3"/>
    <w:rsid w:val="00A25D9D"/>
    <w:rsid w:val="00A347C0"/>
    <w:rsid w:val="00A51431"/>
    <w:rsid w:val="00A539AD"/>
    <w:rsid w:val="00A60480"/>
    <w:rsid w:val="00A651A1"/>
    <w:rsid w:val="00A8178B"/>
    <w:rsid w:val="00A94063"/>
    <w:rsid w:val="00AA6219"/>
    <w:rsid w:val="00AA74E0"/>
    <w:rsid w:val="00AB703F"/>
    <w:rsid w:val="00AC6BB8"/>
    <w:rsid w:val="00AE008F"/>
    <w:rsid w:val="00AF0867"/>
    <w:rsid w:val="00B01FCD"/>
    <w:rsid w:val="00B05705"/>
    <w:rsid w:val="00B1776C"/>
    <w:rsid w:val="00B52896"/>
    <w:rsid w:val="00B76394"/>
    <w:rsid w:val="00B76638"/>
    <w:rsid w:val="00B95236"/>
    <w:rsid w:val="00B96BD9"/>
    <w:rsid w:val="00BA0C68"/>
    <w:rsid w:val="00BA1B01"/>
    <w:rsid w:val="00BA2641"/>
    <w:rsid w:val="00BB37AA"/>
    <w:rsid w:val="00BC53A0"/>
    <w:rsid w:val="00BD5F14"/>
    <w:rsid w:val="00BE62AD"/>
    <w:rsid w:val="00BF10D9"/>
    <w:rsid w:val="00BF121F"/>
    <w:rsid w:val="00BF1F80"/>
    <w:rsid w:val="00C15FA3"/>
    <w:rsid w:val="00C166EF"/>
    <w:rsid w:val="00C17EB0"/>
    <w:rsid w:val="00C27F5F"/>
    <w:rsid w:val="00C30A0F"/>
    <w:rsid w:val="00C37E61"/>
    <w:rsid w:val="00C57C95"/>
    <w:rsid w:val="00C70F1B"/>
    <w:rsid w:val="00C71A47"/>
    <w:rsid w:val="00C7464C"/>
    <w:rsid w:val="00C85588"/>
    <w:rsid w:val="00C95A63"/>
    <w:rsid w:val="00CA2ECD"/>
    <w:rsid w:val="00CA5044"/>
    <w:rsid w:val="00CC413D"/>
    <w:rsid w:val="00CD6755"/>
    <w:rsid w:val="00CD6856"/>
    <w:rsid w:val="00CE0089"/>
    <w:rsid w:val="00CE793C"/>
    <w:rsid w:val="00D0555F"/>
    <w:rsid w:val="00D06464"/>
    <w:rsid w:val="00D173F1"/>
    <w:rsid w:val="00D51EF6"/>
    <w:rsid w:val="00D6084C"/>
    <w:rsid w:val="00D608CD"/>
    <w:rsid w:val="00D62D99"/>
    <w:rsid w:val="00D7517A"/>
    <w:rsid w:val="00D77582"/>
    <w:rsid w:val="00D8295D"/>
    <w:rsid w:val="00D8429B"/>
    <w:rsid w:val="00DA2B7C"/>
    <w:rsid w:val="00DC11F6"/>
    <w:rsid w:val="00DC2A65"/>
    <w:rsid w:val="00DE15F0"/>
    <w:rsid w:val="00DE1EB2"/>
    <w:rsid w:val="00DE5663"/>
    <w:rsid w:val="00DE78AA"/>
    <w:rsid w:val="00E0388A"/>
    <w:rsid w:val="00E053D0"/>
    <w:rsid w:val="00E15994"/>
    <w:rsid w:val="00E23F0C"/>
    <w:rsid w:val="00E3114E"/>
    <w:rsid w:val="00E31A70"/>
    <w:rsid w:val="00E359E3"/>
    <w:rsid w:val="00E35B02"/>
    <w:rsid w:val="00E35EAC"/>
    <w:rsid w:val="00E66496"/>
    <w:rsid w:val="00E66B35"/>
    <w:rsid w:val="00E66E10"/>
    <w:rsid w:val="00E70667"/>
    <w:rsid w:val="00E769F6"/>
    <w:rsid w:val="00E8407C"/>
    <w:rsid w:val="00E84F3C"/>
    <w:rsid w:val="00E939AC"/>
    <w:rsid w:val="00EA012C"/>
    <w:rsid w:val="00EA750E"/>
    <w:rsid w:val="00EC20E5"/>
    <w:rsid w:val="00ED0024"/>
    <w:rsid w:val="00ED0288"/>
    <w:rsid w:val="00ED3A6C"/>
    <w:rsid w:val="00EE2898"/>
    <w:rsid w:val="00EE52CB"/>
    <w:rsid w:val="00EF581D"/>
    <w:rsid w:val="00EF7FD8"/>
    <w:rsid w:val="00F06F59"/>
    <w:rsid w:val="00F17988"/>
    <w:rsid w:val="00F35BC0"/>
    <w:rsid w:val="00F42DDF"/>
    <w:rsid w:val="00F469F0"/>
    <w:rsid w:val="00F53273"/>
    <w:rsid w:val="00F61306"/>
    <w:rsid w:val="00F755E4"/>
    <w:rsid w:val="00F77D02"/>
    <w:rsid w:val="00FA1224"/>
    <w:rsid w:val="00FA157C"/>
    <w:rsid w:val="00FA79EF"/>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3AAD4F"/>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character" w:styleId="UnresolvedMention">
    <w:name w:val="Unresolved Mention"/>
    <w:basedOn w:val="DefaultParagraphFont"/>
    <w:uiPriority w:val="99"/>
    <w:semiHidden/>
    <w:unhideWhenUsed/>
    <w:rsid w:val="00FA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1)0272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icroorganisms91225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molecules270514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0298-011-0612-y"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3F95-9018-4AB2-A4BA-B8E8BEE9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11</Pages>
  <Words>6772</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45289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2025-05-06T11:54:00Z</dcterms:created>
  <dcterms:modified xsi:type="dcterms:W3CDTF">2025-05-07T12:20:00Z</dcterms:modified>
</cp:coreProperties>
</file>