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D1A76" w14:textId="5A9AEF66" w:rsidR="00E2560F" w:rsidRDefault="00E2560F" w:rsidP="001907A2">
      <w:pPr>
        <w:spacing w:before="100" w:beforeAutospacing="1" w:after="100" w:afterAutospacing="1" w:line="240" w:lineRule="auto"/>
        <w:rPr>
          <w:rFonts w:ascii="Arial" w:eastAsia="Times New Roman" w:hAnsi="Arial" w:cs="Arial"/>
          <w:b/>
          <w:bCs/>
          <w:kern w:val="0"/>
          <w:sz w:val="24"/>
          <w:szCs w:val="24"/>
          <w:lang w:eastAsia="en-IN"/>
          <w14:ligatures w14:val="none"/>
        </w:rPr>
      </w:pPr>
      <w:r w:rsidRPr="00E2560F">
        <w:rPr>
          <w:rFonts w:ascii="Arial" w:eastAsia="Times New Roman" w:hAnsi="Arial" w:cs="Arial"/>
          <w:b/>
          <w:bCs/>
          <w:kern w:val="0"/>
          <w:sz w:val="24"/>
          <w:szCs w:val="24"/>
          <w:lang w:eastAsia="en-IN"/>
          <w14:ligatures w14:val="none"/>
        </w:rPr>
        <w:t>Review Article</w:t>
      </w:r>
    </w:p>
    <w:p w14:paraId="1709167F" w14:textId="6BB9DD56" w:rsidR="001907A2" w:rsidRPr="009B39F1" w:rsidRDefault="001907A2" w:rsidP="001907A2">
      <w:pPr>
        <w:spacing w:before="100" w:beforeAutospacing="1" w:after="100" w:afterAutospacing="1" w:line="240" w:lineRule="auto"/>
        <w:rPr>
          <w:rFonts w:ascii="Arial" w:eastAsia="Times New Roman" w:hAnsi="Arial" w:cs="Arial"/>
          <w:b/>
          <w:bCs/>
          <w:kern w:val="0"/>
          <w:sz w:val="24"/>
          <w:szCs w:val="24"/>
          <w:lang w:eastAsia="en-IN"/>
          <w14:ligatures w14:val="none"/>
        </w:rPr>
      </w:pPr>
      <w:r w:rsidRPr="009B39F1">
        <w:rPr>
          <w:rFonts w:ascii="Arial" w:eastAsia="Times New Roman" w:hAnsi="Arial" w:cs="Arial"/>
          <w:b/>
          <w:bCs/>
          <w:kern w:val="0"/>
          <w:sz w:val="24"/>
          <w:szCs w:val="24"/>
          <w:lang w:eastAsia="en-IN"/>
          <w14:ligatures w14:val="none"/>
        </w:rPr>
        <w:t>The Role of Garden-Based Nutrition Education in Enhancing</w:t>
      </w:r>
      <w:r w:rsidRPr="009B39F1">
        <w:rPr>
          <w:rFonts w:ascii="Arial" w:eastAsia="Times New Roman" w:hAnsi="Arial" w:cs="Arial"/>
          <w:kern w:val="0"/>
          <w:sz w:val="24"/>
          <w:szCs w:val="24"/>
          <w:lang w:eastAsia="en-IN"/>
          <w14:ligatures w14:val="none"/>
        </w:rPr>
        <w:t xml:space="preserve"> </w:t>
      </w:r>
      <w:r w:rsidRPr="009B39F1">
        <w:rPr>
          <w:rFonts w:ascii="Arial" w:eastAsia="Times New Roman" w:hAnsi="Arial" w:cs="Arial"/>
          <w:b/>
          <w:bCs/>
          <w:kern w:val="0"/>
          <w:sz w:val="24"/>
          <w:szCs w:val="24"/>
          <w:lang w:eastAsia="en-IN"/>
          <w14:ligatures w14:val="none"/>
        </w:rPr>
        <w:t>Healthy Eating Habits and Cognition Among Preschoolers: A Review</w:t>
      </w:r>
    </w:p>
    <w:p w14:paraId="6A1491B2" w14:textId="6C8348FE" w:rsidR="00813E77" w:rsidRPr="009B39F1" w:rsidRDefault="00A54490" w:rsidP="001907A2">
      <w:pPr>
        <w:spacing w:before="100" w:beforeAutospacing="1" w:after="100" w:afterAutospacing="1" w:line="240" w:lineRule="auto"/>
        <w:jc w:val="both"/>
        <w:rPr>
          <w:rFonts w:ascii="Arial" w:eastAsia="Times New Roman" w:hAnsi="Arial" w:cs="Arial"/>
          <w:kern w:val="0"/>
          <w:lang w:eastAsia="en-IN"/>
          <w14:ligatures w14:val="none"/>
        </w:rPr>
      </w:pPr>
      <w:r w:rsidRPr="009B39F1">
        <w:rPr>
          <w:rFonts w:ascii="Arial" w:eastAsia="Times New Roman" w:hAnsi="Arial" w:cs="Arial"/>
          <w:b/>
          <w:bCs/>
          <w:kern w:val="0"/>
          <w:lang w:eastAsia="en-IN"/>
          <w14:ligatures w14:val="none"/>
        </w:rPr>
        <w:t>ABSTRACT</w:t>
      </w:r>
      <w:r w:rsidRPr="009B39F1">
        <w:rPr>
          <w:rFonts w:ascii="Arial" w:eastAsia="Times New Roman" w:hAnsi="Arial" w:cs="Arial"/>
          <w:kern w:val="0"/>
          <w:lang w:eastAsia="en-IN"/>
          <w14:ligatures w14:val="none"/>
        </w:rPr>
        <w:t xml:space="preserve"> </w:t>
      </w:r>
    </w:p>
    <w:p w14:paraId="66C1CE82" w14:textId="1D8B5189" w:rsidR="00A54490" w:rsidRPr="00796958" w:rsidRDefault="00A54490" w:rsidP="0055190F">
      <w:pPr>
        <w:spacing w:after="0" w:line="240" w:lineRule="auto"/>
        <w:jc w:val="both"/>
        <w:rPr>
          <w:rFonts w:ascii="Arial" w:eastAsia="Times New Roman" w:hAnsi="Arial" w:cs="Arial"/>
          <w:kern w:val="0"/>
          <w:lang w:eastAsia="en-IN"/>
          <w14:ligatures w14:val="none"/>
        </w:rPr>
      </w:pPr>
      <w:r w:rsidRPr="00796958">
        <w:rPr>
          <w:rFonts w:ascii="Arial" w:eastAsia="Times New Roman" w:hAnsi="Arial" w:cs="Arial"/>
          <w:b/>
          <w:bCs/>
          <w:kern w:val="0"/>
          <w:lang w:eastAsia="en-IN"/>
          <w14:ligatures w14:val="none"/>
        </w:rPr>
        <w:t>Aim</w:t>
      </w:r>
      <w:r w:rsidR="00BC26B3" w:rsidRPr="00796958">
        <w:rPr>
          <w:rFonts w:ascii="Arial" w:eastAsia="Times New Roman" w:hAnsi="Arial" w:cs="Arial"/>
          <w:b/>
          <w:bCs/>
          <w:kern w:val="0"/>
          <w:lang w:eastAsia="en-IN"/>
          <w14:ligatures w14:val="none"/>
        </w:rPr>
        <w:t>s</w:t>
      </w:r>
      <w:r w:rsidRPr="00796958">
        <w:rPr>
          <w:rFonts w:ascii="Arial" w:eastAsia="Times New Roman" w:hAnsi="Arial" w:cs="Arial"/>
          <w:b/>
          <w:bCs/>
          <w:kern w:val="0"/>
          <w:lang w:eastAsia="en-IN"/>
          <w14:ligatures w14:val="none"/>
        </w:rPr>
        <w:t>:</w:t>
      </w:r>
      <w:r w:rsidRPr="00796958">
        <w:rPr>
          <w:rFonts w:ascii="Arial" w:eastAsia="Times New Roman" w:hAnsi="Arial" w:cs="Arial"/>
          <w:kern w:val="0"/>
          <w:lang w:eastAsia="en-IN"/>
          <w14:ligatures w14:val="none"/>
        </w:rPr>
        <w:t xml:space="preserve"> 1)To  assess the effectiveness of garden-based nutrition education in promoting healthy dietary habits and nutritional knowledge among preschool-aged children;</w:t>
      </w:r>
      <w:r w:rsidRPr="00796958">
        <w:rPr>
          <w:rFonts w:ascii="Arial" w:eastAsia="Times New Roman" w:hAnsi="Arial" w:cs="Arial"/>
          <w:b/>
          <w:bCs/>
          <w:kern w:val="0"/>
          <w:lang w:eastAsia="en-IN"/>
          <w14:ligatures w14:val="none"/>
        </w:rPr>
        <w:t xml:space="preserve"> </w:t>
      </w:r>
      <w:r w:rsidRPr="00796958">
        <w:rPr>
          <w:rFonts w:ascii="Arial" w:eastAsia="Times New Roman" w:hAnsi="Arial" w:cs="Arial"/>
          <w:kern w:val="0"/>
          <w:lang w:eastAsia="en-IN"/>
          <w14:ligatures w14:val="none"/>
        </w:rPr>
        <w:t>2) to evaluate the methodologies employed in studying the impact of garden-based nutrition education on cognitive development and academic performance in preschoolers;  3)</w:t>
      </w:r>
      <w:r w:rsidRPr="00796958">
        <w:rPr>
          <w:rFonts w:ascii="Arial" w:eastAsia="Times New Roman" w:hAnsi="Arial" w:cs="Arial"/>
          <w:b/>
          <w:bCs/>
          <w:kern w:val="0"/>
          <w:lang w:eastAsia="en-IN"/>
          <w14:ligatures w14:val="none"/>
        </w:rPr>
        <w:t xml:space="preserve"> </w:t>
      </w:r>
      <w:r w:rsidRPr="00796958">
        <w:rPr>
          <w:rFonts w:ascii="Arial" w:eastAsia="Times New Roman" w:hAnsi="Arial" w:cs="Arial"/>
          <w:kern w:val="0"/>
          <w:lang w:eastAsia="en-IN"/>
          <w14:ligatures w14:val="none"/>
        </w:rPr>
        <w:t xml:space="preserve">to </w:t>
      </w:r>
      <w:r w:rsidR="00AB7856" w:rsidRPr="00796958">
        <w:rPr>
          <w:rFonts w:ascii="Arial" w:eastAsia="Times New Roman" w:hAnsi="Arial" w:cs="Arial"/>
          <w:kern w:val="0"/>
          <w:lang w:eastAsia="en-IN"/>
          <w14:ligatures w14:val="none"/>
        </w:rPr>
        <w:t>analyse</w:t>
      </w:r>
      <w:r w:rsidRPr="00796958">
        <w:rPr>
          <w:rFonts w:ascii="Arial" w:eastAsia="Times New Roman" w:hAnsi="Arial" w:cs="Arial"/>
          <w:kern w:val="0"/>
          <w:lang w:eastAsia="en-IN"/>
          <w14:ligatures w14:val="none"/>
        </w:rPr>
        <w:t xml:space="preserve"> the results of research studies investigating the use of garden-based nutrition education in improving nutritional status, cognitive function, and learning outcomes among preschool-aged children; and 4) to discuss the implications of findings related to the use of garden-based nutrition education for early childhood education, parental involvement, and public health policy.</w:t>
      </w:r>
    </w:p>
    <w:p w14:paraId="537E5A1F" w14:textId="77777777" w:rsidR="00A54490" w:rsidRPr="00796958" w:rsidRDefault="00A54490" w:rsidP="0055190F">
      <w:pPr>
        <w:spacing w:after="0" w:line="240" w:lineRule="auto"/>
        <w:jc w:val="both"/>
        <w:rPr>
          <w:rFonts w:ascii="Arial" w:eastAsia="Times New Roman" w:hAnsi="Arial" w:cs="Arial"/>
          <w:kern w:val="0"/>
          <w:lang w:eastAsia="en-IN"/>
          <w14:ligatures w14:val="none"/>
        </w:rPr>
      </w:pPr>
      <w:r w:rsidRPr="00796958">
        <w:rPr>
          <w:rFonts w:ascii="Arial" w:eastAsia="Times New Roman" w:hAnsi="Arial" w:cs="Arial"/>
          <w:b/>
          <w:bCs/>
          <w:kern w:val="0"/>
          <w:lang w:eastAsia="en-IN"/>
          <w14:ligatures w14:val="none"/>
        </w:rPr>
        <w:t>Methods:</w:t>
      </w:r>
      <w:r w:rsidRPr="00796958">
        <w:rPr>
          <w:rFonts w:ascii="Arial" w:eastAsia="Times New Roman" w:hAnsi="Arial" w:cs="Arial"/>
          <w:kern w:val="0"/>
          <w:lang w:eastAsia="en-IN"/>
          <w14:ligatures w14:val="none"/>
        </w:rPr>
        <w:t xml:space="preserve"> A systematic literature search was conducted using electronic databases such as PubMed, PsycINFO, and Google Scholar to identify relevant peer-reviewed articles, reviews, and meta-analyses published between 2010 and 2022. Studies examining the impact of garden-based nutrition education on food habits and cognitive development among preschool-aged children were included in the review. Data extraction was performed to compile information on study objectives, methodologies, key findings, and implications.</w:t>
      </w:r>
    </w:p>
    <w:p w14:paraId="31543E4A" w14:textId="77777777" w:rsidR="00A54490" w:rsidRPr="00796958" w:rsidRDefault="00A54490" w:rsidP="0055190F">
      <w:pPr>
        <w:spacing w:after="0" w:line="240" w:lineRule="auto"/>
        <w:jc w:val="both"/>
        <w:rPr>
          <w:rFonts w:ascii="Arial" w:eastAsia="Times New Roman" w:hAnsi="Arial" w:cs="Arial"/>
          <w:kern w:val="0"/>
          <w:lang w:eastAsia="en-IN"/>
          <w14:ligatures w14:val="none"/>
        </w:rPr>
      </w:pPr>
      <w:r w:rsidRPr="00796958">
        <w:rPr>
          <w:rFonts w:ascii="Arial" w:hAnsi="Arial" w:cs="Arial"/>
          <w:b/>
          <w:bCs/>
        </w:rPr>
        <w:t xml:space="preserve"> </w:t>
      </w:r>
      <w:r w:rsidRPr="00796958">
        <w:rPr>
          <w:rFonts w:ascii="Arial" w:eastAsia="Times New Roman" w:hAnsi="Arial" w:cs="Arial"/>
          <w:b/>
          <w:bCs/>
          <w:kern w:val="0"/>
          <w:lang w:eastAsia="en-IN"/>
          <w14:ligatures w14:val="none"/>
        </w:rPr>
        <w:t>Results:</w:t>
      </w:r>
      <w:r w:rsidRPr="00796958">
        <w:rPr>
          <w:rFonts w:ascii="Arial" w:eastAsia="Times New Roman" w:hAnsi="Arial" w:cs="Arial"/>
          <w:kern w:val="0"/>
          <w:lang w:eastAsia="en-IN"/>
          <w14:ligatures w14:val="none"/>
        </w:rPr>
        <w:t xml:space="preserve"> The review identified a growing body of literature highlighting the positive impact of garden-based nutrition education on cognition among preschool-aged children. Studies have demonstrated that garden-based nutrition education interventions lead to improvements in dietary intake, nutritional knowledge, and dietary </w:t>
      </w:r>
      <w:proofErr w:type="spellStart"/>
      <w:r w:rsidRPr="00796958">
        <w:rPr>
          <w:rFonts w:ascii="Arial" w:eastAsia="Times New Roman" w:hAnsi="Arial" w:cs="Arial"/>
          <w:kern w:val="0"/>
          <w:lang w:eastAsia="en-IN"/>
          <w14:ligatures w14:val="none"/>
        </w:rPr>
        <w:t>behavior</w:t>
      </w:r>
      <w:proofErr w:type="spellEnd"/>
      <w:r w:rsidRPr="00796958">
        <w:rPr>
          <w:rFonts w:ascii="Arial" w:eastAsia="Times New Roman" w:hAnsi="Arial" w:cs="Arial"/>
          <w:kern w:val="0"/>
          <w:lang w:eastAsia="en-IN"/>
          <w14:ligatures w14:val="none"/>
        </w:rPr>
        <w:t xml:space="preserve"> among preschoolers and their families. Moreover, engagement in garden-based activities has been associated with enhanced cognitive function, academic readiness, and socio-emotional development among preschool-aged children.</w:t>
      </w:r>
    </w:p>
    <w:p w14:paraId="2DFE190C" w14:textId="77777777" w:rsidR="00A54490" w:rsidRDefault="00A54490" w:rsidP="0055190F">
      <w:pPr>
        <w:spacing w:after="0" w:line="240" w:lineRule="auto"/>
        <w:jc w:val="both"/>
        <w:rPr>
          <w:rFonts w:ascii="Arial" w:eastAsia="Times New Roman" w:hAnsi="Arial" w:cs="Arial"/>
          <w:kern w:val="0"/>
          <w:lang w:eastAsia="en-IN"/>
          <w14:ligatures w14:val="none"/>
        </w:rPr>
      </w:pPr>
      <w:r w:rsidRPr="00796958">
        <w:rPr>
          <w:rFonts w:ascii="Arial" w:eastAsia="Times New Roman" w:hAnsi="Arial" w:cs="Arial"/>
          <w:b/>
          <w:bCs/>
          <w:kern w:val="0"/>
          <w:lang w:eastAsia="en-IN"/>
          <w14:ligatures w14:val="none"/>
        </w:rPr>
        <w:t>Conclusion:</w:t>
      </w:r>
      <w:r w:rsidRPr="00796958">
        <w:rPr>
          <w:rFonts w:ascii="Arial" w:eastAsia="Times New Roman" w:hAnsi="Arial" w:cs="Arial"/>
          <w:kern w:val="0"/>
          <w:lang w:eastAsia="en-IN"/>
          <w14:ligatures w14:val="none"/>
        </w:rPr>
        <w:t xml:space="preserve"> In conclusion, garden-based nutrition education offers a promising approach to enhancing cognition among preschool-aged children by promoting healthy dietary habits and supporting cognitive development. This review highlights the importance of further research and innovation in the development and implementation of garden-based nutrition education programs tailored to the unique needs of preschoolers and their families. By integrating garden-based activities into early childhood education curricula and community-based interventions, stakeholders can work towards ensuring that all preschoolers have the opportunity to reach their full cognitive potential and thrive in their early years.</w:t>
      </w:r>
    </w:p>
    <w:p w14:paraId="110CAD76" w14:textId="77777777" w:rsidR="0055190F" w:rsidRPr="00796958" w:rsidRDefault="0055190F" w:rsidP="0055190F">
      <w:pPr>
        <w:spacing w:after="0" w:line="240" w:lineRule="auto"/>
        <w:jc w:val="both"/>
        <w:rPr>
          <w:rFonts w:ascii="Arial" w:eastAsia="Times New Roman" w:hAnsi="Arial" w:cs="Arial"/>
          <w:kern w:val="0"/>
          <w:lang w:eastAsia="en-IN"/>
          <w14:ligatures w14:val="none"/>
        </w:rPr>
      </w:pPr>
    </w:p>
    <w:p w14:paraId="38ACB1C1" w14:textId="40C04610" w:rsidR="00BD77B9" w:rsidRPr="00B01347" w:rsidRDefault="00BD77B9" w:rsidP="006008B7">
      <w:pPr>
        <w:spacing w:after="0" w:line="240" w:lineRule="auto"/>
        <w:rPr>
          <w:rFonts w:ascii="Arial" w:eastAsia="Times New Roman" w:hAnsi="Arial" w:cs="Arial"/>
          <w:i/>
          <w:iCs/>
          <w:kern w:val="0"/>
          <w:lang w:eastAsia="en-IN"/>
          <w14:ligatures w14:val="none"/>
        </w:rPr>
      </w:pPr>
      <w:r w:rsidRPr="00B01347">
        <w:rPr>
          <w:rFonts w:ascii="Arial" w:eastAsia="Times New Roman" w:hAnsi="Arial" w:cs="Arial"/>
          <w:b/>
          <w:bCs/>
          <w:i/>
          <w:iCs/>
          <w:kern w:val="0"/>
          <w:sz w:val="20"/>
          <w:szCs w:val="20"/>
          <w:lang w:eastAsia="en-IN"/>
          <w14:ligatures w14:val="none"/>
        </w:rPr>
        <w:t>Keywords:</w:t>
      </w:r>
      <w:r w:rsidRPr="00B01347">
        <w:rPr>
          <w:rFonts w:ascii="Arial" w:eastAsia="Times New Roman" w:hAnsi="Arial" w:cs="Arial"/>
          <w:i/>
          <w:iCs/>
          <w:kern w:val="0"/>
          <w:sz w:val="20"/>
          <w:szCs w:val="20"/>
          <w:lang w:eastAsia="en-IN"/>
          <w14:ligatures w14:val="none"/>
        </w:rPr>
        <w:t xml:space="preserve"> Garden-based nutrition education</w:t>
      </w:r>
      <w:r w:rsidR="00705E75" w:rsidRPr="00B01347">
        <w:rPr>
          <w:rFonts w:ascii="Arial" w:eastAsia="Times New Roman" w:hAnsi="Arial" w:cs="Arial"/>
          <w:i/>
          <w:iCs/>
          <w:kern w:val="0"/>
          <w:sz w:val="20"/>
          <w:szCs w:val="20"/>
          <w:lang w:eastAsia="en-IN"/>
          <w14:ligatures w14:val="none"/>
        </w:rPr>
        <w:t>;</w:t>
      </w:r>
      <w:r w:rsidRPr="00B01347">
        <w:rPr>
          <w:rFonts w:ascii="Arial" w:eastAsia="Times New Roman" w:hAnsi="Arial" w:cs="Arial"/>
          <w:i/>
          <w:iCs/>
          <w:kern w:val="0"/>
          <w:sz w:val="20"/>
          <w:szCs w:val="20"/>
          <w:lang w:eastAsia="en-IN"/>
          <w14:ligatures w14:val="none"/>
        </w:rPr>
        <w:t xml:space="preserve"> </w:t>
      </w:r>
      <w:r w:rsidR="00705E75" w:rsidRPr="00B01347">
        <w:rPr>
          <w:rFonts w:ascii="Arial" w:eastAsia="Times New Roman" w:hAnsi="Arial" w:cs="Arial"/>
          <w:i/>
          <w:iCs/>
          <w:kern w:val="0"/>
          <w:sz w:val="20"/>
          <w:szCs w:val="20"/>
          <w:lang w:eastAsia="en-IN"/>
          <w14:ligatures w14:val="none"/>
        </w:rPr>
        <w:t>p</w:t>
      </w:r>
      <w:r w:rsidRPr="00B01347">
        <w:rPr>
          <w:rFonts w:ascii="Arial" w:eastAsia="Times New Roman" w:hAnsi="Arial" w:cs="Arial"/>
          <w:i/>
          <w:iCs/>
          <w:kern w:val="0"/>
          <w:sz w:val="20"/>
          <w:szCs w:val="20"/>
          <w:lang w:eastAsia="en-IN"/>
          <w14:ligatures w14:val="none"/>
        </w:rPr>
        <w:t>reschoolers</w:t>
      </w:r>
      <w:r w:rsidR="00705E75" w:rsidRPr="00B01347">
        <w:rPr>
          <w:rFonts w:ascii="Arial" w:eastAsia="Times New Roman" w:hAnsi="Arial" w:cs="Arial"/>
          <w:i/>
          <w:iCs/>
          <w:kern w:val="0"/>
          <w:sz w:val="20"/>
          <w:szCs w:val="20"/>
          <w:lang w:eastAsia="en-IN"/>
          <w14:ligatures w14:val="none"/>
        </w:rPr>
        <w:t>;</w:t>
      </w:r>
      <w:r w:rsidRPr="00B01347">
        <w:rPr>
          <w:rFonts w:ascii="Arial" w:eastAsia="Times New Roman" w:hAnsi="Arial" w:cs="Arial"/>
          <w:i/>
          <w:iCs/>
          <w:kern w:val="0"/>
          <w:sz w:val="20"/>
          <w:szCs w:val="20"/>
          <w:lang w:eastAsia="en-IN"/>
          <w14:ligatures w14:val="none"/>
        </w:rPr>
        <w:t xml:space="preserve"> </w:t>
      </w:r>
      <w:r w:rsidR="00705E75" w:rsidRPr="00B01347">
        <w:rPr>
          <w:rFonts w:ascii="Arial" w:eastAsia="Times New Roman" w:hAnsi="Arial" w:cs="Arial"/>
          <w:i/>
          <w:iCs/>
          <w:kern w:val="0"/>
          <w:sz w:val="20"/>
          <w:szCs w:val="20"/>
          <w:lang w:eastAsia="en-IN"/>
          <w14:ligatures w14:val="none"/>
        </w:rPr>
        <w:t>c</w:t>
      </w:r>
      <w:r w:rsidRPr="00B01347">
        <w:rPr>
          <w:rFonts w:ascii="Arial" w:eastAsia="Times New Roman" w:hAnsi="Arial" w:cs="Arial"/>
          <w:i/>
          <w:iCs/>
          <w:kern w:val="0"/>
          <w:sz w:val="20"/>
          <w:szCs w:val="20"/>
          <w:lang w:eastAsia="en-IN"/>
          <w14:ligatures w14:val="none"/>
        </w:rPr>
        <w:t>ognition</w:t>
      </w:r>
      <w:r w:rsidR="00705E75" w:rsidRPr="00B01347">
        <w:rPr>
          <w:rFonts w:ascii="Arial" w:eastAsia="Times New Roman" w:hAnsi="Arial" w:cs="Arial"/>
          <w:i/>
          <w:iCs/>
          <w:kern w:val="0"/>
          <w:sz w:val="20"/>
          <w:szCs w:val="20"/>
          <w:lang w:eastAsia="en-IN"/>
          <w14:ligatures w14:val="none"/>
        </w:rPr>
        <w:t>;</w:t>
      </w:r>
      <w:r w:rsidRPr="00B01347">
        <w:rPr>
          <w:rFonts w:ascii="Arial" w:eastAsia="Times New Roman" w:hAnsi="Arial" w:cs="Arial"/>
          <w:i/>
          <w:iCs/>
          <w:kern w:val="0"/>
          <w:sz w:val="20"/>
          <w:szCs w:val="20"/>
          <w:lang w:eastAsia="en-IN"/>
          <w14:ligatures w14:val="none"/>
        </w:rPr>
        <w:t xml:space="preserve"> </w:t>
      </w:r>
      <w:r w:rsidR="00705E75" w:rsidRPr="00B01347">
        <w:rPr>
          <w:rFonts w:ascii="Arial" w:eastAsia="Times New Roman" w:hAnsi="Arial" w:cs="Arial"/>
          <w:i/>
          <w:iCs/>
          <w:kern w:val="0"/>
          <w:sz w:val="20"/>
          <w:szCs w:val="20"/>
          <w:lang w:eastAsia="en-IN"/>
          <w14:ligatures w14:val="none"/>
        </w:rPr>
        <w:t>e</w:t>
      </w:r>
      <w:r w:rsidRPr="00B01347">
        <w:rPr>
          <w:rFonts w:ascii="Arial" w:eastAsia="Times New Roman" w:hAnsi="Arial" w:cs="Arial"/>
          <w:i/>
          <w:iCs/>
          <w:kern w:val="0"/>
          <w:sz w:val="20"/>
          <w:szCs w:val="20"/>
          <w:lang w:eastAsia="en-IN"/>
          <w14:ligatures w14:val="none"/>
        </w:rPr>
        <w:t xml:space="preserve">arly </w:t>
      </w:r>
      <w:r w:rsidR="00166626" w:rsidRPr="00B01347">
        <w:rPr>
          <w:rFonts w:ascii="Arial" w:eastAsia="Times New Roman" w:hAnsi="Arial" w:cs="Arial"/>
          <w:i/>
          <w:iCs/>
          <w:kern w:val="0"/>
          <w:sz w:val="20"/>
          <w:szCs w:val="20"/>
          <w:lang w:eastAsia="en-IN"/>
          <w14:ligatures w14:val="none"/>
        </w:rPr>
        <w:t>childhood; academic</w:t>
      </w:r>
      <w:r w:rsidRPr="00B01347">
        <w:rPr>
          <w:rFonts w:ascii="Arial" w:eastAsia="Times New Roman" w:hAnsi="Arial" w:cs="Arial"/>
          <w:i/>
          <w:iCs/>
          <w:kern w:val="0"/>
          <w:sz w:val="20"/>
          <w:szCs w:val="20"/>
          <w:lang w:eastAsia="en-IN"/>
          <w14:ligatures w14:val="none"/>
        </w:rPr>
        <w:t xml:space="preserve"> readiness</w:t>
      </w:r>
      <w:r w:rsidR="00705E75" w:rsidRPr="00B01347">
        <w:rPr>
          <w:rFonts w:ascii="Arial" w:eastAsia="Times New Roman" w:hAnsi="Arial" w:cs="Arial"/>
          <w:i/>
          <w:iCs/>
          <w:kern w:val="0"/>
          <w:sz w:val="20"/>
          <w:szCs w:val="20"/>
          <w:lang w:eastAsia="en-IN"/>
          <w14:ligatures w14:val="none"/>
        </w:rPr>
        <w:t>;</w:t>
      </w:r>
      <w:r w:rsidRPr="00B01347">
        <w:rPr>
          <w:rFonts w:ascii="Arial" w:eastAsia="Times New Roman" w:hAnsi="Arial" w:cs="Arial"/>
          <w:i/>
          <w:iCs/>
          <w:kern w:val="0"/>
          <w:sz w:val="20"/>
          <w:szCs w:val="20"/>
          <w:lang w:eastAsia="en-IN"/>
          <w14:ligatures w14:val="none"/>
        </w:rPr>
        <w:t xml:space="preserve"> </w:t>
      </w:r>
      <w:r w:rsidR="00705E75" w:rsidRPr="00B01347">
        <w:rPr>
          <w:rFonts w:ascii="Arial" w:eastAsia="Times New Roman" w:hAnsi="Arial" w:cs="Arial"/>
          <w:i/>
          <w:iCs/>
          <w:kern w:val="0"/>
          <w:sz w:val="20"/>
          <w:szCs w:val="20"/>
          <w:lang w:eastAsia="en-IN"/>
          <w14:ligatures w14:val="none"/>
        </w:rPr>
        <w:t>n</w:t>
      </w:r>
      <w:r w:rsidRPr="00B01347">
        <w:rPr>
          <w:rFonts w:ascii="Arial" w:eastAsia="Times New Roman" w:hAnsi="Arial" w:cs="Arial"/>
          <w:i/>
          <w:iCs/>
          <w:kern w:val="0"/>
          <w:sz w:val="20"/>
          <w:szCs w:val="20"/>
          <w:lang w:eastAsia="en-IN"/>
          <w14:ligatures w14:val="none"/>
        </w:rPr>
        <w:t>utritional knowledge</w:t>
      </w:r>
      <w:r w:rsidR="00705E75" w:rsidRPr="00B01347">
        <w:rPr>
          <w:rFonts w:ascii="Arial" w:eastAsia="Times New Roman" w:hAnsi="Arial" w:cs="Arial"/>
          <w:i/>
          <w:iCs/>
          <w:kern w:val="0"/>
          <w:sz w:val="20"/>
          <w:szCs w:val="20"/>
          <w:lang w:eastAsia="en-IN"/>
          <w14:ligatures w14:val="none"/>
        </w:rPr>
        <w:t>;</w:t>
      </w:r>
      <w:r w:rsidRPr="00B01347">
        <w:rPr>
          <w:rFonts w:ascii="Arial" w:eastAsia="Times New Roman" w:hAnsi="Arial" w:cs="Arial"/>
          <w:i/>
          <w:iCs/>
          <w:kern w:val="0"/>
          <w:sz w:val="20"/>
          <w:szCs w:val="20"/>
          <w:lang w:eastAsia="en-IN"/>
          <w14:ligatures w14:val="none"/>
        </w:rPr>
        <w:t xml:space="preserve"> and </w:t>
      </w:r>
      <w:r w:rsidR="00705E75" w:rsidRPr="00B01347">
        <w:rPr>
          <w:rFonts w:ascii="Arial" w:eastAsia="Times New Roman" w:hAnsi="Arial" w:cs="Arial"/>
          <w:i/>
          <w:iCs/>
          <w:kern w:val="0"/>
          <w:sz w:val="20"/>
          <w:szCs w:val="20"/>
          <w:lang w:eastAsia="en-IN"/>
          <w14:ligatures w14:val="none"/>
        </w:rPr>
        <w:t>d</w:t>
      </w:r>
      <w:r w:rsidRPr="00B01347">
        <w:rPr>
          <w:rFonts w:ascii="Arial" w:eastAsia="Times New Roman" w:hAnsi="Arial" w:cs="Arial"/>
          <w:i/>
          <w:iCs/>
          <w:kern w:val="0"/>
          <w:sz w:val="20"/>
          <w:szCs w:val="20"/>
          <w:lang w:eastAsia="en-IN"/>
          <w14:ligatures w14:val="none"/>
        </w:rPr>
        <w:t xml:space="preserve">ietary </w:t>
      </w:r>
      <w:proofErr w:type="spellStart"/>
      <w:r w:rsidRPr="00B01347">
        <w:rPr>
          <w:rFonts w:ascii="Arial" w:eastAsia="Times New Roman" w:hAnsi="Arial" w:cs="Arial"/>
          <w:i/>
          <w:iCs/>
          <w:kern w:val="0"/>
          <w:sz w:val="20"/>
          <w:szCs w:val="20"/>
          <w:lang w:eastAsia="en-IN"/>
          <w14:ligatures w14:val="none"/>
        </w:rPr>
        <w:t>behavior</w:t>
      </w:r>
      <w:proofErr w:type="spellEnd"/>
      <w:r w:rsidR="00775EF2" w:rsidRPr="00B01347">
        <w:rPr>
          <w:rFonts w:ascii="Arial" w:eastAsia="Times New Roman" w:hAnsi="Arial" w:cs="Arial"/>
          <w:i/>
          <w:iCs/>
          <w:kern w:val="0"/>
          <w:lang w:eastAsia="en-IN"/>
          <w14:ligatures w14:val="none"/>
        </w:rPr>
        <w:t>.</w:t>
      </w:r>
    </w:p>
    <w:p w14:paraId="12B70787" w14:textId="7FEB88FC" w:rsidR="008F7A7D" w:rsidRPr="005D6989" w:rsidRDefault="00705E75" w:rsidP="008D5072">
      <w:pPr>
        <w:pStyle w:val="ListParagraph"/>
        <w:numPr>
          <w:ilvl w:val="0"/>
          <w:numId w:val="4"/>
        </w:numPr>
        <w:spacing w:before="100" w:beforeAutospacing="1" w:after="100" w:afterAutospacing="1" w:line="240" w:lineRule="auto"/>
        <w:rPr>
          <w:rFonts w:ascii="Arial" w:eastAsia="Times New Roman" w:hAnsi="Arial" w:cs="Arial"/>
          <w:kern w:val="0"/>
          <w:lang w:eastAsia="en-IN"/>
          <w14:ligatures w14:val="none"/>
        </w:rPr>
      </w:pPr>
      <w:r w:rsidRPr="005D6989">
        <w:rPr>
          <w:rFonts w:ascii="Arial" w:eastAsia="Times New Roman" w:hAnsi="Arial" w:cs="Arial"/>
          <w:b/>
          <w:bCs/>
          <w:kern w:val="0"/>
          <w:lang w:eastAsia="en-IN"/>
          <w14:ligatures w14:val="none"/>
        </w:rPr>
        <w:t>INTRODUCTION:</w:t>
      </w:r>
      <w:r w:rsidRPr="005D6989">
        <w:rPr>
          <w:rFonts w:ascii="Arial" w:eastAsia="Times New Roman" w:hAnsi="Arial" w:cs="Arial"/>
          <w:kern w:val="0"/>
          <w:lang w:eastAsia="en-IN"/>
          <w14:ligatures w14:val="none"/>
        </w:rPr>
        <w:t xml:space="preserve"> </w:t>
      </w:r>
    </w:p>
    <w:p w14:paraId="28EA8F29" w14:textId="67A81530" w:rsidR="00973118" w:rsidRPr="008D5072" w:rsidRDefault="008F7A7D" w:rsidP="00620C8C">
      <w:pPr>
        <w:jc w:val="both"/>
        <w:rPr>
          <w:rFonts w:ascii="Arial" w:eastAsia="Times New Roman" w:hAnsi="Arial" w:cs="Arial"/>
          <w:kern w:val="0"/>
          <w:sz w:val="20"/>
          <w:szCs w:val="20"/>
          <w:lang w:eastAsia="en-IN"/>
          <w14:ligatures w14:val="none"/>
        </w:rPr>
      </w:pPr>
      <w:r w:rsidRPr="008D5072">
        <w:rPr>
          <w:rFonts w:ascii="Arial" w:eastAsia="Times New Roman" w:hAnsi="Arial" w:cs="Arial"/>
          <w:kern w:val="0"/>
          <w:sz w:val="20"/>
          <w:szCs w:val="20"/>
          <w:lang w:eastAsia="en-IN"/>
          <w14:ligatures w14:val="none"/>
        </w:rPr>
        <w:t>The preschool years are when children go through the most significant developmental changes and acquire vital skills that provide school preparedness.</w:t>
      </w:r>
      <w:r w:rsidR="003A26F8" w:rsidRPr="008D5072">
        <w:rPr>
          <w:rFonts w:ascii="Arial" w:hAnsi="Arial" w:cs="Arial"/>
          <w:sz w:val="20"/>
          <w:szCs w:val="20"/>
        </w:rPr>
        <w:t xml:space="preserve"> </w:t>
      </w:r>
      <w:r w:rsidR="003A26F8" w:rsidRPr="008D5072">
        <w:rPr>
          <w:rFonts w:ascii="Arial" w:eastAsia="Times New Roman" w:hAnsi="Arial" w:cs="Arial"/>
          <w:kern w:val="0"/>
          <w:sz w:val="20"/>
          <w:szCs w:val="20"/>
          <w:lang w:eastAsia="en-IN"/>
          <w14:ligatures w14:val="none"/>
        </w:rPr>
        <w:t>Cognitive growth throughout the preschool years is often a good indicator of future success in life</w:t>
      </w:r>
      <w:r w:rsidR="00AB1EDE" w:rsidRPr="008D5072">
        <w:rPr>
          <w:rFonts w:ascii="Arial" w:eastAsia="Times New Roman" w:hAnsi="Arial" w:cs="Arial"/>
          <w:kern w:val="0"/>
          <w:sz w:val="20"/>
          <w:szCs w:val="20"/>
          <w:lang w:eastAsia="en-IN"/>
          <w14:ligatures w14:val="none"/>
        </w:rPr>
        <w:t xml:space="preserve"> [1]</w:t>
      </w:r>
      <w:r w:rsidR="005825CB">
        <w:rPr>
          <w:rFonts w:ascii="Arial" w:eastAsia="Times New Roman" w:hAnsi="Arial" w:cs="Arial"/>
          <w:kern w:val="0"/>
          <w:sz w:val="20"/>
          <w:szCs w:val="20"/>
          <w:lang w:eastAsia="en-IN"/>
          <w14:ligatures w14:val="none"/>
        </w:rPr>
        <w:t xml:space="preserve">. </w:t>
      </w:r>
      <w:r w:rsidR="007162DB" w:rsidRPr="008D5072">
        <w:rPr>
          <w:rFonts w:ascii="Arial" w:eastAsia="Times New Roman" w:hAnsi="Arial" w:cs="Arial"/>
          <w:kern w:val="0"/>
          <w:sz w:val="20"/>
          <w:szCs w:val="20"/>
          <w:lang w:eastAsia="en-IN"/>
          <w14:ligatures w14:val="none"/>
        </w:rPr>
        <w:t>Specifically, children's later academic success is significantly influenced by how quickly they establish working memory and attention control</w:t>
      </w:r>
      <w:r w:rsidR="005825CB">
        <w:rPr>
          <w:rFonts w:ascii="Arial" w:eastAsia="Times New Roman" w:hAnsi="Arial" w:cs="Arial"/>
          <w:kern w:val="0"/>
          <w:sz w:val="20"/>
          <w:szCs w:val="20"/>
          <w:lang w:eastAsia="en-IN"/>
          <w14:ligatures w14:val="none"/>
        </w:rPr>
        <w:t xml:space="preserve"> </w:t>
      </w:r>
      <w:r w:rsidR="00AB1EDE" w:rsidRPr="008D5072">
        <w:rPr>
          <w:rFonts w:ascii="Arial" w:eastAsia="Times New Roman" w:hAnsi="Arial" w:cs="Arial"/>
          <w:kern w:val="0"/>
          <w:sz w:val="20"/>
          <w:szCs w:val="20"/>
          <w:lang w:eastAsia="en-IN"/>
          <w14:ligatures w14:val="none"/>
        </w:rPr>
        <w:t>[2]</w:t>
      </w:r>
      <w:r w:rsidR="005825CB">
        <w:rPr>
          <w:rFonts w:ascii="Arial" w:eastAsia="Times New Roman" w:hAnsi="Arial" w:cs="Arial"/>
          <w:kern w:val="0"/>
          <w:sz w:val="20"/>
          <w:szCs w:val="20"/>
          <w:lang w:eastAsia="en-IN"/>
          <w14:ligatures w14:val="none"/>
        </w:rPr>
        <w:t>.</w:t>
      </w:r>
      <w:r w:rsidR="007162DB" w:rsidRPr="008D5072">
        <w:rPr>
          <w:rFonts w:ascii="Arial" w:eastAsia="Times New Roman" w:hAnsi="Arial" w:cs="Arial"/>
          <w:kern w:val="0"/>
          <w:sz w:val="20"/>
          <w:szCs w:val="20"/>
          <w:lang w:eastAsia="en-IN"/>
          <w14:ligatures w14:val="none"/>
        </w:rPr>
        <w:t xml:space="preserve"> </w:t>
      </w:r>
      <w:r w:rsidR="00BC4F78" w:rsidRPr="008D5072">
        <w:rPr>
          <w:rFonts w:ascii="Arial" w:hAnsi="Arial" w:cs="Arial"/>
          <w:sz w:val="20"/>
          <w:szCs w:val="20"/>
        </w:rPr>
        <w:t>P</w:t>
      </w:r>
      <w:r w:rsidR="00C043B8" w:rsidRPr="008D5072">
        <w:rPr>
          <w:rFonts w:ascii="Arial" w:eastAsia="Times New Roman" w:hAnsi="Arial" w:cs="Arial"/>
          <w:kern w:val="0"/>
          <w:sz w:val="20"/>
          <w:szCs w:val="20"/>
          <w:lang w:eastAsia="en-IN"/>
          <w14:ligatures w14:val="none"/>
        </w:rPr>
        <w:t>reschool is a time where children's healthy growth is ensured and their cognitive, emotional, social, motor, and language development are supported</w:t>
      </w:r>
      <w:r w:rsidR="00BC4F78" w:rsidRPr="008D5072">
        <w:rPr>
          <w:rFonts w:ascii="Arial" w:eastAsia="Times New Roman" w:hAnsi="Arial" w:cs="Arial"/>
          <w:kern w:val="0"/>
          <w:sz w:val="20"/>
          <w:szCs w:val="20"/>
          <w:lang w:eastAsia="en-IN"/>
          <w14:ligatures w14:val="none"/>
        </w:rPr>
        <w:t xml:space="preserve"> </w:t>
      </w:r>
      <w:r w:rsidR="00AB1EDE" w:rsidRPr="008D5072">
        <w:rPr>
          <w:rFonts w:ascii="Arial" w:eastAsia="Times New Roman" w:hAnsi="Arial" w:cs="Arial"/>
          <w:kern w:val="0"/>
          <w:sz w:val="20"/>
          <w:szCs w:val="20"/>
          <w:lang w:eastAsia="en-IN"/>
          <w14:ligatures w14:val="none"/>
        </w:rPr>
        <w:t>[3</w:t>
      </w:r>
      <w:r w:rsidR="00696F7E">
        <w:rPr>
          <w:rFonts w:ascii="Arial" w:eastAsia="Times New Roman" w:hAnsi="Arial" w:cs="Arial"/>
          <w:kern w:val="0"/>
          <w:sz w:val="20"/>
          <w:szCs w:val="20"/>
          <w:lang w:eastAsia="en-IN"/>
          <w14:ligatures w14:val="none"/>
        </w:rPr>
        <w:t xml:space="preserve">]. </w:t>
      </w:r>
      <w:r w:rsidR="00A1020C" w:rsidRPr="008D5072">
        <w:rPr>
          <w:rFonts w:ascii="Arial" w:hAnsi="Arial" w:cs="Arial"/>
          <w:sz w:val="20"/>
          <w:szCs w:val="20"/>
        </w:rPr>
        <w:t>Since the recognition that the initial 1000 days of life are crucial for cognitive development, dietary regulations enacted by policymakers have supported the brain development of young children</w:t>
      </w:r>
      <w:r w:rsidR="00A516B0">
        <w:rPr>
          <w:rFonts w:ascii="Arial" w:hAnsi="Arial" w:cs="Arial"/>
          <w:sz w:val="20"/>
          <w:szCs w:val="20"/>
        </w:rPr>
        <w:t xml:space="preserve"> </w:t>
      </w:r>
      <w:r w:rsidR="00AB1EDE" w:rsidRPr="008D5072">
        <w:rPr>
          <w:rFonts w:ascii="Arial" w:hAnsi="Arial" w:cs="Arial"/>
          <w:sz w:val="20"/>
          <w:szCs w:val="20"/>
        </w:rPr>
        <w:t>[4]</w:t>
      </w:r>
      <w:r w:rsidR="00A516B0">
        <w:rPr>
          <w:rFonts w:ascii="Arial" w:hAnsi="Arial" w:cs="Arial"/>
          <w:sz w:val="20"/>
          <w:szCs w:val="20"/>
        </w:rPr>
        <w:t>.</w:t>
      </w:r>
      <w:r w:rsidR="00A1020C" w:rsidRPr="008D5072">
        <w:rPr>
          <w:rFonts w:ascii="Arial" w:hAnsi="Arial" w:cs="Arial"/>
          <w:sz w:val="20"/>
          <w:szCs w:val="20"/>
        </w:rPr>
        <w:t xml:space="preserve"> Similarly, adequate nutrition intake remains vital for cognitive development during the subsequent 1000 days of life</w:t>
      </w:r>
      <w:r w:rsidR="00C9148E">
        <w:rPr>
          <w:rFonts w:ascii="Arial" w:hAnsi="Arial" w:cs="Arial"/>
          <w:sz w:val="20"/>
          <w:szCs w:val="20"/>
        </w:rPr>
        <w:t xml:space="preserve"> </w:t>
      </w:r>
      <w:r w:rsidR="00AB1EDE" w:rsidRPr="008D5072">
        <w:rPr>
          <w:rFonts w:ascii="Arial" w:hAnsi="Arial" w:cs="Arial"/>
          <w:sz w:val="20"/>
          <w:szCs w:val="20"/>
        </w:rPr>
        <w:t>[5]</w:t>
      </w:r>
      <w:r w:rsidR="00C9148E">
        <w:rPr>
          <w:rFonts w:ascii="Arial" w:hAnsi="Arial" w:cs="Arial"/>
          <w:sz w:val="20"/>
          <w:szCs w:val="20"/>
        </w:rPr>
        <w:t>.</w:t>
      </w:r>
      <w:r w:rsidR="00A1020C" w:rsidRPr="008D5072">
        <w:rPr>
          <w:rFonts w:ascii="Arial" w:hAnsi="Arial" w:cs="Arial"/>
          <w:sz w:val="20"/>
          <w:szCs w:val="20"/>
        </w:rPr>
        <w:t xml:space="preserve"> Despite the importance of cognitive and </w:t>
      </w:r>
      <w:r w:rsidR="006027A5" w:rsidRPr="008D5072">
        <w:rPr>
          <w:rFonts w:ascii="Arial" w:hAnsi="Arial" w:cs="Arial"/>
          <w:sz w:val="20"/>
          <w:szCs w:val="20"/>
        </w:rPr>
        <w:t>behavioural</w:t>
      </w:r>
      <w:r w:rsidR="00A1020C" w:rsidRPr="008D5072">
        <w:rPr>
          <w:rFonts w:ascii="Arial" w:hAnsi="Arial" w:cs="Arial"/>
          <w:sz w:val="20"/>
          <w:szCs w:val="20"/>
        </w:rPr>
        <w:t xml:space="preserve"> development in preschoolers during this period, they often receive limited attention in public policy</w:t>
      </w:r>
      <w:r w:rsidR="006B01A6">
        <w:rPr>
          <w:rFonts w:ascii="Arial" w:hAnsi="Arial" w:cs="Arial"/>
          <w:sz w:val="20"/>
          <w:szCs w:val="20"/>
        </w:rPr>
        <w:t xml:space="preserve"> </w:t>
      </w:r>
      <w:r w:rsidR="00AB1EDE" w:rsidRPr="008D5072">
        <w:rPr>
          <w:rFonts w:ascii="Arial" w:hAnsi="Arial" w:cs="Arial"/>
          <w:sz w:val="20"/>
          <w:szCs w:val="20"/>
        </w:rPr>
        <w:t>[2]</w:t>
      </w:r>
      <w:r w:rsidR="006B01A6">
        <w:rPr>
          <w:rFonts w:ascii="Arial" w:hAnsi="Arial" w:cs="Arial"/>
          <w:sz w:val="20"/>
          <w:szCs w:val="20"/>
        </w:rPr>
        <w:t>.</w:t>
      </w:r>
      <w:r w:rsidR="00A1020C" w:rsidRPr="008D5072">
        <w:rPr>
          <w:rFonts w:ascii="Arial" w:hAnsi="Arial" w:cs="Arial"/>
          <w:sz w:val="20"/>
          <w:szCs w:val="20"/>
        </w:rPr>
        <w:t xml:space="preserve"> </w:t>
      </w:r>
      <w:bookmarkStart w:id="0" w:name="_Hlk173707821"/>
    </w:p>
    <w:bookmarkEnd w:id="0"/>
    <w:p w14:paraId="0A2C69F8" w14:textId="5107480A" w:rsidR="00BC7204" w:rsidRPr="008D5072" w:rsidRDefault="008E4ED6" w:rsidP="00620C8C">
      <w:pPr>
        <w:jc w:val="both"/>
        <w:rPr>
          <w:rFonts w:ascii="Arial" w:hAnsi="Arial" w:cs="Arial"/>
          <w:sz w:val="20"/>
          <w:szCs w:val="20"/>
        </w:rPr>
      </w:pPr>
      <w:r w:rsidRPr="008D5072">
        <w:rPr>
          <w:rFonts w:ascii="Arial" w:hAnsi="Arial" w:cs="Arial"/>
          <w:sz w:val="20"/>
          <w:szCs w:val="20"/>
        </w:rPr>
        <w:lastRenderedPageBreak/>
        <w:t>The early years offer a significant opportunity to promote health as they lay the foundation for lifelong habits, including healthy ones, influencing overall lifelong health</w:t>
      </w:r>
      <w:r w:rsidR="00EE771A">
        <w:rPr>
          <w:rFonts w:ascii="Arial" w:hAnsi="Arial" w:cs="Arial"/>
          <w:sz w:val="20"/>
          <w:szCs w:val="20"/>
        </w:rPr>
        <w:t xml:space="preserve"> </w:t>
      </w:r>
      <w:r w:rsidR="00AB1EDE" w:rsidRPr="008D5072">
        <w:rPr>
          <w:rFonts w:ascii="Arial" w:hAnsi="Arial" w:cs="Arial"/>
          <w:sz w:val="20"/>
          <w:szCs w:val="20"/>
        </w:rPr>
        <w:t>[6]</w:t>
      </w:r>
      <w:r w:rsidR="00EE771A">
        <w:rPr>
          <w:rFonts w:ascii="Arial" w:hAnsi="Arial" w:cs="Arial"/>
          <w:sz w:val="20"/>
          <w:szCs w:val="20"/>
        </w:rPr>
        <w:t xml:space="preserve">. </w:t>
      </w:r>
      <w:r w:rsidRPr="008D5072">
        <w:rPr>
          <w:rFonts w:ascii="Arial" w:hAnsi="Arial" w:cs="Arial"/>
          <w:sz w:val="20"/>
          <w:szCs w:val="20"/>
        </w:rPr>
        <w:t xml:space="preserve">Innovative methods such as educational and experiential learning approaches have proven crucial in promoting health during early childhood. </w:t>
      </w:r>
      <w:r w:rsidR="00BE0A5C" w:rsidRPr="008D5072">
        <w:rPr>
          <w:rFonts w:ascii="Arial" w:hAnsi="Arial" w:cs="Arial"/>
          <w:sz w:val="20"/>
          <w:szCs w:val="20"/>
        </w:rPr>
        <w:t xml:space="preserve">School gardens have been associated with improved health outcomes for children, prompting many schools to incorporate them into their educational programs. </w:t>
      </w:r>
      <w:r w:rsidR="00EF7101" w:rsidRPr="008D5072">
        <w:rPr>
          <w:rFonts w:ascii="Arial" w:hAnsi="Arial" w:cs="Arial"/>
          <w:sz w:val="20"/>
          <w:szCs w:val="20"/>
        </w:rPr>
        <w:t>Garden-based nutrition education effectively boosts children’s knowledge of gardening and promotes higher vegetable intake by involving them in planting, growing, harvesting, and preparing vegetables. These initiatives often involve producing fresh produce, educating about food origins and systems, and providing hands-on learning opportunities with fruits and vegetables</w:t>
      </w:r>
      <w:r w:rsidR="00AB1EDE" w:rsidRPr="008D5072">
        <w:rPr>
          <w:rFonts w:ascii="Arial" w:hAnsi="Arial" w:cs="Arial"/>
          <w:sz w:val="20"/>
          <w:szCs w:val="20"/>
        </w:rPr>
        <w:t xml:space="preserve"> [7]</w:t>
      </w:r>
      <w:r w:rsidR="00853151">
        <w:rPr>
          <w:rFonts w:ascii="Arial" w:hAnsi="Arial" w:cs="Arial"/>
          <w:sz w:val="20"/>
          <w:szCs w:val="20"/>
        </w:rPr>
        <w:t xml:space="preserve">. </w:t>
      </w:r>
      <w:r w:rsidR="00746ABA" w:rsidRPr="008D5072">
        <w:rPr>
          <w:rFonts w:ascii="Arial" w:hAnsi="Arial" w:cs="Arial"/>
          <w:sz w:val="20"/>
          <w:szCs w:val="20"/>
        </w:rPr>
        <w:t>Garden-based nutrition education programs are implemented in a wide variety of ways such as school-based, during normal school hours, afterschool hours, during an afterschool program but still on school grounds, and community based, in a community garden either on weekends or during school hours</w:t>
      </w:r>
      <w:r w:rsidR="00853151">
        <w:rPr>
          <w:rFonts w:ascii="Arial" w:hAnsi="Arial" w:cs="Arial"/>
          <w:sz w:val="20"/>
          <w:szCs w:val="20"/>
        </w:rPr>
        <w:t xml:space="preserve"> </w:t>
      </w:r>
      <w:r w:rsidR="00AB1EDE" w:rsidRPr="008D5072">
        <w:rPr>
          <w:rFonts w:ascii="Arial" w:hAnsi="Arial" w:cs="Arial"/>
          <w:sz w:val="20"/>
          <w:szCs w:val="20"/>
        </w:rPr>
        <w:t>[8]</w:t>
      </w:r>
      <w:r w:rsidR="00853151">
        <w:rPr>
          <w:rFonts w:ascii="Arial" w:hAnsi="Arial" w:cs="Arial"/>
          <w:sz w:val="20"/>
          <w:szCs w:val="20"/>
        </w:rPr>
        <w:t>.</w:t>
      </w:r>
      <w:r w:rsidR="00746ABA" w:rsidRPr="008D5072">
        <w:rPr>
          <w:rFonts w:ascii="Arial" w:hAnsi="Arial" w:cs="Arial"/>
          <w:sz w:val="20"/>
          <w:szCs w:val="20"/>
        </w:rPr>
        <w:t xml:space="preserve"> </w:t>
      </w:r>
      <w:r w:rsidR="00105B48" w:rsidRPr="008D5072">
        <w:rPr>
          <w:rFonts w:ascii="Arial" w:hAnsi="Arial" w:cs="Arial"/>
          <w:sz w:val="20"/>
          <w:szCs w:val="20"/>
        </w:rPr>
        <w:t>School garden lessons offer abundant opportunities for direct experiences, including cultivating plants and encountering animals such as soil organisms like earthworms, spiders, and woodlice.</w:t>
      </w:r>
    </w:p>
    <w:p w14:paraId="49E4FB7A" w14:textId="36DB2782" w:rsidR="003F6C33" w:rsidRPr="008D5072" w:rsidRDefault="00910EC5" w:rsidP="000C6DFB">
      <w:pPr>
        <w:pStyle w:val="NormalWeb"/>
        <w:jc w:val="both"/>
        <w:rPr>
          <w:rFonts w:ascii="Arial" w:hAnsi="Arial" w:cs="Arial"/>
          <w:sz w:val="20"/>
          <w:szCs w:val="20"/>
        </w:rPr>
      </w:pPr>
      <w:r w:rsidRPr="008D5072">
        <w:rPr>
          <w:rFonts w:ascii="Arial" w:hAnsi="Arial" w:cs="Arial"/>
          <w:sz w:val="20"/>
          <w:szCs w:val="20"/>
        </w:rPr>
        <w:t>Garden-based interventions have shown improvements in nutrition-related factors such as fruit and vegetable consumption, weight status, child nutritional status, and food security</w:t>
      </w:r>
      <w:r w:rsidR="00AB1EDE" w:rsidRPr="008D5072">
        <w:rPr>
          <w:rFonts w:ascii="Arial" w:hAnsi="Arial" w:cs="Arial"/>
          <w:sz w:val="20"/>
          <w:szCs w:val="20"/>
        </w:rPr>
        <w:t xml:space="preserve"> [9]</w:t>
      </w:r>
      <w:r w:rsidR="00853151">
        <w:rPr>
          <w:rFonts w:ascii="Arial" w:hAnsi="Arial" w:cs="Arial"/>
          <w:sz w:val="20"/>
          <w:szCs w:val="20"/>
        </w:rPr>
        <w:t xml:space="preserve">. </w:t>
      </w:r>
      <w:r w:rsidRPr="008D5072">
        <w:rPr>
          <w:rFonts w:ascii="Arial" w:hAnsi="Arial" w:cs="Arial"/>
          <w:sz w:val="20"/>
          <w:szCs w:val="20"/>
        </w:rPr>
        <w:t>Moreover, nutrition education helps children understand the benefits of eating more vegetables, especially when they participate in planting, growing, and harvesting vegetables themselves. This hands-on experience has been found to reduce children's aversion to vegetables, enhance their taste preferences, and increase their understanding of various types of foods, thereby boosting vegetable intake</w:t>
      </w:r>
      <w:r w:rsidR="00AB1EDE" w:rsidRPr="008D5072">
        <w:rPr>
          <w:rFonts w:ascii="Arial" w:hAnsi="Arial" w:cs="Arial"/>
          <w:sz w:val="20"/>
          <w:szCs w:val="20"/>
        </w:rPr>
        <w:t xml:space="preserve"> [10]</w:t>
      </w:r>
      <w:r w:rsidR="00853151">
        <w:rPr>
          <w:rFonts w:ascii="Arial" w:hAnsi="Arial" w:cs="Arial"/>
          <w:sz w:val="20"/>
          <w:szCs w:val="20"/>
        </w:rPr>
        <w:t xml:space="preserve">. </w:t>
      </w:r>
      <w:r w:rsidR="000C6DFB" w:rsidRPr="008D5072">
        <w:rPr>
          <w:rFonts w:ascii="Arial" w:hAnsi="Arial" w:cs="Arial"/>
          <w:sz w:val="20"/>
          <w:szCs w:val="20"/>
        </w:rPr>
        <w:t>Positive experiences and sensory engagement, such as seeing, touching, and handling vegetables directly, enhance children's familiarity with food, potentially reducing food neophobia and encouraging them to try new foods.</w:t>
      </w:r>
    </w:p>
    <w:p w14:paraId="7453029F" w14:textId="61A3A381" w:rsidR="003F6C33" w:rsidRPr="008D5072" w:rsidRDefault="009007C5" w:rsidP="00711478">
      <w:pPr>
        <w:pStyle w:val="NormalWeb"/>
        <w:jc w:val="both"/>
        <w:rPr>
          <w:rFonts w:ascii="Arial" w:hAnsi="Arial" w:cs="Arial"/>
          <w:sz w:val="20"/>
          <w:szCs w:val="20"/>
        </w:rPr>
      </w:pPr>
      <w:r w:rsidRPr="008D5072">
        <w:rPr>
          <w:rFonts w:ascii="Arial" w:hAnsi="Arial" w:cs="Arial"/>
          <w:sz w:val="20"/>
          <w:szCs w:val="20"/>
        </w:rPr>
        <w:t>Garden-based activities offer various health benefits, though their impact on cognitive development in children is not extensively researched. Exposure to natural environments is considered crucial for brain development, with green spaces providing children unique opportunities for engagement, risk-taking, discovery, creativity, mastery, and emotional well-being, all of which are believed to positively influence cognitive development. Additionally, proximity to green spaces has been linked to increased physical activity levels, which in turn are associated with enhanced cognitive development.</w:t>
      </w:r>
      <w:r w:rsidR="003A1E95" w:rsidRPr="008D5072">
        <w:rPr>
          <w:rFonts w:ascii="Arial" w:hAnsi="Arial" w:cs="Arial"/>
          <w:sz w:val="20"/>
          <w:szCs w:val="20"/>
        </w:rPr>
        <w:t xml:space="preserve"> </w:t>
      </w:r>
    </w:p>
    <w:p w14:paraId="3BD806AA" w14:textId="41BE958C" w:rsidR="001617F8" w:rsidRPr="008D5072" w:rsidRDefault="009007C5" w:rsidP="00711478">
      <w:pPr>
        <w:pStyle w:val="NormalWeb"/>
        <w:jc w:val="both"/>
        <w:rPr>
          <w:rFonts w:ascii="Arial" w:hAnsi="Arial" w:cs="Arial"/>
          <w:sz w:val="20"/>
          <w:szCs w:val="20"/>
        </w:rPr>
      </w:pPr>
      <w:r w:rsidRPr="008D5072">
        <w:rPr>
          <w:rFonts w:ascii="Arial" w:hAnsi="Arial" w:cs="Arial"/>
          <w:sz w:val="20"/>
          <w:szCs w:val="20"/>
        </w:rPr>
        <w:t>During preschool years, children experience significant cognitive growth, underscoring the importance of establishing healthy dietary habits and promoting optimal nutrition. Garden-based nutrition education offers a hands-on, experiential learning approach that involves children in growing, harvesting, and preparing fruits and vegetables, fostering a deeper understanding of food and potentially supporting cognitive development.</w:t>
      </w:r>
      <w:r w:rsidR="00711478" w:rsidRPr="008D5072">
        <w:rPr>
          <w:rFonts w:ascii="Arial" w:hAnsi="Arial" w:cs="Arial"/>
          <w:sz w:val="20"/>
          <w:szCs w:val="20"/>
        </w:rPr>
        <w:t xml:space="preserve"> </w:t>
      </w:r>
      <w:r w:rsidR="001617F8" w:rsidRPr="008D5072">
        <w:rPr>
          <w:rFonts w:ascii="Arial" w:hAnsi="Arial" w:cs="Arial"/>
          <w:sz w:val="20"/>
          <w:szCs w:val="20"/>
        </w:rPr>
        <w:t>Moreover, garden-based interventions have been employed as therapeutic approaches for various illnesses and conditions, including autism spectrum disorder</w:t>
      </w:r>
      <w:r w:rsidR="00AB1EDE" w:rsidRPr="008D5072">
        <w:rPr>
          <w:rFonts w:ascii="Arial" w:hAnsi="Arial" w:cs="Arial"/>
          <w:sz w:val="20"/>
          <w:szCs w:val="20"/>
        </w:rPr>
        <w:t xml:space="preserve"> [11]</w:t>
      </w:r>
      <w:r w:rsidR="00853151">
        <w:rPr>
          <w:rFonts w:ascii="Arial" w:hAnsi="Arial" w:cs="Arial"/>
          <w:sz w:val="20"/>
          <w:szCs w:val="20"/>
        </w:rPr>
        <w:t xml:space="preserve">. </w:t>
      </w:r>
      <w:r w:rsidR="001617F8" w:rsidRPr="008D5072">
        <w:rPr>
          <w:rFonts w:ascii="Arial" w:hAnsi="Arial" w:cs="Arial"/>
          <w:sz w:val="20"/>
          <w:szCs w:val="20"/>
        </w:rPr>
        <w:t xml:space="preserve">Additionally, apart from promoting outdoor physical activity </w:t>
      </w:r>
      <w:r w:rsidR="00AB1EDE" w:rsidRPr="008D5072">
        <w:rPr>
          <w:rFonts w:ascii="Arial" w:hAnsi="Arial" w:cs="Arial"/>
          <w:sz w:val="20"/>
          <w:szCs w:val="20"/>
        </w:rPr>
        <w:t>[12</w:t>
      </w:r>
      <w:r w:rsidR="00853151">
        <w:rPr>
          <w:rFonts w:ascii="Arial" w:hAnsi="Arial" w:cs="Arial"/>
          <w:sz w:val="20"/>
          <w:szCs w:val="20"/>
        </w:rPr>
        <w:t>]</w:t>
      </w:r>
      <w:r w:rsidR="003A37DD">
        <w:rPr>
          <w:rFonts w:ascii="Arial" w:hAnsi="Arial" w:cs="Arial"/>
          <w:sz w:val="20"/>
          <w:szCs w:val="20"/>
        </w:rPr>
        <w:t xml:space="preserve">, </w:t>
      </w:r>
      <w:r w:rsidR="001617F8" w:rsidRPr="008D5072">
        <w:rPr>
          <w:rFonts w:ascii="Arial" w:hAnsi="Arial" w:cs="Arial"/>
          <w:sz w:val="20"/>
          <w:szCs w:val="20"/>
        </w:rPr>
        <w:t>these pragmatic treatments have shown potential in improving academic performance</w:t>
      </w:r>
      <w:r w:rsidR="00974182" w:rsidRPr="008D5072">
        <w:rPr>
          <w:rFonts w:ascii="Arial" w:hAnsi="Arial" w:cs="Arial"/>
          <w:sz w:val="20"/>
          <w:szCs w:val="20"/>
        </w:rPr>
        <w:t xml:space="preserve"> [13]</w:t>
      </w:r>
      <w:r w:rsidR="004065B4">
        <w:rPr>
          <w:rFonts w:ascii="Arial" w:hAnsi="Arial" w:cs="Arial"/>
          <w:sz w:val="20"/>
          <w:szCs w:val="20"/>
        </w:rPr>
        <w:t>.</w:t>
      </w:r>
    </w:p>
    <w:p w14:paraId="182564D7" w14:textId="30649456" w:rsidR="001722D5" w:rsidRPr="008D5072" w:rsidRDefault="001722D5" w:rsidP="001722D5">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D5072">
        <w:rPr>
          <w:rFonts w:ascii="Arial" w:eastAsia="Times New Roman" w:hAnsi="Arial" w:cs="Arial"/>
          <w:kern w:val="0"/>
          <w:sz w:val="20"/>
          <w:szCs w:val="20"/>
          <w:lang w:eastAsia="en-IN"/>
          <w14:ligatures w14:val="none"/>
        </w:rPr>
        <w:t>This review seeks to explore the potential role of garden-based nutrition education in enhancing cognition among preschoolers, highlighting its effectiveness as a holistic intervention for promoting cognitive development and academic readiness during early childhood. The present study aimed to: 1)  assess the effectiveness of garden-based nutrition education in promoting healthy dietary habits and nutritional knowledge among preschool-aged children;</w:t>
      </w:r>
      <w:r w:rsidRPr="008D5072">
        <w:rPr>
          <w:rFonts w:ascii="Arial" w:eastAsia="Times New Roman" w:hAnsi="Arial" w:cs="Arial"/>
          <w:b/>
          <w:bCs/>
          <w:kern w:val="0"/>
          <w:sz w:val="20"/>
          <w:szCs w:val="20"/>
          <w:lang w:eastAsia="en-IN"/>
          <w14:ligatures w14:val="none"/>
        </w:rPr>
        <w:t xml:space="preserve"> </w:t>
      </w:r>
      <w:r w:rsidRPr="008D5072">
        <w:rPr>
          <w:rFonts w:ascii="Arial" w:eastAsia="Times New Roman" w:hAnsi="Arial" w:cs="Arial"/>
          <w:kern w:val="0"/>
          <w:sz w:val="20"/>
          <w:szCs w:val="20"/>
          <w:lang w:eastAsia="en-IN"/>
          <w14:ligatures w14:val="none"/>
        </w:rPr>
        <w:t>2) evaluate the methodologies employed in studying the impact of garden-based nutrition education on cognitive development and academic performance in preschoolers;  3)</w:t>
      </w:r>
      <w:r w:rsidRPr="008D5072">
        <w:rPr>
          <w:rFonts w:ascii="Arial" w:eastAsia="Times New Roman" w:hAnsi="Arial" w:cs="Arial"/>
          <w:b/>
          <w:bCs/>
          <w:kern w:val="0"/>
          <w:sz w:val="20"/>
          <w:szCs w:val="20"/>
          <w:lang w:eastAsia="en-IN"/>
          <w14:ligatures w14:val="none"/>
        </w:rPr>
        <w:t xml:space="preserve"> </w:t>
      </w:r>
      <w:r w:rsidR="00AB7856" w:rsidRPr="008D5072">
        <w:rPr>
          <w:rFonts w:ascii="Arial" w:eastAsia="Times New Roman" w:hAnsi="Arial" w:cs="Arial"/>
          <w:kern w:val="0"/>
          <w:sz w:val="20"/>
          <w:szCs w:val="20"/>
          <w:lang w:eastAsia="en-IN"/>
          <w14:ligatures w14:val="none"/>
        </w:rPr>
        <w:t>analyse</w:t>
      </w:r>
      <w:r w:rsidRPr="008D5072">
        <w:rPr>
          <w:rFonts w:ascii="Arial" w:eastAsia="Times New Roman" w:hAnsi="Arial" w:cs="Arial"/>
          <w:kern w:val="0"/>
          <w:sz w:val="20"/>
          <w:szCs w:val="20"/>
          <w:lang w:eastAsia="en-IN"/>
          <w14:ligatures w14:val="none"/>
        </w:rPr>
        <w:t xml:space="preserve"> the results of research studies investigating the use of garden-based nutrition education in improving nutritional status, cognitive function, and learning outcomes among preschool-aged children; and 4) discuss the implications of findings related to the use of garden-based nutrition education for early childhood education, parental involvement, and public health policy.</w:t>
      </w:r>
    </w:p>
    <w:p w14:paraId="57454EA1" w14:textId="0201C7A8" w:rsidR="00C25691" w:rsidRPr="00724E15" w:rsidRDefault="00AB7856" w:rsidP="00AB7856">
      <w:pPr>
        <w:pStyle w:val="ListParagraph"/>
        <w:numPr>
          <w:ilvl w:val="0"/>
          <w:numId w:val="4"/>
        </w:numPr>
        <w:spacing w:before="100" w:beforeAutospacing="1" w:after="100" w:afterAutospacing="1" w:line="240" w:lineRule="auto"/>
        <w:jc w:val="both"/>
        <w:rPr>
          <w:rFonts w:ascii="Arial" w:hAnsi="Arial" w:cs="Arial"/>
          <w:b/>
          <w:bCs/>
        </w:rPr>
      </w:pPr>
      <w:r w:rsidRPr="00724E15">
        <w:rPr>
          <w:rFonts w:ascii="Arial" w:hAnsi="Arial" w:cs="Arial"/>
          <w:b/>
          <w:bCs/>
        </w:rPr>
        <w:t>MATERIALS AND METHODS</w:t>
      </w:r>
    </w:p>
    <w:p w14:paraId="04B5A658" w14:textId="77777777" w:rsidR="00C25691" w:rsidRPr="00C846F6" w:rsidRDefault="00C25691" w:rsidP="00C25691">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C846F6">
        <w:rPr>
          <w:rFonts w:ascii="Arial" w:eastAsia="Times New Roman" w:hAnsi="Arial" w:cs="Arial"/>
          <w:kern w:val="0"/>
          <w:sz w:val="20"/>
          <w:szCs w:val="20"/>
          <w:lang w:eastAsia="en-IN"/>
          <w14:ligatures w14:val="none"/>
        </w:rPr>
        <w:t>A systematic literature search was conducted using electronic databases such as PubMed, PsycINFO and Google Scholar. The search terms used for the literature search were "garden-based nutrition education," "preschoolers," "cognition," "early childhood," and "academic readiness" to identify relevant peer-reviewed articles, reviews, and meta-analyses published between 2010 and 2022.</w:t>
      </w:r>
      <w:r w:rsidRPr="00C846F6">
        <w:rPr>
          <w:rFonts w:ascii="Arial" w:hAnsi="Arial" w:cs="Arial"/>
          <w:sz w:val="20"/>
          <w:szCs w:val="20"/>
        </w:rPr>
        <w:t xml:space="preserve">  Time frame </w:t>
      </w:r>
      <w:r w:rsidRPr="00C846F6">
        <w:rPr>
          <w:rFonts w:ascii="Arial" w:hAnsi="Arial" w:cs="Arial"/>
          <w:sz w:val="20"/>
          <w:szCs w:val="20"/>
        </w:rPr>
        <w:lastRenderedPageBreak/>
        <w:t xml:space="preserve">was chosen with the aim of obtaining the most recent </w:t>
      </w:r>
      <w:r w:rsidRPr="00C846F6">
        <w:rPr>
          <w:rFonts w:ascii="Arial" w:eastAsia="Times New Roman" w:hAnsi="Arial" w:cs="Arial"/>
          <w:kern w:val="0"/>
          <w:sz w:val="20"/>
          <w:szCs w:val="20"/>
          <w:lang w:eastAsia="en-IN"/>
          <w14:ligatures w14:val="none"/>
        </w:rPr>
        <w:t>garden-based nutrition education</w:t>
      </w:r>
      <w:r w:rsidRPr="00C846F6">
        <w:rPr>
          <w:rFonts w:ascii="Arial" w:hAnsi="Arial" w:cs="Arial"/>
          <w:sz w:val="20"/>
          <w:szCs w:val="20"/>
        </w:rPr>
        <w:t xml:space="preserve"> intervention.</w:t>
      </w:r>
      <w:r w:rsidRPr="00C846F6">
        <w:rPr>
          <w:rFonts w:ascii="Arial" w:eastAsia="Times New Roman" w:hAnsi="Arial" w:cs="Arial"/>
          <w:kern w:val="0"/>
          <w:sz w:val="20"/>
          <w:szCs w:val="20"/>
          <w:lang w:eastAsia="en-IN"/>
          <w14:ligatures w14:val="none"/>
        </w:rPr>
        <w:t xml:space="preserve"> Studies examining the impact of garden-based nutrition education on cognitive development among preschool-aged children were included in the review. </w:t>
      </w:r>
      <w:r w:rsidRPr="00C846F6">
        <w:rPr>
          <w:rFonts w:ascii="Arial" w:hAnsi="Arial" w:cs="Arial"/>
          <w:sz w:val="20"/>
          <w:szCs w:val="20"/>
        </w:rPr>
        <w:t xml:space="preserve"> Grey literature was not included. Approximately 170 studies were generated from the literature search. After removing duplicates and those that did not meet the inclusion criteria, we analysed 19 articles. Analysis of these articles provided few assessments of direct or indirect impact of </w:t>
      </w:r>
      <w:r w:rsidRPr="00C846F6">
        <w:rPr>
          <w:rFonts w:ascii="Arial" w:eastAsia="Times New Roman" w:hAnsi="Arial" w:cs="Arial"/>
          <w:kern w:val="0"/>
          <w:sz w:val="20"/>
          <w:szCs w:val="20"/>
          <w:lang w:eastAsia="en-IN"/>
          <w14:ligatures w14:val="none"/>
        </w:rPr>
        <w:t>garden-based nutrition education on cognitive development among preschool-aged children.</w:t>
      </w:r>
      <w:r w:rsidRPr="00C846F6">
        <w:rPr>
          <w:rFonts w:ascii="Arial" w:hAnsi="Arial" w:cs="Arial"/>
          <w:sz w:val="20"/>
          <w:szCs w:val="20"/>
        </w:rPr>
        <w:t xml:space="preserve"> </w:t>
      </w:r>
      <w:r w:rsidRPr="00C846F6">
        <w:rPr>
          <w:rFonts w:ascii="Arial" w:eastAsia="Times New Roman" w:hAnsi="Arial" w:cs="Arial"/>
          <w:kern w:val="0"/>
          <w:sz w:val="20"/>
          <w:szCs w:val="20"/>
          <w:lang w:eastAsia="en-IN"/>
          <w14:ligatures w14:val="none"/>
        </w:rPr>
        <w:t>Data extraction was performed to compile information on study objectives, methodologies, key findings, and implications.</w:t>
      </w:r>
    </w:p>
    <w:p w14:paraId="1309F89F" w14:textId="2F9887D2" w:rsidR="00622B74" w:rsidRPr="00C846F6" w:rsidRDefault="003F6C33" w:rsidP="00AB7856">
      <w:pPr>
        <w:pStyle w:val="ListParagraph"/>
        <w:numPr>
          <w:ilvl w:val="1"/>
          <w:numId w:val="4"/>
        </w:numPr>
        <w:spacing w:before="100" w:beforeAutospacing="1" w:after="0" w:line="240" w:lineRule="auto"/>
        <w:jc w:val="both"/>
        <w:rPr>
          <w:rFonts w:ascii="Arial" w:hAnsi="Arial" w:cs="Arial"/>
          <w:b/>
          <w:bCs/>
        </w:rPr>
      </w:pPr>
      <w:r w:rsidRPr="00C846F6">
        <w:rPr>
          <w:rFonts w:ascii="Arial" w:hAnsi="Arial" w:cs="Arial"/>
          <w:b/>
          <w:bCs/>
        </w:rPr>
        <w:t xml:space="preserve"> </w:t>
      </w:r>
      <w:r w:rsidR="00622B74" w:rsidRPr="00C846F6">
        <w:rPr>
          <w:rFonts w:ascii="Arial" w:hAnsi="Arial" w:cs="Arial"/>
          <w:b/>
          <w:bCs/>
        </w:rPr>
        <w:t xml:space="preserve">Inclusion and exclusion criteria </w:t>
      </w:r>
    </w:p>
    <w:p w14:paraId="149F12B9" w14:textId="77777777" w:rsidR="004A336E" w:rsidRPr="00C846F6" w:rsidRDefault="0002292A" w:rsidP="00622B74">
      <w:pPr>
        <w:spacing w:before="100" w:beforeAutospacing="1" w:after="100" w:afterAutospacing="1" w:line="240" w:lineRule="auto"/>
        <w:jc w:val="both"/>
        <w:rPr>
          <w:rFonts w:ascii="Arial" w:hAnsi="Arial" w:cs="Arial"/>
          <w:sz w:val="20"/>
          <w:szCs w:val="20"/>
        </w:rPr>
      </w:pPr>
      <w:r w:rsidRPr="00C846F6">
        <w:rPr>
          <w:rFonts w:ascii="Arial" w:hAnsi="Arial" w:cs="Arial"/>
          <w:sz w:val="20"/>
          <w:szCs w:val="20"/>
        </w:rPr>
        <w:t>We included studies that met the following inclusion and exclusion criteria.</w:t>
      </w:r>
    </w:p>
    <w:p w14:paraId="3A92D5DC" w14:textId="23C98486" w:rsidR="00622B74" w:rsidRPr="00C846F6" w:rsidRDefault="00622B74" w:rsidP="00AB7856">
      <w:pPr>
        <w:pStyle w:val="ListParagraph"/>
        <w:numPr>
          <w:ilvl w:val="2"/>
          <w:numId w:val="4"/>
        </w:numPr>
        <w:spacing w:before="100" w:beforeAutospacing="1" w:after="100" w:afterAutospacing="1" w:line="240" w:lineRule="auto"/>
        <w:jc w:val="both"/>
        <w:rPr>
          <w:rFonts w:ascii="Arial" w:hAnsi="Arial" w:cs="Arial"/>
          <w:b/>
          <w:bCs/>
        </w:rPr>
      </w:pPr>
      <w:r w:rsidRPr="00C846F6">
        <w:rPr>
          <w:rFonts w:ascii="Arial" w:hAnsi="Arial" w:cs="Arial"/>
          <w:b/>
          <w:bCs/>
        </w:rPr>
        <w:t>Inclusion criteria</w:t>
      </w:r>
    </w:p>
    <w:p w14:paraId="2E232042" w14:textId="33B2353C" w:rsidR="00622B74" w:rsidRPr="00C846F6" w:rsidRDefault="00622B74" w:rsidP="00AB7856">
      <w:pPr>
        <w:pStyle w:val="ListParagraph"/>
        <w:numPr>
          <w:ilvl w:val="3"/>
          <w:numId w:val="4"/>
        </w:numPr>
        <w:spacing w:before="100" w:beforeAutospacing="1" w:after="0" w:line="240" w:lineRule="auto"/>
        <w:jc w:val="both"/>
        <w:rPr>
          <w:rFonts w:ascii="Arial" w:hAnsi="Arial" w:cs="Arial"/>
          <w:b/>
          <w:bCs/>
        </w:rPr>
      </w:pPr>
      <w:r w:rsidRPr="00C846F6">
        <w:rPr>
          <w:rFonts w:ascii="Arial" w:hAnsi="Arial" w:cs="Arial"/>
          <w:b/>
          <w:bCs/>
        </w:rPr>
        <w:t>Population</w:t>
      </w:r>
    </w:p>
    <w:p w14:paraId="6C02076D" w14:textId="77777777" w:rsidR="00E4336D" w:rsidRPr="00D75135" w:rsidRDefault="00E4336D"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Preschool children and school-going children (both boys and girls) attending nursery, kindergarten, primary, secondary, high school education, and special schools were included. Children under the age of 3 would also be included as long as they were classified as 'students' or still attending nurseries or kindergartens.</w:t>
      </w:r>
    </w:p>
    <w:p w14:paraId="56360033" w14:textId="099F5916" w:rsidR="00622B74" w:rsidRPr="00D75135" w:rsidRDefault="003F6C33" w:rsidP="00AB7856">
      <w:pPr>
        <w:pStyle w:val="ListParagraph"/>
        <w:numPr>
          <w:ilvl w:val="3"/>
          <w:numId w:val="4"/>
        </w:numPr>
        <w:spacing w:before="100" w:beforeAutospacing="1" w:after="100" w:afterAutospacing="1" w:line="240" w:lineRule="auto"/>
        <w:jc w:val="both"/>
        <w:rPr>
          <w:rFonts w:ascii="Arial" w:eastAsia="Times New Roman" w:hAnsi="Arial" w:cs="Arial"/>
          <w:b/>
          <w:bCs/>
          <w:kern w:val="0"/>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622B74" w:rsidRPr="00D75135">
        <w:rPr>
          <w:rFonts w:ascii="Arial" w:eastAsia="Times New Roman" w:hAnsi="Arial" w:cs="Arial"/>
          <w:b/>
          <w:bCs/>
          <w:kern w:val="0"/>
          <w:lang w:eastAsia="en-IN"/>
          <w14:ligatures w14:val="none"/>
        </w:rPr>
        <w:t>Intervention</w:t>
      </w:r>
    </w:p>
    <w:p w14:paraId="70B27898" w14:textId="0953DF6D" w:rsidR="00622B74" w:rsidRPr="00D75135" w:rsidRDefault="00234510"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 xml:space="preserve">We included systematic reviews that focused on or included garden-based interventions. Garden-based interventions are inherently complex to define due to variation in type and setting. Therefore, we included any intervention that engaged children in active learning about nutrition, food systems, agriculture, or environmental health through connections with outdoor fruit or vegetable gardens, farms, raised garden beds, greenhouses, container gardens, </w:t>
      </w:r>
      <w:proofErr w:type="spellStart"/>
      <w:r w:rsidRPr="00D75135">
        <w:rPr>
          <w:rFonts w:ascii="Arial" w:hAnsi="Arial" w:cs="Arial"/>
          <w:sz w:val="20"/>
          <w:szCs w:val="20"/>
        </w:rPr>
        <w:t>microfarms</w:t>
      </w:r>
      <w:proofErr w:type="spellEnd"/>
      <w:r w:rsidRPr="00D75135">
        <w:rPr>
          <w:rFonts w:ascii="Arial" w:hAnsi="Arial" w:cs="Arial"/>
          <w:sz w:val="20"/>
          <w:szCs w:val="20"/>
        </w:rPr>
        <w:t>, or other alternative gardening methods.</w:t>
      </w:r>
    </w:p>
    <w:p w14:paraId="65CE60DE" w14:textId="79600F42" w:rsidR="00622B74" w:rsidRPr="00D75135" w:rsidRDefault="00AB7856" w:rsidP="00AB7856">
      <w:pPr>
        <w:pStyle w:val="ListParagraph"/>
        <w:numPr>
          <w:ilvl w:val="3"/>
          <w:numId w:val="4"/>
        </w:numPr>
        <w:spacing w:before="100" w:beforeAutospacing="1" w:after="100" w:afterAutospacing="1" w:line="240" w:lineRule="auto"/>
        <w:jc w:val="both"/>
        <w:rPr>
          <w:rFonts w:ascii="Arial" w:hAnsi="Arial" w:cs="Arial"/>
          <w:b/>
          <w:bCs/>
        </w:rPr>
      </w:pPr>
      <w:r>
        <w:rPr>
          <w:rFonts w:ascii="Times New Roman" w:hAnsi="Times New Roman" w:cs="Times New Roman"/>
          <w:b/>
          <w:bCs/>
          <w:sz w:val="24"/>
          <w:szCs w:val="24"/>
        </w:rPr>
        <w:t xml:space="preserve"> </w:t>
      </w:r>
      <w:r w:rsidR="00622B74" w:rsidRPr="00D75135">
        <w:rPr>
          <w:rFonts w:ascii="Arial" w:hAnsi="Arial" w:cs="Arial"/>
          <w:b/>
          <w:bCs/>
        </w:rPr>
        <w:t xml:space="preserve">Context </w:t>
      </w:r>
    </w:p>
    <w:p w14:paraId="202817A2" w14:textId="77777777" w:rsidR="00516A54" w:rsidRPr="00D75135" w:rsidRDefault="005545D9"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 xml:space="preserve">The review included garden-based interventions implemented worldwide across various settings, such as homes, early care and education programs (e.g., preschool or child care), community </w:t>
      </w:r>
      <w:proofErr w:type="spellStart"/>
      <w:r w:rsidRPr="00D75135">
        <w:rPr>
          <w:rFonts w:ascii="Arial" w:hAnsi="Arial" w:cs="Arial"/>
          <w:sz w:val="20"/>
          <w:szCs w:val="20"/>
        </w:rPr>
        <w:t>centers</w:t>
      </w:r>
      <w:proofErr w:type="spellEnd"/>
      <w:r w:rsidRPr="00D75135">
        <w:rPr>
          <w:rFonts w:ascii="Arial" w:hAnsi="Arial" w:cs="Arial"/>
          <w:sz w:val="20"/>
          <w:szCs w:val="20"/>
        </w:rPr>
        <w:t xml:space="preserve"> or community gardens, afterschool programs, and summer camps. These interventions ranged from those solely focused on gardening to multi-component programs incorporating gardening alongside other activities. The inclusion criteria aimed to capture diverse approaches in using gardens to promote learning and health among children.</w:t>
      </w:r>
    </w:p>
    <w:p w14:paraId="300BBB1B" w14:textId="1C9E20E1" w:rsidR="00622B74" w:rsidRPr="00D75135" w:rsidRDefault="00AB7856" w:rsidP="00AB7856">
      <w:pPr>
        <w:pStyle w:val="ListParagraph"/>
        <w:numPr>
          <w:ilvl w:val="3"/>
          <w:numId w:val="4"/>
        </w:numPr>
        <w:spacing w:before="100" w:beforeAutospacing="1" w:after="100" w:afterAutospacing="1" w:line="240" w:lineRule="auto"/>
        <w:jc w:val="both"/>
        <w:rPr>
          <w:rFonts w:ascii="Arial" w:hAnsi="Arial" w:cs="Arial"/>
          <w:b/>
          <w:bCs/>
        </w:rPr>
      </w:pPr>
      <w:r>
        <w:rPr>
          <w:rFonts w:ascii="Times New Roman" w:hAnsi="Times New Roman" w:cs="Times New Roman"/>
          <w:b/>
          <w:bCs/>
          <w:sz w:val="24"/>
          <w:szCs w:val="24"/>
        </w:rPr>
        <w:t xml:space="preserve"> </w:t>
      </w:r>
      <w:r w:rsidR="00622B74" w:rsidRPr="00D75135">
        <w:rPr>
          <w:rFonts w:ascii="Arial" w:hAnsi="Arial" w:cs="Arial"/>
          <w:b/>
          <w:bCs/>
        </w:rPr>
        <w:t>Outcomes</w:t>
      </w:r>
    </w:p>
    <w:p w14:paraId="11F22961" w14:textId="3797F7AE" w:rsidR="00F10CEE" w:rsidRPr="00D75135" w:rsidRDefault="003624CC"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 xml:space="preserve">The review included systematic reviews that evaluated child-level health outcomes such as nutrition-related </w:t>
      </w:r>
      <w:proofErr w:type="spellStart"/>
      <w:r w:rsidRPr="00D75135">
        <w:rPr>
          <w:rFonts w:ascii="Arial" w:hAnsi="Arial" w:cs="Arial"/>
          <w:sz w:val="20"/>
          <w:szCs w:val="20"/>
        </w:rPr>
        <w:t>behaviors</w:t>
      </w:r>
      <w:proofErr w:type="spellEnd"/>
      <w:r w:rsidRPr="00D75135">
        <w:rPr>
          <w:rFonts w:ascii="Arial" w:hAnsi="Arial" w:cs="Arial"/>
          <w:sz w:val="20"/>
          <w:szCs w:val="20"/>
        </w:rPr>
        <w:t xml:space="preserve"> (e.g., consumption, attitudes, preferences, dietary quality), nutritional status, anthropometric measures (e.g., BMI), physical activity, and cognition-related outcomes (e.g., academic performance, developmental milestones). Reviews were excluded if they did not report on any of these child health outcomes relevant to the population of interest. Additionally, adverse or unintended consequences noted in the reviews were taken into consideration.</w:t>
      </w:r>
    </w:p>
    <w:p w14:paraId="54F9CA9C" w14:textId="0D6F0AE0" w:rsidR="00622B74" w:rsidRPr="00D75135" w:rsidRDefault="00AB7856" w:rsidP="00AB7856">
      <w:pPr>
        <w:pStyle w:val="ListParagraph"/>
        <w:numPr>
          <w:ilvl w:val="3"/>
          <w:numId w:val="4"/>
        </w:numPr>
        <w:spacing w:before="100" w:beforeAutospacing="1" w:after="100" w:afterAutospacing="1" w:line="240" w:lineRule="auto"/>
        <w:jc w:val="both"/>
        <w:rPr>
          <w:rFonts w:ascii="Arial" w:hAnsi="Arial" w:cs="Arial"/>
          <w:b/>
          <w:bCs/>
        </w:rPr>
      </w:pPr>
      <w:r>
        <w:rPr>
          <w:rFonts w:ascii="Times New Roman" w:hAnsi="Times New Roman" w:cs="Times New Roman"/>
          <w:b/>
          <w:bCs/>
          <w:sz w:val="24"/>
          <w:szCs w:val="24"/>
        </w:rPr>
        <w:t xml:space="preserve"> </w:t>
      </w:r>
      <w:r w:rsidR="00622B74" w:rsidRPr="00D75135">
        <w:rPr>
          <w:rFonts w:ascii="Arial" w:hAnsi="Arial" w:cs="Arial"/>
          <w:b/>
          <w:bCs/>
        </w:rPr>
        <w:t>Study design</w:t>
      </w:r>
    </w:p>
    <w:p w14:paraId="2E3A9760" w14:textId="77777777" w:rsidR="000E6E01" w:rsidRPr="00D75135" w:rsidRDefault="00622B74"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 xml:space="preserve"> </w:t>
      </w:r>
      <w:r w:rsidR="000E6E01" w:rsidRPr="00D75135">
        <w:rPr>
          <w:rFonts w:ascii="Arial" w:hAnsi="Arial" w:cs="Arial"/>
          <w:sz w:val="20"/>
          <w:szCs w:val="20"/>
        </w:rPr>
        <w:t>The review included randomized controlled trials, non-randomized controlled trials, and pre-post intervention studies. These studies examined changes in outcome measures from post-intervention compared to baseline, involving individuals or clusters (such as classes or schools) that were randomly assigned to trial arms. Only studies written in English were considered, and there were no restrictions on authorship, sample size, funding sources, intervention duration, or the country where the intervention occurred. This inclusive approach aimed to gather a broad range of evidence on interventions related to the review's focus.</w:t>
      </w:r>
    </w:p>
    <w:p w14:paraId="343A9051" w14:textId="473EDDF0" w:rsidR="00622B74" w:rsidRPr="00D75135" w:rsidRDefault="00622B74" w:rsidP="00AB7856">
      <w:pPr>
        <w:pStyle w:val="ListParagraph"/>
        <w:numPr>
          <w:ilvl w:val="2"/>
          <w:numId w:val="4"/>
        </w:numPr>
        <w:spacing w:before="100" w:beforeAutospacing="1" w:after="100" w:afterAutospacing="1" w:line="240" w:lineRule="auto"/>
        <w:jc w:val="both"/>
        <w:rPr>
          <w:rFonts w:ascii="Arial" w:hAnsi="Arial" w:cs="Arial"/>
          <w:b/>
          <w:bCs/>
        </w:rPr>
      </w:pPr>
      <w:r w:rsidRPr="00D75135">
        <w:rPr>
          <w:rFonts w:ascii="Arial" w:hAnsi="Arial" w:cs="Arial"/>
          <w:b/>
          <w:bCs/>
        </w:rPr>
        <w:lastRenderedPageBreak/>
        <w:t>Exclusion criteria</w:t>
      </w:r>
    </w:p>
    <w:p w14:paraId="6D074633" w14:textId="77777777" w:rsidR="000579B4" w:rsidRPr="00D75135" w:rsidRDefault="000579B4"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 xml:space="preserve">The review excluded unpublished, grey literature, and ongoing studies with only preliminary findings. Additionally, studies that focused solely on describing school-based gardening programs without examining their effects on nutritional and health status, </w:t>
      </w:r>
      <w:proofErr w:type="spellStart"/>
      <w:r w:rsidRPr="00D75135">
        <w:rPr>
          <w:rFonts w:ascii="Arial" w:hAnsi="Arial" w:cs="Arial"/>
          <w:sz w:val="20"/>
          <w:szCs w:val="20"/>
        </w:rPr>
        <w:t>behavior</w:t>
      </w:r>
      <w:proofErr w:type="spellEnd"/>
      <w:r w:rsidRPr="00D75135">
        <w:rPr>
          <w:rFonts w:ascii="Arial" w:hAnsi="Arial" w:cs="Arial"/>
          <w:sz w:val="20"/>
          <w:szCs w:val="20"/>
        </w:rPr>
        <w:t>, and cognition were also excluded. The inclusion criteria aimed to prioritize studies that provided comprehensive evaluations of the impacts of school-based gardening on various health and cognitive outcomes.</w:t>
      </w:r>
    </w:p>
    <w:p w14:paraId="5F398A3F" w14:textId="5F4809A3" w:rsidR="00622B74" w:rsidRPr="00D75135" w:rsidRDefault="00622B74" w:rsidP="00D75135">
      <w:pPr>
        <w:pStyle w:val="ListParagraph"/>
        <w:numPr>
          <w:ilvl w:val="1"/>
          <w:numId w:val="4"/>
        </w:numPr>
        <w:spacing w:before="100" w:beforeAutospacing="1" w:after="100" w:afterAutospacing="1" w:line="240" w:lineRule="auto"/>
        <w:rPr>
          <w:rFonts w:ascii="Arial" w:hAnsi="Arial" w:cs="Arial"/>
          <w:b/>
          <w:bCs/>
        </w:rPr>
      </w:pPr>
      <w:r w:rsidRPr="00D75135">
        <w:rPr>
          <w:rFonts w:ascii="Arial" w:hAnsi="Arial" w:cs="Arial"/>
          <w:b/>
          <w:bCs/>
        </w:rPr>
        <w:t>Study selection</w:t>
      </w:r>
    </w:p>
    <w:p w14:paraId="3773F9C8" w14:textId="77777777" w:rsidR="006057B7" w:rsidRPr="009D6081" w:rsidRDefault="006057B7" w:rsidP="006057B7">
      <w:pPr>
        <w:jc w:val="both"/>
        <w:rPr>
          <w:rFonts w:ascii="Arial" w:hAnsi="Arial" w:cs="Arial"/>
          <w:sz w:val="20"/>
          <w:szCs w:val="20"/>
        </w:rPr>
      </w:pPr>
      <w:r w:rsidRPr="009D6081">
        <w:rPr>
          <w:rFonts w:ascii="Arial" w:hAnsi="Arial" w:cs="Arial"/>
          <w:sz w:val="20"/>
          <w:szCs w:val="20"/>
        </w:rPr>
        <w:t>The review involved screening and selecting studies for inclusion, conducted by one reviewer with oversight from another. Initially, titles and abstracts were screened to assess eligibility based on predefined inclusion and exclusion criteria. In the subsequent phase, full-text articles meeting the initial criteria were obtained and further screened using the same criteria to determine final inclusion in the review. This structured approach ensured rigorous selection of relevant studies for comprehensive analysis.</w:t>
      </w:r>
    </w:p>
    <w:p w14:paraId="709C26E0" w14:textId="6FFEAA0A" w:rsidR="00622B74" w:rsidRPr="009D6081" w:rsidRDefault="00622B74" w:rsidP="00AB7856">
      <w:pPr>
        <w:pStyle w:val="ListParagraph"/>
        <w:numPr>
          <w:ilvl w:val="0"/>
          <w:numId w:val="4"/>
        </w:numPr>
        <w:jc w:val="both"/>
        <w:rPr>
          <w:rFonts w:ascii="Arial" w:hAnsi="Arial" w:cs="Arial"/>
          <w:b/>
          <w:bCs/>
        </w:rPr>
      </w:pPr>
      <w:r w:rsidRPr="009D6081">
        <w:rPr>
          <w:rFonts w:ascii="Arial" w:hAnsi="Arial" w:cs="Arial"/>
          <w:b/>
          <w:bCs/>
        </w:rPr>
        <w:t>RESULTS</w:t>
      </w:r>
    </w:p>
    <w:p w14:paraId="42E7DB2A" w14:textId="76A3A08A" w:rsidR="00331FA4" w:rsidRPr="009D6081" w:rsidRDefault="00717727" w:rsidP="0071479F">
      <w:pPr>
        <w:jc w:val="both"/>
        <w:rPr>
          <w:rFonts w:ascii="Arial" w:hAnsi="Arial" w:cs="Arial"/>
          <w:sz w:val="20"/>
          <w:szCs w:val="20"/>
        </w:rPr>
      </w:pPr>
      <w:r w:rsidRPr="009D6081">
        <w:rPr>
          <w:rFonts w:ascii="Arial" w:hAnsi="Arial" w:cs="Arial"/>
          <w:sz w:val="20"/>
          <w:szCs w:val="20"/>
        </w:rPr>
        <w:t xml:space="preserve">Tables 1 and 2 provide an overview of research conducted on various types of nutrition education programs </w:t>
      </w:r>
      <w:r w:rsidR="006E0327" w:rsidRPr="009D6081">
        <w:rPr>
          <w:rFonts w:ascii="Arial" w:hAnsi="Arial" w:cs="Arial"/>
          <w:sz w:val="20"/>
          <w:szCs w:val="20"/>
        </w:rPr>
        <w:t>cantered</w:t>
      </w:r>
      <w:r w:rsidRPr="009D6081">
        <w:rPr>
          <w:rFonts w:ascii="Arial" w:hAnsi="Arial" w:cs="Arial"/>
          <w:sz w:val="20"/>
          <w:szCs w:val="20"/>
        </w:rPr>
        <w:t xml:space="preserve"> around gardens, highlighting their effectiveness. Specifically, 13 studies assess how school gardens contribute to encouraging healthy eating habits and enhancing nutritional knowledge among children of school age (Table 1).</w:t>
      </w:r>
      <w:r w:rsidR="00622B74" w:rsidRPr="009D6081">
        <w:rPr>
          <w:rFonts w:ascii="Arial" w:hAnsi="Arial" w:cs="Arial"/>
          <w:sz w:val="20"/>
          <w:szCs w:val="20"/>
        </w:rPr>
        <w:t xml:space="preserve"> </w:t>
      </w:r>
      <w:r w:rsidR="003A7FC9" w:rsidRPr="009D6081">
        <w:rPr>
          <w:rFonts w:ascii="Arial" w:hAnsi="Arial" w:cs="Arial"/>
          <w:sz w:val="20"/>
          <w:szCs w:val="20"/>
        </w:rPr>
        <w:t>These programs encompass activities conducted within school hours, after school, farm-to-school initiatives, programs incorporating cooking, and those targeted at children but based in community gardens. A shared feature across all these programs is their agricultural aspect, engaging children in hands-on activities with fruits and vegetables.</w:t>
      </w:r>
      <w:r w:rsidR="00622B74" w:rsidRPr="009D6081">
        <w:rPr>
          <w:rFonts w:ascii="Arial" w:hAnsi="Arial" w:cs="Arial"/>
          <w:sz w:val="20"/>
          <w:szCs w:val="20"/>
        </w:rPr>
        <w:t xml:space="preserve"> </w:t>
      </w:r>
      <w:r w:rsidR="00A0014D" w:rsidRPr="009D6081">
        <w:rPr>
          <w:rFonts w:ascii="Arial" w:hAnsi="Arial" w:cs="Arial"/>
          <w:sz w:val="20"/>
          <w:szCs w:val="20"/>
        </w:rPr>
        <w:t>In programs where schools cultivate edible crops, students gain knowledge in science and nutrition while actively participating in the harvesting of vegetables. In certain garden-based programs, students not only harvest vegetables but also receive instruction on cooking and integrating them into their meals.</w:t>
      </w:r>
      <w:r w:rsidR="00622B74" w:rsidRPr="009D6081">
        <w:rPr>
          <w:rFonts w:ascii="Arial" w:hAnsi="Arial" w:cs="Arial"/>
          <w:sz w:val="20"/>
          <w:szCs w:val="20"/>
        </w:rPr>
        <w:t xml:space="preserve"> </w:t>
      </w:r>
      <w:r w:rsidR="00FD58CE" w:rsidRPr="009D6081">
        <w:rPr>
          <w:rFonts w:ascii="Arial" w:hAnsi="Arial" w:cs="Arial"/>
          <w:sz w:val="20"/>
          <w:szCs w:val="20"/>
        </w:rPr>
        <w:t>In "farm-to-school" programs, schools procure produce directly from local farmers or farmers’ markets, with the farmers delivering the produce to the school. Subsequently, children visit the farms to learn about the cultivation process and the origins of the food. These programs serve various purposes, including using outdoor green spaces to educate children about nutrition and science, as well as providing spaces for them to play.</w:t>
      </w:r>
    </w:p>
    <w:p w14:paraId="408EDAF5" w14:textId="59709B9A" w:rsidR="00D27501" w:rsidRPr="009D6081" w:rsidRDefault="00CE550F" w:rsidP="0071479F">
      <w:pPr>
        <w:jc w:val="both"/>
        <w:rPr>
          <w:rFonts w:ascii="Arial" w:hAnsi="Arial" w:cs="Arial"/>
          <w:sz w:val="20"/>
          <w:szCs w:val="20"/>
        </w:rPr>
      </w:pPr>
      <w:r w:rsidRPr="009D6081">
        <w:rPr>
          <w:rFonts w:ascii="Arial" w:hAnsi="Arial" w:cs="Arial"/>
          <w:sz w:val="20"/>
          <w:szCs w:val="20"/>
        </w:rPr>
        <w:t xml:space="preserve">This review covers interventions that consisted of specially designed garden-based curricula </w:t>
      </w:r>
      <w:r w:rsidR="00974182" w:rsidRPr="009D6081">
        <w:rPr>
          <w:rFonts w:ascii="Arial" w:hAnsi="Arial" w:cs="Arial"/>
          <w:sz w:val="20"/>
          <w:szCs w:val="20"/>
        </w:rPr>
        <w:t>[13,14,15,16,17,18,19,2</w:t>
      </w:r>
      <w:r w:rsidR="00766B55">
        <w:rPr>
          <w:rFonts w:ascii="Arial" w:hAnsi="Arial" w:cs="Arial"/>
          <w:sz w:val="20"/>
          <w:szCs w:val="20"/>
        </w:rPr>
        <w:t>1</w:t>
      </w:r>
      <w:r w:rsidR="00974182" w:rsidRPr="009D6081">
        <w:rPr>
          <w:rFonts w:ascii="Arial" w:hAnsi="Arial" w:cs="Arial"/>
          <w:sz w:val="20"/>
          <w:szCs w:val="20"/>
        </w:rPr>
        <w:t>]</w:t>
      </w:r>
      <w:r w:rsidR="004065B4">
        <w:rPr>
          <w:rFonts w:ascii="Arial" w:hAnsi="Arial" w:cs="Arial"/>
          <w:sz w:val="20"/>
          <w:szCs w:val="20"/>
        </w:rPr>
        <w:t xml:space="preserve">. </w:t>
      </w:r>
      <w:r w:rsidRPr="009D6081">
        <w:rPr>
          <w:rFonts w:ascii="Arial" w:hAnsi="Arial" w:cs="Arial"/>
          <w:sz w:val="20"/>
          <w:szCs w:val="20"/>
        </w:rPr>
        <w:t xml:space="preserve">These interventions encompassed a variety of approaches, including nutrition education combined with garden activities </w:t>
      </w:r>
      <w:r w:rsidR="00974182" w:rsidRPr="009D6081">
        <w:rPr>
          <w:rFonts w:ascii="Arial" w:hAnsi="Arial" w:cs="Arial"/>
          <w:sz w:val="20"/>
          <w:szCs w:val="20"/>
        </w:rPr>
        <w:t>[13,18,2</w:t>
      </w:r>
      <w:r w:rsidR="00766B55">
        <w:rPr>
          <w:rFonts w:ascii="Arial" w:hAnsi="Arial" w:cs="Arial"/>
          <w:sz w:val="20"/>
          <w:szCs w:val="20"/>
        </w:rPr>
        <w:t>0</w:t>
      </w:r>
      <w:r w:rsidR="00974182" w:rsidRPr="009D6081">
        <w:rPr>
          <w:rFonts w:ascii="Arial" w:hAnsi="Arial" w:cs="Arial"/>
          <w:sz w:val="20"/>
          <w:szCs w:val="20"/>
        </w:rPr>
        <w:t>]</w:t>
      </w:r>
      <w:r w:rsidR="004065B4">
        <w:rPr>
          <w:rFonts w:ascii="Arial" w:hAnsi="Arial" w:cs="Arial"/>
          <w:sz w:val="20"/>
          <w:szCs w:val="20"/>
        </w:rPr>
        <w:t xml:space="preserve">; </w:t>
      </w:r>
      <w:r w:rsidRPr="009D6081">
        <w:rPr>
          <w:rFonts w:ascii="Arial" w:hAnsi="Arial" w:cs="Arial"/>
          <w:sz w:val="20"/>
          <w:szCs w:val="20"/>
        </w:rPr>
        <w:t xml:space="preserve">gardening, nutrition education, and local food sourcing </w:t>
      </w:r>
      <w:r w:rsidR="00974182" w:rsidRPr="009D6081">
        <w:rPr>
          <w:rFonts w:ascii="Arial" w:hAnsi="Arial" w:cs="Arial"/>
          <w:sz w:val="20"/>
          <w:szCs w:val="20"/>
        </w:rPr>
        <w:t>[</w:t>
      </w:r>
      <w:r w:rsidR="004065B4">
        <w:rPr>
          <w:rFonts w:ascii="Arial" w:hAnsi="Arial" w:cs="Arial"/>
          <w:sz w:val="20"/>
          <w:szCs w:val="20"/>
        </w:rPr>
        <w:t>15</w:t>
      </w:r>
      <w:r w:rsidR="00974182" w:rsidRPr="009D6081">
        <w:rPr>
          <w:rFonts w:ascii="Arial" w:hAnsi="Arial" w:cs="Arial"/>
          <w:sz w:val="20"/>
          <w:szCs w:val="20"/>
        </w:rPr>
        <w:t>]</w:t>
      </w:r>
      <w:r w:rsidRPr="009D6081">
        <w:rPr>
          <w:rFonts w:ascii="Arial" w:hAnsi="Arial" w:cs="Arial"/>
          <w:sz w:val="20"/>
          <w:szCs w:val="20"/>
        </w:rPr>
        <w:t>; and nutritional education alongside cooking activities using harvested produce</w:t>
      </w:r>
      <w:r w:rsidR="004065B4">
        <w:rPr>
          <w:rFonts w:ascii="Arial" w:hAnsi="Arial" w:cs="Arial"/>
          <w:sz w:val="20"/>
          <w:szCs w:val="20"/>
        </w:rPr>
        <w:t xml:space="preserve"> </w:t>
      </w:r>
      <w:r w:rsidR="00974182" w:rsidRPr="009D6081">
        <w:rPr>
          <w:rFonts w:ascii="Arial" w:hAnsi="Arial" w:cs="Arial"/>
          <w:sz w:val="20"/>
          <w:szCs w:val="20"/>
        </w:rPr>
        <w:t>[14,</w:t>
      </w:r>
      <w:r w:rsidR="004065B4">
        <w:rPr>
          <w:rFonts w:ascii="Arial" w:hAnsi="Arial" w:cs="Arial"/>
          <w:sz w:val="20"/>
          <w:szCs w:val="20"/>
        </w:rPr>
        <w:t>15</w:t>
      </w:r>
      <w:r w:rsidR="00974182" w:rsidRPr="009D6081">
        <w:rPr>
          <w:rFonts w:ascii="Arial" w:hAnsi="Arial" w:cs="Arial"/>
          <w:sz w:val="20"/>
          <w:szCs w:val="20"/>
        </w:rPr>
        <w:t>,16,17,19]</w:t>
      </w:r>
      <w:r w:rsidR="004065B4">
        <w:rPr>
          <w:rFonts w:ascii="Arial" w:hAnsi="Arial" w:cs="Arial"/>
          <w:sz w:val="20"/>
          <w:szCs w:val="20"/>
        </w:rPr>
        <w:t xml:space="preserve">. </w:t>
      </w:r>
      <w:r w:rsidRPr="009D6081">
        <w:rPr>
          <w:rFonts w:ascii="Arial" w:hAnsi="Arial" w:cs="Arial"/>
          <w:sz w:val="20"/>
          <w:szCs w:val="20"/>
        </w:rPr>
        <w:t>One community garden-based program featured regular gardening sessions, cooking and nutrition workshops, and social events for parents and children</w:t>
      </w:r>
      <w:r w:rsidR="00974182" w:rsidRPr="009D6081">
        <w:rPr>
          <w:rFonts w:ascii="Arial" w:hAnsi="Arial" w:cs="Arial"/>
          <w:sz w:val="20"/>
          <w:szCs w:val="20"/>
        </w:rPr>
        <w:t xml:space="preserve"> [2</w:t>
      </w:r>
      <w:r w:rsidR="00954610">
        <w:rPr>
          <w:rFonts w:ascii="Arial" w:hAnsi="Arial" w:cs="Arial"/>
          <w:sz w:val="20"/>
          <w:szCs w:val="20"/>
        </w:rPr>
        <w:t>1</w:t>
      </w:r>
      <w:r w:rsidR="00974182" w:rsidRPr="009D6081">
        <w:rPr>
          <w:rFonts w:ascii="Arial" w:hAnsi="Arial" w:cs="Arial"/>
          <w:sz w:val="20"/>
          <w:szCs w:val="20"/>
        </w:rPr>
        <w:t>]</w:t>
      </w:r>
      <w:r w:rsidR="004065B4">
        <w:rPr>
          <w:rFonts w:ascii="Arial" w:hAnsi="Arial" w:cs="Arial"/>
          <w:sz w:val="20"/>
          <w:szCs w:val="20"/>
        </w:rPr>
        <w:t>.</w:t>
      </w:r>
      <w:r w:rsidRPr="009D6081">
        <w:rPr>
          <w:rFonts w:ascii="Arial" w:hAnsi="Arial" w:cs="Arial"/>
          <w:sz w:val="20"/>
          <w:szCs w:val="20"/>
        </w:rPr>
        <w:t xml:space="preserve"> Two studies compared the effectiveness of nutrition education lessons with and without gardening components</w:t>
      </w:r>
      <w:r w:rsidR="00974182" w:rsidRPr="009D6081">
        <w:rPr>
          <w:rFonts w:ascii="Arial" w:hAnsi="Arial" w:cs="Arial"/>
          <w:sz w:val="20"/>
          <w:szCs w:val="20"/>
        </w:rPr>
        <w:t xml:space="preserve"> [13,18].</w:t>
      </w:r>
      <w:r w:rsidRPr="009D6081">
        <w:rPr>
          <w:rFonts w:ascii="Arial" w:hAnsi="Arial" w:cs="Arial"/>
          <w:sz w:val="20"/>
          <w:szCs w:val="20"/>
        </w:rPr>
        <w:t xml:space="preserve"> </w:t>
      </w:r>
    </w:p>
    <w:p w14:paraId="2178662E" w14:textId="4ED32765" w:rsidR="00987790" w:rsidRPr="009D6081" w:rsidRDefault="00917D67" w:rsidP="0071479F">
      <w:pPr>
        <w:jc w:val="both"/>
        <w:rPr>
          <w:rFonts w:ascii="Arial" w:hAnsi="Arial" w:cs="Arial"/>
          <w:sz w:val="20"/>
          <w:szCs w:val="20"/>
        </w:rPr>
      </w:pPr>
      <w:r w:rsidRPr="009D6081">
        <w:rPr>
          <w:rFonts w:ascii="Arial" w:hAnsi="Arial" w:cs="Arial"/>
          <w:sz w:val="20"/>
          <w:szCs w:val="20"/>
        </w:rPr>
        <w:t xml:space="preserve"> </w:t>
      </w:r>
      <w:r w:rsidR="00D27501" w:rsidRPr="009D6081">
        <w:rPr>
          <w:rFonts w:ascii="Arial" w:hAnsi="Arial" w:cs="Arial"/>
          <w:sz w:val="20"/>
          <w:szCs w:val="20"/>
        </w:rPr>
        <w:t>Most of the interventions occurred during school hours and varied in duration from short-term to long-term, spanning up to 4 years: one month</w:t>
      </w:r>
      <w:r w:rsidR="00974182" w:rsidRPr="009D6081">
        <w:rPr>
          <w:rFonts w:ascii="Arial" w:hAnsi="Arial" w:cs="Arial"/>
          <w:sz w:val="20"/>
          <w:szCs w:val="20"/>
        </w:rPr>
        <w:t xml:space="preserve"> [13]</w:t>
      </w:r>
      <w:r w:rsidR="00D27501" w:rsidRPr="009D6081">
        <w:rPr>
          <w:rFonts w:ascii="Arial" w:hAnsi="Arial" w:cs="Arial"/>
          <w:sz w:val="20"/>
          <w:szCs w:val="20"/>
        </w:rPr>
        <w:t>; 4-18 months</w:t>
      </w:r>
      <w:r w:rsidR="004065B4">
        <w:rPr>
          <w:rFonts w:ascii="Arial" w:hAnsi="Arial" w:cs="Arial"/>
          <w:sz w:val="20"/>
          <w:szCs w:val="20"/>
        </w:rPr>
        <w:t xml:space="preserve"> </w:t>
      </w:r>
      <w:r w:rsidR="005E4ED5" w:rsidRPr="009D6081">
        <w:rPr>
          <w:rFonts w:ascii="Arial" w:hAnsi="Arial" w:cs="Arial"/>
          <w:sz w:val="20"/>
          <w:szCs w:val="20"/>
        </w:rPr>
        <w:t>[2</w:t>
      </w:r>
      <w:r w:rsidR="00766B55">
        <w:rPr>
          <w:rFonts w:ascii="Arial" w:hAnsi="Arial" w:cs="Arial"/>
          <w:sz w:val="20"/>
          <w:szCs w:val="20"/>
        </w:rPr>
        <w:t>3</w:t>
      </w:r>
      <w:r w:rsidR="005E4ED5" w:rsidRPr="009D6081">
        <w:rPr>
          <w:rFonts w:ascii="Arial" w:hAnsi="Arial" w:cs="Arial"/>
          <w:sz w:val="20"/>
          <w:szCs w:val="20"/>
        </w:rPr>
        <w:t>]</w:t>
      </w:r>
      <w:r w:rsidR="00D27501" w:rsidRPr="009D6081">
        <w:rPr>
          <w:rFonts w:ascii="Arial" w:hAnsi="Arial" w:cs="Arial"/>
          <w:sz w:val="20"/>
          <w:szCs w:val="20"/>
        </w:rPr>
        <w:t>; 4 months</w:t>
      </w:r>
      <w:r w:rsidR="005E4ED5" w:rsidRPr="009D6081">
        <w:rPr>
          <w:rFonts w:ascii="Arial" w:hAnsi="Arial" w:cs="Arial"/>
          <w:sz w:val="20"/>
          <w:szCs w:val="20"/>
        </w:rPr>
        <w:t>[2</w:t>
      </w:r>
      <w:r w:rsidR="00766B55">
        <w:rPr>
          <w:rFonts w:ascii="Arial" w:hAnsi="Arial" w:cs="Arial"/>
          <w:sz w:val="20"/>
          <w:szCs w:val="20"/>
        </w:rPr>
        <w:t>4</w:t>
      </w:r>
      <w:r w:rsidR="005E4ED5" w:rsidRPr="009D6081">
        <w:rPr>
          <w:rFonts w:ascii="Arial" w:hAnsi="Arial" w:cs="Arial"/>
          <w:sz w:val="20"/>
          <w:szCs w:val="20"/>
        </w:rPr>
        <w:t>]</w:t>
      </w:r>
      <w:r w:rsidR="00D27501" w:rsidRPr="009D6081">
        <w:rPr>
          <w:rFonts w:ascii="Arial" w:hAnsi="Arial" w:cs="Arial"/>
          <w:sz w:val="20"/>
          <w:szCs w:val="20"/>
        </w:rPr>
        <w:t>; ranging from 6 weeks to 4 years</w:t>
      </w:r>
      <w:r w:rsidR="004065B4">
        <w:rPr>
          <w:rFonts w:ascii="Arial" w:hAnsi="Arial" w:cs="Arial"/>
          <w:sz w:val="20"/>
          <w:szCs w:val="20"/>
        </w:rPr>
        <w:t xml:space="preserve"> </w:t>
      </w:r>
      <w:r w:rsidR="005E4ED5" w:rsidRPr="009D6081">
        <w:rPr>
          <w:rFonts w:ascii="Arial" w:hAnsi="Arial" w:cs="Arial"/>
          <w:sz w:val="20"/>
          <w:szCs w:val="20"/>
        </w:rPr>
        <w:t>[14]</w:t>
      </w:r>
      <w:r w:rsidR="00D27501" w:rsidRPr="009D6081">
        <w:rPr>
          <w:rFonts w:ascii="Arial" w:hAnsi="Arial" w:cs="Arial"/>
          <w:sz w:val="20"/>
          <w:szCs w:val="20"/>
        </w:rPr>
        <w:t>; 12 weeks</w:t>
      </w:r>
      <w:r w:rsidR="004065B4">
        <w:rPr>
          <w:rFonts w:ascii="Arial" w:hAnsi="Arial" w:cs="Arial"/>
          <w:sz w:val="20"/>
          <w:szCs w:val="20"/>
        </w:rPr>
        <w:t xml:space="preserve"> </w:t>
      </w:r>
      <w:r w:rsidR="005E4ED5" w:rsidRPr="009D6081">
        <w:rPr>
          <w:rFonts w:ascii="Arial" w:hAnsi="Arial" w:cs="Arial"/>
          <w:sz w:val="20"/>
          <w:szCs w:val="20"/>
        </w:rPr>
        <w:t>[1</w:t>
      </w:r>
      <w:r w:rsidR="004065B4">
        <w:rPr>
          <w:rFonts w:ascii="Arial" w:hAnsi="Arial" w:cs="Arial"/>
          <w:sz w:val="20"/>
          <w:szCs w:val="20"/>
        </w:rPr>
        <w:t>6</w:t>
      </w:r>
      <w:r w:rsidR="005E4ED5" w:rsidRPr="009D6081">
        <w:rPr>
          <w:rFonts w:ascii="Arial" w:hAnsi="Arial" w:cs="Arial"/>
          <w:sz w:val="20"/>
          <w:szCs w:val="20"/>
        </w:rPr>
        <w:t>]</w:t>
      </w:r>
      <w:r w:rsidR="00D27501" w:rsidRPr="009D6081">
        <w:rPr>
          <w:rFonts w:ascii="Arial" w:hAnsi="Arial" w:cs="Arial"/>
          <w:sz w:val="20"/>
          <w:szCs w:val="20"/>
        </w:rPr>
        <w:t xml:space="preserve">; lasting one school year </w:t>
      </w:r>
      <w:r w:rsidR="005E4ED5" w:rsidRPr="009D6081">
        <w:rPr>
          <w:rFonts w:ascii="Arial" w:hAnsi="Arial" w:cs="Arial"/>
          <w:sz w:val="20"/>
          <w:szCs w:val="20"/>
        </w:rPr>
        <w:t>[17]</w:t>
      </w:r>
      <w:r w:rsidR="00D27501" w:rsidRPr="009D6081">
        <w:rPr>
          <w:rFonts w:ascii="Arial" w:hAnsi="Arial" w:cs="Arial"/>
          <w:sz w:val="20"/>
          <w:szCs w:val="20"/>
        </w:rPr>
        <w:t>; one month to one year</w:t>
      </w:r>
      <w:r w:rsidR="004065B4">
        <w:rPr>
          <w:rFonts w:ascii="Arial" w:hAnsi="Arial" w:cs="Arial"/>
          <w:sz w:val="20"/>
          <w:szCs w:val="20"/>
        </w:rPr>
        <w:t xml:space="preserve"> </w:t>
      </w:r>
      <w:r w:rsidR="005E4ED5" w:rsidRPr="009D6081">
        <w:rPr>
          <w:rFonts w:ascii="Arial" w:hAnsi="Arial" w:cs="Arial"/>
          <w:sz w:val="20"/>
          <w:szCs w:val="20"/>
        </w:rPr>
        <w:t>[2</w:t>
      </w:r>
      <w:r w:rsidR="00954610">
        <w:rPr>
          <w:rFonts w:ascii="Arial" w:hAnsi="Arial" w:cs="Arial"/>
          <w:sz w:val="20"/>
          <w:szCs w:val="20"/>
        </w:rPr>
        <w:t>5</w:t>
      </w:r>
      <w:r w:rsidR="005E4ED5" w:rsidRPr="009D6081">
        <w:rPr>
          <w:rFonts w:ascii="Arial" w:hAnsi="Arial" w:cs="Arial"/>
          <w:sz w:val="20"/>
          <w:szCs w:val="20"/>
        </w:rPr>
        <w:t>]</w:t>
      </w:r>
      <w:r w:rsidR="00D27501" w:rsidRPr="009D6081">
        <w:rPr>
          <w:rFonts w:ascii="Arial" w:hAnsi="Arial" w:cs="Arial"/>
          <w:sz w:val="20"/>
          <w:szCs w:val="20"/>
        </w:rPr>
        <w:t>; 10 weeks</w:t>
      </w:r>
      <w:r w:rsidR="005E4ED5" w:rsidRPr="009D6081">
        <w:rPr>
          <w:rFonts w:ascii="Arial" w:hAnsi="Arial" w:cs="Arial"/>
          <w:sz w:val="20"/>
          <w:szCs w:val="20"/>
        </w:rPr>
        <w:t>[18]</w:t>
      </w:r>
      <w:r w:rsidR="00D27501" w:rsidRPr="009D6081">
        <w:rPr>
          <w:rFonts w:ascii="Arial" w:hAnsi="Arial" w:cs="Arial"/>
          <w:sz w:val="20"/>
          <w:szCs w:val="20"/>
        </w:rPr>
        <w:t>; 8-10 months</w:t>
      </w:r>
      <w:r w:rsidR="005E4ED5" w:rsidRPr="009D6081">
        <w:rPr>
          <w:rFonts w:ascii="Arial" w:hAnsi="Arial" w:cs="Arial"/>
          <w:sz w:val="20"/>
          <w:szCs w:val="20"/>
        </w:rPr>
        <w:t>[2</w:t>
      </w:r>
      <w:r w:rsidR="00954610">
        <w:rPr>
          <w:rFonts w:ascii="Arial" w:hAnsi="Arial" w:cs="Arial"/>
          <w:sz w:val="20"/>
          <w:szCs w:val="20"/>
        </w:rPr>
        <w:t>1</w:t>
      </w:r>
      <w:r w:rsidR="005E4ED5" w:rsidRPr="009D6081">
        <w:rPr>
          <w:rFonts w:ascii="Arial" w:hAnsi="Arial" w:cs="Arial"/>
          <w:sz w:val="20"/>
          <w:szCs w:val="20"/>
        </w:rPr>
        <w:t>]</w:t>
      </w:r>
      <w:r w:rsidR="00D27501" w:rsidRPr="009D6081">
        <w:rPr>
          <w:rFonts w:ascii="Arial" w:hAnsi="Arial" w:cs="Arial"/>
          <w:sz w:val="20"/>
          <w:szCs w:val="20"/>
        </w:rPr>
        <w:t>; and 4 terms</w:t>
      </w:r>
      <w:r w:rsidR="00954610">
        <w:rPr>
          <w:rFonts w:ascii="Arial" w:hAnsi="Arial" w:cs="Arial"/>
          <w:sz w:val="20"/>
          <w:szCs w:val="20"/>
        </w:rPr>
        <w:t xml:space="preserve"> </w:t>
      </w:r>
      <w:r w:rsidR="005E4ED5" w:rsidRPr="00954610">
        <w:rPr>
          <w:rFonts w:ascii="Arial" w:hAnsi="Arial" w:cs="Arial"/>
          <w:sz w:val="20"/>
          <w:szCs w:val="20"/>
        </w:rPr>
        <w:t>[2</w:t>
      </w:r>
      <w:r w:rsidR="00954610" w:rsidRPr="00954610">
        <w:rPr>
          <w:rFonts w:ascii="Arial" w:hAnsi="Arial" w:cs="Arial"/>
          <w:sz w:val="20"/>
          <w:szCs w:val="20"/>
        </w:rPr>
        <w:t>0</w:t>
      </w:r>
      <w:r w:rsidR="005E4ED5" w:rsidRPr="00954610">
        <w:rPr>
          <w:rFonts w:ascii="Arial" w:hAnsi="Arial" w:cs="Arial"/>
          <w:sz w:val="20"/>
          <w:szCs w:val="20"/>
        </w:rPr>
        <w:t>]</w:t>
      </w:r>
      <w:r w:rsidR="00D27501" w:rsidRPr="00954610">
        <w:rPr>
          <w:rFonts w:ascii="Arial" w:hAnsi="Arial" w:cs="Arial"/>
          <w:sz w:val="20"/>
          <w:szCs w:val="20"/>
        </w:rPr>
        <w:t xml:space="preserve">, </w:t>
      </w:r>
      <w:r w:rsidR="00D27501" w:rsidRPr="009D6081">
        <w:rPr>
          <w:rFonts w:ascii="Arial" w:hAnsi="Arial" w:cs="Arial"/>
          <w:sz w:val="20"/>
          <w:szCs w:val="20"/>
        </w:rPr>
        <w:t>spanning Summer Term 2010 to Summer Term and Autumn Term 2011 to Autumn Term).</w:t>
      </w:r>
    </w:p>
    <w:p w14:paraId="4B13EA28" w14:textId="57DF349E" w:rsidR="000171BE" w:rsidRPr="009D6081" w:rsidRDefault="00C54D2F" w:rsidP="0071479F">
      <w:pPr>
        <w:jc w:val="both"/>
        <w:rPr>
          <w:rFonts w:ascii="Arial" w:hAnsi="Arial" w:cs="Arial"/>
          <w:sz w:val="20"/>
          <w:szCs w:val="20"/>
        </w:rPr>
      </w:pPr>
      <w:r w:rsidRPr="009D6081">
        <w:rPr>
          <w:rFonts w:ascii="Arial" w:hAnsi="Arial" w:cs="Arial"/>
          <w:sz w:val="20"/>
          <w:szCs w:val="20"/>
        </w:rPr>
        <w:t xml:space="preserve"> </w:t>
      </w:r>
      <w:r w:rsidR="00A418D2" w:rsidRPr="009D6081">
        <w:rPr>
          <w:rFonts w:ascii="Arial" w:hAnsi="Arial" w:cs="Arial"/>
          <w:sz w:val="20"/>
          <w:szCs w:val="20"/>
        </w:rPr>
        <w:t>The studies exhibited considerable variability in sample sizes, ranging from 25 to 3135 participants. Participants were aged between 2 and 15 years, with the majority falling within the 6 to 12-year-old range.</w:t>
      </w:r>
    </w:p>
    <w:p w14:paraId="196378ED" w14:textId="215D636F" w:rsidR="00C417ED" w:rsidRPr="009D6081" w:rsidRDefault="00463677" w:rsidP="0071479F">
      <w:pPr>
        <w:jc w:val="both"/>
        <w:rPr>
          <w:rFonts w:ascii="Arial" w:hAnsi="Arial" w:cs="Arial"/>
          <w:sz w:val="20"/>
          <w:szCs w:val="20"/>
        </w:rPr>
      </w:pPr>
      <w:r w:rsidRPr="009D6081">
        <w:rPr>
          <w:rFonts w:ascii="Arial" w:hAnsi="Arial" w:cs="Arial"/>
          <w:sz w:val="20"/>
          <w:szCs w:val="20"/>
        </w:rPr>
        <w:t>Studies have demonstrated substantial advancements in several facets of nutrition knowledge</w:t>
      </w:r>
      <w:r w:rsidR="00747156">
        <w:rPr>
          <w:rFonts w:ascii="Arial" w:hAnsi="Arial" w:cs="Arial"/>
          <w:sz w:val="20"/>
          <w:szCs w:val="20"/>
        </w:rPr>
        <w:t xml:space="preserve"> </w:t>
      </w:r>
      <w:r w:rsidR="005E4ED5" w:rsidRPr="009D6081">
        <w:rPr>
          <w:rFonts w:ascii="Arial" w:hAnsi="Arial" w:cs="Arial"/>
          <w:sz w:val="20"/>
          <w:szCs w:val="20"/>
        </w:rPr>
        <w:t>[13,14,16,18,19]</w:t>
      </w:r>
      <w:r w:rsidRPr="009D6081">
        <w:rPr>
          <w:rFonts w:ascii="Arial" w:hAnsi="Arial" w:cs="Arial"/>
          <w:sz w:val="20"/>
          <w:szCs w:val="20"/>
        </w:rPr>
        <w:t>, enhanced openness to trying new foods</w:t>
      </w:r>
      <w:r w:rsidR="00747156">
        <w:rPr>
          <w:rFonts w:ascii="Arial" w:hAnsi="Arial" w:cs="Arial"/>
          <w:sz w:val="20"/>
          <w:szCs w:val="20"/>
        </w:rPr>
        <w:t xml:space="preserve"> </w:t>
      </w:r>
      <w:r w:rsidR="005E4ED5" w:rsidRPr="009D6081">
        <w:rPr>
          <w:rFonts w:ascii="Arial" w:hAnsi="Arial" w:cs="Arial"/>
          <w:sz w:val="20"/>
          <w:szCs w:val="20"/>
        </w:rPr>
        <w:t>[13,18]</w:t>
      </w:r>
      <w:r w:rsidRPr="009D6081">
        <w:rPr>
          <w:rFonts w:ascii="Arial" w:hAnsi="Arial" w:cs="Arial"/>
          <w:sz w:val="20"/>
          <w:szCs w:val="20"/>
        </w:rPr>
        <w:t>, improved attitudes and preferences towards fruits and vegetables compared to snacks</w:t>
      </w:r>
      <w:r w:rsidR="00747156">
        <w:rPr>
          <w:rFonts w:ascii="Arial" w:hAnsi="Arial" w:cs="Arial"/>
          <w:sz w:val="20"/>
          <w:szCs w:val="20"/>
        </w:rPr>
        <w:t xml:space="preserve"> </w:t>
      </w:r>
      <w:r w:rsidR="005E4ED5" w:rsidRPr="009D6081">
        <w:rPr>
          <w:rFonts w:ascii="Arial" w:hAnsi="Arial" w:cs="Arial"/>
          <w:sz w:val="20"/>
          <w:szCs w:val="20"/>
        </w:rPr>
        <w:t>[13,14,16]</w:t>
      </w:r>
      <w:r w:rsidRPr="009D6081">
        <w:rPr>
          <w:rFonts w:ascii="Arial" w:hAnsi="Arial" w:cs="Arial"/>
          <w:sz w:val="20"/>
          <w:szCs w:val="20"/>
        </w:rPr>
        <w:t>, exploration of new vegetables and choosing fruits and vegetables over chips or candy</w:t>
      </w:r>
      <w:r w:rsidR="00747156">
        <w:rPr>
          <w:rFonts w:ascii="Arial" w:hAnsi="Arial" w:cs="Arial"/>
          <w:sz w:val="20"/>
          <w:szCs w:val="20"/>
        </w:rPr>
        <w:t xml:space="preserve"> </w:t>
      </w:r>
      <w:r w:rsidR="005E4ED5" w:rsidRPr="009D6081">
        <w:rPr>
          <w:rFonts w:ascii="Arial" w:hAnsi="Arial" w:cs="Arial"/>
          <w:sz w:val="20"/>
          <w:szCs w:val="20"/>
        </w:rPr>
        <w:t>[13,</w:t>
      </w:r>
      <w:r w:rsidR="00747156">
        <w:rPr>
          <w:rFonts w:ascii="Arial" w:hAnsi="Arial" w:cs="Arial"/>
          <w:sz w:val="20"/>
          <w:szCs w:val="20"/>
        </w:rPr>
        <w:t xml:space="preserve"> </w:t>
      </w:r>
      <w:r w:rsidR="005E4ED5" w:rsidRPr="009D6081">
        <w:rPr>
          <w:rFonts w:ascii="Arial" w:hAnsi="Arial" w:cs="Arial"/>
          <w:sz w:val="20"/>
          <w:szCs w:val="20"/>
        </w:rPr>
        <w:t>2</w:t>
      </w:r>
      <w:r w:rsidR="00766B55">
        <w:rPr>
          <w:rFonts w:ascii="Arial" w:hAnsi="Arial" w:cs="Arial"/>
          <w:sz w:val="20"/>
          <w:szCs w:val="20"/>
        </w:rPr>
        <w:t>0</w:t>
      </w:r>
      <w:r w:rsidR="005E4ED5" w:rsidRPr="009D6081">
        <w:rPr>
          <w:rFonts w:ascii="Arial" w:hAnsi="Arial" w:cs="Arial"/>
          <w:sz w:val="20"/>
          <w:szCs w:val="20"/>
        </w:rPr>
        <w:t>,19]</w:t>
      </w:r>
      <w:r w:rsidRPr="009D6081">
        <w:rPr>
          <w:rFonts w:ascii="Arial" w:hAnsi="Arial" w:cs="Arial"/>
          <w:sz w:val="20"/>
          <w:szCs w:val="20"/>
        </w:rPr>
        <w:t>, and increased ability among intervention groups to identify vegetables</w:t>
      </w:r>
      <w:r w:rsidR="005E4ED5" w:rsidRPr="009D6081">
        <w:rPr>
          <w:rFonts w:ascii="Arial" w:hAnsi="Arial" w:cs="Arial"/>
          <w:sz w:val="20"/>
          <w:szCs w:val="20"/>
        </w:rPr>
        <w:t xml:space="preserve"> [13,2</w:t>
      </w:r>
      <w:r w:rsidR="00766B55">
        <w:rPr>
          <w:rFonts w:ascii="Arial" w:hAnsi="Arial" w:cs="Arial"/>
          <w:sz w:val="20"/>
          <w:szCs w:val="20"/>
        </w:rPr>
        <w:t>6</w:t>
      </w:r>
      <w:r w:rsidR="005E4ED5" w:rsidRPr="009D6081">
        <w:rPr>
          <w:rFonts w:ascii="Arial" w:hAnsi="Arial" w:cs="Arial"/>
          <w:sz w:val="20"/>
          <w:szCs w:val="20"/>
        </w:rPr>
        <w:t>]</w:t>
      </w:r>
      <w:r w:rsidRPr="009D6081">
        <w:rPr>
          <w:rFonts w:ascii="Arial" w:hAnsi="Arial" w:cs="Arial"/>
          <w:sz w:val="20"/>
          <w:szCs w:val="20"/>
        </w:rPr>
        <w:t xml:space="preserve">. Significant findings were observed in the daily consumption of </w:t>
      </w:r>
      <w:r w:rsidRPr="009D6081">
        <w:rPr>
          <w:rFonts w:ascii="Arial" w:hAnsi="Arial" w:cs="Arial"/>
          <w:sz w:val="20"/>
          <w:szCs w:val="20"/>
        </w:rPr>
        <w:lastRenderedPageBreak/>
        <w:t>fruits and vegetables (</w:t>
      </w:r>
      <w:r w:rsidRPr="00747156">
        <w:rPr>
          <w:rFonts w:ascii="Arial" w:hAnsi="Arial" w:cs="Arial"/>
          <w:i/>
          <w:iCs/>
          <w:sz w:val="20"/>
          <w:szCs w:val="20"/>
        </w:rPr>
        <w:t>p &lt; 0.05</w:t>
      </w:r>
      <w:r w:rsidRPr="009D6081">
        <w:rPr>
          <w:rFonts w:ascii="Arial" w:hAnsi="Arial" w:cs="Arial"/>
          <w:sz w:val="20"/>
          <w:szCs w:val="20"/>
        </w:rPr>
        <w:t>)</w:t>
      </w:r>
      <w:r w:rsidR="00747156">
        <w:rPr>
          <w:rFonts w:ascii="Arial" w:hAnsi="Arial" w:cs="Arial"/>
          <w:sz w:val="20"/>
          <w:szCs w:val="20"/>
        </w:rPr>
        <w:t xml:space="preserve"> </w:t>
      </w:r>
      <w:r w:rsidR="005E4ED5" w:rsidRPr="009D6081">
        <w:rPr>
          <w:rFonts w:ascii="Arial" w:hAnsi="Arial" w:cs="Arial"/>
          <w:sz w:val="20"/>
          <w:szCs w:val="20"/>
        </w:rPr>
        <w:t>[24,14,16,19]</w:t>
      </w:r>
      <w:r w:rsidR="00747156">
        <w:rPr>
          <w:rFonts w:ascii="Arial" w:hAnsi="Arial" w:cs="Arial"/>
          <w:sz w:val="20"/>
          <w:szCs w:val="20"/>
        </w:rPr>
        <w:t xml:space="preserve">. </w:t>
      </w:r>
      <w:r w:rsidRPr="009D6081">
        <w:rPr>
          <w:rFonts w:ascii="Arial" w:hAnsi="Arial" w:cs="Arial"/>
          <w:sz w:val="20"/>
          <w:szCs w:val="20"/>
        </w:rPr>
        <w:t>One study indicated that children's familiarity with new foods grew, thereby enhancing their willingness to try unfamiliar foods</w:t>
      </w:r>
      <w:r w:rsidR="005E4ED5" w:rsidRPr="009D6081">
        <w:rPr>
          <w:rFonts w:ascii="Arial" w:hAnsi="Arial" w:cs="Arial"/>
          <w:sz w:val="20"/>
          <w:szCs w:val="20"/>
        </w:rPr>
        <w:t xml:space="preserve"> [</w:t>
      </w:r>
      <w:r w:rsidR="00747156">
        <w:rPr>
          <w:rFonts w:ascii="Arial" w:hAnsi="Arial" w:cs="Arial"/>
          <w:sz w:val="20"/>
          <w:szCs w:val="20"/>
        </w:rPr>
        <w:t>15</w:t>
      </w:r>
      <w:r w:rsidR="005E4ED5" w:rsidRPr="009D6081">
        <w:rPr>
          <w:rFonts w:ascii="Arial" w:hAnsi="Arial" w:cs="Arial"/>
          <w:sz w:val="20"/>
          <w:szCs w:val="20"/>
        </w:rPr>
        <w:t>]</w:t>
      </w:r>
      <w:r w:rsidRPr="009D6081">
        <w:rPr>
          <w:rFonts w:ascii="Arial" w:hAnsi="Arial" w:cs="Arial"/>
          <w:sz w:val="20"/>
          <w:szCs w:val="20"/>
        </w:rPr>
        <w:t>, while another study reported a notable reduction in food neophobia</w:t>
      </w:r>
      <w:r w:rsidR="00EF1E67" w:rsidRPr="009D6081">
        <w:rPr>
          <w:rFonts w:ascii="Arial" w:hAnsi="Arial" w:cs="Arial"/>
          <w:sz w:val="20"/>
          <w:szCs w:val="20"/>
        </w:rPr>
        <w:t xml:space="preserve"> [16]</w:t>
      </w:r>
      <w:r w:rsidR="00747156">
        <w:rPr>
          <w:rFonts w:ascii="Arial" w:hAnsi="Arial" w:cs="Arial"/>
          <w:sz w:val="20"/>
          <w:szCs w:val="20"/>
        </w:rPr>
        <w:t>.</w:t>
      </w:r>
      <w:r w:rsidRPr="009D6081">
        <w:rPr>
          <w:rFonts w:ascii="Arial" w:hAnsi="Arial" w:cs="Arial"/>
          <w:sz w:val="20"/>
          <w:szCs w:val="20"/>
        </w:rPr>
        <w:t xml:space="preserve"> </w:t>
      </w:r>
    </w:p>
    <w:p w14:paraId="3432BDC2" w14:textId="6892C820" w:rsidR="001D3FFC" w:rsidRPr="009D6081" w:rsidRDefault="001D3FFC" w:rsidP="0071479F">
      <w:pPr>
        <w:jc w:val="both"/>
        <w:rPr>
          <w:rFonts w:ascii="Arial" w:hAnsi="Arial" w:cs="Arial"/>
          <w:sz w:val="20"/>
          <w:szCs w:val="20"/>
        </w:rPr>
      </w:pPr>
      <w:r w:rsidRPr="009D6081">
        <w:rPr>
          <w:rFonts w:ascii="Arial" w:hAnsi="Arial" w:cs="Arial"/>
          <w:sz w:val="20"/>
          <w:szCs w:val="20"/>
        </w:rPr>
        <w:t>Some studies produced mixed results or did not find significant outcomes. Increasing the availability of fruits and vegetables was associated with higher consumption</w:t>
      </w:r>
      <w:r w:rsidR="00747156">
        <w:rPr>
          <w:rFonts w:ascii="Arial" w:hAnsi="Arial" w:cs="Arial"/>
          <w:sz w:val="20"/>
          <w:szCs w:val="20"/>
        </w:rPr>
        <w:t xml:space="preserve"> </w:t>
      </w:r>
      <w:r w:rsidR="00EF1E67" w:rsidRPr="009D6081">
        <w:rPr>
          <w:rFonts w:ascii="Arial" w:hAnsi="Arial" w:cs="Arial"/>
          <w:sz w:val="20"/>
          <w:szCs w:val="20"/>
        </w:rPr>
        <w:t>[2</w:t>
      </w:r>
      <w:r w:rsidR="00766B55">
        <w:rPr>
          <w:rFonts w:ascii="Arial" w:hAnsi="Arial" w:cs="Arial"/>
          <w:sz w:val="20"/>
          <w:szCs w:val="20"/>
        </w:rPr>
        <w:t>1</w:t>
      </w:r>
      <w:r w:rsidR="00EF1E67" w:rsidRPr="009D6081">
        <w:rPr>
          <w:rFonts w:ascii="Arial" w:hAnsi="Arial" w:cs="Arial"/>
          <w:sz w:val="20"/>
          <w:szCs w:val="20"/>
        </w:rPr>
        <w:t>]</w:t>
      </w:r>
      <w:r w:rsidR="00747156">
        <w:rPr>
          <w:rFonts w:ascii="Arial" w:hAnsi="Arial" w:cs="Arial"/>
          <w:sz w:val="20"/>
          <w:szCs w:val="20"/>
        </w:rPr>
        <w:t xml:space="preserve">. </w:t>
      </w:r>
      <w:r w:rsidRPr="009D6081">
        <w:rPr>
          <w:rFonts w:ascii="Arial" w:hAnsi="Arial" w:cs="Arial"/>
          <w:sz w:val="20"/>
          <w:szCs w:val="20"/>
        </w:rPr>
        <w:t xml:space="preserve">For example, Davis </w:t>
      </w:r>
      <w:r w:rsidR="00764D6F" w:rsidRPr="009D6081">
        <w:rPr>
          <w:rFonts w:ascii="Arial" w:hAnsi="Arial" w:cs="Arial"/>
          <w:sz w:val="20"/>
          <w:szCs w:val="20"/>
        </w:rPr>
        <w:t xml:space="preserve">and coworkers </w:t>
      </w:r>
      <w:r w:rsidRPr="009D6081">
        <w:rPr>
          <w:rFonts w:ascii="Arial" w:hAnsi="Arial" w:cs="Arial"/>
          <w:sz w:val="20"/>
          <w:szCs w:val="20"/>
        </w:rPr>
        <w:t>(2021) observed an increase in vegetable intake but did not find any effects on fruit intake, consumption of sugar-sweetened beverages, obesity measures, or blood pressure</w:t>
      </w:r>
      <w:r w:rsidR="00EF1E67" w:rsidRPr="009D6081">
        <w:rPr>
          <w:rFonts w:ascii="Arial" w:hAnsi="Arial" w:cs="Arial"/>
          <w:sz w:val="20"/>
          <w:szCs w:val="20"/>
        </w:rPr>
        <w:t xml:space="preserve"> [17]</w:t>
      </w:r>
      <w:r w:rsidRPr="009D6081">
        <w:rPr>
          <w:rFonts w:ascii="Arial" w:hAnsi="Arial" w:cs="Arial"/>
          <w:sz w:val="20"/>
          <w:szCs w:val="20"/>
        </w:rPr>
        <w:t xml:space="preserve">. Ohly </w:t>
      </w:r>
      <w:r w:rsidR="00764D6F" w:rsidRPr="009D6081">
        <w:rPr>
          <w:rFonts w:ascii="Arial" w:hAnsi="Arial" w:cs="Arial"/>
          <w:sz w:val="20"/>
          <w:szCs w:val="20"/>
        </w:rPr>
        <w:t xml:space="preserve">and coworkers </w:t>
      </w:r>
      <w:r w:rsidRPr="009D6081">
        <w:rPr>
          <w:rFonts w:ascii="Arial" w:hAnsi="Arial" w:cs="Arial"/>
          <w:sz w:val="20"/>
          <w:szCs w:val="20"/>
        </w:rPr>
        <w:t>(2016) systematic review of 16 qualitative studies revealed diverse health outcomes</w:t>
      </w:r>
      <w:r w:rsidR="00EF1E67" w:rsidRPr="009D6081">
        <w:rPr>
          <w:rFonts w:ascii="Arial" w:hAnsi="Arial" w:cs="Arial"/>
          <w:sz w:val="20"/>
          <w:szCs w:val="20"/>
        </w:rPr>
        <w:t xml:space="preserve"> [2</w:t>
      </w:r>
      <w:r w:rsidR="00766B55">
        <w:rPr>
          <w:rFonts w:ascii="Arial" w:hAnsi="Arial" w:cs="Arial"/>
          <w:sz w:val="20"/>
          <w:szCs w:val="20"/>
        </w:rPr>
        <w:t>3</w:t>
      </w:r>
      <w:r w:rsidR="00EF1E67" w:rsidRPr="009D6081">
        <w:rPr>
          <w:rFonts w:ascii="Arial" w:hAnsi="Arial" w:cs="Arial"/>
          <w:sz w:val="20"/>
          <w:szCs w:val="20"/>
        </w:rPr>
        <w:t>]</w:t>
      </w:r>
      <w:r w:rsidRPr="009D6081">
        <w:rPr>
          <w:rFonts w:ascii="Arial" w:hAnsi="Arial" w:cs="Arial"/>
          <w:sz w:val="20"/>
          <w:szCs w:val="20"/>
        </w:rPr>
        <w:t xml:space="preserve">. Significant increases in fruit and vegetable intake were reported in two studies, while four out of six studies showed statistically significant changes in nutrient intake and other dietary outcomes. Eight out of thirteen studies reported significant intervention effects, indicating increased preference for fruits and vegetables, with seven out of ten studies showing overall significant intervention effects. Among eleven programs assessing dietary intake, six reported increased vegetable </w:t>
      </w:r>
      <w:r w:rsidR="00510A88" w:rsidRPr="009D6081">
        <w:rPr>
          <w:rFonts w:ascii="Arial" w:hAnsi="Arial" w:cs="Arial"/>
          <w:sz w:val="20"/>
          <w:szCs w:val="20"/>
        </w:rPr>
        <w:t>intakes</w:t>
      </w:r>
      <w:r w:rsidRPr="009D6081">
        <w:rPr>
          <w:rFonts w:ascii="Arial" w:hAnsi="Arial" w:cs="Arial"/>
          <w:sz w:val="20"/>
          <w:szCs w:val="20"/>
        </w:rPr>
        <w:t>, while four found no effect. Of the eight studies measuring preference, seven found an increased preference for vegetables. Gardening programs also enhanced attitudes toward, willingness to taste, identification of, and self-efficacy in preparing/cooking fruits and vegetables</w:t>
      </w:r>
      <w:r w:rsidR="00EF1E67" w:rsidRPr="009D6081">
        <w:rPr>
          <w:rFonts w:ascii="Arial" w:hAnsi="Arial" w:cs="Arial"/>
          <w:sz w:val="20"/>
          <w:szCs w:val="20"/>
        </w:rPr>
        <w:t xml:space="preserve"> [2</w:t>
      </w:r>
      <w:r w:rsidR="00766B55">
        <w:rPr>
          <w:rFonts w:ascii="Arial" w:hAnsi="Arial" w:cs="Arial"/>
          <w:sz w:val="20"/>
          <w:szCs w:val="20"/>
        </w:rPr>
        <w:t>5</w:t>
      </w:r>
      <w:r w:rsidR="00EF1E67" w:rsidRPr="009D6081">
        <w:rPr>
          <w:rFonts w:ascii="Arial" w:hAnsi="Arial" w:cs="Arial"/>
          <w:sz w:val="20"/>
          <w:szCs w:val="20"/>
        </w:rPr>
        <w:t>]</w:t>
      </w:r>
      <w:r w:rsidR="00747156">
        <w:rPr>
          <w:rFonts w:ascii="Arial" w:hAnsi="Arial" w:cs="Arial"/>
          <w:sz w:val="20"/>
          <w:szCs w:val="20"/>
        </w:rPr>
        <w:t xml:space="preserve">. </w:t>
      </w:r>
    </w:p>
    <w:p w14:paraId="76703C28" w14:textId="01C16146" w:rsidR="00EC2FA0" w:rsidRPr="009D6081" w:rsidRDefault="00D64A4F" w:rsidP="0071479F">
      <w:pPr>
        <w:jc w:val="both"/>
        <w:rPr>
          <w:rFonts w:ascii="Arial" w:hAnsi="Arial" w:cs="Arial"/>
          <w:sz w:val="20"/>
          <w:szCs w:val="20"/>
        </w:rPr>
      </w:pPr>
      <w:r w:rsidRPr="009D6081">
        <w:rPr>
          <w:rFonts w:ascii="Arial" w:hAnsi="Arial" w:cs="Arial"/>
          <w:sz w:val="20"/>
          <w:szCs w:val="20"/>
        </w:rPr>
        <w:t>Six studies examined the cognitive outcomes of garden-based interventions in schools (Table 2). Four of these studies employed a hands-on school gardening curriculum alongside traditional classroom instruction</w:t>
      </w:r>
      <w:r w:rsidR="00EF1E67" w:rsidRPr="009D6081">
        <w:rPr>
          <w:rFonts w:ascii="Arial" w:hAnsi="Arial" w:cs="Arial"/>
          <w:sz w:val="20"/>
          <w:szCs w:val="20"/>
        </w:rPr>
        <w:t xml:space="preserve"> [13,2</w:t>
      </w:r>
      <w:r w:rsidR="00766B55">
        <w:rPr>
          <w:rFonts w:ascii="Arial" w:hAnsi="Arial" w:cs="Arial"/>
          <w:sz w:val="20"/>
          <w:szCs w:val="20"/>
        </w:rPr>
        <w:t>7</w:t>
      </w:r>
      <w:r w:rsidR="00EF1E67" w:rsidRPr="009D6081">
        <w:rPr>
          <w:rFonts w:ascii="Arial" w:hAnsi="Arial" w:cs="Arial"/>
          <w:sz w:val="20"/>
          <w:szCs w:val="20"/>
        </w:rPr>
        <w:t>,2</w:t>
      </w:r>
      <w:r w:rsidR="00766B55">
        <w:rPr>
          <w:rFonts w:ascii="Arial" w:hAnsi="Arial" w:cs="Arial"/>
          <w:sz w:val="20"/>
          <w:szCs w:val="20"/>
        </w:rPr>
        <w:t>8</w:t>
      </w:r>
      <w:r w:rsidR="00EF1E67" w:rsidRPr="009D6081">
        <w:rPr>
          <w:rFonts w:ascii="Arial" w:hAnsi="Arial" w:cs="Arial"/>
          <w:sz w:val="20"/>
          <w:szCs w:val="20"/>
        </w:rPr>
        <w:t>,2</w:t>
      </w:r>
      <w:r w:rsidR="00766B55">
        <w:rPr>
          <w:rFonts w:ascii="Arial" w:hAnsi="Arial" w:cs="Arial"/>
          <w:sz w:val="20"/>
          <w:szCs w:val="20"/>
        </w:rPr>
        <w:t>9</w:t>
      </w:r>
      <w:r w:rsidR="00EF1E67" w:rsidRPr="009D6081">
        <w:rPr>
          <w:rFonts w:ascii="Arial" w:hAnsi="Arial" w:cs="Arial"/>
          <w:sz w:val="20"/>
          <w:szCs w:val="20"/>
        </w:rPr>
        <w:t>]</w:t>
      </w:r>
      <w:r w:rsidRPr="009D6081">
        <w:rPr>
          <w:rFonts w:ascii="Arial" w:hAnsi="Arial" w:cs="Arial"/>
          <w:sz w:val="20"/>
          <w:szCs w:val="20"/>
        </w:rPr>
        <w:t>, while two focused on exposure to green environments</w:t>
      </w:r>
      <w:r w:rsidR="00BB5AD5" w:rsidRPr="009D6081">
        <w:rPr>
          <w:rFonts w:ascii="Arial" w:hAnsi="Arial" w:cs="Arial"/>
          <w:sz w:val="20"/>
          <w:szCs w:val="20"/>
        </w:rPr>
        <w:t xml:space="preserve"> [</w:t>
      </w:r>
      <w:r w:rsidR="00766B55">
        <w:rPr>
          <w:rFonts w:ascii="Arial" w:hAnsi="Arial" w:cs="Arial"/>
          <w:sz w:val="20"/>
          <w:szCs w:val="20"/>
        </w:rPr>
        <w:t>30,31</w:t>
      </w:r>
      <w:r w:rsidR="00BB5AD5" w:rsidRPr="009D6081">
        <w:rPr>
          <w:rFonts w:ascii="Arial" w:hAnsi="Arial" w:cs="Arial"/>
          <w:sz w:val="20"/>
          <w:szCs w:val="20"/>
        </w:rPr>
        <w:t>]</w:t>
      </w:r>
      <w:r w:rsidR="00747156">
        <w:rPr>
          <w:rFonts w:ascii="Arial" w:hAnsi="Arial" w:cs="Arial"/>
          <w:sz w:val="20"/>
          <w:szCs w:val="20"/>
        </w:rPr>
        <w:t xml:space="preserve">. </w:t>
      </w:r>
      <w:r w:rsidRPr="009D6081">
        <w:rPr>
          <w:rFonts w:ascii="Arial" w:hAnsi="Arial" w:cs="Arial"/>
          <w:sz w:val="20"/>
          <w:szCs w:val="20"/>
        </w:rPr>
        <w:t>The sample sizes ranged from 33 to 21,443 participants, aged between 4 and 18 years. Intervention durations varied from weekly sessions lasting 30 minutes to programs spanning 2 academic years. Academic outcomes included science, math, and reading achievement test scores in one study, with computerized cognitive tests assessing working memory outcomes</w:t>
      </w:r>
      <w:r w:rsidR="00BB5AD5" w:rsidRPr="009D6081">
        <w:rPr>
          <w:rFonts w:ascii="Arial" w:hAnsi="Arial" w:cs="Arial"/>
          <w:sz w:val="20"/>
          <w:szCs w:val="20"/>
        </w:rPr>
        <w:t xml:space="preserve"> [</w:t>
      </w:r>
      <w:r w:rsidR="00766B55">
        <w:rPr>
          <w:rFonts w:ascii="Arial" w:hAnsi="Arial" w:cs="Arial"/>
          <w:sz w:val="20"/>
          <w:szCs w:val="20"/>
        </w:rPr>
        <w:t>30</w:t>
      </w:r>
      <w:r w:rsidR="00BB5AD5" w:rsidRPr="009D6081">
        <w:rPr>
          <w:rFonts w:ascii="Arial" w:hAnsi="Arial" w:cs="Arial"/>
          <w:sz w:val="20"/>
          <w:szCs w:val="20"/>
        </w:rPr>
        <w:t>]</w:t>
      </w:r>
      <w:r w:rsidR="00747156">
        <w:rPr>
          <w:rFonts w:ascii="Arial" w:hAnsi="Arial" w:cs="Arial"/>
          <w:sz w:val="20"/>
          <w:szCs w:val="20"/>
        </w:rPr>
        <w:t xml:space="preserve">. </w:t>
      </w:r>
      <w:r w:rsidRPr="009D6081">
        <w:rPr>
          <w:rFonts w:ascii="Arial" w:hAnsi="Arial" w:cs="Arial"/>
          <w:sz w:val="20"/>
          <w:szCs w:val="20"/>
        </w:rPr>
        <w:t>Agricultural learning was evaluated through students' graphical representations of a garden before and after participating in the garden-based learning program. The impact of garden-based education (GBE) on cognitive learning domains revealed five emerging themes. Two studies documented significant improvements in cognitive domains such as enhanced working memory and reduced inattentiveness. Additionally, two studies highlighted advancements in academic performance and knowledge of traditional agriculture.</w:t>
      </w:r>
    </w:p>
    <w:p w14:paraId="3CE93232" w14:textId="4E09E020" w:rsidR="00BA7E8A" w:rsidRPr="009D6081" w:rsidRDefault="00BA7E8A" w:rsidP="00BA7E8A">
      <w:pPr>
        <w:rPr>
          <w:rFonts w:ascii="Arial" w:hAnsi="Arial" w:cs="Arial"/>
          <w:sz w:val="20"/>
          <w:szCs w:val="20"/>
        </w:rPr>
      </w:pPr>
      <w:r w:rsidRPr="009D6081">
        <w:rPr>
          <w:rFonts w:ascii="Arial" w:hAnsi="Arial" w:cs="Arial"/>
          <w:sz w:val="20"/>
          <w:szCs w:val="20"/>
        </w:rPr>
        <w:t>Table 1. Interventions Involving School Gardens with Dietary Outcome Measures</w:t>
      </w:r>
    </w:p>
    <w:tbl>
      <w:tblPr>
        <w:tblStyle w:val="TableGrid"/>
        <w:tblW w:w="0" w:type="auto"/>
        <w:tblLook w:val="04A0" w:firstRow="1" w:lastRow="0" w:firstColumn="1" w:lastColumn="0" w:noHBand="0" w:noVBand="1"/>
      </w:tblPr>
      <w:tblGrid>
        <w:gridCol w:w="1280"/>
        <w:gridCol w:w="2066"/>
        <w:gridCol w:w="1539"/>
        <w:gridCol w:w="2009"/>
        <w:gridCol w:w="2122"/>
      </w:tblGrid>
      <w:tr w:rsidR="00E12304" w:rsidRPr="00EC2FA0" w14:paraId="0661D155" w14:textId="77777777" w:rsidTr="004638D0">
        <w:tc>
          <w:tcPr>
            <w:tcW w:w="1259" w:type="dxa"/>
          </w:tcPr>
          <w:p w14:paraId="43689940" w14:textId="61B037D9" w:rsidR="00E12304" w:rsidRPr="00EC2FA0" w:rsidRDefault="00E12304" w:rsidP="0071479F">
            <w:pPr>
              <w:jc w:val="both"/>
              <w:rPr>
                <w:rFonts w:ascii="Arial" w:hAnsi="Arial" w:cs="Arial"/>
                <w:sz w:val="20"/>
                <w:szCs w:val="20"/>
              </w:rPr>
            </w:pPr>
            <w:r w:rsidRPr="00EC2FA0">
              <w:rPr>
                <w:rFonts w:ascii="Arial" w:hAnsi="Arial" w:cs="Arial"/>
                <w:sz w:val="20"/>
                <w:szCs w:val="20"/>
              </w:rPr>
              <w:t>Study</w:t>
            </w:r>
          </w:p>
        </w:tc>
        <w:tc>
          <w:tcPr>
            <w:tcW w:w="2079" w:type="dxa"/>
          </w:tcPr>
          <w:p w14:paraId="1ECBFE26" w14:textId="5941DA76" w:rsidR="00E12304" w:rsidRPr="00EC2FA0" w:rsidRDefault="00E12304" w:rsidP="0071479F">
            <w:pPr>
              <w:jc w:val="both"/>
              <w:rPr>
                <w:rFonts w:ascii="Arial" w:hAnsi="Arial" w:cs="Arial"/>
                <w:sz w:val="20"/>
                <w:szCs w:val="20"/>
              </w:rPr>
            </w:pPr>
            <w:r w:rsidRPr="00EC2FA0">
              <w:rPr>
                <w:rFonts w:ascii="Arial" w:hAnsi="Arial" w:cs="Arial"/>
                <w:sz w:val="20"/>
                <w:szCs w:val="20"/>
              </w:rPr>
              <w:t>Participants</w:t>
            </w:r>
          </w:p>
        </w:tc>
        <w:tc>
          <w:tcPr>
            <w:tcW w:w="997" w:type="dxa"/>
          </w:tcPr>
          <w:p w14:paraId="12E1BFBD" w14:textId="45B79699" w:rsidR="00E12304" w:rsidRPr="00EC2FA0" w:rsidRDefault="00E12304" w:rsidP="0071479F">
            <w:pPr>
              <w:jc w:val="both"/>
              <w:rPr>
                <w:rFonts w:ascii="Arial" w:hAnsi="Arial" w:cs="Arial"/>
                <w:sz w:val="20"/>
                <w:szCs w:val="20"/>
              </w:rPr>
            </w:pPr>
            <w:r w:rsidRPr="00EC2FA0">
              <w:rPr>
                <w:rFonts w:ascii="Arial" w:hAnsi="Arial" w:cs="Arial"/>
                <w:sz w:val="20"/>
                <w:szCs w:val="20"/>
              </w:rPr>
              <w:t>Duration</w:t>
            </w:r>
          </w:p>
        </w:tc>
        <w:tc>
          <w:tcPr>
            <w:tcW w:w="2410" w:type="dxa"/>
          </w:tcPr>
          <w:p w14:paraId="79857785" w14:textId="742144D7" w:rsidR="00E12304" w:rsidRPr="00EC2FA0" w:rsidRDefault="00E12304" w:rsidP="0071479F">
            <w:pPr>
              <w:jc w:val="both"/>
              <w:rPr>
                <w:rFonts w:ascii="Arial" w:hAnsi="Arial" w:cs="Arial"/>
                <w:sz w:val="20"/>
                <w:szCs w:val="20"/>
              </w:rPr>
            </w:pPr>
            <w:r w:rsidRPr="00EC2FA0">
              <w:rPr>
                <w:rFonts w:ascii="Arial" w:hAnsi="Arial" w:cs="Arial"/>
                <w:sz w:val="20"/>
                <w:szCs w:val="20"/>
              </w:rPr>
              <w:t>Research findings</w:t>
            </w:r>
          </w:p>
        </w:tc>
        <w:tc>
          <w:tcPr>
            <w:tcW w:w="2268" w:type="dxa"/>
          </w:tcPr>
          <w:p w14:paraId="10471C8F" w14:textId="37FC9B9A" w:rsidR="00E12304" w:rsidRPr="00EC2FA0" w:rsidRDefault="00E12304" w:rsidP="0071479F">
            <w:pPr>
              <w:jc w:val="both"/>
              <w:rPr>
                <w:rFonts w:ascii="Arial" w:hAnsi="Arial" w:cs="Arial"/>
                <w:sz w:val="20"/>
                <w:szCs w:val="20"/>
              </w:rPr>
            </w:pPr>
            <w:r w:rsidRPr="00EC2FA0">
              <w:rPr>
                <w:rFonts w:ascii="Arial" w:hAnsi="Arial" w:cs="Arial"/>
                <w:sz w:val="20"/>
                <w:szCs w:val="20"/>
              </w:rPr>
              <w:t>Design</w:t>
            </w:r>
          </w:p>
        </w:tc>
      </w:tr>
      <w:tr w:rsidR="00E12304" w:rsidRPr="00EC2FA0" w14:paraId="6776FAEF" w14:textId="77777777" w:rsidTr="004638D0">
        <w:tc>
          <w:tcPr>
            <w:tcW w:w="1259" w:type="dxa"/>
          </w:tcPr>
          <w:p w14:paraId="71A85BEE" w14:textId="0F68C0AC" w:rsidR="00E12304" w:rsidRPr="00EC2FA0" w:rsidRDefault="00E12304" w:rsidP="0071479F">
            <w:pPr>
              <w:jc w:val="both"/>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Berezowitz</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2015)</w:t>
            </w:r>
          </w:p>
        </w:tc>
        <w:tc>
          <w:tcPr>
            <w:tcW w:w="2079" w:type="dxa"/>
          </w:tcPr>
          <w:p w14:paraId="5D726E79" w14:textId="4999B418" w:rsidR="00E12304" w:rsidRPr="00EC2FA0" w:rsidRDefault="00E12304" w:rsidP="00BA7E8A">
            <w:pPr>
              <w:rPr>
                <w:rFonts w:ascii="Arial" w:eastAsia="Times New Roman" w:hAnsi="Arial" w:cs="Arial"/>
                <w:kern w:val="0"/>
                <w:sz w:val="20"/>
                <w:szCs w:val="20"/>
                <w:lang w:eastAsia="en-IN"/>
                <w14:ligatures w14:val="none"/>
              </w:rPr>
            </w:pPr>
            <w:r w:rsidRPr="00EC2FA0">
              <w:rPr>
                <w:rFonts w:ascii="Arial" w:eastAsia="Times New Roman" w:hAnsi="Arial" w:cs="Arial"/>
                <w:kern w:val="0"/>
                <w:sz w:val="20"/>
                <w:szCs w:val="20"/>
                <w:lang w:eastAsia="en-IN"/>
                <w14:ligatures w14:val="none"/>
              </w:rPr>
              <w:t xml:space="preserve">  Studies: 7 studies in total.</w:t>
            </w:r>
          </w:p>
          <w:p w14:paraId="0A050595" w14:textId="43486E9E" w:rsidR="00E12304" w:rsidRPr="00EC2FA0" w:rsidRDefault="00E12304" w:rsidP="00BA7E8A">
            <w:pPr>
              <w:rPr>
                <w:rFonts w:ascii="Arial" w:eastAsia="Times New Roman" w:hAnsi="Arial" w:cs="Arial"/>
                <w:kern w:val="0"/>
                <w:sz w:val="20"/>
                <w:szCs w:val="20"/>
                <w:lang w:eastAsia="en-IN"/>
                <w14:ligatures w14:val="none"/>
              </w:rPr>
            </w:pPr>
            <w:r w:rsidRPr="00EC2FA0">
              <w:rPr>
                <w:rFonts w:ascii="Arial" w:eastAsia="Times New Roman" w:hAnsi="Arial" w:cs="Arial"/>
                <w:kern w:val="0"/>
                <w:sz w:val="20"/>
                <w:szCs w:val="20"/>
                <w:lang w:eastAsia="en-IN"/>
                <w14:ligatures w14:val="none"/>
              </w:rPr>
              <w:t>Participants: 2316 participants overall.</w:t>
            </w:r>
          </w:p>
          <w:p w14:paraId="7DB3CEA3" w14:textId="72E839F2" w:rsidR="00E12304" w:rsidRPr="00EC2FA0" w:rsidRDefault="00E12304" w:rsidP="00BA7E8A">
            <w:pPr>
              <w:rPr>
                <w:rFonts w:ascii="Arial" w:eastAsia="Times New Roman" w:hAnsi="Arial" w:cs="Arial"/>
                <w:kern w:val="0"/>
                <w:sz w:val="20"/>
                <w:szCs w:val="20"/>
                <w:lang w:eastAsia="en-IN"/>
                <w14:ligatures w14:val="none"/>
              </w:rPr>
            </w:pPr>
            <w:r w:rsidRPr="00EC2FA0">
              <w:rPr>
                <w:rFonts w:ascii="Arial" w:eastAsia="Times New Roman" w:hAnsi="Arial" w:cs="Arial"/>
                <w:kern w:val="0"/>
                <w:sz w:val="20"/>
                <w:szCs w:val="20"/>
                <w:lang w:eastAsia="en-IN"/>
                <w14:ligatures w14:val="none"/>
              </w:rPr>
              <w:t>Age/Grade: Age ranges from 7.3 to 11.1 years, or grades first through seventh.</w:t>
            </w:r>
          </w:p>
          <w:p w14:paraId="760B352E" w14:textId="7B53BE45" w:rsidR="00E12304" w:rsidRPr="00EC2FA0" w:rsidRDefault="00E12304" w:rsidP="00BA7E8A">
            <w:pPr>
              <w:rPr>
                <w:rFonts w:ascii="Arial" w:eastAsia="Times New Roman" w:hAnsi="Arial" w:cs="Arial"/>
                <w:kern w:val="0"/>
                <w:sz w:val="20"/>
                <w:szCs w:val="20"/>
                <w:lang w:eastAsia="en-IN"/>
                <w14:ligatures w14:val="none"/>
              </w:rPr>
            </w:pPr>
            <w:r w:rsidRPr="00EC2FA0">
              <w:rPr>
                <w:rFonts w:ascii="Arial" w:eastAsia="Times New Roman" w:hAnsi="Arial" w:cs="Arial"/>
                <w:kern w:val="0"/>
                <w:sz w:val="20"/>
                <w:szCs w:val="20"/>
                <w:lang w:eastAsia="en-IN"/>
                <w14:ligatures w14:val="none"/>
              </w:rPr>
              <w:t xml:space="preserve"> Schools: Conducted across 25 schools.</w:t>
            </w:r>
          </w:p>
          <w:p w14:paraId="62DBA030" w14:textId="3F92D274" w:rsidR="00E12304" w:rsidRPr="00EC2FA0" w:rsidRDefault="00E12304" w:rsidP="00BA7E8A">
            <w:pPr>
              <w:jc w:val="both"/>
              <w:rPr>
                <w:rFonts w:ascii="Arial" w:hAnsi="Arial" w:cs="Arial"/>
                <w:sz w:val="20"/>
                <w:szCs w:val="20"/>
              </w:rPr>
            </w:pPr>
            <w:r w:rsidRPr="00EC2FA0">
              <w:rPr>
                <w:rFonts w:ascii="Arial" w:eastAsia="Times New Roman" w:hAnsi="Arial" w:cs="Arial"/>
                <w:kern w:val="0"/>
                <w:sz w:val="20"/>
                <w:szCs w:val="20"/>
                <w:lang w:eastAsia="en-IN"/>
                <w14:ligatures w14:val="none"/>
              </w:rPr>
              <w:t>Groups: 5 studies included both control and intervention groups.</w:t>
            </w:r>
          </w:p>
        </w:tc>
        <w:tc>
          <w:tcPr>
            <w:tcW w:w="997" w:type="dxa"/>
          </w:tcPr>
          <w:p w14:paraId="1E9D2C7A" w14:textId="37B3894B" w:rsidR="00E12304" w:rsidRPr="00EC2FA0" w:rsidRDefault="00E12304" w:rsidP="0071479F">
            <w:pPr>
              <w:jc w:val="both"/>
              <w:rPr>
                <w:rFonts w:ascii="Arial" w:hAnsi="Arial" w:cs="Arial"/>
                <w:sz w:val="20"/>
                <w:szCs w:val="20"/>
              </w:rPr>
            </w:pPr>
            <w:r w:rsidRPr="00EC2FA0">
              <w:rPr>
                <w:rFonts w:ascii="Arial" w:hAnsi="Arial" w:cs="Arial"/>
                <w:sz w:val="20"/>
                <w:szCs w:val="20"/>
              </w:rPr>
              <w:t>1 month</w:t>
            </w:r>
          </w:p>
        </w:tc>
        <w:tc>
          <w:tcPr>
            <w:tcW w:w="2410" w:type="dxa"/>
          </w:tcPr>
          <w:p w14:paraId="0EC01266" w14:textId="647B8441" w:rsidR="00E12304" w:rsidRPr="00EC2FA0" w:rsidRDefault="00E12304" w:rsidP="00E877D4">
            <w:pPr>
              <w:jc w:val="both"/>
              <w:rPr>
                <w:rFonts w:ascii="Arial" w:hAnsi="Arial" w:cs="Arial"/>
                <w:sz w:val="20"/>
                <w:szCs w:val="20"/>
              </w:rPr>
            </w:pPr>
            <w:proofErr w:type="spellStart"/>
            <w:r w:rsidRPr="00EC2FA0">
              <w:rPr>
                <w:rFonts w:ascii="Arial" w:hAnsi="Arial" w:cs="Arial"/>
                <w:sz w:val="20"/>
                <w:szCs w:val="20"/>
              </w:rPr>
              <w:t>Significanly</w:t>
            </w:r>
            <w:proofErr w:type="spellEnd"/>
            <w:r w:rsidRPr="00EC2FA0">
              <w:rPr>
                <w:rFonts w:ascii="Arial" w:hAnsi="Arial" w:cs="Arial"/>
                <w:sz w:val="20"/>
                <w:szCs w:val="20"/>
              </w:rPr>
              <w:t xml:space="preserve"> higher Nutrition Knowledge, Willingness to Taste Vegetables, </w:t>
            </w:r>
            <w:r w:rsidR="00C23859" w:rsidRPr="00EC2FA0">
              <w:rPr>
                <w:rFonts w:ascii="Arial" w:hAnsi="Arial" w:cs="Arial"/>
                <w:sz w:val="20"/>
                <w:szCs w:val="20"/>
              </w:rPr>
              <w:t>a</w:t>
            </w:r>
            <w:r w:rsidRPr="00EC2FA0">
              <w:rPr>
                <w:rFonts w:ascii="Arial" w:hAnsi="Arial" w:cs="Arial"/>
                <w:sz w:val="20"/>
                <w:szCs w:val="20"/>
              </w:rPr>
              <w:t>ttitudes toward vegetables and fruit/vegetable snacks, preferences for trying new vegetables, able to identify vegetables and more willing to taste fruits and vegetables, increased intake of fruits and vegetables</w:t>
            </w:r>
          </w:p>
        </w:tc>
        <w:tc>
          <w:tcPr>
            <w:tcW w:w="2268" w:type="dxa"/>
          </w:tcPr>
          <w:p w14:paraId="798E90DE" w14:textId="655E1F6E" w:rsidR="00E12304" w:rsidRPr="00EC2FA0" w:rsidRDefault="00E12304" w:rsidP="00BA7E8A">
            <w:pPr>
              <w:jc w:val="both"/>
              <w:rPr>
                <w:rFonts w:ascii="Arial" w:hAnsi="Arial" w:cs="Arial"/>
                <w:sz w:val="20"/>
                <w:szCs w:val="20"/>
              </w:rPr>
            </w:pPr>
            <w:r w:rsidRPr="00EC2FA0">
              <w:rPr>
                <w:rFonts w:ascii="Arial" w:hAnsi="Arial" w:cs="Arial"/>
                <w:sz w:val="20"/>
                <w:szCs w:val="20"/>
              </w:rPr>
              <w:t>Quasi-experimental with non-random group assignment, including cross-sectional and longitudinal components, and lacking a control group.</w:t>
            </w:r>
          </w:p>
        </w:tc>
      </w:tr>
      <w:tr w:rsidR="006D27DF" w:rsidRPr="00EC2FA0" w14:paraId="176E5A76" w14:textId="77777777" w:rsidTr="004638D0">
        <w:tc>
          <w:tcPr>
            <w:tcW w:w="1259" w:type="dxa"/>
          </w:tcPr>
          <w:p w14:paraId="5A858D99" w14:textId="6C1C57E4" w:rsidR="006D27DF" w:rsidRPr="00EC2FA0" w:rsidRDefault="006D27DF" w:rsidP="006D27DF">
            <w:pPr>
              <w:jc w:val="both"/>
              <w:rPr>
                <w:rFonts w:ascii="Arial" w:hAnsi="Arial" w:cs="Arial"/>
                <w:sz w:val="20"/>
                <w:szCs w:val="20"/>
              </w:rPr>
            </w:pPr>
            <w:r w:rsidRPr="00EC2FA0">
              <w:rPr>
                <w:rFonts w:ascii="Arial" w:hAnsi="Arial" w:cs="Arial"/>
                <w:sz w:val="20"/>
                <w:szCs w:val="20"/>
              </w:rPr>
              <w:t xml:space="preserve">(Ohly </w:t>
            </w:r>
            <w:r w:rsidRPr="00EC2FA0">
              <w:rPr>
                <w:rFonts w:ascii="Arial" w:hAnsi="Arial" w:cs="Arial"/>
                <w:i/>
                <w:iCs/>
                <w:sz w:val="20"/>
                <w:szCs w:val="20"/>
              </w:rPr>
              <w:t>et al.,</w:t>
            </w:r>
            <w:r w:rsidRPr="00EC2FA0">
              <w:rPr>
                <w:rFonts w:ascii="Arial" w:hAnsi="Arial" w:cs="Arial"/>
                <w:sz w:val="20"/>
                <w:szCs w:val="20"/>
              </w:rPr>
              <w:t xml:space="preserve"> 2016)</w:t>
            </w:r>
          </w:p>
        </w:tc>
        <w:tc>
          <w:tcPr>
            <w:tcW w:w="2079" w:type="dxa"/>
          </w:tcPr>
          <w:p w14:paraId="5095FA34" w14:textId="1A670054" w:rsidR="006D27DF" w:rsidRPr="00EC2FA0" w:rsidRDefault="006D27DF" w:rsidP="006D27DF">
            <w:pPr>
              <w:ind w:firstLine="720"/>
              <w:jc w:val="both"/>
              <w:rPr>
                <w:rFonts w:ascii="Arial" w:hAnsi="Arial" w:cs="Arial"/>
                <w:sz w:val="20"/>
                <w:szCs w:val="20"/>
              </w:rPr>
            </w:pPr>
            <w:r w:rsidRPr="00EC2FA0">
              <w:rPr>
                <w:rFonts w:ascii="Arial" w:hAnsi="Arial" w:cs="Arial"/>
                <w:sz w:val="20"/>
                <w:szCs w:val="20"/>
              </w:rPr>
              <w:t>Age:3-13yr</w:t>
            </w:r>
          </w:p>
        </w:tc>
        <w:tc>
          <w:tcPr>
            <w:tcW w:w="997" w:type="dxa"/>
          </w:tcPr>
          <w:p w14:paraId="24AC6BA4" w14:textId="6232957A" w:rsidR="006D27DF" w:rsidRPr="00EC2FA0" w:rsidRDefault="006D27DF" w:rsidP="006D27DF">
            <w:pPr>
              <w:jc w:val="both"/>
              <w:rPr>
                <w:rFonts w:ascii="Arial" w:hAnsi="Arial" w:cs="Arial"/>
                <w:sz w:val="20"/>
                <w:szCs w:val="20"/>
              </w:rPr>
            </w:pPr>
            <w:r w:rsidRPr="00EC2FA0">
              <w:rPr>
                <w:rFonts w:ascii="Arial" w:hAnsi="Arial" w:cs="Arial"/>
                <w:sz w:val="20"/>
                <w:szCs w:val="20"/>
              </w:rPr>
              <w:t>4-18 months</w:t>
            </w:r>
          </w:p>
        </w:tc>
        <w:tc>
          <w:tcPr>
            <w:tcW w:w="2410" w:type="dxa"/>
          </w:tcPr>
          <w:p w14:paraId="243AB385" w14:textId="7D15A290" w:rsidR="006D27DF" w:rsidRPr="00EC2FA0" w:rsidRDefault="00CA54BF" w:rsidP="006D27DF">
            <w:pPr>
              <w:jc w:val="both"/>
              <w:rPr>
                <w:rFonts w:ascii="Arial" w:hAnsi="Arial" w:cs="Arial"/>
                <w:sz w:val="20"/>
                <w:szCs w:val="20"/>
              </w:rPr>
            </w:pPr>
            <w:proofErr w:type="spellStart"/>
            <w:r w:rsidRPr="00EC2FA0">
              <w:rPr>
                <w:rFonts w:ascii="Arial" w:hAnsi="Arial" w:cs="Arial"/>
                <w:sz w:val="20"/>
                <w:szCs w:val="20"/>
              </w:rPr>
              <w:t>i</w:t>
            </w:r>
            <w:proofErr w:type="spellEnd"/>
            <w:r w:rsidRPr="00EC2FA0">
              <w:rPr>
                <w:rFonts w:ascii="Arial" w:hAnsi="Arial" w:cs="Arial"/>
                <w:sz w:val="20"/>
                <w:szCs w:val="20"/>
              </w:rPr>
              <w:t>)</w:t>
            </w:r>
            <w:r w:rsidR="006D27DF" w:rsidRPr="00EC2FA0">
              <w:rPr>
                <w:rFonts w:ascii="Arial" w:hAnsi="Arial" w:cs="Arial"/>
                <w:sz w:val="20"/>
                <w:szCs w:val="20"/>
              </w:rPr>
              <w:t>significant increases in fruit and vegetable intake post-intervention</w:t>
            </w:r>
            <w:r w:rsidRPr="00EC2FA0">
              <w:rPr>
                <w:rFonts w:ascii="Arial" w:hAnsi="Arial" w:cs="Arial"/>
                <w:sz w:val="20"/>
                <w:szCs w:val="20"/>
              </w:rPr>
              <w:t xml:space="preserve"> </w:t>
            </w:r>
            <w:r w:rsidR="006D27DF" w:rsidRPr="00EC2FA0">
              <w:rPr>
                <w:rFonts w:ascii="Arial" w:hAnsi="Arial" w:cs="Arial"/>
                <w:sz w:val="20"/>
                <w:szCs w:val="20"/>
              </w:rPr>
              <w:t>(Two out of thirteen studies),</w:t>
            </w:r>
          </w:p>
          <w:p w14:paraId="06631DD5" w14:textId="7E5490CA" w:rsidR="00CA54BF" w:rsidRPr="00EC2FA0" w:rsidRDefault="00CA54BF" w:rsidP="006D27DF">
            <w:pPr>
              <w:jc w:val="both"/>
              <w:rPr>
                <w:rFonts w:ascii="Arial" w:hAnsi="Arial" w:cs="Arial"/>
                <w:sz w:val="20"/>
                <w:szCs w:val="20"/>
              </w:rPr>
            </w:pPr>
            <w:r w:rsidRPr="00EC2FA0">
              <w:rPr>
                <w:rFonts w:ascii="Arial" w:hAnsi="Arial" w:cs="Arial"/>
                <w:sz w:val="20"/>
                <w:szCs w:val="20"/>
              </w:rPr>
              <w:lastRenderedPageBreak/>
              <w:t>ii)significant changes in nutrient intake and other dietary outcomes (Four out of six studies),</w:t>
            </w:r>
          </w:p>
          <w:p w14:paraId="4A045526" w14:textId="05A18F90" w:rsidR="00CA54BF" w:rsidRPr="00EC2FA0" w:rsidRDefault="00CA54BF" w:rsidP="006D27DF">
            <w:pPr>
              <w:jc w:val="both"/>
              <w:rPr>
                <w:rFonts w:ascii="Arial" w:hAnsi="Arial" w:cs="Arial"/>
                <w:sz w:val="20"/>
                <w:szCs w:val="20"/>
              </w:rPr>
            </w:pPr>
            <w:r w:rsidRPr="00EC2FA0">
              <w:rPr>
                <w:rFonts w:ascii="Arial" w:hAnsi="Arial" w:cs="Arial"/>
                <w:sz w:val="20"/>
                <w:szCs w:val="20"/>
              </w:rPr>
              <w:t>iii) increased preference for fruits and vegetables among participants (Eight out of thirteen studies),</w:t>
            </w:r>
          </w:p>
          <w:p w14:paraId="478BA6B7" w14:textId="4D124040" w:rsidR="00CA54BF" w:rsidRPr="00EC2FA0" w:rsidRDefault="00CA54BF" w:rsidP="006D27DF">
            <w:pPr>
              <w:jc w:val="both"/>
              <w:rPr>
                <w:rFonts w:ascii="Arial" w:hAnsi="Arial" w:cs="Arial"/>
                <w:sz w:val="20"/>
                <w:szCs w:val="20"/>
              </w:rPr>
            </w:pPr>
            <w:r w:rsidRPr="00EC2FA0">
              <w:rPr>
                <w:rFonts w:ascii="Arial" w:hAnsi="Arial" w:cs="Arial"/>
                <w:sz w:val="20"/>
                <w:szCs w:val="20"/>
              </w:rPr>
              <w:t xml:space="preserve">iv)improved knowledge and attitudes towards </w:t>
            </w:r>
            <w:proofErr w:type="gramStart"/>
            <w:r w:rsidRPr="00EC2FA0">
              <w:rPr>
                <w:rFonts w:ascii="Arial" w:hAnsi="Arial" w:cs="Arial"/>
                <w:sz w:val="20"/>
                <w:szCs w:val="20"/>
              </w:rPr>
              <w:t>food(</w:t>
            </w:r>
            <w:proofErr w:type="gramEnd"/>
            <w:r w:rsidRPr="00EC2FA0">
              <w:rPr>
                <w:rFonts w:ascii="Arial" w:hAnsi="Arial" w:cs="Arial"/>
                <w:sz w:val="20"/>
                <w:szCs w:val="20"/>
              </w:rPr>
              <w:t>Seven out of ten studies)</w:t>
            </w:r>
          </w:p>
          <w:p w14:paraId="05AA48C0" w14:textId="08C694F1" w:rsidR="006D27DF" w:rsidRPr="00EC2FA0" w:rsidRDefault="006D27DF" w:rsidP="006D27DF">
            <w:pPr>
              <w:jc w:val="both"/>
              <w:rPr>
                <w:rFonts w:ascii="Arial" w:hAnsi="Arial" w:cs="Arial"/>
                <w:sz w:val="20"/>
                <w:szCs w:val="20"/>
              </w:rPr>
            </w:pPr>
          </w:p>
        </w:tc>
        <w:tc>
          <w:tcPr>
            <w:tcW w:w="2268" w:type="dxa"/>
          </w:tcPr>
          <w:p w14:paraId="70B59CE1" w14:textId="0C747BAF" w:rsidR="006D27DF" w:rsidRPr="00EC2FA0" w:rsidRDefault="00CA54BF" w:rsidP="006D27DF">
            <w:pPr>
              <w:jc w:val="both"/>
              <w:rPr>
                <w:rFonts w:ascii="Arial" w:hAnsi="Arial" w:cs="Arial"/>
                <w:sz w:val="20"/>
                <w:szCs w:val="20"/>
              </w:rPr>
            </w:pPr>
            <w:r w:rsidRPr="00EC2FA0">
              <w:rPr>
                <w:rFonts w:ascii="Arial" w:hAnsi="Arial" w:cs="Arial"/>
                <w:sz w:val="20"/>
                <w:szCs w:val="20"/>
              </w:rPr>
              <w:lastRenderedPageBreak/>
              <w:t>21 quantitative studies; 16 qualitative studies; 3 mixed methods studies</w:t>
            </w:r>
          </w:p>
        </w:tc>
      </w:tr>
      <w:tr w:rsidR="006D27DF" w:rsidRPr="00EC2FA0" w14:paraId="34B83B24" w14:textId="77777777" w:rsidTr="004638D0">
        <w:tc>
          <w:tcPr>
            <w:tcW w:w="1259" w:type="dxa"/>
          </w:tcPr>
          <w:p w14:paraId="7F912DBD" w14:textId="43A08B46" w:rsidR="006D27DF" w:rsidRPr="00EC2FA0" w:rsidRDefault="00DC6141" w:rsidP="006D27DF">
            <w:pPr>
              <w:jc w:val="both"/>
              <w:rPr>
                <w:rFonts w:ascii="Arial" w:hAnsi="Arial" w:cs="Arial"/>
                <w:sz w:val="20"/>
                <w:szCs w:val="20"/>
              </w:rPr>
            </w:pPr>
            <w:r w:rsidRPr="00EC2FA0">
              <w:rPr>
                <w:rFonts w:ascii="Arial" w:hAnsi="Arial" w:cs="Arial"/>
                <w:sz w:val="20"/>
                <w:szCs w:val="20"/>
              </w:rPr>
              <w:t xml:space="preserve">(Somerville </w:t>
            </w:r>
            <w:r w:rsidRPr="00EC2FA0">
              <w:rPr>
                <w:rFonts w:ascii="Arial" w:hAnsi="Arial" w:cs="Arial"/>
                <w:i/>
                <w:iCs/>
                <w:sz w:val="20"/>
                <w:szCs w:val="20"/>
              </w:rPr>
              <w:t>et al.,</w:t>
            </w:r>
            <w:r w:rsidRPr="00EC2FA0">
              <w:rPr>
                <w:rFonts w:ascii="Arial" w:hAnsi="Arial" w:cs="Arial"/>
                <w:sz w:val="20"/>
                <w:szCs w:val="20"/>
              </w:rPr>
              <w:t>2012)</w:t>
            </w:r>
          </w:p>
        </w:tc>
        <w:tc>
          <w:tcPr>
            <w:tcW w:w="2079" w:type="dxa"/>
          </w:tcPr>
          <w:p w14:paraId="7F94B9CC" w14:textId="4A5B151E" w:rsidR="006D27DF" w:rsidRPr="00EC2FA0" w:rsidRDefault="00DC6141" w:rsidP="00DC6141">
            <w:pPr>
              <w:jc w:val="center"/>
              <w:rPr>
                <w:rFonts w:ascii="Arial" w:hAnsi="Arial" w:cs="Arial"/>
                <w:sz w:val="20"/>
                <w:szCs w:val="20"/>
              </w:rPr>
            </w:pPr>
            <w:r w:rsidRPr="00EC2FA0">
              <w:rPr>
                <w:rFonts w:ascii="Arial" w:hAnsi="Arial" w:cs="Arial"/>
                <w:sz w:val="20"/>
                <w:szCs w:val="20"/>
              </w:rPr>
              <w:t>6-to-</w:t>
            </w:r>
            <w:proofErr w:type="gramStart"/>
            <w:r w:rsidRPr="00EC2FA0">
              <w:rPr>
                <w:rFonts w:ascii="Arial" w:hAnsi="Arial" w:cs="Arial"/>
                <w:sz w:val="20"/>
                <w:szCs w:val="20"/>
              </w:rPr>
              <w:t>12-year old</w:t>
            </w:r>
            <w:proofErr w:type="gramEnd"/>
            <w:r w:rsidRPr="00EC2FA0">
              <w:rPr>
                <w:rFonts w:ascii="Arial" w:hAnsi="Arial" w:cs="Arial"/>
                <w:sz w:val="20"/>
                <w:szCs w:val="20"/>
              </w:rPr>
              <w:t xml:space="preserve"> children</w:t>
            </w:r>
          </w:p>
        </w:tc>
        <w:tc>
          <w:tcPr>
            <w:tcW w:w="997" w:type="dxa"/>
          </w:tcPr>
          <w:p w14:paraId="07A8B6FB" w14:textId="21F8850C" w:rsidR="006D27DF" w:rsidRPr="00EC2FA0" w:rsidRDefault="00DC6141" w:rsidP="006D27DF">
            <w:pPr>
              <w:jc w:val="both"/>
              <w:rPr>
                <w:rFonts w:ascii="Arial" w:hAnsi="Arial" w:cs="Arial"/>
                <w:sz w:val="20"/>
                <w:szCs w:val="20"/>
              </w:rPr>
            </w:pPr>
            <w:r w:rsidRPr="00EC2FA0">
              <w:rPr>
                <w:rFonts w:ascii="Arial" w:hAnsi="Arial" w:cs="Arial"/>
                <w:sz w:val="20"/>
                <w:szCs w:val="20"/>
              </w:rPr>
              <w:t>4-month</w:t>
            </w:r>
          </w:p>
        </w:tc>
        <w:tc>
          <w:tcPr>
            <w:tcW w:w="2410" w:type="dxa"/>
          </w:tcPr>
          <w:p w14:paraId="6E807600" w14:textId="13CB15BA" w:rsidR="006D27DF" w:rsidRPr="00EC2FA0" w:rsidRDefault="00DC6141" w:rsidP="006D27DF">
            <w:pPr>
              <w:jc w:val="both"/>
              <w:rPr>
                <w:rFonts w:ascii="Arial" w:hAnsi="Arial" w:cs="Arial"/>
                <w:sz w:val="20"/>
                <w:szCs w:val="20"/>
              </w:rPr>
            </w:pPr>
            <w:r w:rsidRPr="00EC2FA0">
              <w:rPr>
                <w:rFonts w:ascii="Arial" w:hAnsi="Arial" w:cs="Arial"/>
                <w:sz w:val="20"/>
                <w:szCs w:val="20"/>
              </w:rPr>
              <w:t>Significant results were found in fruit and vegetable servings consumed daily (p&lt;0.05)</w:t>
            </w:r>
          </w:p>
        </w:tc>
        <w:tc>
          <w:tcPr>
            <w:tcW w:w="2268" w:type="dxa"/>
          </w:tcPr>
          <w:p w14:paraId="513BCE64" w14:textId="3CC38456" w:rsidR="006D27DF" w:rsidRPr="00EC2FA0" w:rsidRDefault="00D15C5B" w:rsidP="006D27DF">
            <w:pPr>
              <w:jc w:val="both"/>
              <w:rPr>
                <w:rFonts w:ascii="Arial" w:hAnsi="Arial" w:cs="Arial"/>
                <w:sz w:val="20"/>
                <w:szCs w:val="20"/>
              </w:rPr>
            </w:pPr>
            <w:r w:rsidRPr="00EC2FA0">
              <w:rPr>
                <w:rFonts w:ascii="Arial" w:hAnsi="Arial" w:cs="Arial"/>
                <w:sz w:val="20"/>
                <w:szCs w:val="20"/>
              </w:rPr>
              <w:t>P</w:t>
            </w:r>
            <w:r w:rsidR="00DC6141" w:rsidRPr="00EC2FA0">
              <w:rPr>
                <w:rFonts w:ascii="Arial" w:hAnsi="Arial" w:cs="Arial"/>
                <w:sz w:val="20"/>
                <w:szCs w:val="20"/>
              </w:rPr>
              <w:t>re and post-test validated survey assessed</w:t>
            </w:r>
          </w:p>
        </w:tc>
      </w:tr>
      <w:tr w:rsidR="00DC6141" w:rsidRPr="00EC2FA0" w14:paraId="11C0DBBA" w14:textId="77777777" w:rsidTr="004638D0">
        <w:tc>
          <w:tcPr>
            <w:tcW w:w="1259" w:type="dxa"/>
          </w:tcPr>
          <w:p w14:paraId="1AC19BA3" w14:textId="4305D52E" w:rsidR="00DC6141" w:rsidRPr="00EC2FA0" w:rsidRDefault="00DC6141" w:rsidP="00DC6141">
            <w:pPr>
              <w:jc w:val="both"/>
              <w:rPr>
                <w:rFonts w:ascii="Arial" w:hAnsi="Arial" w:cs="Arial"/>
                <w:sz w:val="20"/>
                <w:szCs w:val="20"/>
              </w:rPr>
            </w:pPr>
            <w:r w:rsidRPr="00EC2FA0">
              <w:rPr>
                <w:rFonts w:ascii="Arial" w:hAnsi="Arial" w:cs="Arial"/>
                <w:sz w:val="20"/>
                <w:szCs w:val="20"/>
              </w:rPr>
              <w:t xml:space="preserve">(Chan </w:t>
            </w:r>
            <w:r w:rsidRPr="00EC2FA0">
              <w:rPr>
                <w:rFonts w:ascii="Arial" w:hAnsi="Arial" w:cs="Arial"/>
                <w:i/>
                <w:iCs/>
                <w:sz w:val="20"/>
                <w:szCs w:val="20"/>
              </w:rPr>
              <w:t>et al.,</w:t>
            </w:r>
            <w:r w:rsidRPr="00EC2FA0">
              <w:rPr>
                <w:rFonts w:ascii="Arial" w:hAnsi="Arial" w:cs="Arial"/>
                <w:sz w:val="20"/>
                <w:szCs w:val="20"/>
              </w:rPr>
              <w:t>2022)</w:t>
            </w:r>
          </w:p>
        </w:tc>
        <w:tc>
          <w:tcPr>
            <w:tcW w:w="2079" w:type="dxa"/>
          </w:tcPr>
          <w:p w14:paraId="107C819A" w14:textId="5338DF12" w:rsidR="00DC6141" w:rsidRPr="00EC2FA0" w:rsidRDefault="00DC6141" w:rsidP="00DC6141">
            <w:pPr>
              <w:ind w:firstLine="720"/>
              <w:jc w:val="both"/>
              <w:rPr>
                <w:rFonts w:ascii="Arial" w:hAnsi="Arial" w:cs="Arial"/>
                <w:sz w:val="20"/>
                <w:szCs w:val="20"/>
              </w:rPr>
            </w:pPr>
            <w:r w:rsidRPr="00EC2FA0">
              <w:rPr>
                <w:rFonts w:ascii="Arial" w:hAnsi="Arial" w:cs="Arial"/>
                <w:sz w:val="20"/>
                <w:szCs w:val="20"/>
              </w:rPr>
              <w:t>726 students from 341 schools and 8 nurseries</w:t>
            </w:r>
          </w:p>
        </w:tc>
        <w:tc>
          <w:tcPr>
            <w:tcW w:w="997" w:type="dxa"/>
          </w:tcPr>
          <w:p w14:paraId="04E49BF9" w14:textId="51406570" w:rsidR="00DC6141" w:rsidRPr="00EC2FA0" w:rsidRDefault="00DC6141" w:rsidP="00DC6141">
            <w:pPr>
              <w:jc w:val="both"/>
              <w:rPr>
                <w:rFonts w:ascii="Arial" w:hAnsi="Arial" w:cs="Arial"/>
                <w:sz w:val="20"/>
                <w:szCs w:val="20"/>
              </w:rPr>
            </w:pPr>
            <w:r w:rsidRPr="00EC2FA0">
              <w:rPr>
                <w:rFonts w:ascii="Arial" w:hAnsi="Arial" w:cs="Arial"/>
                <w:sz w:val="20"/>
                <w:szCs w:val="20"/>
              </w:rPr>
              <w:t>from 6weeks to 4 years</w:t>
            </w:r>
          </w:p>
          <w:p w14:paraId="1384AC11" w14:textId="77777777" w:rsidR="00DC6141" w:rsidRPr="00EC2FA0" w:rsidRDefault="00DC6141" w:rsidP="00DC6141">
            <w:pPr>
              <w:rPr>
                <w:rFonts w:ascii="Arial" w:hAnsi="Arial" w:cs="Arial"/>
                <w:sz w:val="20"/>
                <w:szCs w:val="20"/>
              </w:rPr>
            </w:pPr>
          </w:p>
        </w:tc>
        <w:tc>
          <w:tcPr>
            <w:tcW w:w="2410" w:type="dxa"/>
          </w:tcPr>
          <w:p w14:paraId="63C9C7B7" w14:textId="6F89F579" w:rsidR="00DC6141" w:rsidRPr="00EC2FA0" w:rsidRDefault="00DC6141" w:rsidP="00DC6141">
            <w:pPr>
              <w:rPr>
                <w:rFonts w:ascii="Arial" w:hAnsi="Arial" w:cs="Arial"/>
                <w:sz w:val="20"/>
                <w:szCs w:val="20"/>
              </w:rPr>
            </w:pPr>
            <w:proofErr w:type="spellStart"/>
            <w:r w:rsidRPr="00EC2FA0">
              <w:rPr>
                <w:rFonts w:ascii="Arial" w:hAnsi="Arial" w:cs="Arial"/>
                <w:sz w:val="20"/>
                <w:szCs w:val="20"/>
              </w:rPr>
              <w:t>benefcial</w:t>
            </w:r>
            <w:proofErr w:type="spellEnd"/>
            <w:r w:rsidRPr="00EC2FA0">
              <w:rPr>
                <w:rFonts w:ascii="Arial" w:hAnsi="Arial" w:cs="Arial"/>
                <w:sz w:val="20"/>
                <w:szCs w:val="20"/>
              </w:rPr>
              <w:t xml:space="preserve"> </w:t>
            </w:r>
            <w:proofErr w:type="spellStart"/>
            <w:r w:rsidRPr="00EC2FA0">
              <w:rPr>
                <w:rFonts w:ascii="Arial" w:hAnsi="Arial" w:cs="Arial"/>
                <w:sz w:val="20"/>
                <w:szCs w:val="20"/>
              </w:rPr>
              <w:t>efects</w:t>
            </w:r>
            <w:proofErr w:type="spellEnd"/>
            <w:r w:rsidRPr="00EC2FA0">
              <w:rPr>
                <w:rFonts w:ascii="Arial" w:hAnsi="Arial" w:cs="Arial"/>
                <w:sz w:val="20"/>
                <w:szCs w:val="20"/>
              </w:rPr>
              <w:t xml:space="preserve"> on children’s nutritional knowledge, their attitudes and acceptability towards fruits and vegetables and children’s dietary practices including the actual F&amp;V consumption and dietary diversity</w:t>
            </w:r>
          </w:p>
        </w:tc>
        <w:tc>
          <w:tcPr>
            <w:tcW w:w="2268" w:type="dxa"/>
          </w:tcPr>
          <w:p w14:paraId="4EFF9285" w14:textId="4D4A4616" w:rsidR="00DC6141" w:rsidRPr="00EC2FA0" w:rsidRDefault="00DC6141" w:rsidP="00DC6141">
            <w:pPr>
              <w:jc w:val="both"/>
              <w:rPr>
                <w:rFonts w:ascii="Arial" w:hAnsi="Arial" w:cs="Arial"/>
                <w:sz w:val="20"/>
                <w:szCs w:val="20"/>
              </w:rPr>
            </w:pPr>
            <w:r w:rsidRPr="00EC2FA0">
              <w:rPr>
                <w:rFonts w:ascii="Arial" w:hAnsi="Arial" w:cs="Arial"/>
                <w:sz w:val="20"/>
                <w:szCs w:val="20"/>
              </w:rPr>
              <w:t>Randomised, non-randomised controlled and pre-post intervention studies</w:t>
            </w:r>
          </w:p>
        </w:tc>
      </w:tr>
      <w:tr w:rsidR="00DC6141" w:rsidRPr="00EC2FA0" w14:paraId="1E80EFF6" w14:textId="77777777" w:rsidTr="004638D0">
        <w:tc>
          <w:tcPr>
            <w:tcW w:w="1259" w:type="dxa"/>
          </w:tcPr>
          <w:p w14:paraId="2EBA35E7" w14:textId="3412D49E" w:rsidR="00DC6141" w:rsidRPr="00EC2FA0" w:rsidRDefault="00DC6141" w:rsidP="00DC6141">
            <w:pPr>
              <w:jc w:val="both"/>
              <w:rPr>
                <w:rFonts w:ascii="Arial" w:hAnsi="Arial" w:cs="Arial"/>
                <w:sz w:val="20"/>
                <w:szCs w:val="20"/>
              </w:rPr>
            </w:pPr>
            <w:r w:rsidRPr="00EC2FA0">
              <w:rPr>
                <w:rFonts w:ascii="Arial" w:hAnsi="Arial" w:cs="Arial"/>
                <w:sz w:val="20"/>
                <w:szCs w:val="20"/>
              </w:rPr>
              <w:t xml:space="preserve">(McCloskey </w:t>
            </w:r>
            <w:r w:rsidRPr="00EC2FA0">
              <w:rPr>
                <w:rFonts w:ascii="Arial" w:hAnsi="Arial" w:cs="Arial"/>
                <w:i/>
                <w:iCs/>
                <w:sz w:val="20"/>
                <w:szCs w:val="20"/>
              </w:rPr>
              <w:t>et al.,</w:t>
            </w:r>
            <w:r w:rsidRPr="00EC2FA0">
              <w:rPr>
                <w:rFonts w:ascii="Arial" w:hAnsi="Arial" w:cs="Arial"/>
                <w:sz w:val="20"/>
                <w:szCs w:val="20"/>
              </w:rPr>
              <w:t xml:space="preserve"> 2020)</w:t>
            </w:r>
          </w:p>
        </w:tc>
        <w:tc>
          <w:tcPr>
            <w:tcW w:w="2079" w:type="dxa"/>
          </w:tcPr>
          <w:p w14:paraId="38B2B5C3" w14:textId="12C66A52" w:rsidR="00DC6141" w:rsidRPr="00EC2FA0" w:rsidRDefault="00DC6141" w:rsidP="00DC6141">
            <w:pPr>
              <w:ind w:firstLine="720"/>
              <w:jc w:val="both"/>
              <w:rPr>
                <w:rFonts w:ascii="Arial" w:hAnsi="Arial" w:cs="Arial"/>
                <w:sz w:val="20"/>
                <w:szCs w:val="20"/>
              </w:rPr>
            </w:pPr>
            <w:r w:rsidRPr="00EC2FA0">
              <w:rPr>
                <w:rFonts w:ascii="Arial" w:hAnsi="Arial" w:cs="Arial"/>
                <w:sz w:val="20"/>
                <w:szCs w:val="20"/>
              </w:rPr>
              <w:t>children</w:t>
            </w:r>
          </w:p>
        </w:tc>
        <w:tc>
          <w:tcPr>
            <w:tcW w:w="997" w:type="dxa"/>
          </w:tcPr>
          <w:p w14:paraId="3AF3C152" w14:textId="77777777" w:rsidR="00DC6141" w:rsidRPr="00EC2FA0" w:rsidRDefault="00DC6141" w:rsidP="00DC6141">
            <w:pPr>
              <w:jc w:val="both"/>
              <w:rPr>
                <w:rFonts w:ascii="Arial" w:hAnsi="Arial" w:cs="Arial"/>
                <w:sz w:val="20"/>
                <w:szCs w:val="20"/>
              </w:rPr>
            </w:pPr>
          </w:p>
        </w:tc>
        <w:tc>
          <w:tcPr>
            <w:tcW w:w="2410" w:type="dxa"/>
          </w:tcPr>
          <w:p w14:paraId="344C4B92" w14:textId="71700481" w:rsidR="00DC6141" w:rsidRPr="00EC2FA0" w:rsidRDefault="00DC6141" w:rsidP="00DC6141">
            <w:pPr>
              <w:jc w:val="both"/>
              <w:rPr>
                <w:rFonts w:ascii="Arial" w:hAnsi="Arial" w:cs="Arial"/>
                <w:sz w:val="20"/>
                <w:szCs w:val="20"/>
              </w:rPr>
            </w:pPr>
            <w:r w:rsidRPr="00EC2FA0">
              <w:rPr>
                <w:rFonts w:ascii="Arial" w:hAnsi="Arial" w:cs="Arial"/>
                <w:sz w:val="20"/>
                <w:szCs w:val="20"/>
              </w:rPr>
              <w:t>-build children’s familiarity with new foods and increase their likelihood of trying new foods</w:t>
            </w:r>
          </w:p>
        </w:tc>
        <w:tc>
          <w:tcPr>
            <w:tcW w:w="2268" w:type="dxa"/>
          </w:tcPr>
          <w:p w14:paraId="6DFBDF47" w14:textId="080D046C" w:rsidR="00DC6141" w:rsidRPr="00EC2FA0" w:rsidRDefault="00DC6141" w:rsidP="00DC6141">
            <w:pPr>
              <w:ind w:firstLine="720"/>
              <w:jc w:val="both"/>
              <w:rPr>
                <w:rFonts w:ascii="Arial" w:hAnsi="Arial" w:cs="Arial"/>
                <w:sz w:val="20"/>
                <w:szCs w:val="20"/>
              </w:rPr>
            </w:pPr>
            <w:r w:rsidRPr="00EC2FA0">
              <w:rPr>
                <w:rFonts w:ascii="Arial" w:hAnsi="Arial" w:cs="Arial"/>
                <w:sz w:val="20"/>
                <w:szCs w:val="20"/>
              </w:rPr>
              <w:t xml:space="preserve">Descriptive </w:t>
            </w:r>
            <w:proofErr w:type="gramStart"/>
            <w:r w:rsidRPr="00EC2FA0">
              <w:rPr>
                <w:rFonts w:ascii="Arial" w:hAnsi="Arial" w:cs="Arial"/>
                <w:sz w:val="20"/>
                <w:szCs w:val="20"/>
              </w:rPr>
              <w:t>Study(</w:t>
            </w:r>
            <w:proofErr w:type="gramEnd"/>
            <w:r w:rsidRPr="00EC2FA0">
              <w:rPr>
                <w:rFonts w:ascii="Arial" w:hAnsi="Arial" w:cs="Arial"/>
                <w:sz w:val="20"/>
                <w:szCs w:val="20"/>
              </w:rPr>
              <w:t>250 surveys)</w:t>
            </w:r>
          </w:p>
        </w:tc>
      </w:tr>
      <w:tr w:rsidR="00DC6141" w:rsidRPr="00EC2FA0" w14:paraId="0BCADEF9" w14:textId="77777777" w:rsidTr="004638D0">
        <w:tc>
          <w:tcPr>
            <w:tcW w:w="1259" w:type="dxa"/>
          </w:tcPr>
          <w:p w14:paraId="53826A70" w14:textId="02EE9BF1" w:rsidR="00DC6141" w:rsidRPr="00EC2FA0" w:rsidRDefault="00DC6141" w:rsidP="00DC6141">
            <w:pPr>
              <w:jc w:val="both"/>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Benkowitz</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 xml:space="preserve"> 2019)</w:t>
            </w:r>
          </w:p>
        </w:tc>
        <w:tc>
          <w:tcPr>
            <w:tcW w:w="2079" w:type="dxa"/>
          </w:tcPr>
          <w:p w14:paraId="4D3A1BC2" w14:textId="62EEBE9A" w:rsidR="00DC6141" w:rsidRPr="00EC2FA0" w:rsidRDefault="00DC6141" w:rsidP="00DC6141">
            <w:pPr>
              <w:ind w:firstLine="720"/>
              <w:jc w:val="both"/>
              <w:rPr>
                <w:rFonts w:ascii="Arial" w:hAnsi="Arial" w:cs="Arial"/>
                <w:sz w:val="20"/>
                <w:szCs w:val="20"/>
              </w:rPr>
            </w:pPr>
            <w:r w:rsidRPr="00EC2FA0">
              <w:rPr>
                <w:rFonts w:ascii="Arial" w:hAnsi="Arial" w:cs="Arial"/>
                <w:sz w:val="20"/>
                <w:szCs w:val="20"/>
              </w:rPr>
              <w:t xml:space="preserve">119 </w:t>
            </w:r>
            <w:proofErr w:type="gramStart"/>
            <w:r w:rsidRPr="00EC2FA0">
              <w:rPr>
                <w:rFonts w:ascii="Arial" w:hAnsi="Arial" w:cs="Arial"/>
                <w:sz w:val="20"/>
                <w:szCs w:val="20"/>
              </w:rPr>
              <w:t>children(</w:t>
            </w:r>
            <w:proofErr w:type="gramEnd"/>
            <w:r w:rsidRPr="00EC2FA0">
              <w:rPr>
                <w:rFonts w:ascii="Arial" w:hAnsi="Arial" w:cs="Arial"/>
                <w:sz w:val="20"/>
                <w:szCs w:val="20"/>
              </w:rPr>
              <w:t>between six and twelve years old)</w:t>
            </w:r>
          </w:p>
        </w:tc>
        <w:tc>
          <w:tcPr>
            <w:tcW w:w="997" w:type="dxa"/>
          </w:tcPr>
          <w:p w14:paraId="4947CFD8" w14:textId="77777777" w:rsidR="00DC6141" w:rsidRPr="00EC2FA0" w:rsidRDefault="00DC6141" w:rsidP="00DC6141">
            <w:pPr>
              <w:jc w:val="both"/>
              <w:rPr>
                <w:rFonts w:ascii="Arial" w:hAnsi="Arial" w:cs="Arial"/>
                <w:sz w:val="20"/>
                <w:szCs w:val="20"/>
              </w:rPr>
            </w:pPr>
          </w:p>
        </w:tc>
        <w:tc>
          <w:tcPr>
            <w:tcW w:w="2410" w:type="dxa"/>
          </w:tcPr>
          <w:p w14:paraId="62FD80A9" w14:textId="55C894B8" w:rsidR="00DC6141" w:rsidRPr="00EC2FA0" w:rsidRDefault="004E4532" w:rsidP="00DC6141">
            <w:pPr>
              <w:jc w:val="both"/>
              <w:rPr>
                <w:rFonts w:ascii="Arial" w:hAnsi="Arial" w:cs="Arial"/>
                <w:sz w:val="20"/>
                <w:szCs w:val="20"/>
              </w:rPr>
            </w:pPr>
            <w:r w:rsidRPr="00EC2FA0">
              <w:rPr>
                <w:rFonts w:ascii="Arial" w:hAnsi="Arial" w:cs="Arial"/>
                <w:sz w:val="20"/>
                <w:szCs w:val="20"/>
              </w:rPr>
              <w:t>Improved ability to identify vegetables; likelihood of vegetables</w:t>
            </w:r>
          </w:p>
        </w:tc>
        <w:tc>
          <w:tcPr>
            <w:tcW w:w="2268" w:type="dxa"/>
          </w:tcPr>
          <w:p w14:paraId="323DC284" w14:textId="77777777" w:rsidR="00DC6141" w:rsidRPr="00EC2FA0" w:rsidRDefault="00DC6141" w:rsidP="00DC6141">
            <w:pPr>
              <w:jc w:val="both"/>
              <w:rPr>
                <w:rFonts w:ascii="Arial" w:hAnsi="Arial" w:cs="Arial"/>
                <w:sz w:val="20"/>
                <w:szCs w:val="20"/>
              </w:rPr>
            </w:pPr>
          </w:p>
        </w:tc>
      </w:tr>
      <w:tr w:rsidR="004E4532" w:rsidRPr="00EC2FA0" w14:paraId="44123A64" w14:textId="77777777" w:rsidTr="004638D0">
        <w:tc>
          <w:tcPr>
            <w:tcW w:w="1259" w:type="dxa"/>
          </w:tcPr>
          <w:p w14:paraId="00D8BD91" w14:textId="07B57A5F" w:rsidR="004E4532" w:rsidRPr="00EC2FA0" w:rsidRDefault="004E4532" w:rsidP="004E4532">
            <w:pPr>
              <w:jc w:val="both"/>
              <w:rPr>
                <w:rFonts w:ascii="Arial" w:hAnsi="Arial" w:cs="Arial"/>
                <w:sz w:val="20"/>
                <w:szCs w:val="20"/>
              </w:rPr>
            </w:pPr>
            <w:r w:rsidRPr="00EC2FA0">
              <w:rPr>
                <w:rFonts w:ascii="Arial" w:hAnsi="Arial" w:cs="Arial"/>
                <w:sz w:val="20"/>
                <w:szCs w:val="20"/>
              </w:rPr>
              <w:t>(Kim and Park,2020)</w:t>
            </w:r>
          </w:p>
        </w:tc>
        <w:tc>
          <w:tcPr>
            <w:tcW w:w="2079" w:type="dxa"/>
          </w:tcPr>
          <w:p w14:paraId="15ED259E" w14:textId="108DFCF2" w:rsidR="004E4532" w:rsidRPr="00EC2FA0" w:rsidRDefault="004E4532" w:rsidP="004E4532">
            <w:pPr>
              <w:ind w:firstLine="720"/>
              <w:jc w:val="both"/>
              <w:rPr>
                <w:rFonts w:ascii="Arial" w:hAnsi="Arial" w:cs="Arial"/>
                <w:sz w:val="20"/>
                <w:szCs w:val="20"/>
              </w:rPr>
            </w:pPr>
            <w:r w:rsidRPr="00EC2FA0">
              <w:rPr>
                <w:rFonts w:ascii="Arial" w:hAnsi="Arial" w:cs="Arial"/>
                <w:sz w:val="20"/>
                <w:szCs w:val="20"/>
              </w:rPr>
              <w:t>202 elementary school students (average age: 11.6 ± 1.5 years)</w:t>
            </w:r>
          </w:p>
        </w:tc>
        <w:tc>
          <w:tcPr>
            <w:tcW w:w="997" w:type="dxa"/>
          </w:tcPr>
          <w:p w14:paraId="45C8CBE2" w14:textId="4429BBA0" w:rsidR="004E4532" w:rsidRPr="00EC2FA0" w:rsidRDefault="004E4532" w:rsidP="004E4532">
            <w:pPr>
              <w:jc w:val="both"/>
              <w:rPr>
                <w:rFonts w:ascii="Arial" w:hAnsi="Arial" w:cs="Arial"/>
                <w:sz w:val="20"/>
                <w:szCs w:val="20"/>
              </w:rPr>
            </w:pPr>
            <w:r w:rsidRPr="00EC2FA0">
              <w:rPr>
                <w:rFonts w:ascii="Arial" w:hAnsi="Arial" w:cs="Arial"/>
                <w:sz w:val="20"/>
                <w:szCs w:val="20"/>
              </w:rPr>
              <w:t>12 weeks</w:t>
            </w:r>
          </w:p>
        </w:tc>
        <w:tc>
          <w:tcPr>
            <w:tcW w:w="2410" w:type="dxa"/>
          </w:tcPr>
          <w:p w14:paraId="434265E5" w14:textId="050916DD" w:rsidR="004E4532" w:rsidRPr="00EC2FA0" w:rsidRDefault="004E4532" w:rsidP="004E4532">
            <w:pPr>
              <w:jc w:val="both"/>
              <w:rPr>
                <w:rFonts w:ascii="Arial" w:hAnsi="Arial" w:cs="Arial"/>
                <w:sz w:val="20"/>
                <w:szCs w:val="20"/>
              </w:rPr>
            </w:pPr>
            <w:r w:rsidRPr="00EC2FA0">
              <w:rPr>
                <w:rFonts w:ascii="Arial" w:hAnsi="Arial" w:cs="Arial"/>
                <w:sz w:val="20"/>
                <w:szCs w:val="20"/>
              </w:rPr>
              <w:t>, dietary self-efficacy, outcome expectancies, gardening knowledge, nutrition knowledge, vegetable preference, and vegetable consumption were significantly increased, and food neophobia was significantly decreased</w:t>
            </w:r>
          </w:p>
        </w:tc>
        <w:tc>
          <w:tcPr>
            <w:tcW w:w="2268" w:type="dxa"/>
          </w:tcPr>
          <w:p w14:paraId="654BDA9B" w14:textId="04A8AD7D" w:rsidR="004E4532" w:rsidRPr="00EC2FA0" w:rsidRDefault="004E4532" w:rsidP="004E4532">
            <w:pPr>
              <w:jc w:val="center"/>
              <w:rPr>
                <w:rFonts w:ascii="Arial" w:hAnsi="Arial" w:cs="Arial"/>
                <w:sz w:val="20"/>
                <w:szCs w:val="20"/>
              </w:rPr>
            </w:pPr>
            <w:r w:rsidRPr="00EC2FA0">
              <w:rPr>
                <w:rFonts w:ascii="Arial" w:hAnsi="Arial" w:cs="Arial"/>
                <w:sz w:val="20"/>
                <w:szCs w:val="20"/>
              </w:rPr>
              <w:t>pre-post-test experimental design was employed</w:t>
            </w:r>
          </w:p>
        </w:tc>
      </w:tr>
      <w:tr w:rsidR="004638D0" w:rsidRPr="00EC2FA0" w14:paraId="1B803ED8" w14:textId="77777777" w:rsidTr="004638D0">
        <w:tc>
          <w:tcPr>
            <w:tcW w:w="1259" w:type="dxa"/>
          </w:tcPr>
          <w:p w14:paraId="57E6600C" w14:textId="1E801E36" w:rsidR="004638D0" w:rsidRPr="00EC2FA0" w:rsidRDefault="004638D0" w:rsidP="004638D0">
            <w:pPr>
              <w:jc w:val="both"/>
              <w:rPr>
                <w:rFonts w:ascii="Arial" w:hAnsi="Arial" w:cs="Arial"/>
                <w:sz w:val="20"/>
                <w:szCs w:val="20"/>
              </w:rPr>
            </w:pPr>
            <w:r w:rsidRPr="00EC2FA0">
              <w:rPr>
                <w:rFonts w:ascii="Arial" w:hAnsi="Arial" w:cs="Arial"/>
                <w:sz w:val="20"/>
                <w:szCs w:val="20"/>
              </w:rPr>
              <w:lastRenderedPageBreak/>
              <w:t xml:space="preserve">(Davis </w:t>
            </w:r>
            <w:r w:rsidRPr="00EC2FA0">
              <w:rPr>
                <w:rFonts w:ascii="Arial" w:hAnsi="Arial" w:cs="Arial"/>
                <w:i/>
                <w:iCs/>
                <w:sz w:val="20"/>
                <w:szCs w:val="20"/>
              </w:rPr>
              <w:t>et al.,</w:t>
            </w:r>
            <w:r w:rsidRPr="00EC2FA0">
              <w:rPr>
                <w:rFonts w:ascii="Arial" w:hAnsi="Arial" w:cs="Arial"/>
                <w:sz w:val="20"/>
                <w:szCs w:val="20"/>
              </w:rPr>
              <w:t xml:space="preserve"> 2015)</w:t>
            </w:r>
          </w:p>
        </w:tc>
        <w:tc>
          <w:tcPr>
            <w:tcW w:w="2079" w:type="dxa"/>
          </w:tcPr>
          <w:p w14:paraId="3BFF84DA" w14:textId="56936AC0"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kindergarten through 8th grade students</w:t>
            </w:r>
          </w:p>
        </w:tc>
        <w:tc>
          <w:tcPr>
            <w:tcW w:w="997" w:type="dxa"/>
          </w:tcPr>
          <w:p w14:paraId="54986687" w14:textId="42D986FB" w:rsidR="004638D0" w:rsidRPr="00EC2FA0" w:rsidRDefault="004638D0" w:rsidP="004638D0">
            <w:pPr>
              <w:jc w:val="both"/>
              <w:rPr>
                <w:rFonts w:ascii="Arial" w:hAnsi="Arial" w:cs="Arial"/>
                <w:sz w:val="20"/>
                <w:szCs w:val="20"/>
              </w:rPr>
            </w:pPr>
            <w:r w:rsidRPr="00EC2FA0">
              <w:rPr>
                <w:rFonts w:ascii="Arial" w:hAnsi="Arial" w:cs="Arial"/>
                <w:sz w:val="20"/>
                <w:szCs w:val="20"/>
              </w:rPr>
              <w:t>One month to one year</w:t>
            </w:r>
          </w:p>
        </w:tc>
        <w:tc>
          <w:tcPr>
            <w:tcW w:w="2410" w:type="dxa"/>
          </w:tcPr>
          <w:p w14:paraId="75A21FE2" w14:textId="00323F69" w:rsidR="004638D0" w:rsidRPr="00EC2FA0" w:rsidRDefault="004638D0" w:rsidP="004638D0">
            <w:pPr>
              <w:jc w:val="both"/>
              <w:rPr>
                <w:rFonts w:ascii="Arial" w:hAnsi="Arial" w:cs="Arial"/>
                <w:sz w:val="20"/>
                <w:szCs w:val="20"/>
              </w:rPr>
            </w:pPr>
            <w:r w:rsidRPr="00EC2FA0">
              <w:rPr>
                <w:rFonts w:ascii="Arial" w:hAnsi="Arial" w:cs="Arial"/>
                <w:sz w:val="20"/>
                <w:szCs w:val="20"/>
              </w:rPr>
              <w:t>Out of the eleven programmes that examined dietary intake, six found that the programme resulted in increased vegetable intake, whereas four showed no effect. Seven of the eight studies that measured preference found that the programmes resulted in increased preference for vegetables. Gardening programmes also resulted in improved attitudes towards, willingness to taste, identification of and self-efficacy to prepare/cook fruit and vegetables.</w:t>
            </w:r>
          </w:p>
        </w:tc>
        <w:tc>
          <w:tcPr>
            <w:tcW w:w="2268" w:type="dxa"/>
          </w:tcPr>
          <w:p w14:paraId="5026B899" w14:textId="78849899" w:rsidR="004638D0" w:rsidRPr="00EC2FA0" w:rsidRDefault="004638D0" w:rsidP="004638D0">
            <w:pPr>
              <w:jc w:val="center"/>
              <w:rPr>
                <w:rFonts w:ascii="Arial" w:hAnsi="Arial" w:cs="Arial"/>
                <w:sz w:val="20"/>
                <w:szCs w:val="20"/>
              </w:rPr>
            </w:pPr>
            <w:r w:rsidRPr="00EC2FA0">
              <w:rPr>
                <w:rFonts w:ascii="Arial" w:hAnsi="Arial" w:cs="Arial"/>
                <w:sz w:val="20"/>
                <w:szCs w:val="20"/>
              </w:rPr>
              <w:t xml:space="preserve">Quasi-experimental design; </w:t>
            </w:r>
            <w:proofErr w:type="gramStart"/>
            <w:r w:rsidRPr="00EC2FA0">
              <w:rPr>
                <w:rFonts w:ascii="Arial" w:hAnsi="Arial" w:cs="Arial"/>
                <w:sz w:val="20"/>
                <w:szCs w:val="20"/>
              </w:rPr>
              <w:t>Non-randomized</w:t>
            </w:r>
            <w:proofErr w:type="gramEnd"/>
          </w:p>
          <w:p w14:paraId="67AE0EF2" w14:textId="77777777" w:rsidR="004638D0" w:rsidRPr="00EC2FA0" w:rsidRDefault="004638D0" w:rsidP="004638D0">
            <w:pPr>
              <w:rPr>
                <w:rFonts w:ascii="Arial" w:hAnsi="Arial" w:cs="Arial"/>
                <w:sz w:val="20"/>
                <w:szCs w:val="20"/>
              </w:rPr>
            </w:pPr>
          </w:p>
        </w:tc>
      </w:tr>
      <w:tr w:rsidR="004638D0" w:rsidRPr="00EC2FA0" w14:paraId="11384845" w14:textId="77777777" w:rsidTr="004638D0">
        <w:tc>
          <w:tcPr>
            <w:tcW w:w="1259" w:type="dxa"/>
          </w:tcPr>
          <w:p w14:paraId="5CA8FD1A" w14:textId="6E314C33"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(Davis </w:t>
            </w:r>
            <w:r w:rsidRPr="00EC2FA0">
              <w:rPr>
                <w:rFonts w:ascii="Arial" w:hAnsi="Arial" w:cs="Arial"/>
                <w:i/>
                <w:iCs/>
                <w:sz w:val="20"/>
                <w:szCs w:val="20"/>
              </w:rPr>
              <w:t>et al.,</w:t>
            </w:r>
            <w:r w:rsidRPr="00EC2FA0">
              <w:rPr>
                <w:rFonts w:ascii="Arial" w:hAnsi="Arial" w:cs="Arial"/>
                <w:sz w:val="20"/>
                <w:szCs w:val="20"/>
              </w:rPr>
              <w:t>2021)</w:t>
            </w:r>
          </w:p>
        </w:tc>
        <w:tc>
          <w:tcPr>
            <w:tcW w:w="2079" w:type="dxa"/>
          </w:tcPr>
          <w:p w14:paraId="5A02B399" w14:textId="40969323"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 xml:space="preserve">3135 children; average </w:t>
            </w:r>
            <w:proofErr w:type="gramStart"/>
            <w:r w:rsidRPr="00EC2FA0">
              <w:rPr>
                <w:rFonts w:ascii="Arial" w:hAnsi="Arial" w:cs="Arial"/>
                <w:sz w:val="20"/>
                <w:szCs w:val="20"/>
              </w:rPr>
              <w:t>age  9.2</w:t>
            </w:r>
            <w:proofErr w:type="gramEnd"/>
            <w:r w:rsidRPr="00EC2FA0">
              <w:rPr>
                <w:rFonts w:ascii="Arial" w:hAnsi="Arial" w:cs="Arial"/>
                <w:sz w:val="20"/>
                <w:szCs w:val="20"/>
              </w:rPr>
              <w:t xml:space="preserve"> years</w:t>
            </w:r>
          </w:p>
        </w:tc>
        <w:tc>
          <w:tcPr>
            <w:tcW w:w="997" w:type="dxa"/>
          </w:tcPr>
          <w:p w14:paraId="34B0EDAB" w14:textId="24AD0679" w:rsidR="004638D0" w:rsidRPr="00EC2FA0" w:rsidRDefault="004638D0" w:rsidP="004638D0">
            <w:pPr>
              <w:jc w:val="both"/>
              <w:rPr>
                <w:rFonts w:ascii="Arial" w:hAnsi="Arial" w:cs="Arial"/>
                <w:sz w:val="20"/>
                <w:szCs w:val="20"/>
              </w:rPr>
            </w:pPr>
            <w:r w:rsidRPr="00EC2FA0">
              <w:rPr>
                <w:rFonts w:ascii="Arial" w:hAnsi="Arial" w:cs="Arial"/>
                <w:sz w:val="20"/>
                <w:szCs w:val="20"/>
              </w:rPr>
              <w:t>one school year long (9 months)</w:t>
            </w:r>
          </w:p>
        </w:tc>
        <w:tc>
          <w:tcPr>
            <w:tcW w:w="2410" w:type="dxa"/>
          </w:tcPr>
          <w:p w14:paraId="61BE38EB" w14:textId="77777777" w:rsidR="004638D0" w:rsidRPr="00EC2FA0" w:rsidRDefault="004638D0" w:rsidP="004638D0">
            <w:pPr>
              <w:rPr>
                <w:rFonts w:ascii="Arial" w:hAnsi="Arial" w:cs="Arial"/>
                <w:sz w:val="20"/>
                <w:szCs w:val="20"/>
              </w:rPr>
            </w:pPr>
            <w:r w:rsidRPr="00EC2FA0">
              <w:rPr>
                <w:rFonts w:ascii="Arial" w:hAnsi="Arial" w:cs="Arial"/>
                <w:sz w:val="20"/>
                <w:szCs w:val="20"/>
              </w:rPr>
              <w:t>resulted in increased vegetable intake;</w:t>
            </w:r>
          </w:p>
          <w:p w14:paraId="029A80FB" w14:textId="599A7340" w:rsidR="004638D0" w:rsidRPr="00EC2FA0" w:rsidRDefault="004638D0" w:rsidP="004638D0">
            <w:pPr>
              <w:jc w:val="both"/>
              <w:rPr>
                <w:rFonts w:ascii="Arial" w:hAnsi="Arial" w:cs="Arial"/>
                <w:sz w:val="20"/>
                <w:szCs w:val="20"/>
              </w:rPr>
            </w:pPr>
            <w:r w:rsidRPr="00EC2FA0">
              <w:rPr>
                <w:rFonts w:ascii="Arial" w:hAnsi="Arial" w:cs="Arial"/>
                <w:sz w:val="20"/>
                <w:szCs w:val="20"/>
              </w:rPr>
              <w:t>no effects on fruit intake, sugar sweetened beverages, any of the obesity measures or blood pressure</w:t>
            </w:r>
          </w:p>
        </w:tc>
        <w:tc>
          <w:tcPr>
            <w:tcW w:w="2268" w:type="dxa"/>
          </w:tcPr>
          <w:p w14:paraId="7C52D813" w14:textId="305D36D7" w:rsidR="004638D0" w:rsidRPr="00EC2FA0" w:rsidRDefault="004638D0" w:rsidP="004638D0">
            <w:pPr>
              <w:tabs>
                <w:tab w:val="left" w:pos="468"/>
              </w:tabs>
              <w:rPr>
                <w:rFonts w:ascii="Arial" w:hAnsi="Arial" w:cs="Arial"/>
                <w:sz w:val="20"/>
                <w:szCs w:val="20"/>
              </w:rPr>
            </w:pPr>
            <w:r w:rsidRPr="00EC2FA0">
              <w:rPr>
                <w:rFonts w:ascii="Arial" w:hAnsi="Arial" w:cs="Arial"/>
                <w:sz w:val="20"/>
                <w:szCs w:val="20"/>
              </w:rPr>
              <w:tab/>
              <w:t>control group comparative study</w:t>
            </w:r>
          </w:p>
        </w:tc>
      </w:tr>
      <w:tr w:rsidR="004638D0" w:rsidRPr="00EC2FA0" w14:paraId="536CDB0D" w14:textId="77777777" w:rsidTr="004638D0">
        <w:tc>
          <w:tcPr>
            <w:tcW w:w="1259" w:type="dxa"/>
          </w:tcPr>
          <w:p w14:paraId="5A51A4EF" w14:textId="42AFE54D" w:rsidR="004638D0" w:rsidRPr="00EC2FA0" w:rsidRDefault="004638D0" w:rsidP="004638D0">
            <w:pPr>
              <w:jc w:val="both"/>
              <w:rPr>
                <w:rFonts w:ascii="Arial" w:hAnsi="Arial" w:cs="Arial"/>
                <w:sz w:val="20"/>
                <w:szCs w:val="20"/>
              </w:rPr>
            </w:pPr>
            <w:bookmarkStart w:id="1" w:name="_Hlk171760101"/>
            <w:r w:rsidRPr="00EC2FA0">
              <w:rPr>
                <w:rFonts w:ascii="Arial" w:hAnsi="Arial" w:cs="Arial"/>
                <w:sz w:val="20"/>
                <w:szCs w:val="20"/>
              </w:rPr>
              <w:t xml:space="preserve">(Morgan </w:t>
            </w:r>
            <w:r w:rsidRPr="00EC2FA0">
              <w:rPr>
                <w:rFonts w:ascii="Arial" w:hAnsi="Arial" w:cs="Arial"/>
                <w:i/>
                <w:iCs/>
                <w:sz w:val="20"/>
                <w:szCs w:val="20"/>
              </w:rPr>
              <w:t>et al.,</w:t>
            </w:r>
            <w:r w:rsidRPr="00EC2FA0">
              <w:rPr>
                <w:rFonts w:ascii="Arial" w:hAnsi="Arial" w:cs="Arial"/>
                <w:sz w:val="20"/>
                <w:szCs w:val="20"/>
              </w:rPr>
              <w:t>2010)</w:t>
            </w:r>
            <w:bookmarkEnd w:id="1"/>
          </w:p>
        </w:tc>
        <w:tc>
          <w:tcPr>
            <w:tcW w:w="2079" w:type="dxa"/>
          </w:tcPr>
          <w:p w14:paraId="09315C6A" w14:textId="46B98353"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127 students in Grades 5 and 6 (11–12 years old; 54 % boys)</w:t>
            </w:r>
          </w:p>
        </w:tc>
        <w:tc>
          <w:tcPr>
            <w:tcW w:w="997" w:type="dxa"/>
          </w:tcPr>
          <w:p w14:paraId="45B2FE16" w14:textId="0067CE50" w:rsidR="004638D0" w:rsidRPr="00EC2FA0" w:rsidRDefault="004638D0" w:rsidP="004638D0">
            <w:pPr>
              <w:jc w:val="both"/>
              <w:rPr>
                <w:rFonts w:ascii="Arial" w:hAnsi="Arial" w:cs="Arial"/>
                <w:sz w:val="20"/>
                <w:szCs w:val="20"/>
              </w:rPr>
            </w:pPr>
            <w:r w:rsidRPr="00EC2FA0">
              <w:rPr>
                <w:rFonts w:ascii="Arial" w:hAnsi="Arial" w:cs="Arial"/>
                <w:sz w:val="20"/>
                <w:szCs w:val="20"/>
              </w:rPr>
              <w:t>10-week</w:t>
            </w:r>
          </w:p>
        </w:tc>
        <w:tc>
          <w:tcPr>
            <w:tcW w:w="2410" w:type="dxa"/>
          </w:tcPr>
          <w:p w14:paraId="7ECA78F1" w14:textId="5DFC10FD" w:rsidR="004638D0" w:rsidRPr="00EC2FA0" w:rsidRDefault="004638D0" w:rsidP="004638D0">
            <w:pPr>
              <w:jc w:val="both"/>
              <w:rPr>
                <w:rFonts w:ascii="Arial" w:hAnsi="Arial" w:cs="Arial"/>
                <w:sz w:val="20"/>
                <w:szCs w:val="20"/>
              </w:rPr>
            </w:pPr>
            <w:r w:rsidRPr="00EC2FA0">
              <w:rPr>
                <w:rFonts w:ascii="Arial" w:hAnsi="Arial" w:cs="Arial"/>
                <w:sz w:val="20"/>
                <w:szCs w:val="20"/>
              </w:rPr>
              <w:t>significant between-group differences were found for NE&amp;G and NE students for overall willingness to taste vegetables (P &lt; 0.001) and overall taste ratings of vegetables (P &lt;0.001)</w:t>
            </w:r>
          </w:p>
        </w:tc>
        <w:tc>
          <w:tcPr>
            <w:tcW w:w="2268" w:type="dxa"/>
          </w:tcPr>
          <w:p w14:paraId="06C4F7F6" w14:textId="457B8048" w:rsidR="004638D0" w:rsidRPr="00EC2FA0" w:rsidRDefault="004638D0" w:rsidP="004638D0">
            <w:pPr>
              <w:jc w:val="center"/>
              <w:rPr>
                <w:rFonts w:ascii="Arial" w:hAnsi="Arial" w:cs="Arial"/>
                <w:sz w:val="20"/>
                <w:szCs w:val="20"/>
              </w:rPr>
            </w:pPr>
            <w:r w:rsidRPr="00EC2FA0">
              <w:rPr>
                <w:rFonts w:ascii="Arial" w:hAnsi="Arial" w:cs="Arial"/>
                <w:sz w:val="20"/>
                <w:szCs w:val="20"/>
              </w:rPr>
              <w:t>Quasi-experimental intervention with control and experimental group study</w:t>
            </w:r>
          </w:p>
          <w:p w14:paraId="388EA56B" w14:textId="77777777" w:rsidR="004638D0" w:rsidRPr="00EC2FA0" w:rsidRDefault="004638D0" w:rsidP="004638D0">
            <w:pPr>
              <w:rPr>
                <w:rFonts w:ascii="Arial" w:hAnsi="Arial" w:cs="Arial"/>
                <w:sz w:val="20"/>
                <w:szCs w:val="20"/>
              </w:rPr>
            </w:pPr>
          </w:p>
        </w:tc>
      </w:tr>
      <w:tr w:rsidR="004638D0" w:rsidRPr="00EC2FA0" w14:paraId="1A0E2FC0" w14:textId="77777777" w:rsidTr="004638D0">
        <w:tc>
          <w:tcPr>
            <w:tcW w:w="1259" w:type="dxa"/>
          </w:tcPr>
          <w:p w14:paraId="60F72427" w14:textId="37ABA11D" w:rsidR="004638D0" w:rsidRPr="00EC2FA0" w:rsidRDefault="004638D0" w:rsidP="004638D0">
            <w:pPr>
              <w:jc w:val="both"/>
              <w:rPr>
                <w:rFonts w:ascii="Arial" w:hAnsi="Arial" w:cs="Arial"/>
                <w:sz w:val="20"/>
                <w:szCs w:val="20"/>
              </w:rPr>
            </w:pPr>
            <w:bookmarkStart w:id="2" w:name="_Hlk171760247"/>
            <w:r w:rsidRPr="00EC2FA0">
              <w:rPr>
                <w:rFonts w:ascii="Arial" w:hAnsi="Arial" w:cs="Arial"/>
                <w:sz w:val="20"/>
                <w:szCs w:val="20"/>
              </w:rPr>
              <w:t xml:space="preserve">(Castro </w:t>
            </w:r>
            <w:r w:rsidRPr="00EC2FA0">
              <w:rPr>
                <w:rFonts w:ascii="Arial" w:hAnsi="Arial" w:cs="Arial"/>
                <w:i/>
                <w:iCs/>
                <w:sz w:val="20"/>
                <w:szCs w:val="20"/>
              </w:rPr>
              <w:t>et al.,</w:t>
            </w:r>
            <w:r w:rsidRPr="00EC2FA0">
              <w:rPr>
                <w:rFonts w:ascii="Arial" w:hAnsi="Arial" w:cs="Arial"/>
                <w:sz w:val="20"/>
                <w:szCs w:val="20"/>
              </w:rPr>
              <w:t>2013)</w:t>
            </w:r>
            <w:bookmarkEnd w:id="2"/>
          </w:p>
        </w:tc>
        <w:tc>
          <w:tcPr>
            <w:tcW w:w="2079" w:type="dxa"/>
          </w:tcPr>
          <w:p w14:paraId="0432E7CE" w14:textId="66B70663" w:rsidR="004638D0" w:rsidRPr="00EC2FA0" w:rsidRDefault="004638D0" w:rsidP="004638D0">
            <w:pPr>
              <w:ind w:firstLine="720"/>
              <w:jc w:val="both"/>
              <w:rPr>
                <w:rFonts w:ascii="Arial" w:hAnsi="Arial" w:cs="Arial"/>
                <w:sz w:val="20"/>
                <w:szCs w:val="20"/>
              </w:rPr>
            </w:pPr>
            <w:bookmarkStart w:id="3" w:name="_Hlk171760259"/>
            <w:r w:rsidRPr="00EC2FA0">
              <w:rPr>
                <w:rFonts w:ascii="Arial" w:hAnsi="Arial" w:cs="Arial"/>
                <w:sz w:val="20"/>
                <w:szCs w:val="20"/>
              </w:rPr>
              <w:t xml:space="preserve">95 children </w:t>
            </w:r>
            <w:bookmarkStart w:id="4" w:name="_Hlk171760272"/>
            <w:bookmarkEnd w:id="3"/>
            <w:r w:rsidRPr="00EC2FA0">
              <w:rPr>
                <w:rFonts w:ascii="Arial" w:hAnsi="Arial" w:cs="Arial"/>
                <w:sz w:val="20"/>
                <w:szCs w:val="20"/>
              </w:rPr>
              <w:t>aged 2–15 years</w:t>
            </w:r>
            <w:bookmarkEnd w:id="4"/>
          </w:p>
        </w:tc>
        <w:tc>
          <w:tcPr>
            <w:tcW w:w="997" w:type="dxa"/>
          </w:tcPr>
          <w:p w14:paraId="2FF37213" w14:textId="2FD8144E" w:rsidR="004638D0" w:rsidRPr="00EC2FA0" w:rsidRDefault="004638D0" w:rsidP="004638D0">
            <w:pPr>
              <w:jc w:val="both"/>
              <w:rPr>
                <w:rFonts w:ascii="Arial" w:hAnsi="Arial" w:cs="Arial"/>
                <w:sz w:val="20"/>
                <w:szCs w:val="20"/>
              </w:rPr>
            </w:pPr>
            <w:r w:rsidRPr="00EC2FA0">
              <w:rPr>
                <w:rFonts w:ascii="Arial" w:hAnsi="Arial" w:cs="Arial"/>
                <w:sz w:val="20"/>
                <w:szCs w:val="20"/>
              </w:rPr>
              <w:t>8-10 month</w:t>
            </w:r>
          </w:p>
        </w:tc>
        <w:tc>
          <w:tcPr>
            <w:tcW w:w="2410" w:type="dxa"/>
          </w:tcPr>
          <w:p w14:paraId="296C0B23" w14:textId="6AA27C3B"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 increase the availability of fruits and vegetables; increase in the consumption of </w:t>
            </w:r>
            <w:proofErr w:type="gramStart"/>
            <w:r w:rsidRPr="00EC2FA0">
              <w:rPr>
                <w:rFonts w:ascii="Arial" w:hAnsi="Arial" w:cs="Arial"/>
                <w:sz w:val="20"/>
                <w:szCs w:val="20"/>
              </w:rPr>
              <w:t>fruits  and</w:t>
            </w:r>
            <w:proofErr w:type="gramEnd"/>
            <w:r w:rsidRPr="00EC2FA0">
              <w:rPr>
                <w:rFonts w:ascii="Arial" w:hAnsi="Arial" w:cs="Arial"/>
                <w:sz w:val="20"/>
                <w:szCs w:val="20"/>
              </w:rPr>
              <w:t xml:space="preserve"> vegetables</w:t>
            </w:r>
          </w:p>
        </w:tc>
        <w:tc>
          <w:tcPr>
            <w:tcW w:w="2268" w:type="dxa"/>
          </w:tcPr>
          <w:p w14:paraId="61278FD9" w14:textId="45C64FCC" w:rsidR="004638D0" w:rsidRPr="00EC2FA0" w:rsidRDefault="004638D0" w:rsidP="004638D0">
            <w:pPr>
              <w:jc w:val="center"/>
              <w:rPr>
                <w:rFonts w:ascii="Arial" w:hAnsi="Arial" w:cs="Arial"/>
                <w:sz w:val="20"/>
                <w:szCs w:val="20"/>
              </w:rPr>
            </w:pPr>
            <w:r w:rsidRPr="00EC2FA0">
              <w:rPr>
                <w:rFonts w:ascii="Arial" w:hAnsi="Arial" w:cs="Arial"/>
                <w:sz w:val="20"/>
                <w:szCs w:val="20"/>
              </w:rPr>
              <w:t>pre- and post-program</w:t>
            </w:r>
          </w:p>
          <w:p w14:paraId="30F3F517" w14:textId="77777777" w:rsidR="004638D0" w:rsidRPr="00EC2FA0" w:rsidRDefault="004638D0" w:rsidP="004638D0">
            <w:pPr>
              <w:rPr>
                <w:rFonts w:ascii="Arial" w:hAnsi="Arial" w:cs="Arial"/>
                <w:sz w:val="20"/>
                <w:szCs w:val="20"/>
              </w:rPr>
            </w:pPr>
          </w:p>
        </w:tc>
      </w:tr>
      <w:tr w:rsidR="004638D0" w:rsidRPr="00EC2FA0" w14:paraId="61C12A72" w14:textId="77777777" w:rsidTr="004638D0">
        <w:tc>
          <w:tcPr>
            <w:tcW w:w="1259" w:type="dxa"/>
          </w:tcPr>
          <w:p w14:paraId="5615F52B" w14:textId="374C0E44"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(Christian </w:t>
            </w:r>
            <w:r w:rsidRPr="00EC2FA0">
              <w:rPr>
                <w:rFonts w:ascii="Arial" w:hAnsi="Arial" w:cs="Arial"/>
                <w:i/>
                <w:iCs/>
                <w:sz w:val="20"/>
                <w:szCs w:val="20"/>
              </w:rPr>
              <w:t>et al.,</w:t>
            </w:r>
            <w:r w:rsidRPr="00EC2FA0">
              <w:rPr>
                <w:rFonts w:ascii="Arial" w:hAnsi="Arial" w:cs="Arial"/>
                <w:sz w:val="20"/>
                <w:szCs w:val="20"/>
              </w:rPr>
              <w:t>2014)</w:t>
            </w:r>
          </w:p>
        </w:tc>
        <w:tc>
          <w:tcPr>
            <w:tcW w:w="2079" w:type="dxa"/>
          </w:tcPr>
          <w:p w14:paraId="236B4D83" w14:textId="5FF35703"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641 children, mean age of 8.1 years</w:t>
            </w:r>
          </w:p>
        </w:tc>
        <w:tc>
          <w:tcPr>
            <w:tcW w:w="997" w:type="dxa"/>
          </w:tcPr>
          <w:p w14:paraId="668971BB" w14:textId="150F3B8A"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4 </w:t>
            </w:r>
            <w:proofErr w:type="gramStart"/>
            <w:r w:rsidRPr="00EC2FA0">
              <w:rPr>
                <w:rFonts w:ascii="Arial" w:hAnsi="Arial" w:cs="Arial"/>
                <w:sz w:val="20"/>
                <w:szCs w:val="20"/>
              </w:rPr>
              <w:t>terms(</w:t>
            </w:r>
            <w:proofErr w:type="gramEnd"/>
            <w:r w:rsidRPr="00EC2FA0">
              <w:rPr>
                <w:rFonts w:ascii="Arial" w:hAnsi="Arial" w:cs="Arial"/>
                <w:sz w:val="20"/>
                <w:szCs w:val="20"/>
              </w:rPr>
              <w:t xml:space="preserve">Summer Term 2010 to Summer Term </w:t>
            </w:r>
            <w:proofErr w:type="spellStart"/>
            <w:r w:rsidRPr="00EC2FA0">
              <w:rPr>
                <w:rFonts w:ascii="Arial" w:hAnsi="Arial" w:cs="Arial"/>
                <w:sz w:val="20"/>
                <w:szCs w:val="20"/>
              </w:rPr>
              <w:lastRenderedPageBreak/>
              <w:t>andAutumn</w:t>
            </w:r>
            <w:proofErr w:type="spellEnd"/>
            <w:r w:rsidRPr="00EC2FA0">
              <w:rPr>
                <w:rFonts w:ascii="Arial" w:hAnsi="Arial" w:cs="Arial"/>
                <w:sz w:val="20"/>
                <w:szCs w:val="20"/>
              </w:rPr>
              <w:t xml:space="preserve"> Term 2011 to Autumn Term)</w:t>
            </w:r>
          </w:p>
        </w:tc>
        <w:tc>
          <w:tcPr>
            <w:tcW w:w="2410" w:type="dxa"/>
          </w:tcPr>
          <w:p w14:paraId="41DCF64A" w14:textId="1E548A6E" w:rsidR="004638D0" w:rsidRPr="00EC2FA0" w:rsidRDefault="004638D0" w:rsidP="004638D0">
            <w:pPr>
              <w:jc w:val="center"/>
              <w:rPr>
                <w:rFonts w:ascii="Arial" w:hAnsi="Arial" w:cs="Arial"/>
                <w:sz w:val="20"/>
                <w:szCs w:val="20"/>
              </w:rPr>
            </w:pPr>
            <w:r w:rsidRPr="00EC2FA0">
              <w:rPr>
                <w:rFonts w:ascii="Arial" w:hAnsi="Arial" w:cs="Arial"/>
                <w:sz w:val="20"/>
                <w:szCs w:val="20"/>
              </w:rPr>
              <w:lastRenderedPageBreak/>
              <w:t xml:space="preserve">gardening intervention is implemented at a high level within the </w:t>
            </w:r>
            <w:r w:rsidRPr="00EC2FA0">
              <w:rPr>
                <w:rFonts w:ascii="Arial" w:hAnsi="Arial" w:cs="Arial"/>
                <w:sz w:val="20"/>
                <w:szCs w:val="20"/>
              </w:rPr>
              <w:lastRenderedPageBreak/>
              <w:t>school it may improve children’s daily fruit and vegetable intake by a portion</w:t>
            </w:r>
          </w:p>
        </w:tc>
        <w:tc>
          <w:tcPr>
            <w:tcW w:w="2268" w:type="dxa"/>
          </w:tcPr>
          <w:p w14:paraId="54E1492D" w14:textId="3853F527" w:rsidR="004638D0" w:rsidRPr="00EC2FA0" w:rsidRDefault="004638D0" w:rsidP="004638D0">
            <w:pPr>
              <w:jc w:val="center"/>
              <w:rPr>
                <w:rFonts w:ascii="Arial" w:hAnsi="Arial" w:cs="Arial"/>
                <w:sz w:val="20"/>
                <w:szCs w:val="20"/>
              </w:rPr>
            </w:pPr>
            <w:r w:rsidRPr="00EC2FA0">
              <w:rPr>
                <w:rFonts w:ascii="Arial" w:hAnsi="Arial" w:cs="Arial"/>
                <w:sz w:val="20"/>
                <w:szCs w:val="20"/>
              </w:rPr>
              <w:lastRenderedPageBreak/>
              <w:t>cluster randomised controlled trial</w:t>
            </w:r>
          </w:p>
        </w:tc>
      </w:tr>
      <w:tr w:rsidR="004638D0" w:rsidRPr="00EC2FA0" w14:paraId="07C8F216" w14:textId="77777777" w:rsidTr="004638D0">
        <w:tc>
          <w:tcPr>
            <w:tcW w:w="1259" w:type="dxa"/>
          </w:tcPr>
          <w:p w14:paraId="44B9AA92" w14:textId="0EE59CCD" w:rsidR="004638D0" w:rsidRPr="00EC2FA0" w:rsidRDefault="004638D0" w:rsidP="004638D0">
            <w:pPr>
              <w:jc w:val="both"/>
              <w:rPr>
                <w:rFonts w:ascii="Arial" w:hAnsi="Arial" w:cs="Arial"/>
                <w:sz w:val="20"/>
                <w:szCs w:val="20"/>
              </w:rPr>
            </w:pPr>
            <w:bookmarkStart w:id="5" w:name="_Hlk171760762"/>
            <w:r w:rsidRPr="00EC2FA0">
              <w:rPr>
                <w:rFonts w:ascii="Arial" w:hAnsi="Arial" w:cs="Arial"/>
                <w:sz w:val="20"/>
                <w:szCs w:val="20"/>
              </w:rPr>
              <w:t>(Laird,2011)</w:t>
            </w:r>
            <w:bookmarkEnd w:id="5"/>
          </w:p>
        </w:tc>
        <w:tc>
          <w:tcPr>
            <w:tcW w:w="2079" w:type="dxa"/>
          </w:tcPr>
          <w:p w14:paraId="21D16F78" w14:textId="520B2554"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children</w:t>
            </w:r>
          </w:p>
        </w:tc>
        <w:tc>
          <w:tcPr>
            <w:tcW w:w="997" w:type="dxa"/>
          </w:tcPr>
          <w:p w14:paraId="7AAE0C8E" w14:textId="77777777" w:rsidR="004638D0" w:rsidRPr="00EC2FA0" w:rsidRDefault="004638D0" w:rsidP="004638D0">
            <w:pPr>
              <w:jc w:val="both"/>
              <w:rPr>
                <w:rFonts w:ascii="Arial" w:hAnsi="Arial" w:cs="Arial"/>
                <w:sz w:val="20"/>
                <w:szCs w:val="20"/>
              </w:rPr>
            </w:pPr>
          </w:p>
        </w:tc>
        <w:tc>
          <w:tcPr>
            <w:tcW w:w="2410" w:type="dxa"/>
          </w:tcPr>
          <w:p w14:paraId="0224AC1C" w14:textId="46153EE8" w:rsidR="004638D0" w:rsidRPr="00EC2FA0" w:rsidRDefault="004638D0" w:rsidP="004638D0">
            <w:pPr>
              <w:tabs>
                <w:tab w:val="left" w:pos="336"/>
              </w:tabs>
              <w:rPr>
                <w:rFonts w:ascii="Arial" w:hAnsi="Arial" w:cs="Arial"/>
                <w:sz w:val="20"/>
                <w:szCs w:val="20"/>
              </w:rPr>
            </w:pPr>
            <w:r w:rsidRPr="00EC2FA0">
              <w:rPr>
                <w:rFonts w:ascii="Arial" w:hAnsi="Arial" w:cs="Arial"/>
                <w:sz w:val="20"/>
                <w:szCs w:val="20"/>
              </w:rPr>
              <w:tab/>
              <w:t>improve knowledge about fruits and vegetables, perceptions of fruits and vegetables, and influence consumption patterns</w:t>
            </w:r>
          </w:p>
        </w:tc>
        <w:tc>
          <w:tcPr>
            <w:tcW w:w="2268" w:type="dxa"/>
          </w:tcPr>
          <w:p w14:paraId="53EB5FD9" w14:textId="3131907F" w:rsidR="004638D0" w:rsidRPr="00EC2FA0" w:rsidRDefault="004638D0" w:rsidP="004638D0">
            <w:pPr>
              <w:jc w:val="center"/>
              <w:rPr>
                <w:rFonts w:ascii="Arial" w:hAnsi="Arial" w:cs="Arial"/>
                <w:sz w:val="20"/>
                <w:szCs w:val="20"/>
              </w:rPr>
            </w:pPr>
            <w:r w:rsidRPr="00EC2FA0">
              <w:rPr>
                <w:rFonts w:ascii="Arial" w:hAnsi="Arial" w:cs="Arial"/>
                <w:sz w:val="20"/>
                <w:szCs w:val="20"/>
              </w:rPr>
              <w:t>quasi-experimental design</w:t>
            </w:r>
          </w:p>
        </w:tc>
      </w:tr>
    </w:tbl>
    <w:p w14:paraId="55ED45E9" w14:textId="77777777" w:rsidR="00DD6262" w:rsidRPr="00EC2FA0" w:rsidRDefault="00DD6262" w:rsidP="00790E71">
      <w:pPr>
        <w:rPr>
          <w:rFonts w:ascii="Arial" w:hAnsi="Arial" w:cs="Arial"/>
          <w:sz w:val="20"/>
          <w:szCs w:val="20"/>
        </w:rPr>
      </w:pPr>
    </w:p>
    <w:p w14:paraId="77810077" w14:textId="29E1C91E" w:rsidR="00790E71" w:rsidRPr="00EC2FA0" w:rsidRDefault="00790E71" w:rsidP="00790E71">
      <w:pPr>
        <w:rPr>
          <w:rFonts w:ascii="Arial" w:hAnsi="Arial" w:cs="Arial"/>
          <w:sz w:val="20"/>
          <w:szCs w:val="20"/>
        </w:rPr>
      </w:pPr>
      <w:r w:rsidRPr="00EC2FA0">
        <w:rPr>
          <w:rFonts w:ascii="Arial" w:hAnsi="Arial" w:cs="Arial"/>
          <w:sz w:val="20"/>
          <w:szCs w:val="20"/>
        </w:rPr>
        <w:t>Table 2. Interventions Involving School Gardens with Measures of Academic Outcomes</w:t>
      </w:r>
    </w:p>
    <w:tbl>
      <w:tblPr>
        <w:tblStyle w:val="TableGrid"/>
        <w:tblW w:w="0" w:type="auto"/>
        <w:tblLook w:val="04A0" w:firstRow="1" w:lastRow="0" w:firstColumn="1" w:lastColumn="0" w:noHBand="0" w:noVBand="1"/>
      </w:tblPr>
      <w:tblGrid>
        <w:gridCol w:w="1803"/>
        <w:gridCol w:w="1803"/>
        <w:gridCol w:w="1803"/>
        <w:gridCol w:w="1803"/>
        <w:gridCol w:w="1804"/>
      </w:tblGrid>
      <w:tr w:rsidR="00790E71" w:rsidRPr="00EC2FA0" w14:paraId="76C48C4F" w14:textId="77777777" w:rsidTr="00790E71">
        <w:tc>
          <w:tcPr>
            <w:tcW w:w="1803" w:type="dxa"/>
          </w:tcPr>
          <w:p w14:paraId="68F0FDF1" w14:textId="03C35D06" w:rsidR="00790E71" w:rsidRPr="00EC2FA0" w:rsidRDefault="00790E71" w:rsidP="00790E71">
            <w:pPr>
              <w:rPr>
                <w:rFonts w:ascii="Arial" w:hAnsi="Arial" w:cs="Arial"/>
                <w:sz w:val="20"/>
                <w:szCs w:val="20"/>
              </w:rPr>
            </w:pPr>
            <w:r w:rsidRPr="00EC2FA0">
              <w:rPr>
                <w:rFonts w:ascii="Arial" w:hAnsi="Arial" w:cs="Arial"/>
                <w:sz w:val="20"/>
                <w:szCs w:val="20"/>
              </w:rPr>
              <w:t>Study</w:t>
            </w:r>
          </w:p>
        </w:tc>
        <w:tc>
          <w:tcPr>
            <w:tcW w:w="1803" w:type="dxa"/>
          </w:tcPr>
          <w:p w14:paraId="004AF719" w14:textId="6353C21F" w:rsidR="00790E71" w:rsidRPr="00EC2FA0" w:rsidRDefault="00790E71" w:rsidP="00790E71">
            <w:pPr>
              <w:jc w:val="center"/>
              <w:rPr>
                <w:rFonts w:ascii="Arial" w:hAnsi="Arial" w:cs="Arial"/>
                <w:sz w:val="20"/>
                <w:szCs w:val="20"/>
              </w:rPr>
            </w:pPr>
            <w:r w:rsidRPr="00EC2FA0">
              <w:rPr>
                <w:rFonts w:ascii="Arial" w:hAnsi="Arial" w:cs="Arial"/>
                <w:sz w:val="20"/>
                <w:szCs w:val="20"/>
              </w:rPr>
              <w:t>Participants</w:t>
            </w:r>
          </w:p>
        </w:tc>
        <w:tc>
          <w:tcPr>
            <w:tcW w:w="1803" w:type="dxa"/>
          </w:tcPr>
          <w:p w14:paraId="56F626D0" w14:textId="3D9081E9" w:rsidR="00790E71" w:rsidRPr="00EC2FA0" w:rsidRDefault="00790E71" w:rsidP="00790E71">
            <w:pPr>
              <w:jc w:val="center"/>
              <w:rPr>
                <w:rFonts w:ascii="Arial" w:hAnsi="Arial" w:cs="Arial"/>
                <w:sz w:val="20"/>
                <w:szCs w:val="20"/>
              </w:rPr>
            </w:pPr>
            <w:r w:rsidRPr="00EC2FA0">
              <w:rPr>
                <w:rFonts w:ascii="Arial" w:hAnsi="Arial" w:cs="Arial"/>
                <w:sz w:val="20"/>
                <w:szCs w:val="20"/>
              </w:rPr>
              <w:t>Duration</w:t>
            </w:r>
          </w:p>
        </w:tc>
        <w:tc>
          <w:tcPr>
            <w:tcW w:w="1803" w:type="dxa"/>
          </w:tcPr>
          <w:p w14:paraId="3C3BE443" w14:textId="104D07DF" w:rsidR="00790E71" w:rsidRPr="00EC2FA0" w:rsidRDefault="00790E71" w:rsidP="00790E71">
            <w:pPr>
              <w:jc w:val="center"/>
              <w:rPr>
                <w:rFonts w:ascii="Arial" w:hAnsi="Arial" w:cs="Arial"/>
                <w:sz w:val="20"/>
                <w:szCs w:val="20"/>
              </w:rPr>
            </w:pPr>
            <w:r w:rsidRPr="00EC2FA0">
              <w:rPr>
                <w:rFonts w:ascii="Arial" w:hAnsi="Arial" w:cs="Arial"/>
                <w:sz w:val="20"/>
                <w:szCs w:val="20"/>
              </w:rPr>
              <w:t>Outcomes</w:t>
            </w:r>
          </w:p>
        </w:tc>
        <w:tc>
          <w:tcPr>
            <w:tcW w:w="1804" w:type="dxa"/>
          </w:tcPr>
          <w:p w14:paraId="60B0B960" w14:textId="527F3AEB" w:rsidR="00790E71" w:rsidRPr="00EC2FA0" w:rsidRDefault="00790E71" w:rsidP="00790E71">
            <w:pPr>
              <w:jc w:val="center"/>
              <w:rPr>
                <w:rFonts w:ascii="Arial" w:hAnsi="Arial" w:cs="Arial"/>
                <w:sz w:val="20"/>
                <w:szCs w:val="20"/>
              </w:rPr>
            </w:pPr>
            <w:r w:rsidRPr="00EC2FA0">
              <w:rPr>
                <w:rFonts w:ascii="Arial" w:hAnsi="Arial" w:cs="Arial"/>
                <w:sz w:val="20"/>
                <w:szCs w:val="20"/>
              </w:rPr>
              <w:t>Design</w:t>
            </w:r>
          </w:p>
        </w:tc>
      </w:tr>
      <w:tr w:rsidR="00790E71" w:rsidRPr="00EC2FA0" w14:paraId="6F73E6F3" w14:textId="77777777" w:rsidTr="00790E71">
        <w:tc>
          <w:tcPr>
            <w:tcW w:w="1803" w:type="dxa"/>
          </w:tcPr>
          <w:p w14:paraId="6D47BD3D" w14:textId="774F263F" w:rsidR="00790E71" w:rsidRPr="00EC2FA0" w:rsidRDefault="00790E71" w:rsidP="00790E71">
            <w:pPr>
              <w:jc w:val="center"/>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Berezowitz</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2015)</w:t>
            </w:r>
          </w:p>
        </w:tc>
        <w:tc>
          <w:tcPr>
            <w:tcW w:w="1803" w:type="dxa"/>
          </w:tcPr>
          <w:p w14:paraId="48A8F1B4" w14:textId="77777777" w:rsidR="00790E71" w:rsidRPr="00EC2FA0" w:rsidRDefault="00790E71" w:rsidP="00790E71">
            <w:pPr>
              <w:rPr>
                <w:rFonts w:ascii="Arial" w:hAnsi="Arial" w:cs="Arial"/>
                <w:sz w:val="20"/>
                <w:szCs w:val="20"/>
              </w:rPr>
            </w:pPr>
            <w:r w:rsidRPr="00EC2FA0">
              <w:rPr>
                <w:rFonts w:ascii="Arial" w:hAnsi="Arial" w:cs="Arial"/>
                <w:sz w:val="20"/>
                <w:szCs w:val="20"/>
              </w:rPr>
              <w:t>No of participants -5928;</w:t>
            </w:r>
          </w:p>
          <w:p w14:paraId="7433C7D1" w14:textId="144D4F73" w:rsidR="00790E71" w:rsidRPr="00EC2FA0" w:rsidRDefault="00790E71" w:rsidP="00790E71">
            <w:pPr>
              <w:rPr>
                <w:rFonts w:ascii="Arial" w:hAnsi="Arial" w:cs="Arial"/>
                <w:sz w:val="20"/>
                <w:szCs w:val="20"/>
              </w:rPr>
            </w:pPr>
            <w:r w:rsidRPr="00EC2FA0">
              <w:rPr>
                <w:rFonts w:ascii="Arial" w:hAnsi="Arial" w:cs="Arial"/>
                <w:sz w:val="20"/>
                <w:szCs w:val="20"/>
              </w:rPr>
              <w:t>Age /grade:7.8-8yrs,3 to 5</w:t>
            </w:r>
            <w:r w:rsidRPr="00EC2FA0">
              <w:rPr>
                <w:rFonts w:ascii="Arial" w:hAnsi="Arial" w:cs="Arial"/>
                <w:sz w:val="20"/>
                <w:szCs w:val="20"/>
                <w:vertAlign w:val="superscript"/>
              </w:rPr>
              <w:t>th</w:t>
            </w:r>
            <w:r w:rsidRPr="00EC2FA0">
              <w:rPr>
                <w:rFonts w:ascii="Arial" w:hAnsi="Arial" w:cs="Arial"/>
                <w:sz w:val="20"/>
                <w:szCs w:val="20"/>
              </w:rPr>
              <w:t xml:space="preserve"> grade</w:t>
            </w:r>
          </w:p>
        </w:tc>
        <w:tc>
          <w:tcPr>
            <w:tcW w:w="1803" w:type="dxa"/>
          </w:tcPr>
          <w:p w14:paraId="0112DDCD" w14:textId="24AE6260" w:rsidR="00790E71" w:rsidRPr="00EC2FA0" w:rsidRDefault="00790E71" w:rsidP="00790E71">
            <w:pPr>
              <w:rPr>
                <w:rFonts w:ascii="Arial" w:hAnsi="Arial" w:cs="Arial"/>
                <w:sz w:val="20"/>
                <w:szCs w:val="20"/>
              </w:rPr>
            </w:pPr>
            <w:r w:rsidRPr="00EC2FA0">
              <w:rPr>
                <w:rFonts w:ascii="Arial" w:hAnsi="Arial" w:cs="Arial"/>
                <w:sz w:val="20"/>
                <w:szCs w:val="20"/>
              </w:rPr>
              <w:t>1 month</w:t>
            </w:r>
          </w:p>
          <w:p w14:paraId="160DA638" w14:textId="77777777" w:rsidR="00790E71" w:rsidRPr="00EC2FA0" w:rsidRDefault="00790E71" w:rsidP="00790E71">
            <w:pPr>
              <w:rPr>
                <w:rFonts w:ascii="Arial" w:hAnsi="Arial" w:cs="Arial"/>
                <w:sz w:val="20"/>
                <w:szCs w:val="20"/>
              </w:rPr>
            </w:pPr>
          </w:p>
          <w:p w14:paraId="0185841B" w14:textId="77777777" w:rsidR="00790E71" w:rsidRPr="00EC2FA0" w:rsidRDefault="00790E71" w:rsidP="00790E71">
            <w:pPr>
              <w:jc w:val="center"/>
              <w:rPr>
                <w:rFonts w:ascii="Arial" w:hAnsi="Arial" w:cs="Arial"/>
                <w:sz w:val="20"/>
                <w:szCs w:val="20"/>
              </w:rPr>
            </w:pPr>
          </w:p>
        </w:tc>
        <w:tc>
          <w:tcPr>
            <w:tcW w:w="1803" w:type="dxa"/>
          </w:tcPr>
          <w:p w14:paraId="7D1257BD" w14:textId="77777777" w:rsidR="00790E71" w:rsidRPr="00EC2FA0" w:rsidRDefault="00790E71" w:rsidP="00790E71">
            <w:pPr>
              <w:rPr>
                <w:rFonts w:ascii="Arial" w:hAnsi="Arial" w:cs="Arial"/>
                <w:sz w:val="20"/>
                <w:szCs w:val="20"/>
              </w:rPr>
            </w:pPr>
            <w:r w:rsidRPr="00EC2FA0">
              <w:rPr>
                <w:rFonts w:ascii="Arial" w:hAnsi="Arial" w:cs="Arial"/>
                <w:sz w:val="20"/>
                <w:szCs w:val="20"/>
              </w:rPr>
              <w:t>-Intervention students scored significantly higher science achievement test scores than control students; -Intervention students’ scores higher at post-test, versus no difference in control students;</w:t>
            </w:r>
          </w:p>
          <w:p w14:paraId="43BCE6E5" w14:textId="77777777" w:rsidR="00790E71" w:rsidRPr="00EC2FA0" w:rsidRDefault="00790E71" w:rsidP="00790E71">
            <w:pPr>
              <w:rPr>
                <w:rFonts w:ascii="Arial" w:hAnsi="Arial" w:cs="Arial"/>
                <w:sz w:val="20"/>
                <w:szCs w:val="20"/>
              </w:rPr>
            </w:pPr>
            <w:r w:rsidRPr="00EC2FA0">
              <w:rPr>
                <w:rFonts w:ascii="Arial" w:hAnsi="Arial" w:cs="Arial"/>
                <w:sz w:val="20"/>
                <w:szCs w:val="20"/>
              </w:rPr>
              <w:t>-Significant improvement in FCAT math scores;</w:t>
            </w:r>
          </w:p>
          <w:p w14:paraId="7A29B7ED" w14:textId="40F2B522" w:rsidR="00790E71" w:rsidRPr="00EC2FA0" w:rsidRDefault="00790E71" w:rsidP="00790E71">
            <w:pPr>
              <w:jc w:val="center"/>
              <w:rPr>
                <w:rFonts w:ascii="Arial" w:hAnsi="Arial" w:cs="Arial"/>
                <w:sz w:val="20"/>
                <w:szCs w:val="20"/>
              </w:rPr>
            </w:pPr>
            <w:r w:rsidRPr="00EC2FA0">
              <w:rPr>
                <w:rFonts w:ascii="Arial" w:hAnsi="Arial" w:cs="Arial"/>
                <w:sz w:val="20"/>
                <w:szCs w:val="20"/>
              </w:rPr>
              <w:t>-Statistically significant improvements in academic test scores</w:t>
            </w:r>
          </w:p>
        </w:tc>
        <w:tc>
          <w:tcPr>
            <w:tcW w:w="1804" w:type="dxa"/>
          </w:tcPr>
          <w:p w14:paraId="2D82012D" w14:textId="7AFD0173" w:rsidR="00790E71" w:rsidRPr="00EC2FA0" w:rsidRDefault="00790E71" w:rsidP="00790E71">
            <w:pPr>
              <w:rPr>
                <w:rFonts w:ascii="Arial" w:hAnsi="Arial" w:cs="Arial"/>
                <w:sz w:val="20"/>
                <w:szCs w:val="20"/>
              </w:rPr>
            </w:pPr>
            <w:r w:rsidRPr="00EC2FA0">
              <w:rPr>
                <w:rFonts w:ascii="Arial" w:hAnsi="Arial" w:cs="Arial"/>
                <w:sz w:val="20"/>
                <w:szCs w:val="20"/>
              </w:rPr>
              <w:t>post-test only, quasi-experimental</w:t>
            </w:r>
            <w:r w:rsidR="00CF26A8" w:rsidRPr="00EC2FA0">
              <w:rPr>
                <w:rFonts w:ascii="Arial" w:hAnsi="Arial" w:cs="Arial"/>
                <w:sz w:val="20"/>
                <w:szCs w:val="20"/>
              </w:rPr>
              <w:t xml:space="preserve"> and control group</w:t>
            </w:r>
            <w:r w:rsidRPr="00EC2FA0">
              <w:rPr>
                <w:rFonts w:ascii="Arial" w:hAnsi="Arial" w:cs="Arial"/>
                <w:sz w:val="20"/>
                <w:szCs w:val="20"/>
              </w:rPr>
              <w:t xml:space="preserve">, </w:t>
            </w:r>
            <w:proofErr w:type="spellStart"/>
            <w:r w:rsidRPr="00EC2FA0">
              <w:rPr>
                <w:rFonts w:ascii="Arial" w:hAnsi="Arial" w:cs="Arial"/>
                <w:sz w:val="20"/>
                <w:szCs w:val="20"/>
              </w:rPr>
              <w:t>nonrandom</w:t>
            </w:r>
            <w:proofErr w:type="spellEnd"/>
            <w:r w:rsidRPr="00EC2FA0">
              <w:rPr>
                <w:rFonts w:ascii="Arial" w:hAnsi="Arial" w:cs="Arial"/>
                <w:sz w:val="20"/>
                <w:szCs w:val="20"/>
              </w:rPr>
              <w:t xml:space="preserve"> intervention</w:t>
            </w:r>
          </w:p>
        </w:tc>
      </w:tr>
      <w:tr w:rsidR="00790E71" w:rsidRPr="00EC2FA0" w14:paraId="6A76103C" w14:textId="77777777" w:rsidTr="00790E71">
        <w:tc>
          <w:tcPr>
            <w:tcW w:w="1803" w:type="dxa"/>
          </w:tcPr>
          <w:p w14:paraId="4C6FDCAE" w14:textId="51471E7D" w:rsidR="00790E71" w:rsidRPr="00EC2FA0" w:rsidRDefault="00790E71" w:rsidP="00790E71">
            <w:pPr>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Paño</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 xml:space="preserve"> 2022)</w:t>
            </w:r>
          </w:p>
        </w:tc>
        <w:tc>
          <w:tcPr>
            <w:tcW w:w="1803" w:type="dxa"/>
          </w:tcPr>
          <w:p w14:paraId="7A71E855" w14:textId="44C76B53" w:rsidR="00790E71" w:rsidRPr="00EC2FA0" w:rsidRDefault="00790E71" w:rsidP="00790E71">
            <w:pPr>
              <w:jc w:val="center"/>
              <w:rPr>
                <w:rFonts w:ascii="Arial" w:hAnsi="Arial" w:cs="Arial"/>
                <w:sz w:val="20"/>
                <w:szCs w:val="20"/>
              </w:rPr>
            </w:pPr>
            <w:r w:rsidRPr="00EC2FA0">
              <w:rPr>
                <w:rFonts w:ascii="Arial" w:hAnsi="Arial" w:cs="Arial"/>
                <w:sz w:val="20"/>
                <w:szCs w:val="20"/>
              </w:rPr>
              <w:t>Students (age not reported)</w:t>
            </w:r>
          </w:p>
        </w:tc>
        <w:tc>
          <w:tcPr>
            <w:tcW w:w="1803" w:type="dxa"/>
          </w:tcPr>
          <w:p w14:paraId="7EEAFF02" w14:textId="668E1451" w:rsidR="00790E71" w:rsidRPr="00EC2FA0" w:rsidRDefault="00CF26A8" w:rsidP="00790E71">
            <w:pPr>
              <w:rPr>
                <w:rFonts w:ascii="Arial" w:hAnsi="Arial" w:cs="Arial"/>
                <w:sz w:val="20"/>
                <w:szCs w:val="20"/>
              </w:rPr>
            </w:pPr>
            <w:r w:rsidRPr="00EC2FA0">
              <w:rPr>
                <w:rFonts w:ascii="Arial" w:hAnsi="Arial" w:cs="Arial"/>
                <w:sz w:val="20"/>
                <w:szCs w:val="20"/>
              </w:rPr>
              <w:t>Not mentioned</w:t>
            </w:r>
          </w:p>
        </w:tc>
        <w:tc>
          <w:tcPr>
            <w:tcW w:w="1803" w:type="dxa"/>
          </w:tcPr>
          <w:p w14:paraId="1845F2EE" w14:textId="706C2649" w:rsidR="00790E71" w:rsidRPr="00EC2FA0" w:rsidRDefault="00790E71" w:rsidP="00790E71">
            <w:pPr>
              <w:rPr>
                <w:rFonts w:ascii="Arial" w:hAnsi="Arial" w:cs="Arial"/>
                <w:sz w:val="20"/>
                <w:szCs w:val="20"/>
              </w:rPr>
            </w:pPr>
            <w:r w:rsidRPr="00EC2FA0">
              <w:rPr>
                <w:rFonts w:ascii="Arial" w:hAnsi="Arial" w:cs="Arial"/>
                <w:sz w:val="20"/>
                <w:szCs w:val="20"/>
              </w:rPr>
              <w:t>improvement in academic performance</w:t>
            </w:r>
          </w:p>
        </w:tc>
        <w:tc>
          <w:tcPr>
            <w:tcW w:w="1804" w:type="dxa"/>
          </w:tcPr>
          <w:p w14:paraId="4E854A09" w14:textId="7B056611" w:rsidR="00790E71" w:rsidRPr="00EC2FA0" w:rsidRDefault="00CF26A8" w:rsidP="00790E71">
            <w:pPr>
              <w:rPr>
                <w:rFonts w:ascii="Arial" w:hAnsi="Arial" w:cs="Arial"/>
                <w:sz w:val="20"/>
                <w:szCs w:val="20"/>
              </w:rPr>
            </w:pPr>
            <w:r w:rsidRPr="00EC2FA0">
              <w:rPr>
                <w:rFonts w:ascii="Arial" w:hAnsi="Arial" w:cs="Arial"/>
                <w:sz w:val="20"/>
                <w:szCs w:val="20"/>
              </w:rPr>
              <w:t>Qualitative analysis</w:t>
            </w:r>
          </w:p>
        </w:tc>
      </w:tr>
      <w:tr w:rsidR="00790E71" w:rsidRPr="00EC2FA0" w14:paraId="09C90DF2" w14:textId="77777777" w:rsidTr="00790E71">
        <w:tc>
          <w:tcPr>
            <w:tcW w:w="1803" w:type="dxa"/>
          </w:tcPr>
          <w:p w14:paraId="4E59CD40" w14:textId="4C7CE0B2" w:rsidR="00790E71" w:rsidRPr="00EC2FA0" w:rsidRDefault="00790E71" w:rsidP="00790E71">
            <w:pPr>
              <w:jc w:val="center"/>
              <w:rPr>
                <w:rFonts w:ascii="Arial" w:hAnsi="Arial" w:cs="Arial"/>
                <w:sz w:val="20"/>
                <w:szCs w:val="20"/>
              </w:rPr>
            </w:pPr>
            <w:r w:rsidRPr="00EC2FA0">
              <w:rPr>
                <w:rFonts w:ascii="Arial" w:hAnsi="Arial" w:cs="Arial"/>
                <w:sz w:val="20"/>
                <w:szCs w:val="20"/>
              </w:rPr>
              <w:t>(Vella</w:t>
            </w:r>
            <w:r w:rsidRPr="00EC2FA0">
              <w:rPr>
                <w:rFonts w:ascii="Arial" w:hAnsi="Arial" w:cs="Arial"/>
                <w:sz w:val="20"/>
                <w:szCs w:val="20"/>
              </w:rPr>
              <w:noBreakHyphen/>
              <w:t xml:space="preserve">Brodrick and </w:t>
            </w:r>
            <w:proofErr w:type="spellStart"/>
            <w:r w:rsidRPr="00EC2FA0">
              <w:rPr>
                <w:rFonts w:ascii="Arial" w:hAnsi="Arial" w:cs="Arial"/>
                <w:sz w:val="20"/>
                <w:szCs w:val="20"/>
              </w:rPr>
              <w:t>Gilowska</w:t>
            </w:r>
            <w:proofErr w:type="spellEnd"/>
            <w:r w:rsidRPr="00EC2FA0">
              <w:rPr>
                <w:rFonts w:ascii="Arial" w:hAnsi="Arial" w:cs="Arial"/>
                <w:sz w:val="20"/>
                <w:szCs w:val="20"/>
              </w:rPr>
              <w:t>, 2022)</w:t>
            </w:r>
          </w:p>
        </w:tc>
        <w:tc>
          <w:tcPr>
            <w:tcW w:w="1803" w:type="dxa"/>
          </w:tcPr>
          <w:p w14:paraId="6623E8F7" w14:textId="3FE8B7F9" w:rsidR="00790E71" w:rsidRPr="00EC2FA0" w:rsidRDefault="00790E71" w:rsidP="00790E71">
            <w:pPr>
              <w:jc w:val="center"/>
              <w:rPr>
                <w:rFonts w:ascii="Arial" w:hAnsi="Arial" w:cs="Arial"/>
                <w:sz w:val="20"/>
                <w:szCs w:val="20"/>
              </w:rPr>
            </w:pPr>
            <w:r w:rsidRPr="00EC2FA0">
              <w:rPr>
                <w:rFonts w:ascii="Arial" w:hAnsi="Arial" w:cs="Arial"/>
                <w:sz w:val="20"/>
                <w:szCs w:val="20"/>
              </w:rPr>
              <w:t>School Children (ages 5, 12 and 18)</w:t>
            </w:r>
          </w:p>
        </w:tc>
        <w:tc>
          <w:tcPr>
            <w:tcW w:w="1803" w:type="dxa"/>
          </w:tcPr>
          <w:p w14:paraId="0AAD27F9" w14:textId="1E468701" w:rsidR="00790E71" w:rsidRPr="00EC2FA0" w:rsidRDefault="00790E71" w:rsidP="00790E71">
            <w:pPr>
              <w:jc w:val="center"/>
              <w:rPr>
                <w:rFonts w:ascii="Arial" w:hAnsi="Arial" w:cs="Arial"/>
                <w:sz w:val="20"/>
                <w:szCs w:val="20"/>
              </w:rPr>
            </w:pPr>
            <w:r w:rsidRPr="00EC2FA0">
              <w:rPr>
                <w:rFonts w:ascii="Arial" w:hAnsi="Arial" w:cs="Arial"/>
                <w:sz w:val="20"/>
                <w:szCs w:val="20"/>
              </w:rPr>
              <w:t xml:space="preserve">short-term nature exposures (from a few to 60 min) and long-term </w:t>
            </w:r>
            <w:proofErr w:type="gramStart"/>
            <w:r w:rsidRPr="00EC2FA0">
              <w:rPr>
                <w:rFonts w:ascii="Arial" w:hAnsi="Arial" w:cs="Arial"/>
                <w:sz w:val="20"/>
                <w:szCs w:val="20"/>
              </w:rPr>
              <w:t>exposures(</w:t>
            </w:r>
            <w:proofErr w:type="gramEnd"/>
            <w:r w:rsidRPr="00EC2FA0">
              <w:rPr>
                <w:rFonts w:ascii="Arial" w:hAnsi="Arial" w:cs="Arial"/>
                <w:sz w:val="20"/>
                <w:szCs w:val="20"/>
              </w:rPr>
              <w:t>from 2 months to 2 years)</w:t>
            </w:r>
          </w:p>
        </w:tc>
        <w:tc>
          <w:tcPr>
            <w:tcW w:w="1803" w:type="dxa"/>
          </w:tcPr>
          <w:p w14:paraId="2FE31F93" w14:textId="5C98239E" w:rsidR="00790E71" w:rsidRPr="00EC2FA0" w:rsidRDefault="00790E71" w:rsidP="00790E71">
            <w:pPr>
              <w:jc w:val="center"/>
              <w:rPr>
                <w:rFonts w:ascii="Arial" w:hAnsi="Arial" w:cs="Arial"/>
                <w:sz w:val="20"/>
                <w:szCs w:val="20"/>
              </w:rPr>
            </w:pPr>
            <w:r w:rsidRPr="00EC2FA0">
              <w:rPr>
                <w:rFonts w:ascii="Arial" w:hAnsi="Arial" w:cs="Arial"/>
                <w:sz w:val="20"/>
                <w:szCs w:val="20"/>
              </w:rPr>
              <w:t>enhanced cognitive functioning-selective attention, sustained attention and working memory</w:t>
            </w:r>
          </w:p>
        </w:tc>
        <w:tc>
          <w:tcPr>
            <w:tcW w:w="1804" w:type="dxa"/>
          </w:tcPr>
          <w:p w14:paraId="373F1302" w14:textId="32698D95" w:rsidR="00790E71" w:rsidRPr="00EC2FA0" w:rsidRDefault="00790E71" w:rsidP="00790E71">
            <w:pPr>
              <w:rPr>
                <w:rFonts w:ascii="Arial" w:hAnsi="Arial" w:cs="Arial"/>
                <w:sz w:val="20"/>
                <w:szCs w:val="20"/>
              </w:rPr>
            </w:pPr>
            <w:r w:rsidRPr="00EC2FA0">
              <w:rPr>
                <w:rFonts w:ascii="Arial" w:hAnsi="Arial" w:cs="Arial"/>
                <w:sz w:val="20"/>
                <w:szCs w:val="20"/>
              </w:rPr>
              <w:t>Experimental and quasi-experimental studies with comparison groups</w:t>
            </w:r>
          </w:p>
        </w:tc>
      </w:tr>
      <w:tr w:rsidR="00790E71" w:rsidRPr="00EC2FA0" w14:paraId="1A706A6F" w14:textId="77777777" w:rsidTr="00790E71">
        <w:tc>
          <w:tcPr>
            <w:tcW w:w="1803" w:type="dxa"/>
          </w:tcPr>
          <w:p w14:paraId="0128A4B5" w14:textId="34759F34" w:rsidR="00790E71" w:rsidRPr="00EC2FA0" w:rsidRDefault="00790E71" w:rsidP="00790E71">
            <w:pPr>
              <w:jc w:val="center"/>
              <w:rPr>
                <w:rFonts w:ascii="Arial" w:hAnsi="Arial" w:cs="Arial"/>
                <w:sz w:val="20"/>
                <w:szCs w:val="20"/>
              </w:rPr>
            </w:pPr>
            <w:r w:rsidRPr="00EC2FA0">
              <w:rPr>
                <w:rFonts w:ascii="Arial" w:hAnsi="Arial" w:cs="Arial"/>
                <w:sz w:val="20"/>
                <w:szCs w:val="20"/>
              </w:rPr>
              <w:t>(Eugenio-</w:t>
            </w:r>
            <w:proofErr w:type="spellStart"/>
            <w:r w:rsidRPr="00EC2FA0">
              <w:rPr>
                <w:rFonts w:ascii="Arial" w:hAnsi="Arial" w:cs="Arial"/>
                <w:sz w:val="20"/>
                <w:szCs w:val="20"/>
              </w:rPr>
              <w:t>Gozalbo</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2020)</w:t>
            </w:r>
          </w:p>
        </w:tc>
        <w:tc>
          <w:tcPr>
            <w:tcW w:w="1803" w:type="dxa"/>
          </w:tcPr>
          <w:p w14:paraId="76EBF2B6" w14:textId="77777777" w:rsidR="00790E71" w:rsidRPr="00EC2FA0" w:rsidRDefault="00790E71" w:rsidP="00790E71">
            <w:pPr>
              <w:rPr>
                <w:rFonts w:ascii="Arial" w:hAnsi="Arial" w:cs="Arial"/>
                <w:sz w:val="20"/>
                <w:szCs w:val="20"/>
              </w:rPr>
            </w:pPr>
            <w:r w:rsidRPr="00EC2FA0">
              <w:rPr>
                <w:rFonts w:ascii="Arial" w:hAnsi="Arial" w:cs="Arial"/>
                <w:sz w:val="20"/>
                <w:szCs w:val="20"/>
              </w:rPr>
              <w:t>44 children: 4-year-old; 40 9-year-old; 50 13-year-old students)</w:t>
            </w:r>
          </w:p>
          <w:p w14:paraId="0F43522E" w14:textId="77777777" w:rsidR="00790E71" w:rsidRPr="00EC2FA0" w:rsidRDefault="00790E71" w:rsidP="00790E71">
            <w:pPr>
              <w:jc w:val="center"/>
              <w:rPr>
                <w:rFonts w:ascii="Arial" w:hAnsi="Arial" w:cs="Arial"/>
                <w:sz w:val="20"/>
                <w:szCs w:val="20"/>
              </w:rPr>
            </w:pPr>
          </w:p>
        </w:tc>
        <w:tc>
          <w:tcPr>
            <w:tcW w:w="1803" w:type="dxa"/>
          </w:tcPr>
          <w:p w14:paraId="24B45873" w14:textId="31C2BD60" w:rsidR="00790E71" w:rsidRPr="00EC2FA0" w:rsidRDefault="00790E71" w:rsidP="00790E71">
            <w:pPr>
              <w:jc w:val="center"/>
              <w:rPr>
                <w:rFonts w:ascii="Arial" w:hAnsi="Arial" w:cs="Arial"/>
                <w:sz w:val="20"/>
                <w:szCs w:val="20"/>
              </w:rPr>
            </w:pPr>
            <w:r w:rsidRPr="00EC2FA0">
              <w:rPr>
                <w:rFonts w:ascii="Arial" w:hAnsi="Arial" w:cs="Arial"/>
                <w:sz w:val="20"/>
                <w:szCs w:val="20"/>
              </w:rPr>
              <w:t>One academic year</w:t>
            </w:r>
          </w:p>
        </w:tc>
        <w:tc>
          <w:tcPr>
            <w:tcW w:w="1803" w:type="dxa"/>
          </w:tcPr>
          <w:p w14:paraId="546470D9" w14:textId="334DB71C" w:rsidR="00790E71" w:rsidRPr="00EC2FA0" w:rsidRDefault="00790E71" w:rsidP="00790E71">
            <w:pPr>
              <w:rPr>
                <w:rFonts w:ascii="Arial" w:hAnsi="Arial" w:cs="Arial"/>
                <w:sz w:val="20"/>
                <w:szCs w:val="20"/>
              </w:rPr>
            </w:pPr>
            <w:r w:rsidRPr="00EC2FA0">
              <w:rPr>
                <w:rFonts w:ascii="Arial" w:hAnsi="Arial" w:cs="Arial"/>
                <w:sz w:val="20"/>
                <w:szCs w:val="20"/>
              </w:rPr>
              <w:t>significantly developed students’ science knowledge</w:t>
            </w:r>
          </w:p>
          <w:p w14:paraId="35B1F96D" w14:textId="77777777" w:rsidR="00790E71" w:rsidRPr="00EC2FA0" w:rsidRDefault="00790E71" w:rsidP="00790E71">
            <w:pPr>
              <w:jc w:val="center"/>
              <w:rPr>
                <w:rFonts w:ascii="Arial" w:hAnsi="Arial" w:cs="Arial"/>
                <w:sz w:val="20"/>
                <w:szCs w:val="20"/>
              </w:rPr>
            </w:pPr>
          </w:p>
        </w:tc>
        <w:tc>
          <w:tcPr>
            <w:tcW w:w="1804" w:type="dxa"/>
          </w:tcPr>
          <w:p w14:paraId="7B2EA266" w14:textId="47191266" w:rsidR="00790E71" w:rsidRPr="00EC2FA0" w:rsidRDefault="00790E71" w:rsidP="00790E71">
            <w:pPr>
              <w:rPr>
                <w:rFonts w:ascii="Arial" w:hAnsi="Arial" w:cs="Arial"/>
                <w:sz w:val="20"/>
                <w:szCs w:val="20"/>
              </w:rPr>
            </w:pPr>
            <w:r w:rsidRPr="00EC2FA0">
              <w:rPr>
                <w:rFonts w:ascii="Arial" w:hAnsi="Arial" w:cs="Arial"/>
                <w:sz w:val="20"/>
                <w:szCs w:val="20"/>
              </w:rPr>
              <w:t>cause-effect study</w:t>
            </w:r>
          </w:p>
          <w:p w14:paraId="07BA8AED" w14:textId="77777777" w:rsidR="00790E71" w:rsidRPr="00EC2FA0" w:rsidRDefault="00790E71" w:rsidP="00790E71">
            <w:pPr>
              <w:jc w:val="center"/>
              <w:rPr>
                <w:rFonts w:ascii="Arial" w:hAnsi="Arial" w:cs="Arial"/>
                <w:sz w:val="20"/>
                <w:szCs w:val="20"/>
              </w:rPr>
            </w:pPr>
          </w:p>
        </w:tc>
      </w:tr>
      <w:tr w:rsidR="00CF26A8" w:rsidRPr="00EC2FA0" w14:paraId="642F1A5A" w14:textId="77777777" w:rsidTr="00790E71">
        <w:tc>
          <w:tcPr>
            <w:tcW w:w="1803" w:type="dxa"/>
          </w:tcPr>
          <w:p w14:paraId="65AFF0F9" w14:textId="7D040C56" w:rsidR="00CF26A8" w:rsidRPr="00EC2FA0" w:rsidRDefault="00CF26A8" w:rsidP="00CF26A8">
            <w:pPr>
              <w:jc w:val="center"/>
              <w:rPr>
                <w:rFonts w:ascii="Arial" w:hAnsi="Arial" w:cs="Arial"/>
                <w:sz w:val="20"/>
                <w:szCs w:val="20"/>
              </w:rPr>
            </w:pPr>
            <w:r w:rsidRPr="00EC2FA0">
              <w:rPr>
                <w:rFonts w:ascii="Arial" w:hAnsi="Arial" w:cs="Arial"/>
                <w:sz w:val="20"/>
                <w:szCs w:val="20"/>
              </w:rPr>
              <w:lastRenderedPageBreak/>
              <w:t>(</w:t>
            </w:r>
            <w:proofErr w:type="spellStart"/>
            <w:r w:rsidRPr="00EC2FA0">
              <w:rPr>
                <w:rFonts w:ascii="Arial" w:hAnsi="Arial" w:cs="Arial"/>
                <w:sz w:val="20"/>
                <w:szCs w:val="20"/>
              </w:rPr>
              <w:t>Weeland</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 xml:space="preserve"> 2019)</w:t>
            </w:r>
          </w:p>
        </w:tc>
        <w:tc>
          <w:tcPr>
            <w:tcW w:w="1803" w:type="dxa"/>
          </w:tcPr>
          <w:p w14:paraId="3B831D01" w14:textId="77777777" w:rsidR="00CF26A8" w:rsidRPr="00EC2FA0" w:rsidRDefault="00CF26A8" w:rsidP="00CF26A8">
            <w:pPr>
              <w:rPr>
                <w:rFonts w:ascii="Arial" w:hAnsi="Arial" w:cs="Arial"/>
                <w:sz w:val="20"/>
                <w:szCs w:val="20"/>
              </w:rPr>
            </w:pPr>
            <w:r w:rsidRPr="00EC2FA0">
              <w:rPr>
                <w:rFonts w:ascii="Arial" w:hAnsi="Arial" w:cs="Arial"/>
                <w:sz w:val="20"/>
                <w:szCs w:val="20"/>
              </w:rPr>
              <w:t>school children (aged 4-12 years and/or the sample or subsample mean age was under 12 years);</w:t>
            </w:r>
          </w:p>
          <w:p w14:paraId="29BC79B1" w14:textId="2FFC7A71" w:rsidR="00CF26A8" w:rsidRPr="00EC2FA0" w:rsidRDefault="00CF26A8" w:rsidP="00CF26A8">
            <w:pPr>
              <w:jc w:val="center"/>
              <w:rPr>
                <w:rFonts w:ascii="Arial" w:hAnsi="Arial" w:cs="Arial"/>
                <w:sz w:val="20"/>
                <w:szCs w:val="20"/>
              </w:rPr>
            </w:pPr>
            <w:r w:rsidRPr="00EC2FA0">
              <w:rPr>
                <w:rFonts w:ascii="Arial" w:hAnsi="Arial" w:cs="Arial"/>
                <w:sz w:val="20"/>
                <w:szCs w:val="20"/>
              </w:rPr>
              <w:t>21,443 children</w:t>
            </w:r>
          </w:p>
        </w:tc>
        <w:tc>
          <w:tcPr>
            <w:tcW w:w="1803" w:type="dxa"/>
          </w:tcPr>
          <w:p w14:paraId="3E955118" w14:textId="2C7979B3" w:rsidR="00CF26A8" w:rsidRPr="00EC2FA0" w:rsidRDefault="00CF26A8" w:rsidP="00CF26A8">
            <w:pPr>
              <w:rPr>
                <w:rFonts w:ascii="Arial" w:hAnsi="Arial" w:cs="Arial"/>
                <w:sz w:val="20"/>
                <w:szCs w:val="20"/>
              </w:rPr>
            </w:pPr>
            <w:r w:rsidRPr="00EC2FA0">
              <w:rPr>
                <w:rFonts w:ascii="Arial" w:hAnsi="Arial" w:cs="Arial"/>
                <w:sz w:val="20"/>
                <w:szCs w:val="20"/>
              </w:rPr>
              <w:t>Not specified</w:t>
            </w:r>
          </w:p>
        </w:tc>
        <w:tc>
          <w:tcPr>
            <w:tcW w:w="1803" w:type="dxa"/>
          </w:tcPr>
          <w:p w14:paraId="6072F4EE" w14:textId="77777777" w:rsidR="00CF26A8" w:rsidRPr="00EC2FA0" w:rsidRDefault="00CF26A8" w:rsidP="00CF26A8">
            <w:pPr>
              <w:jc w:val="center"/>
              <w:rPr>
                <w:rFonts w:ascii="Arial" w:hAnsi="Arial" w:cs="Arial"/>
                <w:sz w:val="20"/>
                <w:szCs w:val="20"/>
              </w:rPr>
            </w:pPr>
            <w:r w:rsidRPr="00EC2FA0">
              <w:rPr>
                <w:rFonts w:ascii="Arial" w:hAnsi="Arial" w:cs="Arial"/>
                <w:sz w:val="20"/>
                <w:szCs w:val="20"/>
              </w:rPr>
              <w:t>stimulating children's self-regulation</w:t>
            </w:r>
          </w:p>
          <w:p w14:paraId="0154DEBD" w14:textId="352B2CA6" w:rsidR="00CF26A8" w:rsidRPr="00EC2FA0" w:rsidRDefault="00CF26A8" w:rsidP="00CF26A8">
            <w:pPr>
              <w:jc w:val="center"/>
              <w:rPr>
                <w:rFonts w:ascii="Arial" w:hAnsi="Arial" w:cs="Arial"/>
                <w:sz w:val="20"/>
                <w:szCs w:val="20"/>
              </w:rPr>
            </w:pPr>
            <w:r w:rsidRPr="00EC2FA0">
              <w:rPr>
                <w:rFonts w:ascii="Arial" w:hAnsi="Arial" w:cs="Arial"/>
                <w:sz w:val="20"/>
                <w:szCs w:val="20"/>
              </w:rPr>
              <w:t>Two studies reported a significant negative effect.</w:t>
            </w:r>
          </w:p>
        </w:tc>
        <w:tc>
          <w:tcPr>
            <w:tcW w:w="1804" w:type="dxa"/>
          </w:tcPr>
          <w:p w14:paraId="2FF1A40C" w14:textId="1089A4B5" w:rsidR="00CF26A8" w:rsidRPr="00EC2FA0" w:rsidRDefault="00CF26A8" w:rsidP="00CF26A8">
            <w:pPr>
              <w:jc w:val="center"/>
              <w:rPr>
                <w:rFonts w:ascii="Arial" w:hAnsi="Arial" w:cs="Arial"/>
                <w:sz w:val="20"/>
                <w:szCs w:val="20"/>
              </w:rPr>
            </w:pPr>
            <w:r w:rsidRPr="00EC2FA0">
              <w:rPr>
                <w:rFonts w:ascii="Arial" w:hAnsi="Arial" w:cs="Arial"/>
                <w:sz w:val="20"/>
                <w:szCs w:val="20"/>
              </w:rPr>
              <w:t>Meta-analysis (quasi-)experimental studies</w:t>
            </w:r>
          </w:p>
        </w:tc>
      </w:tr>
      <w:tr w:rsidR="00CF26A8" w:rsidRPr="00EC2FA0" w14:paraId="4F0FB2AA" w14:textId="77777777" w:rsidTr="00790E71">
        <w:tc>
          <w:tcPr>
            <w:tcW w:w="1803" w:type="dxa"/>
          </w:tcPr>
          <w:p w14:paraId="3EE31E21" w14:textId="6D398342" w:rsidR="00CF26A8" w:rsidRPr="00EC2FA0" w:rsidRDefault="00CF26A8" w:rsidP="00CF26A8">
            <w:pPr>
              <w:jc w:val="center"/>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Dadvand</w:t>
            </w:r>
            <w:proofErr w:type="spellEnd"/>
            <w:r w:rsidRPr="00EC2FA0">
              <w:rPr>
                <w:rFonts w:ascii="Arial" w:hAnsi="Arial" w:cs="Arial"/>
                <w:sz w:val="20"/>
                <w:szCs w:val="20"/>
              </w:rPr>
              <w:t xml:space="preserve"> </w:t>
            </w:r>
            <w:r w:rsidRPr="00EC2FA0">
              <w:rPr>
                <w:rFonts w:ascii="Arial" w:hAnsi="Arial" w:cs="Arial"/>
                <w:i/>
                <w:iCs/>
                <w:sz w:val="20"/>
                <w:szCs w:val="20"/>
              </w:rPr>
              <w:t>et a</w:t>
            </w:r>
            <w:r w:rsidR="00D037EE" w:rsidRPr="00EC2FA0">
              <w:rPr>
                <w:rFonts w:ascii="Arial" w:hAnsi="Arial" w:cs="Arial"/>
                <w:i/>
                <w:iCs/>
                <w:sz w:val="20"/>
                <w:szCs w:val="20"/>
              </w:rPr>
              <w:t>l</w:t>
            </w:r>
            <w:r w:rsidRPr="00EC2FA0">
              <w:rPr>
                <w:rFonts w:ascii="Arial" w:hAnsi="Arial" w:cs="Arial"/>
                <w:i/>
                <w:iCs/>
                <w:sz w:val="20"/>
                <w:szCs w:val="20"/>
              </w:rPr>
              <w:t>.,</w:t>
            </w:r>
            <w:r w:rsidRPr="00EC2FA0">
              <w:rPr>
                <w:rFonts w:ascii="Arial" w:hAnsi="Arial" w:cs="Arial"/>
                <w:sz w:val="20"/>
                <w:szCs w:val="20"/>
              </w:rPr>
              <w:t>2015)</w:t>
            </w:r>
          </w:p>
        </w:tc>
        <w:tc>
          <w:tcPr>
            <w:tcW w:w="1803" w:type="dxa"/>
          </w:tcPr>
          <w:p w14:paraId="2A07A9E3" w14:textId="7A042E3D" w:rsidR="00CF26A8" w:rsidRPr="00EC2FA0" w:rsidRDefault="00CF26A8" w:rsidP="00CF26A8">
            <w:pPr>
              <w:jc w:val="center"/>
              <w:rPr>
                <w:rFonts w:ascii="Arial" w:hAnsi="Arial" w:cs="Arial"/>
                <w:sz w:val="20"/>
                <w:szCs w:val="20"/>
              </w:rPr>
            </w:pPr>
            <w:r w:rsidRPr="00EC2FA0">
              <w:rPr>
                <w:rFonts w:ascii="Arial" w:hAnsi="Arial" w:cs="Arial"/>
                <w:sz w:val="20"/>
                <w:szCs w:val="20"/>
              </w:rPr>
              <w:t>N= 2,593 schoolchildren in the second to fourth grades (7–10 y) of 36 primary schools</w:t>
            </w:r>
          </w:p>
        </w:tc>
        <w:tc>
          <w:tcPr>
            <w:tcW w:w="1803" w:type="dxa"/>
          </w:tcPr>
          <w:p w14:paraId="030D3166" w14:textId="69F78DF5" w:rsidR="00CF26A8" w:rsidRPr="00EC2FA0" w:rsidRDefault="00CF26A8" w:rsidP="00CF26A8">
            <w:pPr>
              <w:jc w:val="center"/>
              <w:rPr>
                <w:rFonts w:ascii="Arial" w:hAnsi="Arial" w:cs="Arial"/>
                <w:sz w:val="20"/>
                <w:szCs w:val="20"/>
              </w:rPr>
            </w:pPr>
            <w:r w:rsidRPr="00EC2FA0">
              <w:rPr>
                <w:rFonts w:ascii="Arial" w:hAnsi="Arial" w:cs="Arial"/>
                <w:sz w:val="20"/>
                <w:szCs w:val="20"/>
              </w:rPr>
              <w:t xml:space="preserve">12 </w:t>
            </w:r>
            <w:proofErr w:type="gramStart"/>
            <w:r w:rsidRPr="00EC2FA0">
              <w:rPr>
                <w:rFonts w:ascii="Arial" w:hAnsi="Arial" w:cs="Arial"/>
                <w:sz w:val="20"/>
                <w:szCs w:val="20"/>
              </w:rPr>
              <w:t>month</w:t>
            </w:r>
            <w:proofErr w:type="gramEnd"/>
          </w:p>
        </w:tc>
        <w:tc>
          <w:tcPr>
            <w:tcW w:w="1803" w:type="dxa"/>
          </w:tcPr>
          <w:p w14:paraId="2C2CD7EB" w14:textId="17A8F395" w:rsidR="00CF26A8" w:rsidRPr="00EC2FA0" w:rsidRDefault="00CF26A8" w:rsidP="00CF26A8">
            <w:pPr>
              <w:jc w:val="center"/>
              <w:rPr>
                <w:rFonts w:ascii="Arial" w:hAnsi="Arial" w:cs="Arial"/>
                <w:sz w:val="20"/>
                <w:szCs w:val="20"/>
              </w:rPr>
            </w:pPr>
            <w:r w:rsidRPr="00EC2FA0">
              <w:rPr>
                <w:rFonts w:ascii="Arial" w:hAnsi="Arial" w:cs="Arial"/>
                <w:sz w:val="20"/>
                <w:szCs w:val="20"/>
              </w:rPr>
              <w:t xml:space="preserve"> Enhanced working memory and superior working memory and greater 12-mo reduction in inattentiveness.</w:t>
            </w:r>
          </w:p>
        </w:tc>
        <w:tc>
          <w:tcPr>
            <w:tcW w:w="1804" w:type="dxa"/>
          </w:tcPr>
          <w:p w14:paraId="4F641F40" w14:textId="7D4432E9" w:rsidR="00CF26A8" w:rsidRPr="00EC2FA0" w:rsidRDefault="00CF26A8" w:rsidP="00CF26A8">
            <w:pPr>
              <w:jc w:val="center"/>
              <w:rPr>
                <w:rFonts w:ascii="Arial" w:hAnsi="Arial" w:cs="Arial"/>
                <w:sz w:val="20"/>
                <w:szCs w:val="20"/>
              </w:rPr>
            </w:pPr>
            <w:r w:rsidRPr="00EC2FA0">
              <w:rPr>
                <w:rFonts w:ascii="Arial" w:hAnsi="Arial" w:cs="Arial"/>
                <w:sz w:val="20"/>
                <w:szCs w:val="20"/>
              </w:rPr>
              <w:t>computerized cognitive tests for each outcome</w:t>
            </w:r>
          </w:p>
        </w:tc>
      </w:tr>
    </w:tbl>
    <w:p w14:paraId="6B5A050F" w14:textId="77777777" w:rsidR="00790E71" w:rsidRPr="00D037EE" w:rsidRDefault="00790E71" w:rsidP="0071479F">
      <w:pPr>
        <w:jc w:val="both"/>
        <w:rPr>
          <w:rFonts w:ascii="Times New Roman" w:hAnsi="Times New Roman" w:cs="Times New Roman"/>
          <w:b/>
          <w:bCs/>
          <w:sz w:val="24"/>
          <w:szCs w:val="24"/>
        </w:rPr>
      </w:pPr>
    </w:p>
    <w:p w14:paraId="35A72B0C" w14:textId="2690209C" w:rsidR="009B461A" w:rsidRPr="00E877D4" w:rsidRDefault="009B461A" w:rsidP="00AB7856">
      <w:pPr>
        <w:pStyle w:val="ListParagraph"/>
        <w:numPr>
          <w:ilvl w:val="0"/>
          <w:numId w:val="4"/>
        </w:numPr>
        <w:jc w:val="both"/>
        <w:rPr>
          <w:rFonts w:ascii="Arial" w:hAnsi="Arial" w:cs="Arial"/>
          <w:b/>
          <w:bCs/>
        </w:rPr>
      </w:pPr>
      <w:r w:rsidRPr="00E877D4">
        <w:rPr>
          <w:rFonts w:ascii="Arial" w:hAnsi="Arial" w:cs="Arial"/>
          <w:b/>
          <w:bCs/>
        </w:rPr>
        <w:t>DISCUSSION</w:t>
      </w:r>
    </w:p>
    <w:p w14:paraId="4C30C582" w14:textId="77777777" w:rsidR="00DA3099" w:rsidRPr="00E877D4" w:rsidRDefault="00DA3099" w:rsidP="00D037EE">
      <w:pPr>
        <w:jc w:val="both"/>
        <w:rPr>
          <w:rFonts w:ascii="Arial" w:hAnsi="Arial" w:cs="Arial"/>
          <w:sz w:val="20"/>
          <w:szCs w:val="20"/>
        </w:rPr>
      </w:pPr>
      <w:r w:rsidRPr="00E877D4">
        <w:rPr>
          <w:rFonts w:ascii="Arial" w:hAnsi="Arial" w:cs="Arial"/>
          <w:sz w:val="20"/>
          <w:szCs w:val="20"/>
        </w:rPr>
        <w:t>The studies reviewed here enabled an exploration of how school gardens improve cognition and cognitive functioning across different attentional domains, alongside examining their impact on dietary outcomes in children. This article investigated the potential effects of various school-based garden interventions on both academic and health-related outcomes among students. Nineteen studies on school garden interventions assessed cognitive and dietary outcomes in children.</w:t>
      </w:r>
    </w:p>
    <w:p w14:paraId="3B415041" w14:textId="10AA283D" w:rsidR="009B461A" w:rsidRPr="00E877D4" w:rsidRDefault="00AB7856" w:rsidP="00AB7856">
      <w:pPr>
        <w:pStyle w:val="ListParagraph"/>
        <w:numPr>
          <w:ilvl w:val="1"/>
          <w:numId w:val="4"/>
        </w:numPr>
        <w:jc w:val="both"/>
        <w:rPr>
          <w:rFonts w:ascii="Arial" w:eastAsia="Times New Roman" w:hAnsi="Arial" w:cs="Arial"/>
          <w:b/>
          <w:bCs/>
          <w:kern w:val="0"/>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9B461A" w:rsidRPr="00E877D4">
        <w:rPr>
          <w:rFonts w:ascii="Arial" w:eastAsia="Times New Roman" w:hAnsi="Arial" w:cs="Arial"/>
          <w:b/>
          <w:bCs/>
          <w:kern w:val="0"/>
          <w:lang w:eastAsia="en-IN"/>
          <w14:ligatures w14:val="none"/>
        </w:rPr>
        <w:t>Effectiveness of garden-based nutrition education in promoting healthy dietary habits and nutritional knowledge among preschool-aged children</w:t>
      </w:r>
    </w:p>
    <w:p w14:paraId="4BE34476" w14:textId="6318514C" w:rsidR="00D91C7A" w:rsidRPr="00E877D4" w:rsidRDefault="00D91C7A" w:rsidP="00D037EE">
      <w:pPr>
        <w:jc w:val="both"/>
        <w:rPr>
          <w:rFonts w:ascii="Arial" w:hAnsi="Arial" w:cs="Arial"/>
          <w:sz w:val="20"/>
          <w:szCs w:val="20"/>
        </w:rPr>
      </w:pPr>
      <w:r w:rsidRPr="00E877D4">
        <w:rPr>
          <w:rFonts w:ascii="Arial" w:hAnsi="Arial" w:cs="Arial"/>
          <w:sz w:val="20"/>
          <w:szCs w:val="20"/>
        </w:rPr>
        <w:t xml:space="preserve">This review of 13 studies shows that school garden programs successfully enhance healthy eating habits and nutritional knowledge, and foster positive attitudes and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towards vegetables among students. However, certain studies found no substantial improvements in dietary practices like consuming fruits and vegetables or achieving dietary variety. The majority of studies highlight perceived nutritional advantages for children engaged in school gardening, such as increased knowledge and awareness, improved attitudes toward food, including a greater willingness to try new foods, and the development of healthier eating habits</w:t>
      </w:r>
      <w:r w:rsidR="007D5516" w:rsidRPr="00E877D4">
        <w:rPr>
          <w:rFonts w:ascii="Arial" w:hAnsi="Arial" w:cs="Arial"/>
          <w:sz w:val="20"/>
          <w:szCs w:val="20"/>
        </w:rPr>
        <w:t>.</w:t>
      </w:r>
      <w:r w:rsidRPr="00E877D4">
        <w:rPr>
          <w:rFonts w:ascii="Arial" w:hAnsi="Arial" w:cs="Arial"/>
          <w:sz w:val="20"/>
          <w:szCs w:val="20"/>
        </w:rPr>
        <w:t xml:space="preserve"> </w:t>
      </w:r>
    </w:p>
    <w:p w14:paraId="6A9256DC" w14:textId="67AF0081" w:rsidR="0089109E" w:rsidRPr="00E877D4" w:rsidRDefault="0089109E" w:rsidP="00D037EE">
      <w:pPr>
        <w:jc w:val="both"/>
        <w:rPr>
          <w:rFonts w:ascii="Arial" w:hAnsi="Arial" w:cs="Arial"/>
          <w:sz w:val="20"/>
          <w:szCs w:val="20"/>
        </w:rPr>
      </w:pPr>
      <w:r w:rsidRPr="00E877D4">
        <w:rPr>
          <w:rFonts w:ascii="Arial" w:hAnsi="Arial" w:cs="Arial"/>
          <w:sz w:val="20"/>
          <w:szCs w:val="20"/>
        </w:rPr>
        <w:t xml:space="preserve">The findings showed that school garden initiatives had a positive impact on dietary habits, particularly increasing the consumption of fruits and vegetables, as well as influencing cognitive performance. Specifically, garden programs boosted vegetable consumption in </w:t>
      </w:r>
      <w:r w:rsidR="00400BD4" w:rsidRPr="00E877D4">
        <w:rPr>
          <w:rFonts w:ascii="Arial" w:hAnsi="Arial" w:cs="Arial"/>
          <w:sz w:val="20"/>
          <w:szCs w:val="20"/>
        </w:rPr>
        <w:t>most of the</w:t>
      </w:r>
      <w:r w:rsidRPr="00E877D4">
        <w:rPr>
          <w:rFonts w:ascii="Arial" w:hAnsi="Arial" w:cs="Arial"/>
          <w:sz w:val="20"/>
          <w:szCs w:val="20"/>
        </w:rPr>
        <w:t xml:space="preserve"> studies examining this aspect, and either enhanced or demonstrated no change in cognitive functioning compared to students not participating in gardening activities</w:t>
      </w:r>
      <w:r w:rsidR="007D5516" w:rsidRPr="00E877D4">
        <w:rPr>
          <w:rFonts w:ascii="Arial" w:hAnsi="Arial" w:cs="Arial"/>
          <w:sz w:val="20"/>
          <w:szCs w:val="20"/>
        </w:rPr>
        <w:t xml:space="preserve"> (Tables 1 and 2).</w:t>
      </w:r>
    </w:p>
    <w:p w14:paraId="6A59EE5B" w14:textId="047C6D0B" w:rsidR="003868BA" w:rsidRPr="00E877D4" w:rsidRDefault="003868BA" w:rsidP="00D037EE">
      <w:pPr>
        <w:jc w:val="both"/>
        <w:rPr>
          <w:rFonts w:ascii="Arial" w:hAnsi="Arial" w:cs="Arial"/>
          <w:sz w:val="20"/>
          <w:szCs w:val="20"/>
        </w:rPr>
      </w:pPr>
      <w:r w:rsidRPr="00E877D4">
        <w:rPr>
          <w:rFonts w:ascii="Arial" w:hAnsi="Arial" w:cs="Arial"/>
          <w:sz w:val="20"/>
          <w:szCs w:val="20"/>
        </w:rPr>
        <w:t>Healthy eating habits improved as children substantially increased their fruit and vegetable intake following participation in garden-based nutrition education (Table 1). Across the world, children's consumption of fruits and vegetables has been noted to fall below recommended levels. This review underscores that garden-based nutrition education effectively boosted children's inclination to eat fruits and vegetables.</w:t>
      </w:r>
    </w:p>
    <w:p w14:paraId="2EFE2F5A" w14:textId="5E981D93" w:rsidR="00610293" w:rsidRPr="00E877D4" w:rsidRDefault="00610293" w:rsidP="00D037EE">
      <w:pPr>
        <w:jc w:val="both"/>
        <w:rPr>
          <w:rFonts w:ascii="Arial" w:hAnsi="Arial" w:cs="Arial"/>
          <w:sz w:val="20"/>
          <w:szCs w:val="20"/>
        </w:rPr>
      </w:pPr>
      <w:r w:rsidRPr="00E877D4">
        <w:rPr>
          <w:rFonts w:ascii="Arial" w:hAnsi="Arial" w:cs="Arial"/>
          <w:sz w:val="20"/>
          <w:szCs w:val="20"/>
        </w:rPr>
        <w:t>Participating in growing and preparing food from their own garden directly increased children's reported willingness to try new foods. Notably, while children's acceptance and attitudes toward vegetables improved, this change was not observed for fruits. Previous research suggests that actively engaging in food production and preparation can positively influence preferences for foods that are typically challenging to change. Garden-based nutrition education (GBNE) provides children with hands-on learning experiences that consistently expose them to vegetables in a positive manner. By participating directly in activities like planting, harvesting, and cooking, children gain familiarity with vegetables and are more likely to develop a positive attitude and taste preference for these foods</w:t>
      </w:r>
      <w:r w:rsidR="00766B55">
        <w:rPr>
          <w:rFonts w:ascii="Arial" w:hAnsi="Arial" w:cs="Arial"/>
          <w:sz w:val="20"/>
          <w:szCs w:val="20"/>
        </w:rPr>
        <w:t xml:space="preserve">. </w:t>
      </w:r>
      <w:r w:rsidRPr="00E877D4">
        <w:rPr>
          <w:rFonts w:ascii="Arial" w:hAnsi="Arial" w:cs="Arial"/>
          <w:sz w:val="20"/>
          <w:szCs w:val="20"/>
        </w:rPr>
        <w:t>This might also explain why interventions focusing predominantly on vegetables had minimal effects on improving children's attitudes toward fruits, as they had fewer opportunities to interact with fruits and thereby enhance their acceptability.</w:t>
      </w:r>
    </w:p>
    <w:p w14:paraId="607CB637" w14:textId="4F7E6AAF" w:rsidR="006F0143" w:rsidRPr="00E877D4" w:rsidRDefault="006F0143" w:rsidP="00D037EE">
      <w:pPr>
        <w:jc w:val="both"/>
        <w:rPr>
          <w:rFonts w:ascii="Arial" w:hAnsi="Arial" w:cs="Arial"/>
          <w:sz w:val="20"/>
          <w:szCs w:val="20"/>
        </w:rPr>
      </w:pPr>
      <w:r w:rsidRPr="00E877D4">
        <w:rPr>
          <w:rFonts w:ascii="Arial" w:hAnsi="Arial" w:cs="Arial"/>
          <w:sz w:val="20"/>
          <w:szCs w:val="20"/>
        </w:rPr>
        <w:lastRenderedPageBreak/>
        <w:t>Another positive dietary outcome observed in children after engaging in GBNE is an increased preference for food. Seven studies documented statistically significant intervention effects, showing a heightened liking for fruits and vegetables</w:t>
      </w:r>
      <w:r w:rsidR="00BB5AD5" w:rsidRPr="00E877D4">
        <w:rPr>
          <w:rFonts w:ascii="Arial" w:hAnsi="Arial" w:cs="Arial"/>
          <w:sz w:val="20"/>
          <w:szCs w:val="20"/>
        </w:rPr>
        <w:t xml:space="preserve"> [</w:t>
      </w:r>
      <w:r w:rsidR="00766B55">
        <w:rPr>
          <w:rFonts w:ascii="Arial" w:hAnsi="Arial" w:cs="Arial"/>
          <w:sz w:val="20"/>
          <w:szCs w:val="20"/>
        </w:rPr>
        <w:t>13,23,16,25,20</w:t>
      </w:r>
      <w:r w:rsidR="00BB5AD5" w:rsidRPr="00E877D4">
        <w:rPr>
          <w:rFonts w:ascii="Arial" w:hAnsi="Arial" w:cs="Arial"/>
          <w:sz w:val="20"/>
          <w:szCs w:val="20"/>
        </w:rPr>
        <w:t>].</w:t>
      </w:r>
      <w:r w:rsidRPr="00E877D4">
        <w:rPr>
          <w:rFonts w:ascii="Arial" w:hAnsi="Arial" w:cs="Arial"/>
          <w:sz w:val="20"/>
          <w:szCs w:val="20"/>
        </w:rPr>
        <w:t xml:space="preserve"> Enhancing preferences for fruits and vegetables is a critical first step in promoting increased consumption of these foods. The increased willingness and preference for vegetables extends not only to those cultivated in school gardens but also to vegetables in general, suggesting that the intervention had a broader impact on preferences. While we recognize that food preferences mark an initial stage toward </w:t>
      </w:r>
      <w:proofErr w:type="spellStart"/>
      <w:r w:rsidRPr="00E877D4">
        <w:rPr>
          <w:rFonts w:ascii="Arial" w:hAnsi="Arial" w:cs="Arial"/>
          <w:sz w:val="20"/>
          <w:szCs w:val="20"/>
        </w:rPr>
        <w:t>behavioral</w:t>
      </w:r>
      <w:proofErr w:type="spellEnd"/>
      <w:r w:rsidRPr="00E877D4">
        <w:rPr>
          <w:rFonts w:ascii="Arial" w:hAnsi="Arial" w:cs="Arial"/>
          <w:sz w:val="20"/>
          <w:szCs w:val="20"/>
        </w:rPr>
        <w:t xml:space="preserve"> change, they do not in themselves indicate complete </w:t>
      </w:r>
      <w:proofErr w:type="spellStart"/>
      <w:r w:rsidRPr="00E877D4">
        <w:rPr>
          <w:rFonts w:ascii="Arial" w:hAnsi="Arial" w:cs="Arial"/>
          <w:sz w:val="20"/>
          <w:szCs w:val="20"/>
        </w:rPr>
        <w:t>behavioral</w:t>
      </w:r>
      <w:proofErr w:type="spellEnd"/>
      <w:r w:rsidRPr="00E877D4">
        <w:rPr>
          <w:rFonts w:ascii="Arial" w:hAnsi="Arial" w:cs="Arial"/>
          <w:sz w:val="20"/>
          <w:szCs w:val="20"/>
        </w:rPr>
        <w:t xml:space="preserve"> transformation.</w:t>
      </w:r>
    </w:p>
    <w:p w14:paraId="2A75DE70" w14:textId="4563796D" w:rsidR="00FF2F1C" w:rsidRPr="00E877D4" w:rsidRDefault="00FF2F1C" w:rsidP="00D037EE">
      <w:pPr>
        <w:spacing w:after="0" w:line="240" w:lineRule="auto"/>
        <w:jc w:val="both"/>
        <w:rPr>
          <w:rFonts w:ascii="Arial" w:hAnsi="Arial" w:cs="Arial"/>
          <w:sz w:val="20"/>
          <w:szCs w:val="20"/>
        </w:rPr>
      </w:pPr>
      <w:r w:rsidRPr="00E877D4">
        <w:rPr>
          <w:rFonts w:ascii="Arial" w:hAnsi="Arial" w:cs="Arial"/>
          <w:sz w:val="20"/>
          <w:szCs w:val="20"/>
        </w:rPr>
        <w:t xml:space="preserve">Garden-based education has the potential to improve children's openness to trying new foods and decrease food neophobia. Food neophobia describes the reluctance to eat and experiment with unfamiliar foods, which can hinder children's preference for and consumption of fruits and vegetables, thereby influencing unhealthy eating </w:t>
      </w:r>
      <w:proofErr w:type="spellStart"/>
      <w:r w:rsidRPr="00E877D4">
        <w:rPr>
          <w:rFonts w:ascii="Arial" w:hAnsi="Arial" w:cs="Arial"/>
          <w:sz w:val="20"/>
          <w:szCs w:val="20"/>
        </w:rPr>
        <w:t>behaviors</w:t>
      </w:r>
      <w:proofErr w:type="spellEnd"/>
      <w:r w:rsidR="00BB5AD5" w:rsidRPr="00E877D4">
        <w:rPr>
          <w:rFonts w:ascii="Arial" w:hAnsi="Arial" w:cs="Arial"/>
          <w:sz w:val="20"/>
          <w:szCs w:val="20"/>
        </w:rPr>
        <w:t xml:space="preserve"> [14]</w:t>
      </w:r>
      <w:r w:rsidRPr="00E877D4">
        <w:rPr>
          <w:rFonts w:ascii="Arial" w:hAnsi="Arial" w:cs="Arial"/>
          <w:sz w:val="20"/>
          <w:szCs w:val="20"/>
        </w:rPr>
        <w:t xml:space="preserve"> Moreover, gardening activities such as cooking sessions, where children are encouraged to freely taste and share self-prepared meals during kitchen classes without pressure to eat, foster a supportive social setting for children to explore new foods and potentially reduce their food neophobic tendencies.</w:t>
      </w:r>
    </w:p>
    <w:p w14:paraId="54A21FE9" w14:textId="77777777" w:rsidR="00FF2F1C" w:rsidRPr="00E877D4" w:rsidRDefault="00FF2F1C" w:rsidP="00D037EE">
      <w:pPr>
        <w:spacing w:after="0" w:line="240" w:lineRule="auto"/>
        <w:jc w:val="both"/>
        <w:rPr>
          <w:rFonts w:ascii="Arial" w:hAnsi="Arial" w:cs="Arial"/>
          <w:sz w:val="20"/>
          <w:szCs w:val="20"/>
        </w:rPr>
      </w:pPr>
    </w:p>
    <w:p w14:paraId="55D8DEBD" w14:textId="6D16BAF9" w:rsidR="00EE2E4B" w:rsidRPr="00E877D4" w:rsidRDefault="009B461A" w:rsidP="00D037EE">
      <w:pPr>
        <w:spacing w:after="0" w:line="240" w:lineRule="auto"/>
        <w:jc w:val="both"/>
        <w:rPr>
          <w:rFonts w:ascii="Arial" w:hAnsi="Arial" w:cs="Arial"/>
          <w:sz w:val="20"/>
          <w:szCs w:val="20"/>
        </w:rPr>
      </w:pPr>
      <w:r w:rsidRPr="00E877D4">
        <w:rPr>
          <w:rFonts w:ascii="Arial" w:hAnsi="Arial" w:cs="Arial"/>
          <w:sz w:val="20"/>
          <w:szCs w:val="20"/>
        </w:rPr>
        <w:t xml:space="preserve"> </w:t>
      </w:r>
      <w:r w:rsidR="00EE2E4B" w:rsidRPr="00E877D4">
        <w:rPr>
          <w:rFonts w:ascii="Arial" w:hAnsi="Arial" w:cs="Arial"/>
          <w:sz w:val="20"/>
          <w:szCs w:val="20"/>
        </w:rPr>
        <w:t xml:space="preserve">School garden programs have shown significant benefits in improving children’s comprehension of food, nutrition, gardening, and science. Acquiring knowledge is fundamental for bringing about </w:t>
      </w:r>
      <w:proofErr w:type="spellStart"/>
      <w:r w:rsidR="00EE2E4B" w:rsidRPr="00E877D4">
        <w:rPr>
          <w:rFonts w:ascii="Arial" w:hAnsi="Arial" w:cs="Arial"/>
          <w:sz w:val="20"/>
          <w:szCs w:val="20"/>
        </w:rPr>
        <w:t>behavioral</w:t>
      </w:r>
      <w:proofErr w:type="spellEnd"/>
      <w:r w:rsidR="00EE2E4B" w:rsidRPr="00E877D4">
        <w:rPr>
          <w:rFonts w:ascii="Arial" w:hAnsi="Arial" w:cs="Arial"/>
          <w:sz w:val="20"/>
          <w:szCs w:val="20"/>
        </w:rPr>
        <w:t xml:space="preserve"> change. Besides enhancing students' skills in gardening, school gardening activities have enriched their understanding of declarative knowledge (what constitutes a healthy diet), procedural knowledge (how to achieve a healthy diet), and conditional knowledge (when and why to choose a healthy diet). This is because school gardens allow students to actively participate in food and nutrition education beyond the traditional classroom setting. As a result, children are more likely to make informed decisions about their dietary choices. Research has demonstrated that school gardening effectively enhances schoolchildren’s understanding of nutrition and their preferences for fruits and vegetables</w:t>
      </w:r>
      <w:r w:rsidR="00BB5AD5" w:rsidRPr="00E877D4">
        <w:rPr>
          <w:rFonts w:ascii="Arial" w:hAnsi="Arial" w:cs="Arial"/>
          <w:sz w:val="20"/>
          <w:szCs w:val="20"/>
        </w:rPr>
        <w:t xml:space="preserve"> [3</w:t>
      </w:r>
      <w:r w:rsidR="00954610">
        <w:rPr>
          <w:rFonts w:ascii="Arial" w:hAnsi="Arial" w:cs="Arial"/>
          <w:sz w:val="20"/>
          <w:szCs w:val="20"/>
        </w:rPr>
        <w:t>2</w:t>
      </w:r>
      <w:r w:rsidR="00BB5AD5" w:rsidRPr="00E877D4">
        <w:rPr>
          <w:rFonts w:ascii="Arial" w:hAnsi="Arial" w:cs="Arial"/>
          <w:sz w:val="20"/>
          <w:szCs w:val="20"/>
        </w:rPr>
        <w:t>].</w:t>
      </w:r>
      <w:r w:rsidR="00EE2E4B" w:rsidRPr="00E877D4">
        <w:rPr>
          <w:rFonts w:ascii="Arial" w:hAnsi="Arial" w:cs="Arial"/>
          <w:sz w:val="20"/>
          <w:szCs w:val="20"/>
        </w:rPr>
        <w:t xml:space="preserve"> </w:t>
      </w:r>
    </w:p>
    <w:p w14:paraId="6506799C" w14:textId="77777777" w:rsidR="00F155EB" w:rsidRPr="00E877D4" w:rsidRDefault="00F155EB" w:rsidP="00D037EE">
      <w:pPr>
        <w:spacing w:after="0" w:line="240" w:lineRule="auto"/>
        <w:jc w:val="both"/>
        <w:rPr>
          <w:rFonts w:ascii="Arial" w:hAnsi="Arial" w:cs="Arial"/>
          <w:sz w:val="20"/>
          <w:szCs w:val="20"/>
        </w:rPr>
      </w:pPr>
    </w:p>
    <w:p w14:paraId="4ACAC617" w14:textId="60BE978B" w:rsidR="009B461A" w:rsidRPr="00E877D4" w:rsidRDefault="0033638D" w:rsidP="00D037EE">
      <w:pPr>
        <w:jc w:val="both"/>
        <w:rPr>
          <w:rFonts w:ascii="Arial" w:eastAsia="Times New Roman" w:hAnsi="Arial" w:cs="Arial"/>
          <w:b/>
          <w:bCs/>
          <w:kern w:val="0"/>
          <w:sz w:val="20"/>
          <w:szCs w:val="20"/>
          <w:lang w:eastAsia="en-IN"/>
          <w14:ligatures w14:val="none"/>
        </w:rPr>
      </w:pPr>
      <w:r w:rsidRPr="00E877D4">
        <w:rPr>
          <w:rFonts w:ascii="Arial" w:hAnsi="Arial" w:cs="Arial"/>
          <w:sz w:val="20"/>
          <w:szCs w:val="20"/>
        </w:rPr>
        <w:t xml:space="preserve">Due to conflicting findings in the studies, the impact of interventions aimed at increasing fruit and vegetable (F&amp;V) dietary intake remains uncertain. Understanding of F&amp;V is recognized as one of the most critical factors influencing their consumption. Social cognitive theory supports the idea that enhancing knowledge about food and nutrition through learning horticultural skills could enhance individuals' ability to adopt F&amp;V intake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Knowledge, attitudes, taste preferences, and acceptability are commonly cited as strong predictors of future F&amp;V consumption. However, our review suggests that improvements in these factors through garden-based programs may not be sufficient to significantly increase actual F&amp;V consumption. The limited impact of interventions on dietary habits identified in this review indicates that GBNE may not adequately address other influential factors affecting children's F&amp;V intake. These factors include the availability of F&amp;V at home and school, parental food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and feeding practices, perceived control over dietary choices, self-confidence in making dietary changes and peer influences.</w:t>
      </w:r>
    </w:p>
    <w:p w14:paraId="601E4668" w14:textId="14B7282A" w:rsidR="009B461A" w:rsidRPr="00E877D4" w:rsidRDefault="009B461A" w:rsidP="00AB7856">
      <w:pPr>
        <w:pStyle w:val="ListParagraph"/>
        <w:numPr>
          <w:ilvl w:val="1"/>
          <w:numId w:val="4"/>
        </w:numPr>
        <w:spacing w:before="100" w:beforeAutospacing="1" w:after="100" w:afterAutospacing="1" w:line="240" w:lineRule="auto"/>
        <w:jc w:val="both"/>
        <w:rPr>
          <w:rFonts w:ascii="Arial" w:eastAsia="Times New Roman" w:hAnsi="Arial" w:cs="Arial"/>
          <w:b/>
          <w:bCs/>
          <w:kern w:val="0"/>
          <w:lang w:eastAsia="en-IN"/>
          <w14:ligatures w14:val="none"/>
        </w:rPr>
      </w:pPr>
      <w:r w:rsidRPr="00AB7856">
        <w:rPr>
          <w:rFonts w:ascii="Times New Roman" w:eastAsia="Times New Roman" w:hAnsi="Times New Roman" w:cs="Times New Roman"/>
          <w:b/>
          <w:bCs/>
          <w:kern w:val="0"/>
          <w:sz w:val="24"/>
          <w:szCs w:val="24"/>
          <w:lang w:eastAsia="en-IN"/>
          <w14:ligatures w14:val="none"/>
        </w:rPr>
        <w:t xml:space="preserve"> </w:t>
      </w:r>
      <w:r w:rsidRPr="00E877D4">
        <w:rPr>
          <w:rFonts w:ascii="Arial" w:eastAsia="Times New Roman" w:hAnsi="Arial" w:cs="Arial"/>
          <w:b/>
          <w:bCs/>
          <w:kern w:val="0"/>
          <w:lang w:eastAsia="en-IN"/>
          <w14:ligatures w14:val="none"/>
        </w:rPr>
        <w:t>Improving cognitive function, academic performance and learning outcomes among preschool-aged children</w:t>
      </w:r>
    </w:p>
    <w:p w14:paraId="047FECC2" w14:textId="22983CB5" w:rsidR="009B461A" w:rsidRPr="00E877D4" w:rsidRDefault="009B461A" w:rsidP="00D037EE">
      <w:pPr>
        <w:spacing w:before="100" w:beforeAutospacing="1" w:after="100" w:afterAutospacing="1" w:line="240" w:lineRule="auto"/>
        <w:jc w:val="both"/>
        <w:rPr>
          <w:rFonts w:ascii="Arial" w:hAnsi="Arial" w:cs="Arial"/>
          <w:sz w:val="20"/>
          <w:szCs w:val="20"/>
        </w:rPr>
      </w:pPr>
      <w:r w:rsidRPr="00D037EE">
        <w:rPr>
          <w:rFonts w:ascii="Times New Roman" w:hAnsi="Times New Roman" w:cs="Times New Roman"/>
          <w:sz w:val="24"/>
          <w:szCs w:val="24"/>
        </w:rPr>
        <w:t xml:space="preserve"> </w:t>
      </w:r>
      <w:r w:rsidR="00C611B4" w:rsidRPr="00E877D4">
        <w:rPr>
          <w:rFonts w:ascii="Arial" w:hAnsi="Arial" w:cs="Arial"/>
          <w:sz w:val="20"/>
          <w:szCs w:val="20"/>
        </w:rPr>
        <w:t>According to this review, only a limited number of garden-based nutrition interventions have evaluated how gardening activities influence cognitive functioning and academic performance. Specifically, six of these interventions suggested that such programs improve cognitive functioning and academic achievement, particularly showing strong evidence in science test scores. However, improvements in math and language arts scores were less pronounced. Moreover, two interventions were noted to have positive effects on children's working memory and attention.</w:t>
      </w:r>
    </w:p>
    <w:p w14:paraId="56C0580A" w14:textId="77777777" w:rsidR="00FD7650" w:rsidRPr="00E877D4" w:rsidRDefault="00FD7650"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The ways in which school nutrition interventions impact academic performance are still not fully understood. While healthier school meals can potentially improve nutrient intake and nutritional status over the long term, which may have a positive effect on cognition, academic achievement is influenced by socioeconomic factors alongside nutritional considerations. Some researchers propose that improvements in academic outcomes could stem from better attendance leading to increased instructional time. It may be beneficial to assess pro-academic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like task engagement, </w:t>
      </w:r>
      <w:r w:rsidRPr="00E877D4">
        <w:rPr>
          <w:rFonts w:ascii="Arial" w:hAnsi="Arial" w:cs="Arial"/>
          <w:sz w:val="20"/>
          <w:szCs w:val="20"/>
        </w:rPr>
        <w:lastRenderedPageBreak/>
        <w:t>classroom conduct, creativity, and learning attitudes to better gauge students’ potential for academic success.</w:t>
      </w:r>
    </w:p>
    <w:p w14:paraId="7389F428" w14:textId="0FEA9012" w:rsidR="001F34FA" w:rsidRPr="00E877D4" w:rsidRDefault="00BB7860"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School garden programs typically aim to improve children’s dietary choices by enhancing their knowledge of and attitudes toward fruits and vegetables (FV), often based on social cognitive theory. However, their direct impact on academic performance is not clearly established. Research in the field of protein-energy malnutrition suggests that improving students’ nutritional status can boost academic achievement, although this effect is less pronounced in students who already receive adequate protein and energy. Gardens also help students develop observational skills and offer opportunities to integrate interdisciplinary content in a real-world setting. Indeed, experiential learning opportunities like school gardens have been shown to enhance student engagement. </w:t>
      </w:r>
    </w:p>
    <w:p w14:paraId="4494D27E" w14:textId="77777777" w:rsidR="003E3127" w:rsidRPr="00E877D4" w:rsidRDefault="003E3127"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The established correlations between obesity and academic performance indicate that children with better health tend to achieve higher academic success. Initiatives such as nutrition education, school meal improvements, and the introduction of school gardens also aim to prevent obesity by fostering healthier eating habits through increased awareness, better food choices within school environments, and promoting lifelong dietary improvements.</w:t>
      </w:r>
    </w:p>
    <w:p w14:paraId="5B830762" w14:textId="27D086A5" w:rsidR="002258CE" w:rsidRPr="00E877D4" w:rsidRDefault="002258CE"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Cognitive learning forms the basis for advanced thinking skills, allowing students to recall information, engage in logical reasoning, solve complex problems, think critically, acquire knowledge, evaluate, and make informed decisions. According to </w:t>
      </w:r>
      <w:bookmarkStart w:id="6" w:name="_Hlk173709169"/>
      <w:proofErr w:type="spellStart"/>
      <w:r w:rsidRPr="00E877D4">
        <w:rPr>
          <w:rFonts w:ascii="Arial" w:hAnsi="Arial" w:cs="Arial"/>
          <w:sz w:val="20"/>
          <w:szCs w:val="20"/>
        </w:rPr>
        <w:t>Paño</w:t>
      </w:r>
      <w:proofErr w:type="spellEnd"/>
      <w:r w:rsidRPr="00E877D4">
        <w:rPr>
          <w:rFonts w:ascii="Arial" w:hAnsi="Arial" w:cs="Arial"/>
          <w:sz w:val="20"/>
          <w:szCs w:val="20"/>
        </w:rPr>
        <w:t xml:space="preserve"> and colleagues (2022</w:t>
      </w:r>
      <w:bookmarkEnd w:id="6"/>
      <w:r w:rsidRPr="00E877D4">
        <w:rPr>
          <w:rFonts w:ascii="Arial" w:hAnsi="Arial" w:cs="Arial"/>
          <w:sz w:val="20"/>
          <w:szCs w:val="20"/>
        </w:rPr>
        <w:t>), garden-based education (GBE) influences the cognitive aspects of learning through five key themes: 1) experiential learning, 2) meaningful learning, 3) explicit and implicit learning, 4) discovery learning, and 5) application of learning to new contexts</w:t>
      </w:r>
      <w:r w:rsidR="00BB5AD5" w:rsidRPr="00E877D4">
        <w:rPr>
          <w:rFonts w:ascii="Arial" w:hAnsi="Arial" w:cs="Arial"/>
          <w:sz w:val="20"/>
          <w:szCs w:val="20"/>
        </w:rPr>
        <w:t xml:space="preserve"> [</w:t>
      </w:r>
      <w:r w:rsidR="00C567C2" w:rsidRPr="00E877D4">
        <w:rPr>
          <w:rFonts w:ascii="Arial" w:hAnsi="Arial" w:cs="Arial"/>
          <w:sz w:val="20"/>
          <w:szCs w:val="20"/>
        </w:rPr>
        <w:t>2</w:t>
      </w:r>
      <w:r w:rsidR="00954610">
        <w:rPr>
          <w:rFonts w:ascii="Arial" w:hAnsi="Arial" w:cs="Arial"/>
          <w:sz w:val="20"/>
          <w:szCs w:val="20"/>
        </w:rPr>
        <w:t>7</w:t>
      </w:r>
      <w:r w:rsidR="00BB5AD5" w:rsidRPr="00E877D4">
        <w:rPr>
          <w:rFonts w:ascii="Arial" w:hAnsi="Arial" w:cs="Arial"/>
          <w:sz w:val="20"/>
          <w:szCs w:val="20"/>
        </w:rPr>
        <w:t>]</w:t>
      </w:r>
      <w:r w:rsidRPr="00E877D4">
        <w:rPr>
          <w:rFonts w:ascii="Arial" w:hAnsi="Arial" w:cs="Arial"/>
          <w:sz w:val="20"/>
          <w:szCs w:val="20"/>
        </w:rPr>
        <w:t>.</w:t>
      </w:r>
    </w:p>
    <w:p w14:paraId="0453C625" w14:textId="7BEABE45" w:rsidR="00D359B9" w:rsidRPr="00E877D4" w:rsidRDefault="00D359B9"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These themes illustrate how garden-based education</w:t>
      </w:r>
      <w:r w:rsidR="00BB5AD5" w:rsidRPr="00E877D4">
        <w:rPr>
          <w:rFonts w:ascii="Arial" w:hAnsi="Arial" w:cs="Arial"/>
          <w:sz w:val="20"/>
          <w:szCs w:val="20"/>
        </w:rPr>
        <w:t xml:space="preserve"> [3</w:t>
      </w:r>
      <w:r w:rsidR="004F46F3">
        <w:rPr>
          <w:rFonts w:ascii="Arial" w:hAnsi="Arial" w:cs="Arial"/>
          <w:sz w:val="20"/>
          <w:szCs w:val="20"/>
        </w:rPr>
        <w:t>3</w:t>
      </w:r>
      <w:r w:rsidR="00BB5AD5" w:rsidRPr="00E877D4">
        <w:rPr>
          <w:rFonts w:ascii="Arial" w:hAnsi="Arial" w:cs="Arial"/>
          <w:sz w:val="20"/>
          <w:szCs w:val="20"/>
        </w:rPr>
        <w:t>]</w:t>
      </w:r>
      <w:r w:rsidRPr="00E877D4">
        <w:rPr>
          <w:rFonts w:ascii="Arial" w:hAnsi="Arial" w:cs="Arial"/>
          <w:sz w:val="20"/>
          <w:szCs w:val="20"/>
        </w:rPr>
        <w:t xml:space="preserve"> facilitates the cognitive aspect of learning. Experiential learning occurs when students participate in multisensory, cooperative, and collaborative activities. They find their lessons tangible as they explore the garden, where they understand the significance of engagement through planting and consuming their harvest. Additionally, the garden enriches their learning journey by allowing them to assume roles as problem solvers and community contributors while nurturing plants.</w:t>
      </w:r>
    </w:p>
    <w:p w14:paraId="149A56E1" w14:textId="29543BB3" w:rsidR="000F146D" w:rsidRPr="00E877D4" w:rsidRDefault="000F146D" w:rsidP="00D037EE">
      <w:pPr>
        <w:pStyle w:val="NormalWeb"/>
        <w:jc w:val="both"/>
        <w:rPr>
          <w:rFonts w:ascii="Arial" w:hAnsi="Arial" w:cs="Arial"/>
          <w:sz w:val="20"/>
          <w:szCs w:val="20"/>
        </w:rPr>
      </w:pPr>
      <w:r w:rsidRPr="00E877D4">
        <w:rPr>
          <w:rFonts w:ascii="Arial" w:hAnsi="Arial" w:cs="Arial"/>
          <w:sz w:val="20"/>
          <w:szCs w:val="20"/>
        </w:rPr>
        <w:t xml:space="preserve">The immersive nature of school gardens makes them a potent tool for discovery learning, fostering deep engagement among students. Their natural curiosity acts as a catalyst for analytical and creative involvement in their studies. This approach impacts the cognitive development of students by nurturing their curiosity and sense of wonder, qualities highlighted as essential by </w:t>
      </w:r>
      <w:bookmarkStart w:id="7" w:name="_Hlk173709277"/>
      <w:r w:rsidRPr="00E877D4">
        <w:rPr>
          <w:rFonts w:ascii="Arial" w:hAnsi="Arial" w:cs="Arial"/>
          <w:sz w:val="20"/>
          <w:szCs w:val="20"/>
        </w:rPr>
        <w:t>Cross and Kahn (2018)</w:t>
      </w:r>
      <w:bookmarkEnd w:id="7"/>
      <w:r w:rsidRPr="00E877D4">
        <w:rPr>
          <w:rFonts w:ascii="Arial" w:hAnsi="Arial" w:cs="Arial"/>
          <w:sz w:val="20"/>
          <w:szCs w:val="20"/>
        </w:rPr>
        <w:t xml:space="preserve"> and </w:t>
      </w:r>
      <w:bookmarkStart w:id="8" w:name="_Hlk173709294"/>
      <w:r w:rsidRPr="00E877D4">
        <w:rPr>
          <w:rFonts w:ascii="Arial" w:hAnsi="Arial" w:cs="Arial"/>
          <w:sz w:val="20"/>
          <w:szCs w:val="20"/>
        </w:rPr>
        <w:t>Davis and Brann (2017)</w:t>
      </w:r>
      <w:bookmarkEnd w:id="8"/>
      <w:r w:rsidRPr="00E877D4">
        <w:rPr>
          <w:rFonts w:ascii="Arial" w:hAnsi="Arial" w:cs="Arial"/>
          <w:sz w:val="20"/>
          <w:szCs w:val="20"/>
        </w:rPr>
        <w:t xml:space="preserve"> in integrating curriculum connections and enriching learning opportunities</w:t>
      </w:r>
      <w:r w:rsidR="00A812ED" w:rsidRPr="00E877D4">
        <w:rPr>
          <w:rFonts w:ascii="Arial" w:hAnsi="Arial" w:cs="Arial"/>
          <w:sz w:val="20"/>
          <w:szCs w:val="20"/>
        </w:rPr>
        <w:t xml:space="preserve"> </w:t>
      </w:r>
      <w:r w:rsidR="00BB5AD5" w:rsidRPr="00E877D4">
        <w:rPr>
          <w:rFonts w:ascii="Arial" w:hAnsi="Arial" w:cs="Arial"/>
          <w:sz w:val="20"/>
          <w:szCs w:val="20"/>
        </w:rPr>
        <w:t>[3</w:t>
      </w:r>
      <w:r w:rsidR="00954610">
        <w:rPr>
          <w:rFonts w:ascii="Arial" w:hAnsi="Arial" w:cs="Arial"/>
          <w:sz w:val="20"/>
          <w:szCs w:val="20"/>
        </w:rPr>
        <w:t>4</w:t>
      </w:r>
      <w:r w:rsidR="00BB5AD5" w:rsidRPr="00E877D4">
        <w:rPr>
          <w:rFonts w:ascii="Arial" w:hAnsi="Arial" w:cs="Arial"/>
          <w:sz w:val="20"/>
          <w:szCs w:val="20"/>
        </w:rPr>
        <w:t>,3</w:t>
      </w:r>
      <w:r w:rsidR="00954610">
        <w:rPr>
          <w:rFonts w:ascii="Arial" w:hAnsi="Arial" w:cs="Arial"/>
          <w:sz w:val="20"/>
          <w:szCs w:val="20"/>
        </w:rPr>
        <w:t>5</w:t>
      </w:r>
      <w:r w:rsidR="00BB5AD5" w:rsidRPr="00E877D4">
        <w:rPr>
          <w:rFonts w:ascii="Arial" w:hAnsi="Arial" w:cs="Arial"/>
          <w:sz w:val="20"/>
          <w:szCs w:val="20"/>
        </w:rPr>
        <w:t>]</w:t>
      </w:r>
      <w:r w:rsidRPr="00E877D4">
        <w:rPr>
          <w:rFonts w:ascii="Arial" w:hAnsi="Arial" w:cs="Arial"/>
          <w:sz w:val="20"/>
          <w:szCs w:val="20"/>
        </w:rPr>
        <w:t xml:space="preserve">. </w:t>
      </w:r>
      <w:bookmarkStart w:id="9" w:name="_Hlk173709309"/>
      <w:r w:rsidRPr="00E877D4">
        <w:rPr>
          <w:rFonts w:ascii="Arial" w:hAnsi="Arial" w:cs="Arial"/>
          <w:sz w:val="20"/>
          <w:szCs w:val="20"/>
        </w:rPr>
        <w:t>Mohamed and Othman (2018)</w:t>
      </w:r>
      <w:bookmarkEnd w:id="9"/>
      <w:r w:rsidRPr="00E877D4">
        <w:rPr>
          <w:rFonts w:ascii="Arial" w:hAnsi="Arial" w:cs="Arial"/>
          <w:sz w:val="20"/>
          <w:szCs w:val="20"/>
        </w:rPr>
        <w:t xml:space="preserve"> corroborate these findings, emphasizing the diverse learning potentials offered by school gardens as they function as organic laboratories for honing cognitive skills and deepening understanding of the natural world</w:t>
      </w:r>
      <w:r w:rsidR="00A812ED" w:rsidRPr="00E877D4">
        <w:rPr>
          <w:rFonts w:ascii="Arial" w:hAnsi="Arial" w:cs="Arial"/>
          <w:sz w:val="20"/>
          <w:szCs w:val="20"/>
        </w:rPr>
        <w:t xml:space="preserve"> [3</w:t>
      </w:r>
      <w:r w:rsidR="00954610">
        <w:rPr>
          <w:rFonts w:ascii="Arial" w:hAnsi="Arial" w:cs="Arial"/>
          <w:sz w:val="20"/>
          <w:szCs w:val="20"/>
        </w:rPr>
        <w:t>6</w:t>
      </w:r>
      <w:r w:rsidR="00A812ED" w:rsidRPr="00E877D4">
        <w:rPr>
          <w:rFonts w:ascii="Arial" w:hAnsi="Arial" w:cs="Arial"/>
          <w:sz w:val="20"/>
          <w:szCs w:val="20"/>
        </w:rPr>
        <w:t>]</w:t>
      </w:r>
      <w:r w:rsidRPr="00E877D4">
        <w:rPr>
          <w:rFonts w:ascii="Arial" w:hAnsi="Arial" w:cs="Arial"/>
          <w:sz w:val="20"/>
          <w:szCs w:val="20"/>
        </w:rPr>
        <w:t>.</w:t>
      </w:r>
    </w:p>
    <w:p w14:paraId="43D18A53" w14:textId="08CFFE6A" w:rsidR="005F3B1F" w:rsidRPr="00E877D4" w:rsidRDefault="00A0255A"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Gardens offer rich opportunities for children to engage in mathematical thinking, including activities like counting seeds and measuring the leaves, fruits, and flowers of seedlings. This outdoor setting provides a deeper learning experience than the classroom, allowing children to actively participate in this educational approach. Enhancements in cognitive outcomes in science were noted across different settings that were not exclusively tied to gardening tasks. Engaging in garden-related activities enabled children to showcase their grasp of scientific concepts like taxonomy, scientific methods such as designing experiments, scientific knowledge covering habitats and life cycles, and using appropriate scientific terminology.</w:t>
      </w:r>
    </w:p>
    <w:p w14:paraId="4487C6B2" w14:textId="00A08A0E" w:rsidR="001064D3" w:rsidRPr="00E877D4" w:rsidRDefault="001064D3"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School gardens animate the curriculum by providing students with hands-on, real-world learning experiences. This approach promotes experiential learning, facilitates the exploration of novel ideas, and cultivates skills such as responsibility, teamwork, accountability, and environmental stewardship</w:t>
      </w:r>
      <w:r w:rsidR="00A812ED" w:rsidRPr="00E877D4">
        <w:rPr>
          <w:rFonts w:ascii="Arial" w:hAnsi="Arial" w:cs="Arial"/>
          <w:sz w:val="20"/>
          <w:szCs w:val="20"/>
        </w:rPr>
        <w:t xml:space="preserve"> [3</w:t>
      </w:r>
      <w:r w:rsidR="00954610">
        <w:rPr>
          <w:rFonts w:ascii="Arial" w:hAnsi="Arial" w:cs="Arial"/>
          <w:sz w:val="20"/>
          <w:szCs w:val="20"/>
        </w:rPr>
        <w:t>7</w:t>
      </w:r>
      <w:r w:rsidR="00A812ED" w:rsidRPr="00E877D4">
        <w:rPr>
          <w:rFonts w:ascii="Arial" w:hAnsi="Arial" w:cs="Arial"/>
          <w:sz w:val="20"/>
          <w:szCs w:val="20"/>
        </w:rPr>
        <w:t>]</w:t>
      </w:r>
      <w:r w:rsidR="00747156">
        <w:rPr>
          <w:rFonts w:ascii="Arial" w:hAnsi="Arial" w:cs="Arial"/>
          <w:sz w:val="20"/>
          <w:szCs w:val="20"/>
        </w:rPr>
        <w:t xml:space="preserve">. </w:t>
      </w:r>
      <w:r w:rsidRPr="00E877D4">
        <w:rPr>
          <w:rFonts w:ascii="Arial" w:hAnsi="Arial" w:cs="Arial"/>
          <w:sz w:val="20"/>
          <w:szCs w:val="20"/>
        </w:rPr>
        <w:t>Synthesized research underscores the positive impact of garden-based education on cognitive development. Regular engagement with outdoor environments supports the development of creativity, observational skills, imagination, and collaboration, while also improving language acquisition, attention span, reducing stress levels, and encouraging greater physical activity</w:t>
      </w:r>
      <w:r w:rsidR="006D0C85" w:rsidRPr="00E877D4">
        <w:rPr>
          <w:rFonts w:ascii="Arial" w:hAnsi="Arial" w:cs="Arial"/>
          <w:sz w:val="20"/>
          <w:szCs w:val="20"/>
        </w:rPr>
        <w:t>.</w:t>
      </w:r>
      <w:r w:rsidRPr="00E877D4">
        <w:rPr>
          <w:rFonts w:ascii="Arial" w:hAnsi="Arial" w:cs="Arial"/>
          <w:sz w:val="20"/>
          <w:szCs w:val="20"/>
        </w:rPr>
        <w:t xml:space="preserve"> </w:t>
      </w:r>
    </w:p>
    <w:p w14:paraId="0FB87E6A" w14:textId="515ECC3F" w:rsidR="009B6704" w:rsidRPr="00E877D4" w:rsidRDefault="009B6704"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lastRenderedPageBreak/>
        <w:t xml:space="preserve">Gardens and activities centred around garden-based nutrition provide opportunities for exposure to green environments and contribute to enhancing the greenery in their surroundings. Research indicates that both the </w:t>
      </w:r>
      <w:r w:rsidR="002E55F5" w:rsidRPr="00E877D4">
        <w:rPr>
          <w:rFonts w:ascii="Arial" w:hAnsi="Arial" w:cs="Arial"/>
          <w:sz w:val="20"/>
          <w:szCs w:val="20"/>
        </w:rPr>
        <w:t>s</w:t>
      </w:r>
      <w:r w:rsidRPr="00E877D4">
        <w:rPr>
          <w:rFonts w:ascii="Arial" w:hAnsi="Arial" w:cs="Arial"/>
          <w:sz w:val="20"/>
          <w:szCs w:val="20"/>
        </w:rPr>
        <w:t>chool and overall greenness index of surrounding areas are associated with improved progress in working memory indicators over a 12-month period, superior working memory, and reduced inattentiveness</w:t>
      </w:r>
      <w:r w:rsidR="00A812ED" w:rsidRPr="00E877D4">
        <w:rPr>
          <w:rFonts w:ascii="Arial" w:hAnsi="Arial" w:cs="Arial"/>
          <w:sz w:val="20"/>
          <w:szCs w:val="20"/>
        </w:rPr>
        <w:t xml:space="preserve"> [</w:t>
      </w:r>
      <w:r w:rsidR="00954610">
        <w:rPr>
          <w:rFonts w:ascii="Arial" w:hAnsi="Arial" w:cs="Arial"/>
          <w:sz w:val="20"/>
          <w:szCs w:val="20"/>
        </w:rPr>
        <w:t>30</w:t>
      </w:r>
      <w:r w:rsidR="00A812ED" w:rsidRPr="00E877D4">
        <w:rPr>
          <w:rFonts w:ascii="Arial" w:hAnsi="Arial" w:cs="Arial"/>
          <w:sz w:val="20"/>
          <w:szCs w:val="20"/>
        </w:rPr>
        <w:t>]</w:t>
      </w:r>
      <w:r w:rsidR="00747156">
        <w:rPr>
          <w:rFonts w:ascii="Arial" w:hAnsi="Arial" w:cs="Arial"/>
          <w:sz w:val="20"/>
          <w:szCs w:val="20"/>
        </w:rPr>
        <w:t xml:space="preserve">. </w:t>
      </w:r>
      <w:r w:rsidRPr="00E877D4">
        <w:rPr>
          <w:rFonts w:ascii="Arial" w:hAnsi="Arial" w:cs="Arial"/>
          <w:sz w:val="20"/>
          <w:szCs w:val="20"/>
        </w:rPr>
        <w:t>Additionally, living close to green spaces has been found to increase physical activity levels, which correlates with improved cognitive function among children. Furthermore, parental psychological stress and depression have been linked to adverse effects on children's cognitive development, whereas exposure to green spaces has shown evidence of reducing stress and alleviating depression in adults.</w:t>
      </w:r>
    </w:p>
    <w:p w14:paraId="69B712E0" w14:textId="572AA984" w:rsidR="008A2575" w:rsidRPr="00E877D4" w:rsidRDefault="008A2575"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Gardening is not only enjoyable and entertaining but also constitutes a significant component of a physically active lifestyle, contributing significantly to overall physical activity levels. Engaging in gardening provides children with a range of activities that vary in physical intensity, from gentle tasks like transplanting and harvesting to moderate activities such as weeding and mulching, and more vigorous tasks like digging and raking </w:t>
      </w:r>
      <w:r w:rsidR="00747156">
        <w:rPr>
          <w:rFonts w:ascii="Arial" w:hAnsi="Arial" w:cs="Arial"/>
          <w:sz w:val="20"/>
          <w:szCs w:val="20"/>
        </w:rPr>
        <w:t>[3</w:t>
      </w:r>
      <w:r w:rsidR="00954610">
        <w:rPr>
          <w:rFonts w:ascii="Arial" w:hAnsi="Arial" w:cs="Arial"/>
          <w:sz w:val="20"/>
          <w:szCs w:val="20"/>
        </w:rPr>
        <w:t>8</w:t>
      </w:r>
      <w:r w:rsidR="00747156">
        <w:rPr>
          <w:rFonts w:ascii="Arial" w:hAnsi="Arial" w:cs="Arial"/>
          <w:sz w:val="20"/>
          <w:szCs w:val="20"/>
        </w:rPr>
        <w:t>].</w:t>
      </w:r>
      <w:r w:rsidRPr="00E877D4">
        <w:rPr>
          <w:rFonts w:ascii="Arial" w:hAnsi="Arial" w:cs="Arial"/>
          <w:sz w:val="20"/>
          <w:szCs w:val="20"/>
        </w:rPr>
        <w:t xml:space="preserve"> Nonetheless, there has been limited research conducted in this specific area.</w:t>
      </w:r>
    </w:p>
    <w:p w14:paraId="2555D047" w14:textId="53D92F4C" w:rsidR="007A725D" w:rsidRPr="00E877D4" w:rsidRDefault="009B461A" w:rsidP="00D037EE">
      <w:pPr>
        <w:spacing w:before="100" w:beforeAutospacing="1" w:after="100" w:afterAutospacing="1" w:line="240" w:lineRule="auto"/>
        <w:jc w:val="both"/>
        <w:rPr>
          <w:rFonts w:ascii="Arial" w:hAnsi="Arial" w:cs="Arial"/>
          <w:color w:val="FF0000"/>
          <w:sz w:val="20"/>
          <w:szCs w:val="20"/>
        </w:rPr>
      </w:pPr>
      <w:r w:rsidRPr="00E877D4">
        <w:rPr>
          <w:rFonts w:ascii="Arial" w:hAnsi="Arial" w:cs="Arial"/>
          <w:sz w:val="20"/>
          <w:szCs w:val="20"/>
        </w:rPr>
        <w:t xml:space="preserve"> </w:t>
      </w:r>
      <w:r w:rsidR="006A3B73" w:rsidRPr="00E877D4">
        <w:rPr>
          <w:rFonts w:ascii="Arial" w:hAnsi="Arial" w:cs="Arial"/>
          <w:sz w:val="20"/>
          <w:szCs w:val="20"/>
        </w:rPr>
        <w:t>Garden-based education also supports social and emotional development in children. Research on garden programs indicates they have a positive, indirect impact on children's social skills. Exposure to nature enriches children's emotional experiences and improves their emotional intelligence, which involves recognizing and understanding emotions, distinguishing between different feelings, accurately labe</w:t>
      </w:r>
      <w:r w:rsidR="00A812ED" w:rsidRPr="00E877D4">
        <w:rPr>
          <w:rFonts w:ascii="Arial" w:hAnsi="Arial" w:cs="Arial"/>
          <w:sz w:val="20"/>
          <w:szCs w:val="20"/>
        </w:rPr>
        <w:t>l</w:t>
      </w:r>
      <w:r w:rsidR="006A3B73" w:rsidRPr="00E877D4">
        <w:rPr>
          <w:rFonts w:ascii="Arial" w:hAnsi="Arial" w:cs="Arial"/>
          <w:sz w:val="20"/>
          <w:szCs w:val="20"/>
        </w:rPr>
        <w:t xml:space="preserve">ling emotions, and using emotional information to guide </w:t>
      </w:r>
      <w:proofErr w:type="spellStart"/>
      <w:r w:rsidR="006A3B73" w:rsidRPr="00E877D4">
        <w:rPr>
          <w:rFonts w:ascii="Arial" w:hAnsi="Arial" w:cs="Arial"/>
          <w:sz w:val="20"/>
          <w:szCs w:val="20"/>
        </w:rPr>
        <w:t>behavior</w:t>
      </w:r>
      <w:proofErr w:type="spellEnd"/>
      <w:r w:rsidR="006A3B73" w:rsidRPr="00E877D4">
        <w:rPr>
          <w:rFonts w:ascii="Arial" w:hAnsi="Arial" w:cs="Arial"/>
          <w:sz w:val="20"/>
          <w:szCs w:val="20"/>
        </w:rPr>
        <w:t>. Developing emotional skills during early childhood is essential for overall human development. Engaging directly with nature through activities like planting enhances emotional well-being and provides enjoyable and meaningful experiences. Gardening activities, involving interaction with living plants, foster a sense of responsibility. Additionally, collaborating with peers offers opportunities to learn cooperation and patience.</w:t>
      </w:r>
      <w:r w:rsidR="00E065B5" w:rsidRPr="00E877D4">
        <w:rPr>
          <w:rFonts w:ascii="Arial" w:hAnsi="Arial" w:cs="Arial"/>
          <w:color w:val="FF0000"/>
          <w:sz w:val="20"/>
          <w:szCs w:val="20"/>
        </w:rPr>
        <w:t xml:space="preserve"> </w:t>
      </w:r>
      <w:r w:rsidR="00C80FC6" w:rsidRPr="00E877D4">
        <w:rPr>
          <w:rFonts w:ascii="Arial" w:hAnsi="Arial" w:cs="Arial"/>
          <w:sz w:val="20"/>
          <w:szCs w:val="20"/>
        </w:rPr>
        <w:t>Engaging in gardening with friends, colleagues, or family members provides a chance to develop essential life skills such as teamwork, cooperation, goal attainment, self-assurance, self-expression, and respecting others' decisions</w:t>
      </w:r>
      <w:r w:rsidR="00A812ED" w:rsidRPr="00E877D4">
        <w:rPr>
          <w:rFonts w:ascii="Arial" w:hAnsi="Arial" w:cs="Arial"/>
          <w:sz w:val="20"/>
          <w:szCs w:val="20"/>
        </w:rPr>
        <w:t xml:space="preserve"> [</w:t>
      </w:r>
      <w:r w:rsidR="00747156">
        <w:rPr>
          <w:rFonts w:ascii="Arial" w:hAnsi="Arial" w:cs="Arial"/>
          <w:sz w:val="20"/>
          <w:szCs w:val="20"/>
        </w:rPr>
        <w:t>3</w:t>
      </w:r>
      <w:r w:rsidR="00954610">
        <w:rPr>
          <w:rFonts w:ascii="Arial" w:hAnsi="Arial" w:cs="Arial"/>
          <w:sz w:val="20"/>
          <w:szCs w:val="20"/>
        </w:rPr>
        <w:t>9</w:t>
      </w:r>
      <w:r w:rsidR="00A812ED" w:rsidRPr="00E877D4">
        <w:rPr>
          <w:rFonts w:ascii="Arial" w:hAnsi="Arial" w:cs="Arial"/>
          <w:sz w:val="20"/>
          <w:szCs w:val="20"/>
        </w:rPr>
        <w:t>]</w:t>
      </w:r>
      <w:r w:rsidR="00747156">
        <w:rPr>
          <w:rFonts w:ascii="Arial" w:hAnsi="Arial" w:cs="Arial"/>
          <w:sz w:val="20"/>
          <w:szCs w:val="20"/>
        </w:rPr>
        <w:t>.</w:t>
      </w:r>
      <w:r w:rsidR="00C80FC6" w:rsidRPr="00E877D4">
        <w:rPr>
          <w:rFonts w:ascii="Arial" w:hAnsi="Arial" w:cs="Arial"/>
          <w:sz w:val="20"/>
          <w:szCs w:val="20"/>
        </w:rPr>
        <w:t xml:space="preserve"> </w:t>
      </w:r>
    </w:p>
    <w:p w14:paraId="7770F34D" w14:textId="77777777" w:rsidR="006221E5" w:rsidRPr="00E877D4" w:rsidRDefault="006221E5"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Participation in garden work helped children develop confidence in various ways. Some learned to overcome their aversion to touching worms or beetles and to enjoy getting their hands dirty. Others gained an appreciation for patience as they awaited the growth of crops, while some simply enjoyed the experience of being outdoors and witnessing the natural process of growth. For some children, the garden served as a tool for building resilience to face life's challenges, not only in times of crop failures but also when they needed to replant beds. Improved self-confidence and self-esteem were also observed as outcomes of contributing—both through practical work and the perceived value of their contributions—to the school and wider community via the garden.</w:t>
      </w:r>
    </w:p>
    <w:p w14:paraId="17C32D22" w14:textId="28717A4C" w:rsidR="009B461A" w:rsidRPr="00E877D4" w:rsidRDefault="00E8016D" w:rsidP="00D037EE">
      <w:pPr>
        <w:jc w:val="both"/>
        <w:rPr>
          <w:rFonts w:ascii="Arial" w:hAnsi="Arial" w:cs="Arial"/>
          <w:sz w:val="20"/>
          <w:szCs w:val="20"/>
        </w:rPr>
      </w:pPr>
      <w:r w:rsidRPr="00E877D4">
        <w:rPr>
          <w:rFonts w:ascii="Arial" w:hAnsi="Arial" w:cs="Arial"/>
          <w:sz w:val="20"/>
          <w:szCs w:val="20"/>
        </w:rPr>
        <w:t>The conclusions drawn from this review emphasize that garden-based nutrition education holds significant promise as a holistic approach to enhancing cognitive development and preparing preschool-aged children for academic success. Despite ongoing advancements in research within this area, several hurdles remain, including the need to ensure that garden-based nutrition education programs are accessible, sustainable, and scalable. Additionally, future research should prioritize uncovering the mechanisms that link garden-based activities to cognitive development. It should also explore the enduring impact of these interventions on cognitive outcomes as children progress into later stages of childhood and adolescence.</w:t>
      </w:r>
    </w:p>
    <w:p w14:paraId="3F406A2A" w14:textId="4E075866" w:rsidR="006C0F83" w:rsidRPr="00E877D4" w:rsidRDefault="006C0F83" w:rsidP="00D037EE">
      <w:pPr>
        <w:jc w:val="both"/>
        <w:rPr>
          <w:rFonts w:ascii="Arial" w:hAnsi="Arial" w:cs="Arial"/>
          <w:sz w:val="20"/>
          <w:szCs w:val="20"/>
        </w:rPr>
      </w:pPr>
      <w:r w:rsidRPr="00E877D4">
        <w:rPr>
          <w:rFonts w:ascii="Arial" w:hAnsi="Arial" w:cs="Arial"/>
          <w:sz w:val="20"/>
          <w:szCs w:val="20"/>
        </w:rPr>
        <w:t>Gardening programs had positive effects on children's inclination towards consuming fruits and vegetables. Additionally, most studies indicated that gardens were effective educational resources. Research also suggested that garden programs indirectly benefited children's social development. However, overall, these studies lacked scientific rigor, and the inclusion criteria for this article yielded only a small number of studies. While it is encouraging that the studies did not contradict each other, the limited number of studies reduces the robustness of this article.</w:t>
      </w:r>
    </w:p>
    <w:p w14:paraId="5518D546" w14:textId="0BB68CB2" w:rsidR="00382561" w:rsidRPr="00E877D4" w:rsidRDefault="00AB7856" w:rsidP="00AB7856">
      <w:pPr>
        <w:pStyle w:val="ListParagraph"/>
        <w:numPr>
          <w:ilvl w:val="1"/>
          <w:numId w:val="4"/>
        </w:numPr>
        <w:spacing w:before="100" w:beforeAutospacing="1" w:after="100" w:afterAutospacing="1" w:line="240" w:lineRule="auto"/>
        <w:jc w:val="both"/>
        <w:rPr>
          <w:rFonts w:ascii="Arial" w:eastAsia="Times New Roman" w:hAnsi="Arial" w:cs="Arial"/>
          <w:b/>
          <w:bCs/>
          <w:kern w:val="0"/>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382561" w:rsidRPr="00E877D4">
        <w:rPr>
          <w:rFonts w:ascii="Arial" w:eastAsia="Times New Roman" w:hAnsi="Arial" w:cs="Arial"/>
          <w:b/>
          <w:bCs/>
          <w:kern w:val="0"/>
          <w:lang w:eastAsia="en-IN"/>
          <w14:ligatures w14:val="none"/>
        </w:rPr>
        <w:t>Methodologies employed in studying the impact of garden-based nutrition education on cognitive development and academic performance in preschoolers</w:t>
      </w:r>
    </w:p>
    <w:p w14:paraId="13107B75" w14:textId="4D1D6660" w:rsidR="00102973" w:rsidRPr="00E877D4" w:rsidRDefault="00102973"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lastRenderedPageBreak/>
        <w:t>The interventions reviewed here exhibited methodological diversity. However, as noted in previous reviews, these garden interventions frequently included incomplete methodological descriptions, the use of convenience samples, and often lacked a control group or involved small cohorts. In this review, studies examining the effects of garden-based nutrition education on cognitive development and academic performance in preschoolers employ a range of effective methodologies. These include experimental and quasi-experimental studies with comparison groups that employed standardized cognitive measures (e.g., participants randomly assigned to groups, pre- and post-assessments, comparison groups, or controlled trials)</w:t>
      </w:r>
      <w:r w:rsidR="00747156">
        <w:rPr>
          <w:rFonts w:ascii="Arial" w:hAnsi="Arial" w:cs="Arial"/>
          <w:sz w:val="20"/>
          <w:szCs w:val="20"/>
        </w:rPr>
        <w:t xml:space="preserve"> </w:t>
      </w:r>
      <w:r w:rsidR="00A812ED" w:rsidRPr="00E877D4">
        <w:rPr>
          <w:rFonts w:ascii="Arial" w:hAnsi="Arial" w:cs="Arial"/>
          <w:sz w:val="20"/>
          <w:szCs w:val="20"/>
        </w:rPr>
        <w:t>[2</w:t>
      </w:r>
      <w:r w:rsidR="00954610">
        <w:rPr>
          <w:rFonts w:ascii="Arial" w:hAnsi="Arial" w:cs="Arial"/>
          <w:sz w:val="20"/>
          <w:szCs w:val="20"/>
        </w:rPr>
        <w:t>8</w:t>
      </w:r>
      <w:r w:rsidR="00A812ED" w:rsidRPr="00E877D4">
        <w:rPr>
          <w:rFonts w:ascii="Arial" w:hAnsi="Arial" w:cs="Arial"/>
          <w:sz w:val="20"/>
          <w:szCs w:val="20"/>
        </w:rPr>
        <w:t>]</w:t>
      </w:r>
      <w:r w:rsidRPr="00E877D4">
        <w:rPr>
          <w:rFonts w:ascii="Arial" w:hAnsi="Arial" w:cs="Arial"/>
          <w:sz w:val="20"/>
          <w:szCs w:val="20"/>
        </w:rPr>
        <w:t>, which track changes in cognitive skills and academic abilities before and after participation in garden activities through standardized tests, observations, and developmental milestones. Eugenio-</w:t>
      </w:r>
      <w:proofErr w:type="spellStart"/>
      <w:r w:rsidRPr="00E877D4">
        <w:rPr>
          <w:rFonts w:ascii="Arial" w:hAnsi="Arial" w:cs="Arial"/>
          <w:sz w:val="20"/>
          <w:szCs w:val="20"/>
        </w:rPr>
        <w:t>Gozalbo</w:t>
      </w:r>
      <w:proofErr w:type="spellEnd"/>
      <w:r w:rsidRPr="00E877D4">
        <w:rPr>
          <w:rFonts w:ascii="Arial" w:hAnsi="Arial" w:cs="Arial"/>
          <w:sz w:val="20"/>
          <w:szCs w:val="20"/>
        </w:rPr>
        <w:t xml:space="preserve"> </w:t>
      </w:r>
      <w:r w:rsidRPr="00E877D4">
        <w:rPr>
          <w:rFonts w:ascii="Arial" w:hAnsi="Arial" w:cs="Arial"/>
          <w:i/>
          <w:iCs/>
          <w:sz w:val="20"/>
          <w:szCs w:val="20"/>
        </w:rPr>
        <w:t>et al.</w:t>
      </w:r>
      <w:r w:rsidRPr="00E877D4">
        <w:rPr>
          <w:rFonts w:ascii="Arial" w:hAnsi="Arial" w:cs="Arial"/>
          <w:sz w:val="20"/>
          <w:szCs w:val="20"/>
        </w:rPr>
        <w:t xml:space="preserve"> (2020) employed a cause-effect study with pre- and post-stages of intervention, </w:t>
      </w:r>
      <w:proofErr w:type="spellStart"/>
      <w:r w:rsidRPr="00E877D4">
        <w:rPr>
          <w:rFonts w:ascii="Arial" w:hAnsi="Arial" w:cs="Arial"/>
          <w:sz w:val="20"/>
          <w:szCs w:val="20"/>
        </w:rPr>
        <w:t>analyzing</w:t>
      </w:r>
      <w:proofErr w:type="spellEnd"/>
      <w:r w:rsidRPr="00E877D4">
        <w:rPr>
          <w:rFonts w:ascii="Arial" w:hAnsi="Arial" w:cs="Arial"/>
          <w:sz w:val="20"/>
          <w:szCs w:val="20"/>
        </w:rPr>
        <w:t xml:space="preserve"> paired graphic representations of a garden that students drew both before and after their participation in a garden-based learning program</w:t>
      </w:r>
      <w:r w:rsidR="00A812ED" w:rsidRPr="00E877D4">
        <w:rPr>
          <w:rFonts w:ascii="Arial" w:hAnsi="Arial" w:cs="Arial"/>
          <w:sz w:val="20"/>
          <w:szCs w:val="20"/>
        </w:rPr>
        <w:t xml:space="preserve"> [2</w:t>
      </w:r>
      <w:r w:rsidR="00954610">
        <w:rPr>
          <w:rFonts w:ascii="Arial" w:hAnsi="Arial" w:cs="Arial"/>
          <w:sz w:val="20"/>
          <w:szCs w:val="20"/>
        </w:rPr>
        <w:t>9</w:t>
      </w:r>
      <w:r w:rsidR="00A812ED" w:rsidRPr="00E877D4">
        <w:rPr>
          <w:rFonts w:ascii="Arial" w:hAnsi="Arial" w:cs="Arial"/>
          <w:sz w:val="20"/>
          <w:szCs w:val="20"/>
        </w:rPr>
        <w:t>]</w:t>
      </w:r>
      <w:r w:rsidRPr="00E877D4">
        <w:rPr>
          <w:rFonts w:ascii="Arial" w:hAnsi="Arial" w:cs="Arial"/>
          <w:sz w:val="20"/>
          <w:szCs w:val="20"/>
        </w:rPr>
        <w:t xml:space="preserve">. </w:t>
      </w:r>
      <w:proofErr w:type="spellStart"/>
      <w:r w:rsidRPr="00E877D4">
        <w:rPr>
          <w:rFonts w:ascii="Arial" w:hAnsi="Arial" w:cs="Arial"/>
          <w:sz w:val="20"/>
          <w:szCs w:val="20"/>
        </w:rPr>
        <w:t>Weeland</w:t>
      </w:r>
      <w:proofErr w:type="spellEnd"/>
      <w:r w:rsidRPr="00E877D4">
        <w:rPr>
          <w:rFonts w:ascii="Arial" w:hAnsi="Arial" w:cs="Arial"/>
          <w:sz w:val="20"/>
          <w:szCs w:val="20"/>
        </w:rPr>
        <w:t xml:space="preserve"> </w:t>
      </w:r>
      <w:r w:rsidRPr="00E877D4">
        <w:rPr>
          <w:rFonts w:ascii="Arial" w:hAnsi="Arial" w:cs="Arial"/>
          <w:i/>
          <w:iCs/>
          <w:sz w:val="20"/>
          <w:szCs w:val="20"/>
        </w:rPr>
        <w:t>et al.</w:t>
      </w:r>
      <w:r w:rsidRPr="00E877D4">
        <w:rPr>
          <w:rFonts w:ascii="Arial" w:hAnsi="Arial" w:cs="Arial"/>
          <w:sz w:val="20"/>
          <w:szCs w:val="20"/>
        </w:rPr>
        <w:t xml:space="preserve"> (2019) conducted a meta-analysis based on correlational studies and quantitative data analysis, including quasi-experimental studies</w:t>
      </w:r>
      <w:r w:rsidR="00A812ED" w:rsidRPr="00E877D4">
        <w:rPr>
          <w:rFonts w:ascii="Arial" w:hAnsi="Arial" w:cs="Arial"/>
          <w:sz w:val="20"/>
          <w:szCs w:val="20"/>
        </w:rPr>
        <w:t xml:space="preserve"> [3</w:t>
      </w:r>
      <w:r w:rsidR="00954610">
        <w:rPr>
          <w:rFonts w:ascii="Arial" w:hAnsi="Arial" w:cs="Arial"/>
          <w:sz w:val="20"/>
          <w:szCs w:val="20"/>
        </w:rPr>
        <w:t>1</w:t>
      </w:r>
      <w:r w:rsidR="00A812ED" w:rsidRPr="00E877D4">
        <w:rPr>
          <w:rFonts w:ascii="Arial" w:hAnsi="Arial" w:cs="Arial"/>
          <w:sz w:val="20"/>
          <w:szCs w:val="20"/>
        </w:rPr>
        <w:t>]</w:t>
      </w:r>
      <w:r w:rsidRPr="00E877D4">
        <w:rPr>
          <w:rFonts w:ascii="Arial" w:hAnsi="Arial" w:cs="Arial"/>
          <w:sz w:val="20"/>
          <w:szCs w:val="20"/>
        </w:rPr>
        <w:t xml:space="preserve">. </w:t>
      </w:r>
      <w:proofErr w:type="spellStart"/>
      <w:r w:rsidRPr="00E877D4">
        <w:rPr>
          <w:rFonts w:ascii="Arial" w:hAnsi="Arial" w:cs="Arial"/>
          <w:sz w:val="20"/>
          <w:szCs w:val="20"/>
        </w:rPr>
        <w:t>Berezowitz</w:t>
      </w:r>
      <w:proofErr w:type="spellEnd"/>
      <w:r w:rsidRPr="00E877D4">
        <w:rPr>
          <w:rFonts w:ascii="Arial" w:hAnsi="Arial" w:cs="Arial"/>
          <w:sz w:val="20"/>
          <w:szCs w:val="20"/>
        </w:rPr>
        <w:t xml:space="preserve"> </w:t>
      </w:r>
      <w:r w:rsidRPr="00E877D4">
        <w:rPr>
          <w:rFonts w:ascii="Arial" w:hAnsi="Arial" w:cs="Arial"/>
          <w:i/>
          <w:iCs/>
          <w:sz w:val="20"/>
          <w:szCs w:val="20"/>
        </w:rPr>
        <w:t>et al.</w:t>
      </w:r>
      <w:r w:rsidRPr="00E877D4">
        <w:rPr>
          <w:rFonts w:ascii="Arial" w:hAnsi="Arial" w:cs="Arial"/>
          <w:sz w:val="20"/>
          <w:szCs w:val="20"/>
        </w:rPr>
        <w:t xml:space="preserve"> (2015) utilized a quasi-experimental design with control and experimental groups, using a </w:t>
      </w:r>
      <w:proofErr w:type="spellStart"/>
      <w:r w:rsidRPr="00E877D4">
        <w:rPr>
          <w:rFonts w:ascii="Arial" w:hAnsi="Arial" w:cs="Arial"/>
          <w:sz w:val="20"/>
          <w:szCs w:val="20"/>
        </w:rPr>
        <w:t>nonrandom</w:t>
      </w:r>
      <w:proofErr w:type="spellEnd"/>
      <w:r w:rsidRPr="00E877D4">
        <w:rPr>
          <w:rFonts w:ascii="Arial" w:hAnsi="Arial" w:cs="Arial"/>
          <w:sz w:val="20"/>
          <w:szCs w:val="20"/>
        </w:rPr>
        <w:t xml:space="preserve"> intervention and post-test only, enabling direct comparison of outcomes to attribute any differences to the garden intervention</w:t>
      </w:r>
      <w:r w:rsidR="00A812ED" w:rsidRPr="00E877D4">
        <w:rPr>
          <w:rFonts w:ascii="Arial" w:hAnsi="Arial" w:cs="Arial"/>
          <w:sz w:val="20"/>
          <w:szCs w:val="20"/>
        </w:rPr>
        <w:t xml:space="preserve"> [13]</w:t>
      </w:r>
      <w:r w:rsidRPr="00E877D4">
        <w:rPr>
          <w:rFonts w:ascii="Arial" w:hAnsi="Arial" w:cs="Arial"/>
          <w:sz w:val="20"/>
          <w:szCs w:val="20"/>
        </w:rPr>
        <w:t xml:space="preserve">. </w:t>
      </w:r>
      <w:proofErr w:type="spellStart"/>
      <w:r w:rsidRPr="00747156">
        <w:rPr>
          <w:rFonts w:ascii="Arial" w:hAnsi="Arial" w:cs="Arial"/>
          <w:sz w:val="20"/>
          <w:szCs w:val="20"/>
        </w:rPr>
        <w:t>Paño</w:t>
      </w:r>
      <w:proofErr w:type="spellEnd"/>
      <w:r w:rsidRPr="00747156">
        <w:rPr>
          <w:rFonts w:ascii="Arial" w:hAnsi="Arial" w:cs="Arial"/>
          <w:sz w:val="20"/>
          <w:szCs w:val="20"/>
        </w:rPr>
        <w:t xml:space="preserve"> </w:t>
      </w:r>
      <w:r w:rsidRPr="00747156">
        <w:rPr>
          <w:rFonts w:ascii="Arial" w:hAnsi="Arial" w:cs="Arial"/>
          <w:i/>
          <w:iCs/>
          <w:sz w:val="20"/>
          <w:szCs w:val="20"/>
        </w:rPr>
        <w:t>et al.</w:t>
      </w:r>
      <w:r w:rsidRPr="00747156">
        <w:rPr>
          <w:rFonts w:ascii="Arial" w:hAnsi="Arial" w:cs="Arial"/>
          <w:sz w:val="20"/>
          <w:szCs w:val="20"/>
        </w:rPr>
        <w:t xml:space="preserve"> (2022)</w:t>
      </w:r>
      <w:r w:rsidRPr="00E877D4">
        <w:rPr>
          <w:rFonts w:ascii="Arial" w:hAnsi="Arial" w:cs="Arial"/>
          <w:sz w:val="20"/>
          <w:szCs w:val="20"/>
        </w:rPr>
        <w:t xml:space="preserve"> adopted qualitative analysis methods such as interviews and focus groups to delve into children's experiences and perceptions of garden activities, identifying five themes related to learning and academic outcomes</w:t>
      </w:r>
      <w:r w:rsidR="00A812ED" w:rsidRPr="00E877D4">
        <w:rPr>
          <w:rFonts w:ascii="Arial" w:hAnsi="Arial" w:cs="Arial"/>
          <w:sz w:val="20"/>
          <w:szCs w:val="20"/>
        </w:rPr>
        <w:t xml:space="preserve"> [2</w:t>
      </w:r>
      <w:r w:rsidR="00954610">
        <w:rPr>
          <w:rFonts w:ascii="Arial" w:hAnsi="Arial" w:cs="Arial"/>
          <w:sz w:val="20"/>
          <w:szCs w:val="20"/>
        </w:rPr>
        <w:t>7</w:t>
      </w:r>
      <w:r w:rsidR="00A812ED" w:rsidRPr="00E877D4">
        <w:rPr>
          <w:rFonts w:ascii="Arial" w:hAnsi="Arial" w:cs="Arial"/>
          <w:sz w:val="20"/>
          <w:szCs w:val="20"/>
        </w:rPr>
        <w:t>]</w:t>
      </w:r>
      <w:r w:rsidRPr="00E877D4">
        <w:rPr>
          <w:rFonts w:ascii="Arial" w:hAnsi="Arial" w:cs="Arial"/>
          <w:sz w:val="20"/>
          <w:szCs w:val="20"/>
        </w:rPr>
        <w:t>. Many studies also utilize mixed-methods approaches, combining quantitative data with qualitative analysis to offer a comprehensive understanding of how garden-based education influences preschoolers' cognitive and academic development</w:t>
      </w:r>
      <w:r w:rsidR="00A812ED" w:rsidRPr="00E877D4">
        <w:rPr>
          <w:rFonts w:ascii="Arial" w:hAnsi="Arial" w:cs="Arial"/>
          <w:sz w:val="20"/>
          <w:szCs w:val="20"/>
        </w:rPr>
        <w:t xml:space="preserve"> [</w:t>
      </w:r>
      <w:r w:rsidR="004F46F3">
        <w:rPr>
          <w:rFonts w:ascii="Arial" w:hAnsi="Arial" w:cs="Arial"/>
          <w:sz w:val="20"/>
          <w:szCs w:val="20"/>
        </w:rPr>
        <w:t>26</w:t>
      </w:r>
      <w:r w:rsidR="00A812ED" w:rsidRPr="00E877D4">
        <w:rPr>
          <w:rFonts w:ascii="Arial" w:hAnsi="Arial" w:cs="Arial"/>
          <w:sz w:val="20"/>
          <w:szCs w:val="20"/>
        </w:rPr>
        <w:t>,3</w:t>
      </w:r>
      <w:r w:rsidR="00954610">
        <w:rPr>
          <w:rFonts w:ascii="Arial" w:hAnsi="Arial" w:cs="Arial"/>
          <w:sz w:val="20"/>
          <w:szCs w:val="20"/>
        </w:rPr>
        <w:t>1</w:t>
      </w:r>
      <w:r w:rsidR="00A812ED" w:rsidRPr="00E877D4">
        <w:rPr>
          <w:rFonts w:ascii="Arial" w:hAnsi="Arial" w:cs="Arial"/>
          <w:sz w:val="20"/>
          <w:szCs w:val="20"/>
        </w:rPr>
        <w:t>,</w:t>
      </w:r>
      <w:r w:rsidR="00CA6E8F" w:rsidRPr="00E877D4">
        <w:rPr>
          <w:rFonts w:ascii="Arial" w:hAnsi="Arial" w:cs="Arial"/>
          <w:sz w:val="20"/>
          <w:szCs w:val="20"/>
        </w:rPr>
        <w:t>2</w:t>
      </w:r>
      <w:r w:rsidR="00954610">
        <w:rPr>
          <w:rFonts w:ascii="Arial" w:hAnsi="Arial" w:cs="Arial"/>
          <w:sz w:val="20"/>
          <w:szCs w:val="20"/>
        </w:rPr>
        <w:t>8</w:t>
      </w:r>
      <w:r w:rsidR="00C567C2" w:rsidRPr="00E877D4">
        <w:rPr>
          <w:rFonts w:ascii="Arial" w:hAnsi="Arial" w:cs="Arial"/>
          <w:sz w:val="20"/>
          <w:szCs w:val="20"/>
        </w:rPr>
        <w:t>]</w:t>
      </w:r>
      <w:r w:rsidR="00291FE6">
        <w:rPr>
          <w:rFonts w:ascii="Arial" w:hAnsi="Arial" w:cs="Arial"/>
          <w:sz w:val="20"/>
          <w:szCs w:val="20"/>
        </w:rPr>
        <w:t>.</w:t>
      </w:r>
      <w:r w:rsidRPr="00E877D4">
        <w:rPr>
          <w:rFonts w:ascii="Arial" w:hAnsi="Arial" w:cs="Arial"/>
          <w:sz w:val="20"/>
          <w:szCs w:val="20"/>
        </w:rPr>
        <w:t xml:space="preserve"> Together, these methodologies contribute robust evidence supporting the integration of gardens into early childhood education to promote holistic learning outcomes.</w:t>
      </w:r>
    </w:p>
    <w:p w14:paraId="70D20EDC" w14:textId="59EB011F" w:rsidR="00AB7856" w:rsidRPr="00AB7856" w:rsidRDefault="00AB7856" w:rsidP="00AB7856">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291FE6">
        <w:rPr>
          <w:rFonts w:ascii="Arial" w:hAnsi="Arial" w:cs="Arial"/>
          <w:b/>
          <w:bCs/>
        </w:rPr>
        <w:t>4.4.</w:t>
      </w:r>
      <w:r>
        <w:rPr>
          <w:rFonts w:ascii="Times New Roman" w:hAnsi="Times New Roman" w:cs="Times New Roman"/>
          <w:sz w:val="24"/>
          <w:szCs w:val="24"/>
        </w:rPr>
        <w:t xml:space="preserve"> </w:t>
      </w:r>
      <w:r w:rsidRPr="00E877D4">
        <w:rPr>
          <w:rFonts w:ascii="Arial" w:eastAsia="Times New Roman" w:hAnsi="Arial" w:cs="Arial"/>
          <w:b/>
          <w:bCs/>
          <w:kern w:val="0"/>
          <w:lang w:eastAsia="en-IN"/>
          <w14:ligatures w14:val="none"/>
        </w:rPr>
        <w:t>Implications of findings related to the use of garden-based nutrition education for early childhood education, parental involvement, and public health policy</w:t>
      </w:r>
    </w:p>
    <w:p w14:paraId="7A5D01FB" w14:textId="77777777" w:rsidR="00102973" w:rsidRPr="00D037EE" w:rsidRDefault="00102973" w:rsidP="00D037EE">
      <w:pPr>
        <w:pStyle w:val="z-TopofForm"/>
        <w:jc w:val="both"/>
        <w:rPr>
          <w:rFonts w:ascii="Times New Roman" w:hAnsi="Times New Roman" w:cs="Times New Roman"/>
          <w:sz w:val="24"/>
          <w:szCs w:val="24"/>
        </w:rPr>
      </w:pPr>
      <w:r w:rsidRPr="00D037EE">
        <w:rPr>
          <w:rFonts w:ascii="Times New Roman" w:hAnsi="Times New Roman" w:cs="Times New Roman"/>
          <w:sz w:val="24"/>
          <w:szCs w:val="24"/>
        </w:rPr>
        <w:t>Top of Form</w:t>
      </w:r>
    </w:p>
    <w:p w14:paraId="5D21E927" w14:textId="77777777" w:rsidR="00102973" w:rsidRPr="00D037EE" w:rsidRDefault="00102973" w:rsidP="00D037EE">
      <w:pPr>
        <w:pStyle w:val="z-BottomofForm"/>
        <w:jc w:val="both"/>
        <w:rPr>
          <w:rFonts w:ascii="Times New Roman" w:hAnsi="Times New Roman" w:cs="Times New Roman"/>
          <w:sz w:val="24"/>
          <w:szCs w:val="24"/>
        </w:rPr>
      </w:pPr>
      <w:r w:rsidRPr="00D037EE">
        <w:rPr>
          <w:rFonts w:ascii="Times New Roman" w:hAnsi="Times New Roman" w:cs="Times New Roman"/>
          <w:sz w:val="24"/>
          <w:szCs w:val="24"/>
        </w:rPr>
        <w:t>Bottom of Form</w:t>
      </w:r>
    </w:p>
    <w:p w14:paraId="01BA911C" w14:textId="77777777" w:rsidR="00E75CE7" w:rsidRPr="00D037EE" w:rsidRDefault="00E75CE7" w:rsidP="00D037EE">
      <w:pPr>
        <w:pStyle w:val="z-TopofForm"/>
        <w:jc w:val="both"/>
        <w:rPr>
          <w:rFonts w:ascii="Times New Roman" w:hAnsi="Times New Roman" w:cs="Times New Roman"/>
          <w:sz w:val="24"/>
          <w:szCs w:val="24"/>
        </w:rPr>
      </w:pPr>
      <w:r w:rsidRPr="00D037EE">
        <w:rPr>
          <w:rFonts w:ascii="Times New Roman" w:hAnsi="Times New Roman" w:cs="Times New Roman"/>
          <w:sz w:val="24"/>
          <w:szCs w:val="24"/>
        </w:rPr>
        <w:t>Top of Form</w:t>
      </w:r>
    </w:p>
    <w:p w14:paraId="6D5D9053" w14:textId="77777777" w:rsidR="00E75CE7" w:rsidRPr="00D037EE" w:rsidRDefault="00E75CE7" w:rsidP="00D037EE">
      <w:pPr>
        <w:pStyle w:val="z-BottomofForm"/>
        <w:jc w:val="both"/>
        <w:rPr>
          <w:rFonts w:ascii="Times New Roman" w:hAnsi="Times New Roman" w:cs="Times New Roman"/>
          <w:sz w:val="24"/>
          <w:szCs w:val="24"/>
        </w:rPr>
      </w:pPr>
      <w:r w:rsidRPr="00D037EE">
        <w:rPr>
          <w:rFonts w:ascii="Times New Roman" w:hAnsi="Times New Roman" w:cs="Times New Roman"/>
          <w:sz w:val="24"/>
          <w:szCs w:val="24"/>
        </w:rPr>
        <w:t>Bottom of Form</w:t>
      </w:r>
    </w:p>
    <w:p w14:paraId="7EECF3A9" w14:textId="4C1FC701" w:rsidR="009B461A" w:rsidRPr="00E877D4" w:rsidRDefault="00AB7856" w:rsidP="00D037EE">
      <w:pPr>
        <w:spacing w:before="100" w:beforeAutospacing="1" w:after="100" w:afterAutospacing="1" w:line="240" w:lineRule="auto"/>
        <w:jc w:val="both"/>
        <w:rPr>
          <w:rFonts w:ascii="Arial" w:eastAsia="Times New Roman" w:hAnsi="Arial" w:cs="Arial"/>
          <w:b/>
          <w:bCs/>
          <w:kern w:val="0"/>
          <w:lang w:eastAsia="en-IN"/>
          <w14:ligatures w14:val="none"/>
        </w:rPr>
      </w:pPr>
      <w:r>
        <w:rPr>
          <w:rFonts w:ascii="Times New Roman" w:eastAsia="Times New Roman" w:hAnsi="Times New Roman" w:cs="Times New Roman"/>
          <w:b/>
          <w:bCs/>
          <w:kern w:val="0"/>
          <w:sz w:val="24"/>
          <w:szCs w:val="24"/>
          <w:lang w:eastAsia="en-IN"/>
          <w14:ligatures w14:val="none"/>
        </w:rPr>
        <w:t xml:space="preserve">4.4.1. </w:t>
      </w:r>
      <w:r w:rsidR="009B461A" w:rsidRPr="00E877D4">
        <w:rPr>
          <w:rFonts w:ascii="Arial" w:eastAsia="Times New Roman" w:hAnsi="Arial" w:cs="Arial"/>
          <w:b/>
          <w:bCs/>
          <w:kern w:val="0"/>
          <w:lang w:eastAsia="en-IN"/>
          <w14:ligatures w14:val="none"/>
        </w:rPr>
        <w:t>Implications for early childhood education</w:t>
      </w:r>
    </w:p>
    <w:p w14:paraId="242D96FA" w14:textId="0FE37147" w:rsidR="001316E6" w:rsidRPr="00E877D4" w:rsidRDefault="001316E6" w:rsidP="00D037EE">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E877D4">
        <w:rPr>
          <w:rFonts w:ascii="Arial" w:eastAsia="Times New Roman" w:hAnsi="Arial" w:cs="Arial"/>
          <w:kern w:val="0"/>
          <w:sz w:val="20"/>
          <w:szCs w:val="20"/>
          <w:lang w:eastAsia="en-IN"/>
          <w14:ligatures w14:val="none"/>
        </w:rPr>
        <w:t xml:space="preserve">Age plays a critical role in determining how effective Garden-Based Nutrition Education (GBNE) is in improving children's food choices and dietary habits. This review suggests that initiatives like SGBP, when introduced early, tend to result in more positive outcomes by enhancing children’s understanding of nutrition, willingness to consume fruits and vegetables, and actual intake of vegetables. Since children’s food preferences and eating habits are established early and often persist into adulthood, early childhood represents an optimal time to foster healthy eating </w:t>
      </w:r>
      <w:proofErr w:type="spellStart"/>
      <w:r w:rsidRPr="00E877D4">
        <w:rPr>
          <w:rFonts w:ascii="Arial" w:eastAsia="Times New Roman" w:hAnsi="Arial" w:cs="Arial"/>
          <w:kern w:val="0"/>
          <w:sz w:val="20"/>
          <w:szCs w:val="20"/>
          <w:lang w:eastAsia="en-IN"/>
          <w14:ligatures w14:val="none"/>
        </w:rPr>
        <w:t>behaviors</w:t>
      </w:r>
      <w:proofErr w:type="spellEnd"/>
      <w:r w:rsidR="00C567C2" w:rsidRPr="00E877D4">
        <w:rPr>
          <w:rFonts w:ascii="Arial" w:eastAsia="Times New Roman" w:hAnsi="Arial" w:cs="Arial"/>
          <w:kern w:val="0"/>
          <w:sz w:val="20"/>
          <w:szCs w:val="20"/>
          <w:lang w:eastAsia="en-IN"/>
          <w14:ligatures w14:val="none"/>
        </w:rPr>
        <w:t xml:space="preserve"> [4</w:t>
      </w:r>
      <w:r w:rsidR="00A477D6">
        <w:rPr>
          <w:rFonts w:ascii="Arial" w:eastAsia="Times New Roman" w:hAnsi="Arial" w:cs="Arial"/>
          <w:kern w:val="0"/>
          <w:sz w:val="20"/>
          <w:szCs w:val="20"/>
          <w:lang w:eastAsia="en-IN"/>
          <w14:ligatures w14:val="none"/>
        </w:rPr>
        <w:t>0</w:t>
      </w:r>
      <w:r w:rsidR="00C567C2" w:rsidRPr="00E877D4">
        <w:rPr>
          <w:rFonts w:ascii="Arial" w:eastAsia="Times New Roman" w:hAnsi="Arial" w:cs="Arial"/>
          <w:kern w:val="0"/>
          <w:sz w:val="20"/>
          <w:szCs w:val="20"/>
          <w:lang w:eastAsia="en-IN"/>
          <w14:ligatures w14:val="none"/>
        </w:rPr>
        <w:t>]</w:t>
      </w:r>
      <w:r w:rsidR="00291FE6">
        <w:rPr>
          <w:rFonts w:ascii="Arial" w:eastAsia="Times New Roman" w:hAnsi="Arial" w:cs="Arial"/>
          <w:kern w:val="0"/>
          <w:sz w:val="20"/>
          <w:szCs w:val="20"/>
          <w:lang w:eastAsia="en-IN"/>
          <w14:ligatures w14:val="none"/>
        </w:rPr>
        <w:t xml:space="preserve">. </w:t>
      </w:r>
      <w:r w:rsidRPr="00E877D4">
        <w:rPr>
          <w:rFonts w:ascii="Arial" w:eastAsia="Times New Roman" w:hAnsi="Arial" w:cs="Arial"/>
          <w:kern w:val="0"/>
          <w:sz w:val="20"/>
          <w:szCs w:val="20"/>
          <w:lang w:eastAsia="en-IN"/>
          <w14:ligatures w14:val="none"/>
        </w:rPr>
        <w:t>Younger children are more adaptable in their food preferences and more likely to embrace foods that are readily available in their surroundings, which helps explain why SGBP interventions have been particularly successful when aimed at this age group.</w:t>
      </w:r>
    </w:p>
    <w:p w14:paraId="5F8472A4" w14:textId="0B6DD154" w:rsidR="00E24FE3" w:rsidRPr="00E877D4" w:rsidRDefault="00EA4CF0"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Garden-based nutrition education in early childhood education offers profound benefits through hands-on learning experiences. Gardens provide an immersive environment where young children can directly engage with concepts of nutrition, plant growth, and the natural world, fostering experiential learning that enhances cognitive development. These activities not only teach children about the origins of food and the importance of consuming fruits and vegetables but also </w:t>
      </w:r>
      <w:r w:rsidR="00377319" w:rsidRPr="00E877D4">
        <w:rPr>
          <w:rFonts w:ascii="Arial" w:hAnsi="Arial" w:cs="Arial"/>
          <w:sz w:val="20"/>
          <w:szCs w:val="20"/>
        </w:rPr>
        <w:t>instil</w:t>
      </w:r>
      <w:r w:rsidRPr="00E877D4">
        <w:rPr>
          <w:rFonts w:ascii="Arial" w:hAnsi="Arial" w:cs="Arial"/>
          <w:sz w:val="20"/>
          <w:szCs w:val="20"/>
        </w:rPr>
        <w:t xml:space="preserve"> lifelong healthy eating habits. Moreover, garden-based activities integrate seamlessly across multiple subjects such as science (exploring plant biology and ecosystems), math (measuring growth and counting harvest), and language arts (documenting observations and storytelling), enriching the early childhood curriculum with interdisciplinary connections that reinforce learning in diverse domains.</w:t>
      </w:r>
    </w:p>
    <w:p w14:paraId="5CF735BF" w14:textId="77777777" w:rsidR="007C3571" w:rsidRPr="00E877D4" w:rsidRDefault="007C3571" w:rsidP="00D037EE">
      <w:pPr>
        <w:pStyle w:val="NormalWeb"/>
        <w:jc w:val="both"/>
        <w:rPr>
          <w:rFonts w:ascii="Arial" w:hAnsi="Arial" w:cs="Arial"/>
          <w:sz w:val="20"/>
          <w:szCs w:val="20"/>
        </w:rPr>
      </w:pPr>
      <w:r w:rsidRPr="00E877D4">
        <w:rPr>
          <w:rFonts w:ascii="Arial" w:hAnsi="Arial" w:cs="Arial"/>
          <w:sz w:val="20"/>
          <w:szCs w:val="20"/>
        </w:rPr>
        <w:t>Garden-based nutrition education in early childhood education not only enhances cognitive development and promotes healthy habits but also plays a crucial role in social, emotional, and community aspects. Engaging in garden activities fosters important social skills like cooperation, communication, and teamwork among young children. It provides a supportive environment for emotional expression and stress relief, contributing significantly to their overall socio-emotional development.</w:t>
      </w:r>
    </w:p>
    <w:p w14:paraId="0405A7C7" w14:textId="3F5DC103" w:rsidR="001316E6" w:rsidRDefault="00AB7856" w:rsidP="00765669">
      <w:pPr>
        <w:spacing w:before="100" w:beforeAutospacing="1" w:after="100" w:afterAutospacing="1" w:line="240" w:lineRule="auto"/>
        <w:jc w:val="both"/>
        <w:rPr>
          <w:rFonts w:ascii="Arial" w:eastAsia="Times New Roman" w:hAnsi="Arial" w:cs="Arial"/>
          <w:b/>
          <w:bCs/>
          <w:kern w:val="0"/>
          <w:lang w:eastAsia="en-IN"/>
          <w14:ligatures w14:val="none"/>
        </w:rPr>
      </w:pPr>
      <w:r w:rsidRPr="00AB7856">
        <w:rPr>
          <w:rFonts w:ascii="Times New Roman" w:hAnsi="Times New Roman" w:cs="Times New Roman"/>
          <w:b/>
          <w:bCs/>
          <w:sz w:val="24"/>
          <w:szCs w:val="24"/>
        </w:rPr>
        <w:t>4.4.2.</w:t>
      </w:r>
      <w:r>
        <w:t xml:space="preserve">  </w:t>
      </w:r>
      <w:r w:rsidRPr="00E877D4">
        <w:rPr>
          <w:rFonts w:ascii="Arial" w:eastAsia="Times New Roman" w:hAnsi="Arial" w:cs="Arial"/>
          <w:b/>
          <w:bCs/>
          <w:kern w:val="0"/>
          <w:lang w:eastAsia="en-IN"/>
          <w14:ligatures w14:val="none"/>
        </w:rPr>
        <w:t>Implications for parental involvement</w:t>
      </w:r>
      <w:r w:rsidR="001316E6" w:rsidRPr="00E877D4">
        <w:rPr>
          <w:rFonts w:ascii="Arial" w:eastAsia="Times New Roman" w:hAnsi="Arial" w:cs="Arial"/>
          <w:vanish/>
          <w:kern w:val="0"/>
          <w:lang w:eastAsia="en-IN"/>
          <w14:ligatures w14:val="none"/>
        </w:rPr>
        <w:t>Top of Form</w:t>
      </w:r>
    </w:p>
    <w:p w14:paraId="2BD88D54" w14:textId="77777777" w:rsidR="00E877D4" w:rsidRPr="00E877D4" w:rsidRDefault="00E877D4" w:rsidP="00765669">
      <w:pPr>
        <w:spacing w:before="100" w:beforeAutospacing="1" w:after="100" w:afterAutospacing="1" w:line="240" w:lineRule="auto"/>
        <w:jc w:val="both"/>
        <w:rPr>
          <w:rFonts w:ascii="Arial" w:eastAsia="Times New Roman" w:hAnsi="Arial" w:cs="Arial"/>
          <w:vanish/>
          <w:kern w:val="0"/>
          <w:sz w:val="20"/>
          <w:szCs w:val="20"/>
          <w:lang w:eastAsia="en-IN"/>
          <w14:ligatures w14:val="none"/>
        </w:rPr>
      </w:pPr>
    </w:p>
    <w:p w14:paraId="68021E2F" w14:textId="77777777" w:rsidR="001316E6" w:rsidRPr="00E877D4" w:rsidRDefault="001316E6" w:rsidP="00D037EE">
      <w:pPr>
        <w:pBdr>
          <w:top w:val="single" w:sz="6" w:space="1" w:color="auto"/>
        </w:pBdr>
        <w:spacing w:after="0" w:line="240" w:lineRule="auto"/>
        <w:jc w:val="both"/>
        <w:rPr>
          <w:rFonts w:ascii="Arial" w:eastAsia="Times New Roman" w:hAnsi="Arial" w:cs="Arial"/>
          <w:vanish/>
          <w:kern w:val="0"/>
          <w:sz w:val="20"/>
          <w:szCs w:val="20"/>
          <w:lang w:eastAsia="en-IN"/>
          <w14:ligatures w14:val="none"/>
        </w:rPr>
      </w:pPr>
      <w:r w:rsidRPr="00E877D4">
        <w:rPr>
          <w:rFonts w:ascii="Arial" w:eastAsia="Times New Roman" w:hAnsi="Arial" w:cs="Arial"/>
          <w:vanish/>
          <w:kern w:val="0"/>
          <w:sz w:val="20"/>
          <w:szCs w:val="20"/>
          <w:lang w:eastAsia="en-IN"/>
          <w14:ligatures w14:val="none"/>
        </w:rPr>
        <w:t>Bottom of Form</w:t>
      </w:r>
    </w:p>
    <w:p w14:paraId="3BC17A1A" w14:textId="0F21AF03" w:rsidR="00584203" w:rsidRPr="00E877D4" w:rsidRDefault="00584203" w:rsidP="00D037EE">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E877D4">
        <w:rPr>
          <w:rFonts w:ascii="Arial" w:eastAsia="Times New Roman" w:hAnsi="Arial" w:cs="Arial"/>
          <w:kern w:val="0"/>
          <w:sz w:val="20"/>
          <w:szCs w:val="20"/>
          <w:lang w:eastAsia="en-IN"/>
          <w14:ligatures w14:val="none"/>
        </w:rPr>
        <w:t xml:space="preserve">Findings related to the use of garden-based nutrition education highlight significant implications for parental involvement. Research consistently shows that involving parents in garden activities not only enhances children's learning experiences but also strengthens familial bonds and promotes a shared commitment to healthy </w:t>
      </w:r>
      <w:proofErr w:type="spellStart"/>
      <w:r w:rsidRPr="00E877D4">
        <w:rPr>
          <w:rFonts w:ascii="Arial" w:eastAsia="Times New Roman" w:hAnsi="Arial" w:cs="Arial"/>
          <w:kern w:val="0"/>
          <w:sz w:val="20"/>
          <w:szCs w:val="20"/>
          <w:lang w:eastAsia="en-IN"/>
          <w14:ligatures w14:val="none"/>
        </w:rPr>
        <w:t>behaviors</w:t>
      </w:r>
      <w:proofErr w:type="spellEnd"/>
      <w:r w:rsidRPr="00E877D4">
        <w:rPr>
          <w:rFonts w:ascii="Arial" w:eastAsia="Times New Roman" w:hAnsi="Arial" w:cs="Arial"/>
          <w:kern w:val="0"/>
          <w:sz w:val="20"/>
          <w:szCs w:val="20"/>
          <w:lang w:eastAsia="en-IN"/>
          <w14:ligatures w14:val="none"/>
        </w:rPr>
        <w:t xml:space="preserve">. Parents who participate in garden-based education programs tend to demonstrate increased knowledge about nutrition and gardening practices, which they can then reinforce at home. This involvement not only supports children in making healthier food choices but also encourages family engagement in physical activity and outdoor learning. Furthermore, garden programs often serve as a platform for parents to interact with educators and community members, fostering a collaborative environment where they can exchange ideas and support each other's efforts in promoting healthy lifestyles. </w:t>
      </w:r>
    </w:p>
    <w:p w14:paraId="608ED098" w14:textId="1BAAA62E" w:rsidR="00254C70" w:rsidRPr="00E877D4" w:rsidRDefault="00D23F1A" w:rsidP="00D037EE">
      <w:pPr>
        <w:jc w:val="both"/>
        <w:rPr>
          <w:rFonts w:ascii="Arial" w:eastAsia="Times New Roman" w:hAnsi="Arial" w:cs="Arial"/>
          <w:kern w:val="0"/>
          <w:sz w:val="20"/>
          <w:szCs w:val="20"/>
          <w:lang w:eastAsia="en-IN"/>
          <w14:ligatures w14:val="none"/>
        </w:rPr>
      </w:pPr>
      <w:r w:rsidRPr="00E877D4">
        <w:rPr>
          <w:rFonts w:ascii="Arial" w:hAnsi="Arial" w:cs="Arial"/>
          <w:sz w:val="20"/>
          <w:szCs w:val="20"/>
        </w:rPr>
        <w:t xml:space="preserve">This review emphasizes that when parents participate in garden-based activities, it can significantly improve children’s attitudes towards and willingness to eat fruits and vegetables (F&amp;V). According to social learning theory, children learn and mimic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observed in others, particularly their parents</w:t>
      </w:r>
      <w:r w:rsidR="00C567C2" w:rsidRPr="00E877D4">
        <w:rPr>
          <w:rFonts w:ascii="Arial" w:hAnsi="Arial" w:cs="Arial"/>
          <w:sz w:val="20"/>
          <w:szCs w:val="20"/>
        </w:rPr>
        <w:t xml:space="preserve"> [4</w:t>
      </w:r>
      <w:r w:rsidR="00A477D6">
        <w:rPr>
          <w:rFonts w:ascii="Arial" w:hAnsi="Arial" w:cs="Arial"/>
          <w:sz w:val="20"/>
          <w:szCs w:val="20"/>
        </w:rPr>
        <w:t>1</w:t>
      </w:r>
      <w:r w:rsidR="00C567C2" w:rsidRPr="00E877D4">
        <w:rPr>
          <w:rFonts w:ascii="Arial" w:hAnsi="Arial" w:cs="Arial"/>
          <w:sz w:val="20"/>
          <w:szCs w:val="20"/>
        </w:rPr>
        <w:t>]</w:t>
      </w:r>
      <w:r w:rsidR="00291FE6">
        <w:rPr>
          <w:rFonts w:ascii="Arial" w:hAnsi="Arial" w:cs="Arial"/>
          <w:sz w:val="20"/>
          <w:szCs w:val="20"/>
        </w:rPr>
        <w:t xml:space="preserve">. </w:t>
      </w:r>
      <w:r w:rsidRPr="00E877D4">
        <w:rPr>
          <w:rFonts w:ascii="Arial" w:hAnsi="Arial" w:cs="Arial"/>
          <w:sz w:val="20"/>
          <w:szCs w:val="20"/>
        </w:rPr>
        <w:t>Since children spend substantial time with their parents, their food choices, eating habits, and attitudes toward food are deeply influenced by them. Actively involving parents in GBNE is more likely to cultivate a preference for F&amp;V and promote healthier eating habits among children.</w:t>
      </w:r>
      <w:r w:rsidR="00BF363F" w:rsidRPr="00E877D4">
        <w:rPr>
          <w:rFonts w:ascii="Arial" w:eastAsia="Times New Roman" w:hAnsi="Arial" w:cs="Arial"/>
          <w:kern w:val="0"/>
          <w:sz w:val="20"/>
          <w:szCs w:val="20"/>
          <w:lang w:eastAsia="en-IN"/>
          <w14:ligatures w14:val="none"/>
        </w:rPr>
        <w:t xml:space="preserve"> </w:t>
      </w:r>
      <w:r w:rsidR="00D42AB6" w:rsidRPr="00E877D4">
        <w:rPr>
          <w:rFonts w:ascii="Arial" w:eastAsia="Times New Roman" w:hAnsi="Arial" w:cs="Arial"/>
          <w:kern w:val="0"/>
          <w:sz w:val="20"/>
          <w:szCs w:val="20"/>
          <w:lang w:eastAsia="en-IN"/>
          <w14:ligatures w14:val="none"/>
        </w:rPr>
        <w:t>Overall, the findings underscore the crucial role of parental involvement in garden-based nutrition education, emphasizing its potential to create lasting impacts on children's health and well-being through shared learning and active participation.</w:t>
      </w:r>
    </w:p>
    <w:p w14:paraId="464385E9" w14:textId="47E4B7AD" w:rsidR="00765669" w:rsidRPr="00765669" w:rsidRDefault="00765669" w:rsidP="00765669">
      <w:pPr>
        <w:spacing w:before="100" w:beforeAutospacing="1" w:after="100" w:afterAutospacing="1" w:line="240" w:lineRule="auto"/>
        <w:jc w:val="both"/>
        <w:rPr>
          <w:rFonts w:ascii="Times New Roman" w:hAnsi="Times New Roman" w:cs="Times New Roman"/>
          <w:b/>
          <w:bCs/>
          <w:sz w:val="24"/>
          <w:szCs w:val="24"/>
        </w:rPr>
      </w:pPr>
      <w:r w:rsidRPr="00765669">
        <w:rPr>
          <w:rFonts w:ascii="Times New Roman" w:eastAsia="Times New Roman" w:hAnsi="Times New Roman" w:cs="Times New Roman"/>
          <w:b/>
          <w:bCs/>
          <w:kern w:val="0"/>
          <w:sz w:val="24"/>
          <w:szCs w:val="24"/>
          <w:lang w:eastAsia="en-IN"/>
          <w14:ligatures w14:val="none"/>
        </w:rPr>
        <w:t>4.4.3.</w:t>
      </w:r>
      <w:r>
        <w:rPr>
          <w:rFonts w:ascii="Times New Roman" w:eastAsia="Times New Roman" w:hAnsi="Times New Roman" w:cs="Times New Roman"/>
          <w:kern w:val="0"/>
          <w:sz w:val="24"/>
          <w:szCs w:val="24"/>
          <w:lang w:eastAsia="en-IN"/>
          <w14:ligatures w14:val="none"/>
        </w:rPr>
        <w:t xml:space="preserve"> </w:t>
      </w:r>
      <w:r w:rsidRPr="00E877D4">
        <w:rPr>
          <w:rFonts w:ascii="Arial" w:hAnsi="Arial" w:cs="Arial"/>
          <w:b/>
          <w:bCs/>
        </w:rPr>
        <w:t>Implications for Policymakers</w:t>
      </w:r>
    </w:p>
    <w:p w14:paraId="61E5436A" w14:textId="77777777" w:rsidR="00254C70" w:rsidRPr="00E877D4" w:rsidRDefault="00254C70" w:rsidP="00D037EE">
      <w:pPr>
        <w:pStyle w:val="z-TopofForm"/>
        <w:jc w:val="both"/>
        <w:rPr>
          <w:sz w:val="20"/>
          <w:szCs w:val="20"/>
        </w:rPr>
      </w:pPr>
      <w:r w:rsidRPr="00E877D4">
        <w:rPr>
          <w:sz w:val="20"/>
          <w:szCs w:val="20"/>
        </w:rPr>
        <w:t>Top of Form</w:t>
      </w:r>
    </w:p>
    <w:p w14:paraId="33581E70" w14:textId="77777777" w:rsidR="00254C70" w:rsidRPr="00E877D4" w:rsidRDefault="00254C70" w:rsidP="00D037EE">
      <w:pPr>
        <w:pStyle w:val="z-BottomofForm"/>
        <w:jc w:val="both"/>
        <w:rPr>
          <w:sz w:val="20"/>
          <w:szCs w:val="20"/>
        </w:rPr>
      </w:pPr>
      <w:r w:rsidRPr="00E877D4">
        <w:rPr>
          <w:sz w:val="20"/>
          <w:szCs w:val="20"/>
        </w:rPr>
        <w:t>Bottom of Form</w:t>
      </w:r>
    </w:p>
    <w:p w14:paraId="3A460796" w14:textId="2B29BD71" w:rsidR="007A0031" w:rsidRPr="00E877D4" w:rsidRDefault="00673539" w:rsidP="00D037EE">
      <w:pPr>
        <w:pStyle w:val="NormalWeb"/>
        <w:jc w:val="both"/>
        <w:rPr>
          <w:rFonts w:ascii="Arial" w:hAnsi="Arial" w:cs="Arial"/>
          <w:sz w:val="20"/>
          <w:szCs w:val="20"/>
        </w:rPr>
      </w:pPr>
      <w:r w:rsidRPr="00E877D4">
        <w:rPr>
          <w:rFonts w:ascii="Arial" w:hAnsi="Arial" w:cs="Arial"/>
          <w:sz w:val="20"/>
          <w:szCs w:val="20"/>
        </w:rPr>
        <w:t>F</w:t>
      </w:r>
      <w:r w:rsidR="00286EC9" w:rsidRPr="00E877D4">
        <w:rPr>
          <w:rFonts w:ascii="Arial" w:hAnsi="Arial" w:cs="Arial"/>
          <w:sz w:val="20"/>
          <w:szCs w:val="20"/>
        </w:rPr>
        <w:t xml:space="preserve">indings of this review </w:t>
      </w:r>
      <w:r w:rsidR="007A0031" w:rsidRPr="00E877D4">
        <w:rPr>
          <w:rFonts w:ascii="Arial" w:hAnsi="Arial" w:cs="Arial"/>
          <w:sz w:val="20"/>
          <w:szCs w:val="20"/>
        </w:rPr>
        <w:t>hold significant importance for policymakers aiming to implement practical and targeted interventions, such as expanding garden-based activities in schools. Increased engagement in gardening among school children could lead to improved cognitive development and mental acuity that can benefit them throughout their lives. Additionally, gardening promotes better nutrition and physical activity among participants and can serve as a tool to raise awareness among policymakers and communities about obesity prevention strategies.</w:t>
      </w:r>
    </w:p>
    <w:p w14:paraId="2B9DD42B" w14:textId="77777777" w:rsidR="007A0031" w:rsidRPr="00E877D4" w:rsidRDefault="007A0031" w:rsidP="00D037EE">
      <w:pPr>
        <w:pStyle w:val="NormalWeb"/>
        <w:jc w:val="both"/>
        <w:rPr>
          <w:rFonts w:ascii="Arial" w:hAnsi="Arial" w:cs="Arial"/>
          <w:sz w:val="20"/>
          <w:szCs w:val="20"/>
        </w:rPr>
      </w:pPr>
      <w:r w:rsidRPr="00E877D4">
        <w:rPr>
          <w:rFonts w:ascii="Arial" w:hAnsi="Arial" w:cs="Arial"/>
          <w:sz w:val="20"/>
          <w:szCs w:val="20"/>
        </w:rPr>
        <w:t>Furthermore, addressing micronutrient malnutrition in children is crucial, and regular consumption of a diverse range of vegetables can help prevent deficiencies. Garden-based activities not only contribute to improving nutritional outcomes but also offer a new approach for public health policies. Moreover, nutrition education plays a vital role in comprehensive health programs by empowering children with knowledge and skills to make healthy food choices.</w:t>
      </w:r>
    </w:p>
    <w:p w14:paraId="09FF0A49" w14:textId="47404987" w:rsidR="007B70CD" w:rsidRPr="00E877D4" w:rsidRDefault="007B70CD" w:rsidP="00D037EE">
      <w:pPr>
        <w:pStyle w:val="NormalWeb"/>
        <w:jc w:val="both"/>
        <w:rPr>
          <w:rFonts w:ascii="Arial" w:hAnsi="Arial" w:cs="Arial"/>
          <w:sz w:val="20"/>
          <w:szCs w:val="20"/>
        </w:rPr>
      </w:pPr>
      <w:r w:rsidRPr="00E877D4">
        <w:rPr>
          <w:rFonts w:ascii="Arial" w:hAnsi="Arial" w:cs="Arial"/>
          <w:sz w:val="20"/>
          <w:szCs w:val="20"/>
        </w:rPr>
        <w:t xml:space="preserve">Garden-based nutrition education offers policymakers multiple avenues for positive impact. By integrating garden activities into educational curricula, policymakers can foster healthy eating habits and physical activity among children, aligning with public health goals to combat childhood obesity and enhance overall well-being. Gardens also enrich education by providing hands-on learning opportunities that span science, math, and environmental studies, creating a comprehensive educational experience. Moreover, these programs promote community engagement by involving parents and local residents, which strengthens community ties and shared responsibility for children's health and education. Teaching children about gardening and nutrition additionally </w:t>
      </w:r>
      <w:r w:rsidR="00377319" w:rsidRPr="00E877D4">
        <w:rPr>
          <w:rFonts w:ascii="Arial" w:hAnsi="Arial" w:cs="Arial"/>
          <w:sz w:val="20"/>
          <w:szCs w:val="20"/>
        </w:rPr>
        <w:t>instils</w:t>
      </w:r>
      <w:r w:rsidRPr="00E877D4">
        <w:rPr>
          <w:rFonts w:ascii="Arial" w:hAnsi="Arial" w:cs="Arial"/>
          <w:sz w:val="20"/>
          <w:szCs w:val="20"/>
        </w:rPr>
        <w:t xml:space="preserve"> values of environmental sustainability and stewardship, supporting broader goals of sustainable development and environmental awareness. Policymakers can further support these efforts by allocating resources for garden infrastructure, teacher training, and curriculum development, advocating for policies that integrate gardening into school wellness programs, and fostering collaboration with local agriculture initiatives. Ultimately, investing in garden-based nutrition education holds potential for long-term health benefits, reducing healthcare costs associated with diet-related illnesses in the future.</w:t>
      </w:r>
    </w:p>
    <w:p w14:paraId="5FFE3867" w14:textId="77777777" w:rsidR="00974AF4" w:rsidRPr="00E877D4" w:rsidRDefault="00974AF4" w:rsidP="00D037EE">
      <w:pPr>
        <w:pStyle w:val="z-TopofForm"/>
        <w:jc w:val="both"/>
        <w:rPr>
          <w:sz w:val="20"/>
          <w:szCs w:val="20"/>
        </w:rPr>
      </w:pPr>
      <w:r w:rsidRPr="00E877D4">
        <w:rPr>
          <w:sz w:val="20"/>
          <w:szCs w:val="20"/>
        </w:rPr>
        <w:t>Top of Form</w:t>
      </w:r>
    </w:p>
    <w:p w14:paraId="36C6ADC5" w14:textId="77777777" w:rsidR="00974AF4" w:rsidRPr="00E877D4" w:rsidRDefault="00974AF4" w:rsidP="00D037EE">
      <w:pPr>
        <w:pStyle w:val="z-BottomofForm"/>
        <w:jc w:val="both"/>
        <w:rPr>
          <w:sz w:val="20"/>
          <w:szCs w:val="20"/>
        </w:rPr>
      </w:pPr>
      <w:r w:rsidRPr="00E877D4">
        <w:rPr>
          <w:sz w:val="20"/>
          <w:szCs w:val="20"/>
        </w:rPr>
        <w:t>Bottom of Form</w:t>
      </w:r>
    </w:p>
    <w:p w14:paraId="60E144D2" w14:textId="58B88A12" w:rsidR="007A0031" w:rsidRPr="00E877D4" w:rsidRDefault="007A0031" w:rsidP="00D037EE">
      <w:pPr>
        <w:pStyle w:val="NormalWeb"/>
        <w:jc w:val="both"/>
        <w:rPr>
          <w:rFonts w:ascii="Arial" w:hAnsi="Arial" w:cs="Arial"/>
          <w:sz w:val="20"/>
          <w:szCs w:val="20"/>
        </w:rPr>
      </w:pPr>
      <w:r w:rsidRPr="00E877D4">
        <w:rPr>
          <w:rFonts w:ascii="Arial" w:hAnsi="Arial" w:cs="Arial"/>
          <w:sz w:val="20"/>
          <w:szCs w:val="20"/>
        </w:rPr>
        <w:t>These programs provide numerous benefits, not just for children but for entire communities, including fostering a connection with nature, strengthening community bonds, enhancing mental well-being, boosting school attendance, promoting moral development, preventing youth crime, offering therapeutic benefits, and increasing access to fresh, nutritious food.</w:t>
      </w:r>
      <w:r w:rsidR="001A3483" w:rsidRPr="00E877D4">
        <w:rPr>
          <w:rFonts w:ascii="Arial" w:hAnsi="Arial" w:cs="Arial"/>
          <w:sz w:val="20"/>
          <w:szCs w:val="20"/>
        </w:rPr>
        <w:t xml:space="preserve"> In summary, garden-based nutrition education offers policymakers a multifaceted approach to improving health outcomes, enhancing education, promoting community engagement, fostering environmental sustainability, and reducing healthcare costs, making it a valuable component of public health and educational policy agendas.</w:t>
      </w:r>
    </w:p>
    <w:p w14:paraId="3E414470" w14:textId="0F1497C3" w:rsidR="009B461A" w:rsidRPr="00E877D4" w:rsidRDefault="00765669" w:rsidP="00765669">
      <w:pPr>
        <w:pStyle w:val="ListParagraph"/>
        <w:numPr>
          <w:ilvl w:val="0"/>
          <w:numId w:val="4"/>
        </w:numPr>
        <w:spacing w:before="100" w:beforeAutospacing="1" w:after="100" w:afterAutospacing="1" w:line="240" w:lineRule="auto"/>
        <w:jc w:val="both"/>
        <w:rPr>
          <w:rFonts w:ascii="Arial" w:hAnsi="Arial" w:cs="Arial"/>
          <w:b/>
          <w:bCs/>
          <w:color w:val="202124"/>
          <w:shd w:val="clear" w:color="auto" w:fill="FFFFFF"/>
        </w:rPr>
      </w:pPr>
      <w:r w:rsidRPr="00E877D4">
        <w:rPr>
          <w:rFonts w:ascii="Arial" w:eastAsia="Times New Roman" w:hAnsi="Arial" w:cs="Arial"/>
          <w:b/>
          <w:bCs/>
          <w:kern w:val="0"/>
          <w:lang w:eastAsia="en-IN"/>
          <w14:ligatures w14:val="none"/>
        </w:rPr>
        <w:lastRenderedPageBreak/>
        <w:t>CONCLUSION</w:t>
      </w:r>
    </w:p>
    <w:p w14:paraId="3C428416" w14:textId="4D57C940" w:rsidR="00C50E1F" w:rsidRPr="00E877D4" w:rsidRDefault="00281B57"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In conclusion, garden-based nutrition education shows potential in improving cognitive development among preschool-aged children through encouraging healthy eating habits. The impact of this education on outcomes is notably affected by social and environmental factors, with more significant benefits observed when introduced at a younger age, like preschool or primary school.</w:t>
      </w:r>
      <w:r w:rsidR="00D037EE" w:rsidRPr="00E877D4">
        <w:rPr>
          <w:rFonts w:ascii="Arial" w:hAnsi="Arial" w:cs="Arial"/>
          <w:sz w:val="20"/>
          <w:szCs w:val="20"/>
        </w:rPr>
        <w:t xml:space="preserve"> </w:t>
      </w:r>
      <w:r w:rsidR="00C50E1F" w:rsidRPr="00E877D4">
        <w:rPr>
          <w:rFonts w:ascii="Arial" w:hAnsi="Arial" w:cs="Arial"/>
          <w:sz w:val="20"/>
          <w:szCs w:val="20"/>
        </w:rPr>
        <w:t xml:space="preserve">Additionally, positive results in children’s understanding of nutrition and dietary habits observed in studies with shorter intervention periods, smaller participant groups, or lower child-to-staff ratios may be due to increased focus and more precise measurement techniques. However, the diversity in study designs and methodologies has compromised the analysis of these outcomes. Involving parents has the potential to improve children’s attitudes, </w:t>
      </w:r>
      <w:proofErr w:type="spellStart"/>
      <w:r w:rsidR="00C50E1F" w:rsidRPr="00E877D4">
        <w:rPr>
          <w:rFonts w:ascii="Arial" w:hAnsi="Arial" w:cs="Arial"/>
          <w:sz w:val="20"/>
          <w:szCs w:val="20"/>
        </w:rPr>
        <w:t>behaviors</w:t>
      </w:r>
      <w:proofErr w:type="spellEnd"/>
      <w:r w:rsidR="00C50E1F" w:rsidRPr="00E877D4">
        <w:rPr>
          <w:rFonts w:ascii="Arial" w:hAnsi="Arial" w:cs="Arial"/>
          <w:sz w:val="20"/>
          <w:szCs w:val="20"/>
        </w:rPr>
        <w:t>, and willingness to eat fruits and vegetables.</w:t>
      </w:r>
      <w:r w:rsidR="00D037EE" w:rsidRPr="00E877D4">
        <w:rPr>
          <w:rFonts w:ascii="Arial" w:hAnsi="Arial" w:cs="Arial"/>
          <w:sz w:val="20"/>
          <w:szCs w:val="20"/>
        </w:rPr>
        <w:t xml:space="preserve"> </w:t>
      </w:r>
      <w:r w:rsidR="00C50E1F" w:rsidRPr="00E877D4">
        <w:rPr>
          <w:rFonts w:ascii="Arial" w:hAnsi="Arial" w:cs="Arial"/>
          <w:sz w:val="20"/>
          <w:szCs w:val="20"/>
        </w:rPr>
        <w:t>This review emphasizes the ongoing need for research and innovation in designing and implementing garden-based nutrition education programs tailored to the specific needs of preschoolers and their families. By integrating garden activities into early childhood education curricula and community interventions, stakeholders can ensure that all preschoolers have the opportunity to develop their cognitive abilities fully and thrive during their early developmental years.</w:t>
      </w:r>
    </w:p>
    <w:p w14:paraId="64E1CD07" w14:textId="336709B4" w:rsidR="00765669" w:rsidRPr="00E877D4" w:rsidRDefault="00765669" w:rsidP="00D037EE">
      <w:pPr>
        <w:spacing w:before="100" w:beforeAutospacing="1" w:after="100" w:afterAutospacing="1" w:line="240" w:lineRule="auto"/>
        <w:jc w:val="both"/>
        <w:rPr>
          <w:rFonts w:ascii="Arial" w:hAnsi="Arial" w:cs="Arial"/>
          <w:b/>
          <w:bCs/>
        </w:rPr>
      </w:pPr>
      <w:r w:rsidRPr="00E877D4">
        <w:rPr>
          <w:rFonts w:ascii="Arial" w:hAnsi="Arial" w:cs="Arial"/>
          <w:b/>
          <w:bCs/>
        </w:rPr>
        <w:t>REFERENCES</w:t>
      </w:r>
    </w:p>
    <w:p w14:paraId="11471DF6" w14:textId="77777777" w:rsidR="00381219" w:rsidRPr="00E877D4" w:rsidRDefault="00381219" w:rsidP="00381219">
      <w:pPr>
        <w:pStyle w:val="ListParagraph"/>
        <w:numPr>
          <w:ilvl w:val="0"/>
          <w:numId w:val="5"/>
        </w:num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Welsh JA, Nix RL, Blair C, Bierman KL and Nelson KE. The Development of Cognitive Skills and Gains in Academic School Readiness for Children from Low-Income Families. J. Educ. Psychol. 2010; 102: 43–53.</w:t>
      </w:r>
    </w:p>
    <w:p w14:paraId="70550DDA" w14:textId="77777777" w:rsidR="00381219" w:rsidRPr="00156C78" w:rsidRDefault="00381219" w:rsidP="00381219">
      <w:pPr>
        <w:pStyle w:val="ListParagraph"/>
        <w:jc w:val="both"/>
        <w:rPr>
          <w:rFonts w:ascii="Times New Roman" w:hAnsi="Times New Roman" w:cs="Times New Roman"/>
          <w:sz w:val="24"/>
          <w:szCs w:val="24"/>
          <w:lang w:val="en-US"/>
        </w:rPr>
      </w:pPr>
    </w:p>
    <w:p w14:paraId="0A0159D6"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Brown TT </w:t>
      </w:r>
      <w:bookmarkStart w:id="10" w:name="_Hlk173769465"/>
      <w:r w:rsidRPr="00E877D4">
        <w:rPr>
          <w:rFonts w:ascii="Arial" w:hAnsi="Arial" w:cs="Arial"/>
          <w:sz w:val="20"/>
          <w:szCs w:val="20"/>
        </w:rPr>
        <w:t xml:space="preserve">and Jernigan </w:t>
      </w:r>
      <w:bookmarkEnd w:id="10"/>
      <w:r w:rsidRPr="00E877D4">
        <w:rPr>
          <w:rFonts w:ascii="Arial" w:hAnsi="Arial" w:cs="Arial"/>
          <w:sz w:val="20"/>
          <w:szCs w:val="20"/>
        </w:rPr>
        <w:t xml:space="preserve">TL. Brain Development during the Preschool Years. </w:t>
      </w:r>
      <w:proofErr w:type="spellStart"/>
      <w:r w:rsidRPr="00E877D4">
        <w:rPr>
          <w:rFonts w:ascii="Arial" w:hAnsi="Arial" w:cs="Arial"/>
          <w:sz w:val="20"/>
          <w:szCs w:val="20"/>
        </w:rPr>
        <w:t>Neuropsychol</w:t>
      </w:r>
      <w:proofErr w:type="spellEnd"/>
      <w:r w:rsidRPr="00E877D4">
        <w:rPr>
          <w:rFonts w:ascii="Arial" w:hAnsi="Arial" w:cs="Arial"/>
          <w:sz w:val="20"/>
          <w:szCs w:val="20"/>
        </w:rPr>
        <w:t>. Rev. 2012; 22: 313–333.</w:t>
      </w:r>
    </w:p>
    <w:p w14:paraId="70E0211C" w14:textId="77777777" w:rsidR="00381219" w:rsidRPr="00E877D4" w:rsidRDefault="00381219" w:rsidP="00381219">
      <w:pPr>
        <w:pStyle w:val="ListParagraph"/>
        <w:jc w:val="both"/>
        <w:rPr>
          <w:rFonts w:ascii="Arial" w:hAnsi="Arial" w:cs="Arial"/>
          <w:sz w:val="20"/>
          <w:szCs w:val="20"/>
          <w:lang w:val="en-US"/>
        </w:rPr>
      </w:pPr>
    </w:p>
    <w:p w14:paraId="61631C1E"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Maggi S, Irwin LJ, Siddiqi A and Hertzman C. The Social Determinants of Early Child Development: An Overview. J. </w:t>
      </w:r>
      <w:proofErr w:type="spellStart"/>
      <w:r w:rsidRPr="00E877D4">
        <w:rPr>
          <w:rFonts w:ascii="Arial" w:hAnsi="Arial" w:cs="Arial"/>
          <w:sz w:val="20"/>
          <w:szCs w:val="20"/>
        </w:rPr>
        <w:t>Paediatr</w:t>
      </w:r>
      <w:proofErr w:type="spellEnd"/>
      <w:r w:rsidRPr="00E877D4">
        <w:rPr>
          <w:rFonts w:ascii="Arial" w:hAnsi="Arial" w:cs="Arial"/>
          <w:sz w:val="20"/>
          <w:szCs w:val="20"/>
        </w:rPr>
        <w:t>. Child. Health. 2010; 46: 627–635.</w:t>
      </w:r>
    </w:p>
    <w:p w14:paraId="323A88EF" w14:textId="77777777" w:rsidR="00381219" w:rsidRPr="00E877D4" w:rsidRDefault="00381219" w:rsidP="00381219">
      <w:pPr>
        <w:pStyle w:val="ListParagraph"/>
        <w:jc w:val="both"/>
        <w:rPr>
          <w:rFonts w:ascii="Arial" w:hAnsi="Arial" w:cs="Arial"/>
          <w:sz w:val="20"/>
          <w:szCs w:val="20"/>
          <w:lang w:val="en-US"/>
        </w:rPr>
      </w:pPr>
    </w:p>
    <w:p w14:paraId="53307825" w14:textId="3D96FD05" w:rsidR="00381219" w:rsidRPr="00291FE6" w:rsidRDefault="00381219" w:rsidP="0096563A">
      <w:pPr>
        <w:pStyle w:val="ListParagraph"/>
        <w:numPr>
          <w:ilvl w:val="0"/>
          <w:numId w:val="5"/>
        </w:numPr>
        <w:jc w:val="both"/>
        <w:rPr>
          <w:rFonts w:ascii="Arial" w:hAnsi="Arial" w:cs="Arial"/>
          <w:sz w:val="20"/>
          <w:szCs w:val="20"/>
          <w:lang w:val="en-US"/>
        </w:rPr>
      </w:pPr>
      <w:r w:rsidRPr="00291FE6">
        <w:rPr>
          <w:rFonts w:ascii="Arial" w:hAnsi="Arial" w:cs="Arial"/>
          <w:sz w:val="20"/>
          <w:szCs w:val="20"/>
        </w:rPr>
        <w:t xml:space="preserve">Cusick SE </w:t>
      </w:r>
      <w:bookmarkStart w:id="11" w:name="_Hlk173769635"/>
      <w:r w:rsidRPr="00291FE6">
        <w:rPr>
          <w:rFonts w:ascii="Arial" w:hAnsi="Arial" w:cs="Arial"/>
          <w:sz w:val="20"/>
          <w:szCs w:val="20"/>
        </w:rPr>
        <w:t xml:space="preserve">and Georgieff </w:t>
      </w:r>
      <w:bookmarkEnd w:id="11"/>
      <w:r w:rsidRPr="00291FE6">
        <w:rPr>
          <w:rFonts w:ascii="Arial" w:hAnsi="Arial" w:cs="Arial"/>
          <w:sz w:val="20"/>
          <w:szCs w:val="20"/>
        </w:rPr>
        <w:t xml:space="preserve">MK. The Role of Nutrition in Brain Development: The Golden Opportunity of the “First 1000 Days”. J. </w:t>
      </w:r>
      <w:proofErr w:type="spellStart"/>
      <w:r w:rsidRPr="00291FE6">
        <w:rPr>
          <w:rFonts w:ascii="Arial" w:hAnsi="Arial" w:cs="Arial"/>
          <w:sz w:val="20"/>
          <w:szCs w:val="20"/>
        </w:rPr>
        <w:t>Pediatr</w:t>
      </w:r>
      <w:proofErr w:type="spellEnd"/>
      <w:r w:rsidRPr="00291FE6">
        <w:rPr>
          <w:rFonts w:ascii="Arial" w:hAnsi="Arial" w:cs="Arial"/>
          <w:sz w:val="20"/>
          <w:szCs w:val="20"/>
        </w:rPr>
        <w:t xml:space="preserve">. 2016; 175: 16–21. </w:t>
      </w:r>
    </w:p>
    <w:p w14:paraId="1DE25966" w14:textId="77777777" w:rsidR="00291FE6" w:rsidRPr="00291FE6" w:rsidRDefault="00291FE6" w:rsidP="00291FE6">
      <w:pPr>
        <w:pStyle w:val="ListParagraph"/>
        <w:rPr>
          <w:rFonts w:ascii="Arial" w:hAnsi="Arial" w:cs="Arial"/>
          <w:sz w:val="20"/>
          <w:szCs w:val="20"/>
          <w:lang w:val="en-US"/>
        </w:rPr>
      </w:pPr>
    </w:p>
    <w:p w14:paraId="07FD5CEB" w14:textId="77777777" w:rsidR="00291FE6" w:rsidRPr="00291FE6" w:rsidRDefault="00291FE6" w:rsidP="00291FE6">
      <w:pPr>
        <w:pStyle w:val="ListParagraph"/>
        <w:jc w:val="both"/>
        <w:rPr>
          <w:rFonts w:ascii="Arial" w:hAnsi="Arial" w:cs="Arial"/>
          <w:sz w:val="20"/>
          <w:szCs w:val="20"/>
          <w:lang w:val="en-US"/>
        </w:rPr>
      </w:pPr>
    </w:p>
    <w:p w14:paraId="057E06A6"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Roberts M, Tolar-Peterson T, Reynolds A, Wall C, Reeder N and Rico Mendez G. The Effects of Nutritional Interventions on the Cognitive Development of Preschool-Age Children: A Systematic Review. Nutrients. 2022; 14: 532. https://doi.org/10.3390/ nu14030532</w:t>
      </w:r>
    </w:p>
    <w:p w14:paraId="4ED1D4A9" w14:textId="77777777" w:rsidR="00381219" w:rsidRPr="00156C78" w:rsidRDefault="00381219" w:rsidP="00381219">
      <w:pPr>
        <w:pStyle w:val="ListParagraph"/>
        <w:jc w:val="both"/>
        <w:rPr>
          <w:rFonts w:ascii="Times New Roman" w:eastAsia="Times New Roman" w:hAnsi="Times New Roman" w:cs="Times New Roman"/>
          <w:kern w:val="0"/>
          <w:sz w:val="24"/>
          <w:szCs w:val="24"/>
          <w:lang w:eastAsia="en-IN"/>
          <w14:ligatures w14:val="none"/>
        </w:rPr>
      </w:pPr>
    </w:p>
    <w:p w14:paraId="62D846BC" w14:textId="77777777" w:rsidR="00381219" w:rsidRPr="00E877D4" w:rsidRDefault="00381219" w:rsidP="00381219">
      <w:pPr>
        <w:pStyle w:val="ListParagraph"/>
        <w:numPr>
          <w:ilvl w:val="0"/>
          <w:numId w:val="5"/>
        </w:numPr>
        <w:jc w:val="both"/>
        <w:rPr>
          <w:rFonts w:ascii="Arial" w:eastAsia="Times New Roman" w:hAnsi="Arial" w:cs="Arial"/>
          <w:kern w:val="0"/>
          <w:sz w:val="20"/>
          <w:szCs w:val="20"/>
          <w:lang w:eastAsia="en-IN"/>
          <w14:ligatures w14:val="none"/>
        </w:rPr>
      </w:pPr>
      <w:r w:rsidRPr="00E877D4">
        <w:rPr>
          <w:rFonts w:ascii="Arial" w:hAnsi="Arial" w:cs="Arial"/>
          <w:sz w:val="20"/>
          <w:szCs w:val="20"/>
        </w:rPr>
        <w:t xml:space="preserve">Jones RA, Hinkley T, </w:t>
      </w:r>
      <w:proofErr w:type="spellStart"/>
      <w:r w:rsidRPr="00E877D4">
        <w:rPr>
          <w:rFonts w:ascii="Arial" w:hAnsi="Arial" w:cs="Arial"/>
          <w:sz w:val="20"/>
          <w:szCs w:val="20"/>
        </w:rPr>
        <w:t>Okely</w:t>
      </w:r>
      <w:proofErr w:type="spellEnd"/>
      <w:r w:rsidRPr="00E877D4">
        <w:rPr>
          <w:rFonts w:ascii="Arial" w:hAnsi="Arial" w:cs="Arial"/>
          <w:sz w:val="20"/>
          <w:szCs w:val="20"/>
        </w:rPr>
        <w:t xml:space="preserve"> AD and Salmon J. Tracking physical activity and sedentary </w:t>
      </w:r>
      <w:proofErr w:type="spellStart"/>
      <w:r w:rsidRPr="00E877D4">
        <w:rPr>
          <w:rFonts w:ascii="Arial" w:hAnsi="Arial" w:cs="Arial"/>
          <w:sz w:val="20"/>
          <w:szCs w:val="20"/>
        </w:rPr>
        <w:t>behavior</w:t>
      </w:r>
      <w:proofErr w:type="spellEnd"/>
      <w:r w:rsidRPr="00E877D4">
        <w:rPr>
          <w:rFonts w:ascii="Arial" w:hAnsi="Arial" w:cs="Arial"/>
          <w:sz w:val="20"/>
          <w:szCs w:val="20"/>
        </w:rPr>
        <w:t xml:space="preserve"> in childhood: a systematic review. Am. J. Prev. Med. 2013; 44(6):651–8.</w:t>
      </w:r>
    </w:p>
    <w:p w14:paraId="0ED21055" w14:textId="77777777" w:rsidR="00E877D4" w:rsidRPr="00E877D4" w:rsidRDefault="00E877D4" w:rsidP="00E877D4">
      <w:pPr>
        <w:pStyle w:val="ListParagraph"/>
        <w:rPr>
          <w:rFonts w:ascii="Arial" w:eastAsia="Times New Roman" w:hAnsi="Arial" w:cs="Arial"/>
          <w:kern w:val="0"/>
          <w:sz w:val="20"/>
          <w:szCs w:val="20"/>
          <w:lang w:eastAsia="en-IN"/>
          <w14:ligatures w14:val="none"/>
        </w:rPr>
      </w:pPr>
    </w:p>
    <w:p w14:paraId="61943C16" w14:textId="77777777" w:rsidR="00E877D4" w:rsidRPr="00E877D4" w:rsidRDefault="00E877D4" w:rsidP="00E877D4">
      <w:pPr>
        <w:pStyle w:val="ListParagraph"/>
        <w:jc w:val="both"/>
        <w:rPr>
          <w:rFonts w:ascii="Arial" w:eastAsia="Times New Roman" w:hAnsi="Arial" w:cs="Arial"/>
          <w:kern w:val="0"/>
          <w:sz w:val="20"/>
          <w:szCs w:val="20"/>
          <w:lang w:eastAsia="en-IN"/>
          <w14:ligatures w14:val="none"/>
        </w:rPr>
      </w:pPr>
    </w:p>
    <w:p w14:paraId="1E1E975B" w14:textId="77777777" w:rsidR="00381219" w:rsidRPr="00E877D4" w:rsidRDefault="00381219" w:rsidP="00381219">
      <w:pPr>
        <w:pStyle w:val="ListParagraph"/>
        <w:numPr>
          <w:ilvl w:val="0"/>
          <w:numId w:val="5"/>
        </w:numPr>
        <w:jc w:val="both"/>
        <w:rPr>
          <w:rFonts w:ascii="Arial" w:eastAsia="Times New Roman" w:hAnsi="Arial" w:cs="Arial"/>
          <w:kern w:val="0"/>
          <w:sz w:val="20"/>
          <w:szCs w:val="20"/>
          <w:lang w:eastAsia="en-IN"/>
          <w14:ligatures w14:val="none"/>
        </w:rPr>
      </w:pPr>
      <w:r w:rsidRPr="00E877D4">
        <w:rPr>
          <w:rFonts w:ascii="Arial" w:hAnsi="Arial" w:cs="Arial"/>
          <w:sz w:val="20"/>
          <w:szCs w:val="20"/>
        </w:rPr>
        <w:t>Brouwer RN and Neelon S. Watch me grow: a garden-based pilot intervention to increase vegetable and fruit intake in preschoolers. BMC Public Health. 2013;13(363):2–6.</w:t>
      </w:r>
    </w:p>
    <w:p w14:paraId="16A1379B" w14:textId="77777777" w:rsidR="00381219" w:rsidRPr="00E877D4" w:rsidRDefault="00381219" w:rsidP="00381219">
      <w:pPr>
        <w:pStyle w:val="ListParagraph"/>
        <w:jc w:val="both"/>
        <w:rPr>
          <w:rFonts w:ascii="Arial" w:hAnsi="Arial" w:cs="Arial"/>
          <w:sz w:val="20"/>
          <w:szCs w:val="20"/>
          <w:lang w:val="en-US"/>
        </w:rPr>
      </w:pPr>
    </w:p>
    <w:p w14:paraId="41DEFBF7" w14:textId="2218942B"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Robinson-O'Brien R, Story M and Heim S. Impact of garden-based youth nutrition intervention programs: a review. J</w:t>
      </w:r>
      <w:r w:rsidR="00291FE6">
        <w:rPr>
          <w:rFonts w:ascii="Arial" w:hAnsi="Arial" w:cs="Arial"/>
          <w:sz w:val="20"/>
          <w:szCs w:val="20"/>
        </w:rPr>
        <w:t>.</w:t>
      </w:r>
      <w:r w:rsidRPr="00E877D4">
        <w:rPr>
          <w:rFonts w:ascii="Arial" w:hAnsi="Arial" w:cs="Arial"/>
          <w:sz w:val="20"/>
          <w:szCs w:val="20"/>
        </w:rPr>
        <w:t xml:space="preserve"> Am</w:t>
      </w:r>
      <w:r w:rsidR="00291FE6">
        <w:rPr>
          <w:rFonts w:ascii="Arial" w:hAnsi="Arial" w:cs="Arial"/>
          <w:sz w:val="20"/>
          <w:szCs w:val="20"/>
        </w:rPr>
        <w:t>.</w:t>
      </w:r>
      <w:r w:rsidRPr="00E877D4">
        <w:rPr>
          <w:rFonts w:ascii="Arial" w:hAnsi="Arial" w:cs="Arial"/>
          <w:sz w:val="20"/>
          <w:szCs w:val="20"/>
        </w:rPr>
        <w:t xml:space="preserve"> Diet</w:t>
      </w:r>
      <w:r w:rsidR="00291FE6">
        <w:rPr>
          <w:rFonts w:ascii="Arial" w:hAnsi="Arial" w:cs="Arial"/>
          <w:sz w:val="20"/>
          <w:szCs w:val="20"/>
        </w:rPr>
        <w:t>.</w:t>
      </w:r>
      <w:r w:rsidRPr="00E877D4">
        <w:rPr>
          <w:rFonts w:ascii="Arial" w:hAnsi="Arial" w:cs="Arial"/>
          <w:sz w:val="20"/>
          <w:szCs w:val="20"/>
        </w:rPr>
        <w:t xml:space="preserve"> Assoc. 2009;109(2):273–80.</w:t>
      </w:r>
    </w:p>
    <w:p w14:paraId="22751796" w14:textId="77777777" w:rsidR="00381219" w:rsidRPr="00E877D4" w:rsidRDefault="00381219" w:rsidP="00381219">
      <w:pPr>
        <w:pStyle w:val="ListParagraph"/>
        <w:jc w:val="both"/>
        <w:rPr>
          <w:rFonts w:ascii="Arial" w:hAnsi="Arial" w:cs="Arial"/>
          <w:sz w:val="20"/>
          <w:szCs w:val="20"/>
          <w:lang w:val="en-US"/>
        </w:rPr>
      </w:pPr>
    </w:p>
    <w:p w14:paraId="01169BB4"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Gatto NM, Martinez LC, </w:t>
      </w:r>
      <w:proofErr w:type="spellStart"/>
      <w:r w:rsidRPr="00E877D4">
        <w:rPr>
          <w:rFonts w:ascii="Arial" w:hAnsi="Arial" w:cs="Arial"/>
          <w:sz w:val="20"/>
          <w:szCs w:val="20"/>
        </w:rPr>
        <w:t>Spruijt</w:t>
      </w:r>
      <w:proofErr w:type="spellEnd"/>
      <w:r w:rsidRPr="00E877D4">
        <w:rPr>
          <w:rFonts w:ascii="Arial" w:hAnsi="Arial" w:cs="Arial"/>
          <w:sz w:val="20"/>
          <w:szCs w:val="20"/>
        </w:rPr>
        <w:t xml:space="preserve">-Metz D and Davis JN. LA sprouts randomized controlled nutrition, cooking and gardening programme reduces obesity and metabolic risk in Hispanic/Latino youth. </w:t>
      </w:r>
      <w:proofErr w:type="spellStart"/>
      <w:r w:rsidRPr="00E877D4">
        <w:rPr>
          <w:rFonts w:ascii="Arial" w:hAnsi="Arial" w:cs="Arial"/>
          <w:sz w:val="20"/>
          <w:szCs w:val="20"/>
        </w:rPr>
        <w:t>Pediatr</w:t>
      </w:r>
      <w:proofErr w:type="spellEnd"/>
      <w:r w:rsidRPr="00E877D4">
        <w:rPr>
          <w:rFonts w:ascii="Arial" w:hAnsi="Arial" w:cs="Arial"/>
          <w:sz w:val="20"/>
          <w:szCs w:val="20"/>
        </w:rPr>
        <w:t xml:space="preserve">. </w:t>
      </w:r>
      <w:proofErr w:type="spellStart"/>
      <w:r w:rsidRPr="00E877D4">
        <w:rPr>
          <w:rFonts w:ascii="Arial" w:hAnsi="Arial" w:cs="Arial"/>
          <w:sz w:val="20"/>
          <w:szCs w:val="20"/>
        </w:rPr>
        <w:t>Obes</w:t>
      </w:r>
      <w:proofErr w:type="spellEnd"/>
      <w:r w:rsidRPr="00E877D4">
        <w:rPr>
          <w:rFonts w:ascii="Arial" w:hAnsi="Arial" w:cs="Arial"/>
          <w:sz w:val="20"/>
          <w:szCs w:val="20"/>
        </w:rPr>
        <w:t>. 2017;12(1):28–37.</w:t>
      </w:r>
    </w:p>
    <w:p w14:paraId="5B60036F" w14:textId="77777777" w:rsidR="00381219" w:rsidRPr="00E877D4" w:rsidRDefault="00381219" w:rsidP="00381219">
      <w:pPr>
        <w:pStyle w:val="ListParagraph"/>
        <w:jc w:val="both"/>
        <w:rPr>
          <w:rFonts w:ascii="Arial" w:hAnsi="Arial" w:cs="Arial"/>
          <w:sz w:val="20"/>
          <w:szCs w:val="20"/>
          <w:lang w:val="en-US"/>
        </w:rPr>
      </w:pPr>
    </w:p>
    <w:p w14:paraId="338E069A" w14:textId="6BC2EBC1" w:rsidR="00381219" w:rsidRPr="00291FE6" w:rsidRDefault="00381219" w:rsidP="00D27F4F">
      <w:pPr>
        <w:pStyle w:val="ListParagraph"/>
        <w:numPr>
          <w:ilvl w:val="0"/>
          <w:numId w:val="5"/>
        </w:numPr>
        <w:jc w:val="both"/>
        <w:rPr>
          <w:rFonts w:ascii="Arial" w:hAnsi="Arial" w:cs="Arial"/>
          <w:sz w:val="20"/>
          <w:szCs w:val="20"/>
          <w:lang w:val="en-US"/>
        </w:rPr>
      </w:pPr>
      <w:r w:rsidRPr="00291FE6">
        <w:rPr>
          <w:rFonts w:ascii="Arial" w:hAnsi="Arial" w:cs="Arial"/>
          <w:sz w:val="20"/>
          <w:szCs w:val="20"/>
        </w:rPr>
        <w:t xml:space="preserve">Kos M and Jerman J. Preschool children learning about the origin of food, on local farms and in the preschool garden. </w:t>
      </w:r>
      <w:proofErr w:type="spellStart"/>
      <w:r w:rsidRPr="00291FE6">
        <w:rPr>
          <w:rFonts w:ascii="Arial" w:hAnsi="Arial" w:cs="Arial"/>
          <w:sz w:val="20"/>
          <w:szCs w:val="20"/>
        </w:rPr>
        <w:t>Nutr</w:t>
      </w:r>
      <w:proofErr w:type="spellEnd"/>
      <w:r w:rsidRPr="00291FE6">
        <w:rPr>
          <w:rFonts w:ascii="Arial" w:hAnsi="Arial" w:cs="Arial"/>
          <w:sz w:val="20"/>
          <w:szCs w:val="20"/>
        </w:rPr>
        <w:t>. Food Sci. 2012; 42: 324–331</w:t>
      </w:r>
      <w:r w:rsidR="00291FE6">
        <w:rPr>
          <w:rFonts w:ascii="Arial" w:hAnsi="Arial" w:cs="Arial"/>
          <w:sz w:val="20"/>
          <w:szCs w:val="20"/>
        </w:rPr>
        <w:t>.</w:t>
      </w:r>
    </w:p>
    <w:p w14:paraId="286483FD" w14:textId="77777777" w:rsidR="00291FE6" w:rsidRPr="00291FE6" w:rsidRDefault="00291FE6" w:rsidP="00291FE6">
      <w:pPr>
        <w:pStyle w:val="ListParagraph"/>
        <w:rPr>
          <w:rFonts w:ascii="Arial" w:hAnsi="Arial" w:cs="Arial"/>
          <w:sz w:val="20"/>
          <w:szCs w:val="20"/>
          <w:lang w:val="en-US"/>
        </w:rPr>
      </w:pPr>
    </w:p>
    <w:p w14:paraId="073C1E56" w14:textId="77777777" w:rsidR="00291FE6" w:rsidRPr="00291FE6" w:rsidRDefault="00291FE6" w:rsidP="00291FE6">
      <w:pPr>
        <w:pStyle w:val="ListParagraph"/>
        <w:jc w:val="both"/>
        <w:rPr>
          <w:rFonts w:ascii="Arial" w:hAnsi="Arial" w:cs="Arial"/>
          <w:sz w:val="20"/>
          <w:szCs w:val="20"/>
          <w:lang w:val="en-US"/>
        </w:rPr>
      </w:pPr>
    </w:p>
    <w:p w14:paraId="6AA007A0"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lastRenderedPageBreak/>
        <w:t xml:space="preserve">Flick KM. The application of a horticultural therapy program for preschool children with </w:t>
      </w:r>
      <w:proofErr w:type="gramStart"/>
      <w:r w:rsidRPr="00E877D4">
        <w:rPr>
          <w:rFonts w:ascii="Arial" w:hAnsi="Arial" w:cs="Arial"/>
          <w:sz w:val="20"/>
          <w:szCs w:val="20"/>
        </w:rPr>
        <w:t>autism Spectrum disorder</w:t>
      </w:r>
      <w:proofErr w:type="gramEnd"/>
      <w:r w:rsidRPr="00E877D4">
        <w:rPr>
          <w:rFonts w:ascii="Arial" w:hAnsi="Arial" w:cs="Arial"/>
          <w:sz w:val="20"/>
          <w:szCs w:val="20"/>
        </w:rPr>
        <w:t>. J. Ther. Horticulture. 2012;22(1):38–45.</w:t>
      </w:r>
    </w:p>
    <w:p w14:paraId="1851827C" w14:textId="77777777" w:rsidR="00381219" w:rsidRPr="00E877D4" w:rsidRDefault="00381219" w:rsidP="00381219">
      <w:pPr>
        <w:pStyle w:val="ListParagraph"/>
        <w:jc w:val="both"/>
        <w:rPr>
          <w:rFonts w:ascii="Arial" w:hAnsi="Arial" w:cs="Arial"/>
          <w:sz w:val="20"/>
          <w:szCs w:val="20"/>
          <w:lang w:val="en-US"/>
        </w:rPr>
      </w:pPr>
    </w:p>
    <w:p w14:paraId="0A077E1B"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Lee RE, Parker NH, Soltero EG, Ledoux TA, Mama SK and McNeill L. Sustainability via active garden education (SAGE): results from two feasibility pilot studies. BMC Public Health. 2017;17(1):242.</w:t>
      </w:r>
    </w:p>
    <w:p w14:paraId="5C7D87FB" w14:textId="77777777" w:rsidR="00381219" w:rsidRPr="00E877D4" w:rsidRDefault="00381219" w:rsidP="00381219">
      <w:pPr>
        <w:pStyle w:val="ListParagraph"/>
        <w:jc w:val="both"/>
        <w:rPr>
          <w:rFonts w:ascii="Arial" w:hAnsi="Arial" w:cs="Arial"/>
          <w:sz w:val="20"/>
          <w:szCs w:val="20"/>
          <w:lang w:val="en-US"/>
        </w:rPr>
      </w:pPr>
    </w:p>
    <w:p w14:paraId="56D68E89" w14:textId="77777777" w:rsidR="00381219" w:rsidRPr="00E877D4" w:rsidRDefault="00381219" w:rsidP="00381219">
      <w:pPr>
        <w:pStyle w:val="ListParagraph"/>
        <w:numPr>
          <w:ilvl w:val="0"/>
          <w:numId w:val="5"/>
        </w:numPr>
        <w:jc w:val="both"/>
        <w:rPr>
          <w:rFonts w:ascii="Arial" w:hAnsi="Arial" w:cs="Arial"/>
          <w:sz w:val="20"/>
          <w:szCs w:val="20"/>
          <w:lang w:val="en-US"/>
        </w:rPr>
      </w:pPr>
      <w:proofErr w:type="spellStart"/>
      <w:r w:rsidRPr="00E877D4">
        <w:rPr>
          <w:rFonts w:ascii="Arial" w:hAnsi="Arial" w:cs="Arial"/>
          <w:sz w:val="20"/>
          <w:szCs w:val="20"/>
        </w:rPr>
        <w:t>Berezowitz</w:t>
      </w:r>
      <w:proofErr w:type="spellEnd"/>
      <w:r w:rsidRPr="00E877D4">
        <w:rPr>
          <w:rFonts w:ascii="Arial" w:hAnsi="Arial" w:cs="Arial"/>
          <w:sz w:val="20"/>
          <w:szCs w:val="20"/>
        </w:rPr>
        <w:t xml:space="preserve"> C, Bontrager Yoder A and Schoeller D. School gardens enhance academic performance and dietary outcomes in children. J. Sch. Health. 2015;85(8):508–18.</w:t>
      </w:r>
    </w:p>
    <w:p w14:paraId="0026FC42" w14:textId="77777777" w:rsidR="00381219" w:rsidRPr="00E877D4" w:rsidRDefault="00381219" w:rsidP="00381219">
      <w:pPr>
        <w:pStyle w:val="ListParagraph"/>
        <w:jc w:val="both"/>
        <w:rPr>
          <w:rFonts w:ascii="Arial" w:hAnsi="Arial" w:cs="Arial"/>
          <w:sz w:val="20"/>
          <w:szCs w:val="20"/>
          <w:lang w:val="en-US"/>
        </w:rPr>
      </w:pPr>
    </w:p>
    <w:p w14:paraId="72A82553"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Chan CL, Tan PY and Gong Y </w:t>
      </w:r>
      <w:proofErr w:type="spellStart"/>
      <w:r w:rsidRPr="00E877D4">
        <w:rPr>
          <w:rFonts w:ascii="Arial" w:hAnsi="Arial" w:cs="Arial"/>
          <w:sz w:val="20"/>
          <w:szCs w:val="20"/>
        </w:rPr>
        <w:t>Y</w:t>
      </w:r>
      <w:proofErr w:type="spellEnd"/>
      <w:r w:rsidRPr="00E877D4">
        <w:rPr>
          <w:rFonts w:ascii="Arial" w:hAnsi="Arial" w:cs="Arial"/>
          <w:sz w:val="20"/>
          <w:szCs w:val="20"/>
        </w:rPr>
        <w:t>. Evaluating the impacts of school garden-based programmes on diet and nutrition-related knowledge, attitudes and practices among the school children: a systematic review. BMC Public Health. 2022; 22:1251</w:t>
      </w:r>
    </w:p>
    <w:p w14:paraId="37ACC795" w14:textId="77777777" w:rsidR="00381219" w:rsidRPr="00E877D4" w:rsidRDefault="00381219" w:rsidP="00381219">
      <w:pPr>
        <w:pStyle w:val="ListParagraph"/>
        <w:jc w:val="both"/>
        <w:rPr>
          <w:rFonts w:ascii="Arial" w:hAnsi="Arial" w:cs="Arial"/>
          <w:sz w:val="20"/>
          <w:szCs w:val="20"/>
          <w:lang w:val="en-US"/>
        </w:rPr>
      </w:pPr>
    </w:p>
    <w:p w14:paraId="7A716CAD"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McCloskey ML, Kesterson H, Mena NZ, </w:t>
      </w:r>
      <w:proofErr w:type="spellStart"/>
      <w:r w:rsidRPr="00E877D4">
        <w:rPr>
          <w:rFonts w:ascii="Arial" w:hAnsi="Arial" w:cs="Arial"/>
          <w:sz w:val="20"/>
          <w:szCs w:val="20"/>
        </w:rPr>
        <w:t>Dellaport</w:t>
      </w:r>
      <w:proofErr w:type="spellEnd"/>
      <w:r w:rsidRPr="00E877D4">
        <w:rPr>
          <w:rFonts w:ascii="Arial" w:hAnsi="Arial" w:cs="Arial"/>
          <w:sz w:val="20"/>
          <w:szCs w:val="20"/>
        </w:rPr>
        <w:t xml:space="preserve"> J and Bellows LL. Farm to Early Care and Education Programming: A Descriptive Study of Challenges and Opportunities to Promote Healthful Foods to Young Children. Int. J. Environ. Res. Public Health. 2020; 17: 6857. </w:t>
      </w:r>
    </w:p>
    <w:p w14:paraId="6C6328F9" w14:textId="77777777" w:rsidR="00381219" w:rsidRPr="00156C78" w:rsidRDefault="00381219" w:rsidP="00381219">
      <w:pPr>
        <w:pStyle w:val="ListParagraph"/>
        <w:jc w:val="both"/>
        <w:rPr>
          <w:rFonts w:ascii="Times New Roman" w:hAnsi="Times New Roman" w:cs="Times New Roman"/>
          <w:sz w:val="24"/>
          <w:szCs w:val="24"/>
          <w:lang w:val="en-US"/>
        </w:rPr>
      </w:pPr>
    </w:p>
    <w:p w14:paraId="3327C9AD"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Kim S-O, Park S. Garden-based integrated intervention for improving children’s eating </w:t>
      </w:r>
      <w:proofErr w:type="spellStart"/>
      <w:r w:rsidRPr="00E877D4">
        <w:rPr>
          <w:rFonts w:ascii="Arial" w:hAnsi="Arial" w:cs="Arial"/>
          <w:sz w:val="20"/>
          <w:szCs w:val="20"/>
        </w:rPr>
        <w:t>behavior</w:t>
      </w:r>
      <w:proofErr w:type="spellEnd"/>
      <w:r w:rsidRPr="00E877D4">
        <w:rPr>
          <w:rFonts w:ascii="Arial" w:hAnsi="Arial" w:cs="Arial"/>
          <w:sz w:val="20"/>
          <w:szCs w:val="20"/>
        </w:rPr>
        <w:t xml:space="preserve"> for vegetables. Int. J. Environ. Res. Public Health. 2020;17(4):1257.</w:t>
      </w:r>
    </w:p>
    <w:p w14:paraId="1870B702" w14:textId="77777777" w:rsidR="00381219" w:rsidRPr="00E877D4" w:rsidRDefault="00381219" w:rsidP="00381219">
      <w:pPr>
        <w:pStyle w:val="ListParagraph"/>
        <w:jc w:val="both"/>
        <w:rPr>
          <w:rFonts w:ascii="Arial" w:hAnsi="Arial" w:cs="Arial"/>
          <w:sz w:val="20"/>
          <w:szCs w:val="20"/>
          <w:lang w:val="en-US"/>
        </w:rPr>
      </w:pPr>
    </w:p>
    <w:p w14:paraId="3729944E" w14:textId="13610F0E"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Davis JN, Spaniol MR and Somerset S. Sustenance and sustainability: maximizing the impact of school gardens on health outcomes. Public Health </w:t>
      </w:r>
      <w:proofErr w:type="spellStart"/>
      <w:r w:rsidRPr="00E877D4">
        <w:rPr>
          <w:rFonts w:ascii="Arial" w:hAnsi="Arial" w:cs="Arial"/>
          <w:sz w:val="20"/>
          <w:szCs w:val="20"/>
        </w:rPr>
        <w:t>Nutr</w:t>
      </w:r>
      <w:proofErr w:type="spellEnd"/>
      <w:r w:rsidRPr="00E877D4">
        <w:rPr>
          <w:rFonts w:ascii="Arial" w:hAnsi="Arial" w:cs="Arial"/>
          <w:sz w:val="20"/>
          <w:szCs w:val="20"/>
        </w:rPr>
        <w:t>. 2021; 18(13): 2358–2367</w:t>
      </w:r>
      <w:r w:rsidR="00E877D4">
        <w:rPr>
          <w:rFonts w:ascii="Arial" w:hAnsi="Arial" w:cs="Arial"/>
          <w:sz w:val="20"/>
          <w:szCs w:val="20"/>
        </w:rPr>
        <w:t>.</w:t>
      </w:r>
    </w:p>
    <w:p w14:paraId="5C91231E" w14:textId="77777777" w:rsidR="00E877D4" w:rsidRPr="00E877D4" w:rsidRDefault="00E877D4" w:rsidP="00E877D4">
      <w:pPr>
        <w:pStyle w:val="ListParagraph"/>
        <w:rPr>
          <w:rFonts w:ascii="Arial" w:hAnsi="Arial" w:cs="Arial"/>
          <w:sz w:val="20"/>
          <w:szCs w:val="20"/>
          <w:lang w:val="en-US"/>
        </w:rPr>
      </w:pPr>
    </w:p>
    <w:p w14:paraId="3556C35A" w14:textId="77777777" w:rsidR="00E877D4" w:rsidRPr="00E877D4" w:rsidRDefault="00E877D4" w:rsidP="00E877D4">
      <w:pPr>
        <w:pStyle w:val="ListParagraph"/>
        <w:jc w:val="both"/>
        <w:rPr>
          <w:rFonts w:ascii="Arial" w:hAnsi="Arial" w:cs="Arial"/>
          <w:sz w:val="20"/>
          <w:szCs w:val="20"/>
          <w:lang w:val="en-US"/>
        </w:rPr>
      </w:pPr>
    </w:p>
    <w:p w14:paraId="512B403D" w14:textId="77777777" w:rsidR="00381219" w:rsidRPr="00E877D4" w:rsidRDefault="00381219" w:rsidP="00381219">
      <w:pPr>
        <w:pStyle w:val="ListParagraph"/>
        <w:numPr>
          <w:ilvl w:val="0"/>
          <w:numId w:val="5"/>
        </w:numPr>
        <w:jc w:val="both"/>
        <w:rPr>
          <w:rStyle w:val="element-citation"/>
          <w:rFonts w:ascii="Arial" w:hAnsi="Arial" w:cs="Arial"/>
          <w:sz w:val="20"/>
          <w:szCs w:val="20"/>
          <w:lang w:val="en-US"/>
        </w:rPr>
      </w:pPr>
      <w:r w:rsidRPr="00E877D4">
        <w:rPr>
          <w:rFonts w:ascii="Arial" w:hAnsi="Arial" w:cs="Arial"/>
          <w:sz w:val="20"/>
          <w:szCs w:val="20"/>
        </w:rPr>
        <w:t xml:space="preserve">Morgan </w:t>
      </w:r>
      <w:r w:rsidRPr="00E877D4">
        <w:rPr>
          <w:rFonts w:ascii="Arial" w:hAnsi="Arial" w:cs="Arial"/>
          <w:i/>
          <w:iCs/>
          <w:sz w:val="20"/>
          <w:szCs w:val="20"/>
        </w:rPr>
        <w:t>et al.,</w:t>
      </w:r>
      <w:r w:rsidRPr="00E877D4">
        <w:rPr>
          <w:rFonts w:ascii="Arial" w:hAnsi="Arial" w:cs="Arial"/>
          <w:sz w:val="20"/>
          <w:szCs w:val="20"/>
        </w:rPr>
        <w:t xml:space="preserve"> 2010</w:t>
      </w:r>
      <w:r w:rsidRPr="00E877D4">
        <w:rPr>
          <w:rStyle w:val="element-citation"/>
          <w:rFonts w:ascii="Arial" w:hAnsi="Arial" w:cs="Arial"/>
          <w:color w:val="303030"/>
          <w:sz w:val="20"/>
          <w:szCs w:val="20"/>
        </w:rPr>
        <w:t xml:space="preserve"> Morgan PJ, Warren JM, </w:t>
      </w:r>
      <w:proofErr w:type="spellStart"/>
      <w:r w:rsidRPr="00E877D4">
        <w:rPr>
          <w:rStyle w:val="element-citation"/>
          <w:rFonts w:ascii="Arial" w:hAnsi="Arial" w:cs="Arial"/>
          <w:color w:val="303030"/>
          <w:sz w:val="20"/>
          <w:szCs w:val="20"/>
        </w:rPr>
        <w:t>Lubans</w:t>
      </w:r>
      <w:proofErr w:type="spellEnd"/>
      <w:r w:rsidRPr="00E877D4">
        <w:rPr>
          <w:rStyle w:val="element-citation"/>
          <w:rFonts w:ascii="Arial" w:hAnsi="Arial" w:cs="Arial"/>
          <w:color w:val="303030"/>
          <w:sz w:val="20"/>
          <w:szCs w:val="20"/>
        </w:rPr>
        <w:t xml:space="preserve"> DR, Saunders KL, Quick GI, Collins CE. The impact of nutrition education with and without a school garden on knowledge, vegetable intake and preferences and quality of school life among primary-school students. </w:t>
      </w:r>
      <w:r w:rsidRPr="00E877D4">
        <w:rPr>
          <w:rStyle w:val="ref-journal"/>
          <w:rFonts w:ascii="Arial" w:hAnsi="Arial" w:cs="Arial"/>
          <w:i/>
          <w:iCs/>
          <w:color w:val="303030"/>
          <w:sz w:val="20"/>
          <w:szCs w:val="20"/>
        </w:rPr>
        <w:t xml:space="preserve">Public Health </w:t>
      </w:r>
      <w:proofErr w:type="spellStart"/>
      <w:r w:rsidRPr="00E877D4">
        <w:rPr>
          <w:rStyle w:val="ref-journal"/>
          <w:rFonts w:ascii="Arial" w:hAnsi="Arial" w:cs="Arial"/>
          <w:i/>
          <w:iCs/>
          <w:color w:val="303030"/>
          <w:sz w:val="20"/>
          <w:szCs w:val="20"/>
        </w:rPr>
        <w:t>Nutr</w:t>
      </w:r>
      <w:proofErr w:type="spellEnd"/>
      <w:r w:rsidRPr="00E877D4">
        <w:rPr>
          <w:rStyle w:val="ref-journal"/>
          <w:rFonts w:ascii="Arial" w:hAnsi="Arial" w:cs="Arial"/>
          <w:i/>
          <w:iCs/>
          <w:color w:val="303030"/>
          <w:sz w:val="20"/>
          <w:szCs w:val="20"/>
        </w:rPr>
        <w:t>. </w:t>
      </w:r>
      <w:r w:rsidRPr="00E877D4">
        <w:rPr>
          <w:rStyle w:val="element-citation"/>
          <w:rFonts w:ascii="Arial" w:hAnsi="Arial" w:cs="Arial"/>
          <w:color w:val="303030"/>
          <w:sz w:val="20"/>
          <w:szCs w:val="20"/>
        </w:rPr>
        <w:t>2010;</w:t>
      </w:r>
      <w:r w:rsidRPr="00E877D4">
        <w:rPr>
          <w:rStyle w:val="ref-vol"/>
          <w:rFonts w:ascii="Arial" w:hAnsi="Arial" w:cs="Arial"/>
          <w:b/>
          <w:bCs/>
          <w:color w:val="303030"/>
          <w:sz w:val="20"/>
          <w:szCs w:val="20"/>
        </w:rPr>
        <w:t>13</w:t>
      </w:r>
      <w:r w:rsidRPr="00E877D4">
        <w:rPr>
          <w:rStyle w:val="element-citation"/>
          <w:rFonts w:ascii="Arial" w:hAnsi="Arial" w:cs="Arial"/>
          <w:color w:val="303030"/>
          <w:sz w:val="20"/>
          <w:szCs w:val="20"/>
        </w:rPr>
        <w:t>(11):1931–1940.</w:t>
      </w:r>
    </w:p>
    <w:p w14:paraId="36937F81" w14:textId="77777777" w:rsidR="00E877D4" w:rsidRPr="00E877D4" w:rsidRDefault="00E877D4" w:rsidP="00E877D4">
      <w:pPr>
        <w:pStyle w:val="ListParagraph"/>
        <w:jc w:val="both"/>
        <w:rPr>
          <w:rStyle w:val="element-citation"/>
          <w:rFonts w:ascii="Arial" w:hAnsi="Arial" w:cs="Arial"/>
          <w:sz w:val="20"/>
          <w:szCs w:val="20"/>
          <w:lang w:val="en-US"/>
        </w:rPr>
      </w:pPr>
    </w:p>
    <w:p w14:paraId="034C3E14" w14:textId="77777777" w:rsidR="00381219" w:rsidRPr="00954610"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 Laird H. Garden-Based Nutrition Education Programs: A Review </w:t>
      </w:r>
      <w:proofErr w:type="gramStart"/>
      <w:r w:rsidRPr="00E877D4">
        <w:rPr>
          <w:rFonts w:ascii="Arial" w:hAnsi="Arial" w:cs="Arial"/>
          <w:sz w:val="20"/>
          <w:szCs w:val="20"/>
        </w:rPr>
        <w:t>Of</w:t>
      </w:r>
      <w:proofErr w:type="gramEnd"/>
      <w:r w:rsidRPr="00E877D4">
        <w:rPr>
          <w:rFonts w:ascii="Arial" w:hAnsi="Arial" w:cs="Arial"/>
          <w:sz w:val="20"/>
          <w:szCs w:val="20"/>
        </w:rPr>
        <w:t xml:space="preserve"> Impact And Evaluation Methods. University of Pittsburgh. 2016.pp,20-26.</w:t>
      </w:r>
    </w:p>
    <w:p w14:paraId="0C286B50" w14:textId="77777777" w:rsidR="00954610" w:rsidRPr="00954610" w:rsidRDefault="00954610" w:rsidP="00954610">
      <w:pPr>
        <w:pStyle w:val="ListParagraph"/>
        <w:rPr>
          <w:rFonts w:ascii="Arial" w:hAnsi="Arial" w:cs="Arial"/>
          <w:sz w:val="20"/>
          <w:szCs w:val="20"/>
          <w:lang w:val="en-US"/>
        </w:rPr>
      </w:pPr>
    </w:p>
    <w:p w14:paraId="39AED58D" w14:textId="4E1E4DD1" w:rsidR="00E877D4" w:rsidRPr="00954610" w:rsidRDefault="00954610" w:rsidP="00954610">
      <w:pPr>
        <w:pStyle w:val="ListParagraph"/>
        <w:numPr>
          <w:ilvl w:val="0"/>
          <w:numId w:val="5"/>
        </w:numPr>
        <w:spacing w:line="256" w:lineRule="auto"/>
        <w:rPr>
          <w:rFonts w:ascii="Arial" w:hAnsi="Arial" w:cs="Arial"/>
          <w:sz w:val="20"/>
          <w:szCs w:val="20"/>
          <w:lang w:val="en-US"/>
        </w:rPr>
      </w:pPr>
      <w:r w:rsidRPr="00954610">
        <w:rPr>
          <w:rFonts w:ascii="Arial" w:hAnsi="Arial" w:cs="Arial"/>
          <w:sz w:val="20"/>
          <w:szCs w:val="20"/>
        </w:rPr>
        <w:t xml:space="preserve">Christian MS, Evans CE, </w:t>
      </w:r>
      <w:proofErr w:type="spellStart"/>
      <w:r w:rsidRPr="00954610">
        <w:rPr>
          <w:rFonts w:ascii="Arial" w:hAnsi="Arial" w:cs="Arial"/>
          <w:sz w:val="20"/>
          <w:szCs w:val="20"/>
        </w:rPr>
        <w:t>Nykjaer</w:t>
      </w:r>
      <w:proofErr w:type="spellEnd"/>
      <w:r w:rsidRPr="00954610">
        <w:rPr>
          <w:rFonts w:ascii="Arial" w:hAnsi="Arial" w:cs="Arial"/>
          <w:sz w:val="20"/>
          <w:szCs w:val="20"/>
        </w:rPr>
        <w:t xml:space="preserve"> C, Hancock N and Cade JE. Evaluation of the impact of a school gardening intervention on children’s fruit and vegetable intake: a randomised controlled trial.  </w:t>
      </w:r>
      <w:r>
        <w:rPr>
          <w:rFonts w:ascii="Arial" w:hAnsi="Arial" w:cs="Arial"/>
          <w:sz w:val="20"/>
          <w:szCs w:val="20"/>
        </w:rPr>
        <w:t>I</w:t>
      </w:r>
      <w:r w:rsidRPr="00954610">
        <w:rPr>
          <w:rFonts w:ascii="Arial" w:hAnsi="Arial" w:cs="Arial"/>
          <w:sz w:val="20"/>
          <w:szCs w:val="20"/>
        </w:rPr>
        <w:t>nt</w:t>
      </w:r>
      <w:r>
        <w:rPr>
          <w:rFonts w:ascii="Arial" w:hAnsi="Arial" w:cs="Arial"/>
          <w:sz w:val="20"/>
          <w:szCs w:val="20"/>
        </w:rPr>
        <w:t>.</w:t>
      </w:r>
      <w:r w:rsidRPr="00954610">
        <w:rPr>
          <w:rFonts w:ascii="Arial" w:hAnsi="Arial" w:cs="Arial"/>
          <w:sz w:val="20"/>
          <w:szCs w:val="20"/>
        </w:rPr>
        <w:t xml:space="preserve"> </w:t>
      </w:r>
      <w:r>
        <w:rPr>
          <w:rFonts w:ascii="Arial" w:hAnsi="Arial" w:cs="Arial"/>
          <w:sz w:val="20"/>
          <w:szCs w:val="20"/>
        </w:rPr>
        <w:t>J.</w:t>
      </w:r>
      <w:r w:rsidRPr="00954610">
        <w:rPr>
          <w:rFonts w:ascii="Arial" w:hAnsi="Arial" w:cs="Arial"/>
          <w:sz w:val="20"/>
          <w:szCs w:val="20"/>
        </w:rPr>
        <w:t xml:space="preserve"> </w:t>
      </w:r>
      <w:proofErr w:type="spellStart"/>
      <w:r>
        <w:rPr>
          <w:rFonts w:ascii="Arial" w:hAnsi="Arial" w:cs="Arial"/>
          <w:sz w:val="20"/>
          <w:szCs w:val="20"/>
        </w:rPr>
        <w:t>B</w:t>
      </w:r>
      <w:r w:rsidRPr="00954610">
        <w:rPr>
          <w:rFonts w:ascii="Arial" w:hAnsi="Arial" w:cs="Arial"/>
          <w:sz w:val="20"/>
          <w:szCs w:val="20"/>
        </w:rPr>
        <w:t>ehav</w:t>
      </w:r>
      <w:proofErr w:type="spellEnd"/>
      <w:r>
        <w:rPr>
          <w:rFonts w:ascii="Arial" w:hAnsi="Arial" w:cs="Arial"/>
          <w:sz w:val="20"/>
          <w:szCs w:val="20"/>
        </w:rPr>
        <w:t>.</w:t>
      </w:r>
      <w:r w:rsidRPr="00954610">
        <w:rPr>
          <w:rFonts w:ascii="Arial" w:hAnsi="Arial" w:cs="Arial"/>
          <w:sz w:val="20"/>
          <w:szCs w:val="20"/>
        </w:rPr>
        <w:t xml:space="preserve"> </w:t>
      </w:r>
      <w:proofErr w:type="spellStart"/>
      <w:r>
        <w:rPr>
          <w:rFonts w:ascii="Arial" w:hAnsi="Arial" w:cs="Arial"/>
          <w:sz w:val="20"/>
          <w:szCs w:val="20"/>
        </w:rPr>
        <w:t>N</w:t>
      </w:r>
      <w:r w:rsidRPr="00954610">
        <w:rPr>
          <w:rFonts w:ascii="Arial" w:hAnsi="Arial" w:cs="Arial"/>
          <w:sz w:val="20"/>
          <w:szCs w:val="20"/>
        </w:rPr>
        <w:t>utr</w:t>
      </w:r>
      <w:proofErr w:type="spellEnd"/>
      <w:r>
        <w:rPr>
          <w:rFonts w:ascii="Arial" w:hAnsi="Arial" w:cs="Arial"/>
          <w:sz w:val="20"/>
          <w:szCs w:val="20"/>
        </w:rPr>
        <w:t>.</w:t>
      </w:r>
      <w:r w:rsidRPr="00954610">
        <w:rPr>
          <w:rFonts w:ascii="Arial" w:hAnsi="Arial" w:cs="Arial"/>
          <w:sz w:val="20"/>
          <w:szCs w:val="20"/>
        </w:rPr>
        <w:t xml:space="preserve"> </w:t>
      </w:r>
      <w:r>
        <w:rPr>
          <w:rFonts w:ascii="Arial" w:hAnsi="Arial" w:cs="Arial"/>
          <w:sz w:val="20"/>
          <w:szCs w:val="20"/>
        </w:rPr>
        <w:t>P</w:t>
      </w:r>
      <w:r w:rsidRPr="00954610">
        <w:rPr>
          <w:rFonts w:ascii="Arial" w:hAnsi="Arial" w:cs="Arial"/>
          <w:sz w:val="20"/>
          <w:szCs w:val="20"/>
        </w:rPr>
        <w:t>hys</w:t>
      </w:r>
      <w:r>
        <w:rPr>
          <w:rFonts w:ascii="Arial" w:hAnsi="Arial" w:cs="Arial"/>
          <w:sz w:val="20"/>
          <w:szCs w:val="20"/>
        </w:rPr>
        <w:t>.</w:t>
      </w:r>
      <w:r w:rsidRPr="00954610">
        <w:rPr>
          <w:rFonts w:ascii="Arial" w:hAnsi="Arial" w:cs="Arial"/>
          <w:sz w:val="20"/>
          <w:szCs w:val="20"/>
        </w:rPr>
        <w:t xml:space="preserve"> </w:t>
      </w:r>
      <w:r>
        <w:rPr>
          <w:rFonts w:ascii="Arial" w:hAnsi="Arial" w:cs="Arial"/>
          <w:sz w:val="20"/>
          <w:szCs w:val="20"/>
        </w:rPr>
        <w:t>A</w:t>
      </w:r>
      <w:r w:rsidRPr="00954610">
        <w:rPr>
          <w:rFonts w:ascii="Arial" w:hAnsi="Arial" w:cs="Arial"/>
          <w:sz w:val="20"/>
          <w:szCs w:val="20"/>
        </w:rPr>
        <w:t xml:space="preserve">ctivity. 2014; 11: 99. DOI: </w:t>
      </w:r>
      <w:hyperlink r:id="rId7" w:history="1">
        <w:r w:rsidRPr="00D43819">
          <w:rPr>
            <w:rStyle w:val="Hyperlink"/>
            <w:rFonts w:ascii="Arial" w:hAnsi="Arial" w:cs="Arial"/>
            <w:sz w:val="20"/>
            <w:szCs w:val="20"/>
          </w:rPr>
          <w:t>https://doi.org/10.1186/s12966-014-0099-7</w:t>
        </w:r>
      </w:hyperlink>
    </w:p>
    <w:p w14:paraId="7B9C1C4B" w14:textId="77777777" w:rsidR="00954610" w:rsidRPr="00954610" w:rsidRDefault="00954610" w:rsidP="00954610">
      <w:pPr>
        <w:pStyle w:val="ListParagraph"/>
        <w:rPr>
          <w:rStyle w:val="element-citation"/>
          <w:rFonts w:ascii="Arial" w:hAnsi="Arial" w:cs="Arial"/>
          <w:sz w:val="20"/>
          <w:szCs w:val="20"/>
          <w:lang w:val="en-US"/>
        </w:rPr>
      </w:pPr>
    </w:p>
    <w:p w14:paraId="1BE3FFAE" w14:textId="77777777" w:rsidR="00954610" w:rsidRPr="00954610" w:rsidRDefault="00954610" w:rsidP="00954610">
      <w:pPr>
        <w:pStyle w:val="ListParagraph"/>
        <w:spacing w:line="256" w:lineRule="auto"/>
        <w:rPr>
          <w:rStyle w:val="element-citation"/>
          <w:rFonts w:ascii="Arial" w:hAnsi="Arial" w:cs="Arial"/>
          <w:sz w:val="20"/>
          <w:szCs w:val="20"/>
          <w:lang w:val="en-US"/>
        </w:rPr>
      </w:pPr>
    </w:p>
    <w:p w14:paraId="1EF6378B"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Castro D C, Samuels M and Harman </w:t>
      </w:r>
      <w:proofErr w:type="gramStart"/>
      <w:r w:rsidRPr="00E877D4">
        <w:rPr>
          <w:rFonts w:ascii="Arial" w:hAnsi="Arial" w:cs="Arial"/>
          <w:sz w:val="20"/>
          <w:szCs w:val="20"/>
        </w:rPr>
        <w:t>A</w:t>
      </w:r>
      <w:proofErr w:type="gramEnd"/>
      <w:r w:rsidRPr="00E877D4">
        <w:rPr>
          <w:rFonts w:ascii="Arial" w:hAnsi="Arial" w:cs="Arial"/>
          <w:sz w:val="20"/>
          <w:szCs w:val="20"/>
        </w:rPr>
        <w:t xml:space="preserve"> E. Growing Healthy Kids. Am. J. Prev. Med..2013; 44(3): S193-S199. </w:t>
      </w:r>
      <w:proofErr w:type="spellStart"/>
      <w:r w:rsidRPr="00E877D4">
        <w:rPr>
          <w:rFonts w:ascii="Arial" w:hAnsi="Arial" w:cs="Arial"/>
          <w:sz w:val="20"/>
          <w:szCs w:val="20"/>
        </w:rPr>
        <w:t>doi</w:t>
      </w:r>
      <w:proofErr w:type="spellEnd"/>
      <w:r w:rsidRPr="00E877D4">
        <w:rPr>
          <w:rFonts w:ascii="Arial" w:hAnsi="Arial" w:cs="Arial"/>
          <w:sz w:val="20"/>
          <w:szCs w:val="20"/>
        </w:rPr>
        <w:t>: 10.1016/j.amepre.2012.11.024</w:t>
      </w:r>
    </w:p>
    <w:p w14:paraId="44C0AC01" w14:textId="77777777" w:rsidR="00E877D4" w:rsidRPr="00E877D4" w:rsidRDefault="00E877D4" w:rsidP="00E877D4">
      <w:pPr>
        <w:pStyle w:val="ListParagraph"/>
        <w:jc w:val="both"/>
        <w:rPr>
          <w:rFonts w:ascii="Arial" w:hAnsi="Arial" w:cs="Arial"/>
          <w:sz w:val="20"/>
          <w:szCs w:val="20"/>
          <w:lang w:val="en-US"/>
        </w:rPr>
      </w:pPr>
    </w:p>
    <w:p w14:paraId="66BDA4C4"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Meaghan S Christian MS, Evans CEL, </w:t>
      </w:r>
      <w:proofErr w:type="spellStart"/>
      <w:r w:rsidRPr="00E877D4">
        <w:rPr>
          <w:rFonts w:ascii="Arial" w:hAnsi="Arial" w:cs="Arial"/>
          <w:sz w:val="20"/>
          <w:szCs w:val="20"/>
        </w:rPr>
        <w:t>Nykjaer</w:t>
      </w:r>
      <w:proofErr w:type="spellEnd"/>
      <w:r w:rsidRPr="00E877D4">
        <w:rPr>
          <w:rFonts w:ascii="Arial" w:hAnsi="Arial" w:cs="Arial"/>
          <w:sz w:val="20"/>
          <w:szCs w:val="20"/>
        </w:rPr>
        <w:t xml:space="preserve"> C, Hancock N </w:t>
      </w:r>
      <w:proofErr w:type="gramStart"/>
      <w:r w:rsidRPr="00E877D4">
        <w:rPr>
          <w:rFonts w:ascii="Arial" w:hAnsi="Arial" w:cs="Arial"/>
          <w:sz w:val="20"/>
          <w:szCs w:val="20"/>
        </w:rPr>
        <w:t>and  Cade</w:t>
      </w:r>
      <w:proofErr w:type="gramEnd"/>
      <w:r w:rsidRPr="00E877D4">
        <w:rPr>
          <w:rFonts w:ascii="Arial" w:hAnsi="Arial" w:cs="Arial"/>
          <w:sz w:val="20"/>
          <w:szCs w:val="20"/>
        </w:rPr>
        <w:t xml:space="preserve"> JE. Evaluation of the impact of a school gardening intervention on children’s fruit and vegetable intake: a randomised controlled trial International Journal of </w:t>
      </w:r>
      <w:proofErr w:type="spellStart"/>
      <w:r w:rsidRPr="00E877D4">
        <w:rPr>
          <w:rFonts w:ascii="Arial" w:hAnsi="Arial" w:cs="Arial"/>
          <w:sz w:val="20"/>
          <w:szCs w:val="20"/>
        </w:rPr>
        <w:t>Behavioral</w:t>
      </w:r>
      <w:proofErr w:type="spellEnd"/>
      <w:r w:rsidRPr="00E877D4">
        <w:rPr>
          <w:rFonts w:ascii="Arial" w:hAnsi="Arial" w:cs="Arial"/>
          <w:sz w:val="20"/>
          <w:szCs w:val="20"/>
        </w:rPr>
        <w:t xml:space="preserve"> </w:t>
      </w:r>
      <w:proofErr w:type="spellStart"/>
      <w:r w:rsidRPr="00E877D4">
        <w:rPr>
          <w:rFonts w:ascii="Arial" w:hAnsi="Arial" w:cs="Arial"/>
          <w:sz w:val="20"/>
          <w:szCs w:val="20"/>
        </w:rPr>
        <w:t>Nutr</w:t>
      </w:r>
      <w:proofErr w:type="spellEnd"/>
      <w:r w:rsidRPr="00E877D4">
        <w:rPr>
          <w:rFonts w:ascii="Arial" w:hAnsi="Arial" w:cs="Arial"/>
          <w:sz w:val="20"/>
          <w:szCs w:val="20"/>
        </w:rPr>
        <w:t>. Phys. Activity. 2014; 11:99.</w:t>
      </w:r>
    </w:p>
    <w:p w14:paraId="457C401E" w14:textId="77777777" w:rsidR="00E877D4" w:rsidRPr="00E877D4" w:rsidRDefault="00E877D4" w:rsidP="00E877D4">
      <w:pPr>
        <w:pStyle w:val="ListParagraph"/>
        <w:rPr>
          <w:rFonts w:ascii="Arial" w:hAnsi="Arial" w:cs="Arial"/>
          <w:sz w:val="20"/>
          <w:szCs w:val="20"/>
          <w:lang w:val="en-US"/>
        </w:rPr>
      </w:pPr>
    </w:p>
    <w:p w14:paraId="6DB14A4C" w14:textId="77777777" w:rsidR="00E877D4" w:rsidRPr="00E877D4" w:rsidRDefault="00E877D4" w:rsidP="00E877D4">
      <w:pPr>
        <w:pStyle w:val="ListParagraph"/>
        <w:jc w:val="both"/>
        <w:rPr>
          <w:rFonts w:ascii="Arial" w:hAnsi="Arial" w:cs="Arial"/>
          <w:sz w:val="20"/>
          <w:szCs w:val="20"/>
          <w:lang w:val="en-US"/>
        </w:rPr>
      </w:pPr>
    </w:p>
    <w:p w14:paraId="1466D8CF" w14:textId="511A81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Ohly H, Gentry S, Wigglesworth R, Bethel A, Lovell R and Garside R. A systematic review of the health and well-being impacts of school gar - </w:t>
      </w:r>
      <w:proofErr w:type="spellStart"/>
      <w:r w:rsidRPr="00E877D4">
        <w:rPr>
          <w:rFonts w:ascii="Arial" w:hAnsi="Arial" w:cs="Arial"/>
          <w:sz w:val="20"/>
          <w:szCs w:val="20"/>
        </w:rPr>
        <w:t>dening</w:t>
      </w:r>
      <w:proofErr w:type="spellEnd"/>
      <w:r w:rsidRPr="00E877D4">
        <w:rPr>
          <w:rFonts w:ascii="Arial" w:hAnsi="Arial" w:cs="Arial"/>
          <w:sz w:val="20"/>
          <w:szCs w:val="20"/>
        </w:rPr>
        <w:t>: synthesis of quantitative and qualitative evidence. BMC Public Health. 2016;16(1):1–36</w:t>
      </w:r>
      <w:r w:rsidR="00E877D4">
        <w:rPr>
          <w:rFonts w:ascii="Arial" w:hAnsi="Arial" w:cs="Arial"/>
          <w:sz w:val="20"/>
          <w:szCs w:val="20"/>
        </w:rPr>
        <w:t>.</w:t>
      </w:r>
    </w:p>
    <w:p w14:paraId="044C1CE9" w14:textId="77777777" w:rsidR="00E877D4" w:rsidRPr="00E877D4" w:rsidRDefault="00E877D4" w:rsidP="00E877D4">
      <w:pPr>
        <w:pStyle w:val="ListParagraph"/>
        <w:jc w:val="both"/>
        <w:rPr>
          <w:rFonts w:ascii="Arial" w:hAnsi="Arial" w:cs="Arial"/>
          <w:sz w:val="20"/>
          <w:szCs w:val="20"/>
          <w:lang w:val="en-US"/>
        </w:rPr>
      </w:pPr>
    </w:p>
    <w:p w14:paraId="48983C5D"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Sommerville M, Kessler L A, Wallace SP, and Burns-Whitmore B. Calif. J. Health Promotion. 2012; 10: 20-25.</w:t>
      </w:r>
    </w:p>
    <w:p w14:paraId="0595A163" w14:textId="77777777" w:rsidR="00E877D4" w:rsidRPr="00E877D4" w:rsidRDefault="00E877D4" w:rsidP="00E877D4">
      <w:pPr>
        <w:pStyle w:val="ListParagraph"/>
        <w:rPr>
          <w:rFonts w:ascii="Arial" w:hAnsi="Arial" w:cs="Arial"/>
          <w:sz w:val="20"/>
          <w:szCs w:val="20"/>
          <w:lang w:val="en-US"/>
        </w:rPr>
      </w:pPr>
    </w:p>
    <w:p w14:paraId="7F4E9ACD" w14:textId="77777777" w:rsidR="00E877D4" w:rsidRPr="00E877D4" w:rsidRDefault="00E877D4" w:rsidP="00E877D4">
      <w:pPr>
        <w:pStyle w:val="ListParagraph"/>
        <w:jc w:val="both"/>
        <w:rPr>
          <w:rFonts w:ascii="Arial" w:hAnsi="Arial" w:cs="Arial"/>
          <w:sz w:val="20"/>
          <w:szCs w:val="20"/>
          <w:lang w:val="en-US"/>
        </w:rPr>
      </w:pPr>
    </w:p>
    <w:p w14:paraId="13509A59"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lastRenderedPageBreak/>
        <w:t xml:space="preserve">Davis JN, Spaniol MR, Somerset S. Sustenance and sustainability: maximizing the impact of school gardens on health outcomes. Public Health </w:t>
      </w:r>
      <w:proofErr w:type="spellStart"/>
      <w:r w:rsidRPr="00E877D4">
        <w:rPr>
          <w:rFonts w:ascii="Arial" w:hAnsi="Arial" w:cs="Arial"/>
          <w:sz w:val="20"/>
          <w:szCs w:val="20"/>
        </w:rPr>
        <w:t>Nutr</w:t>
      </w:r>
      <w:proofErr w:type="spellEnd"/>
      <w:r w:rsidRPr="00E877D4">
        <w:rPr>
          <w:rFonts w:ascii="Arial" w:hAnsi="Arial" w:cs="Arial"/>
          <w:sz w:val="20"/>
          <w:szCs w:val="20"/>
        </w:rPr>
        <w:t>. 2015; 18(13):2358–67.</w:t>
      </w:r>
    </w:p>
    <w:p w14:paraId="00627139" w14:textId="77777777" w:rsidR="00E877D4" w:rsidRPr="00E877D4" w:rsidRDefault="00E877D4" w:rsidP="00E877D4">
      <w:pPr>
        <w:pStyle w:val="ListParagraph"/>
        <w:jc w:val="both"/>
        <w:rPr>
          <w:rFonts w:ascii="Arial" w:hAnsi="Arial" w:cs="Arial"/>
          <w:sz w:val="20"/>
          <w:szCs w:val="20"/>
          <w:lang w:val="en-US"/>
        </w:rPr>
      </w:pPr>
    </w:p>
    <w:p w14:paraId="163E04A7" w14:textId="77777777" w:rsidR="00381219" w:rsidRPr="00E877D4" w:rsidRDefault="00381219" w:rsidP="00381219">
      <w:pPr>
        <w:pStyle w:val="ListParagraph"/>
        <w:numPr>
          <w:ilvl w:val="0"/>
          <w:numId w:val="5"/>
        </w:numPr>
        <w:jc w:val="both"/>
        <w:rPr>
          <w:rFonts w:ascii="Arial" w:hAnsi="Arial" w:cs="Arial"/>
          <w:sz w:val="20"/>
          <w:szCs w:val="20"/>
          <w:lang w:val="en-US"/>
        </w:rPr>
      </w:pPr>
      <w:proofErr w:type="spellStart"/>
      <w:r w:rsidRPr="00E877D4">
        <w:rPr>
          <w:rFonts w:ascii="Arial" w:hAnsi="Arial" w:cs="Arial"/>
          <w:sz w:val="20"/>
          <w:szCs w:val="20"/>
        </w:rPr>
        <w:t>Benkowitz</w:t>
      </w:r>
      <w:proofErr w:type="spellEnd"/>
      <w:r w:rsidRPr="00E877D4">
        <w:rPr>
          <w:rFonts w:ascii="Arial" w:hAnsi="Arial" w:cs="Arial"/>
          <w:sz w:val="20"/>
          <w:szCs w:val="20"/>
        </w:rPr>
        <w:t xml:space="preserve"> D, Schulz S and Lindemann-Matthies P. The Impact of Gardening Experiences on Children’s Intake of Vegetables. J. Health, Environ &amp; Educ. 2019; 11: 1–5.</w:t>
      </w:r>
    </w:p>
    <w:p w14:paraId="55478968" w14:textId="77777777" w:rsidR="00E877D4" w:rsidRPr="00E877D4" w:rsidRDefault="00E877D4" w:rsidP="00E877D4">
      <w:pPr>
        <w:pStyle w:val="ListParagraph"/>
        <w:rPr>
          <w:rFonts w:ascii="Arial" w:hAnsi="Arial" w:cs="Arial"/>
          <w:sz w:val="20"/>
          <w:szCs w:val="20"/>
          <w:lang w:val="en-US"/>
        </w:rPr>
      </w:pPr>
    </w:p>
    <w:p w14:paraId="60BD3282" w14:textId="77777777" w:rsidR="00E877D4" w:rsidRPr="00E877D4" w:rsidRDefault="00E877D4" w:rsidP="00E877D4">
      <w:pPr>
        <w:pStyle w:val="ListParagraph"/>
        <w:jc w:val="both"/>
        <w:rPr>
          <w:rFonts w:ascii="Arial" w:hAnsi="Arial" w:cs="Arial"/>
          <w:sz w:val="20"/>
          <w:szCs w:val="20"/>
          <w:lang w:val="en-US"/>
        </w:rPr>
      </w:pPr>
    </w:p>
    <w:p w14:paraId="6445369C" w14:textId="1AF13A3A" w:rsidR="00381219" w:rsidRPr="00486CB1" w:rsidRDefault="00381219" w:rsidP="00381219">
      <w:pPr>
        <w:pStyle w:val="ListParagraph"/>
        <w:numPr>
          <w:ilvl w:val="0"/>
          <w:numId w:val="5"/>
        </w:numPr>
        <w:jc w:val="both"/>
        <w:rPr>
          <w:rFonts w:ascii="Times New Roman" w:hAnsi="Times New Roman" w:cs="Times New Roman"/>
          <w:sz w:val="24"/>
          <w:szCs w:val="24"/>
          <w:lang w:val="en-US"/>
        </w:rPr>
      </w:pPr>
      <w:proofErr w:type="spellStart"/>
      <w:r w:rsidRPr="00E877D4">
        <w:rPr>
          <w:rFonts w:ascii="Arial" w:hAnsi="Arial" w:cs="Arial"/>
          <w:sz w:val="20"/>
          <w:szCs w:val="20"/>
        </w:rPr>
        <w:t>Paño</w:t>
      </w:r>
      <w:proofErr w:type="spellEnd"/>
      <w:r w:rsidRPr="00E877D4">
        <w:rPr>
          <w:rFonts w:ascii="Arial" w:hAnsi="Arial" w:cs="Arial"/>
          <w:sz w:val="20"/>
          <w:szCs w:val="20"/>
        </w:rPr>
        <w:t xml:space="preserve"> </w:t>
      </w:r>
      <w:r w:rsidRPr="00E877D4">
        <w:rPr>
          <w:rFonts w:ascii="Arial" w:hAnsi="Arial" w:cs="Arial"/>
          <w:i/>
          <w:iCs/>
          <w:sz w:val="20"/>
          <w:szCs w:val="20"/>
        </w:rPr>
        <w:t>et al.,</w:t>
      </w:r>
      <w:r w:rsidRPr="00E877D4">
        <w:rPr>
          <w:rFonts w:ascii="Arial" w:hAnsi="Arial" w:cs="Arial"/>
          <w:sz w:val="20"/>
          <w:szCs w:val="20"/>
        </w:rPr>
        <w:t xml:space="preserve"> 2022 </w:t>
      </w:r>
      <w:proofErr w:type="spellStart"/>
      <w:r w:rsidRPr="00E877D4">
        <w:rPr>
          <w:rFonts w:ascii="Arial" w:hAnsi="Arial" w:cs="Arial"/>
          <w:sz w:val="20"/>
          <w:szCs w:val="20"/>
        </w:rPr>
        <w:t>Paño</w:t>
      </w:r>
      <w:proofErr w:type="spellEnd"/>
      <w:r w:rsidRPr="00E877D4">
        <w:rPr>
          <w:rFonts w:ascii="Arial" w:hAnsi="Arial" w:cs="Arial"/>
          <w:sz w:val="20"/>
          <w:szCs w:val="20"/>
        </w:rPr>
        <w:t xml:space="preserve">, Jumao-as, &amp; Picardal. Cognitive Dimension of Learning Using Garden-Based Education towards Sustainability: A Meta-Synthesis. </w:t>
      </w:r>
      <w:proofErr w:type="spellStart"/>
      <w:r w:rsidRPr="00E877D4">
        <w:rPr>
          <w:rFonts w:ascii="Arial" w:hAnsi="Arial" w:cs="Arial"/>
          <w:sz w:val="20"/>
          <w:szCs w:val="20"/>
        </w:rPr>
        <w:t>Recoletos</w:t>
      </w:r>
      <w:proofErr w:type="spellEnd"/>
      <w:r w:rsidRPr="00E877D4">
        <w:rPr>
          <w:rFonts w:ascii="Arial" w:hAnsi="Arial" w:cs="Arial"/>
          <w:sz w:val="20"/>
          <w:szCs w:val="20"/>
        </w:rPr>
        <w:t xml:space="preserve"> Multidisciplinary Res. J. </w:t>
      </w:r>
      <w:proofErr w:type="gramStart"/>
      <w:r w:rsidRPr="00E877D4">
        <w:rPr>
          <w:rFonts w:ascii="Arial" w:hAnsi="Arial" w:cs="Arial"/>
          <w:sz w:val="20"/>
          <w:szCs w:val="20"/>
        </w:rPr>
        <w:t>2022;6:142</w:t>
      </w:r>
      <w:proofErr w:type="gramEnd"/>
      <w:r w:rsidRPr="00E877D4">
        <w:rPr>
          <w:rFonts w:ascii="Arial" w:hAnsi="Arial" w:cs="Arial"/>
          <w:sz w:val="20"/>
          <w:szCs w:val="20"/>
        </w:rPr>
        <w:t xml:space="preserve">-157. </w:t>
      </w:r>
    </w:p>
    <w:p w14:paraId="23902F30" w14:textId="77777777" w:rsidR="00486CB1" w:rsidRPr="00156C78" w:rsidRDefault="00486CB1" w:rsidP="00486CB1">
      <w:pPr>
        <w:pStyle w:val="ListParagraph"/>
        <w:jc w:val="both"/>
        <w:rPr>
          <w:rFonts w:ascii="Times New Roman" w:hAnsi="Times New Roman" w:cs="Times New Roman"/>
          <w:sz w:val="24"/>
          <w:szCs w:val="24"/>
          <w:lang w:val="en-US"/>
        </w:rPr>
      </w:pPr>
    </w:p>
    <w:p w14:paraId="5A14A509" w14:textId="6EF8D28F" w:rsidR="00486CB1" w:rsidRPr="00FC4355" w:rsidRDefault="00381219" w:rsidP="00FC4355">
      <w:pPr>
        <w:pStyle w:val="ListParagraph"/>
        <w:numPr>
          <w:ilvl w:val="0"/>
          <w:numId w:val="5"/>
        </w:numPr>
        <w:jc w:val="both"/>
        <w:rPr>
          <w:rFonts w:ascii="Arial" w:hAnsi="Arial" w:cs="Arial"/>
          <w:sz w:val="20"/>
          <w:szCs w:val="20"/>
          <w:lang w:val="en-US"/>
        </w:rPr>
      </w:pPr>
      <w:r w:rsidRPr="00FC4355">
        <w:rPr>
          <w:rFonts w:ascii="Arial" w:hAnsi="Arial" w:cs="Arial"/>
          <w:sz w:val="20"/>
          <w:szCs w:val="20"/>
        </w:rPr>
        <w:t xml:space="preserve">Vella- Brodrick V and </w:t>
      </w:r>
      <w:proofErr w:type="spellStart"/>
      <w:r w:rsidRPr="00FC4355">
        <w:rPr>
          <w:rFonts w:ascii="Arial" w:hAnsi="Arial" w:cs="Arial"/>
          <w:sz w:val="20"/>
          <w:szCs w:val="20"/>
        </w:rPr>
        <w:t>Gilowska</w:t>
      </w:r>
      <w:proofErr w:type="spellEnd"/>
      <w:r w:rsidRPr="00FC4355">
        <w:rPr>
          <w:rFonts w:ascii="Arial" w:hAnsi="Arial" w:cs="Arial"/>
          <w:sz w:val="20"/>
          <w:szCs w:val="20"/>
        </w:rPr>
        <w:t xml:space="preserve">. </w:t>
      </w:r>
      <w:proofErr w:type="spellStart"/>
      <w:r w:rsidRPr="00FC4355">
        <w:rPr>
          <w:rFonts w:ascii="Arial" w:hAnsi="Arial" w:cs="Arial"/>
          <w:sz w:val="20"/>
          <w:szCs w:val="20"/>
        </w:rPr>
        <w:t>Efects</w:t>
      </w:r>
      <w:proofErr w:type="spellEnd"/>
      <w:r w:rsidRPr="00FC4355">
        <w:rPr>
          <w:rFonts w:ascii="Arial" w:hAnsi="Arial" w:cs="Arial"/>
          <w:sz w:val="20"/>
          <w:szCs w:val="20"/>
        </w:rPr>
        <w:t xml:space="preserve"> of Nature (Greenspace) on Cognitive Functioning in School Children and Adolescents: </w:t>
      </w:r>
      <w:proofErr w:type="gramStart"/>
      <w:r w:rsidRPr="00FC4355">
        <w:rPr>
          <w:rFonts w:ascii="Arial" w:hAnsi="Arial" w:cs="Arial"/>
          <w:sz w:val="20"/>
          <w:szCs w:val="20"/>
        </w:rPr>
        <w:t>a</w:t>
      </w:r>
      <w:proofErr w:type="gramEnd"/>
      <w:r w:rsidRPr="00FC4355">
        <w:rPr>
          <w:rFonts w:ascii="Arial" w:hAnsi="Arial" w:cs="Arial"/>
          <w:sz w:val="20"/>
          <w:szCs w:val="20"/>
        </w:rPr>
        <w:t> Systematic Review. Educ. Psychol. Rev. 2022; 34:1217–1254.</w:t>
      </w:r>
    </w:p>
    <w:p w14:paraId="0933FCFC" w14:textId="77777777" w:rsidR="00FC4355" w:rsidRPr="00FC4355" w:rsidRDefault="00FC4355" w:rsidP="00FC4355">
      <w:pPr>
        <w:pStyle w:val="ListParagraph"/>
        <w:rPr>
          <w:rFonts w:ascii="Arial" w:hAnsi="Arial" w:cs="Arial"/>
          <w:sz w:val="20"/>
          <w:szCs w:val="20"/>
          <w:lang w:val="en-US"/>
        </w:rPr>
      </w:pPr>
    </w:p>
    <w:p w14:paraId="122AA621" w14:textId="77777777" w:rsidR="00FC4355" w:rsidRPr="00FC4355" w:rsidRDefault="00FC4355" w:rsidP="00FC4355">
      <w:pPr>
        <w:pStyle w:val="ListParagraph"/>
        <w:jc w:val="both"/>
        <w:rPr>
          <w:rFonts w:ascii="Arial" w:hAnsi="Arial" w:cs="Arial"/>
          <w:sz w:val="20"/>
          <w:szCs w:val="20"/>
          <w:lang w:val="en-US"/>
        </w:rPr>
      </w:pPr>
    </w:p>
    <w:p w14:paraId="76E6D691" w14:textId="08B1A88D" w:rsidR="00381219" w:rsidRPr="00FC4355" w:rsidRDefault="00381219" w:rsidP="00381219">
      <w:pPr>
        <w:pStyle w:val="ListParagraph"/>
        <w:numPr>
          <w:ilvl w:val="0"/>
          <w:numId w:val="5"/>
        </w:numPr>
        <w:jc w:val="both"/>
        <w:rPr>
          <w:rFonts w:ascii="Arial" w:hAnsi="Arial" w:cs="Arial"/>
          <w:sz w:val="20"/>
          <w:szCs w:val="20"/>
          <w:lang w:val="en-US"/>
        </w:rPr>
      </w:pPr>
      <w:r w:rsidRPr="00FC4355">
        <w:rPr>
          <w:rFonts w:ascii="Arial" w:hAnsi="Arial" w:cs="Arial"/>
          <w:sz w:val="20"/>
          <w:szCs w:val="20"/>
        </w:rPr>
        <w:t>Eugenio-</w:t>
      </w:r>
      <w:proofErr w:type="spellStart"/>
      <w:r w:rsidRPr="00FC4355">
        <w:rPr>
          <w:rFonts w:ascii="Arial" w:hAnsi="Arial" w:cs="Arial"/>
          <w:sz w:val="20"/>
          <w:szCs w:val="20"/>
        </w:rPr>
        <w:t>Gozalbo</w:t>
      </w:r>
      <w:proofErr w:type="spellEnd"/>
      <w:r w:rsidRPr="00FC4355">
        <w:rPr>
          <w:rFonts w:ascii="Arial" w:hAnsi="Arial" w:cs="Arial"/>
          <w:sz w:val="20"/>
          <w:szCs w:val="20"/>
        </w:rPr>
        <w:t xml:space="preserve"> M, Aragon L, and Cubero O I. Gardens as science learning contexts across educational stages: Learning assessment based on students’ graphic representations. Front. Psychol.2020; 11. </w:t>
      </w:r>
      <w:hyperlink r:id="rId8" w:history="1">
        <w:r w:rsidR="00486CB1" w:rsidRPr="00FC4355">
          <w:rPr>
            <w:rStyle w:val="Hyperlink"/>
            <w:rFonts w:ascii="Arial" w:hAnsi="Arial" w:cs="Arial"/>
            <w:sz w:val="20"/>
            <w:szCs w:val="20"/>
          </w:rPr>
          <w:t>https://doi.org/10.3389/fpsyg.2020.02226</w:t>
        </w:r>
      </w:hyperlink>
    </w:p>
    <w:p w14:paraId="22967073" w14:textId="77777777" w:rsidR="00486CB1" w:rsidRPr="00156C78" w:rsidRDefault="00486CB1" w:rsidP="00486CB1">
      <w:pPr>
        <w:pStyle w:val="ListParagraph"/>
        <w:jc w:val="both"/>
        <w:rPr>
          <w:rFonts w:ascii="Times New Roman" w:hAnsi="Times New Roman" w:cs="Times New Roman"/>
          <w:sz w:val="24"/>
          <w:szCs w:val="24"/>
          <w:lang w:val="en-US"/>
        </w:rPr>
      </w:pPr>
    </w:p>
    <w:p w14:paraId="381D6471" w14:textId="7294091F" w:rsidR="00486CB1" w:rsidRPr="00FC4355" w:rsidRDefault="00381219" w:rsidP="00FC4355">
      <w:pPr>
        <w:pStyle w:val="ListParagraph"/>
        <w:numPr>
          <w:ilvl w:val="0"/>
          <w:numId w:val="5"/>
        </w:numPr>
        <w:jc w:val="both"/>
        <w:rPr>
          <w:rFonts w:ascii="Arial" w:hAnsi="Arial" w:cs="Arial"/>
          <w:sz w:val="20"/>
          <w:szCs w:val="20"/>
          <w:lang w:val="en-US"/>
        </w:rPr>
      </w:pPr>
      <w:proofErr w:type="spellStart"/>
      <w:r w:rsidRPr="00FC4355">
        <w:rPr>
          <w:rFonts w:ascii="Arial" w:hAnsi="Arial" w:cs="Arial"/>
          <w:sz w:val="20"/>
          <w:szCs w:val="20"/>
        </w:rPr>
        <w:t>Dadvand</w:t>
      </w:r>
      <w:proofErr w:type="spellEnd"/>
      <w:r w:rsidRPr="00FC4355">
        <w:rPr>
          <w:rFonts w:ascii="Arial" w:hAnsi="Arial" w:cs="Arial"/>
          <w:sz w:val="20"/>
          <w:szCs w:val="20"/>
        </w:rPr>
        <w:t xml:space="preserve"> P, </w:t>
      </w:r>
      <w:proofErr w:type="spellStart"/>
      <w:r w:rsidRPr="00FC4355">
        <w:rPr>
          <w:rFonts w:ascii="Arial" w:hAnsi="Arial" w:cs="Arial"/>
          <w:sz w:val="20"/>
          <w:szCs w:val="20"/>
        </w:rPr>
        <w:t>Nieuwenhuijsen</w:t>
      </w:r>
      <w:proofErr w:type="spellEnd"/>
      <w:r w:rsidRPr="00FC4355">
        <w:rPr>
          <w:rFonts w:ascii="Arial" w:hAnsi="Arial" w:cs="Arial"/>
          <w:sz w:val="20"/>
          <w:szCs w:val="20"/>
        </w:rPr>
        <w:t xml:space="preserve"> M J, </w:t>
      </w:r>
      <w:proofErr w:type="spellStart"/>
      <w:r w:rsidRPr="00FC4355">
        <w:rPr>
          <w:rFonts w:ascii="Arial" w:hAnsi="Arial" w:cs="Arial"/>
          <w:sz w:val="20"/>
          <w:szCs w:val="20"/>
        </w:rPr>
        <w:t>Esnaola</w:t>
      </w:r>
      <w:proofErr w:type="spellEnd"/>
      <w:r w:rsidRPr="00FC4355">
        <w:rPr>
          <w:rFonts w:ascii="Arial" w:hAnsi="Arial" w:cs="Arial"/>
          <w:sz w:val="20"/>
          <w:szCs w:val="20"/>
        </w:rPr>
        <w:t xml:space="preserve"> M, </w:t>
      </w:r>
      <w:proofErr w:type="spellStart"/>
      <w:r w:rsidRPr="00FC4355">
        <w:rPr>
          <w:rFonts w:ascii="Arial" w:hAnsi="Arial" w:cs="Arial"/>
          <w:sz w:val="20"/>
          <w:szCs w:val="20"/>
        </w:rPr>
        <w:t>Forns</w:t>
      </w:r>
      <w:proofErr w:type="spellEnd"/>
      <w:r w:rsidRPr="00FC4355">
        <w:rPr>
          <w:rFonts w:ascii="Arial" w:hAnsi="Arial" w:cs="Arial"/>
          <w:sz w:val="20"/>
          <w:szCs w:val="20"/>
        </w:rPr>
        <w:t xml:space="preserve"> J, </w:t>
      </w:r>
      <w:proofErr w:type="spellStart"/>
      <w:r w:rsidRPr="00FC4355">
        <w:rPr>
          <w:rFonts w:ascii="Arial" w:hAnsi="Arial" w:cs="Arial"/>
          <w:sz w:val="20"/>
          <w:szCs w:val="20"/>
        </w:rPr>
        <w:t>Basagaña</w:t>
      </w:r>
      <w:proofErr w:type="spellEnd"/>
      <w:r w:rsidRPr="00FC4355">
        <w:rPr>
          <w:rFonts w:ascii="Arial" w:hAnsi="Arial" w:cs="Arial"/>
          <w:sz w:val="20"/>
          <w:szCs w:val="20"/>
        </w:rPr>
        <w:t xml:space="preserve"> X, Alvarez-</w:t>
      </w:r>
      <w:proofErr w:type="spellStart"/>
      <w:r w:rsidRPr="00FC4355">
        <w:rPr>
          <w:rFonts w:ascii="Arial" w:hAnsi="Arial" w:cs="Arial"/>
          <w:sz w:val="20"/>
          <w:szCs w:val="20"/>
        </w:rPr>
        <w:t>Pedrerol</w:t>
      </w:r>
      <w:proofErr w:type="spellEnd"/>
      <w:r w:rsidRPr="00FC4355">
        <w:rPr>
          <w:rFonts w:ascii="Arial" w:hAnsi="Arial" w:cs="Arial"/>
          <w:sz w:val="20"/>
          <w:szCs w:val="20"/>
        </w:rPr>
        <w:t xml:space="preserve"> M, and Sunyer J. Green spaces and cognitive development in primary school children. Proceedings of the National Academy of Sciences of the United States of America. 2015; 112(26): 7937–7942. https:// doi.org/10.1073/pnas.1503402112</w:t>
      </w:r>
    </w:p>
    <w:p w14:paraId="0A084F94" w14:textId="77777777" w:rsidR="00FC4355" w:rsidRPr="00FC4355" w:rsidRDefault="00FC4355" w:rsidP="00FC4355">
      <w:pPr>
        <w:pStyle w:val="ListParagraph"/>
        <w:rPr>
          <w:rFonts w:ascii="Arial" w:hAnsi="Arial" w:cs="Arial"/>
          <w:sz w:val="20"/>
          <w:szCs w:val="20"/>
          <w:lang w:val="en-US"/>
        </w:rPr>
      </w:pPr>
    </w:p>
    <w:p w14:paraId="07E57D65" w14:textId="77777777" w:rsidR="00FC4355" w:rsidRPr="00FC4355" w:rsidRDefault="00FC4355" w:rsidP="00FC4355">
      <w:pPr>
        <w:pStyle w:val="ListParagraph"/>
        <w:jc w:val="both"/>
        <w:rPr>
          <w:rFonts w:ascii="Arial" w:hAnsi="Arial" w:cs="Arial"/>
          <w:sz w:val="20"/>
          <w:szCs w:val="20"/>
          <w:lang w:val="en-US"/>
        </w:rPr>
      </w:pPr>
    </w:p>
    <w:p w14:paraId="0E7EEEAE" w14:textId="56056B6C" w:rsidR="00381219" w:rsidRPr="00FC4355" w:rsidRDefault="00381219" w:rsidP="00381219">
      <w:pPr>
        <w:pStyle w:val="ListParagraph"/>
        <w:numPr>
          <w:ilvl w:val="0"/>
          <w:numId w:val="5"/>
        </w:numPr>
        <w:jc w:val="both"/>
        <w:rPr>
          <w:rFonts w:ascii="Arial" w:hAnsi="Arial" w:cs="Arial"/>
          <w:sz w:val="20"/>
          <w:szCs w:val="20"/>
          <w:lang w:val="en-US"/>
        </w:rPr>
      </w:pPr>
      <w:proofErr w:type="spellStart"/>
      <w:r w:rsidRPr="00FC4355">
        <w:rPr>
          <w:rFonts w:ascii="Arial" w:hAnsi="Arial" w:cs="Arial"/>
          <w:sz w:val="20"/>
          <w:szCs w:val="20"/>
        </w:rPr>
        <w:t>Weeland</w:t>
      </w:r>
      <w:proofErr w:type="spellEnd"/>
      <w:r w:rsidRPr="00FC4355">
        <w:rPr>
          <w:rFonts w:ascii="Arial" w:hAnsi="Arial" w:cs="Arial"/>
          <w:sz w:val="20"/>
          <w:szCs w:val="20"/>
        </w:rPr>
        <w:t xml:space="preserve"> J, Moens M A, Beute F, Assink M, </w:t>
      </w:r>
      <w:proofErr w:type="spellStart"/>
      <w:r w:rsidRPr="00FC4355">
        <w:rPr>
          <w:rFonts w:ascii="Arial" w:hAnsi="Arial" w:cs="Arial"/>
          <w:sz w:val="20"/>
          <w:szCs w:val="20"/>
        </w:rPr>
        <w:t>Staaks</w:t>
      </w:r>
      <w:proofErr w:type="spellEnd"/>
      <w:r w:rsidRPr="00FC4355">
        <w:rPr>
          <w:rFonts w:ascii="Arial" w:hAnsi="Arial" w:cs="Arial"/>
          <w:sz w:val="20"/>
          <w:szCs w:val="20"/>
        </w:rPr>
        <w:t xml:space="preserve"> J P C, and Overbeek G. A dose of nature: Two three-level meta-analyses of the </w:t>
      </w:r>
      <w:proofErr w:type="spellStart"/>
      <w:r w:rsidRPr="00FC4355">
        <w:rPr>
          <w:rFonts w:ascii="Arial" w:hAnsi="Arial" w:cs="Arial"/>
          <w:sz w:val="20"/>
          <w:szCs w:val="20"/>
        </w:rPr>
        <w:t>benefcial</w:t>
      </w:r>
      <w:proofErr w:type="spellEnd"/>
      <w:r w:rsidRPr="00FC4355">
        <w:rPr>
          <w:rFonts w:ascii="Arial" w:hAnsi="Arial" w:cs="Arial"/>
          <w:sz w:val="20"/>
          <w:szCs w:val="20"/>
        </w:rPr>
        <w:t xml:space="preserve"> </w:t>
      </w:r>
      <w:proofErr w:type="spellStart"/>
      <w:r w:rsidRPr="00FC4355">
        <w:rPr>
          <w:rFonts w:ascii="Arial" w:hAnsi="Arial" w:cs="Arial"/>
          <w:sz w:val="20"/>
          <w:szCs w:val="20"/>
        </w:rPr>
        <w:t>efects</w:t>
      </w:r>
      <w:proofErr w:type="spellEnd"/>
      <w:r w:rsidRPr="00FC4355">
        <w:rPr>
          <w:rFonts w:ascii="Arial" w:hAnsi="Arial" w:cs="Arial"/>
          <w:sz w:val="20"/>
          <w:szCs w:val="20"/>
        </w:rPr>
        <w:t xml:space="preserve"> of exposure to nature on Children’s self-regulation. J. Environ. Psychol.2019; 65(8): 101326. </w:t>
      </w:r>
      <w:hyperlink r:id="rId9" w:history="1">
        <w:r w:rsidR="00486CB1" w:rsidRPr="00FC4355">
          <w:rPr>
            <w:rStyle w:val="Hyperlink"/>
            <w:rFonts w:ascii="Arial" w:hAnsi="Arial" w:cs="Arial"/>
            <w:sz w:val="20"/>
            <w:szCs w:val="20"/>
          </w:rPr>
          <w:t>https://doi.org/10. 1016/j.jenvp.2019.101326</w:t>
        </w:r>
      </w:hyperlink>
    </w:p>
    <w:p w14:paraId="2EDC3223" w14:textId="77777777" w:rsidR="00486CB1" w:rsidRPr="00156C78" w:rsidRDefault="00486CB1" w:rsidP="00486CB1">
      <w:pPr>
        <w:pStyle w:val="ListParagraph"/>
        <w:jc w:val="both"/>
        <w:rPr>
          <w:rFonts w:ascii="Times New Roman" w:hAnsi="Times New Roman" w:cs="Times New Roman"/>
          <w:sz w:val="24"/>
          <w:szCs w:val="24"/>
          <w:lang w:val="en-US"/>
        </w:rPr>
      </w:pPr>
    </w:p>
    <w:p w14:paraId="53B5E011" w14:textId="28CC188A" w:rsidR="00FC4355" w:rsidRPr="00BB7D3F" w:rsidRDefault="00381219" w:rsidP="00BB7D3F">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Morris J L, </w:t>
      </w:r>
      <w:proofErr w:type="spellStart"/>
      <w:r w:rsidRPr="00E65899">
        <w:rPr>
          <w:rFonts w:ascii="Arial" w:hAnsi="Arial" w:cs="Arial"/>
          <w:sz w:val="20"/>
          <w:szCs w:val="20"/>
        </w:rPr>
        <w:t>Zidenberg-Cherr</w:t>
      </w:r>
      <w:proofErr w:type="spellEnd"/>
      <w:r w:rsidRPr="00E65899">
        <w:rPr>
          <w:rFonts w:ascii="Arial" w:hAnsi="Arial" w:cs="Arial"/>
          <w:sz w:val="20"/>
          <w:szCs w:val="20"/>
        </w:rPr>
        <w:t xml:space="preserve"> S. Garden-enhanced nutrition curriculum improves fourth-grade school children's knowledge of nutrition and preferences for some vegetables. J</w:t>
      </w:r>
      <w:r w:rsidR="00A35CD4">
        <w:rPr>
          <w:rFonts w:ascii="Arial" w:hAnsi="Arial" w:cs="Arial"/>
          <w:sz w:val="20"/>
          <w:szCs w:val="20"/>
        </w:rPr>
        <w:t>.</w:t>
      </w:r>
      <w:r w:rsidRPr="00E65899">
        <w:rPr>
          <w:rFonts w:ascii="Arial" w:hAnsi="Arial" w:cs="Arial"/>
          <w:sz w:val="20"/>
          <w:szCs w:val="20"/>
        </w:rPr>
        <w:t xml:space="preserve"> Am</w:t>
      </w:r>
      <w:r w:rsidR="00A35CD4">
        <w:rPr>
          <w:rFonts w:ascii="Arial" w:hAnsi="Arial" w:cs="Arial"/>
          <w:sz w:val="20"/>
          <w:szCs w:val="20"/>
        </w:rPr>
        <w:t>.</w:t>
      </w:r>
      <w:r w:rsidRPr="00E65899">
        <w:rPr>
          <w:rFonts w:ascii="Arial" w:hAnsi="Arial" w:cs="Arial"/>
          <w:sz w:val="20"/>
          <w:szCs w:val="20"/>
        </w:rPr>
        <w:t xml:space="preserve"> Diet</w:t>
      </w:r>
      <w:r w:rsidR="00A35CD4">
        <w:rPr>
          <w:rFonts w:ascii="Arial" w:hAnsi="Arial" w:cs="Arial"/>
          <w:sz w:val="20"/>
          <w:szCs w:val="20"/>
        </w:rPr>
        <w:t>.</w:t>
      </w:r>
      <w:r w:rsidRPr="00E65899">
        <w:rPr>
          <w:rFonts w:ascii="Arial" w:hAnsi="Arial" w:cs="Arial"/>
          <w:sz w:val="20"/>
          <w:szCs w:val="20"/>
        </w:rPr>
        <w:t xml:space="preserve"> Assoc. 2002;102(1):91–3.</w:t>
      </w:r>
    </w:p>
    <w:p w14:paraId="11484FA1" w14:textId="77777777" w:rsidR="00BB7D3F" w:rsidRPr="00BB7D3F" w:rsidRDefault="00BB7D3F" w:rsidP="00BB7D3F">
      <w:pPr>
        <w:pStyle w:val="ListParagraph"/>
        <w:rPr>
          <w:rFonts w:ascii="Arial" w:hAnsi="Arial" w:cs="Arial"/>
          <w:sz w:val="20"/>
          <w:szCs w:val="20"/>
          <w:lang w:val="en-US"/>
        </w:rPr>
      </w:pPr>
    </w:p>
    <w:p w14:paraId="727BC52D" w14:textId="77777777" w:rsidR="00BB7D3F" w:rsidRPr="00BB7D3F" w:rsidRDefault="00BB7D3F" w:rsidP="00BB7D3F">
      <w:pPr>
        <w:pStyle w:val="ListParagraph"/>
        <w:jc w:val="both"/>
        <w:rPr>
          <w:rFonts w:ascii="Arial" w:hAnsi="Arial" w:cs="Arial"/>
          <w:sz w:val="20"/>
          <w:szCs w:val="20"/>
          <w:lang w:val="en-US"/>
        </w:rPr>
      </w:pPr>
    </w:p>
    <w:p w14:paraId="66082893" w14:textId="39DF5314" w:rsidR="00E65899" w:rsidRPr="00BB7D3F" w:rsidRDefault="00381219" w:rsidP="00FC4355">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Williams DR. Garden-based education. In Oxford Research </w:t>
      </w:r>
      <w:proofErr w:type="spellStart"/>
      <w:r w:rsidRPr="00E65899">
        <w:rPr>
          <w:rFonts w:ascii="Arial" w:hAnsi="Arial" w:cs="Arial"/>
          <w:sz w:val="20"/>
          <w:szCs w:val="20"/>
        </w:rPr>
        <w:t>Encyclopedia</w:t>
      </w:r>
      <w:proofErr w:type="spellEnd"/>
      <w:r w:rsidRPr="00E65899">
        <w:rPr>
          <w:rFonts w:ascii="Arial" w:hAnsi="Arial" w:cs="Arial"/>
          <w:sz w:val="20"/>
          <w:szCs w:val="20"/>
        </w:rPr>
        <w:t xml:space="preserve"> of Education. Oxford University Press.2018. </w:t>
      </w:r>
    </w:p>
    <w:p w14:paraId="56C3C42E" w14:textId="77777777" w:rsidR="00BB7D3F" w:rsidRPr="00FC4355" w:rsidRDefault="00BB7D3F" w:rsidP="00BB7D3F">
      <w:pPr>
        <w:pStyle w:val="ListParagraph"/>
        <w:jc w:val="both"/>
        <w:rPr>
          <w:rFonts w:ascii="Arial" w:hAnsi="Arial" w:cs="Arial"/>
          <w:sz w:val="20"/>
          <w:szCs w:val="20"/>
          <w:lang w:val="en-US"/>
        </w:rPr>
      </w:pPr>
    </w:p>
    <w:p w14:paraId="119205F5" w14:textId="10909924" w:rsidR="00381219" w:rsidRPr="00E65899" w:rsidRDefault="00381219" w:rsidP="00381219">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Cross S M </w:t>
      </w:r>
      <w:proofErr w:type="gramStart"/>
      <w:r w:rsidRPr="00E65899">
        <w:rPr>
          <w:rFonts w:ascii="Arial" w:hAnsi="Arial" w:cs="Arial"/>
          <w:sz w:val="20"/>
          <w:szCs w:val="20"/>
        </w:rPr>
        <w:t>and  Kahn</w:t>
      </w:r>
      <w:proofErr w:type="gramEnd"/>
      <w:r w:rsidRPr="00E65899">
        <w:rPr>
          <w:rFonts w:ascii="Arial" w:hAnsi="Arial" w:cs="Arial"/>
          <w:sz w:val="20"/>
          <w:szCs w:val="20"/>
        </w:rPr>
        <w:t xml:space="preserve"> S.  Science in the garden: A qualitative analysis of school-based agricultural educators’ strategies. J</w:t>
      </w:r>
      <w:r w:rsidR="008F252C">
        <w:rPr>
          <w:rFonts w:ascii="Arial" w:hAnsi="Arial" w:cs="Arial"/>
          <w:sz w:val="20"/>
          <w:szCs w:val="20"/>
        </w:rPr>
        <w:t>.</w:t>
      </w:r>
      <w:r w:rsidRPr="00E65899">
        <w:rPr>
          <w:rFonts w:ascii="Arial" w:hAnsi="Arial" w:cs="Arial"/>
          <w:sz w:val="20"/>
          <w:szCs w:val="20"/>
        </w:rPr>
        <w:t xml:space="preserve"> Agric. Educ.2018; 59(4): 88-104. https:// doi.org/10.5032/jae.2018.04088</w:t>
      </w:r>
    </w:p>
    <w:p w14:paraId="3B695996" w14:textId="77777777" w:rsidR="00E65899" w:rsidRPr="00156C78" w:rsidRDefault="00E65899" w:rsidP="00E65899">
      <w:pPr>
        <w:pStyle w:val="ListParagraph"/>
        <w:jc w:val="both"/>
        <w:rPr>
          <w:rFonts w:ascii="Times New Roman" w:hAnsi="Times New Roman" w:cs="Times New Roman"/>
          <w:sz w:val="24"/>
          <w:szCs w:val="24"/>
          <w:lang w:val="en-US"/>
        </w:rPr>
      </w:pPr>
    </w:p>
    <w:p w14:paraId="0803FCDE" w14:textId="551A21BE" w:rsidR="00E65899" w:rsidRPr="00BB7D3F" w:rsidRDefault="00381219" w:rsidP="00BB7D3F">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Davis K L and Brann LS.  Examining the benefits and barriers of instructional gardening programs to increase fruit and vegetable intake among preschool-age children. J. Environ. Public Health, 2017; 1-7. </w:t>
      </w:r>
      <w:hyperlink r:id="rId10" w:history="1">
        <w:r w:rsidR="00E65899" w:rsidRPr="00E65899">
          <w:rPr>
            <w:rStyle w:val="Hyperlink"/>
            <w:rFonts w:ascii="Arial" w:hAnsi="Arial" w:cs="Arial"/>
            <w:sz w:val="20"/>
            <w:szCs w:val="20"/>
          </w:rPr>
          <w:t>https://doi.org/10.1155/2017/2506864</w:t>
        </w:r>
      </w:hyperlink>
    </w:p>
    <w:p w14:paraId="42D54525" w14:textId="77777777" w:rsidR="00BB7D3F" w:rsidRPr="00BB7D3F" w:rsidRDefault="00BB7D3F" w:rsidP="00BB7D3F">
      <w:pPr>
        <w:pStyle w:val="ListParagraph"/>
        <w:rPr>
          <w:rFonts w:ascii="Arial" w:hAnsi="Arial" w:cs="Arial"/>
          <w:sz w:val="20"/>
          <w:szCs w:val="20"/>
          <w:lang w:val="en-US"/>
        </w:rPr>
      </w:pPr>
    </w:p>
    <w:p w14:paraId="56C79CC0" w14:textId="77777777" w:rsidR="00BB7D3F" w:rsidRPr="00BB7D3F" w:rsidRDefault="00BB7D3F" w:rsidP="00BB7D3F">
      <w:pPr>
        <w:pStyle w:val="ListParagraph"/>
        <w:jc w:val="both"/>
        <w:rPr>
          <w:rFonts w:ascii="Arial" w:hAnsi="Arial" w:cs="Arial"/>
          <w:sz w:val="20"/>
          <w:szCs w:val="20"/>
          <w:lang w:val="en-US"/>
        </w:rPr>
      </w:pPr>
    </w:p>
    <w:p w14:paraId="280E595F" w14:textId="78A54FEB" w:rsidR="00381219" w:rsidRPr="00E65899" w:rsidRDefault="00381219" w:rsidP="00381219">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Mohamed, N., &amp; Othman, N. (2018). Experiential learning: </w:t>
      </w:r>
      <w:proofErr w:type="gramStart"/>
      <w:r w:rsidRPr="00E65899">
        <w:rPr>
          <w:rFonts w:ascii="Arial" w:hAnsi="Arial" w:cs="Arial"/>
          <w:sz w:val="20"/>
          <w:szCs w:val="20"/>
        </w:rPr>
        <w:t>Botanical garden</w:t>
      </w:r>
      <w:proofErr w:type="gramEnd"/>
      <w:r w:rsidRPr="00E65899">
        <w:rPr>
          <w:rFonts w:ascii="Arial" w:hAnsi="Arial" w:cs="Arial"/>
          <w:sz w:val="20"/>
          <w:szCs w:val="20"/>
        </w:rPr>
        <w:t xml:space="preserve"> as a place for learning plant science. Asian J</w:t>
      </w:r>
      <w:r w:rsidR="00D4703A">
        <w:rPr>
          <w:rFonts w:ascii="Arial" w:hAnsi="Arial" w:cs="Arial"/>
          <w:sz w:val="20"/>
          <w:szCs w:val="20"/>
        </w:rPr>
        <w:t>.</w:t>
      </w:r>
      <w:r w:rsidRPr="00E65899">
        <w:rPr>
          <w:rFonts w:ascii="Arial" w:hAnsi="Arial" w:cs="Arial"/>
          <w:sz w:val="20"/>
          <w:szCs w:val="20"/>
        </w:rPr>
        <w:t xml:space="preserve"> Qual</w:t>
      </w:r>
      <w:r w:rsidR="002E2BCB">
        <w:rPr>
          <w:rFonts w:ascii="Arial" w:hAnsi="Arial" w:cs="Arial"/>
          <w:sz w:val="20"/>
          <w:szCs w:val="20"/>
        </w:rPr>
        <w:t>.</w:t>
      </w:r>
      <w:r w:rsidRPr="00E65899">
        <w:rPr>
          <w:rFonts w:ascii="Arial" w:hAnsi="Arial" w:cs="Arial"/>
          <w:sz w:val="20"/>
          <w:szCs w:val="20"/>
        </w:rPr>
        <w:t xml:space="preserve"> Life.</w:t>
      </w:r>
      <w:r w:rsidR="002E2BCB">
        <w:rPr>
          <w:rFonts w:ascii="Arial" w:hAnsi="Arial" w:cs="Arial"/>
          <w:sz w:val="20"/>
          <w:szCs w:val="20"/>
        </w:rPr>
        <w:t xml:space="preserve"> </w:t>
      </w:r>
      <w:r w:rsidRPr="00E65899">
        <w:rPr>
          <w:rFonts w:ascii="Arial" w:hAnsi="Arial" w:cs="Arial"/>
          <w:sz w:val="20"/>
          <w:szCs w:val="20"/>
        </w:rPr>
        <w:t xml:space="preserve">2018; 3(12): 61-68. https://doi.org/10.21834/ </w:t>
      </w:r>
      <w:proofErr w:type="gramStart"/>
      <w:r w:rsidRPr="00E65899">
        <w:rPr>
          <w:rFonts w:ascii="Arial" w:hAnsi="Arial" w:cs="Arial"/>
          <w:sz w:val="20"/>
          <w:szCs w:val="20"/>
        </w:rPr>
        <w:t>ajqol.v</w:t>
      </w:r>
      <w:proofErr w:type="gramEnd"/>
      <w:r w:rsidRPr="00E65899">
        <w:rPr>
          <w:rFonts w:ascii="Arial" w:hAnsi="Arial" w:cs="Arial"/>
          <w:sz w:val="20"/>
          <w:szCs w:val="20"/>
        </w:rPr>
        <w:t>3i12.142</w:t>
      </w:r>
    </w:p>
    <w:p w14:paraId="066F8E1A" w14:textId="77777777" w:rsidR="00E65899" w:rsidRPr="00156C78" w:rsidRDefault="00E65899" w:rsidP="00E65899">
      <w:pPr>
        <w:pStyle w:val="ListParagraph"/>
        <w:jc w:val="both"/>
        <w:rPr>
          <w:rFonts w:ascii="Times New Roman" w:hAnsi="Times New Roman" w:cs="Times New Roman"/>
          <w:sz w:val="24"/>
          <w:szCs w:val="24"/>
          <w:lang w:val="en-US"/>
        </w:rPr>
      </w:pPr>
    </w:p>
    <w:p w14:paraId="43C3736E" w14:textId="78F7EF11" w:rsidR="00E65899" w:rsidRPr="00BB7D3F" w:rsidRDefault="00381219" w:rsidP="00BB7D3F">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Burt K G, </w:t>
      </w:r>
      <w:proofErr w:type="spellStart"/>
      <w:r w:rsidRPr="00E65899">
        <w:rPr>
          <w:rFonts w:ascii="Arial" w:hAnsi="Arial" w:cs="Arial"/>
          <w:sz w:val="20"/>
          <w:szCs w:val="20"/>
        </w:rPr>
        <w:t>Luesse</w:t>
      </w:r>
      <w:proofErr w:type="spellEnd"/>
      <w:r w:rsidRPr="00E65899">
        <w:rPr>
          <w:rFonts w:ascii="Arial" w:hAnsi="Arial" w:cs="Arial"/>
          <w:sz w:val="20"/>
          <w:szCs w:val="20"/>
        </w:rPr>
        <w:t xml:space="preserve"> H B, Rakoff J, Ventura A and </w:t>
      </w:r>
      <w:proofErr w:type="spellStart"/>
      <w:r w:rsidRPr="00E65899">
        <w:rPr>
          <w:rFonts w:ascii="Arial" w:hAnsi="Arial" w:cs="Arial"/>
          <w:sz w:val="20"/>
          <w:szCs w:val="20"/>
        </w:rPr>
        <w:t>Burgermaster</w:t>
      </w:r>
      <w:proofErr w:type="spellEnd"/>
      <w:r w:rsidRPr="00E65899">
        <w:rPr>
          <w:rFonts w:ascii="Arial" w:hAnsi="Arial" w:cs="Arial"/>
          <w:sz w:val="20"/>
          <w:szCs w:val="20"/>
        </w:rPr>
        <w:t xml:space="preserve"> M. School gardens in the United States: Current barriers to integration and sustainability. Am. J. Public Health. 2018; 108(11): 1543-1549. https://doi. org/10.2105/AJPH.2018.304674</w:t>
      </w:r>
    </w:p>
    <w:p w14:paraId="671E57C7" w14:textId="77777777" w:rsidR="00BB7D3F" w:rsidRPr="00BB7D3F" w:rsidRDefault="00BB7D3F" w:rsidP="00BB7D3F">
      <w:pPr>
        <w:pStyle w:val="ListParagraph"/>
        <w:rPr>
          <w:rFonts w:ascii="Arial" w:hAnsi="Arial" w:cs="Arial"/>
          <w:sz w:val="20"/>
          <w:szCs w:val="20"/>
          <w:lang w:val="en-US"/>
        </w:rPr>
      </w:pPr>
    </w:p>
    <w:p w14:paraId="459458C5" w14:textId="77777777" w:rsidR="00BB7D3F" w:rsidRPr="00BB7D3F" w:rsidRDefault="00BB7D3F" w:rsidP="00BB7D3F">
      <w:pPr>
        <w:pStyle w:val="ListParagraph"/>
        <w:jc w:val="both"/>
        <w:rPr>
          <w:rFonts w:ascii="Arial" w:hAnsi="Arial" w:cs="Arial"/>
          <w:sz w:val="20"/>
          <w:szCs w:val="20"/>
          <w:lang w:val="en-US"/>
        </w:rPr>
      </w:pPr>
    </w:p>
    <w:p w14:paraId="699BBF78" w14:textId="274A9286" w:rsidR="00381219" w:rsidRPr="00E65899" w:rsidRDefault="00381219" w:rsidP="00381219">
      <w:pPr>
        <w:pStyle w:val="ListParagraph"/>
        <w:numPr>
          <w:ilvl w:val="0"/>
          <w:numId w:val="5"/>
        </w:numPr>
        <w:jc w:val="both"/>
        <w:rPr>
          <w:rFonts w:ascii="Arial" w:hAnsi="Arial" w:cs="Arial"/>
          <w:sz w:val="20"/>
          <w:szCs w:val="20"/>
          <w:lang w:val="en-US"/>
        </w:rPr>
      </w:pPr>
      <w:r w:rsidRPr="00E65899">
        <w:rPr>
          <w:rFonts w:ascii="Arial" w:hAnsi="Arial" w:cs="Arial"/>
          <w:sz w:val="20"/>
          <w:szCs w:val="20"/>
        </w:rPr>
        <w:t>Park SA, Lee HS, Lee KS, Son KC and Shoemaker CA. The metabolic costs of gardening tasks in children. HortTechnology.2013; 23:589-594</w:t>
      </w:r>
    </w:p>
    <w:p w14:paraId="55C33AB9" w14:textId="77777777" w:rsidR="00E65899" w:rsidRPr="00156C78" w:rsidRDefault="00E65899" w:rsidP="00E65899">
      <w:pPr>
        <w:pStyle w:val="ListParagraph"/>
        <w:jc w:val="both"/>
        <w:rPr>
          <w:rFonts w:ascii="Times New Roman" w:hAnsi="Times New Roman" w:cs="Times New Roman"/>
          <w:sz w:val="24"/>
          <w:szCs w:val="24"/>
          <w:lang w:val="en-US"/>
        </w:rPr>
      </w:pPr>
    </w:p>
    <w:p w14:paraId="3B9EDBB5" w14:textId="2D9573B4" w:rsidR="00E65899" w:rsidRPr="00BB7D3F" w:rsidRDefault="00381219" w:rsidP="00BB7D3F">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Choi I H.  Effects of horticultural activities on the peer relations and school life satisfaction of elementary students. 2007. MS Thesis, </w:t>
      </w:r>
      <w:proofErr w:type="spellStart"/>
      <w:r w:rsidRPr="00E65899">
        <w:rPr>
          <w:rFonts w:ascii="Arial" w:hAnsi="Arial" w:cs="Arial"/>
          <w:sz w:val="20"/>
          <w:szCs w:val="20"/>
        </w:rPr>
        <w:t>Dankook</w:t>
      </w:r>
      <w:proofErr w:type="spellEnd"/>
      <w:r w:rsidRPr="00E65899">
        <w:rPr>
          <w:rFonts w:ascii="Arial" w:hAnsi="Arial" w:cs="Arial"/>
          <w:sz w:val="20"/>
          <w:szCs w:val="20"/>
        </w:rPr>
        <w:t xml:space="preserve"> </w:t>
      </w:r>
      <w:proofErr w:type="spellStart"/>
      <w:r w:rsidRPr="00E65899">
        <w:rPr>
          <w:rFonts w:ascii="Arial" w:hAnsi="Arial" w:cs="Arial"/>
          <w:sz w:val="20"/>
          <w:szCs w:val="20"/>
        </w:rPr>
        <w:t>Univ</w:t>
      </w:r>
      <w:proofErr w:type="spellEnd"/>
      <w:r w:rsidRPr="00E65899">
        <w:rPr>
          <w:rFonts w:ascii="Arial" w:hAnsi="Arial" w:cs="Arial"/>
          <w:sz w:val="20"/>
          <w:szCs w:val="20"/>
        </w:rPr>
        <w:t>, Cheonan, Korea</w:t>
      </w:r>
    </w:p>
    <w:p w14:paraId="2034D148" w14:textId="77777777" w:rsidR="00BB7D3F" w:rsidRPr="00BB7D3F" w:rsidRDefault="00BB7D3F" w:rsidP="00BB7D3F">
      <w:pPr>
        <w:pStyle w:val="ListParagraph"/>
        <w:rPr>
          <w:rFonts w:ascii="Arial" w:hAnsi="Arial" w:cs="Arial"/>
          <w:sz w:val="20"/>
          <w:szCs w:val="20"/>
          <w:lang w:val="en-US"/>
        </w:rPr>
      </w:pPr>
    </w:p>
    <w:p w14:paraId="4F9EF549" w14:textId="77777777" w:rsidR="00BB7D3F" w:rsidRPr="00BB7D3F" w:rsidRDefault="00BB7D3F" w:rsidP="00BB7D3F">
      <w:pPr>
        <w:pStyle w:val="ListParagraph"/>
        <w:jc w:val="both"/>
        <w:rPr>
          <w:rFonts w:ascii="Arial" w:hAnsi="Arial" w:cs="Arial"/>
          <w:sz w:val="20"/>
          <w:szCs w:val="20"/>
          <w:lang w:val="en-US"/>
        </w:rPr>
      </w:pPr>
    </w:p>
    <w:p w14:paraId="0C5E6185" w14:textId="76BE418E" w:rsidR="00381219" w:rsidRPr="00E65899" w:rsidRDefault="00381219" w:rsidP="00381219">
      <w:pPr>
        <w:pStyle w:val="ListParagraph"/>
        <w:numPr>
          <w:ilvl w:val="0"/>
          <w:numId w:val="5"/>
        </w:numPr>
        <w:jc w:val="both"/>
        <w:rPr>
          <w:rStyle w:val="element-citation"/>
          <w:rFonts w:ascii="Arial" w:hAnsi="Arial" w:cs="Arial"/>
          <w:sz w:val="20"/>
          <w:szCs w:val="20"/>
          <w:lang w:val="en-US"/>
        </w:rPr>
      </w:pPr>
      <w:r w:rsidRPr="00E65899">
        <w:rPr>
          <w:rStyle w:val="element-citation"/>
          <w:rFonts w:ascii="Arial" w:hAnsi="Arial" w:cs="Arial"/>
          <w:color w:val="303030"/>
          <w:sz w:val="20"/>
          <w:szCs w:val="20"/>
        </w:rPr>
        <w:t xml:space="preserve">Mennella JA, Castor SM. Sensitive period in flavour learning: effects of duration of exposure to formula </w:t>
      </w:r>
      <w:proofErr w:type="spellStart"/>
      <w:r w:rsidRPr="00E65899">
        <w:rPr>
          <w:rStyle w:val="element-citation"/>
          <w:rFonts w:ascii="Arial" w:hAnsi="Arial" w:cs="Arial"/>
          <w:color w:val="303030"/>
          <w:sz w:val="20"/>
          <w:szCs w:val="20"/>
        </w:rPr>
        <w:t>flavors</w:t>
      </w:r>
      <w:proofErr w:type="spellEnd"/>
      <w:r w:rsidRPr="00E65899">
        <w:rPr>
          <w:rStyle w:val="element-citation"/>
          <w:rFonts w:ascii="Arial" w:hAnsi="Arial" w:cs="Arial"/>
          <w:color w:val="303030"/>
          <w:sz w:val="20"/>
          <w:szCs w:val="20"/>
        </w:rPr>
        <w:t xml:space="preserve"> on food likes during infancy. </w:t>
      </w:r>
      <w:r w:rsidRPr="005B41CC">
        <w:rPr>
          <w:rStyle w:val="ref-journal"/>
          <w:rFonts w:ascii="Arial" w:hAnsi="Arial" w:cs="Arial"/>
          <w:color w:val="303030"/>
          <w:sz w:val="20"/>
          <w:szCs w:val="20"/>
        </w:rPr>
        <w:t>Clin</w:t>
      </w:r>
      <w:r w:rsidR="005B41CC">
        <w:rPr>
          <w:rStyle w:val="ref-journal"/>
          <w:rFonts w:ascii="Arial" w:hAnsi="Arial" w:cs="Arial"/>
          <w:color w:val="303030"/>
          <w:sz w:val="20"/>
          <w:szCs w:val="20"/>
        </w:rPr>
        <w:t>.</w:t>
      </w:r>
      <w:r w:rsidRPr="005B41CC">
        <w:rPr>
          <w:rStyle w:val="ref-journal"/>
          <w:rFonts w:ascii="Arial" w:hAnsi="Arial" w:cs="Arial"/>
          <w:color w:val="303030"/>
          <w:sz w:val="20"/>
          <w:szCs w:val="20"/>
        </w:rPr>
        <w:t xml:space="preserve"> </w:t>
      </w:r>
      <w:proofErr w:type="spellStart"/>
      <w:r w:rsidRPr="005B41CC">
        <w:rPr>
          <w:rStyle w:val="ref-journal"/>
          <w:rFonts w:ascii="Arial" w:hAnsi="Arial" w:cs="Arial"/>
          <w:color w:val="303030"/>
          <w:sz w:val="20"/>
          <w:szCs w:val="20"/>
        </w:rPr>
        <w:t>Nutr</w:t>
      </w:r>
      <w:proofErr w:type="spellEnd"/>
      <w:r w:rsidRPr="005B41CC">
        <w:rPr>
          <w:rStyle w:val="ref-journal"/>
          <w:rFonts w:ascii="Arial" w:hAnsi="Arial" w:cs="Arial"/>
          <w:color w:val="303030"/>
          <w:sz w:val="20"/>
          <w:szCs w:val="20"/>
        </w:rPr>
        <w:t>.</w:t>
      </w:r>
      <w:r w:rsidRPr="00E65899">
        <w:rPr>
          <w:rStyle w:val="ref-journal"/>
          <w:rFonts w:ascii="Arial" w:hAnsi="Arial" w:cs="Arial"/>
          <w:i/>
          <w:iCs/>
          <w:color w:val="303030"/>
          <w:sz w:val="20"/>
          <w:szCs w:val="20"/>
        </w:rPr>
        <w:t> </w:t>
      </w:r>
      <w:r w:rsidRPr="00E65899">
        <w:rPr>
          <w:rStyle w:val="element-citation"/>
          <w:rFonts w:ascii="Arial" w:hAnsi="Arial" w:cs="Arial"/>
          <w:color w:val="303030"/>
          <w:sz w:val="20"/>
          <w:szCs w:val="20"/>
        </w:rPr>
        <w:t>2012;</w:t>
      </w:r>
      <w:r w:rsidRPr="00E65899">
        <w:rPr>
          <w:rStyle w:val="ref-vol"/>
          <w:rFonts w:ascii="Arial" w:hAnsi="Arial" w:cs="Arial"/>
          <w:color w:val="303030"/>
          <w:sz w:val="20"/>
          <w:szCs w:val="20"/>
        </w:rPr>
        <w:t>31</w:t>
      </w:r>
      <w:r w:rsidRPr="00E65899">
        <w:rPr>
          <w:rStyle w:val="element-citation"/>
          <w:rFonts w:ascii="Arial" w:hAnsi="Arial" w:cs="Arial"/>
          <w:color w:val="303030"/>
          <w:sz w:val="20"/>
          <w:szCs w:val="20"/>
        </w:rPr>
        <w:t xml:space="preserve">(6):1022–1025. </w:t>
      </w:r>
    </w:p>
    <w:p w14:paraId="68394E28" w14:textId="77777777" w:rsidR="00E65899" w:rsidRPr="00156C78" w:rsidRDefault="00E65899" w:rsidP="00E65899">
      <w:pPr>
        <w:pStyle w:val="ListParagraph"/>
        <w:jc w:val="both"/>
        <w:rPr>
          <w:rStyle w:val="element-citation"/>
          <w:rFonts w:ascii="Times New Roman" w:hAnsi="Times New Roman" w:cs="Times New Roman"/>
          <w:sz w:val="24"/>
          <w:szCs w:val="24"/>
          <w:lang w:val="en-US"/>
        </w:rPr>
      </w:pPr>
    </w:p>
    <w:p w14:paraId="1BCFD880" w14:textId="052415F1" w:rsidR="00381219" w:rsidRPr="00E65899" w:rsidRDefault="00381219" w:rsidP="00381219">
      <w:pPr>
        <w:pStyle w:val="ListParagraph"/>
        <w:numPr>
          <w:ilvl w:val="0"/>
          <w:numId w:val="5"/>
        </w:numPr>
        <w:jc w:val="both"/>
        <w:rPr>
          <w:rFonts w:ascii="Arial" w:hAnsi="Arial" w:cs="Arial"/>
          <w:sz w:val="20"/>
          <w:szCs w:val="20"/>
          <w:lang w:val="en-US"/>
        </w:rPr>
      </w:pPr>
      <w:r w:rsidRPr="00E65899">
        <w:rPr>
          <w:rStyle w:val="mixed-citation"/>
          <w:rFonts w:ascii="Arial" w:hAnsi="Arial" w:cs="Arial"/>
          <w:color w:val="303030"/>
          <w:sz w:val="20"/>
          <w:szCs w:val="20"/>
        </w:rPr>
        <w:t xml:space="preserve">Zimmerman B. Social learning, cognition, and personality development. </w:t>
      </w:r>
      <w:r w:rsidR="00256875" w:rsidRPr="00256875">
        <w:rPr>
          <w:rFonts w:ascii="Arial" w:hAnsi="Arial" w:cs="Arial"/>
          <w:color w:val="303030"/>
          <w:sz w:val="20"/>
          <w:szCs w:val="20"/>
        </w:rPr>
        <w:t xml:space="preserve">International </w:t>
      </w:r>
      <w:proofErr w:type="spellStart"/>
      <w:r w:rsidR="00256875" w:rsidRPr="00256875">
        <w:rPr>
          <w:rFonts w:ascii="Arial" w:hAnsi="Arial" w:cs="Arial"/>
          <w:color w:val="303030"/>
          <w:sz w:val="20"/>
          <w:szCs w:val="20"/>
        </w:rPr>
        <w:t>Encyclopedia</w:t>
      </w:r>
      <w:proofErr w:type="spellEnd"/>
      <w:r w:rsidR="00256875" w:rsidRPr="00256875">
        <w:rPr>
          <w:rFonts w:ascii="Arial" w:hAnsi="Arial" w:cs="Arial"/>
          <w:color w:val="303030"/>
          <w:sz w:val="20"/>
          <w:szCs w:val="20"/>
        </w:rPr>
        <w:t xml:space="preserve"> of the Social &amp; </w:t>
      </w:r>
      <w:proofErr w:type="spellStart"/>
      <w:r w:rsidR="00256875" w:rsidRPr="00256875">
        <w:rPr>
          <w:rFonts w:ascii="Arial" w:hAnsi="Arial" w:cs="Arial"/>
          <w:color w:val="303030"/>
          <w:sz w:val="20"/>
          <w:szCs w:val="20"/>
        </w:rPr>
        <w:t>Behavioral</w:t>
      </w:r>
      <w:proofErr w:type="spellEnd"/>
      <w:r w:rsidR="00256875" w:rsidRPr="00256875">
        <w:rPr>
          <w:rFonts w:ascii="Arial" w:hAnsi="Arial" w:cs="Arial"/>
          <w:color w:val="303030"/>
          <w:sz w:val="20"/>
          <w:szCs w:val="20"/>
        </w:rPr>
        <w:t xml:space="preserve"> Sciences</w:t>
      </w:r>
      <w:r w:rsidR="00256875">
        <w:rPr>
          <w:rFonts w:ascii="Arial" w:hAnsi="Arial" w:cs="Arial"/>
          <w:color w:val="303030"/>
          <w:sz w:val="20"/>
          <w:szCs w:val="20"/>
        </w:rPr>
        <w:t xml:space="preserve">. </w:t>
      </w:r>
      <w:r w:rsidRPr="00E65899">
        <w:rPr>
          <w:rStyle w:val="mixed-citation"/>
          <w:rFonts w:ascii="Arial" w:hAnsi="Arial" w:cs="Arial"/>
          <w:color w:val="303030"/>
          <w:sz w:val="20"/>
          <w:szCs w:val="20"/>
        </w:rPr>
        <w:t>2001;14341–5.</w:t>
      </w:r>
      <w:r w:rsidRPr="00E65899">
        <w:rPr>
          <w:rFonts w:ascii="Arial" w:hAnsi="Arial" w:cs="Arial"/>
          <w:color w:val="303030"/>
          <w:sz w:val="20"/>
          <w:szCs w:val="20"/>
          <w:shd w:val="clear" w:color="auto" w:fill="FFFFFF"/>
        </w:rPr>
        <w:t> </w:t>
      </w:r>
    </w:p>
    <w:p w14:paraId="0994171B" w14:textId="77777777" w:rsidR="00381219" w:rsidRPr="00377319" w:rsidRDefault="00381219" w:rsidP="00D037EE">
      <w:pPr>
        <w:spacing w:before="100" w:beforeAutospacing="1" w:after="100" w:afterAutospacing="1" w:line="240" w:lineRule="auto"/>
        <w:jc w:val="both"/>
        <w:rPr>
          <w:rFonts w:ascii="Times New Roman" w:hAnsi="Times New Roman" w:cs="Times New Roman"/>
          <w:b/>
          <w:bCs/>
          <w:sz w:val="24"/>
          <w:szCs w:val="24"/>
        </w:rPr>
      </w:pPr>
    </w:p>
    <w:p w14:paraId="6143C482" w14:textId="77777777" w:rsidR="00765669" w:rsidRPr="00D037EE" w:rsidRDefault="00765669" w:rsidP="00D037EE">
      <w:pPr>
        <w:spacing w:before="100" w:beforeAutospacing="1" w:after="100" w:afterAutospacing="1" w:line="240" w:lineRule="auto"/>
        <w:jc w:val="both"/>
        <w:rPr>
          <w:rFonts w:ascii="Times New Roman" w:hAnsi="Times New Roman" w:cs="Times New Roman"/>
          <w:sz w:val="24"/>
          <w:szCs w:val="24"/>
        </w:rPr>
      </w:pPr>
    </w:p>
    <w:p w14:paraId="6FEA873E" w14:textId="77777777" w:rsidR="009B461A" w:rsidRPr="00D037EE" w:rsidRDefault="009B461A" w:rsidP="00D037EE">
      <w:pPr>
        <w:spacing w:before="100" w:beforeAutospacing="1" w:after="100" w:afterAutospacing="1" w:line="240" w:lineRule="auto"/>
        <w:jc w:val="both"/>
        <w:rPr>
          <w:rFonts w:ascii="Times New Roman" w:hAnsi="Times New Roman" w:cs="Times New Roman"/>
          <w:sz w:val="24"/>
          <w:szCs w:val="24"/>
        </w:rPr>
      </w:pPr>
    </w:p>
    <w:p w14:paraId="3806B4F6" w14:textId="77777777" w:rsidR="00E666B1" w:rsidRPr="00D037EE" w:rsidRDefault="00E666B1" w:rsidP="00D037EE">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1FB00C34" w14:textId="77777777" w:rsidR="00382561" w:rsidRPr="00D037EE" w:rsidRDefault="00382561" w:rsidP="00D037EE">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p>
    <w:p w14:paraId="729B910F" w14:textId="77777777" w:rsidR="00382561" w:rsidRPr="00D037EE" w:rsidRDefault="00382561" w:rsidP="00D037EE">
      <w:pPr>
        <w:jc w:val="both"/>
        <w:rPr>
          <w:rFonts w:ascii="Times New Roman" w:eastAsia="Times New Roman" w:hAnsi="Times New Roman" w:cs="Times New Roman"/>
          <w:kern w:val="0"/>
          <w:sz w:val="24"/>
          <w:szCs w:val="24"/>
          <w:lang w:eastAsia="en-IN"/>
          <w14:ligatures w14:val="none"/>
        </w:rPr>
      </w:pPr>
    </w:p>
    <w:p w14:paraId="52FAB479" w14:textId="65BF80D8" w:rsidR="008F7A7D" w:rsidRPr="00D037EE" w:rsidRDefault="008F7A7D" w:rsidP="00D037EE">
      <w:pPr>
        <w:spacing w:after="0" w:line="240" w:lineRule="auto"/>
        <w:jc w:val="both"/>
        <w:rPr>
          <w:rFonts w:ascii="Times New Roman" w:eastAsia="Times New Roman" w:hAnsi="Times New Roman" w:cs="Times New Roman"/>
          <w:kern w:val="0"/>
          <w:sz w:val="24"/>
          <w:szCs w:val="24"/>
          <w:lang w:eastAsia="en-IN"/>
          <w14:ligatures w14:val="none"/>
        </w:rPr>
      </w:pPr>
    </w:p>
    <w:p w14:paraId="09220939" w14:textId="77777777" w:rsidR="007B07F3" w:rsidRPr="00D037EE" w:rsidRDefault="007B07F3" w:rsidP="00D037EE">
      <w:pPr>
        <w:jc w:val="both"/>
        <w:rPr>
          <w:rFonts w:ascii="Times New Roman" w:hAnsi="Times New Roman" w:cs="Times New Roman"/>
          <w:sz w:val="24"/>
          <w:szCs w:val="24"/>
        </w:rPr>
      </w:pPr>
    </w:p>
    <w:sectPr w:rsidR="007B07F3" w:rsidRPr="00D037E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AF7F4" w14:textId="77777777" w:rsidR="00E06E27" w:rsidRDefault="00E06E27" w:rsidP="00D928C4">
      <w:pPr>
        <w:spacing w:after="0" w:line="240" w:lineRule="auto"/>
      </w:pPr>
      <w:r>
        <w:separator/>
      </w:r>
    </w:p>
  </w:endnote>
  <w:endnote w:type="continuationSeparator" w:id="0">
    <w:p w14:paraId="283FE110" w14:textId="77777777" w:rsidR="00E06E27" w:rsidRDefault="00E06E27" w:rsidP="00D9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704D" w14:textId="77777777" w:rsidR="00D928C4" w:rsidRDefault="00D92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2F1BF" w14:textId="77777777" w:rsidR="00D928C4" w:rsidRDefault="00D92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C34B1" w14:textId="77777777" w:rsidR="00D928C4" w:rsidRDefault="00D92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7A43" w14:textId="77777777" w:rsidR="00E06E27" w:rsidRDefault="00E06E27" w:rsidP="00D928C4">
      <w:pPr>
        <w:spacing w:after="0" w:line="240" w:lineRule="auto"/>
      </w:pPr>
      <w:r>
        <w:separator/>
      </w:r>
    </w:p>
  </w:footnote>
  <w:footnote w:type="continuationSeparator" w:id="0">
    <w:p w14:paraId="5DCD533C" w14:textId="77777777" w:rsidR="00E06E27" w:rsidRDefault="00E06E27" w:rsidP="00D9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487D" w14:textId="2B489735" w:rsidR="00D928C4" w:rsidRDefault="00D928C4">
    <w:pPr>
      <w:pStyle w:val="Header"/>
    </w:pPr>
    <w:r>
      <w:rPr>
        <w:noProof/>
      </w:rPr>
      <w:pict w14:anchorId="27135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574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A627" w14:textId="6626E73C" w:rsidR="00D928C4" w:rsidRDefault="00D928C4">
    <w:pPr>
      <w:pStyle w:val="Header"/>
    </w:pPr>
    <w:r>
      <w:rPr>
        <w:noProof/>
      </w:rPr>
      <w:pict w14:anchorId="2B368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574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6CB88" w14:textId="204336AD" w:rsidR="00D928C4" w:rsidRDefault="00D928C4">
    <w:pPr>
      <w:pStyle w:val="Header"/>
    </w:pPr>
    <w:r>
      <w:rPr>
        <w:noProof/>
      </w:rPr>
      <w:pict w14:anchorId="735BB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574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E4218"/>
    <w:multiLevelType w:val="hybridMultilevel"/>
    <w:tmpl w:val="BD98212E"/>
    <w:lvl w:ilvl="0" w:tplc="7084FE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9D16B0"/>
    <w:multiLevelType w:val="multilevel"/>
    <w:tmpl w:val="821A9D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4767A1"/>
    <w:multiLevelType w:val="multilevel"/>
    <w:tmpl w:val="B464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44F1D"/>
    <w:multiLevelType w:val="hybridMultilevel"/>
    <w:tmpl w:val="C6682516"/>
    <w:lvl w:ilvl="0" w:tplc="35B015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490423"/>
    <w:multiLevelType w:val="hybridMultilevel"/>
    <w:tmpl w:val="81DA0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7277166">
    <w:abstractNumId w:val="0"/>
  </w:num>
  <w:num w:numId="2" w16cid:durableId="2110270276">
    <w:abstractNumId w:val="3"/>
  </w:num>
  <w:num w:numId="3" w16cid:durableId="1181965342">
    <w:abstractNumId w:val="2"/>
  </w:num>
  <w:num w:numId="4" w16cid:durableId="508763057">
    <w:abstractNumId w:val="1"/>
  </w:num>
  <w:num w:numId="5" w16cid:durableId="172887759">
    <w:abstractNumId w:val="4"/>
  </w:num>
  <w:num w:numId="6" w16cid:durableId="984434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FE"/>
    <w:rsid w:val="00014E6C"/>
    <w:rsid w:val="00015E2C"/>
    <w:rsid w:val="000171BE"/>
    <w:rsid w:val="00017C25"/>
    <w:rsid w:val="00021097"/>
    <w:rsid w:val="0002292A"/>
    <w:rsid w:val="0002351C"/>
    <w:rsid w:val="000255A5"/>
    <w:rsid w:val="000261CB"/>
    <w:rsid w:val="00027069"/>
    <w:rsid w:val="00031657"/>
    <w:rsid w:val="00034476"/>
    <w:rsid w:val="00047A4E"/>
    <w:rsid w:val="0005549B"/>
    <w:rsid w:val="000579B4"/>
    <w:rsid w:val="000630C2"/>
    <w:rsid w:val="00063714"/>
    <w:rsid w:val="00070406"/>
    <w:rsid w:val="00070600"/>
    <w:rsid w:val="000711D3"/>
    <w:rsid w:val="00073E32"/>
    <w:rsid w:val="0008159D"/>
    <w:rsid w:val="00091FE3"/>
    <w:rsid w:val="000973E1"/>
    <w:rsid w:val="000A2787"/>
    <w:rsid w:val="000B237B"/>
    <w:rsid w:val="000B3A23"/>
    <w:rsid w:val="000C24E1"/>
    <w:rsid w:val="000C6DFB"/>
    <w:rsid w:val="000D7A6D"/>
    <w:rsid w:val="000E6E01"/>
    <w:rsid w:val="000F146D"/>
    <w:rsid w:val="00102973"/>
    <w:rsid w:val="00103147"/>
    <w:rsid w:val="00105B48"/>
    <w:rsid w:val="001064D3"/>
    <w:rsid w:val="0011427C"/>
    <w:rsid w:val="00121C3D"/>
    <w:rsid w:val="001316E6"/>
    <w:rsid w:val="001408AC"/>
    <w:rsid w:val="0015525C"/>
    <w:rsid w:val="001617F8"/>
    <w:rsid w:val="00166626"/>
    <w:rsid w:val="00170693"/>
    <w:rsid w:val="001722D5"/>
    <w:rsid w:val="00177085"/>
    <w:rsid w:val="001818C0"/>
    <w:rsid w:val="00186DD9"/>
    <w:rsid w:val="001907A2"/>
    <w:rsid w:val="001A1FB2"/>
    <w:rsid w:val="001A3483"/>
    <w:rsid w:val="001A73C2"/>
    <w:rsid w:val="001C3D8A"/>
    <w:rsid w:val="001D3FFC"/>
    <w:rsid w:val="001E3FD9"/>
    <w:rsid w:val="001E4A44"/>
    <w:rsid w:val="001F34FA"/>
    <w:rsid w:val="001F4AB5"/>
    <w:rsid w:val="0020060D"/>
    <w:rsid w:val="002258CE"/>
    <w:rsid w:val="00231CF5"/>
    <w:rsid w:val="00234510"/>
    <w:rsid w:val="00254C70"/>
    <w:rsid w:val="00254FD5"/>
    <w:rsid w:val="0025507F"/>
    <w:rsid w:val="00256875"/>
    <w:rsid w:val="00260E88"/>
    <w:rsid w:val="00263526"/>
    <w:rsid w:val="00266001"/>
    <w:rsid w:val="002660DC"/>
    <w:rsid w:val="00281B57"/>
    <w:rsid w:val="00282BFE"/>
    <w:rsid w:val="00286EC9"/>
    <w:rsid w:val="002877A0"/>
    <w:rsid w:val="00291FE6"/>
    <w:rsid w:val="00296A7D"/>
    <w:rsid w:val="002B03D4"/>
    <w:rsid w:val="002B3758"/>
    <w:rsid w:val="002C77D1"/>
    <w:rsid w:val="002D4C81"/>
    <w:rsid w:val="002E2BCB"/>
    <w:rsid w:val="002E55F5"/>
    <w:rsid w:val="00304B31"/>
    <w:rsid w:val="00305BD7"/>
    <w:rsid w:val="00321F49"/>
    <w:rsid w:val="00331FA4"/>
    <w:rsid w:val="0033638D"/>
    <w:rsid w:val="003446F5"/>
    <w:rsid w:val="00354BD3"/>
    <w:rsid w:val="003624CC"/>
    <w:rsid w:val="00366F87"/>
    <w:rsid w:val="00374994"/>
    <w:rsid w:val="00377319"/>
    <w:rsid w:val="00381219"/>
    <w:rsid w:val="00382561"/>
    <w:rsid w:val="0038299A"/>
    <w:rsid w:val="003868BA"/>
    <w:rsid w:val="003A1E95"/>
    <w:rsid w:val="003A26F8"/>
    <w:rsid w:val="003A37DD"/>
    <w:rsid w:val="003A5634"/>
    <w:rsid w:val="003A7F03"/>
    <w:rsid w:val="003A7FC9"/>
    <w:rsid w:val="003B45DD"/>
    <w:rsid w:val="003B4F79"/>
    <w:rsid w:val="003C7D8F"/>
    <w:rsid w:val="003D21E1"/>
    <w:rsid w:val="003D26F1"/>
    <w:rsid w:val="003D6DD2"/>
    <w:rsid w:val="003E3127"/>
    <w:rsid w:val="003E5109"/>
    <w:rsid w:val="003E5825"/>
    <w:rsid w:val="003F41BC"/>
    <w:rsid w:val="003F6C33"/>
    <w:rsid w:val="003F7299"/>
    <w:rsid w:val="00400BD4"/>
    <w:rsid w:val="00402917"/>
    <w:rsid w:val="004065B4"/>
    <w:rsid w:val="004139D6"/>
    <w:rsid w:val="004247BE"/>
    <w:rsid w:val="0043168F"/>
    <w:rsid w:val="00443111"/>
    <w:rsid w:val="00444C7C"/>
    <w:rsid w:val="004462E1"/>
    <w:rsid w:val="00460C40"/>
    <w:rsid w:val="00461D8E"/>
    <w:rsid w:val="00463677"/>
    <w:rsid w:val="004638D0"/>
    <w:rsid w:val="00463FFF"/>
    <w:rsid w:val="00465741"/>
    <w:rsid w:val="004775DC"/>
    <w:rsid w:val="00480938"/>
    <w:rsid w:val="00481C52"/>
    <w:rsid w:val="004867B3"/>
    <w:rsid w:val="00486CB1"/>
    <w:rsid w:val="00487135"/>
    <w:rsid w:val="004902FF"/>
    <w:rsid w:val="0049673F"/>
    <w:rsid w:val="004A31FE"/>
    <w:rsid w:val="004A336E"/>
    <w:rsid w:val="004A4E24"/>
    <w:rsid w:val="004B0F6F"/>
    <w:rsid w:val="004B45CC"/>
    <w:rsid w:val="004B62CE"/>
    <w:rsid w:val="004B7E45"/>
    <w:rsid w:val="004C0C71"/>
    <w:rsid w:val="004D7C8E"/>
    <w:rsid w:val="004E4532"/>
    <w:rsid w:val="004F0CAF"/>
    <w:rsid w:val="004F46F3"/>
    <w:rsid w:val="004F5BC6"/>
    <w:rsid w:val="004F6C3C"/>
    <w:rsid w:val="0050155C"/>
    <w:rsid w:val="00510A88"/>
    <w:rsid w:val="005126BD"/>
    <w:rsid w:val="00516A54"/>
    <w:rsid w:val="005241AD"/>
    <w:rsid w:val="0055190F"/>
    <w:rsid w:val="005545D9"/>
    <w:rsid w:val="0055572F"/>
    <w:rsid w:val="005560AE"/>
    <w:rsid w:val="00557485"/>
    <w:rsid w:val="005606BD"/>
    <w:rsid w:val="005650C1"/>
    <w:rsid w:val="00565311"/>
    <w:rsid w:val="00574D3B"/>
    <w:rsid w:val="005825CB"/>
    <w:rsid w:val="00583090"/>
    <w:rsid w:val="00584203"/>
    <w:rsid w:val="00586910"/>
    <w:rsid w:val="005B41CC"/>
    <w:rsid w:val="005C0D87"/>
    <w:rsid w:val="005C141D"/>
    <w:rsid w:val="005D0B56"/>
    <w:rsid w:val="005D6989"/>
    <w:rsid w:val="005E4ED5"/>
    <w:rsid w:val="005F3B1F"/>
    <w:rsid w:val="006008B7"/>
    <w:rsid w:val="006027A5"/>
    <w:rsid w:val="006057B7"/>
    <w:rsid w:val="00610293"/>
    <w:rsid w:val="00611F10"/>
    <w:rsid w:val="00617E0C"/>
    <w:rsid w:val="00620C8C"/>
    <w:rsid w:val="006212DE"/>
    <w:rsid w:val="0062194D"/>
    <w:rsid w:val="006221E5"/>
    <w:rsid w:val="00622B74"/>
    <w:rsid w:val="00626D10"/>
    <w:rsid w:val="00627166"/>
    <w:rsid w:val="00631837"/>
    <w:rsid w:val="00632753"/>
    <w:rsid w:val="00654CC5"/>
    <w:rsid w:val="006554A8"/>
    <w:rsid w:val="0066284D"/>
    <w:rsid w:val="00670BC2"/>
    <w:rsid w:val="00673539"/>
    <w:rsid w:val="006742B5"/>
    <w:rsid w:val="00681D54"/>
    <w:rsid w:val="00682237"/>
    <w:rsid w:val="00693E97"/>
    <w:rsid w:val="00696F7E"/>
    <w:rsid w:val="006A0557"/>
    <w:rsid w:val="006A3B73"/>
    <w:rsid w:val="006A6ED3"/>
    <w:rsid w:val="006B01A6"/>
    <w:rsid w:val="006B0AD2"/>
    <w:rsid w:val="006B0BE6"/>
    <w:rsid w:val="006B443B"/>
    <w:rsid w:val="006C0F83"/>
    <w:rsid w:val="006D0C85"/>
    <w:rsid w:val="006D15B3"/>
    <w:rsid w:val="006D27DF"/>
    <w:rsid w:val="006D72E2"/>
    <w:rsid w:val="006E0327"/>
    <w:rsid w:val="006E2E99"/>
    <w:rsid w:val="006E340F"/>
    <w:rsid w:val="006E4837"/>
    <w:rsid w:val="006E7D2E"/>
    <w:rsid w:val="006F0143"/>
    <w:rsid w:val="006F3353"/>
    <w:rsid w:val="006F65AB"/>
    <w:rsid w:val="00705665"/>
    <w:rsid w:val="00705E75"/>
    <w:rsid w:val="00711478"/>
    <w:rsid w:val="0071479F"/>
    <w:rsid w:val="00714DB3"/>
    <w:rsid w:val="007162DB"/>
    <w:rsid w:val="00716F61"/>
    <w:rsid w:val="00717727"/>
    <w:rsid w:val="00722E4A"/>
    <w:rsid w:val="00724E15"/>
    <w:rsid w:val="007445A7"/>
    <w:rsid w:val="00746ABA"/>
    <w:rsid w:val="00747156"/>
    <w:rsid w:val="007551C7"/>
    <w:rsid w:val="00761B32"/>
    <w:rsid w:val="00764D6F"/>
    <w:rsid w:val="00765669"/>
    <w:rsid w:val="00766064"/>
    <w:rsid w:val="00766B55"/>
    <w:rsid w:val="00775EF2"/>
    <w:rsid w:val="00790E71"/>
    <w:rsid w:val="00791F65"/>
    <w:rsid w:val="007928E4"/>
    <w:rsid w:val="00796958"/>
    <w:rsid w:val="007A0031"/>
    <w:rsid w:val="007A725D"/>
    <w:rsid w:val="007B07F3"/>
    <w:rsid w:val="007B59D9"/>
    <w:rsid w:val="007B6EEA"/>
    <w:rsid w:val="007B70CD"/>
    <w:rsid w:val="007C3571"/>
    <w:rsid w:val="007D058E"/>
    <w:rsid w:val="007D5516"/>
    <w:rsid w:val="007E5676"/>
    <w:rsid w:val="007F7097"/>
    <w:rsid w:val="0080011A"/>
    <w:rsid w:val="008106D0"/>
    <w:rsid w:val="00813DFF"/>
    <w:rsid w:val="00813E77"/>
    <w:rsid w:val="00815065"/>
    <w:rsid w:val="0081627E"/>
    <w:rsid w:val="00816FBC"/>
    <w:rsid w:val="00820EA3"/>
    <w:rsid w:val="00823357"/>
    <w:rsid w:val="00833D64"/>
    <w:rsid w:val="00833FAA"/>
    <w:rsid w:val="0084784F"/>
    <w:rsid w:val="00852842"/>
    <w:rsid w:val="00853151"/>
    <w:rsid w:val="00870D24"/>
    <w:rsid w:val="008762FB"/>
    <w:rsid w:val="00890662"/>
    <w:rsid w:val="0089109E"/>
    <w:rsid w:val="00897DA7"/>
    <w:rsid w:val="008A2575"/>
    <w:rsid w:val="008B1745"/>
    <w:rsid w:val="008B6B39"/>
    <w:rsid w:val="008B78BE"/>
    <w:rsid w:val="008C2A69"/>
    <w:rsid w:val="008C40C9"/>
    <w:rsid w:val="008D5072"/>
    <w:rsid w:val="008D51F9"/>
    <w:rsid w:val="008D7D57"/>
    <w:rsid w:val="008E4ED6"/>
    <w:rsid w:val="008E5B07"/>
    <w:rsid w:val="008F0237"/>
    <w:rsid w:val="008F252C"/>
    <w:rsid w:val="008F3EEE"/>
    <w:rsid w:val="008F7A7D"/>
    <w:rsid w:val="009007C5"/>
    <w:rsid w:val="00910EC5"/>
    <w:rsid w:val="00911A37"/>
    <w:rsid w:val="00917D67"/>
    <w:rsid w:val="00932FEB"/>
    <w:rsid w:val="009431FE"/>
    <w:rsid w:val="009440D4"/>
    <w:rsid w:val="00954610"/>
    <w:rsid w:val="00966035"/>
    <w:rsid w:val="00967E5A"/>
    <w:rsid w:val="00973118"/>
    <w:rsid w:val="00974182"/>
    <w:rsid w:val="00974AF4"/>
    <w:rsid w:val="00977036"/>
    <w:rsid w:val="00984351"/>
    <w:rsid w:val="00984F09"/>
    <w:rsid w:val="00985066"/>
    <w:rsid w:val="00987790"/>
    <w:rsid w:val="00995B6B"/>
    <w:rsid w:val="009A61AA"/>
    <w:rsid w:val="009B39F1"/>
    <w:rsid w:val="009B461A"/>
    <w:rsid w:val="009B5740"/>
    <w:rsid w:val="009B6704"/>
    <w:rsid w:val="009C0C36"/>
    <w:rsid w:val="009D6081"/>
    <w:rsid w:val="00A0014D"/>
    <w:rsid w:val="00A0255A"/>
    <w:rsid w:val="00A0387D"/>
    <w:rsid w:val="00A0629E"/>
    <w:rsid w:val="00A1020C"/>
    <w:rsid w:val="00A14108"/>
    <w:rsid w:val="00A157F3"/>
    <w:rsid w:val="00A223E5"/>
    <w:rsid w:val="00A35CD4"/>
    <w:rsid w:val="00A418D2"/>
    <w:rsid w:val="00A477D6"/>
    <w:rsid w:val="00A516B0"/>
    <w:rsid w:val="00A54490"/>
    <w:rsid w:val="00A73F96"/>
    <w:rsid w:val="00A74D4E"/>
    <w:rsid w:val="00A80176"/>
    <w:rsid w:val="00A812ED"/>
    <w:rsid w:val="00AA0610"/>
    <w:rsid w:val="00AA0E82"/>
    <w:rsid w:val="00AA54C2"/>
    <w:rsid w:val="00AB0966"/>
    <w:rsid w:val="00AB1EDE"/>
    <w:rsid w:val="00AB3BD1"/>
    <w:rsid w:val="00AB5F4F"/>
    <w:rsid w:val="00AB7856"/>
    <w:rsid w:val="00AC30B1"/>
    <w:rsid w:val="00AE0ACA"/>
    <w:rsid w:val="00AE117A"/>
    <w:rsid w:val="00AF2D32"/>
    <w:rsid w:val="00B01347"/>
    <w:rsid w:val="00B046B6"/>
    <w:rsid w:val="00B05616"/>
    <w:rsid w:val="00B0566D"/>
    <w:rsid w:val="00B14590"/>
    <w:rsid w:val="00B3560F"/>
    <w:rsid w:val="00B4082B"/>
    <w:rsid w:val="00B44167"/>
    <w:rsid w:val="00B76226"/>
    <w:rsid w:val="00B856D0"/>
    <w:rsid w:val="00B862F4"/>
    <w:rsid w:val="00B87A12"/>
    <w:rsid w:val="00BA0AAD"/>
    <w:rsid w:val="00BA7E8A"/>
    <w:rsid w:val="00BB3F3B"/>
    <w:rsid w:val="00BB5AD5"/>
    <w:rsid w:val="00BB7860"/>
    <w:rsid w:val="00BB7D3F"/>
    <w:rsid w:val="00BC26B3"/>
    <w:rsid w:val="00BC4F78"/>
    <w:rsid w:val="00BC7204"/>
    <w:rsid w:val="00BD2E1C"/>
    <w:rsid w:val="00BD74CC"/>
    <w:rsid w:val="00BD77B9"/>
    <w:rsid w:val="00BE0A5C"/>
    <w:rsid w:val="00BE74B6"/>
    <w:rsid w:val="00BF363F"/>
    <w:rsid w:val="00BF458D"/>
    <w:rsid w:val="00C043B8"/>
    <w:rsid w:val="00C22C47"/>
    <w:rsid w:val="00C23859"/>
    <w:rsid w:val="00C25691"/>
    <w:rsid w:val="00C417ED"/>
    <w:rsid w:val="00C46419"/>
    <w:rsid w:val="00C50E1F"/>
    <w:rsid w:val="00C54D2F"/>
    <w:rsid w:val="00C567C2"/>
    <w:rsid w:val="00C611B4"/>
    <w:rsid w:val="00C62002"/>
    <w:rsid w:val="00C63560"/>
    <w:rsid w:val="00C67224"/>
    <w:rsid w:val="00C71DFE"/>
    <w:rsid w:val="00C75652"/>
    <w:rsid w:val="00C76865"/>
    <w:rsid w:val="00C80FC6"/>
    <w:rsid w:val="00C846F6"/>
    <w:rsid w:val="00C9148E"/>
    <w:rsid w:val="00C92445"/>
    <w:rsid w:val="00C96332"/>
    <w:rsid w:val="00CA365A"/>
    <w:rsid w:val="00CA475D"/>
    <w:rsid w:val="00CA54BF"/>
    <w:rsid w:val="00CA6E8F"/>
    <w:rsid w:val="00CB3006"/>
    <w:rsid w:val="00CB5566"/>
    <w:rsid w:val="00CC475B"/>
    <w:rsid w:val="00CC7AD7"/>
    <w:rsid w:val="00CE4ED1"/>
    <w:rsid w:val="00CE550F"/>
    <w:rsid w:val="00CE67CB"/>
    <w:rsid w:val="00CE7647"/>
    <w:rsid w:val="00CE7D6F"/>
    <w:rsid w:val="00CF26A8"/>
    <w:rsid w:val="00CF2E7E"/>
    <w:rsid w:val="00D037EE"/>
    <w:rsid w:val="00D062D2"/>
    <w:rsid w:val="00D122E1"/>
    <w:rsid w:val="00D15C5B"/>
    <w:rsid w:val="00D20A55"/>
    <w:rsid w:val="00D22103"/>
    <w:rsid w:val="00D23F1A"/>
    <w:rsid w:val="00D23F3D"/>
    <w:rsid w:val="00D27501"/>
    <w:rsid w:val="00D349BC"/>
    <w:rsid w:val="00D359B9"/>
    <w:rsid w:val="00D42872"/>
    <w:rsid w:val="00D42AB6"/>
    <w:rsid w:val="00D4703A"/>
    <w:rsid w:val="00D53461"/>
    <w:rsid w:val="00D6067E"/>
    <w:rsid w:val="00D64A4F"/>
    <w:rsid w:val="00D6703D"/>
    <w:rsid w:val="00D7381C"/>
    <w:rsid w:val="00D75135"/>
    <w:rsid w:val="00D762E0"/>
    <w:rsid w:val="00D77ADD"/>
    <w:rsid w:val="00D80829"/>
    <w:rsid w:val="00D85480"/>
    <w:rsid w:val="00D91C7A"/>
    <w:rsid w:val="00D928C4"/>
    <w:rsid w:val="00DA069A"/>
    <w:rsid w:val="00DA2933"/>
    <w:rsid w:val="00DA3099"/>
    <w:rsid w:val="00DA7815"/>
    <w:rsid w:val="00DB7355"/>
    <w:rsid w:val="00DC0217"/>
    <w:rsid w:val="00DC6141"/>
    <w:rsid w:val="00DD6262"/>
    <w:rsid w:val="00DE0201"/>
    <w:rsid w:val="00DE5886"/>
    <w:rsid w:val="00DF070B"/>
    <w:rsid w:val="00DF2CAE"/>
    <w:rsid w:val="00E03390"/>
    <w:rsid w:val="00E065B5"/>
    <w:rsid w:val="00E06E27"/>
    <w:rsid w:val="00E11BA9"/>
    <w:rsid w:val="00E12304"/>
    <w:rsid w:val="00E20942"/>
    <w:rsid w:val="00E24FCE"/>
    <w:rsid w:val="00E24FE3"/>
    <w:rsid w:val="00E2560F"/>
    <w:rsid w:val="00E37182"/>
    <w:rsid w:val="00E4336D"/>
    <w:rsid w:val="00E47D27"/>
    <w:rsid w:val="00E60B93"/>
    <w:rsid w:val="00E65899"/>
    <w:rsid w:val="00E666B1"/>
    <w:rsid w:val="00E71B20"/>
    <w:rsid w:val="00E75CE7"/>
    <w:rsid w:val="00E8016D"/>
    <w:rsid w:val="00E824C4"/>
    <w:rsid w:val="00E8291A"/>
    <w:rsid w:val="00E877D4"/>
    <w:rsid w:val="00E879F5"/>
    <w:rsid w:val="00E94F03"/>
    <w:rsid w:val="00EA0064"/>
    <w:rsid w:val="00EA2671"/>
    <w:rsid w:val="00EA4CF0"/>
    <w:rsid w:val="00EC2349"/>
    <w:rsid w:val="00EC2FA0"/>
    <w:rsid w:val="00ED7B84"/>
    <w:rsid w:val="00ED7FFE"/>
    <w:rsid w:val="00EE2E4B"/>
    <w:rsid w:val="00EE771A"/>
    <w:rsid w:val="00EF1E67"/>
    <w:rsid w:val="00EF5B48"/>
    <w:rsid w:val="00EF6C9E"/>
    <w:rsid w:val="00EF7101"/>
    <w:rsid w:val="00EF7224"/>
    <w:rsid w:val="00F01ABB"/>
    <w:rsid w:val="00F06485"/>
    <w:rsid w:val="00F10CEE"/>
    <w:rsid w:val="00F15215"/>
    <w:rsid w:val="00F155EB"/>
    <w:rsid w:val="00F17299"/>
    <w:rsid w:val="00F309AE"/>
    <w:rsid w:val="00F30E5F"/>
    <w:rsid w:val="00F34CD1"/>
    <w:rsid w:val="00F364F0"/>
    <w:rsid w:val="00F41B6C"/>
    <w:rsid w:val="00F6371E"/>
    <w:rsid w:val="00F70C1F"/>
    <w:rsid w:val="00F71D90"/>
    <w:rsid w:val="00F83BC6"/>
    <w:rsid w:val="00F867E2"/>
    <w:rsid w:val="00F95E6C"/>
    <w:rsid w:val="00FA0DA4"/>
    <w:rsid w:val="00FA1C10"/>
    <w:rsid w:val="00FA77AE"/>
    <w:rsid w:val="00FB390F"/>
    <w:rsid w:val="00FC266C"/>
    <w:rsid w:val="00FC4355"/>
    <w:rsid w:val="00FD58CE"/>
    <w:rsid w:val="00FD74CF"/>
    <w:rsid w:val="00FD7650"/>
    <w:rsid w:val="00FE09BE"/>
    <w:rsid w:val="00FE5C94"/>
    <w:rsid w:val="00FF2F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AB59A"/>
  <w15:chartTrackingRefBased/>
  <w15:docId w15:val="{4AD370A7-F8EB-47C0-887A-FDE54EDB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A055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9B461A"/>
    <w:pPr>
      <w:ind w:left="720"/>
      <w:contextualSpacing/>
    </w:pPr>
  </w:style>
  <w:style w:type="character" w:customStyle="1" w:styleId="element-citation">
    <w:name w:val="element-citation"/>
    <w:basedOn w:val="DefaultParagraphFont"/>
    <w:rsid w:val="009B461A"/>
  </w:style>
  <w:style w:type="paragraph" w:styleId="z-TopofForm">
    <w:name w:val="HTML Top of Form"/>
    <w:basedOn w:val="Normal"/>
    <w:next w:val="Normal"/>
    <w:link w:val="z-TopofFormChar"/>
    <w:hidden/>
    <w:uiPriority w:val="99"/>
    <w:semiHidden/>
    <w:unhideWhenUsed/>
    <w:rsid w:val="001316E6"/>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1316E6"/>
    <w:rPr>
      <w:rFonts w:ascii="Arial" w:eastAsia="Times New Roman" w:hAnsi="Arial" w:cs="Arial"/>
      <w:vanish/>
      <w:kern w:val="0"/>
      <w:sz w:val="16"/>
      <w:szCs w:val="16"/>
      <w:lang w:eastAsia="en-IN"/>
      <w14:ligatures w14:val="none"/>
    </w:rPr>
  </w:style>
  <w:style w:type="paragraph" w:styleId="z-BottomofForm">
    <w:name w:val="HTML Bottom of Form"/>
    <w:basedOn w:val="Normal"/>
    <w:next w:val="Normal"/>
    <w:link w:val="z-BottomofFormChar"/>
    <w:hidden/>
    <w:uiPriority w:val="99"/>
    <w:semiHidden/>
    <w:unhideWhenUsed/>
    <w:rsid w:val="001316E6"/>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1316E6"/>
    <w:rPr>
      <w:rFonts w:ascii="Arial" w:eastAsia="Times New Roman" w:hAnsi="Arial" w:cs="Arial"/>
      <w:vanish/>
      <w:kern w:val="0"/>
      <w:sz w:val="16"/>
      <w:szCs w:val="16"/>
      <w:lang w:eastAsia="en-IN"/>
      <w14:ligatures w14:val="none"/>
    </w:rPr>
  </w:style>
  <w:style w:type="character" w:styleId="Strong">
    <w:name w:val="Strong"/>
    <w:basedOn w:val="DefaultParagraphFont"/>
    <w:uiPriority w:val="22"/>
    <w:qFormat/>
    <w:rsid w:val="00974AF4"/>
    <w:rPr>
      <w:b/>
      <w:bCs/>
    </w:rPr>
  </w:style>
  <w:style w:type="character" w:customStyle="1" w:styleId="ref-journal">
    <w:name w:val="ref-journal"/>
    <w:basedOn w:val="DefaultParagraphFont"/>
    <w:rsid w:val="00381219"/>
  </w:style>
  <w:style w:type="character" w:customStyle="1" w:styleId="ref-vol">
    <w:name w:val="ref-vol"/>
    <w:basedOn w:val="DefaultParagraphFont"/>
    <w:rsid w:val="00381219"/>
  </w:style>
  <w:style w:type="character" w:customStyle="1" w:styleId="mixed-citation">
    <w:name w:val="mixed-citation"/>
    <w:basedOn w:val="DefaultParagraphFont"/>
    <w:rsid w:val="00381219"/>
  </w:style>
  <w:style w:type="character" w:styleId="Hyperlink">
    <w:name w:val="Hyperlink"/>
    <w:basedOn w:val="DefaultParagraphFont"/>
    <w:uiPriority w:val="99"/>
    <w:unhideWhenUsed/>
    <w:rsid w:val="00486CB1"/>
    <w:rPr>
      <w:color w:val="0563C1" w:themeColor="hyperlink"/>
      <w:u w:val="single"/>
    </w:rPr>
  </w:style>
  <w:style w:type="character" w:styleId="UnresolvedMention">
    <w:name w:val="Unresolved Mention"/>
    <w:basedOn w:val="DefaultParagraphFont"/>
    <w:uiPriority w:val="99"/>
    <w:semiHidden/>
    <w:unhideWhenUsed/>
    <w:rsid w:val="00486CB1"/>
    <w:rPr>
      <w:color w:val="605E5C"/>
      <w:shd w:val="clear" w:color="auto" w:fill="E1DFDD"/>
    </w:rPr>
  </w:style>
  <w:style w:type="paragraph" w:styleId="Header">
    <w:name w:val="header"/>
    <w:basedOn w:val="Normal"/>
    <w:link w:val="HeaderChar"/>
    <w:uiPriority w:val="99"/>
    <w:unhideWhenUsed/>
    <w:rsid w:val="00D92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8C4"/>
  </w:style>
  <w:style w:type="paragraph" w:styleId="Footer">
    <w:name w:val="footer"/>
    <w:basedOn w:val="Normal"/>
    <w:link w:val="FooterChar"/>
    <w:uiPriority w:val="99"/>
    <w:unhideWhenUsed/>
    <w:rsid w:val="00D92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8796">
      <w:bodyDiv w:val="1"/>
      <w:marLeft w:val="0"/>
      <w:marRight w:val="0"/>
      <w:marTop w:val="0"/>
      <w:marBottom w:val="0"/>
      <w:divBdr>
        <w:top w:val="none" w:sz="0" w:space="0" w:color="auto"/>
        <w:left w:val="none" w:sz="0" w:space="0" w:color="auto"/>
        <w:bottom w:val="none" w:sz="0" w:space="0" w:color="auto"/>
        <w:right w:val="none" w:sz="0" w:space="0" w:color="auto"/>
      </w:divBdr>
      <w:divsChild>
        <w:div w:id="603271498">
          <w:marLeft w:val="0"/>
          <w:marRight w:val="0"/>
          <w:marTop w:val="0"/>
          <w:marBottom w:val="0"/>
          <w:divBdr>
            <w:top w:val="none" w:sz="0" w:space="0" w:color="auto"/>
            <w:left w:val="none" w:sz="0" w:space="0" w:color="auto"/>
            <w:bottom w:val="none" w:sz="0" w:space="0" w:color="auto"/>
            <w:right w:val="none" w:sz="0" w:space="0" w:color="auto"/>
          </w:divBdr>
          <w:divsChild>
            <w:div w:id="1664048702">
              <w:marLeft w:val="0"/>
              <w:marRight w:val="0"/>
              <w:marTop w:val="0"/>
              <w:marBottom w:val="0"/>
              <w:divBdr>
                <w:top w:val="none" w:sz="0" w:space="0" w:color="auto"/>
                <w:left w:val="none" w:sz="0" w:space="0" w:color="auto"/>
                <w:bottom w:val="none" w:sz="0" w:space="0" w:color="auto"/>
                <w:right w:val="none" w:sz="0" w:space="0" w:color="auto"/>
              </w:divBdr>
              <w:divsChild>
                <w:div w:id="1645423905">
                  <w:marLeft w:val="0"/>
                  <w:marRight w:val="0"/>
                  <w:marTop w:val="0"/>
                  <w:marBottom w:val="0"/>
                  <w:divBdr>
                    <w:top w:val="none" w:sz="0" w:space="0" w:color="auto"/>
                    <w:left w:val="none" w:sz="0" w:space="0" w:color="auto"/>
                    <w:bottom w:val="none" w:sz="0" w:space="0" w:color="auto"/>
                    <w:right w:val="none" w:sz="0" w:space="0" w:color="auto"/>
                  </w:divBdr>
                  <w:divsChild>
                    <w:div w:id="1386370453">
                      <w:marLeft w:val="0"/>
                      <w:marRight w:val="0"/>
                      <w:marTop w:val="0"/>
                      <w:marBottom w:val="0"/>
                      <w:divBdr>
                        <w:top w:val="none" w:sz="0" w:space="0" w:color="auto"/>
                        <w:left w:val="none" w:sz="0" w:space="0" w:color="auto"/>
                        <w:bottom w:val="none" w:sz="0" w:space="0" w:color="auto"/>
                        <w:right w:val="none" w:sz="0" w:space="0" w:color="auto"/>
                      </w:divBdr>
                      <w:divsChild>
                        <w:div w:id="1561205587">
                          <w:marLeft w:val="0"/>
                          <w:marRight w:val="0"/>
                          <w:marTop w:val="0"/>
                          <w:marBottom w:val="0"/>
                          <w:divBdr>
                            <w:top w:val="none" w:sz="0" w:space="0" w:color="auto"/>
                            <w:left w:val="none" w:sz="0" w:space="0" w:color="auto"/>
                            <w:bottom w:val="none" w:sz="0" w:space="0" w:color="auto"/>
                            <w:right w:val="none" w:sz="0" w:space="0" w:color="auto"/>
                          </w:divBdr>
                          <w:divsChild>
                            <w:div w:id="2081826070">
                              <w:marLeft w:val="0"/>
                              <w:marRight w:val="0"/>
                              <w:marTop w:val="0"/>
                              <w:marBottom w:val="0"/>
                              <w:divBdr>
                                <w:top w:val="none" w:sz="0" w:space="0" w:color="auto"/>
                                <w:left w:val="none" w:sz="0" w:space="0" w:color="auto"/>
                                <w:bottom w:val="none" w:sz="0" w:space="0" w:color="auto"/>
                                <w:right w:val="none" w:sz="0" w:space="0" w:color="auto"/>
                              </w:divBdr>
                              <w:divsChild>
                                <w:div w:id="2048216896">
                                  <w:marLeft w:val="0"/>
                                  <w:marRight w:val="0"/>
                                  <w:marTop w:val="0"/>
                                  <w:marBottom w:val="0"/>
                                  <w:divBdr>
                                    <w:top w:val="none" w:sz="0" w:space="0" w:color="auto"/>
                                    <w:left w:val="none" w:sz="0" w:space="0" w:color="auto"/>
                                    <w:bottom w:val="none" w:sz="0" w:space="0" w:color="auto"/>
                                    <w:right w:val="none" w:sz="0" w:space="0" w:color="auto"/>
                                  </w:divBdr>
                                  <w:divsChild>
                                    <w:div w:id="109712725">
                                      <w:marLeft w:val="0"/>
                                      <w:marRight w:val="0"/>
                                      <w:marTop w:val="0"/>
                                      <w:marBottom w:val="0"/>
                                      <w:divBdr>
                                        <w:top w:val="none" w:sz="0" w:space="0" w:color="auto"/>
                                        <w:left w:val="none" w:sz="0" w:space="0" w:color="auto"/>
                                        <w:bottom w:val="none" w:sz="0" w:space="0" w:color="auto"/>
                                        <w:right w:val="none" w:sz="0" w:space="0" w:color="auto"/>
                                      </w:divBdr>
                                      <w:divsChild>
                                        <w:div w:id="1036853133">
                                          <w:marLeft w:val="0"/>
                                          <w:marRight w:val="0"/>
                                          <w:marTop w:val="0"/>
                                          <w:marBottom w:val="0"/>
                                          <w:divBdr>
                                            <w:top w:val="none" w:sz="0" w:space="0" w:color="auto"/>
                                            <w:left w:val="none" w:sz="0" w:space="0" w:color="auto"/>
                                            <w:bottom w:val="none" w:sz="0" w:space="0" w:color="auto"/>
                                            <w:right w:val="none" w:sz="0" w:space="0" w:color="auto"/>
                                          </w:divBdr>
                                          <w:divsChild>
                                            <w:div w:id="1363746109">
                                              <w:marLeft w:val="0"/>
                                              <w:marRight w:val="0"/>
                                              <w:marTop w:val="0"/>
                                              <w:marBottom w:val="0"/>
                                              <w:divBdr>
                                                <w:top w:val="none" w:sz="0" w:space="0" w:color="auto"/>
                                                <w:left w:val="none" w:sz="0" w:space="0" w:color="auto"/>
                                                <w:bottom w:val="none" w:sz="0" w:space="0" w:color="auto"/>
                                                <w:right w:val="none" w:sz="0" w:space="0" w:color="auto"/>
                                              </w:divBdr>
                                              <w:divsChild>
                                                <w:div w:id="1322387005">
                                                  <w:marLeft w:val="0"/>
                                                  <w:marRight w:val="0"/>
                                                  <w:marTop w:val="0"/>
                                                  <w:marBottom w:val="0"/>
                                                  <w:divBdr>
                                                    <w:top w:val="none" w:sz="0" w:space="0" w:color="auto"/>
                                                    <w:left w:val="none" w:sz="0" w:space="0" w:color="auto"/>
                                                    <w:bottom w:val="none" w:sz="0" w:space="0" w:color="auto"/>
                                                    <w:right w:val="none" w:sz="0" w:space="0" w:color="auto"/>
                                                  </w:divBdr>
                                                  <w:divsChild>
                                                    <w:div w:id="195656614">
                                                      <w:marLeft w:val="0"/>
                                                      <w:marRight w:val="0"/>
                                                      <w:marTop w:val="0"/>
                                                      <w:marBottom w:val="0"/>
                                                      <w:divBdr>
                                                        <w:top w:val="none" w:sz="0" w:space="0" w:color="auto"/>
                                                        <w:left w:val="none" w:sz="0" w:space="0" w:color="auto"/>
                                                        <w:bottom w:val="none" w:sz="0" w:space="0" w:color="auto"/>
                                                        <w:right w:val="none" w:sz="0" w:space="0" w:color="auto"/>
                                                      </w:divBdr>
                                                      <w:divsChild>
                                                        <w:div w:id="1444835947">
                                                          <w:marLeft w:val="0"/>
                                                          <w:marRight w:val="0"/>
                                                          <w:marTop w:val="0"/>
                                                          <w:marBottom w:val="0"/>
                                                          <w:divBdr>
                                                            <w:top w:val="none" w:sz="0" w:space="0" w:color="auto"/>
                                                            <w:left w:val="none" w:sz="0" w:space="0" w:color="auto"/>
                                                            <w:bottom w:val="none" w:sz="0" w:space="0" w:color="auto"/>
                                                            <w:right w:val="none" w:sz="0" w:space="0" w:color="auto"/>
                                                          </w:divBdr>
                                                          <w:divsChild>
                                                            <w:div w:id="4416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025286">
          <w:marLeft w:val="0"/>
          <w:marRight w:val="0"/>
          <w:marTop w:val="0"/>
          <w:marBottom w:val="0"/>
          <w:divBdr>
            <w:top w:val="none" w:sz="0" w:space="0" w:color="auto"/>
            <w:left w:val="none" w:sz="0" w:space="0" w:color="auto"/>
            <w:bottom w:val="none" w:sz="0" w:space="0" w:color="auto"/>
            <w:right w:val="none" w:sz="0" w:space="0" w:color="auto"/>
          </w:divBdr>
          <w:divsChild>
            <w:div w:id="454057947">
              <w:marLeft w:val="0"/>
              <w:marRight w:val="0"/>
              <w:marTop w:val="0"/>
              <w:marBottom w:val="0"/>
              <w:divBdr>
                <w:top w:val="none" w:sz="0" w:space="0" w:color="auto"/>
                <w:left w:val="none" w:sz="0" w:space="0" w:color="auto"/>
                <w:bottom w:val="none" w:sz="0" w:space="0" w:color="auto"/>
                <w:right w:val="none" w:sz="0" w:space="0" w:color="auto"/>
              </w:divBdr>
              <w:divsChild>
                <w:div w:id="721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92">
      <w:bodyDiv w:val="1"/>
      <w:marLeft w:val="0"/>
      <w:marRight w:val="0"/>
      <w:marTop w:val="0"/>
      <w:marBottom w:val="0"/>
      <w:divBdr>
        <w:top w:val="none" w:sz="0" w:space="0" w:color="auto"/>
        <w:left w:val="none" w:sz="0" w:space="0" w:color="auto"/>
        <w:bottom w:val="none" w:sz="0" w:space="0" w:color="auto"/>
        <w:right w:val="none" w:sz="0" w:space="0" w:color="auto"/>
      </w:divBdr>
    </w:div>
    <w:div w:id="97215861">
      <w:bodyDiv w:val="1"/>
      <w:marLeft w:val="0"/>
      <w:marRight w:val="0"/>
      <w:marTop w:val="0"/>
      <w:marBottom w:val="0"/>
      <w:divBdr>
        <w:top w:val="none" w:sz="0" w:space="0" w:color="auto"/>
        <w:left w:val="none" w:sz="0" w:space="0" w:color="auto"/>
        <w:bottom w:val="none" w:sz="0" w:space="0" w:color="auto"/>
        <w:right w:val="none" w:sz="0" w:space="0" w:color="auto"/>
      </w:divBdr>
    </w:div>
    <w:div w:id="163787622">
      <w:bodyDiv w:val="1"/>
      <w:marLeft w:val="0"/>
      <w:marRight w:val="0"/>
      <w:marTop w:val="0"/>
      <w:marBottom w:val="0"/>
      <w:divBdr>
        <w:top w:val="none" w:sz="0" w:space="0" w:color="auto"/>
        <w:left w:val="none" w:sz="0" w:space="0" w:color="auto"/>
        <w:bottom w:val="none" w:sz="0" w:space="0" w:color="auto"/>
        <w:right w:val="none" w:sz="0" w:space="0" w:color="auto"/>
      </w:divBdr>
    </w:div>
    <w:div w:id="263461499">
      <w:bodyDiv w:val="1"/>
      <w:marLeft w:val="0"/>
      <w:marRight w:val="0"/>
      <w:marTop w:val="0"/>
      <w:marBottom w:val="0"/>
      <w:divBdr>
        <w:top w:val="none" w:sz="0" w:space="0" w:color="auto"/>
        <w:left w:val="none" w:sz="0" w:space="0" w:color="auto"/>
        <w:bottom w:val="none" w:sz="0" w:space="0" w:color="auto"/>
        <w:right w:val="none" w:sz="0" w:space="0" w:color="auto"/>
      </w:divBdr>
    </w:div>
    <w:div w:id="264113835">
      <w:bodyDiv w:val="1"/>
      <w:marLeft w:val="0"/>
      <w:marRight w:val="0"/>
      <w:marTop w:val="0"/>
      <w:marBottom w:val="0"/>
      <w:divBdr>
        <w:top w:val="none" w:sz="0" w:space="0" w:color="auto"/>
        <w:left w:val="none" w:sz="0" w:space="0" w:color="auto"/>
        <w:bottom w:val="none" w:sz="0" w:space="0" w:color="auto"/>
        <w:right w:val="none" w:sz="0" w:space="0" w:color="auto"/>
      </w:divBdr>
    </w:div>
    <w:div w:id="362827370">
      <w:bodyDiv w:val="1"/>
      <w:marLeft w:val="0"/>
      <w:marRight w:val="0"/>
      <w:marTop w:val="0"/>
      <w:marBottom w:val="0"/>
      <w:divBdr>
        <w:top w:val="none" w:sz="0" w:space="0" w:color="auto"/>
        <w:left w:val="none" w:sz="0" w:space="0" w:color="auto"/>
        <w:bottom w:val="none" w:sz="0" w:space="0" w:color="auto"/>
        <w:right w:val="none" w:sz="0" w:space="0" w:color="auto"/>
      </w:divBdr>
      <w:divsChild>
        <w:div w:id="1678117935">
          <w:marLeft w:val="0"/>
          <w:marRight w:val="0"/>
          <w:marTop w:val="0"/>
          <w:marBottom w:val="0"/>
          <w:divBdr>
            <w:top w:val="none" w:sz="0" w:space="0" w:color="auto"/>
            <w:left w:val="none" w:sz="0" w:space="0" w:color="auto"/>
            <w:bottom w:val="none" w:sz="0" w:space="0" w:color="auto"/>
            <w:right w:val="none" w:sz="0" w:space="0" w:color="auto"/>
          </w:divBdr>
          <w:divsChild>
            <w:div w:id="2134472294">
              <w:marLeft w:val="0"/>
              <w:marRight w:val="0"/>
              <w:marTop w:val="0"/>
              <w:marBottom w:val="0"/>
              <w:divBdr>
                <w:top w:val="none" w:sz="0" w:space="0" w:color="auto"/>
                <w:left w:val="none" w:sz="0" w:space="0" w:color="auto"/>
                <w:bottom w:val="none" w:sz="0" w:space="0" w:color="auto"/>
                <w:right w:val="none" w:sz="0" w:space="0" w:color="auto"/>
              </w:divBdr>
              <w:divsChild>
                <w:div w:id="1453865908">
                  <w:marLeft w:val="0"/>
                  <w:marRight w:val="0"/>
                  <w:marTop w:val="0"/>
                  <w:marBottom w:val="0"/>
                  <w:divBdr>
                    <w:top w:val="none" w:sz="0" w:space="0" w:color="auto"/>
                    <w:left w:val="none" w:sz="0" w:space="0" w:color="auto"/>
                    <w:bottom w:val="none" w:sz="0" w:space="0" w:color="auto"/>
                    <w:right w:val="none" w:sz="0" w:space="0" w:color="auto"/>
                  </w:divBdr>
                  <w:divsChild>
                    <w:div w:id="1296714703">
                      <w:marLeft w:val="0"/>
                      <w:marRight w:val="0"/>
                      <w:marTop w:val="0"/>
                      <w:marBottom w:val="0"/>
                      <w:divBdr>
                        <w:top w:val="none" w:sz="0" w:space="0" w:color="auto"/>
                        <w:left w:val="none" w:sz="0" w:space="0" w:color="auto"/>
                        <w:bottom w:val="none" w:sz="0" w:space="0" w:color="auto"/>
                        <w:right w:val="none" w:sz="0" w:space="0" w:color="auto"/>
                      </w:divBdr>
                      <w:divsChild>
                        <w:div w:id="1652565493">
                          <w:marLeft w:val="0"/>
                          <w:marRight w:val="0"/>
                          <w:marTop w:val="0"/>
                          <w:marBottom w:val="0"/>
                          <w:divBdr>
                            <w:top w:val="none" w:sz="0" w:space="0" w:color="auto"/>
                            <w:left w:val="none" w:sz="0" w:space="0" w:color="auto"/>
                            <w:bottom w:val="none" w:sz="0" w:space="0" w:color="auto"/>
                            <w:right w:val="none" w:sz="0" w:space="0" w:color="auto"/>
                          </w:divBdr>
                          <w:divsChild>
                            <w:div w:id="1945456608">
                              <w:marLeft w:val="0"/>
                              <w:marRight w:val="0"/>
                              <w:marTop w:val="0"/>
                              <w:marBottom w:val="0"/>
                              <w:divBdr>
                                <w:top w:val="none" w:sz="0" w:space="0" w:color="auto"/>
                                <w:left w:val="none" w:sz="0" w:space="0" w:color="auto"/>
                                <w:bottom w:val="none" w:sz="0" w:space="0" w:color="auto"/>
                                <w:right w:val="none" w:sz="0" w:space="0" w:color="auto"/>
                              </w:divBdr>
                              <w:divsChild>
                                <w:div w:id="1665669979">
                                  <w:marLeft w:val="0"/>
                                  <w:marRight w:val="0"/>
                                  <w:marTop w:val="0"/>
                                  <w:marBottom w:val="0"/>
                                  <w:divBdr>
                                    <w:top w:val="none" w:sz="0" w:space="0" w:color="auto"/>
                                    <w:left w:val="none" w:sz="0" w:space="0" w:color="auto"/>
                                    <w:bottom w:val="none" w:sz="0" w:space="0" w:color="auto"/>
                                    <w:right w:val="none" w:sz="0" w:space="0" w:color="auto"/>
                                  </w:divBdr>
                                  <w:divsChild>
                                    <w:div w:id="347293453">
                                      <w:marLeft w:val="0"/>
                                      <w:marRight w:val="0"/>
                                      <w:marTop w:val="0"/>
                                      <w:marBottom w:val="0"/>
                                      <w:divBdr>
                                        <w:top w:val="none" w:sz="0" w:space="0" w:color="auto"/>
                                        <w:left w:val="none" w:sz="0" w:space="0" w:color="auto"/>
                                        <w:bottom w:val="none" w:sz="0" w:space="0" w:color="auto"/>
                                        <w:right w:val="none" w:sz="0" w:space="0" w:color="auto"/>
                                      </w:divBdr>
                                      <w:divsChild>
                                        <w:div w:id="1541744973">
                                          <w:marLeft w:val="0"/>
                                          <w:marRight w:val="0"/>
                                          <w:marTop w:val="0"/>
                                          <w:marBottom w:val="0"/>
                                          <w:divBdr>
                                            <w:top w:val="none" w:sz="0" w:space="0" w:color="auto"/>
                                            <w:left w:val="none" w:sz="0" w:space="0" w:color="auto"/>
                                            <w:bottom w:val="none" w:sz="0" w:space="0" w:color="auto"/>
                                            <w:right w:val="none" w:sz="0" w:space="0" w:color="auto"/>
                                          </w:divBdr>
                                          <w:divsChild>
                                            <w:div w:id="1879318643">
                                              <w:marLeft w:val="0"/>
                                              <w:marRight w:val="0"/>
                                              <w:marTop w:val="0"/>
                                              <w:marBottom w:val="0"/>
                                              <w:divBdr>
                                                <w:top w:val="none" w:sz="0" w:space="0" w:color="auto"/>
                                                <w:left w:val="none" w:sz="0" w:space="0" w:color="auto"/>
                                                <w:bottom w:val="none" w:sz="0" w:space="0" w:color="auto"/>
                                                <w:right w:val="none" w:sz="0" w:space="0" w:color="auto"/>
                                              </w:divBdr>
                                              <w:divsChild>
                                                <w:div w:id="1484002442">
                                                  <w:marLeft w:val="0"/>
                                                  <w:marRight w:val="0"/>
                                                  <w:marTop w:val="0"/>
                                                  <w:marBottom w:val="0"/>
                                                  <w:divBdr>
                                                    <w:top w:val="none" w:sz="0" w:space="0" w:color="auto"/>
                                                    <w:left w:val="none" w:sz="0" w:space="0" w:color="auto"/>
                                                    <w:bottom w:val="none" w:sz="0" w:space="0" w:color="auto"/>
                                                    <w:right w:val="none" w:sz="0" w:space="0" w:color="auto"/>
                                                  </w:divBdr>
                                                  <w:divsChild>
                                                    <w:div w:id="1195584387">
                                                      <w:marLeft w:val="0"/>
                                                      <w:marRight w:val="0"/>
                                                      <w:marTop w:val="0"/>
                                                      <w:marBottom w:val="0"/>
                                                      <w:divBdr>
                                                        <w:top w:val="none" w:sz="0" w:space="0" w:color="auto"/>
                                                        <w:left w:val="none" w:sz="0" w:space="0" w:color="auto"/>
                                                        <w:bottom w:val="none" w:sz="0" w:space="0" w:color="auto"/>
                                                        <w:right w:val="none" w:sz="0" w:space="0" w:color="auto"/>
                                                      </w:divBdr>
                                                      <w:divsChild>
                                                        <w:div w:id="1759980012">
                                                          <w:marLeft w:val="0"/>
                                                          <w:marRight w:val="0"/>
                                                          <w:marTop w:val="0"/>
                                                          <w:marBottom w:val="0"/>
                                                          <w:divBdr>
                                                            <w:top w:val="none" w:sz="0" w:space="0" w:color="auto"/>
                                                            <w:left w:val="none" w:sz="0" w:space="0" w:color="auto"/>
                                                            <w:bottom w:val="none" w:sz="0" w:space="0" w:color="auto"/>
                                                            <w:right w:val="none" w:sz="0" w:space="0" w:color="auto"/>
                                                          </w:divBdr>
                                                          <w:divsChild>
                                                            <w:div w:id="12289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154426">
          <w:marLeft w:val="0"/>
          <w:marRight w:val="0"/>
          <w:marTop w:val="0"/>
          <w:marBottom w:val="0"/>
          <w:divBdr>
            <w:top w:val="none" w:sz="0" w:space="0" w:color="auto"/>
            <w:left w:val="none" w:sz="0" w:space="0" w:color="auto"/>
            <w:bottom w:val="none" w:sz="0" w:space="0" w:color="auto"/>
            <w:right w:val="none" w:sz="0" w:space="0" w:color="auto"/>
          </w:divBdr>
          <w:divsChild>
            <w:div w:id="1693338028">
              <w:marLeft w:val="0"/>
              <w:marRight w:val="0"/>
              <w:marTop w:val="0"/>
              <w:marBottom w:val="0"/>
              <w:divBdr>
                <w:top w:val="none" w:sz="0" w:space="0" w:color="auto"/>
                <w:left w:val="none" w:sz="0" w:space="0" w:color="auto"/>
                <w:bottom w:val="none" w:sz="0" w:space="0" w:color="auto"/>
                <w:right w:val="none" w:sz="0" w:space="0" w:color="auto"/>
              </w:divBdr>
              <w:divsChild>
                <w:div w:id="17477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51714">
      <w:bodyDiv w:val="1"/>
      <w:marLeft w:val="0"/>
      <w:marRight w:val="0"/>
      <w:marTop w:val="0"/>
      <w:marBottom w:val="0"/>
      <w:divBdr>
        <w:top w:val="none" w:sz="0" w:space="0" w:color="auto"/>
        <w:left w:val="none" w:sz="0" w:space="0" w:color="auto"/>
        <w:bottom w:val="none" w:sz="0" w:space="0" w:color="auto"/>
        <w:right w:val="none" w:sz="0" w:space="0" w:color="auto"/>
      </w:divBdr>
    </w:div>
    <w:div w:id="373696766">
      <w:bodyDiv w:val="1"/>
      <w:marLeft w:val="0"/>
      <w:marRight w:val="0"/>
      <w:marTop w:val="0"/>
      <w:marBottom w:val="0"/>
      <w:divBdr>
        <w:top w:val="none" w:sz="0" w:space="0" w:color="auto"/>
        <w:left w:val="none" w:sz="0" w:space="0" w:color="auto"/>
        <w:bottom w:val="none" w:sz="0" w:space="0" w:color="auto"/>
        <w:right w:val="none" w:sz="0" w:space="0" w:color="auto"/>
      </w:divBdr>
    </w:div>
    <w:div w:id="407727646">
      <w:bodyDiv w:val="1"/>
      <w:marLeft w:val="0"/>
      <w:marRight w:val="0"/>
      <w:marTop w:val="0"/>
      <w:marBottom w:val="0"/>
      <w:divBdr>
        <w:top w:val="none" w:sz="0" w:space="0" w:color="auto"/>
        <w:left w:val="none" w:sz="0" w:space="0" w:color="auto"/>
        <w:bottom w:val="none" w:sz="0" w:space="0" w:color="auto"/>
        <w:right w:val="none" w:sz="0" w:space="0" w:color="auto"/>
      </w:divBdr>
      <w:divsChild>
        <w:div w:id="349914690">
          <w:marLeft w:val="0"/>
          <w:marRight w:val="0"/>
          <w:marTop w:val="0"/>
          <w:marBottom w:val="0"/>
          <w:divBdr>
            <w:top w:val="none" w:sz="0" w:space="0" w:color="auto"/>
            <w:left w:val="none" w:sz="0" w:space="0" w:color="auto"/>
            <w:bottom w:val="none" w:sz="0" w:space="0" w:color="auto"/>
            <w:right w:val="none" w:sz="0" w:space="0" w:color="auto"/>
          </w:divBdr>
          <w:divsChild>
            <w:div w:id="162942782">
              <w:marLeft w:val="0"/>
              <w:marRight w:val="0"/>
              <w:marTop w:val="0"/>
              <w:marBottom w:val="0"/>
              <w:divBdr>
                <w:top w:val="none" w:sz="0" w:space="0" w:color="auto"/>
                <w:left w:val="none" w:sz="0" w:space="0" w:color="auto"/>
                <w:bottom w:val="none" w:sz="0" w:space="0" w:color="auto"/>
                <w:right w:val="none" w:sz="0" w:space="0" w:color="auto"/>
              </w:divBdr>
              <w:divsChild>
                <w:div w:id="100807363">
                  <w:marLeft w:val="0"/>
                  <w:marRight w:val="0"/>
                  <w:marTop w:val="0"/>
                  <w:marBottom w:val="0"/>
                  <w:divBdr>
                    <w:top w:val="none" w:sz="0" w:space="0" w:color="auto"/>
                    <w:left w:val="none" w:sz="0" w:space="0" w:color="auto"/>
                    <w:bottom w:val="none" w:sz="0" w:space="0" w:color="auto"/>
                    <w:right w:val="none" w:sz="0" w:space="0" w:color="auto"/>
                  </w:divBdr>
                  <w:divsChild>
                    <w:div w:id="951473245">
                      <w:marLeft w:val="0"/>
                      <w:marRight w:val="0"/>
                      <w:marTop w:val="0"/>
                      <w:marBottom w:val="0"/>
                      <w:divBdr>
                        <w:top w:val="none" w:sz="0" w:space="0" w:color="auto"/>
                        <w:left w:val="none" w:sz="0" w:space="0" w:color="auto"/>
                        <w:bottom w:val="none" w:sz="0" w:space="0" w:color="auto"/>
                        <w:right w:val="none" w:sz="0" w:space="0" w:color="auto"/>
                      </w:divBdr>
                      <w:divsChild>
                        <w:div w:id="2099400087">
                          <w:marLeft w:val="0"/>
                          <w:marRight w:val="0"/>
                          <w:marTop w:val="0"/>
                          <w:marBottom w:val="0"/>
                          <w:divBdr>
                            <w:top w:val="none" w:sz="0" w:space="0" w:color="auto"/>
                            <w:left w:val="none" w:sz="0" w:space="0" w:color="auto"/>
                            <w:bottom w:val="none" w:sz="0" w:space="0" w:color="auto"/>
                            <w:right w:val="none" w:sz="0" w:space="0" w:color="auto"/>
                          </w:divBdr>
                          <w:divsChild>
                            <w:div w:id="227308909">
                              <w:marLeft w:val="0"/>
                              <w:marRight w:val="0"/>
                              <w:marTop w:val="0"/>
                              <w:marBottom w:val="0"/>
                              <w:divBdr>
                                <w:top w:val="none" w:sz="0" w:space="0" w:color="auto"/>
                                <w:left w:val="none" w:sz="0" w:space="0" w:color="auto"/>
                                <w:bottom w:val="none" w:sz="0" w:space="0" w:color="auto"/>
                                <w:right w:val="none" w:sz="0" w:space="0" w:color="auto"/>
                              </w:divBdr>
                              <w:divsChild>
                                <w:div w:id="1643147906">
                                  <w:marLeft w:val="0"/>
                                  <w:marRight w:val="0"/>
                                  <w:marTop w:val="0"/>
                                  <w:marBottom w:val="0"/>
                                  <w:divBdr>
                                    <w:top w:val="none" w:sz="0" w:space="0" w:color="auto"/>
                                    <w:left w:val="none" w:sz="0" w:space="0" w:color="auto"/>
                                    <w:bottom w:val="none" w:sz="0" w:space="0" w:color="auto"/>
                                    <w:right w:val="none" w:sz="0" w:space="0" w:color="auto"/>
                                  </w:divBdr>
                                  <w:divsChild>
                                    <w:div w:id="1633514977">
                                      <w:marLeft w:val="0"/>
                                      <w:marRight w:val="0"/>
                                      <w:marTop w:val="0"/>
                                      <w:marBottom w:val="0"/>
                                      <w:divBdr>
                                        <w:top w:val="none" w:sz="0" w:space="0" w:color="auto"/>
                                        <w:left w:val="none" w:sz="0" w:space="0" w:color="auto"/>
                                        <w:bottom w:val="none" w:sz="0" w:space="0" w:color="auto"/>
                                        <w:right w:val="none" w:sz="0" w:space="0" w:color="auto"/>
                                      </w:divBdr>
                                      <w:divsChild>
                                        <w:div w:id="1185628410">
                                          <w:marLeft w:val="0"/>
                                          <w:marRight w:val="0"/>
                                          <w:marTop w:val="0"/>
                                          <w:marBottom w:val="0"/>
                                          <w:divBdr>
                                            <w:top w:val="none" w:sz="0" w:space="0" w:color="auto"/>
                                            <w:left w:val="none" w:sz="0" w:space="0" w:color="auto"/>
                                            <w:bottom w:val="none" w:sz="0" w:space="0" w:color="auto"/>
                                            <w:right w:val="none" w:sz="0" w:space="0" w:color="auto"/>
                                          </w:divBdr>
                                          <w:divsChild>
                                            <w:div w:id="762145915">
                                              <w:marLeft w:val="0"/>
                                              <w:marRight w:val="0"/>
                                              <w:marTop w:val="0"/>
                                              <w:marBottom w:val="0"/>
                                              <w:divBdr>
                                                <w:top w:val="none" w:sz="0" w:space="0" w:color="auto"/>
                                                <w:left w:val="none" w:sz="0" w:space="0" w:color="auto"/>
                                                <w:bottom w:val="none" w:sz="0" w:space="0" w:color="auto"/>
                                                <w:right w:val="none" w:sz="0" w:space="0" w:color="auto"/>
                                              </w:divBdr>
                                              <w:divsChild>
                                                <w:div w:id="145628016">
                                                  <w:marLeft w:val="0"/>
                                                  <w:marRight w:val="0"/>
                                                  <w:marTop w:val="0"/>
                                                  <w:marBottom w:val="0"/>
                                                  <w:divBdr>
                                                    <w:top w:val="none" w:sz="0" w:space="0" w:color="auto"/>
                                                    <w:left w:val="none" w:sz="0" w:space="0" w:color="auto"/>
                                                    <w:bottom w:val="none" w:sz="0" w:space="0" w:color="auto"/>
                                                    <w:right w:val="none" w:sz="0" w:space="0" w:color="auto"/>
                                                  </w:divBdr>
                                                  <w:divsChild>
                                                    <w:div w:id="1548298880">
                                                      <w:marLeft w:val="0"/>
                                                      <w:marRight w:val="0"/>
                                                      <w:marTop w:val="0"/>
                                                      <w:marBottom w:val="0"/>
                                                      <w:divBdr>
                                                        <w:top w:val="none" w:sz="0" w:space="0" w:color="auto"/>
                                                        <w:left w:val="none" w:sz="0" w:space="0" w:color="auto"/>
                                                        <w:bottom w:val="none" w:sz="0" w:space="0" w:color="auto"/>
                                                        <w:right w:val="none" w:sz="0" w:space="0" w:color="auto"/>
                                                      </w:divBdr>
                                                      <w:divsChild>
                                                        <w:div w:id="1495531873">
                                                          <w:marLeft w:val="0"/>
                                                          <w:marRight w:val="0"/>
                                                          <w:marTop w:val="0"/>
                                                          <w:marBottom w:val="0"/>
                                                          <w:divBdr>
                                                            <w:top w:val="none" w:sz="0" w:space="0" w:color="auto"/>
                                                            <w:left w:val="none" w:sz="0" w:space="0" w:color="auto"/>
                                                            <w:bottom w:val="none" w:sz="0" w:space="0" w:color="auto"/>
                                                            <w:right w:val="none" w:sz="0" w:space="0" w:color="auto"/>
                                                          </w:divBdr>
                                                          <w:divsChild>
                                                            <w:div w:id="2559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5043">
          <w:marLeft w:val="0"/>
          <w:marRight w:val="0"/>
          <w:marTop w:val="0"/>
          <w:marBottom w:val="0"/>
          <w:divBdr>
            <w:top w:val="none" w:sz="0" w:space="0" w:color="auto"/>
            <w:left w:val="none" w:sz="0" w:space="0" w:color="auto"/>
            <w:bottom w:val="none" w:sz="0" w:space="0" w:color="auto"/>
            <w:right w:val="none" w:sz="0" w:space="0" w:color="auto"/>
          </w:divBdr>
          <w:divsChild>
            <w:div w:id="496069190">
              <w:marLeft w:val="0"/>
              <w:marRight w:val="0"/>
              <w:marTop w:val="0"/>
              <w:marBottom w:val="0"/>
              <w:divBdr>
                <w:top w:val="none" w:sz="0" w:space="0" w:color="auto"/>
                <w:left w:val="none" w:sz="0" w:space="0" w:color="auto"/>
                <w:bottom w:val="none" w:sz="0" w:space="0" w:color="auto"/>
                <w:right w:val="none" w:sz="0" w:space="0" w:color="auto"/>
              </w:divBdr>
              <w:divsChild>
                <w:div w:id="268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6772">
      <w:bodyDiv w:val="1"/>
      <w:marLeft w:val="0"/>
      <w:marRight w:val="0"/>
      <w:marTop w:val="0"/>
      <w:marBottom w:val="0"/>
      <w:divBdr>
        <w:top w:val="none" w:sz="0" w:space="0" w:color="auto"/>
        <w:left w:val="none" w:sz="0" w:space="0" w:color="auto"/>
        <w:bottom w:val="none" w:sz="0" w:space="0" w:color="auto"/>
        <w:right w:val="none" w:sz="0" w:space="0" w:color="auto"/>
      </w:divBdr>
    </w:div>
    <w:div w:id="646781066">
      <w:bodyDiv w:val="1"/>
      <w:marLeft w:val="0"/>
      <w:marRight w:val="0"/>
      <w:marTop w:val="0"/>
      <w:marBottom w:val="0"/>
      <w:divBdr>
        <w:top w:val="none" w:sz="0" w:space="0" w:color="auto"/>
        <w:left w:val="none" w:sz="0" w:space="0" w:color="auto"/>
        <w:bottom w:val="none" w:sz="0" w:space="0" w:color="auto"/>
        <w:right w:val="none" w:sz="0" w:space="0" w:color="auto"/>
      </w:divBdr>
    </w:div>
    <w:div w:id="665330786">
      <w:bodyDiv w:val="1"/>
      <w:marLeft w:val="0"/>
      <w:marRight w:val="0"/>
      <w:marTop w:val="0"/>
      <w:marBottom w:val="0"/>
      <w:divBdr>
        <w:top w:val="none" w:sz="0" w:space="0" w:color="auto"/>
        <w:left w:val="none" w:sz="0" w:space="0" w:color="auto"/>
        <w:bottom w:val="none" w:sz="0" w:space="0" w:color="auto"/>
        <w:right w:val="none" w:sz="0" w:space="0" w:color="auto"/>
      </w:divBdr>
    </w:div>
    <w:div w:id="680665649">
      <w:bodyDiv w:val="1"/>
      <w:marLeft w:val="0"/>
      <w:marRight w:val="0"/>
      <w:marTop w:val="0"/>
      <w:marBottom w:val="0"/>
      <w:divBdr>
        <w:top w:val="none" w:sz="0" w:space="0" w:color="auto"/>
        <w:left w:val="none" w:sz="0" w:space="0" w:color="auto"/>
        <w:bottom w:val="none" w:sz="0" w:space="0" w:color="auto"/>
        <w:right w:val="none" w:sz="0" w:space="0" w:color="auto"/>
      </w:divBdr>
    </w:div>
    <w:div w:id="830683913">
      <w:bodyDiv w:val="1"/>
      <w:marLeft w:val="0"/>
      <w:marRight w:val="0"/>
      <w:marTop w:val="0"/>
      <w:marBottom w:val="0"/>
      <w:divBdr>
        <w:top w:val="none" w:sz="0" w:space="0" w:color="auto"/>
        <w:left w:val="none" w:sz="0" w:space="0" w:color="auto"/>
        <w:bottom w:val="none" w:sz="0" w:space="0" w:color="auto"/>
        <w:right w:val="none" w:sz="0" w:space="0" w:color="auto"/>
      </w:divBdr>
    </w:div>
    <w:div w:id="987123863">
      <w:bodyDiv w:val="1"/>
      <w:marLeft w:val="0"/>
      <w:marRight w:val="0"/>
      <w:marTop w:val="0"/>
      <w:marBottom w:val="0"/>
      <w:divBdr>
        <w:top w:val="none" w:sz="0" w:space="0" w:color="auto"/>
        <w:left w:val="none" w:sz="0" w:space="0" w:color="auto"/>
        <w:bottom w:val="none" w:sz="0" w:space="0" w:color="auto"/>
        <w:right w:val="none" w:sz="0" w:space="0" w:color="auto"/>
      </w:divBdr>
    </w:div>
    <w:div w:id="1040518082">
      <w:bodyDiv w:val="1"/>
      <w:marLeft w:val="0"/>
      <w:marRight w:val="0"/>
      <w:marTop w:val="0"/>
      <w:marBottom w:val="0"/>
      <w:divBdr>
        <w:top w:val="none" w:sz="0" w:space="0" w:color="auto"/>
        <w:left w:val="none" w:sz="0" w:space="0" w:color="auto"/>
        <w:bottom w:val="none" w:sz="0" w:space="0" w:color="auto"/>
        <w:right w:val="none" w:sz="0" w:space="0" w:color="auto"/>
      </w:divBdr>
    </w:div>
    <w:div w:id="1104229952">
      <w:bodyDiv w:val="1"/>
      <w:marLeft w:val="0"/>
      <w:marRight w:val="0"/>
      <w:marTop w:val="0"/>
      <w:marBottom w:val="0"/>
      <w:divBdr>
        <w:top w:val="none" w:sz="0" w:space="0" w:color="auto"/>
        <w:left w:val="none" w:sz="0" w:space="0" w:color="auto"/>
        <w:bottom w:val="none" w:sz="0" w:space="0" w:color="auto"/>
        <w:right w:val="none" w:sz="0" w:space="0" w:color="auto"/>
      </w:divBdr>
    </w:div>
    <w:div w:id="1143616902">
      <w:bodyDiv w:val="1"/>
      <w:marLeft w:val="0"/>
      <w:marRight w:val="0"/>
      <w:marTop w:val="0"/>
      <w:marBottom w:val="0"/>
      <w:divBdr>
        <w:top w:val="none" w:sz="0" w:space="0" w:color="auto"/>
        <w:left w:val="none" w:sz="0" w:space="0" w:color="auto"/>
        <w:bottom w:val="none" w:sz="0" w:space="0" w:color="auto"/>
        <w:right w:val="none" w:sz="0" w:space="0" w:color="auto"/>
      </w:divBdr>
    </w:div>
    <w:div w:id="1145006541">
      <w:bodyDiv w:val="1"/>
      <w:marLeft w:val="0"/>
      <w:marRight w:val="0"/>
      <w:marTop w:val="0"/>
      <w:marBottom w:val="0"/>
      <w:divBdr>
        <w:top w:val="none" w:sz="0" w:space="0" w:color="auto"/>
        <w:left w:val="none" w:sz="0" w:space="0" w:color="auto"/>
        <w:bottom w:val="none" w:sz="0" w:space="0" w:color="auto"/>
        <w:right w:val="none" w:sz="0" w:space="0" w:color="auto"/>
      </w:divBdr>
      <w:divsChild>
        <w:div w:id="950210787">
          <w:marLeft w:val="0"/>
          <w:marRight w:val="0"/>
          <w:marTop w:val="0"/>
          <w:marBottom w:val="0"/>
          <w:divBdr>
            <w:top w:val="none" w:sz="0" w:space="0" w:color="auto"/>
            <w:left w:val="none" w:sz="0" w:space="0" w:color="auto"/>
            <w:bottom w:val="none" w:sz="0" w:space="0" w:color="auto"/>
            <w:right w:val="none" w:sz="0" w:space="0" w:color="auto"/>
          </w:divBdr>
          <w:divsChild>
            <w:div w:id="1964189817">
              <w:marLeft w:val="0"/>
              <w:marRight w:val="0"/>
              <w:marTop w:val="0"/>
              <w:marBottom w:val="0"/>
              <w:divBdr>
                <w:top w:val="none" w:sz="0" w:space="0" w:color="auto"/>
                <w:left w:val="none" w:sz="0" w:space="0" w:color="auto"/>
                <w:bottom w:val="none" w:sz="0" w:space="0" w:color="auto"/>
                <w:right w:val="none" w:sz="0" w:space="0" w:color="auto"/>
              </w:divBdr>
              <w:divsChild>
                <w:div w:id="673528699">
                  <w:marLeft w:val="0"/>
                  <w:marRight w:val="0"/>
                  <w:marTop w:val="0"/>
                  <w:marBottom w:val="0"/>
                  <w:divBdr>
                    <w:top w:val="none" w:sz="0" w:space="0" w:color="auto"/>
                    <w:left w:val="none" w:sz="0" w:space="0" w:color="auto"/>
                    <w:bottom w:val="none" w:sz="0" w:space="0" w:color="auto"/>
                    <w:right w:val="none" w:sz="0" w:space="0" w:color="auto"/>
                  </w:divBdr>
                  <w:divsChild>
                    <w:div w:id="158233492">
                      <w:marLeft w:val="0"/>
                      <w:marRight w:val="0"/>
                      <w:marTop w:val="0"/>
                      <w:marBottom w:val="0"/>
                      <w:divBdr>
                        <w:top w:val="none" w:sz="0" w:space="0" w:color="auto"/>
                        <w:left w:val="none" w:sz="0" w:space="0" w:color="auto"/>
                        <w:bottom w:val="none" w:sz="0" w:space="0" w:color="auto"/>
                        <w:right w:val="none" w:sz="0" w:space="0" w:color="auto"/>
                      </w:divBdr>
                      <w:divsChild>
                        <w:div w:id="714041905">
                          <w:marLeft w:val="0"/>
                          <w:marRight w:val="0"/>
                          <w:marTop w:val="0"/>
                          <w:marBottom w:val="0"/>
                          <w:divBdr>
                            <w:top w:val="none" w:sz="0" w:space="0" w:color="auto"/>
                            <w:left w:val="none" w:sz="0" w:space="0" w:color="auto"/>
                            <w:bottom w:val="none" w:sz="0" w:space="0" w:color="auto"/>
                            <w:right w:val="none" w:sz="0" w:space="0" w:color="auto"/>
                          </w:divBdr>
                          <w:divsChild>
                            <w:div w:id="1873571058">
                              <w:marLeft w:val="0"/>
                              <w:marRight w:val="0"/>
                              <w:marTop w:val="0"/>
                              <w:marBottom w:val="0"/>
                              <w:divBdr>
                                <w:top w:val="none" w:sz="0" w:space="0" w:color="auto"/>
                                <w:left w:val="none" w:sz="0" w:space="0" w:color="auto"/>
                                <w:bottom w:val="none" w:sz="0" w:space="0" w:color="auto"/>
                                <w:right w:val="none" w:sz="0" w:space="0" w:color="auto"/>
                              </w:divBdr>
                              <w:divsChild>
                                <w:div w:id="631406440">
                                  <w:marLeft w:val="0"/>
                                  <w:marRight w:val="0"/>
                                  <w:marTop w:val="0"/>
                                  <w:marBottom w:val="0"/>
                                  <w:divBdr>
                                    <w:top w:val="none" w:sz="0" w:space="0" w:color="auto"/>
                                    <w:left w:val="none" w:sz="0" w:space="0" w:color="auto"/>
                                    <w:bottom w:val="none" w:sz="0" w:space="0" w:color="auto"/>
                                    <w:right w:val="none" w:sz="0" w:space="0" w:color="auto"/>
                                  </w:divBdr>
                                  <w:divsChild>
                                    <w:div w:id="1309476635">
                                      <w:marLeft w:val="0"/>
                                      <w:marRight w:val="0"/>
                                      <w:marTop w:val="0"/>
                                      <w:marBottom w:val="0"/>
                                      <w:divBdr>
                                        <w:top w:val="none" w:sz="0" w:space="0" w:color="auto"/>
                                        <w:left w:val="none" w:sz="0" w:space="0" w:color="auto"/>
                                        <w:bottom w:val="none" w:sz="0" w:space="0" w:color="auto"/>
                                        <w:right w:val="none" w:sz="0" w:space="0" w:color="auto"/>
                                      </w:divBdr>
                                      <w:divsChild>
                                        <w:div w:id="1447845796">
                                          <w:marLeft w:val="0"/>
                                          <w:marRight w:val="0"/>
                                          <w:marTop w:val="0"/>
                                          <w:marBottom w:val="0"/>
                                          <w:divBdr>
                                            <w:top w:val="none" w:sz="0" w:space="0" w:color="auto"/>
                                            <w:left w:val="none" w:sz="0" w:space="0" w:color="auto"/>
                                            <w:bottom w:val="none" w:sz="0" w:space="0" w:color="auto"/>
                                            <w:right w:val="none" w:sz="0" w:space="0" w:color="auto"/>
                                          </w:divBdr>
                                          <w:divsChild>
                                            <w:div w:id="107047031">
                                              <w:marLeft w:val="0"/>
                                              <w:marRight w:val="0"/>
                                              <w:marTop w:val="0"/>
                                              <w:marBottom w:val="0"/>
                                              <w:divBdr>
                                                <w:top w:val="none" w:sz="0" w:space="0" w:color="auto"/>
                                                <w:left w:val="none" w:sz="0" w:space="0" w:color="auto"/>
                                                <w:bottom w:val="none" w:sz="0" w:space="0" w:color="auto"/>
                                                <w:right w:val="none" w:sz="0" w:space="0" w:color="auto"/>
                                              </w:divBdr>
                                              <w:divsChild>
                                                <w:div w:id="1463689365">
                                                  <w:marLeft w:val="0"/>
                                                  <w:marRight w:val="0"/>
                                                  <w:marTop w:val="0"/>
                                                  <w:marBottom w:val="0"/>
                                                  <w:divBdr>
                                                    <w:top w:val="none" w:sz="0" w:space="0" w:color="auto"/>
                                                    <w:left w:val="none" w:sz="0" w:space="0" w:color="auto"/>
                                                    <w:bottom w:val="none" w:sz="0" w:space="0" w:color="auto"/>
                                                    <w:right w:val="none" w:sz="0" w:space="0" w:color="auto"/>
                                                  </w:divBdr>
                                                  <w:divsChild>
                                                    <w:div w:id="299576522">
                                                      <w:marLeft w:val="0"/>
                                                      <w:marRight w:val="0"/>
                                                      <w:marTop w:val="0"/>
                                                      <w:marBottom w:val="0"/>
                                                      <w:divBdr>
                                                        <w:top w:val="none" w:sz="0" w:space="0" w:color="auto"/>
                                                        <w:left w:val="none" w:sz="0" w:space="0" w:color="auto"/>
                                                        <w:bottom w:val="none" w:sz="0" w:space="0" w:color="auto"/>
                                                        <w:right w:val="none" w:sz="0" w:space="0" w:color="auto"/>
                                                      </w:divBdr>
                                                      <w:divsChild>
                                                        <w:div w:id="1594048507">
                                                          <w:marLeft w:val="0"/>
                                                          <w:marRight w:val="0"/>
                                                          <w:marTop w:val="0"/>
                                                          <w:marBottom w:val="0"/>
                                                          <w:divBdr>
                                                            <w:top w:val="none" w:sz="0" w:space="0" w:color="auto"/>
                                                            <w:left w:val="none" w:sz="0" w:space="0" w:color="auto"/>
                                                            <w:bottom w:val="none" w:sz="0" w:space="0" w:color="auto"/>
                                                            <w:right w:val="none" w:sz="0" w:space="0" w:color="auto"/>
                                                          </w:divBdr>
                                                          <w:divsChild>
                                                            <w:div w:id="12994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841353">
          <w:marLeft w:val="0"/>
          <w:marRight w:val="0"/>
          <w:marTop w:val="0"/>
          <w:marBottom w:val="0"/>
          <w:divBdr>
            <w:top w:val="none" w:sz="0" w:space="0" w:color="auto"/>
            <w:left w:val="none" w:sz="0" w:space="0" w:color="auto"/>
            <w:bottom w:val="none" w:sz="0" w:space="0" w:color="auto"/>
            <w:right w:val="none" w:sz="0" w:space="0" w:color="auto"/>
          </w:divBdr>
          <w:divsChild>
            <w:div w:id="2086104871">
              <w:marLeft w:val="0"/>
              <w:marRight w:val="0"/>
              <w:marTop w:val="0"/>
              <w:marBottom w:val="0"/>
              <w:divBdr>
                <w:top w:val="none" w:sz="0" w:space="0" w:color="auto"/>
                <w:left w:val="none" w:sz="0" w:space="0" w:color="auto"/>
                <w:bottom w:val="none" w:sz="0" w:space="0" w:color="auto"/>
                <w:right w:val="none" w:sz="0" w:space="0" w:color="auto"/>
              </w:divBdr>
              <w:divsChild>
                <w:div w:id="14863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3737">
      <w:bodyDiv w:val="1"/>
      <w:marLeft w:val="0"/>
      <w:marRight w:val="0"/>
      <w:marTop w:val="0"/>
      <w:marBottom w:val="0"/>
      <w:divBdr>
        <w:top w:val="none" w:sz="0" w:space="0" w:color="auto"/>
        <w:left w:val="none" w:sz="0" w:space="0" w:color="auto"/>
        <w:bottom w:val="none" w:sz="0" w:space="0" w:color="auto"/>
        <w:right w:val="none" w:sz="0" w:space="0" w:color="auto"/>
      </w:divBdr>
      <w:divsChild>
        <w:div w:id="789780157">
          <w:marLeft w:val="0"/>
          <w:marRight w:val="0"/>
          <w:marTop w:val="0"/>
          <w:marBottom w:val="0"/>
          <w:divBdr>
            <w:top w:val="none" w:sz="0" w:space="0" w:color="auto"/>
            <w:left w:val="none" w:sz="0" w:space="0" w:color="auto"/>
            <w:bottom w:val="none" w:sz="0" w:space="0" w:color="auto"/>
            <w:right w:val="none" w:sz="0" w:space="0" w:color="auto"/>
          </w:divBdr>
          <w:divsChild>
            <w:div w:id="1485589547">
              <w:marLeft w:val="0"/>
              <w:marRight w:val="0"/>
              <w:marTop w:val="0"/>
              <w:marBottom w:val="0"/>
              <w:divBdr>
                <w:top w:val="none" w:sz="0" w:space="0" w:color="auto"/>
                <w:left w:val="none" w:sz="0" w:space="0" w:color="auto"/>
                <w:bottom w:val="none" w:sz="0" w:space="0" w:color="auto"/>
                <w:right w:val="none" w:sz="0" w:space="0" w:color="auto"/>
              </w:divBdr>
              <w:divsChild>
                <w:div w:id="1023626588">
                  <w:marLeft w:val="0"/>
                  <w:marRight w:val="0"/>
                  <w:marTop w:val="0"/>
                  <w:marBottom w:val="0"/>
                  <w:divBdr>
                    <w:top w:val="none" w:sz="0" w:space="0" w:color="auto"/>
                    <w:left w:val="none" w:sz="0" w:space="0" w:color="auto"/>
                    <w:bottom w:val="none" w:sz="0" w:space="0" w:color="auto"/>
                    <w:right w:val="none" w:sz="0" w:space="0" w:color="auto"/>
                  </w:divBdr>
                  <w:divsChild>
                    <w:div w:id="114108440">
                      <w:marLeft w:val="0"/>
                      <w:marRight w:val="0"/>
                      <w:marTop w:val="0"/>
                      <w:marBottom w:val="0"/>
                      <w:divBdr>
                        <w:top w:val="none" w:sz="0" w:space="0" w:color="auto"/>
                        <w:left w:val="none" w:sz="0" w:space="0" w:color="auto"/>
                        <w:bottom w:val="none" w:sz="0" w:space="0" w:color="auto"/>
                        <w:right w:val="none" w:sz="0" w:space="0" w:color="auto"/>
                      </w:divBdr>
                      <w:divsChild>
                        <w:div w:id="1713651730">
                          <w:marLeft w:val="0"/>
                          <w:marRight w:val="0"/>
                          <w:marTop w:val="0"/>
                          <w:marBottom w:val="0"/>
                          <w:divBdr>
                            <w:top w:val="none" w:sz="0" w:space="0" w:color="auto"/>
                            <w:left w:val="none" w:sz="0" w:space="0" w:color="auto"/>
                            <w:bottom w:val="none" w:sz="0" w:space="0" w:color="auto"/>
                            <w:right w:val="none" w:sz="0" w:space="0" w:color="auto"/>
                          </w:divBdr>
                          <w:divsChild>
                            <w:div w:id="15280594">
                              <w:marLeft w:val="0"/>
                              <w:marRight w:val="0"/>
                              <w:marTop w:val="0"/>
                              <w:marBottom w:val="0"/>
                              <w:divBdr>
                                <w:top w:val="none" w:sz="0" w:space="0" w:color="auto"/>
                                <w:left w:val="none" w:sz="0" w:space="0" w:color="auto"/>
                                <w:bottom w:val="none" w:sz="0" w:space="0" w:color="auto"/>
                                <w:right w:val="none" w:sz="0" w:space="0" w:color="auto"/>
                              </w:divBdr>
                              <w:divsChild>
                                <w:div w:id="1124419689">
                                  <w:marLeft w:val="0"/>
                                  <w:marRight w:val="0"/>
                                  <w:marTop w:val="0"/>
                                  <w:marBottom w:val="0"/>
                                  <w:divBdr>
                                    <w:top w:val="none" w:sz="0" w:space="0" w:color="auto"/>
                                    <w:left w:val="none" w:sz="0" w:space="0" w:color="auto"/>
                                    <w:bottom w:val="none" w:sz="0" w:space="0" w:color="auto"/>
                                    <w:right w:val="none" w:sz="0" w:space="0" w:color="auto"/>
                                  </w:divBdr>
                                  <w:divsChild>
                                    <w:div w:id="1920481576">
                                      <w:marLeft w:val="0"/>
                                      <w:marRight w:val="0"/>
                                      <w:marTop w:val="0"/>
                                      <w:marBottom w:val="0"/>
                                      <w:divBdr>
                                        <w:top w:val="none" w:sz="0" w:space="0" w:color="auto"/>
                                        <w:left w:val="none" w:sz="0" w:space="0" w:color="auto"/>
                                        <w:bottom w:val="none" w:sz="0" w:space="0" w:color="auto"/>
                                        <w:right w:val="none" w:sz="0" w:space="0" w:color="auto"/>
                                      </w:divBdr>
                                      <w:divsChild>
                                        <w:div w:id="478150675">
                                          <w:marLeft w:val="0"/>
                                          <w:marRight w:val="0"/>
                                          <w:marTop w:val="0"/>
                                          <w:marBottom w:val="0"/>
                                          <w:divBdr>
                                            <w:top w:val="none" w:sz="0" w:space="0" w:color="auto"/>
                                            <w:left w:val="none" w:sz="0" w:space="0" w:color="auto"/>
                                            <w:bottom w:val="none" w:sz="0" w:space="0" w:color="auto"/>
                                            <w:right w:val="none" w:sz="0" w:space="0" w:color="auto"/>
                                          </w:divBdr>
                                          <w:divsChild>
                                            <w:div w:id="1024477143">
                                              <w:marLeft w:val="0"/>
                                              <w:marRight w:val="0"/>
                                              <w:marTop w:val="0"/>
                                              <w:marBottom w:val="0"/>
                                              <w:divBdr>
                                                <w:top w:val="none" w:sz="0" w:space="0" w:color="auto"/>
                                                <w:left w:val="none" w:sz="0" w:space="0" w:color="auto"/>
                                                <w:bottom w:val="none" w:sz="0" w:space="0" w:color="auto"/>
                                                <w:right w:val="none" w:sz="0" w:space="0" w:color="auto"/>
                                              </w:divBdr>
                                              <w:divsChild>
                                                <w:div w:id="1436245687">
                                                  <w:marLeft w:val="0"/>
                                                  <w:marRight w:val="0"/>
                                                  <w:marTop w:val="0"/>
                                                  <w:marBottom w:val="0"/>
                                                  <w:divBdr>
                                                    <w:top w:val="none" w:sz="0" w:space="0" w:color="auto"/>
                                                    <w:left w:val="none" w:sz="0" w:space="0" w:color="auto"/>
                                                    <w:bottom w:val="none" w:sz="0" w:space="0" w:color="auto"/>
                                                    <w:right w:val="none" w:sz="0" w:space="0" w:color="auto"/>
                                                  </w:divBdr>
                                                  <w:divsChild>
                                                    <w:div w:id="109402294">
                                                      <w:marLeft w:val="0"/>
                                                      <w:marRight w:val="0"/>
                                                      <w:marTop w:val="0"/>
                                                      <w:marBottom w:val="0"/>
                                                      <w:divBdr>
                                                        <w:top w:val="none" w:sz="0" w:space="0" w:color="auto"/>
                                                        <w:left w:val="none" w:sz="0" w:space="0" w:color="auto"/>
                                                        <w:bottom w:val="none" w:sz="0" w:space="0" w:color="auto"/>
                                                        <w:right w:val="none" w:sz="0" w:space="0" w:color="auto"/>
                                                      </w:divBdr>
                                                      <w:divsChild>
                                                        <w:div w:id="237985248">
                                                          <w:marLeft w:val="0"/>
                                                          <w:marRight w:val="0"/>
                                                          <w:marTop w:val="0"/>
                                                          <w:marBottom w:val="0"/>
                                                          <w:divBdr>
                                                            <w:top w:val="none" w:sz="0" w:space="0" w:color="auto"/>
                                                            <w:left w:val="none" w:sz="0" w:space="0" w:color="auto"/>
                                                            <w:bottom w:val="none" w:sz="0" w:space="0" w:color="auto"/>
                                                            <w:right w:val="none" w:sz="0" w:space="0" w:color="auto"/>
                                                          </w:divBdr>
                                                          <w:divsChild>
                                                            <w:div w:id="11288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344680">
          <w:marLeft w:val="0"/>
          <w:marRight w:val="0"/>
          <w:marTop w:val="0"/>
          <w:marBottom w:val="0"/>
          <w:divBdr>
            <w:top w:val="none" w:sz="0" w:space="0" w:color="auto"/>
            <w:left w:val="none" w:sz="0" w:space="0" w:color="auto"/>
            <w:bottom w:val="none" w:sz="0" w:space="0" w:color="auto"/>
            <w:right w:val="none" w:sz="0" w:space="0" w:color="auto"/>
          </w:divBdr>
          <w:divsChild>
            <w:div w:id="659312367">
              <w:marLeft w:val="0"/>
              <w:marRight w:val="0"/>
              <w:marTop w:val="0"/>
              <w:marBottom w:val="0"/>
              <w:divBdr>
                <w:top w:val="none" w:sz="0" w:space="0" w:color="auto"/>
                <w:left w:val="none" w:sz="0" w:space="0" w:color="auto"/>
                <w:bottom w:val="none" w:sz="0" w:space="0" w:color="auto"/>
                <w:right w:val="none" w:sz="0" w:space="0" w:color="auto"/>
              </w:divBdr>
              <w:divsChild>
                <w:div w:id="15633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7132">
      <w:bodyDiv w:val="1"/>
      <w:marLeft w:val="0"/>
      <w:marRight w:val="0"/>
      <w:marTop w:val="0"/>
      <w:marBottom w:val="0"/>
      <w:divBdr>
        <w:top w:val="none" w:sz="0" w:space="0" w:color="auto"/>
        <w:left w:val="none" w:sz="0" w:space="0" w:color="auto"/>
        <w:bottom w:val="none" w:sz="0" w:space="0" w:color="auto"/>
        <w:right w:val="none" w:sz="0" w:space="0" w:color="auto"/>
      </w:divBdr>
    </w:div>
    <w:div w:id="1226457327">
      <w:bodyDiv w:val="1"/>
      <w:marLeft w:val="0"/>
      <w:marRight w:val="0"/>
      <w:marTop w:val="0"/>
      <w:marBottom w:val="0"/>
      <w:divBdr>
        <w:top w:val="none" w:sz="0" w:space="0" w:color="auto"/>
        <w:left w:val="none" w:sz="0" w:space="0" w:color="auto"/>
        <w:bottom w:val="none" w:sz="0" w:space="0" w:color="auto"/>
        <w:right w:val="none" w:sz="0" w:space="0" w:color="auto"/>
      </w:divBdr>
    </w:div>
    <w:div w:id="1227960576">
      <w:bodyDiv w:val="1"/>
      <w:marLeft w:val="0"/>
      <w:marRight w:val="0"/>
      <w:marTop w:val="0"/>
      <w:marBottom w:val="0"/>
      <w:divBdr>
        <w:top w:val="none" w:sz="0" w:space="0" w:color="auto"/>
        <w:left w:val="none" w:sz="0" w:space="0" w:color="auto"/>
        <w:bottom w:val="none" w:sz="0" w:space="0" w:color="auto"/>
        <w:right w:val="none" w:sz="0" w:space="0" w:color="auto"/>
      </w:divBdr>
    </w:div>
    <w:div w:id="1284113878">
      <w:bodyDiv w:val="1"/>
      <w:marLeft w:val="0"/>
      <w:marRight w:val="0"/>
      <w:marTop w:val="0"/>
      <w:marBottom w:val="0"/>
      <w:divBdr>
        <w:top w:val="none" w:sz="0" w:space="0" w:color="auto"/>
        <w:left w:val="none" w:sz="0" w:space="0" w:color="auto"/>
        <w:bottom w:val="none" w:sz="0" w:space="0" w:color="auto"/>
        <w:right w:val="none" w:sz="0" w:space="0" w:color="auto"/>
      </w:divBdr>
    </w:div>
    <w:div w:id="1364476902">
      <w:bodyDiv w:val="1"/>
      <w:marLeft w:val="0"/>
      <w:marRight w:val="0"/>
      <w:marTop w:val="0"/>
      <w:marBottom w:val="0"/>
      <w:divBdr>
        <w:top w:val="none" w:sz="0" w:space="0" w:color="auto"/>
        <w:left w:val="none" w:sz="0" w:space="0" w:color="auto"/>
        <w:bottom w:val="none" w:sz="0" w:space="0" w:color="auto"/>
        <w:right w:val="none" w:sz="0" w:space="0" w:color="auto"/>
      </w:divBdr>
    </w:div>
    <w:div w:id="20244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0.0222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86/s12966-014-0099-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55/2017/2506864" TargetMode="External"/><Relationship Id="rId4" Type="http://schemas.openxmlformats.org/officeDocument/2006/relationships/webSettings" Target="webSettings.xml"/><Relationship Id="rId9" Type="http://schemas.openxmlformats.org/officeDocument/2006/relationships/hyperlink" Target="https://doi.org/10.%201016/j.jenvp.2019.10132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18</Pages>
  <Words>9253</Words>
  <Characters>52746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918136828682</dc:creator>
  <cp:keywords/>
  <dc:description/>
  <cp:lastModifiedBy>Editor-22</cp:lastModifiedBy>
  <cp:revision>468</cp:revision>
  <dcterms:created xsi:type="dcterms:W3CDTF">2024-07-11T04:43:00Z</dcterms:created>
  <dcterms:modified xsi:type="dcterms:W3CDTF">2024-08-09T12:04:00Z</dcterms:modified>
</cp:coreProperties>
</file>