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C202" w14:textId="77777777" w:rsidR="0063627D" w:rsidRPr="0063627D" w:rsidRDefault="0063627D" w:rsidP="0063627D">
      <w:pPr>
        <w:pStyle w:val="Title"/>
        <w:jc w:val="both"/>
        <w:rPr>
          <w:rFonts w:ascii="Arial" w:hAnsi="Arial" w:cs="Arial"/>
          <w:bCs/>
          <w:i/>
          <w:iCs/>
          <w:u w:val="single"/>
        </w:rPr>
      </w:pPr>
      <w:r w:rsidRPr="0063627D">
        <w:rPr>
          <w:rFonts w:ascii="Arial" w:hAnsi="Arial" w:cs="Arial"/>
          <w:bCs/>
          <w:i/>
          <w:iCs/>
          <w:u w:val="single"/>
        </w:rPr>
        <w:t>Short Research Article</w:t>
      </w:r>
    </w:p>
    <w:p w14:paraId="3E945AB1" w14:textId="77777777" w:rsidR="00754C9A" w:rsidRDefault="00754C9A" w:rsidP="00441B6F">
      <w:pPr>
        <w:pStyle w:val="Title"/>
        <w:spacing w:after="0"/>
        <w:jc w:val="both"/>
        <w:rPr>
          <w:rFonts w:ascii="Arial" w:hAnsi="Arial" w:cs="Arial"/>
        </w:rPr>
      </w:pPr>
    </w:p>
    <w:p w14:paraId="20FCD76A" w14:textId="77777777" w:rsidR="0063627D" w:rsidRDefault="0063627D" w:rsidP="00441B6F">
      <w:pPr>
        <w:pStyle w:val="Title"/>
        <w:spacing w:after="0"/>
        <w:jc w:val="both"/>
        <w:rPr>
          <w:rFonts w:ascii="Arial" w:hAnsi="Arial" w:cs="Arial"/>
        </w:rPr>
      </w:pPr>
    </w:p>
    <w:p w14:paraId="06A3022D" w14:textId="2CDDE9BB" w:rsidR="00844E85" w:rsidRPr="00844E85" w:rsidRDefault="00A6606D" w:rsidP="00844E85">
      <w:pPr>
        <w:pStyle w:val="Author"/>
        <w:spacing w:line="240" w:lineRule="auto"/>
        <w:jc w:val="both"/>
        <w:rPr>
          <w:rFonts w:ascii="Arial" w:hAnsi="Arial" w:cs="Arial"/>
          <w:bCs/>
          <w:iCs/>
          <w:kern w:val="28"/>
          <w:sz w:val="36"/>
        </w:rPr>
      </w:pPr>
      <w:bookmarkStart w:id="0" w:name="_Hlk201324834"/>
      <w:r w:rsidRPr="00A6606D">
        <w:rPr>
          <w:rFonts w:ascii="Arial" w:hAnsi="Arial" w:cs="Arial"/>
          <w:bCs/>
          <w:iCs/>
          <w:kern w:val="28"/>
          <w:sz w:val="36"/>
        </w:rPr>
        <w:t xml:space="preserve">Tracking SIRS Progression in Dogs: </w:t>
      </w:r>
      <w:r w:rsidR="00FC1507">
        <w:rPr>
          <w:rFonts w:ascii="Arial" w:hAnsi="Arial" w:cs="Arial"/>
          <w:bCs/>
          <w:iCs/>
          <w:kern w:val="28"/>
          <w:sz w:val="36"/>
        </w:rPr>
        <w:t xml:space="preserve">Blood </w:t>
      </w:r>
      <w:r w:rsidR="001E5418">
        <w:rPr>
          <w:rFonts w:ascii="Arial" w:hAnsi="Arial" w:cs="Arial"/>
          <w:bCs/>
          <w:iCs/>
          <w:kern w:val="28"/>
          <w:sz w:val="36"/>
        </w:rPr>
        <w:t>inflammatory indices</w:t>
      </w:r>
      <w:r w:rsidRPr="00A6606D">
        <w:rPr>
          <w:rFonts w:ascii="Arial" w:hAnsi="Arial" w:cs="Arial"/>
          <w:bCs/>
          <w:iCs/>
          <w:kern w:val="28"/>
          <w:sz w:val="36"/>
        </w:rPr>
        <w:t xml:space="preserve"> as Predictive Tools</w:t>
      </w:r>
    </w:p>
    <w:bookmarkEnd w:id="0"/>
    <w:p w14:paraId="20199A6A" w14:textId="77777777" w:rsidR="00A258C3" w:rsidRPr="00790ADA" w:rsidRDefault="00A258C3" w:rsidP="00441B6F">
      <w:pPr>
        <w:pStyle w:val="Author"/>
        <w:spacing w:line="240" w:lineRule="auto"/>
        <w:jc w:val="both"/>
        <w:rPr>
          <w:rFonts w:ascii="Arial" w:hAnsi="Arial" w:cs="Arial"/>
          <w:sz w:val="36"/>
        </w:rPr>
      </w:pPr>
    </w:p>
    <w:p w14:paraId="71EC9C0D" w14:textId="1B1A2F5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D2B926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5427A0C" w14:textId="77777777" w:rsidTr="001E44FE">
        <w:tc>
          <w:tcPr>
            <w:tcW w:w="9576" w:type="dxa"/>
            <w:shd w:val="clear" w:color="auto" w:fill="F2F2F2"/>
          </w:tcPr>
          <w:p w14:paraId="5ED47D0A" w14:textId="77777777" w:rsidR="00E3114E" w:rsidRDefault="00E3114E" w:rsidP="00D4719F">
            <w:pPr>
              <w:pStyle w:val="Body"/>
              <w:spacing w:after="0"/>
              <w:rPr>
                <w:rFonts w:ascii="Arial" w:eastAsia="Calibri" w:hAnsi="Arial" w:cs="Arial"/>
                <w:b/>
                <w:szCs w:val="22"/>
              </w:rPr>
            </w:pPr>
          </w:p>
          <w:p w14:paraId="18CDC399" w14:textId="7801DA52" w:rsidR="00BA1B01" w:rsidRPr="00BA1B01" w:rsidRDefault="00BA1B01" w:rsidP="00D4719F">
            <w:pPr>
              <w:pStyle w:val="Body"/>
              <w:spacing w:after="0"/>
              <w:rPr>
                <w:rFonts w:ascii="Arial" w:eastAsia="Calibri" w:hAnsi="Arial" w:cs="Arial"/>
                <w:szCs w:val="22"/>
              </w:rPr>
            </w:pPr>
            <w:r w:rsidRPr="00BA1B01">
              <w:rPr>
                <w:rFonts w:ascii="Arial" w:eastAsia="Calibri" w:hAnsi="Arial" w:cs="Arial"/>
                <w:b/>
                <w:szCs w:val="22"/>
              </w:rPr>
              <w:t xml:space="preserve">Aims: </w:t>
            </w:r>
            <w:r w:rsidR="008C31D6" w:rsidRPr="008C31D6">
              <w:rPr>
                <w:rFonts w:ascii="Arial" w:eastAsia="Calibri" w:hAnsi="Arial" w:cs="Arial"/>
                <w:szCs w:val="22"/>
              </w:rPr>
              <w:t xml:space="preserve">To evaluate the alterations in </w:t>
            </w:r>
            <w:proofErr w:type="spellStart"/>
            <w:r w:rsidR="008C31D6" w:rsidRPr="008C31D6">
              <w:rPr>
                <w:rFonts w:ascii="Arial" w:eastAsia="Calibri" w:hAnsi="Arial" w:cs="Arial"/>
                <w:szCs w:val="22"/>
              </w:rPr>
              <w:t>haematological</w:t>
            </w:r>
            <w:proofErr w:type="spellEnd"/>
            <w:r w:rsidR="008C31D6" w:rsidRPr="008C31D6">
              <w:rPr>
                <w:rFonts w:ascii="Arial" w:eastAsia="Calibri" w:hAnsi="Arial" w:cs="Arial"/>
                <w:szCs w:val="22"/>
              </w:rPr>
              <w:t xml:space="preserve"> indices—including neutrophil-to-lymphocyte ratio, platelet-to-lymphocyte ratio, and systemic immune-inflammation index —in dogs diagnosed with systemic inflammatory response </w:t>
            </w:r>
            <w:proofErr w:type="gramStart"/>
            <w:r w:rsidR="008C31D6" w:rsidRPr="008C31D6">
              <w:rPr>
                <w:rFonts w:ascii="Arial" w:eastAsia="Calibri" w:hAnsi="Arial" w:cs="Arial"/>
                <w:szCs w:val="22"/>
              </w:rPr>
              <w:t>syndrome</w:t>
            </w:r>
            <w:r w:rsidR="0020640D">
              <w:rPr>
                <w:rFonts w:ascii="Arial" w:eastAsia="Calibri" w:hAnsi="Arial" w:cs="Arial"/>
                <w:szCs w:val="22"/>
              </w:rPr>
              <w:t>(</w:t>
            </w:r>
            <w:proofErr w:type="gramEnd"/>
            <w:r w:rsidR="0020640D">
              <w:rPr>
                <w:rFonts w:ascii="Arial" w:eastAsia="Calibri" w:hAnsi="Arial" w:cs="Arial"/>
                <w:szCs w:val="22"/>
              </w:rPr>
              <w:t>SIRS)</w:t>
            </w:r>
            <w:r w:rsidR="008C31D6" w:rsidRPr="008C31D6">
              <w:rPr>
                <w:rFonts w:ascii="Arial" w:eastAsia="Calibri" w:hAnsi="Arial" w:cs="Arial"/>
                <w:szCs w:val="22"/>
              </w:rPr>
              <w:t>, and to further assess the changes in these parameters in cases that progress to multiple organ dysfunction syndrome</w:t>
            </w:r>
            <w:r w:rsidR="0020640D">
              <w:rPr>
                <w:rFonts w:ascii="Arial" w:eastAsia="Calibri" w:hAnsi="Arial" w:cs="Arial"/>
                <w:szCs w:val="22"/>
              </w:rPr>
              <w:t>(MODS)</w:t>
            </w:r>
            <w:r w:rsidR="008C31D6" w:rsidRPr="008C31D6">
              <w:rPr>
                <w:rFonts w:ascii="Arial" w:eastAsia="Calibri" w:hAnsi="Arial" w:cs="Arial"/>
                <w:szCs w:val="22"/>
              </w:rPr>
              <w:t>.</w:t>
            </w:r>
          </w:p>
          <w:p w14:paraId="28D58BB1" w14:textId="5AB497E4" w:rsidR="00BA1B01" w:rsidRPr="00BA1B01" w:rsidRDefault="00BA1B01" w:rsidP="00D4719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p>
          <w:p w14:paraId="235CC73D" w14:textId="183DB471" w:rsidR="00BA1B01" w:rsidRPr="00BA1B01" w:rsidRDefault="00BA1B01" w:rsidP="00D4719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C31D6">
              <w:rPr>
                <w:rFonts w:ascii="Arial" w:eastAsia="Calibri" w:hAnsi="Arial" w:cs="Arial"/>
                <w:szCs w:val="22"/>
              </w:rPr>
              <w:t xml:space="preserve">The study was conducted in the </w:t>
            </w:r>
            <w:r w:rsidRPr="00BA1B01">
              <w:rPr>
                <w:rFonts w:ascii="Arial" w:eastAsia="Calibri" w:hAnsi="Arial" w:cs="Arial"/>
                <w:szCs w:val="22"/>
              </w:rPr>
              <w:t xml:space="preserve">Department of </w:t>
            </w:r>
            <w:r w:rsidR="008C31D6">
              <w:rPr>
                <w:rFonts w:ascii="Arial" w:eastAsia="Calibri" w:hAnsi="Arial" w:cs="Arial"/>
                <w:szCs w:val="22"/>
              </w:rPr>
              <w:t>Veterinary clinical m</w:t>
            </w:r>
            <w:r w:rsidRPr="00BA1B01">
              <w:rPr>
                <w:rFonts w:ascii="Arial" w:eastAsia="Calibri" w:hAnsi="Arial" w:cs="Arial"/>
                <w:szCs w:val="22"/>
              </w:rPr>
              <w:t>edicine</w:t>
            </w:r>
            <w:r w:rsidR="008C31D6">
              <w:rPr>
                <w:rFonts w:ascii="Arial" w:eastAsia="Calibri" w:hAnsi="Arial" w:cs="Arial"/>
                <w:szCs w:val="22"/>
              </w:rPr>
              <w:t xml:space="preserve">. Ethics and Jurisprudence, College of Veterinary and Animal Sciences, </w:t>
            </w:r>
            <w:proofErr w:type="spellStart"/>
            <w:r w:rsidR="008C31D6">
              <w:rPr>
                <w:rFonts w:ascii="Arial" w:eastAsia="Calibri" w:hAnsi="Arial" w:cs="Arial"/>
                <w:szCs w:val="22"/>
              </w:rPr>
              <w:t>Pookode</w:t>
            </w:r>
            <w:proofErr w:type="spellEnd"/>
            <w:r w:rsidR="008C31D6">
              <w:rPr>
                <w:rFonts w:ascii="Arial" w:eastAsia="Calibri" w:hAnsi="Arial" w:cs="Arial"/>
                <w:szCs w:val="22"/>
              </w:rPr>
              <w:t>, Wayanad- 673576 b</w:t>
            </w:r>
            <w:r w:rsidRPr="00BA1B01">
              <w:rPr>
                <w:rFonts w:ascii="Arial" w:eastAsia="Calibri" w:hAnsi="Arial" w:cs="Arial"/>
                <w:szCs w:val="22"/>
              </w:rPr>
              <w:t xml:space="preserve">etween </w:t>
            </w:r>
            <w:r w:rsidR="0091321C">
              <w:rPr>
                <w:rFonts w:ascii="Arial" w:eastAsia="Calibri" w:hAnsi="Arial" w:cs="Arial"/>
                <w:szCs w:val="22"/>
              </w:rPr>
              <w:t>July</w:t>
            </w:r>
            <w:r w:rsidR="008C31D6">
              <w:rPr>
                <w:rFonts w:ascii="Arial" w:eastAsia="Calibri" w:hAnsi="Arial" w:cs="Arial"/>
                <w:szCs w:val="22"/>
              </w:rPr>
              <w:t xml:space="preserve"> 2024</w:t>
            </w:r>
            <w:r w:rsidRPr="00BA1B01">
              <w:rPr>
                <w:rFonts w:ascii="Arial" w:eastAsia="Calibri" w:hAnsi="Arial" w:cs="Arial"/>
                <w:szCs w:val="22"/>
              </w:rPr>
              <w:t xml:space="preserve"> and </w:t>
            </w:r>
            <w:r w:rsidR="008C31D6">
              <w:rPr>
                <w:rFonts w:ascii="Arial" w:eastAsia="Calibri" w:hAnsi="Arial" w:cs="Arial"/>
                <w:szCs w:val="22"/>
              </w:rPr>
              <w:t>June</w:t>
            </w:r>
            <w:r w:rsidRPr="00BA1B01">
              <w:rPr>
                <w:rFonts w:ascii="Arial" w:eastAsia="Calibri" w:hAnsi="Arial" w:cs="Arial"/>
                <w:szCs w:val="22"/>
              </w:rPr>
              <w:t xml:space="preserve"> </w:t>
            </w:r>
            <w:r w:rsidR="008C31D6">
              <w:rPr>
                <w:rFonts w:ascii="Arial" w:eastAsia="Calibri" w:hAnsi="Arial" w:cs="Arial"/>
                <w:szCs w:val="22"/>
              </w:rPr>
              <w:t>2025.</w:t>
            </w:r>
          </w:p>
          <w:p w14:paraId="346334D7" w14:textId="77777777" w:rsidR="00D55421" w:rsidRDefault="00BA1B01" w:rsidP="00D4719F">
            <w:pPr>
              <w:pStyle w:val="Body"/>
              <w:rPr>
                <w:rFonts w:ascii="Arial" w:eastAsia="Calibri" w:hAnsi="Arial" w:cs="Arial"/>
                <w:bCs/>
                <w:szCs w:val="22"/>
                <w:lang w:val="en-IN"/>
              </w:rPr>
            </w:pPr>
            <w:r w:rsidRPr="00BA1B01">
              <w:rPr>
                <w:rFonts w:ascii="Arial" w:eastAsia="Calibri" w:hAnsi="Arial" w:cs="Arial"/>
                <w:b/>
                <w:bCs/>
                <w:szCs w:val="22"/>
              </w:rPr>
              <w:t>Methodology:</w:t>
            </w:r>
            <w:r w:rsidRPr="00BA1B01">
              <w:rPr>
                <w:rFonts w:ascii="Arial" w:eastAsia="Calibri" w:hAnsi="Arial" w:cs="Arial"/>
                <w:szCs w:val="22"/>
              </w:rPr>
              <w:t xml:space="preserve"> </w:t>
            </w:r>
            <w:r w:rsidR="00D55421" w:rsidRPr="00D55421">
              <w:rPr>
                <w:rFonts w:ascii="Arial" w:eastAsia="Calibri" w:hAnsi="Arial" w:cs="Arial"/>
                <w:bCs/>
                <w:szCs w:val="22"/>
                <w:lang w:val="en-IN"/>
              </w:rPr>
              <w:t>Dogs meeting the inclusion criteria for SIRS were enrolled in the study. Based on organ dysfunction parameters, they were categorized into two groups: Group I, comprising dogs that did not develop</w:t>
            </w:r>
            <w:r w:rsidR="00D55421">
              <w:rPr>
                <w:rFonts w:ascii="Arial" w:eastAsia="Calibri" w:hAnsi="Arial" w:cs="Arial"/>
                <w:bCs/>
                <w:szCs w:val="22"/>
                <w:lang w:val="en-IN"/>
              </w:rPr>
              <w:t xml:space="preserve"> </w:t>
            </w:r>
            <w:r w:rsidR="00D55421" w:rsidRPr="00D55421">
              <w:rPr>
                <w:rFonts w:ascii="Arial" w:eastAsia="Calibri" w:hAnsi="Arial" w:cs="Arial"/>
                <w:bCs/>
                <w:szCs w:val="22"/>
                <w:lang w:val="en-IN"/>
              </w:rPr>
              <w:t xml:space="preserve">MODS, and Group II, comprising those that progressed to MODS. Comprehensive haematological analyses were performed, with particular focus on inflammatory markers including the Neutrophil-to-Lymphocyte Ratio (NLR), Platelet-to-Lymphocyte Ratio (PLR), and Systemic </w:t>
            </w:r>
            <w:r w:rsidR="00D55421">
              <w:rPr>
                <w:rFonts w:ascii="Arial" w:eastAsia="Calibri" w:hAnsi="Arial" w:cs="Arial"/>
                <w:bCs/>
                <w:szCs w:val="22"/>
                <w:lang w:val="en-IN"/>
              </w:rPr>
              <w:t>Immune i</w:t>
            </w:r>
            <w:r w:rsidR="00D55421" w:rsidRPr="00D55421">
              <w:rPr>
                <w:rFonts w:ascii="Arial" w:eastAsia="Calibri" w:hAnsi="Arial" w:cs="Arial"/>
                <w:bCs/>
                <w:szCs w:val="22"/>
                <w:lang w:val="en-IN"/>
              </w:rPr>
              <w:t>nflammat</w:t>
            </w:r>
            <w:r w:rsidR="00D55421">
              <w:rPr>
                <w:rFonts w:ascii="Arial" w:eastAsia="Calibri" w:hAnsi="Arial" w:cs="Arial"/>
                <w:bCs/>
                <w:szCs w:val="22"/>
                <w:lang w:val="en-IN"/>
              </w:rPr>
              <w:t>ion</w:t>
            </w:r>
            <w:r w:rsidR="00D55421" w:rsidRPr="00D55421">
              <w:rPr>
                <w:rFonts w:ascii="Arial" w:eastAsia="Calibri" w:hAnsi="Arial" w:cs="Arial"/>
                <w:bCs/>
                <w:szCs w:val="22"/>
                <w:lang w:val="en-IN"/>
              </w:rPr>
              <w:t xml:space="preserve"> Index (SII). These indices were calculated and interpreted to assess their relevance in disease progression</w:t>
            </w:r>
            <w:r w:rsidR="00D55421">
              <w:rPr>
                <w:rFonts w:ascii="Arial" w:eastAsia="Calibri" w:hAnsi="Arial" w:cs="Arial"/>
                <w:bCs/>
                <w:szCs w:val="22"/>
                <w:lang w:val="en-IN"/>
              </w:rPr>
              <w:t>.</w:t>
            </w:r>
          </w:p>
          <w:p w14:paraId="709B6104" w14:textId="37CD7BBB" w:rsidR="00BA1B01" w:rsidRPr="00BA1B01" w:rsidRDefault="00BA1B01" w:rsidP="00D4719F">
            <w:pPr>
              <w:pStyle w:val="Body"/>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C078A" w:rsidRPr="007C078A">
              <w:rPr>
                <w:rFonts w:ascii="Arial" w:eastAsia="Calibri" w:hAnsi="Arial" w:cs="Arial"/>
                <w:szCs w:val="22"/>
              </w:rPr>
              <w:t>Of the 34 dogs diagnosed with SIRS, 22 (64.7%) were male and 12 (35.3%) were female. Based on the progression to organ dysfunction, 15 dogs (44.1%) were categorized under Group I (</w:t>
            </w:r>
            <w:r w:rsidR="007C078A">
              <w:rPr>
                <w:rFonts w:ascii="Arial" w:eastAsia="Calibri" w:hAnsi="Arial" w:cs="Arial"/>
                <w:szCs w:val="22"/>
              </w:rPr>
              <w:t xml:space="preserve">not having </w:t>
            </w:r>
            <w:r w:rsidR="007C078A" w:rsidRPr="007C078A">
              <w:rPr>
                <w:rFonts w:ascii="Arial" w:eastAsia="Calibri" w:hAnsi="Arial" w:cs="Arial"/>
                <w:szCs w:val="22"/>
              </w:rPr>
              <w:t xml:space="preserve">MODS), while 19 dogs (55.9%) formed Group II (MODS). NLR values were significantly elevated in both groups compared to the control group (6.3 ± 0.93 in Group I, 8.09 ± 0.86 in Group II, and 3.28 ± 0.14 in controls). Although PLR values did not show a statistically significant difference between Group I and the control group, Group II exhibited a significantly lower PLR (90.21 ± 16.65) compared to controls (169.15 ± 16.14; </w:t>
            </w:r>
            <w:r w:rsidR="007C078A" w:rsidRPr="007C078A">
              <w:rPr>
                <w:rFonts w:ascii="Arial" w:eastAsia="Calibri" w:hAnsi="Arial" w:cs="Arial"/>
                <w:b/>
                <w:bCs/>
                <w:szCs w:val="22"/>
              </w:rPr>
              <w:t>P = 0.003</w:t>
            </w:r>
            <w:r w:rsidR="007C078A" w:rsidRPr="007C078A">
              <w:rPr>
                <w:rFonts w:ascii="Arial" w:eastAsia="Calibri" w:hAnsi="Arial" w:cs="Arial"/>
                <w:szCs w:val="22"/>
              </w:rPr>
              <w:t>). SII values were markedly increased in both groups relative to the control animals</w:t>
            </w:r>
            <w:r w:rsidR="0039169D">
              <w:rPr>
                <w:rFonts w:ascii="Arial" w:eastAsia="Calibri" w:hAnsi="Arial" w:cs="Arial"/>
                <w:szCs w:val="22"/>
                <w:lang w:val="en-IN"/>
              </w:rPr>
              <w:t>.</w:t>
            </w:r>
          </w:p>
          <w:p w14:paraId="13E5C6A0" w14:textId="0CFFF136" w:rsidR="00636EB2" w:rsidRDefault="00BA1B01" w:rsidP="00D4719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4719F" w:rsidRPr="00D4719F">
              <w:rPr>
                <w:rFonts w:ascii="Arial" w:eastAsia="Calibri" w:hAnsi="Arial" w:cs="Arial"/>
                <w:szCs w:val="22"/>
              </w:rPr>
              <w:t>The study highlights the prognostic significance of NLR, PLR, and SII as inflammatory biomarkers in dogs with SIRS, with notable differences observed between those that developed MODS and those that did not. These findings suggest that elevated NLR and SII, along with decreased PLR in MODS cases, may serve as useful indicators for early detection and monitoring of disease progression.</w:t>
            </w:r>
          </w:p>
          <w:p w14:paraId="71019873" w14:textId="79F6E977" w:rsidR="00505F06" w:rsidRPr="00BA1B01" w:rsidRDefault="00505F06" w:rsidP="00D4719F">
            <w:pPr>
              <w:pStyle w:val="Body"/>
              <w:spacing w:after="0"/>
              <w:rPr>
                <w:rFonts w:ascii="Arial" w:eastAsia="Calibri" w:hAnsi="Arial" w:cs="Arial"/>
                <w:szCs w:val="22"/>
              </w:rPr>
            </w:pPr>
          </w:p>
        </w:tc>
      </w:tr>
    </w:tbl>
    <w:p w14:paraId="42510B61" w14:textId="77777777" w:rsidR="00636EB2" w:rsidRDefault="00636EB2" w:rsidP="00441B6F">
      <w:pPr>
        <w:pStyle w:val="Body"/>
        <w:spacing w:after="0"/>
        <w:rPr>
          <w:rFonts w:ascii="Arial" w:hAnsi="Arial" w:cs="Arial"/>
          <w:i/>
        </w:rPr>
      </w:pPr>
    </w:p>
    <w:p w14:paraId="3A2E6D18" w14:textId="494DD61C" w:rsidR="00A24E7E" w:rsidRDefault="00A24E7E" w:rsidP="00441B6F">
      <w:pPr>
        <w:pStyle w:val="Body"/>
        <w:spacing w:after="0"/>
        <w:rPr>
          <w:rFonts w:ascii="Arial" w:hAnsi="Arial" w:cs="Arial"/>
          <w:i/>
        </w:rPr>
      </w:pPr>
      <w:r>
        <w:rPr>
          <w:rFonts w:ascii="Arial" w:hAnsi="Arial" w:cs="Arial"/>
          <w:i/>
        </w:rPr>
        <w:t xml:space="preserve">Keywords: </w:t>
      </w:r>
      <w:r w:rsidR="00D4719F">
        <w:rPr>
          <w:rFonts w:ascii="Arial" w:hAnsi="Arial" w:cs="Arial"/>
          <w:i/>
        </w:rPr>
        <w:t>SIRS, MODS, neutrophil lymphocyte ratio, platelet lymphocyte ratio, systemic immune inflammation index</w:t>
      </w:r>
    </w:p>
    <w:p w14:paraId="221BF7EE" w14:textId="77777777" w:rsidR="00790ADA" w:rsidRDefault="00790ADA" w:rsidP="00441B6F">
      <w:pPr>
        <w:pStyle w:val="Body"/>
        <w:spacing w:after="0"/>
        <w:rPr>
          <w:rFonts w:ascii="Arial" w:hAnsi="Arial" w:cs="Arial"/>
          <w:i/>
        </w:rPr>
      </w:pPr>
    </w:p>
    <w:p w14:paraId="4802B0BE" w14:textId="61820941"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2A434749" w14:textId="77777777" w:rsidR="00790ADA" w:rsidRPr="00FB3A86" w:rsidRDefault="00790ADA" w:rsidP="00441B6F">
      <w:pPr>
        <w:pStyle w:val="AbstHead"/>
        <w:spacing w:after="0"/>
        <w:jc w:val="both"/>
        <w:rPr>
          <w:rFonts w:ascii="Arial" w:hAnsi="Arial" w:cs="Arial"/>
        </w:rPr>
      </w:pPr>
    </w:p>
    <w:p w14:paraId="29C05F83" w14:textId="351A788E" w:rsidR="00CF7161" w:rsidRPr="00CF7161" w:rsidRDefault="00CF7161" w:rsidP="00B92720">
      <w:pPr>
        <w:pStyle w:val="Body"/>
        <w:rPr>
          <w:rFonts w:ascii="Arial" w:hAnsi="Arial" w:cs="Arial"/>
          <w:lang w:val="en-IN"/>
        </w:rPr>
      </w:pPr>
      <w:r w:rsidRPr="00CF7161">
        <w:rPr>
          <w:rFonts w:ascii="Arial" w:hAnsi="Arial" w:cs="Arial"/>
          <w:lang w:val="en-IN"/>
        </w:rPr>
        <w:t xml:space="preserve">Systemic inflammatory response syndrome (SIRS) occurs as a widespread reaction to infectious or non-infectious diseases, driven by a significant release of inflammatory mediators. </w:t>
      </w:r>
      <w:r w:rsidR="00964C10" w:rsidRPr="00964C10">
        <w:rPr>
          <w:rFonts w:ascii="Arial" w:hAnsi="Arial" w:cs="Arial"/>
        </w:rPr>
        <w:t>Assessing the severity and progression of SIRS in dogs remains challenging, as conventional diagnostic methods may not always provide early insights into immune dysregulation</w:t>
      </w:r>
      <w:r w:rsidR="00964C10">
        <w:rPr>
          <w:rFonts w:ascii="Arial" w:hAnsi="Arial" w:cs="Arial"/>
        </w:rPr>
        <w:t>.</w:t>
      </w:r>
      <w:r w:rsidR="00665382">
        <w:rPr>
          <w:rFonts w:ascii="Arial" w:hAnsi="Arial" w:cs="Arial"/>
        </w:rPr>
        <w:t xml:space="preserve"> Various biomarkers </w:t>
      </w:r>
      <w:r w:rsidR="00665382" w:rsidRPr="00665382">
        <w:rPr>
          <w:rFonts w:ascii="Arial" w:hAnsi="Arial" w:cs="Arial"/>
        </w:rPr>
        <w:t>for the diagnosis and prognostication of sepsis have been assessed in veterinary medicine with mixed results</w:t>
      </w:r>
      <w:r w:rsidR="00665382">
        <w:rPr>
          <w:rFonts w:ascii="Arial" w:hAnsi="Arial" w:cs="Arial"/>
        </w:rPr>
        <w:t xml:space="preserve"> (</w:t>
      </w:r>
      <w:bookmarkStart w:id="1" w:name="_Hlk200610439"/>
      <w:r w:rsidR="00665382" w:rsidRPr="00665382">
        <w:rPr>
          <w:rFonts w:ascii="Arial" w:hAnsi="Arial" w:cs="Arial"/>
        </w:rPr>
        <w:t>Hodgson</w:t>
      </w:r>
      <w:r w:rsidR="00665382">
        <w:rPr>
          <w:rFonts w:ascii="Arial" w:hAnsi="Arial" w:cs="Arial"/>
        </w:rPr>
        <w:t xml:space="preserve"> </w:t>
      </w:r>
      <w:r w:rsidR="00665382" w:rsidRPr="00665382">
        <w:rPr>
          <w:rFonts w:ascii="Arial" w:hAnsi="Arial" w:cs="Arial"/>
          <w:i/>
          <w:iCs/>
        </w:rPr>
        <w:t>et al.,</w:t>
      </w:r>
      <w:r w:rsidR="00665382">
        <w:rPr>
          <w:rFonts w:ascii="Arial" w:hAnsi="Arial" w:cs="Arial"/>
        </w:rPr>
        <w:t xml:space="preserve"> 2018</w:t>
      </w:r>
      <w:bookmarkEnd w:id="1"/>
      <w:r w:rsidR="00665382">
        <w:rPr>
          <w:rFonts w:ascii="Arial" w:hAnsi="Arial" w:cs="Arial"/>
        </w:rPr>
        <w:t>)</w:t>
      </w:r>
      <w:r w:rsidR="00665382" w:rsidRPr="00665382">
        <w:rPr>
          <w:rFonts w:ascii="Arial" w:hAnsi="Arial" w:cs="Arial"/>
        </w:rPr>
        <w:t>.</w:t>
      </w:r>
      <w:r w:rsidR="00964C10">
        <w:rPr>
          <w:rFonts w:ascii="Arial" w:hAnsi="Arial" w:cs="Arial"/>
        </w:rPr>
        <w:t xml:space="preserve"> </w:t>
      </w:r>
      <w:r w:rsidR="00B043E9">
        <w:rPr>
          <w:rFonts w:ascii="Arial" w:hAnsi="Arial" w:cs="Arial"/>
        </w:rPr>
        <w:t xml:space="preserve">The neutrophils being a key component of the innate immune system, will have a dramatic increase when there </w:t>
      </w:r>
      <w:r w:rsidR="00C41EBF">
        <w:rPr>
          <w:rFonts w:ascii="Arial" w:hAnsi="Arial" w:cs="Arial"/>
        </w:rPr>
        <w:t>are</w:t>
      </w:r>
      <w:r w:rsidR="00B043E9">
        <w:rPr>
          <w:rFonts w:ascii="Arial" w:hAnsi="Arial" w:cs="Arial"/>
        </w:rPr>
        <w:t xml:space="preserve"> any inflammatory reactions are taking place in the body.</w:t>
      </w:r>
      <w:r w:rsidR="00B043E9" w:rsidRPr="00B043E9">
        <w:t xml:space="preserve"> </w:t>
      </w:r>
      <w:r w:rsidR="00B043E9" w:rsidRPr="00B043E9">
        <w:rPr>
          <w:rFonts w:ascii="Arial" w:hAnsi="Arial" w:cs="Arial"/>
        </w:rPr>
        <w:t>However, with continued septic states, neutrophil function is decreased and apoptosis is delayed</w:t>
      </w:r>
      <w:r w:rsidR="00B043E9">
        <w:rPr>
          <w:rFonts w:ascii="Arial" w:hAnsi="Arial" w:cs="Arial"/>
        </w:rPr>
        <w:t xml:space="preserve"> (</w:t>
      </w:r>
      <w:bookmarkStart w:id="2" w:name="_Hlk200625261"/>
      <w:r w:rsidR="000D507C" w:rsidRPr="000D507C">
        <w:rPr>
          <w:rFonts w:ascii="Arial" w:hAnsi="Arial" w:cs="Arial"/>
          <w:lang w:val="en-IN"/>
        </w:rPr>
        <w:t>Hotchkiss</w:t>
      </w:r>
      <w:r w:rsidR="000D507C">
        <w:rPr>
          <w:rFonts w:ascii="Arial" w:hAnsi="Arial" w:cs="Arial"/>
          <w:lang w:val="en-IN"/>
        </w:rPr>
        <w:t xml:space="preserve"> </w:t>
      </w:r>
      <w:r w:rsidR="000D507C" w:rsidRPr="000D507C">
        <w:rPr>
          <w:rFonts w:ascii="Arial" w:hAnsi="Arial" w:cs="Arial"/>
          <w:i/>
          <w:iCs/>
          <w:lang w:val="en-IN"/>
        </w:rPr>
        <w:t>et al</w:t>
      </w:r>
      <w:r w:rsidR="000D507C">
        <w:rPr>
          <w:rFonts w:ascii="Arial" w:hAnsi="Arial" w:cs="Arial"/>
          <w:lang w:val="en-IN"/>
        </w:rPr>
        <w:t>., 2013</w:t>
      </w:r>
      <w:bookmarkEnd w:id="2"/>
      <w:r w:rsidR="000D507C">
        <w:rPr>
          <w:rFonts w:ascii="Arial" w:hAnsi="Arial" w:cs="Arial"/>
          <w:lang w:val="en-IN"/>
        </w:rPr>
        <w:t>)</w:t>
      </w:r>
      <w:r w:rsidR="00B043E9" w:rsidRPr="00B043E9">
        <w:rPr>
          <w:rFonts w:ascii="Arial" w:hAnsi="Arial" w:cs="Arial"/>
        </w:rPr>
        <w:t>.</w:t>
      </w:r>
      <w:r w:rsidR="00B043E9">
        <w:rPr>
          <w:rFonts w:ascii="Arial" w:hAnsi="Arial" w:cs="Arial"/>
        </w:rPr>
        <w:t xml:space="preserve"> </w:t>
      </w:r>
      <w:r w:rsidR="00B92720" w:rsidRPr="00B92720">
        <w:rPr>
          <w:rFonts w:ascii="Arial" w:hAnsi="Arial" w:cs="Arial"/>
          <w:lang w:val="en-IN"/>
        </w:rPr>
        <w:t>The neutrophil-to-lymphocyte ratio (NLR) is an easily accessible and cost-effective biomarker derived from a complete blood count, used to evaluate the balance of the body's inflammatory response</w:t>
      </w:r>
      <w:r w:rsidR="00B92720">
        <w:rPr>
          <w:rFonts w:ascii="Arial" w:hAnsi="Arial" w:cs="Arial"/>
          <w:lang w:val="en-IN"/>
        </w:rPr>
        <w:t xml:space="preserve"> (</w:t>
      </w:r>
      <w:proofErr w:type="spellStart"/>
      <w:r w:rsidR="00B92720" w:rsidRPr="00B92720">
        <w:rPr>
          <w:rFonts w:ascii="Arial" w:hAnsi="Arial" w:cs="Arial"/>
        </w:rPr>
        <w:t>Salciccioli</w:t>
      </w:r>
      <w:proofErr w:type="spellEnd"/>
      <w:r w:rsidR="00B92720">
        <w:rPr>
          <w:rFonts w:ascii="Arial" w:hAnsi="Arial" w:cs="Arial"/>
        </w:rPr>
        <w:t xml:space="preserve"> </w:t>
      </w:r>
      <w:r w:rsidR="00B92720" w:rsidRPr="00B92720">
        <w:rPr>
          <w:rFonts w:ascii="Arial" w:hAnsi="Arial" w:cs="Arial"/>
          <w:i/>
          <w:iCs/>
        </w:rPr>
        <w:t>et al.,</w:t>
      </w:r>
      <w:r w:rsidR="00B92720">
        <w:rPr>
          <w:rFonts w:ascii="Arial" w:hAnsi="Arial" w:cs="Arial"/>
        </w:rPr>
        <w:t>2015)</w:t>
      </w:r>
      <w:r w:rsidR="00B92720" w:rsidRPr="00B92720">
        <w:rPr>
          <w:rFonts w:ascii="Arial" w:hAnsi="Arial" w:cs="Arial"/>
          <w:lang w:val="en-IN"/>
        </w:rPr>
        <w:t>.</w:t>
      </w:r>
      <w:r w:rsidR="00B92720">
        <w:rPr>
          <w:rFonts w:ascii="Arial" w:hAnsi="Arial" w:cs="Arial"/>
          <w:lang w:val="en-IN"/>
        </w:rPr>
        <w:t xml:space="preserve"> </w:t>
      </w:r>
      <w:proofErr w:type="spellStart"/>
      <w:r w:rsidR="003C664D" w:rsidRPr="003C664D">
        <w:rPr>
          <w:rFonts w:ascii="Arial" w:hAnsi="Arial" w:cs="Arial"/>
        </w:rPr>
        <w:t>Zahorec</w:t>
      </w:r>
      <w:proofErr w:type="spellEnd"/>
      <w:r w:rsidR="003C664D" w:rsidRPr="003C664D">
        <w:rPr>
          <w:rFonts w:ascii="Arial" w:hAnsi="Arial" w:cs="Arial"/>
        </w:rPr>
        <w:t xml:space="preserve"> </w:t>
      </w:r>
      <w:r w:rsidR="003C664D">
        <w:rPr>
          <w:rFonts w:ascii="Arial" w:hAnsi="Arial" w:cs="Arial"/>
        </w:rPr>
        <w:t>(2001)</w:t>
      </w:r>
      <w:r w:rsidR="003C664D" w:rsidRPr="003C664D">
        <w:rPr>
          <w:rFonts w:ascii="Arial" w:hAnsi="Arial" w:cs="Arial"/>
        </w:rPr>
        <w:t xml:space="preserve"> first proposed the use of the NLR as a marker of infection in a clinical setting in human medicine</w:t>
      </w:r>
      <w:r w:rsidR="0078211D">
        <w:rPr>
          <w:rFonts w:ascii="Arial" w:hAnsi="Arial" w:cs="Arial"/>
        </w:rPr>
        <w:t xml:space="preserve">. </w:t>
      </w:r>
      <w:r w:rsidRPr="00CF7161">
        <w:rPr>
          <w:rFonts w:ascii="Arial" w:hAnsi="Arial" w:cs="Arial"/>
          <w:lang w:val="en-IN"/>
        </w:rPr>
        <w:t>The</w:t>
      </w:r>
      <w:r w:rsidR="006D7AEA">
        <w:rPr>
          <w:rFonts w:ascii="Arial" w:hAnsi="Arial" w:cs="Arial"/>
          <w:lang w:val="en-IN"/>
        </w:rPr>
        <w:t xml:space="preserve"> </w:t>
      </w:r>
      <w:r w:rsidRPr="00CF7161">
        <w:rPr>
          <w:rFonts w:ascii="Arial" w:hAnsi="Arial" w:cs="Arial"/>
          <w:lang w:val="en-IN"/>
        </w:rPr>
        <w:t xml:space="preserve">NLR and platelet-to-lymphocyte ratio (PLR) are recognized as prognostic indicators in existing literature, valued for their simplicity, accessibility, and cost-effectiveness. Additionally, the </w:t>
      </w:r>
      <w:bookmarkStart w:id="3" w:name="_Hlk200449537"/>
      <w:r w:rsidRPr="00CF7161">
        <w:rPr>
          <w:rFonts w:ascii="Arial" w:hAnsi="Arial" w:cs="Arial"/>
          <w:lang w:val="en-IN"/>
        </w:rPr>
        <w:t xml:space="preserve">systemic immune-inflammation index (SII) </w:t>
      </w:r>
      <w:bookmarkEnd w:id="3"/>
      <w:r w:rsidRPr="00CF7161">
        <w:rPr>
          <w:rFonts w:ascii="Arial" w:hAnsi="Arial" w:cs="Arial"/>
          <w:lang w:val="en-IN"/>
        </w:rPr>
        <w:t>and systemic inflammatory response index are emerging as crucial markers for assessing the severity of SIRS in animals.</w:t>
      </w:r>
      <w:r w:rsidR="00202378" w:rsidRPr="00202378">
        <w:t xml:space="preserve"> </w:t>
      </w:r>
      <w:r w:rsidR="00C928EA" w:rsidRPr="00C928EA">
        <w:rPr>
          <w:rFonts w:ascii="Arial" w:hAnsi="Arial" w:cs="Arial"/>
        </w:rPr>
        <w:t>Numerous studies in human medicine have identified the NLR as a reliable independent predictor of morbidity and mortality across various clinical conditions, including sepsis, cardiovascular disease, neoplasia, and infectious diseases.</w:t>
      </w:r>
    </w:p>
    <w:p w14:paraId="541CECE5" w14:textId="77777777" w:rsidR="00CF7161" w:rsidRPr="00CF7161" w:rsidRDefault="00CF7161" w:rsidP="00CF7161">
      <w:pPr>
        <w:pStyle w:val="Body"/>
        <w:spacing w:after="0"/>
        <w:rPr>
          <w:rFonts w:ascii="Arial" w:hAnsi="Arial" w:cs="Arial"/>
          <w:lang w:val="en-IN"/>
        </w:rPr>
      </w:pPr>
      <w:r w:rsidRPr="00CF7161">
        <w:rPr>
          <w:rFonts w:ascii="Arial" w:hAnsi="Arial" w:cs="Arial"/>
          <w:lang w:val="en-IN"/>
        </w:rPr>
        <w:t>In dogs, various etiological agents can trigger SIRS, which, if left unmanaged, may progress to multiple organ dysfunction syndrome (MODS), depending on the severity of infection and the timeliness of medical intervention. Early assessment of inflammation levels is essential to prevent disease progression. Given the critical nature of SIRS, prompt and appropriate care is required to mitigate complications in affected dogs.</w:t>
      </w:r>
    </w:p>
    <w:p w14:paraId="657B13FC" w14:textId="3BCF169F" w:rsidR="00A83078" w:rsidRDefault="00A83078" w:rsidP="00441B6F">
      <w:pPr>
        <w:pStyle w:val="AbstHead"/>
        <w:spacing w:after="0"/>
        <w:jc w:val="both"/>
        <w:rPr>
          <w:rFonts w:ascii="Arial" w:hAnsi="Arial" w:cs="Arial"/>
          <w:b w:val="0"/>
          <w:caps w:val="0"/>
          <w:sz w:val="20"/>
        </w:rPr>
      </w:pPr>
      <w:r w:rsidRPr="00A83078">
        <w:rPr>
          <w:rFonts w:ascii="Arial" w:hAnsi="Arial" w:cs="Arial"/>
          <w:b w:val="0"/>
          <w:caps w:val="0"/>
          <w:sz w:val="20"/>
        </w:rPr>
        <w:t>This study primarily aims to assess variations in the NLR, PLR, and SII in dogs diagnosed with SIRS, contributing to the refinement of early detection methodologies and optimized therapeutic interventions. Additionally, the study seeks to evaluate changes in these indices as SIRS progresses to MODS. By leveraging simple and cost-effective biomarkers, this research aims to enhance accessible diagnostic tools, ultimately improving the standard of care for critically ill canine patients.</w:t>
      </w:r>
    </w:p>
    <w:p w14:paraId="3D4EE8F6" w14:textId="77777777" w:rsidR="00A83078" w:rsidRDefault="00A83078" w:rsidP="00441B6F">
      <w:pPr>
        <w:pStyle w:val="AbstHead"/>
        <w:spacing w:after="0"/>
        <w:jc w:val="both"/>
        <w:rPr>
          <w:rFonts w:ascii="Arial" w:hAnsi="Arial" w:cs="Arial"/>
          <w:b w:val="0"/>
          <w:caps w:val="0"/>
          <w:sz w:val="20"/>
        </w:rPr>
      </w:pPr>
    </w:p>
    <w:p w14:paraId="2182933C" w14:textId="6B96BD4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95728AF" w14:textId="77777777" w:rsidR="00790ADA" w:rsidRPr="00FB3A86" w:rsidRDefault="00790ADA" w:rsidP="00441B6F">
      <w:pPr>
        <w:pStyle w:val="AbstHead"/>
        <w:spacing w:after="0"/>
        <w:jc w:val="both"/>
        <w:rPr>
          <w:rFonts w:ascii="Arial" w:hAnsi="Arial" w:cs="Arial"/>
        </w:rPr>
      </w:pPr>
    </w:p>
    <w:p w14:paraId="501F8BA4" w14:textId="285D7DD8" w:rsidR="00A056CC" w:rsidRDefault="004D2B65" w:rsidP="004D2B65">
      <w:pPr>
        <w:pStyle w:val="Body"/>
        <w:spacing w:after="0"/>
        <w:rPr>
          <w:rFonts w:ascii="Arial" w:hAnsi="Arial" w:cs="Arial"/>
          <w:lang w:val="en-IN"/>
        </w:rPr>
      </w:pPr>
      <w:r w:rsidRPr="004D2B65">
        <w:rPr>
          <w:rFonts w:ascii="Arial" w:hAnsi="Arial" w:cs="Arial"/>
          <w:lang w:val="en-IN"/>
        </w:rPr>
        <w:t xml:space="preserve">Dogs having clinical signs like lethargy, weakness, respiratory distress, cough, </w:t>
      </w:r>
      <w:proofErr w:type="spellStart"/>
      <w:r w:rsidRPr="004D2B65">
        <w:rPr>
          <w:rFonts w:ascii="Arial" w:hAnsi="Arial" w:cs="Arial"/>
          <w:lang w:val="en-IN"/>
        </w:rPr>
        <w:t>hyporexia</w:t>
      </w:r>
      <w:proofErr w:type="spellEnd"/>
      <w:r w:rsidRPr="004D2B65">
        <w:rPr>
          <w:rFonts w:ascii="Arial" w:hAnsi="Arial" w:cs="Arial"/>
          <w:lang w:val="en-IN"/>
        </w:rPr>
        <w:t xml:space="preserve">/anorexia, vomiting, diarrhoea, fever and altered mentation irrespective of age, sex and breed presented to veterinary hospitals under Kerala Veterinary and Animal Sciences University, </w:t>
      </w:r>
      <w:proofErr w:type="spellStart"/>
      <w:r w:rsidRPr="004D2B65">
        <w:rPr>
          <w:rFonts w:ascii="Arial" w:hAnsi="Arial" w:cs="Arial"/>
          <w:lang w:val="en-IN"/>
        </w:rPr>
        <w:t>Pookode</w:t>
      </w:r>
      <w:proofErr w:type="spellEnd"/>
      <w:r w:rsidRPr="004D2B65">
        <w:rPr>
          <w:rFonts w:ascii="Arial" w:hAnsi="Arial" w:cs="Arial"/>
          <w:lang w:val="en-IN"/>
        </w:rPr>
        <w:t xml:space="preserve"> were screened and </w:t>
      </w:r>
      <w:r w:rsidR="00C347EB">
        <w:rPr>
          <w:rFonts w:ascii="Arial" w:hAnsi="Arial" w:cs="Arial"/>
          <w:lang w:val="en-IN"/>
        </w:rPr>
        <w:t>those dogs</w:t>
      </w:r>
      <w:r w:rsidRPr="004D2B65">
        <w:rPr>
          <w:rFonts w:ascii="Arial" w:hAnsi="Arial" w:cs="Arial"/>
          <w:lang w:val="en-IN"/>
        </w:rPr>
        <w:t xml:space="preserve"> meeting the inclusion criteria of SIRS (2/4) (Thomas and </w:t>
      </w:r>
      <w:proofErr w:type="spellStart"/>
      <w:r w:rsidRPr="004D2B65">
        <w:rPr>
          <w:rFonts w:ascii="Arial" w:hAnsi="Arial" w:cs="Arial"/>
          <w:lang w:val="en-IN"/>
        </w:rPr>
        <w:t>Boller</w:t>
      </w:r>
      <w:proofErr w:type="spellEnd"/>
      <w:r w:rsidRPr="004D2B65">
        <w:rPr>
          <w:rFonts w:ascii="Arial" w:hAnsi="Arial" w:cs="Arial"/>
          <w:lang w:val="en-IN"/>
        </w:rPr>
        <w:t xml:space="preserve">, 2018) were selected. SIRS criteria included heart rate more than 120beats /minute, respiratory rate more than 40 breaths per minute, </w:t>
      </w:r>
      <w:r w:rsidR="00A93FDE">
        <w:rPr>
          <w:rFonts w:ascii="Arial" w:hAnsi="Arial" w:cs="Arial"/>
          <w:lang w:val="en-IN"/>
        </w:rPr>
        <w:t>hypothermia (</w:t>
      </w:r>
      <w:r w:rsidRPr="004D2B65">
        <w:rPr>
          <w:rFonts w:ascii="Arial" w:hAnsi="Arial" w:cs="Arial"/>
          <w:lang w:val="en-IN"/>
        </w:rPr>
        <w:t xml:space="preserve">temperature </w:t>
      </w:r>
      <w:r w:rsidR="00A93FDE">
        <w:rPr>
          <w:rFonts w:ascii="Arial" w:hAnsi="Arial" w:cs="Arial"/>
          <w:lang w:val="en-IN"/>
        </w:rPr>
        <w:t>&lt;</w:t>
      </w:r>
      <w:r w:rsidRPr="004D2B65">
        <w:rPr>
          <w:rFonts w:ascii="Arial" w:hAnsi="Arial" w:cs="Arial"/>
          <w:lang w:val="en-IN"/>
        </w:rPr>
        <w:t xml:space="preserve"> 100.6</w:t>
      </w:r>
      <w:r w:rsidRPr="004D2B65">
        <w:rPr>
          <w:rFonts w:ascii="Arial" w:hAnsi="Arial" w:cs="Arial"/>
          <w:vertAlign w:val="superscript"/>
          <w:lang w:val="en-IN"/>
        </w:rPr>
        <w:t>0</w:t>
      </w:r>
      <w:r w:rsidRPr="004D2B65">
        <w:rPr>
          <w:rFonts w:ascii="Arial" w:hAnsi="Arial" w:cs="Arial"/>
          <w:lang w:val="en-IN"/>
        </w:rPr>
        <w:t>F</w:t>
      </w:r>
      <w:r w:rsidR="00A93FDE">
        <w:rPr>
          <w:rFonts w:ascii="Arial" w:hAnsi="Arial" w:cs="Arial"/>
          <w:lang w:val="en-IN"/>
        </w:rPr>
        <w:t>)</w:t>
      </w:r>
      <w:r w:rsidRPr="004D2B65">
        <w:rPr>
          <w:rFonts w:ascii="Arial" w:hAnsi="Arial" w:cs="Arial"/>
          <w:lang w:val="en-IN"/>
        </w:rPr>
        <w:t xml:space="preserve"> or </w:t>
      </w:r>
      <w:r w:rsidR="00A93FDE">
        <w:rPr>
          <w:rFonts w:ascii="Arial" w:hAnsi="Arial" w:cs="Arial"/>
          <w:lang w:val="en-IN"/>
        </w:rPr>
        <w:t xml:space="preserve">hyperthermia (temperature &gt; </w:t>
      </w:r>
      <w:r w:rsidRPr="004D2B65">
        <w:rPr>
          <w:rFonts w:ascii="Arial" w:hAnsi="Arial" w:cs="Arial"/>
          <w:lang w:val="en-IN"/>
        </w:rPr>
        <w:t>102.6</w:t>
      </w:r>
      <w:r w:rsidRPr="004D2B65">
        <w:rPr>
          <w:rFonts w:ascii="Arial" w:hAnsi="Arial" w:cs="Arial"/>
          <w:vertAlign w:val="superscript"/>
          <w:lang w:val="en-IN"/>
        </w:rPr>
        <w:t>0</w:t>
      </w:r>
      <w:r w:rsidRPr="004D2B65">
        <w:rPr>
          <w:rFonts w:ascii="Arial" w:hAnsi="Arial" w:cs="Arial"/>
          <w:lang w:val="en-IN"/>
        </w:rPr>
        <w:t>F</w:t>
      </w:r>
      <w:r w:rsidR="00A93FDE">
        <w:rPr>
          <w:rFonts w:ascii="Arial" w:hAnsi="Arial" w:cs="Arial"/>
          <w:lang w:val="en-IN"/>
        </w:rPr>
        <w:t>)</w:t>
      </w:r>
      <w:r w:rsidRPr="004D2B65">
        <w:rPr>
          <w:rFonts w:ascii="Arial" w:hAnsi="Arial" w:cs="Arial"/>
          <w:lang w:val="en-IN"/>
        </w:rPr>
        <w:t xml:space="preserve"> and </w:t>
      </w:r>
      <w:proofErr w:type="spellStart"/>
      <w:r w:rsidR="00D73C06">
        <w:rPr>
          <w:rFonts w:ascii="Arial" w:hAnsi="Arial" w:cs="Arial"/>
          <w:lang w:val="en-IN"/>
        </w:rPr>
        <w:t>leucopaenia</w:t>
      </w:r>
      <w:proofErr w:type="spellEnd"/>
      <w:r w:rsidRPr="004D2B65">
        <w:rPr>
          <w:rFonts w:ascii="Arial" w:hAnsi="Arial" w:cs="Arial"/>
          <w:lang w:val="en-IN"/>
        </w:rPr>
        <w:t xml:space="preserve"> </w:t>
      </w:r>
      <w:r w:rsidR="00D73C06">
        <w:rPr>
          <w:rFonts w:ascii="Arial" w:hAnsi="Arial" w:cs="Arial"/>
          <w:lang w:val="en-IN"/>
        </w:rPr>
        <w:t>(&lt;</w:t>
      </w:r>
      <w:r w:rsidRPr="004D2B65">
        <w:rPr>
          <w:rFonts w:ascii="Arial" w:hAnsi="Arial" w:cs="Arial"/>
          <w:lang w:val="en-IN"/>
        </w:rPr>
        <w:t xml:space="preserve"> 6000</w:t>
      </w:r>
      <w:r w:rsidR="00D73C06">
        <w:rPr>
          <w:rFonts w:ascii="Arial" w:hAnsi="Arial" w:cs="Arial"/>
          <w:lang w:val="en-IN"/>
        </w:rPr>
        <w:t>/µL)</w:t>
      </w:r>
      <w:r w:rsidRPr="004D2B65">
        <w:rPr>
          <w:rFonts w:ascii="Arial" w:hAnsi="Arial" w:cs="Arial"/>
          <w:lang w:val="en-IN"/>
        </w:rPr>
        <w:t xml:space="preserve"> or </w:t>
      </w:r>
      <w:r w:rsidR="00D73C06">
        <w:rPr>
          <w:rFonts w:ascii="Arial" w:hAnsi="Arial" w:cs="Arial"/>
          <w:lang w:val="en-IN"/>
        </w:rPr>
        <w:t>leucocytosis (&gt;</w:t>
      </w:r>
      <w:r w:rsidRPr="004D2B65">
        <w:rPr>
          <w:rFonts w:ascii="Arial" w:hAnsi="Arial" w:cs="Arial"/>
          <w:lang w:val="en-IN"/>
        </w:rPr>
        <w:t xml:space="preserve"> 16000</w:t>
      </w:r>
      <w:r w:rsidR="00D73C06">
        <w:rPr>
          <w:rFonts w:ascii="Arial" w:hAnsi="Arial" w:cs="Arial"/>
          <w:lang w:val="en-IN"/>
        </w:rPr>
        <w:t>/µL)</w:t>
      </w:r>
      <w:r w:rsidRPr="004D2B65">
        <w:rPr>
          <w:rFonts w:ascii="Arial" w:hAnsi="Arial" w:cs="Arial"/>
          <w:lang w:val="en-IN"/>
        </w:rPr>
        <w:t>. The dogs satisfying any two of the above criteria were taken as having SIRS and detailed study was carried out.</w:t>
      </w:r>
      <w:r w:rsidR="00C347EB">
        <w:rPr>
          <w:rFonts w:ascii="Arial" w:hAnsi="Arial" w:cs="Arial"/>
          <w:lang w:val="en-IN"/>
        </w:rPr>
        <w:t xml:space="preserve"> Th</w:t>
      </w:r>
      <w:r w:rsidR="00BA0D50">
        <w:rPr>
          <w:rFonts w:ascii="Arial" w:hAnsi="Arial" w:cs="Arial"/>
          <w:lang w:val="en-IN"/>
        </w:rPr>
        <w:t>ose</w:t>
      </w:r>
      <w:r w:rsidR="00C347EB">
        <w:rPr>
          <w:rFonts w:ascii="Arial" w:hAnsi="Arial" w:cs="Arial"/>
          <w:lang w:val="en-IN"/>
        </w:rPr>
        <w:t xml:space="preserve"> </w:t>
      </w:r>
      <w:r w:rsidRPr="004D2B65">
        <w:rPr>
          <w:rFonts w:ascii="Arial" w:hAnsi="Arial" w:cs="Arial"/>
          <w:lang w:val="en-IN"/>
        </w:rPr>
        <w:t xml:space="preserve">dogs diagnosed with chronic kidney disease were excluded, leaving a final cohort of dogs. </w:t>
      </w:r>
    </w:p>
    <w:p w14:paraId="37699616" w14:textId="43B25102" w:rsidR="00A35807" w:rsidRPr="004D2B65" w:rsidRDefault="00A056CC" w:rsidP="00550641">
      <w:pPr>
        <w:pStyle w:val="Body"/>
        <w:rPr>
          <w:rFonts w:ascii="Arial" w:hAnsi="Arial" w:cs="Arial"/>
          <w:lang w:val="en-IN"/>
        </w:rPr>
      </w:pPr>
      <w:r w:rsidRPr="00A056CC">
        <w:rPr>
          <w:rFonts w:ascii="Arial" w:hAnsi="Arial" w:cs="Arial"/>
          <w:lang w:val="en-IN"/>
        </w:rPr>
        <w:t xml:space="preserve">Each dog underwent a complete blood count using a veterinary haematology </w:t>
      </w:r>
      <w:proofErr w:type="spellStart"/>
      <w:r w:rsidRPr="00A056CC">
        <w:rPr>
          <w:rFonts w:ascii="Arial" w:hAnsi="Arial" w:cs="Arial"/>
          <w:lang w:val="en-IN"/>
        </w:rPr>
        <w:t>analyzer</w:t>
      </w:r>
      <w:proofErr w:type="spellEnd"/>
      <w:r w:rsidRPr="00A056CC">
        <w:rPr>
          <w:rFonts w:ascii="Arial" w:hAnsi="Arial" w:cs="Arial"/>
          <w:lang w:val="en-IN"/>
        </w:rPr>
        <w:t xml:space="preserve"> (Mindray,</w:t>
      </w:r>
      <w:r w:rsidR="00D73C06">
        <w:rPr>
          <w:rFonts w:ascii="Arial" w:hAnsi="Arial" w:cs="Arial"/>
          <w:lang w:val="en-IN"/>
        </w:rPr>
        <w:t xml:space="preserve"> </w:t>
      </w:r>
      <w:r w:rsidRPr="00A056CC">
        <w:rPr>
          <w:rFonts w:ascii="Arial" w:hAnsi="Arial" w:cs="Arial"/>
          <w:lang w:val="en-IN"/>
        </w:rPr>
        <w:t xml:space="preserve">BC 30 Vet). Non-invasive blood pressure measurements were conducted using an automatic, portable </w:t>
      </w:r>
      <w:proofErr w:type="spellStart"/>
      <w:r w:rsidRPr="00A056CC">
        <w:rPr>
          <w:rFonts w:ascii="Arial" w:hAnsi="Arial" w:cs="Arial"/>
          <w:lang w:val="en-IN"/>
        </w:rPr>
        <w:t>oscillometric</w:t>
      </w:r>
      <w:proofErr w:type="spellEnd"/>
      <w:r w:rsidRPr="00A056CC">
        <w:rPr>
          <w:rFonts w:ascii="Arial" w:hAnsi="Arial" w:cs="Arial"/>
          <w:lang w:val="en-IN"/>
        </w:rPr>
        <w:t xml:space="preserve"> blood pressure device (</w:t>
      </w:r>
      <w:proofErr w:type="spellStart"/>
      <w:r w:rsidRPr="00A056CC">
        <w:rPr>
          <w:rFonts w:ascii="Arial" w:hAnsi="Arial" w:cs="Arial"/>
          <w:lang w:val="en-IN"/>
        </w:rPr>
        <w:t>PetTrust</w:t>
      </w:r>
      <w:proofErr w:type="spellEnd"/>
      <w:r w:rsidRPr="00A056CC">
        <w:rPr>
          <w:rFonts w:ascii="Arial" w:hAnsi="Arial" w:cs="Arial"/>
          <w:lang w:val="en-IN"/>
        </w:rPr>
        <w:t xml:space="preserve"> Blood Pressure Monitor, BioCare Corporation, Taiwan). Functional oxygen saturation of arterial haemoglobin (</w:t>
      </w:r>
      <w:proofErr w:type="spellStart"/>
      <w:r w:rsidRPr="00A056CC">
        <w:rPr>
          <w:rFonts w:ascii="Arial" w:hAnsi="Arial" w:cs="Arial"/>
          <w:lang w:val="en-IN"/>
        </w:rPr>
        <w:t>SpO</w:t>
      </w:r>
      <w:proofErr w:type="spellEnd"/>
      <w:r w:rsidRPr="00A056CC">
        <w:rPr>
          <w:rFonts w:ascii="Cambria Math" w:hAnsi="Cambria Math" w:cs="Cambria Math"/>
          <w:lang w:val="en-IN"/>
        </w:rPr>
        <w:t>₂</w:t>
      </w:r>
      <w:r w:rsidRPr="00A056CC">
        <w:rPr>
          <w:rFonts w:ascii="Arial" w:hAnsi="Arial" w:cs="Arial"/>
          <w:lang w:val="en-IN"/>
        </w:rPr>
        <w:t>) was monitored non-invasively in all dogs using a handheld veterinary pulse oximeter</w:t>
      </w:r>
      <w:r w:rsidRPr="00A056CC">
        <w:rPr>
          <w:rFonts w:ascii="Arial" w:hAnsi="Arial" w:cs="Arial"/>
        </w:rPr>
        <w:t xml:space="preserve"> H 100 (Hygeia, Plutus Enterprise Limited, Jordan, Hong Kong)</w:t>
      </w:r>
      <w:r w:rsidRPr="00A056CC">
        <w:rPr>
          <w:rFonts w:ascii="Arial" w:hAnsi="Arial" w:cs="Arial"/>
          <w:lang w:val="en-IN"/>
        </w:rPr>
        <w:t>.</w:t>
      </w:r>
      <w:r w:rsidR="006C3579">
        <w:rPr>
          <w:rFonts w:ascii="Arial" w:hAnsi="Arial" w:cs="Arial"/>
          <w:lang w:val="en-IN"/>
        </w:rPr>
        <w:t xml:space="preserve"> </w:t>
      </w:r>
      <w:r w:rsidRPr="00A056CC">
        <w:rPr>
          <w:rFonts w:ascii="Arial" w:hAnsi="Arial" w:cs="Arial"/>
          <w:lang w:val="en-IN"/>
        </w:rPr>
        <w:t xml:space="preserve">For coagulation assessment, a 2 </w:t>
      </w:r>
      <w:r w:rsidRPr="00A056CC">
        <w:rPr>
          <w:rFonts w:ascii="Arial" w:hAnsi="Arial" w:cs="Arial"/>
          <w:lang w:val="en-IN"/>
        </w:rPr>
        <w:lastRenderedPageBreak/>
        <w:t>mL sample of whole blood was collected in a citrated vial to evaluate prothrombin time and activated partial thromboplastin time. The analysis was performed using an automated coagulation analy</w:t>
      </w:r>
      <w:r w:rsidR="00D73C06">
        <w:rPr>
          <w:rFonts w:ascii="Arial" w:hAnsi="Arial" w:cs="Arial"/>
          <w:lang w:val="en-IN"/>
        </w:rPr>
        <w:t>s</w:t>
      </w:r>
      <w:r w:rsidRPr="00A056CC">
        <w:rPr>
          <w:rFonts w:ascii="Arial" w:hAnsi="Arial" w:cs="Arial"/>
          <w:lang w:val="en-IN"/>
        </w:rPr>
        <w:t>er (</w:t>
      </w:r>
      <w:proofErr w:type="spellStart"/>
      <w:r w:rsidRPr="00A056CC">
        <w:rPr>
          <w:rFonts w:ascii="Arial" w:hAnsi="Arial" w:cs="Arial"/>
          <w:lang w:val="en-IN"/>
        </w:rPr>
        <w:t>Mispa</w:t>
      </w:r>
      <w:proofErr w:type="spellEnd"/>
      <w:r w:rsidRPr="00A056CC">
        <w:rPr>
          <w:rFonts w:ascii="Arial" w:hAnsi="Arial" w:cs="Arial"/>
          <w:lang w:val="en-IN"/>
        </w:rPr>
        <w:t xml:space="preserve"> Clog, Agape Diagnostic Ltd., Ernakulam, Kerala) based on the turbo-densitometric measuring principle. Serum creatinine </w:t>
      </w:r>
      <w:r>
        <w:rPr>
          <w:rFonts w:ascii="Arial" w:hAnsi="Arial" w:cs="Arial"/>
          <w:lang w:val="en-IN"/>
        </w:rPr>
        <w:t xml:space="preserve">and total bilirubin </w:t>
      </w:r>
      <w:r w:rsidRPr="00A056CC">
        <w:rPr>
          <w:rFonts w:ascii="Arial" w:hAnsi="Arial" w:cs="Arial"/>
          <w:lang w:val="en-IN"/>
        </w:rPr>
        <w:t xml:space="preserve">levels were estimated </w:t>
      </w:r>
      <w:r>
        <w:rPr>
          <w:rFonts w:ascii="Arial" w:hAnsi="Arial" w:cs="Arial"/>
          <w:lang w:val="en-IN"/>
        </w:rPr>
        <w:t>with</w:t>
      </w:r>
      <w:r w:rsidRPr="00A056CC">
        <w:rPr>
          <w:rFonts w:ascii="Arial" w:hAnsi="Arial" w:cs="Arial"/>
          <w:lang w:val="en-IN"/>
        </w:rPr>
        <w:t xml:space="preserve"> a semi-automatic biochemical analy</w:t>
      </w:r>
      <w:r w:rsidR="00D73C06">
        <w:rPr>
          <w:rFonts w:ascii="Arial" w:hAnsi="Arial" w:cs="Arial"/>
          <w:lang w:val="en-IN"/>
        </w:rPr>
        <w:t>s</w:t>
      </w:r>
      <w:r w:rsidRPr="00A056CC">
        <w:rPr>
          <w:rFonts w:ascii="Arial" w:hAnsi="Arial" w:cs="Arial"/>
          <w:lang w:val="en-IN"/>
        </w:rPr>
        <w:t xml:space="preserve">er (MISPAVIVA 2578-10/17, </w:t>
      </w:r>
      <w:proofErr w:type="spellStart"/>
      <w:r w:rsidRPr="00A056CC">
        <w:rPr>
          <w:rFonts w:ascii="Arial" w:hAnsi="Arial" w:cs="Arial"/>
          <w:lang w:val="en-IN"/>
        </w:rPr>
        <w:t>Agappe</w:t>
      </w:r>
      <w:proofErr w:type="spellEnd"/>
      <w:r w:rsidRPr="00A056CC">
        <w:rPr>
          <w:rFonts w:ascii="Arial" w:hAnsi="Arial" w:cs="Arial"/>
          <w:lang w:val="en-IN"/>
        </w:rPr>
        <w:t>, Kochi, Kerala)</w:t>
      </w:r>
      <w:r>
        <w:rPr>
          <w:rFonts w:ascii="Arial" w:hAnsi="Arial" w:cs="Arial"/>
          <w:lang w:val="en-IN"/>
        </w:rPr>
        <w:t xml:space="preserve"> using appropriate kits. </w:t>
      </w:r>
      <w:r w:rsidR="004D2B65" w:rsidRPr="004D2B65">
        <w:rPr>
          <w:rFonts w:ascii="Arial" w:hAnsi="Arial" w:cs="Arial"/>
          <w:lang w:val="en-IN"/>
        </w:rPr>
        <w:t>These dogs were further evaluated for MODS</w:t>
      </w:r>
      <w:r w:rsidR="00A35807">
        <w:rPr>
          <w:rFonts w:ascii="Arial" w:hAnsi="Arial" w:cs="Arial"/>
          <w:lang w:val="en-IN"/>
        </w:rPr>
        <w:t xml:space="preserve"> </w:t>
      </w:r>
      <w:r w:rsidR="004D2B65" w:rsidRPr="004D2B65">
        <w:rPr>
          <w:rFonts w:ascii="Arial" w:hAnsi="Arial" w:cs="Arial"/>
          <w:lang w:val="en-IN"/>
        </w:rPr>
        <w:t>based on established organ dysfunction criteria (</w:t>
      </w:r>
      <w:proofErr w:type="spellStart"/>
      <w:r w:rsidR="004D2B65" w:rsidRPr="004D2B65">
        <w:rPr>
          <w:rFonts w:ascii="Arial" w:hAnsi="Arial" w:cs="Arial"/>
          <w:lang w:val="en-IN"/>
        </w:rPr>
        <w:t>Ripanti</w:t>
      </w:r>
      <w:proofErr w:type="spellEnd"/>
      <w:r w:rsidR="004D2B65" w:rsidRPr="004D2B65">
        <w:rPr>
          <w:rFonts w:ascii="Arial" w:hAnsi="Arial" w:cs="Arial"/>
          <w:lang w:val="en-IN"/>
        </w:rPr>
        <w:t xml:space="preserve"> </w:t>
      </w:r>
      <w:r w:rsidR="004D2B65" w:rsidRPr="004D2B65">
        <w:rPr>
          <w:rFonts w:ascii="Arial" w:hAnsi="Arial" w:cs="Arial"/>
          <w:i/>
          <w:iCs/>
          <w:lang w:val="en-IN"/>
        </w:rPr>
        <w:t>et al</w:t>
      </w:r>
      <w:r w:rsidR="004D2B65" w:rsidRPr="004D2B65">
        <w:rPr>
          <w:rFonts w:ascii="Arial" w:hAnsi="Arial" w:cs="Arial"/>
          <w:lang w:val="en-IN"/>
        </w:rPr>
        <w:t xml:space="preserve">., 2012; </w:t>
      </w:r>
      <w:proofErr w:type="spellStart"/>
      <w:r w:rsidR="004D2B65" w:rsidRPr="004D2B65">
        <w:rPr>
          <w:rFonts w:ascii="Arial" w:hAnsi="Arial" w:cs="Arial"/>
          <w:lang w:val="en-IN"/>
        </w:rPr>
        <w:t>Troia</w:t>
      </w:r>
      <w:proofErr w:type="spellEnd"/>
      <w:r w:rsidR="004D2B65" w:rsidRPr="004D2B65">
        <w:rPr>
          <w:rFonts w:ascii="Arial" w:hAnsi="Arial" w:cs="Arial"/>
          <w:lang w:val="en-IN"/>
        </w:rPr>
        <w:t xml:space="preserve"> </w:t>
      </w:r>
      <w:r w:rsidR="004D2B65" w:rsidRPr="004D2B65">
        <w:rPr>
          <w:rFonts w:ascii="Arial" w:hAnsi="Arial" w:cs="Arial"/>
          <w:i/>
          <w:iCs/>
          <w:lang w:val="en-IN"/>
        </w:rPr>
        <w:t>et al.,</w:t>
      </w:r>
      <w:r w:rsidR="004D2B65" w:rsidRPr="004D2B65">
        <w:rPr>
          <w:rFonts w:ascii="Arial" w:hAnsi="Arial" w:cs="Arial"/>
          <w:lang w:val="en-IN"/>
        </w:rPr>
        <w:t xml:space="preserve"> 2018)</w:t>
      </w:r>
      <w:r w:rsidR="00550641">
        <w:rPr>
          <w:rFonts w:ascii="Arial" w:hAnsi="Arial" w:cs="Arial"/>
          <w:lang w:val="en-IN"/>
        </w:rPr>
        <w:t xml:space="preserve"> as mentioned below</w:t>
      </w:r>
      <w:r w:rsidR="004D2B65" w:rsidRPr="004D2B65">
        <w:rPr>
          <w:rFonts w:ascii="Arial" w:hAnsi="Arial" w:cs="Arial"/>
          <w:lang w:val="en-IN"/>
        </w:rPr>
        <w:t>.</w:t>
      </w:r>
    </w:p>
    <w:p w14:paraId="03E03E47" w14:textId="16C77EAB" w:rsidR="004D2B65" w:rsidRPr="004D2B65" w:rsidRDefault="004D2B65" w:rsidP="004D2B65">
      <w:pPr>
        <w:pStyle w:val="Body"/>
        <w:spacing w:after="0"/>
        <w:rPr>
          <w:rFonts w:ascii="Arial" w:hAnsi="Arial" w:cs="Arial"/>
          <w:lang w:val="en-IN"/>
        </w:rPr>
      </w:pPr>
      <w:r w:rsidRPr="004D2B65">
        <w:rPr>
          <w:rFonts w:ascii="Arial" w:hAnsi="Arial" w:cs="Arial"/>
          <w:lang w:val="en-IN"/>
        </w:rPr>
        <w:t xml:space="preserve">1. Cardiovascular </w:t>
      </w:r>
      <w:r w:rsidR="00A35807">
        <w:rPr>
          <w:rFonts w:ascii="Arial" w:hAnsi="Arial" w:cs="Arial"/>
          <w:lang w:val="en-IN"/>
        </w:rPr>
        <w:t>dysfunction</w:t>
      </w:r>
      <w:r w:rsidRPr="004D2B65">
        <w:rPr>
          <w:rFonts w:ascii="Arial" w:hAnsi="Arial" w:cs="Arial"/>
          <w:lang w:val="en-IN"/>
        </w:rPr>
        <w:t>– systolic blood pressure &lt; 90mmHg despite adequate fluid (</w:t>
      </w:r>
      <w:proofErr w:type="spellStart"/>
      <w:r w:rsidRPr="004D2B65">
        <w:rPr>
          <w:rFonts w:ascii="Arial" w:hAnsi="Arial" w:cs="Arial"/>
          <w:lang w:val="en-IN"/>
        </w:rPr>
        <w:t>oscillometric</w:t>
      </w:r>
      <w:proofErr w:type="spellEnd"/>
      <w:r w:rsidRPr="004D2B65">
        <w:rPr>
          <w:rFonts w:ascii="Arial" w:hAnsi="Arial" w:cs="Arial"/>
          <w:lang w:val="en-IN"/>
        </w:rPr>
        <w:t xml:space="preserve"> method) resuscitation</w:t>
      </w:r>
    </w:p>
    <w:p w14:paraId="4CC1D3E7" w14:textId="38CBFA13" w:rsidR="004D2B65" w:rsidRPr="004D2B65" w:rsidRDefault="004D2B65" w:rsidP="004D2B65">
      <w:pPr>
        <w:pStyle w:val="Body"/>
        <w:spacing w:after="0"/>
        <w:rPr>
          <w:rFonts w:ascii="Arial" w:hAnsi="Arial" w:cs="Arial"/>
          <w:lang w:val="en-IN"/>
        </w:rPr>
      </w:pPr>
      <w:r w:rsidRPr="004D2B65">
        <w:rPr>
          <w:rFonts w:ascii="Arial" w:hAnsi="Arial" w:cs="Arial"/>
          <w:lang w:val="en-IN"/>
        </w:rPr>
        <w:t>2.</w:t>
      </w:r>
      <w:r w:rsidR="00092BBC">
        <w:rPr>
          <w:rFonts w:ascii="Arial" w:hAnsi="Arial" w:cs="Arial"/>
          <w:lang w:val="en-IN"/>
        </w:rPr>
        <w:t xml:space="preserve"> </w:t>
      </w:r>
      <w:r w:rsidRPr="004D2B65">
        <w:rPr>
          <w:rFonts w:ascii="Arial" w:hAnsi="Arial" w:cs="Arial"/>
          <w:lang w:val="en-IN"/>
        </w:rPr>
        <w:t>Haemostatic</w:t>
      </w:r>
      <w:r w:rsidR="00A35807">
        <w:rPr>
          <w:rFonts w:ascii="Arial" w:hAnsi="Arial" w:cs="Arial"/>
          <w:lang w:val="en-IN"/>
        </w:rPr>
        <w:t xml:space="preserve"> dysfunction</w:t>
      </w:r>
      <w:r w:rsidRPr="004D2B65">
        <w:rPr>
          <w:rFonts w:ascii="Arial" w:hAnsi="Arial" w:cs="Arial"/>
          <w:lang w:val="en-IN"/>
        </w:rPr>
        <w:t xml:space="preserve"> – prothrombin time &gt; 7.5seconds or activated partial thromboplastin time &gt; 16.5seconds or platelet count &lt; 160 x 10</w:t>
      </w:r>
      <w:r w:rsidRPr="004D2B65">
        <w:rPr>
          <w:rFonts w:ascii="Arial" w:hAnsi="Arial" w:cs="Arial"/>
          <w:vertAlign w:val="superscript"/>
          <w:lang w:val="en-IN"/>
        </w:rPr>
        <w:t>3</w:t>
      </w:r>
      <w:r w:rsidRPr="004D2B65">
        <w:rPr>
          <w:rFonts w:ascii="Arial" w:hAnsi="Arial" w:cs="Arial"/>
          <w:lang w:val="en-IN"/>
        </w:rPr>
        <w:t>/µL</w:t>
      </w:r>
    </w:p>
    <w:p w14:paraId="42EB21E7" w14:textId="38AF76E2" w:rsidR="004D2B65" w:rsidRPr="004D2B65" w:rsidRDefault="004D2B65" w:rsidP="004D2B65">
      <w:pPr>
        <w:pStyle w:val="Body"/>
        <w:spacing w:after="0"/>
        <w:rPr>
          <w:rFonts w:ascii="Arial" w:hAnsi="Arial" w:cs="Arial"/>
          <w:lang w:val="en-IN"/>
        </w:rPr>
      </w:pPr>
      <w:r w:rsidRPr="004D2B65">
        <w:rPr>
          <w:rFonts w:ascii="Arial" w:hAnsi="Arial" w:cs="Arial"/>
          <w:lang w:val="en-IN"/>
        </w:rPr>
        <w:t xml:space="preserve">3. Hepatic </w:t>
      </w:r>
      <w:r w:rsidR="00A35807">
        <w:rPr>
          <w:rFonts w:ascii="Arial" w:hAnsi="Arial" w:cs="Arial"/>
          <w:lang w:val="en-IN"/>
        </w:rPr>
        <w:t>dysfunction</w:t>
      </w:r>
      <w:r w:rsidRPr="004D2B65">
        <w:rPr>
          <w:rFonts w:ascii="Arial" w:hAnsi="Arial" w:cs="Arial"/>
          <w:lang w:val="en-IN"/>
        </w:rPr>
        <w:t>– serum bilirubin &gt; 0.35mg/dL (in the absence of haemolysis or biliary obstruction)</w:t>
      </w:r>
    </w:p>
    <w:p w14:paraId="518084B7" w14:textId="04188AD1" w:rsidR="004D2B65" w:rsidRPr="004D2B65" w:rsidRDefault="004D2B65" w:rsidP="004D2B65">
      <w:pPr>
        <w:pStyle w:val="Body"/>
        <w:spacing w:after="0"/>
        <w:rPr>
          <w:rFonts w:ascii="Arial" w:hAnsi="Arial" w:cs="Arial"/>
          <w:lang w:val="en-IN"/>
        </w:rPr>
      </w:pPr>
      <w:r w:rsidRPr="004D2B65">
        <w:rPr>
          <w:rFonts w:ascii="Arial" w:hAnsi="Arial" w:cs="Arial"/>
          <w:lang w:val="en-IN"/>
        </w:rPr>
        <w:t>4. Renal</w:t>
      </w:r>
      <w:r w:rsidR="00A35807">
        <w:rPr>
          <w:rFonts w:ascii="Arial" w:hAnsi="Arial" w:cs="Arial"/>
          <w:lang w:val="en-IN"/>
        </w:rPr>
        <w:t xml:space="preserve"> dysfunction</w:t>
      </w:r>
      <w:r w:rsidRPr="004D2B65">
        <w:rPr>
          <w:rFonts w:ascii="Arial" w:hAnsi="Arial" w:cs="Arial"/>
          <w:lang w:val="en-IN"/>
        </w:rPr>
        <w:t xml:space="preserve"> – serum creatinine &gt; 1.35mg/dL</w:t>
      </w:r>
    </w:p>
    <w:p w14:paraId="4A704C9A" w14:textId="59FC01F7" w:rsidR="004D2B65" w:rsidRPr="004D2B65" w:rsidRDefault="004D2B65" w:rsidP="004D2B65">
      <w:pPr>
        <w:pStyle w:val="Body"/>
        <w:spacing w:after="0"/>
        <w:rPr>
          <w:rFonts w:ascii="Arial" w:hAnsi="Arial" w:cs="Arial"/>
          <w:lang w:val="en-IN"/>
        </w:rPr>
      </w:pPr>
      <w:r w:rsidRPr="004D2B65">
        <w:rPr>
          <w:rFonts w:ascii="Arial" w:hAnsi="Arial" w:cs="Arial"/>
          <w:lang w:val="en-IN"/>
        </w:rPr>
        <w:t xml:space="preserve">5. Respiratory </w:t>
      </w:r>
      <w:r w:rsidR="00A35807">
        <w:rPr>
          <w:rFonts w:ascii="Arial" w:hAnsi="Arial" w:cs="Arial"/>
          <w:lang w:val="en-IN"/>
        </w:rPr>
        <w:t xml:space="preserve">dysfunction </w:t>
      </w:r>
      <w:r w:rsidRPr="004D2B65">
        <w:rPr>
          <w:rFonts w:ascii="Arial" w:hAnsi="Arial" w:cs="Arial"/>
          <w:lang w:val="en-IN"/>
        </w:rPr>
        <w:t>– saturation of peripheral oxygen &lt; 95 per cent</w:t>
      </w:r>
    </w:p>
    <w:p w14:paraId="51378DE8" w14:textId="65413032" w:rsidR="004D2B65" w:rsidRDefault="004D2B65" w:rsidP="004D2B65">
      <w:pPr>
        <w:pStyle w:val="Body"/>
        <w:spacing w:after="0"/>
        <w:rPr>
          <w:rFonts w:ascii="Arial" w:hAnsi="Arial" w:cs="Arial"/>
        </w:rPr>
      </w:pPr>
      <w:r w:rsidRPr="004D2B65">
        <w:rPr>
          <w:rFonts w:ascii="Arial" w:hAnsi="Arial" w:cs="Arial"/>
          <w:lang w:val="en-IN"/>
        </w:rPr>
        <w:t xml:space="preserve">6. Central nervous system </w:t>
      </w:r>
      <w:r w:rsidR="00A35807">
        <w:rPr>
          <w:rFonts w:ascii="Arial" w:hAnsi="Arial" w:cs="Arial"/>
          <w:lang w:val="en-IN"/>
        </w:rPr>
        <w:t xml:space="preserve">dysfunction </w:t>
      </w:r>
      <w:r w:rsidRPr="004D2B65">
        <w:rPr>
          <w:rFonts w:ascii="Arial" w:hAnsi="Arial" w:cs="Arial"/>
          <w:lang w:val="en-IN"/>
        </w:rPr>
        <w:t>– Modified Glasgow Coma Scale Score ≤ 14</w:t>
      </w:r>
      <w:r w:rsidR="009B5F42" w:rsidRPr="009B5F42">
        <w:rPr>
          <w:color w:val="000000"/>
        </w:rPr>
        <w:t xml:space="preserve"> </w:t>
      </w:r>
      <w:r w:rsidR="009B5F42">
        <w:rPr>
          <w:color w:val="000000"/>
        </w:rPr>
        <w:t>(</w:t>
      </w:r>
      <w:r w:rsidR="009B5F42" w:rsidRPr="009B5F42">
        <w:rPr>
          <w:rFonts w:ascii="Arial" w:hAnsi="Arial" w:cs="Arial"/>
        </w:rPr>
        <w:t xml:space="preserve">Platt </w:t>
      </w:r>
      <w:r w:rsidR="009B5F42" w:rsidRPr="009B5F42">
        <w:rPr>
          <w:rFonts w:ascii="Arial" w:hAnsi="Arial" w:cs="Arial"/>
          <w:i/>
          <w:iCs/>
        </w:rPr>
        <w:t>et al</w:t>
      </w:r>
      <w:r w:rsidR="009B5F42" w:rsidRPr="009B5F42">
        <w:rPr>
          <w:rFonts w:ascii="Arial" w:hAnsi="Arial" w:cs="Arial"/>
        </w:rPr>
        <w:t>., 2001</w:t>
      </w:r>
      <w:r w:rsidR="009B5F42">
        <w:rPr>
          <w:rFonts w:ascii="Arial" w:hAnsi="Arial" w:cs="Arial"/>
        </w:rPr>
        <w:t>)</w:t>
      </w:r>
    </w:p>
    <w:p w14:paraId="10E2CB61" w14:textId="77777777" w:rsidR="009B5F42" w:rsidRPr="004D2B65" w:rsidRDefault="009B5F42" w:rsidP="004D2B65">
      <w:pPr>
        <w:pStyle w:val="Body"/>
        <w:spacing w:after="0"/>
        <w:rPr>
          <w:rFonts w:ascii="Arial" w:hAnsi="Arial" w:cs="Arial"/>
          <w:lang w:val="en-IN"/>
        </w:rPr>
      </w:pPr>
    </w:p>
    <w:p w14:paraId="0FCD5F81" w14:textId="5B4BCE94" w:rsidR="004D2B65" w:rsidRDefault="004D2B65" w:rsidP="004D2B65">
      <w:pPr>
        <w:pStyle w:val="Body"/>
        <w:spacing w:after="0"/>
        <w:rPr>
          <w:rFonts w:ascii="Arial" w:hAnsi="Arial" w:cs="Arial"/>
        </w:rPr>
      </w:pPr>
      <w:r w:rsidRPr="004D2B65">
        <w:rPr>
          <w:rFonts w:ascii="Arial" w:hAnsi="Arial" w:cs="Arial"/>
          <w:lang w:val="en-IN"/>
        </w:rPr>
        <w:t>The dogs were categorised under MODS if two or more organ systems dysfunction was there.</w:t>
      </w:r>
    </w:p>
    <w:p w14:paraId="4DE01252" w14:textId="6623DE5F" w:rsidR="00502516" w:rsidRDefault="003B616E" w:rsidP="00441B6F">
      <w:pPr>
        <w:pStyle w:val="Body"/>
        <w:spacing w:after="0"/>
        <w:rPr>
          <w:rFonts w:ascii="Arial" w:hAnsi="Arial" w:cs="Arial"/>
        </w:rPr>
      </w:pPr>
      <w:r>
        <w:rPr>
          <w:rFonts w:ascii="Arial" w:hAnsi="Arial" w:cs="Arial"/>
        </w:rPr>
        <w:t xml:space="preserve">They were </w:t>
      </w:r>
      <w:r w:rsidR="00D910FF" w:rsidRPr="00D910FF">
        <w:rPr>
          <w:rFonts w:ascii="Arial" w:hAnsi="Arial" w:cs="Arial"/>
        </w:rPr>
        <w:t xml:space="preserve">classified into two groups: </w:t>
      </w:r>
      <w:r>
        <w:rPr>
          <w:rFonts w:ascii="Arial" w:hAnsi="Arial" w:cs="Arial"/>
        </w:rPr>
        <w:t>group 1-</w:t>
      </w:r>
      <w:r w:rsidR="00D910FF" w:rsidRPr="00D910FF">
        <w:rPr>
          <w:rFonts w:ascii="Arial" w:hAnsi="Arial" w:cs="Arial"/>
        </w:rPr>
        <w:t>those without the development of</w:t>
      </w:r>
      <w:r>
        <w:rPr>
          <w:rFonts w:ascii="Arial" w:hAnsi="Arial" w:cs="Arial"/>
        </w:rPr>
        <w:t xml:space="preserve"> </w:t>
      </w:r>
      <w:r w:rsidR="00D910FF" w:rsidRPr="00D910FF">
        <w:rPr>
          <w:rFonts w:ascii="Arial" w:hAnsi="Arial" w:cs="Arial"/>
        </w:rPr>
        <w:t xml:space="preserve">MODS and </w:t>
      </w:r>
      <w:r>
        <w:rPr>
          <w:rFonts w:ascii="Arial" w:hAnsi="Arial" w:cs="Arial"/>
        </w:rPr>
        <w:t xml:space="preserve">group 2, </w:t>
      </w:r>
      <w:r w:rsidR="00D910FF" w:rsidRPr="00D910FF">
        <w:rPr>
          <w:rFonts w:ascii="Arial" w:hAnsi="Arial" w:cs="Arial"/>
        </w:rPr>
        <w:t>those diagnosed with MODS</w:t>
      </w:r>
      <w:r>
        <w:rPr>
          <w:rFonts w:ascii="Arial" w:hAnsi="Arial" w:cs="Arial"/>
        </w:rPr>
        <w:t>.</w:t>
      </w:r>
    </w:p>
    <w:p w14:paraId="0916D96D" w14:textId="4B26975C" w:rsidR="00D73C06" w:rsidRDefault="00D73C06" w:rsidP="00441B6F">
      <w:pPr>
        <w:pStyle w:val="Body"/>
        <w:spacing w:after="0"/>
        <w:rPr>
          <w:rFonts w:ascii="Arial" w:hAnsi="Arial" w:cs="Arial"/>
        </w:rPr>
      </w:pPr>
      <w:r>
        <w:rPr>
          <w:rFonts w:ascii="Arial" w:hAnsi="Arial" w:cs="Arial"/>
        </w:rPr>
        <w:t xml:space="preserve">Control group - </w:t>
      </w:r>
      <w:r w:rsidR="00C347EB">
        <w:rPr>
          <w:rFonts w:ascii="Arial" w:hAnsi="Arial" w:cs="Arial"/>
        </w:rPr>
        <w:t>A</w:t>
      </w:r>
      <w:r w:rsidRPr="00D73C06">
        <w:rPr>
          <w:rFonts w:ascii="Arial" w:hAnsi="Arial" w:cs="Arial"/>
        </w:rPr>
        <w:t xml:space="preserve">pparently healthy dogs </w:t>
      </w:r>
      <w:r w:rsidR="00C347EB">
        <w:rPr>
          <w:rFonts w:ascii="Arial" w:hAnsi="Arial" w:cs="Arial"/>
        </w:rPr>
        <w:t xml:space="preserve">formed </w:t>
      </w:r>
      <w:r w:rsidR="00C347EB" w:rsidRPr="00D73C06">
        <w:rPr>
          <w:rFonts w:ascii="Arial" w:hAnsi="Arial" w:cs="Arial"/>
        </w:rPr>
        <w:t>the</w:t>
      </w:r>
      <w:r w:rsidRPr="00D73C06">
        <w:rPr>
          <w:rFonts w:ascii="Arial" w:hAnsi="Arial" w:cs="Arial"/>
        </w:rPr>
        <w:t xml:space="preserve"> control group to obtain the normal parameters under study.</w:t>
      </w:r>
    </w:p>
    <w:p w14:paraId="737603F8" w14:textId="3A4BB5A0" w:rsidR="00A355DB" w:rsidRDefault="00A355DB" w:rsidP="00441B6F">
      <w:pPr>
        <w:pStyle w:val="Body"/>
        <w:spacing w:after="0"/>
        <w:rPr>
          <w:rFonts w:ascii="Arial" w:hAnsi="Arial" w:cs="Arial"/>
        </w:rPr>
      </w:pPr>
      <w:r>
        <w:rPr>
          <w:rFonts w:ascii="Arial" w:hAnsi="Arial" w:cs="Arial"/>
        </w:rPr>
        <w:t xml:space="preserve">The laboratory tests included absolute neutrophil count, absolute lymphocyte </w:t>
      </w:r>
      <w:proofErr w:type="gramStart"/>
      <w:r>
        <w:rPr>
          <w:rFonts w:ascii="Arial" w:hAnsi="Arial" w:cs="Arial"/>
        </w:rPr>
        <w:t>count ,</w:t>
      </w:r>
      <w:proofErr w:type="gramEnd"/>
      <w:r>
        <w:rPr>
          <w:rFonts w:ascii="Arial" w:hAnsi="Arial" w:cs="Arial"/>
        </w:rPr>
        <w:t xml:space="preserve"> platelet count, NLR, PLR and SII</w:t>
      </w:r>
    </w:p>
    <w:p w14:paraId="282BA8E9" w14:textId="77777777" w:rsidR="00790ADA" w:rsidRPr="00502516" w:rsidRDefault="00790ADA" w:rsidP="00441B6F">
      <w:pPr>
        <w:pStyle w:val="Body"/>
        <w:spacing w:after="0"/>
        <w:rPr>
          <w:rFonts w:ascii="Arial" w:hAnsi="Arial" w:cs="Arial"/>
        </w:rPr>
      </w:pPr>
    </w:p>
    <w:p w14:paraId="2DEA9109" w14:textId="77777777" w:rsidR="008868E4" w:rsidRPr="00C347EB" w:rsidRDefault="008868E4" w:rsidP="008868E4">
      <w:pPr>
        <w:pStyle w:val="Body"/>
        <w:spacing w:after="0"/>
        <w:rPr>
          <w:rFonts w:ascii="Arial" w:hAnsi="Arial" w:cs="Arial"/>
          <w:b/>
          <w:bCs/>
          <w:lang w:val="en-IN"/>
        </w:rPr>
      </w:pPr>
      <w:r w:rsidRPr="00C347EB">
        <w:rPr>
          <w:rFonts w:ascii="Arial" w:hAnsi="Arial" w:cs="Arial"/>
          <w:b/>
          <w:bCs/>
          <w:lang w:val="en-IN"/>
        </w:rPr>
        <w:t>Definition of NLR, PLR and SII</w:t>
      </w:r>
    </w:p>
    <w:p w14:paraId="19EB41E2" w14:textId="22BF7370" w:rsidR="006C3579" w:rsidRDefault="008868E4" w:rsidP="008868E4">
      <w:pPr>
        <w:pStyle w:val="Body"/>
        <w:spacing w:after="0"/>
        <w:rPr>
          <w:rFonts w:ascii="Arial" w:hAnsi="Arial" w:cs="Arial"/>
          <w:lang w:val="en-IN"/>
        </w:rPr>
      </w:pPr>
      <w:r w:rsidRPr="008868E4">
        <w:rPr>
          <w:rFonts w:ascii="Arial" w:hAnsi="Arial" w:cs="Arial"/>
          <w:lang w:val="en-IN"/>
        </w:rPr>
        <w:t>NLR</w:t>
      </w:r>
      <w:r w:rsidR="006C3579">
        <w:rPr>
          <w:rFonts w:ascii="Arial" w:hAnsi="Arial" w:cs="Arial"/>
          <w:lang w:val="en-IN"/>
        </w:rPr>
        <w:t xml:space="preserve"> – </w:t>
      </w:r>
      <w:r w:rsidR="00C347EB">
        <w:rPr>
          <w:rFonts w:ascii="Arial" w:hAnsi="Arial" w:cs="Arial"/>
          <w:lang w:val="en-IN"/>
        </w:rPr>
        <w:t>N</w:t>
      </w:r>
      <w:r w:rsidRPr="008868E4">
        <w:rPr>
          <w:rFonts w:ascii="Arial" w:hAnsi="Arial" w:cs="Arial"/>
          <w:lang w:val="en-IN"/>
        </w:rPr>
        <w:t>eutrophil</w:t>
      </w:r>
      <w:r w:rsidR="006C3579">
        <w:rPr>
          <w:rFonts w:ascii="Arial" w:hAnsi="Arial" w:cs="Arial"/>
          <w:lang w:val="en-IN"/>
        </w:rPr>
        <w:t xml:space="preserve"> </w:t>
      </w:r>
      <w:bookmarkStart w:id="4" w:name="_Hlk201223985"/>
      <w:r w:rsidR="006C3579">
        <w:rPr>
          <w:rFonts w:ascii="Arial" w:hAnsi="Arial" w:cs="Arial"/>
          <w:lang w:val="en-IN"/>
        </w:rPr>
        <w:t>÷</w:t>
      </w:r>
      <w:bookmarkEnd w:id="4"/>
      <w:r w:rsidR="006C3579">
        <w:rPr>
          <w:rFonts w:ascii="Arial" w:hAnsi="Arial" w:cs="Arial"/>
          <w:lang w:val="en-IN"/>
        </w:rPr>
        <w:t xml:space="preserve"> L</w:t>
      </w:r>
      <w:r w:rsidRPr="008868E4">
        <w:rPr>
          <w:rFonts w:ascii="Arial" w:hAnsi="Arial" w:cs="Arial"/>
          <w:lang w:val="en-IN"/>
        </w:rPr>
        <w:t xml:space="preserve">ymphocyte </w:t>
      </w:r>
    </w:p>
    <w:p w14:paraId="393530BD" w14:textId="200F481B" w:rsidR="00CD2801" w:rsidRDefault="008868E4" w:rsidP="008868E4">
      <w:pPr>
        <w:pStyle w:val="Body"/>
        <w:spacing w:after="0"/>
        <w:rPr>
          <w:rFonts w:ascii="Arial" w:hAnsi="Arial" w:cs="Arial"/>
          <w:lang w:val="en-IN"/>
        </w:rPr>
      </w:pPr>
      <w:r w:rsidRPr="008868E4">
        <w:rPr>
          <w:rFonts w:ascii="Arial" w:hAnsi="Arial" w:cs="Arial"/>
          <w:lang w:val="en-IN"/>
        </w:rPr>
        <w:t>PLR</w:t>
      </w:r>
      <w:r w:rsidR="006C3579">
        <w:rPr>
          <w:rFonts w:ascii="Arial" w:hAnsi="Arial" w:cs="Arial"/>
          <w:lang w:val="en-IN"/>
        </w:rPr>
        <w:t xml:space="preserve"> – </w:t>
      </w:r>
      <w:r w:rsidR="00C347EB">
        <w:rPr>
          <w:rFonts w:ascii="Arial" w:hAnsi="Arial" w:cs="Arial"/>
          <w:lang w:val="en-IN"/>
        </w:rPr>
        <w:t>P</w:t>
      </w:r>
      <w:r w:rsidRPr="008868E4">
        <w:rPr>
          <w:rFonts w:ascii="Arial" w:hAnsi="Arial" w:cs="Arial"/>
          <w:lang w:val="en-IN"/>
        </w:rPr>
        <w:t>latelet</w:t>
      </w:r>
      <w:r w:rsidR="006C3579">
        <w:rPr>
          <w:rFonts w:ascii="Arial" w:hAnsi="Arial" w:cs="Arial"/>
          <w:lang w:val="en-IN"/>
        </w:rPr>
        <w:t xml:space="preserve"> ÷ L</w:t>
      </w:r>
      <w:r w:rsidRPr="008868E4">
        <w:rPr>
          <w:rFonts w:ascii="Arial" w:hAnsi="Arial" w:cs="Arial"/>
          <w:lang w:val="en-IN"/>
        </w:rPr>
        <w:t xml:space="preserve">ymphocyte </w:t>
      </w:r>
      <w:r w:rsidR="00DA6CF5">
        <w:rPr>
          <w:rFonts w:ascii="Arial" w:hAnsi="Arial" w:cs="Arial"/>
          <w:lang w:val="en-IN"/>
        </w:rPr>
        <w:t xml:space="preserve"> </w:t>
      </w:r>
    </w:p>
    <w:p w14:paraId="1ACAE4FB" w14:textId="74FF2F86" w:rsidR="008868E4" w:rsidRPr="008868E4" w:rsidRDefault="008868E4" w:rsidP="008868E4">
      <w:pPr>
        <w:pStyle w:val="Body"/>
        <w:spacing w:after="0"/>
        <w:rPr>
          <w:rFonts w:ascii="Arial" w:hAnsi="Arial" w:cs="Arial"/>
          <w:lang w:val="en-IN"/>
        </w:rPr>
      </w:pPr>
      <w:r w:rsidRPr="008868E4">
        <w:rPr>
          <w:rFonts w:ascii="Arial" w:hAnsi="Arial" w:cs="Arial"/>
          <w:lang w:val="en-IN"/>
        </w:rPr>
        <w:t>SII</w:t>
      </w:r>
      <w:r w:rsidR="006C3579">
        <w:rPr>
          <w:rFonts w:ascii="Arial" w:hAnsi="Arial" w:cs="Arial"/>
          <w:lang w:val="en-IN"/>
        </w:rPr>
        <w:t xml:space="preserve">   </w:t>
      </w:r>
      <w:r w:rsidR="00DA6CF5">
        <w:rPr>
          <w:rFonts w:ascii="Arial" w:hAnsi="Arial" w:cs="Arial"/>
          <w:lang w:val="en-IN"/>
        </w:rPr>
        <w:t xml:space="preserve"> -</w:t>
      </w:r>
      <w:r w:rsidR="00CD2801">
        <w:rPr>
          <w:rFonts w:ascii="Arial" w:hAnsi="Arial" w:cs="Arial"/>
          <w:lang w:val="en-IN"/>
        </w:rPr>
        <w:t xml:space="preserve"> </w:t>
      </w:r>
      <w:r w:rsidR="00C347EB">
        <w:rPr>
          <w:rFonts w:ascii="Arial" w:hAnsi="Arial" w:cs="Arial"/>
        </w:rPr>
        <w:t>P</w:t>
      </w:r>
      <w:r w:rsidR="00CD2801" w:rsidRPr="00CD2801">
        <w:rPr>
          <w:rFonts w:ascii="Arial" w:hAnsi="Arial" w:cs="Arial"/>
        </w:rPr>
        <w:t xml:space="preserve">latelet </w:t>
      </w:r>
      <w:r w:rsidR="00CD2801">
        <w:rPr>
          <w:rFonts w:ascii="Arial" w:hAnsi="Arial" w:cs="Arial"/>
        </w:rPr>
        <w:t xml:space="preserve">x </w:t>
      </w:r>
      <w:r w:rsidR="00CD2801" w:rsidRPr="00CD2801">
        <w:rPr>
          <w:rFonts w:ascii="Arial" w:hAnsi="Arial" w:cs="Arial"/>
        </w:rPr>
        <w:t>neutrophil</w:t>
      </w:r>
      <w:r w:rsidR="006C3579">
        <w:rPr>
          <w:rFonts w:ascii="Arial" w:hAnsi="Arial" w:cs="Arial"/>
        </w:rPr>
        <w:t xml:space="preserve"> </w:t>
      </w:r>
      <w:r w:rsidR="00C347EB">
        <w:rPr>
          <w:rFonts w:ascii="Arial" w:hAnsi="Arial" w:cs="Arial"/>
          <w:lang w:val="en-IN"/>
        </w:rPr>
        <w:t xml:space="preserve">÷ </w:t>
      </w:r>
      <w:r w:rsidR="006C3579">
        <w:rPr>
          <w:rFonts w:ascii="Arial" w:hAnsi="Arial" w:cs="Arial"/>
        </w:rPr>
        <w:t>L</w:t>
      </w:r>
      <w:r w:rsidR="00CD2801" w:rsidRPr="00CD2801">
        <w:rPr>
          <w:rFonts w:ascii="Arial" w:hAnsi="Arial" w:cs="Arial"/>
        </w:rPr>
        <w:t>ymphocyte counts.</w:t>
      </w:r>
    </w:p>
    <w:p w14:paraId="325E7EF4" w14:textId="77777777" w:rsidR="00DA6CF5" w:rsidRDefault="00DA6CF5" w:rsidP="008868E4">
      <w:pPr>
        <w:pStyle w:val="Body"/>
        <w:spacing w:after="0"/>
        <w:rPr>
          <w:rFonts w:ascii="Arial" w:hAnsi="Arial" w:cs="Arial"/>
          <w:lang w:val="en-IN"/>
        </w:rPr>
      </w:pPr>
    </w:p>
    <w:p w14:paraId="74BF3B6F" w14:textId="4159F024" w:rsidR="008868E4" w:rsidRPr="00C347EB" w:rsidRDefault="008868E4" w:rsidP="008868E4">
      <w:pPr>
        <w:pStyle w:val="Body"/>
        <w:spacing w:after="0"/>
        <w:rPr>
          <w:rFonts w:ascii="Arial" w:hAnsi="Arial" w:cs="Arial"/>
          <w:b/>
          <w:bCs/>
          <w:lang w:val="en-IN"/>
        </w:rPr>
      </w:pPr>
      <w:r w:rsidRPr="00C347EB">
        <w:rPr>
          <w:rFonts w:ascii="Arial" w:hAnsi="Arial" w:cs="Arial"/>
          <w:b/>
          <w:bCs/>
          <w:lang w:val="en-IN"/>
        </w:rPr>
        <w:t>Statistical analysis</w:t>
      </w:r>
    </w:p>
    <w:p w14:paraId="2671D4BE" w14:textId="016BFDE5" w:rsidR="005A55AC" w:rsidRPr="005A55AC" w:rsidRDefault="005A55AC" w:rsidP="005A55AC">
      <w:pPr>
        <w:pStyle w:val="Body"/>
        <w:spacing w:after="0"/>
        <w:rPr>
          <w:rFonts w:ascii="Arial" w:hAnsi="Arial" w:cs="Arial"/>
        </w:rPr>
      </w:pPr>
      <w:r w:rsidRPr="005A55AC">
        <w:rPr>
          <w:rFonts w:ascii="Arial" w:hAnsi="Arial" w:cs="Arial"/>
        </w:rPr>
        <w:t>Independent t-test was done for comparing different variables between two groups</w:t>
      </w:r>
      <w:r>
        <w:rPr>
          <w:rFonts w:ascii="Arial" w:hAnsi="Arial" w:cs="Arial"/>
        </w:rPr>
        <w:t>.</w:t>
      </w:r>
    </w:p>
    <w:p w14:paraId="2C1AAE2C" w14:textId="77777777" w:rsidR="00A03B96" w:rsidRDefault="00A03B96" w:rsidP="00441B6F">
      <w:pPr>
        <w:pStyle w:val="Body"/>
        <w:spacing w:after="0"/>
        <w:rPr>
          <w:rFonts w:ascii="Arial" w:hAnsi="Arial" w:cs="Arial"/>
        </w:rPr>
      </w:pPr>
    </w:p>
    <w:p w14:paraId="125DA365" w14:textId="77777777" w:rsidR="00790ADA" w:rsidRPr="00FB3A86" w:rsidRDefault="00790ADA" w:rsidP="00441B6F">
      <w:pPr>
        <w:pStyle w:val="Body"/>
        <w:spacing w:after="0"/>
        <w:rPr>
          <w:rFonts w:ascii="Arial" w:hAnsi="Arial" w:cs="Arial"/>
        </w:rPr>
      </w:pPr>
    </w:p>
    <w:p w14:paraId="2D52169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13A2C00" w14:textId="77777777" w:rsidR="00790ADA" w:rsidRPr="00FB3A86" w:rsidRDefault="00790ADA" w:rsidP="00441B6F">
      <w:pPr>
        <w:pStyle w:val="Head1"/>
        <w:spacing w:after="0"/>
        <w:jc w:val="both"/>
        <w:rPr>
          <w:rFonts w:ascii="Arial" w:hAnsi="Arial" w:cs="Arial"/>
        </w:rPr>
      </w:pPr>
    </w:p>
    <w:p w14:paraId="6A4D97B1" w14:textId="615FA99E" w:rsidR="005606A9" w:rsidRPr="005606A9" w:rsidRDefault="005606A9" w:rsidP="005606A9">
      <w:pPr>
        <w:pStyle w:val="Body"/>
        <w:spacing w:after="0"/>
        <w:rPr>
          <w:rFonts w:ascii="Arial" w:hAnsi="Arial" w:cs="Arial"/>
          <w:lang w:val="en-IN"/>
        </w:rPr>
      </w:pPr>
      <w:r w:rsidRPr="005606A9">
        <w:rPr>
          <w:rFonts w:ascii="Arial" w:hAnsi="Arial" w:cs="Arial"/>
          <w:lang w:val="en-IN"/>
        </w:rPr>
        <w:t xml:space="preserve">A total of 41 dogs met the inclusion criteria for SIRS. After excluding seven dogs diagnosed with chronic kidney disease, 34 cases were selected for detailed evaluation. Of these, 22 (64.7 per cent) were male, and 12 (35.2 per cent) were female. The most represented breeds included Labrador Retriever (8/34, 23.5 per cent), Rottweiler (5/34, 14.7 per cent), Spitz (5/34, 14.7 per cent), Dobermann (3/34, 8.8 per cent), Dachshund (3/34, 8.8 per cent), German Shepherd (2/34, 6.8 per cent), Pug (2/34, 6.8 per cent), Beagle (1/34, 2.9 per cent), and Great Dane (1/34, 2.9 per cent). Additionally, two dogs (11.8 per cent) were of mixed breed. </w:t>
      </w:r>
      <w:r w:rsidR="00A03CAA" w:rsidRPr="00A03CAA">
        <w:rPr>
          <w:rFonts w:ascii="Arial" w:hAnsi="Arial" w:cs="Arial"/>
        </w:rPr>
        <w:t xml:space="preserve">Hodgson </w:t>
      </w:r>
      <w:r w:rsidR="00A03CAA" w:rsidRPr="00A03CAA">
        <w:rPr>
          <w:rFonts w:ascii="Arial" w:hAnsi="Arial" w:cs="Arial"/>
          <w:i/>
          <w:iCs/>
        </w:rPr>
        <w:t>et al.</w:t>
      </w:r>
      <w:r w:rsidR="00A03CAA" w:rsidRPr="00A03CAA">
        <w:rPr>
          <w:rFonts w:ascii="Arial" w:hAnsi="Arial" w:cs="Arial"/>
        </w:rPr>
        <w:t xml:space="preserve"> </w:t>
      </w:r>
      <w:r w:rsidR="00A03CAA">
        <w:rPr>
          <w:rFonts w:ascii="Arial" w:hAnsi="Arial" w:cs="Arial"/>
        </w:rPr>
        <w:t>(</w:t>
      </w:r>
      <w:r w:rsidR="00A03CAA" w:rsidRPr="00A03CAA">
        <w:rPr>
          <w:rFonts w:ascii="Arial" w:hAnsi="Arial" w:cs="Arial"/>
        </w:rPr>
        <w:t>2018</w:t>
      </w:r>
      <w:r w:rsidR="00A03CAA">
        <w:rPr>
          <w:rFonts w:ascii="Arial" w:hAnsi="Arial" w:cs="Arial"/>
        </w:rPr>
        <w:t xml:space="preserve">) </w:t>
      </w:r>
      <w:r w:rsidR="00A03CAA">
        <w:rPr>
          <w:rFonts w:ascii="Arial" w:hAnsi="Arial" w:cs="Arial"/>
          <w:lang w:val="en-IN"/>
        </w:rPr>
        <w:t xml:space="preserve">observed an over presentation of mixed breed dogs in their study on SIRS affected dogs. </w:t>
      </w:r>
      <w:r w:rsidRPr="005606A9">
        <w:rPr>
          <w:rFonts w:ascii="Arial" w:hAnsi="Arial" w:cs="Arial"/>
          <w:lang w:val="en-IN"/>
        </w:rPr>
        <w:t>The age of the affected animals ranged from 10 months to 13 years.</w:t>
      </w:r>
    </w:p>
    <w:p w14:paraId="29A75C73" w14:textId="519BAD98" w:rsidR="00502516" w:rsidRDefault="00502516" w:rsidP="00441B6F">
      <w:pPr>
        <w:pStyle w:val="Body"/>
        <w:spacing w:after="0"/>
        <w:rPr>
          <w:rFonts w:ascii="Arial" w:hAnsi="Arial" w:cs="Arial"/>
        </w:rPr>
      </w:pPr>
    </w:p>
    <w:p w14:paraId="4B4D63CA" w14:textId="27B47B9A" w:rsidR="005606A9" w:rsidRDefault="005606A9" w:rsidP="005606A9">
      <w:pPr>
        <w:pStyle w:val="Body"/>
        <w:spacing w:after="0"/>
        <w:rPr>
          <w:rFonts w:ascii="Arial" w:hAnsi="Arial" w:cs="Arial"/>
          <w:lang w:val="en-IN"/>
        </w:rPr>
      </w:pPr>
      <w:r w:rsidRPr="005606A9">
        <w:rPr>
          <w:rFonts w:ascii="Arial" w:hAnsi="Arial" w:cs="Arial"/>
          <w:lang w:val="en-IN"/>
        </w:rPr>
        <w:t>Among the 34 cases</w:t>
      </w:r>
      <w:r w:rsidR="000421EA">
        <w:rPr>
          <w:rFonts w:ascii="Arial" w:hAnsi="Arial" w:cs="Arial"/>
          <w:lang w:val="en-IN"/>
        </w:rPr>
        <w:t xml:space="preserve"> selected</w:t>
      </w:r>
      <w:r w:rsidRPr="005606A9">
        <w:rPr>
          <w:rFonts w:ascii="Arial" w:hAnsi="Arial" w:cs="Arial"/>
          <w:lang w:val="en-IN"/>
        </w:rPr>
        <w:t xml:space="preserve">, 15 (44.1 per cent) dogs did not develop MODS and were categorized under Group I. The remaining 19 (55.9 per cent) dogs met the criteria for MODS </w:t>
      </w:r>
      <w:r w:rsidRPr="005606A9">
        <w:rPr>
          <w:rFonts w:ascii="Arial" w:hAnsi="Arial" w:cs="Arial"/>
          <w:lang w:val="en-IN"/>
        </w:rPr>
        <w:lastRenderedPageBreak/>
        <w:t>and were classified under Group II. The various haematological parameters were estimated and compared with the control group</w:t>
      </w:r>
      <w:r w:rsidR="00232C70">
        <w:rPr>
          <w:rFonts w:ascii="Arial" w:hAnsi="Arial" w:cs="Arial"/>
          <w:lang w:val="en-IN"/>
        </w:rPr>
        <w:t>.</w:t>
      </w:r>
      <w:r w:rsidRPr="005606A9">
        <w:rPr>
          <w:rFonts w:ascii="Arial" w:hAnsi="Arial" w:cs="Arial"/>
          <w:lang w:val="en-IN"/>
        </w:rPr>
        <w:t xml:space="preserve">  </w:t>
      </w:r>
    </w:p>
    <w:p w14:paraId="1E9FE4A7" w14:textId="184A1431" w:rsidR="00ED1E89" w:rsidRDefault="00ED1E89" w:rsidP="005606A9">
      <w:pPr>
        <w:pStyle w:val="Body"/>
        <w:spacing w:after="0"/>
        <w:rPr>
          <w:rFonts w:ascii="Arial" w:hAnsi="Arial" w:cs="Arial"/>
          <w:lang w:val="en-IN"/>
        </w:rPr>
      </w:pPr>
    </w:p>
    <w:p w14:paraId="134C1BFF" w14:textId="383EBB9B" w:rsidR="00ED1E89" w:rsidRPr="00ED1E89" w:rsidRDefault="00ED1E89" w:rsidP="00ED1E89">
      <w:pPr>
        <w:pStyle w:val="Body"/>
        <w:spacing w:after="0"/>
        <w:rPr>
          <w:rFonts w:ascii="Arial" w:hAnsi="Arial" w:cs="Arial"/>
          <w:lang w:val="en-IN"/>
        </w:rPr>
      </w:pPr>
      <w:r w:rsidRPr="00ED1E89">
        <w:rPr>
          <w:rFonts w:ascii="Arial" w:hAnsi="Arial" w:cs="Arial"/>
          <w:lang w:val="en-IN"/>
        </w:rPr>
        <w:t>Although neutrophil and lymphocyte play a crucial role in the body’s defence against pathogens, a patient’s white blood cell count may present false negatives or may be delayed in reflecting the progression of inflammatory disease. Recent studies have demonstrated that white blood cell count ratios such as NLR and PLR may act as potential inflammation biomarkers in a variety of diseases</w:t>
      </w:r>
      <w:r w:rsidR="000421EA">
        <w:rPr>
          <w:rFonts w:ascii="Arial" w:hAnsi="Arial" w:cs="Arial"/>
          <w:lang w:val="en-IN"/>
        </w:rPr>
        <w:t>.</w:t>
      </w:r>
    </w:p>
    <w:p w14:paraId="69DACAA5" w14:textId="77777777" w:rsidR="00ED1E89" w:rsidRPr="00ED1E89" w:rsidRDefault="00ED1E89" w:rsidP="00ED1E89">
      <w:pPr>
        <w:pStyle w:val="Body"/>
        <w:spacing w:after="0"/>
        <w:rPr>
          <w:rFonts w:ascii="Arial" w:hAnsi="Arial" w:cs="Arial"/>
          <w:lang w:val="en-IN"/>
        </w:rPr>
      </w:pPr>
    </w:p>
    <w:p w14:paraId="35F56C78" w14:textId="78B6A1C3" w:rsidR="00C91DC4" w:rsidRDefault="00ED1E89" w:rsidP="00441B6F">
      <w:pPr>
        <w:pStyle w:val="Body"/>
        <w:spacing w:after="0"/>
        <w:rPr>
          <w:rFonts w:ascii="Arial" w:hAnsi="Arial" w:cs="Arial"/>
        </w:rPr>
      </w:pPr>
      <w:r w:rsidRPr="00ED1E89">
        <w:rPr>
          <w:rFonts w:ascii="Arial" w:hAnsi="Arial" w:cs="Arial"/>
          <w:lang w:val="en-IN"/>
        </w:rPr>
        <w:t>The parameters NLR, PLR and SII were compared with the control animals. The NLR values were significantly higher for both the group I and group II animals than the control animals</w:t>
      </w:r>
      <w:r w:rsidR="006847C6">
        <w:rPr>
          <w:rFonts w:ascii="Arial" w:hAnsi="Arial" w:cs="Arial"/>
          <w:lang w:val="en-IN"/>
        </w:rPr>
        <w:t xml:space="preserve"> (table.1)</w:t>
      </w:r>
      <w:r w:rsidRPr="00ED1E89">
        <w:rPr>
          <w:rFonts w:ascii="Arial" w:hAnsi="Arial" w:cs="Arial"/>
          <w:lang w:val="en-IN"/>
        </w:rPr>
        <w:t xml:space="preserve">. </w:t>
      </w:r>
      <w:r w:rsidR="002E6500">
        <w:rPr>
          <w:rFonts w:ascii="Arial" w:hAnsi="Arial" w:cs="Arial"/>
        </w:rPr>
        <w:t xml:space="preserve">Li </w:t>
      </w:r>
      <w:r w:rsidR="002E6500" w:rsidRPr="002E6500">
        <w:rPr>
          <w:rFonts w:ascii="Arial" w:hAnsi="Arial" w:cs="Arial"/>
          <w:i/>
          <w:iCs/>
        </w:rPr>
        <w:t>et al</w:t>
      </w:r>
      <w:r w:rsidR="002E6500">
        <w:rPr>
          <w:rFonts w:ascii="Arial" w:hAnsi="Arial" w:cs="Arial"/>
        </w:rPr>
        <w:t>. (2024) reported a higher incidence of mortality among septic patients that are having higher values for NLR and PLR.</w:t>
      </w:r>
      <w:r w:rsidR="006207B0" w:rsidRPr="006207B0">
        <w:t xml:space="preserve"> </w:t>
      </w:r>
      <w:r w:rsidR="006207B0" w:rsidRPr="006207B0">
        <w:rPr>
          <w:rFonts w:ascii="Arial" w:hAnsi="Arial" w:cs="Arial"/>
        </w:rPr>
        <w:t xml:space="preserve">Shen </w:t>
      </w:r>
      <w:r w:rsidR="006207B0" w:rsidRPr="006207B0">
        <w:rPr>
          <w:rFonts w:ascii="Arial" w:hAnsi="Arial" w:cs="Arial"/>
          <w:i/>
          <w:iCs/>
        </w:rPr>
        <w:t>et al.</w:t>
      </w:r>
      <w:r w:rsidR="006207B0" w:rsidRPr="006207B0">
        <w:rPr>
          <w:rFonts w:ascii="Arial" w:hAnsi="Arial" w:cs="Arial"/>
        </w:rPr>
        <w:t xml:space="preserve"> </w:t>
      </w:r>
      <w:r w:rsidR="00473D75">
        <w:rPr>
          <w:rFonts w:ascii="Arial" w:hAnsi="Arial" w:cs="Arial"/>
        </w:rPr>
        <w:t xml:space="preserve">(2019) </w:t>
      </w:r>
      <w:r w:rsidR="006207B0">
        <w:rPr>
          <w:rFonts w:ascii="Arial" w:hAnsi="Arial" w:cs="Arial"/>
        </w:rPr>
        <w:t xml:space="preserve">also </w:t>
      </w:r>
      <w:r w:rsidR="006207B0" w:rsidRPr="006207B0">
        <w:rPr>
          <w:rFonts w:ascii="Arial" w:hAnsi="Arial" w:cs="Arial"/>
        </w:rPr>
        <w:t>reported that a high level of PLR on admission was associated with mortality in septic patients</w:t>
      </w:r>
      <w:r w:rsidR="006207B0">
        <w:rPr>
          <w:rFonts w:ascii="Arial" w:hAnsi="Arial" w:cs="Arial"/>
        </w:rPr>
        <w:t>.</w:t>
      </w:r>
      <w:r w:rsidR="006207B0" w:rsidRPr="006207B0">
        <w:rPr>
          <w:rFonts w:ascii="Arial" w:hAnsi="Arial" w:cs="Arial"/>
        </w:rPr>
        <w:t xml:space="preserve"> </w:t>
      </w:r>
      <w:r w:rsidR="00CE69A1" w:rsidRPr="00CE69A1">
        <w:rPr>
          <w:rFonts w:ascii="Arial" w:hAnsi="Arial" w:cs="Arial"/>
        </w:rPr>
        <w:t>Macfarlane</w:t>
      </w:r>
      <w:r w:rsidR="00CE69A1">
        <w:rPr>
          <w:rFonts w:ascii="Arial" w:hAnsi="Arial" w:cs="Arial"/>
        </w:rPr>
        <w:t xml:space="preserve"> </w:t>
      </w:r>
      <w:r w:rsidR="00CE69A1" w:rsidRPr="000421EA">
        <w:rPr>
          <w:rFonts w:ascii="Arial" w:hAnsi="Arial" w:cs="Arial"/>
          <w:i/>
          <w:iCs/>
        </w:rPr>
        <w:t>et al</w:t>
      </w:r>
      <w:r w:rsidR="00CE69A1">
        <w:rPr>
          <w:rFonts w:ascii="Arial" w:hAnsi="Arial" w:cs="Arial"/>
        </w:rPr>
        <w:t xml:space="preserve">. (2016) observed in </w:t>
      </w:r>
      <w:r w:rsidR="00CE69A1" w:rsidRPr="00CE69A1">
        <w:rPr>
          <w:rFonts w:ascii="Arial" w:hAnsi="Arial" w:cs="Arial"/>
        </w:rPr>
        <w:t>the dogs with soft tissue sarcoma, the neutrophil-to-lymphocyte ratio was significantly increased</w:t>
      </w:r>
      <w:r w:rsidR="002E6500">
        <w:rPr>
          <w:rFonts w:ascii="Arial" w:hAnsi="Arial" w:cs="Arial"/>
        </w:rPr>
        <w:t xml:space="preserve"> </w:t>
      </w:r>
      <w:r w:rsidR="00CE69A1">
        <w:rPr>
          <w:rFonts w:ascii="Arial" w:hAnsi="Arial" w:cs="Arial"/>
        </w:rPr>
        <w:t xml:space="preserve">compared to </w:t>
      </w:r>
      <w:r w:rsidR="00CE69A1" w:rsidRPr="00CE69A1">
        <w:rPr>
          <w:rFonts w:ascii="Arial" w:hAnsi="Arial" w:cs="Arial"/>
        </w:rPr>
        <w:t>those with benign soft tissue tumors</w:t>
      </w:r>
      <w:r w:rsidR="00CE69A1">
        <w:rPr>
          <w:rFonts w:ascii="Arial" w:hAnsi="Arial" w:cs="Arial"/>
        </w:rPr>
        <w:t xml:space="preserve">. </w:t>
      </w:r>
      <w:r w:rsidR="002E6500">
        <w:rPr>
          <w:rFonts w:ascii="Arial" w:hAnsi="Arial" w:cs="Arial"/>
        </w:rPr>
        <w:t xml:space="preserve">In our study we could get an increase in the NLR values in dogs that developed MODS </w:t>
      </w:r>
      <w:r w:rsidR="006207B0">
        <w:rPr>
          <w:rFonts w:ascii="Arial" w:hAnsi="Arial" w:cs="Arial"/>
        </w:rPr>
        <w:t xml:space="preserve">than the dogs that was not having MODS </w:t>
      </w:r>
      <w:r w:rsidR="002E6500">
        <w:rPr>
          <w:rFonts w:ascii="Arial" w:hAnsi="Arial" w:cs="Arial"/>
        </w:rPr>
        <w:t xml:space="preserve">but it was not statistically significant. </w:t>
      </w:r>
      <w:proofErr w:type="spellStart"/>
      <w:r w:rsidR="006238E4">
        <w:rPr>
          <w:rFonts w:ascii="Arial" w:hAnsi="Arial" w:cs="Arial"/>
        </w:rPr>
        <w:t>Azab</w:t>
      </w:r>
      <w:proofErr w:type="spellEnd"/>
      <w:r w:rsidR="006238E4">
        <w:rPr>
          <w:rFonts w:ascii="Arial" w:hAnsi="Arial" w:cs="Arial"/>
        </w:rPr>
        <w:t xml:space="preserve"> </w:t>
      </w:r>
      <w:r w:rsidR="006238E4" w:rsidRPr="00EF3BA9">
        <w:rPr>
          <w:rFonts w:ascii="Arial" w:hAnsi="Arial" w:cs="Arial"/>
          <w:i/>
          <w:iCs/>
        </w:rPr>
        <w:t>et al</w:t>
      </w:r>
      <w:r w:rsidR="006238E4">
        <w:rPr>
          <w:rFonts w:ascii="Arial" w:hAnsi="Arial" w:cs="Arial"/>
        </w:rPr>
        <w:t xml:space="preserve">. (2011) in their study in patients with acute pancreatitis observed that </w:t>
      </w:r>
      <w:r w:rsidR="00AF07CC" w:rsidRPr="00AF07CC">
        <w:rPr>
          <w:rFonts w:ascii="Arial" w:hAnsi="Arial" w:cs="Arial"/>
        </w:rPr>
        <w:t>NLR is superior to total WBC in predicting adverse outcomes of acute pancreatitis.</w:t>
      </w:r>
      <w:r w:rsidR="00AF07CC">
        <w:rPr>
          <w:rFonts w:ascii="Arial" w:hAnsi="Arial" w:cs="Arial"/>
        </w:rPr>
        <w:t xml:space="preserve"> And they suggested </w:t>
      </w:r>
      <w:proofErr w:type="gramStart"/>
      <w:r w:rsidR="00AF07CC">
        <w:rPr>
          <w:rFonts w:ascii="Arial" w:hAnsi="Arial" w:cs="Arial"/>
        </w:rPr>
        <w:t>a</w:t>
      </w:r>
      <w:proofErr w:type="gramEnd"/>
      <w:r w:rsidR="00AF07CC">
        <w:rPr>
          <w:rFonts w:ascii="Arial" w:hAnsi="Arial" w:cs="Arial"/>
        </w:rPr>
        <w:t xml:space="preserve"> NLR cut off value of &gt;4.7 </w:t>
      </w:r>
      <w:r w:rsidR="00AF07CC" w:rsidRPr="00AF07CC">
        <w:rPr>
          <w:rFonts w:ascii="Arial" w:hAnsi="Arial" w:cs="Arial"/>
        </w:rPr>
        <w:t>as a simple indicator of severity in patients presenting with acute pancreatitis</w:t>
      </w:r>
      <w:r w:rsidR="00AF07CC">
        <w:rPr>
          <w:rFonts w:ascii="Arial" w:hAnsi="Arial" w:cs="Arial"/>
        </w:rPr>
        <w:t>. In our study</w:t>
      </w:r>
      <w:r w:rsidR="00EA646A">
        <w:rPr>
          <w:rFonts w:ascii="Arial" w:hAnsi="Arial" w:cs="Arial"/>
        </w:rPr>
        <w:t xml:space="preserve">, </w:t>
      </w:r>
      <w:r w:rsidR="00AF07CC">
        <w:rPr>
          <w:rFonts w:ascii="Arial" w:hAnsi="Arial" w:cs="Arial"/>
        </w:rPr>
        <w:t>we got a higher NLR value in</w:t>
      </w:r>
      <w:r w:rsidR="00EA646A">
        <w:rPr>
          <w:rFonts w:ascii="Arial" w:hAnsi="Arial" w:cs="Arial"/>
        </w:rPr>
        <w:t xml:space="preserve"> both</w:t>
      </w:r>
      <w:r w:rsidR="00AF07CC">
        <w:rPr>
          <w:rFonts w:ascii="Arial" w:hAnsi="Arial" w:cs="Arial"/>
        </w:rPr>
        <w:t xml:space="preserve"> group I and group II,</w:t>
      </w:r>
      <w:r w:rsidR="00AF07CC" w:rsidRPr="00AF07CC">
        <w:rPr>
          <w:rFonts w:ascii="Arial" w:hAnsi="Arial"/>
          <w:lang w:val="en-IN"/>
        </w:rPr>
        <w:t xml:space="preserve"> </w:t>
      </w:r>
      <w:r w:rsidR="00AF07CC" w:rsidRPr="00AF07CC">
        <w:rPr>
          <w:rFonts w:ascii="Arial" w:hAnsi="Arial" w:cs="Arial"/>
          <w:lang w:val="en-IN"/>
        </w:rPr>
        <w:t>6.3 ± 0.93</w:t>
      </w:r>
      <w:r w:rsidR="00AF07CC">
        <w:rPr>
          <w:rFonts w:ascii="Arial" w:hAnsi="Arial" w:cs="Arial"/>
          <w:lang w:val="en-IN"/>
        </w:rPr>
        <w:t xml:space="preserve"> and </w:t>
      </w:r>
      <w:r w:rsidR="00EF3BA9" w:rsidRPr="00EF3BA9">
        <w:rPr>
          <w:rFonts w:ascii="Arial" w:hAnsi="Arial" w:cs="Arial"/>
          <w:lang w:val="en-IN"/>
        </w:rPr>
        <w:t>8.09 ± 0.86</w:t>
      </w:r>
      <w:r w:rsidR="00EF3BA9">
        <w:rPr>
          <w:rFonts w:ascii="Arial" w:hAnsi="Arial" w:cs="Arial"/>
          <w:lang w:val="en-IN"/>
        </w:rPr>
        <w:t xml:space="preserve"> respectively</w:t>
      </w:r>
      <w:r w:rsidR="00EA646A">
        <w:rPr>
          <w:rFonts w:ascii="Arial" w:hAnsi="Arial" w:cs="Arial"/>
          <w:lang w:val="en-IN"/>
        </w:rPr>
        <w:t>,</w:t>
      </w:r>
      <w:r w:rsidR="00EF3BA9">
        <w:rPr>
          <w:rFonts w:ascii="Arial" w:hAnsi="Arial" w:cs="Arial"/>
          <w:lang w:val="en-IN"/>
        </w:rPr>
        <w:t xml:space="preserve"> that was </w:t>
      </w:r>
      <w:r w:rsidR="00F05ADD">
        <w:rPr>
          <w:rFonts w:ascii="Arial" w:hAnsi="Arial" w:cs="Arial"/>
          <w:lang w:val="en-IN"/>
        </w:rPr>
        <w:t xml:space="preserve">significantly </w:t>
      </w:r>
      <w:r w:rsidR="00EF3BA9">
        <w:rPr>
          <w:rFonts w:ascii="Arial" w:hAnsi="Arial" w:cs="Arial"/>
          <w:lang w:val="en-IN"/>
        </w:rPr>
        <w:t>higher than the values for the control group</w:t>
      </w:r>
      <w:r w:rsidR="00E81FBB">
        <w:rPr>
          <w:rFonts w:ascii="Arial" w:hAnsi="Arial" w:cs="Arial"/>
          <w:lang w:val="en-IN"/>
        </w:rPr>
        <w:t xml:space="preserve"> (</w:t>
      </w:r>
      <w:r w:rsidR="00E81FBB" w:rsidRPr="00E81FBB">
        <w:rPr>
          <w:rFonts w:ascii="Arial" w:hAnsi="Arial" w:cs="Arial"/>
          <w:lang w:val="en-IN"/>
        </w:rPr>
        <w:t>3.28 ± 0.14</w:t>
      </w:r>
      <w:r w:rsidR="00E81FBB">
        <w:rPr>
          <w:rFonts w:ascii="Arial" w:hAnsi="Arial" w:cs="Arial"/>
          <w:lang w:val="en-IN"/>
        </w:rPr>
        <w:t>)</w:t>
      </w:r>
      <w:r w:rsidR="00205F8E">
        <w:rPr>
          <w:rFonts w:ascii="Arial" w:hAnsi="Arial" w:cs="Arial"/>
          <w:lang w:val="en-IN"/>
        </w:rPr>
        <w:t xml:space="preserve"> </w:t>
      </w:r>
      <w:r w:rsidR="005438E6">
        <w:rPr>
          <w:rFonts w:ascii="Arial" w:hAnsi="Arial" w:cs="Arial"/>
          <w:lang w:val="en-IN"/>
        </w:rPr>
        <w:t>(table I, II)</w:t>
      </w:r>
      <w:r w:rsidR="00EF3BA9">
        <w:rPr>
          <w:rFonts w:ascii="Arial" w:hAnsi="Arial" w:cs="Arial"/>
          <w:lang w:val="en-IN"/>
        </w:rPr>
        <w:t xml:space="preserve">. </w:t>
      </w:r>
      <w:r w:rsidR="008100E8">
        <w:rPr>
          <w:rFonts w:ascii="Arial" w:hAnsi="Arial" w:cs="Arial"/>
          <w:lang w:val="en-IN"/>
        </w:rPr>
        <w:t xml:space="preserve">In agreement with our findings </w:t>
      </w:r>
      <w:bookmarkStart w:id="5" w:name="_Hlk200623416"/>
      <w:r w:rsidR="008100E8" w:rsidRPr="008100E8">
        <w:rPr>
          <w:rFonts w:ascii="Arial" w:hAnsi="Arial" w:cs="Arial"/>
        </w:rPr>
        <w:t>Hodgson</w:t>
      </w:r>
      <w:r w:rsidR="008100E8">
        <w:rPr>
          <w:rFonts w:ascii="Arial" w:hAnsi="Arial" w:cs="Arial"/>
        </w:rPr>
        <w:t xml:space="preserve"> </w:t>
      </w:r>
      <w:r w:rsidR="008100E8" w:rsidRPr="00205F8E">
        <w:rPr>
          <w:rFonts w:ascii="Arial" w:hAnsi="Arial" w:cs="Arial"/>
          <w:i/>
          <w:iCs/>
        </w:rPr>
        <w:t>et al.</w:t>
      </w:r>
      <w:r w:rsidR="008100E8">
        <w:rPr>
          <w:rFonts w:ascii="Arial" w:hAnsi="Arial" w:cs="Arial"/>
        </w:rPr>
        <w:t xml:space="preserve"> </w:t>
      </w:r>
      <w:r w:rsidR="00665382">
        <w:rPr>
          <w:rFonts w:ascii="Arial" w:hAnsi="Arial" w:cs="Arial"/>
        </w:rPr>
        <w:t>(</w:t>
      </w:r>
      <w:r w:rsidR="008100E8">
        <w:rPr>
          <w:rFonts w:ascii="Arial" w:hAnsi="Arial" w:cs="Arial"/>
        </w:rPr>
        <w:t>2018</w:t>
      </w:r>
      <w:r w:rsidR="00665382">
        <w:rPr>
          <w:rFonts w:ascii="Arial" w:hAnsi="Arial" w:cs="Arial"/>
        </w:rPr>
        <w:t xml:space="preserve">) </w:t>
      </w:r>
      <w:bookmarkEnd w:id="5"/>
      <w:r w:rsidR="008100E8">
        <w:rPr>
          <w:rFonts w:ascii="Arial" w:hAnsi="Arial" w:cs="Arial"/>
        </w:rPr>
        <w:t>observed that a</w:t>
      </w:r>
      <w:r w:rsidR="008100E8" w:rsidRPr="008100E8">
        <w:rPr>
          <w:rFonts w:ascii="Arial" w:hAnsi="Arial" w:cs="Arial"/>
        </w:rPr>
        <w:t xml:space="preserve">n NLR </w:t>
      </w:r>
      <w:r w:rsidR="00205F8E">
        <w:rPr>
          <w:rFonts w:ascii="Arial" w:hAnsi="Arial" w:cs="Arial"/>
        </w:rPr>
        <w:t xml:space="preserve">≥ </w:t>
      </w:r>
      <w:r w:rsidR="008100E8" w:rsidRPr="008100E8">
        <w:rPr>
          <w:rFonts w:ascii="Arial" w:hAnsi="Arial" w:cs="Arial"/>
        </w:rPr>
        <w:t>6 had an 84.39% sensitivity and 86.95% specificity to identify dogs with systemic inflammatory states</w:t>
      </w:r>
      <w:r w:rsidR="00205F8E">
        <w:rPr>
          <w:rFonts w:ascii="Arial" w:hAnsi="Arial" w:cs="Arial"/>
        </w:rPr>
        <w:t>. They also noted that none of the ratios could distinguish septic and non-septic causes.</w:t>
      </w:r>
      <w:r w:rsidR="0078211D">
        <w:rPr>
          <w:rFonts w:ascii="Arial" w:hAnsi="Arial" w:cs="Arial"/>
        </w:rPr>
        <w:t xml:space="preserve"> In our study also, e</w:t>
      </w:r>
      <w:r w:rsidR="00C91DC4">
        <w:rPr>
          <w:rFonts w:ascii="Arial" w:hAnsi="Arial" w:cs="Arial"/>
        </w:rPr>
        <w:t xml:space="preserve">ven though there was an increase of NLR in dogs with MODS compared to that of dogs </w:t>
      </w:r>
      <w:r w:rsidR="00352F50">
        <w:rPr>
          <w:rFonts w:ascii="Arial" w:hAnsi="Arial" w:cs="Arial"/>
        </w:rPr>
        <w:t>without</w:t>
      </w:r>
      <w:r w:rsidR="00C91DC4">
        <w:rPr>
          <w:rFonts w:ascii="Arial" w:hAnsi="Arial" w:cs="Arial"/>
        </w:rPr>
        <w:t xml:space="preserve"> MODS, no statically significant change was observed in the values between the groups</w:t>
      </w:r>
      <w:r w:rsidR="0051200B">
        <w:rPr>
          <w:rFonts w:ascii="Arial" w:hAnsi="Arial" w:cs="Arial"/>
        </w:rPr>
        <w:t xml:space="preserve"> (table 3)</w:t>
      </w:r>
      <w:r w:rsidR="00C91DC4">
        <w:rPr>
          <w:rFonts w:ascii="Arial" w:hAnsi="Arial" w:cs="Arial"/>
        </w:rPr>
        <w:t xml:space="preserve">. </w:t>
      </w:r>
      <w:r w:rsidR="00D10C56">
        <w:rPr>
          <w:rFonts w:ascii="Arial" w:hAnsi="Arial" w:cs="Arial"/>
        </w:rPr>
        <w:t xml:space="preserve">In agreement with these findings, </w:t>
      </w:r>
      <w:proofErr w:type="spellStart"/>
      <w:r w:rsidR="00D10C56" w:rsidRPr="00D10C56">
        <w:rPr>
          <w:rFonts w:ascii="Arial" w:hAnsi="Arial" w:cs="Arial"/>
        </w:rPr>
        <w:t>Salciccioli</w:t>
      </w:r>
      <w:proofErr w:type="spellEnd"/>
      <w:r w:rsidR="00D10C56" w:rsidRPr="00D10C56">
        <w:rPr>
          <w:rFonts w:ascii="Arial" w:hAnsi="Arial" w:cs="Arial"/>
        </w:rPr>
        <w:t xml:space="preserve"> </w:t>
      </w:r>
      <w:r w:rsidR="00D10C56" w:rsidRPr="00D10C56">
        <w:rPr>
          <w:rFonts w:ascii="Arial" w:hAnsi="Arial" w:cs="Arial"/>
          <w:i/>
          <w:iCs/>
        </w:rPr>
        <w:t>et al.</w:t>
      </w:r>
      <w:r w:rsidR="00D10C56" w:rsidRPr="00D10C56">
        <w:rPr>
          <w:rFonts w:ascii="Arial" w:hAnsi="Arial" w:cs="Arial"/>
        </w:rPr>
        <w:t xml:space="preserve"> </w:t>
      </w:r>
      <w:r w:rsidR="00D10C56">
        <w:rPr>
          <w:rFonts w:ascii="Arial" w:hAnsi="Arial" w:cs="Arial"/>
        </w:rPr>
        <w:t xml:space="preserve">(2015) reported that </w:t>
      </w:r>
      <w:r w:rsidR="00D10C56" w:rsidRPr="00D10C56">
        <w:rPr>
          <w:rFonts w:ascii="Arial" w:hAnsi="Arial" w:cs="Arial"/>
        </w:rPr>
        <w:t>NLR was not associated with 28-day mortality in patients with sepsis.</w:t>
      </w:r>
      <w:r w:rsidR="00D10C56">
        <w:rPr>
          <w:rFonts w:ascii="Arial" w:hAnsi="Arial" w:cs="Arial"/>
        </w:rPr>
        <w:t xml:space="preserve"> </w:t>
      </w:r>
      <w:proofErr w:type="spellStart"/>
      <w:r w:rsidR="00AC3D96" w:rsidRPr="00AC3D96">
        <w:rPr>
          <w:rFonts w:ascii="Arial" w:hAnsi="Arial" w:cs="Arial"/>
        </w:rPr>
        <w:t>Pierini</w:t>
      </w:r>
      <w:proofErr w:type="spellEnd"/>
      <w:r w:rsidR="00AC3D96">
        <w:rPr>
          <w:rFonts w:ascii="Arial" w:hAnsi="Arial" w:cs="Arial"/>
        </w:rPr>
        <w:t xml:space="preserve"> </w:t>
      </w:r>
      <w:r w:rsidR="00AC3D96" w:rsidRPr="000421EA">
        <w:rPr>
          <w:rFonts w:ascii="Arial" w:hAnsi="Arial" w:cs="Arial"/>
          <w:i/>
          <w:iCs/>
        </w:rPr>
        <w:t>et al.</w:t>
      </w:r>
      <w:r w:rsidR="00AC3D96">
        <w:rPr>
          <w:rFonts w:ascii="Arial" w:hAnsi="Arial" w:cs="Arial"/>
        </w:rPr>
        <w:t xml:space="preserve"> (2019) found out that t</w:t>
      </w:r>
      <w:r w:rsidR="00AC3D96" w:rsidRPr="00AC3D96">
        <w:rPr>
          <w:rFonts w:ascii="Arial" w:hAnsi="Arial" w:cs="Arial"/>
        </w:rPr>
        <w:t>he median NLR was 11.69 and NLR was lower in septic dogs compared to non-septic ones</w:t>
      </w:r>
      <w:r w:rsidR="00AC3D96">
        <w:rPr>
          <w:rFonts w:ascii="Arial" w:hAnsi="Arial" w:cs="Arial"/>
        </w:rPr>
        <w:t xml:space="preserve">. </w:t>
      </w:r>
      <w:r w:rsidR="006D4B8D" w:rsidRPr="006D4B8D">
        <w:rPr>
          <w:rFonts w:ascii="Arial" w:hAnsi="Arial" w:cs="Arial"/>
        </w:rPr>
        <w:t>The</w:t>
      </w:r>
      <w:r w:rsidR="006D4B8D">
        <w:rPr>
          <w:rFonts w:ascii="Arial" w:hAnsi="Arial" w:cs="Arial"/>
        </w:rPr>
        <w:t xml:space="preserve"> </w:t>
      </w:r>
      <w:r w:rsidR="006D4B8D" w:rsidRPr="006D4B8D">
        <w:rPr>
          <w:rFonts w:ascii="Arial" w:hAnsi="Arial" w:cs="Arial"/>
        </w:rPr>
        <w:t>systemic</w:t>
      </w:r>
      <w:r w:rsidR="00CE3490">
        <w:rPr>
          <w:rFonts w:ascii="Arial" w:hAnsi="Arial" w:cs="Arial"/>
        </w:rPr>
        <w:t xml:space="preserve"> </w:t>
      </w:r>
      <w:r w:rsidR="006D4B8D" w:rsidRPr="006D4B8D">
        <w:rPr>
          <w:rFonts w:ascii="Arial" w:hAnsi="Arial" w:cs="Arial"/>
        </w:rPr>
        <w:t>inflammatory</w:t>
      </w:r>
      <w:r w:rsidR="00CE3490">
        <w:rPr>
          <w:rFonts w:ascii="Arial" w:hAnsi="Arial" w:cs="Arial"/>
        </w:rPr>
        <w:t xml:space="preserve"> </w:t>
      </w:r>
      <w:r w:rsidR="006D4B8D" w:rsidRPr="006D4B8D">
        <w:rPr>
          <w:rFonts w:ascii="Arial" w:hAnsi="Arial" w:cs="Arial"/>
        </w:rPr>
        <w:t>response</w:t>
      </w:r>
      <w:r w:rsidR="00CE3490">
        <w:rPr>
          <w:rFonts w:ascii="Arial" w:hAnsi="Arial" w:cs="Arial"/>
        </w:rPr>
        <w:t xml:space="preserve"> </w:t>
      </w:r>
      <w:r w:rsidR="006D4B8D" w:rsidRPr="006D4B8D">
        <w:rPr>
          <w:rFonts w:ascii="Arial" w:hAnsi="Arial" w:cs="Arial"/>
        </w:rPr>
        <w:t>present in</w:t>
      </w:r>
      <w:r w:rsidR="00CE3490">
        <w:rPr>
          <w:rFonts w:ascii="Arial" w:hAnsi="Arial" w:cs="Arial"/>
        </w:rPr>
        <w:t xml:space="preserve"> </w:t>
      </w:r>
      <w:r w:rsidR="006D4B8D" w:rsidRPr="006D4B8D">
        <w:rPr>
          <w:rFonts w:ascii="Arial" w:hAnsi="Arial" w:cs="Arial"/>
        </w:rPr>
        <w:t>both</w:t>
      </w:r>
      <w:r w:rsidR="00CE3490">
        <w:rPr>
          <w:rFonts w:ascii="Arial" w:hAnsi="Arial" w:cs="Arial"/>
        </w:rPr>
        <w:t xml:space="preserve"> </w:t>
      </w:r>
      <w:r w:rsidR="006D4B8D" w:rsidRPr="006D4B8D">
        <w:rPr>
          <w:rFonts w:ascii="Arial" w:hAnsi="Arial" w:cs="Arial"/>
        </w:rPr>
        <w:t>populations</w:t>
      </w:r>
      <w:r w:rsidR="00CE3490">
        <w:rPr>
          <w:rFonts w:ascii="Arial" w:hAnsi="Arial" w:cs="Arial"/>
        </w:rPr>
        <w:t xml:space="preserve"> </w:t>
      </w:r>
      <w:r w:rsidR="00F91087">
        <w:rPr>
          <w:rFonts w:ascii="Arial" w:hAnsi="Arial" w:cs="Arial"/>
        </w:rPr>
        <w:t>was</w:t>
      </w:r>
      <w:r w:rsidR="006D4B8D" w:rsidRPr="006D4B8D">
        <w:rPr>
          <w:rFonts w:ascii="Arial" w:hAnsi="Arial" w:cs="Arial"/>
        </w:rPr>
        <w:t xml:space="preserve"> known</w:t>
      </w:r>
      <w:r w:rsidR="00CE3490">
        <w:rPr>
          <w:rFonts w:ascii="Arial" w:hAnsi="Arial" w:cs="Arial"/>
        </w:rPr>
        <w:t xml:space="preserve"> </w:t>
      </w:r>
      <w:r w:rsidR="006D4B8D" w:rsidRPr="006D4B8D">
        <w:rPr>
          <w:rFonts w:ascii="Arial" w:hAnsi="Arial" w:cs="Arial"/>
        </w:rPr>
        <w:t>to</w:t>
      </w:r>
      <w:r w:rsidR="00CE3490">
        <w:rPr>
          <w:rFonts w:ascii="Arial" w:hAnsi="Arial" w:cs="Arial"/>
        </w:rPr>
        <w:t xml:space="preserve"> </w:t>
      </w:r>
      <w:r w:rsidR="006D4B8D" w:rsidRPr="006D4B8D">
        <w:rPr>
          <w:rFonts w:ascii="Arial" w:hAnsi="Arial" w:cs="Arial"/>
        </w:rPr>
        <w:t>result in</w:t>
      </w:r>
      <w:r w:rsidR="00CE3490">
        <w:rPr>
          <w:rFonts w:ascii="Arial" w:hAnsi="Arial" w:cs="Arial"/>
        </w:rPr>
        <w:t xml:space="preserve"> </w:t>
      </w:r>
      <w:r w:rsidR="006D4B8D" w:rsidRPr="006D4B8D">
        <w:rPr>
          <w:rFonts w:ascii="Arial" w:hAnsi="Arial" w:cs="Arial"/>
        </w:rPr>
        <w:t>the</w:t>
      </w:r>
      <w:r w:rsidR="00CE3490">
        <w:rPr>
          <w:rFonts w:ascii="Arial" w:hAnsi="Arial" w:cs="Arial"/>
        </w:rPr>
        <w:t xml:space="preserve"> </w:t>
      </w:r>
      <w:r w:rsidR="006D4B8D" w:rsidRPr="006D4B8D">
        <w:rPr>
          <w:rFonts w:ascii="Arial" w:hAnsi="Arial" w:cs="Arial"/>
        </w:rPr>
        <w:t>development</w:t>
      </w:r>
      <w:r w:rsidR="00CE3490">
        <w:rPr>
          <w:rFonts w:ascii="Arial" w:hAnsi="Arial" w:cs="Arial"/>
        </w:rPr>
        <w:t xml:space="preserve"> </w:t>
      </w:r>
      <w:r w:rsidR="006D4B8D" w:rsidRPr="006D4B8D">
        <w:rPr>
          <w:rFonts w:ascii="Arial" w:hAnsi="Arial" w:cs="Arial"/>
        </w:rPr>
        <w:t>of</w:t>
      </w:r>
      <w:r w:rsidR="00CE3490">
        <w:rPr>
          <w:rFonts w:ascii="Arial" w:hAnsi="Arial" w:cs="Arial"/>
        </w:rPr>
        <w:t xml:space="preserve"> </w:t>
      </w:r>
      <w:r w:rsidR="006D4B8D" w:rsidRPr="006D4B8D">
        <w:rPr>
          <w:rFonts w:ascii="Arial" w:hAnsi="Arial" w:cs="Arial"/>
        </w:rPr>
        <w:t>neutrophilia</w:t>
      </w:r>
      <w:r w:rsidR="00CE3490">
        <w:rPr>
          <w:rFonts w:ascii="Arial" w:hAnsi="Arial" w:cs="Arial"/>
        </w:rPr>
        <w:t xml:space="preserve"> </w:t>
      </w:r>
      <w:r w:rsidR="006D4B8D" w:rsidRPr="006D4B8D">
        <w:rPr>
          <w:rFonts w:ascii="Arial" w:hAnsi="Arial" w:cs="Arial"/>
        </w:rPr>
        <w:t xml:space="preserve">and </w:t>
      </w:r>
      <w:proofErr w:type="spellStart"/>
      <w:r w:rsidR="006D4B8D" w:rsidRPr="006D4B8D">
        <w:rPr>
          <w:rFonts w:ascii="Arial" w:hAnsi="Arial" w:cs="Arial"/>
        </w:rPr>
        <w:t>lymphop</w:t>
      </w:r>
      <w:r w:rsidR="00352F50">
        <w:rPr>
          <w:rFonts w:ascii="Arial" w:hAnsi="Arial" w:cs="Arial"/>
        </w:rPr>
        <w:t>a</w:t>
      </w:r>
      <w:r w:rsidR="006D4B8D" w:rsidRPr="006D4B8D">
        <w:rPr>
          <w:rFonts w:ascii="Arial" w:hAnsi="Arial" w:cs="Arial"/>
        </w:rPr>
        <w:t>enia</w:t>
      </w:r>
      <w:proofErr w:type="spellEnd"/>
      <w:r w:rsidR="006D4B8D" w:rsidRPr="006D4B8D">
        <w:rPr>
          <w:rFonts w:ascii="Arial" w:hAnsi="Arial" w:cs="Arial"/>
        </w:rPr>
        <w:t>. An increased release from</w:t>
      </w:r>
      <w:r w:rsidR="00CE3490">
        <w:rPr>
          <w:rFonts w:ascii="Arial" w:hAnsi="Arial" w:cs="Arial"/>
        </w:rPr>
        <w:t xml:space="preserve"> </w:t>
      </w:r>
      <w:r w:rsidR="006D4B8D" w:rsidRPr="006D4B8D">
        <w:rPr>
          <w:rFonts w:ascii="Arial" w:hAnsi="Arial" w:cs="Arial"/>
        </w:rPr>
        <w:t>the bone</w:t>
      </w:r>
      <w:r w:rsidR="00EA646A">
        <w:rPr>
          <w:rFonts w:ascii="Arial" w:hAnsi="Arial" w:cs="Arial"/>
        </w:rPr>
        <w:t xml:space="preserve"> </w:t>
      </w:r>
      <w:r w:rsidR="006D4B8D" w:rsidRPr="006D4B8D">
        <w:rPr>
          <w:rFonts w:ascii="Arial" w:hAnsi="Arial" w:cs="Arial"/>
        </w:rPr>
        <w:t>marrow</w:t>
      </w:r>
      <w:r w:rsidR="00CE3490">
        <w:rPr>
          <w:rFonts w:ascii="Arial" w:hAnsi="Arial" w:cs="Arial"/>
        </w:rPr>
        <w:t xml:space="preserve"> </w:t>
      </w:r>
      <w:r w:rsidR="006D4B8D" w:rsidRPr="006D4B8D">
        <w:rPr>
          <w:rFonts w:ascii="Arial" w:hAnsi="Arial" w:cs="Arial"/>
        </w:rPr>
        <w:t>and</w:t>
      </w:r>
      <w:r w:rsidR="00CE3490">
        <w:rPr>
          <w:rFonts w:ascii="Arial" w:hAnsi="Arial" w:cs="Arial"/>
        </w:rPr>
        <w:t xml:space="preserve"> </w:t>
      </w:r>
      <w:r w:rsidR="006D4B8D" w:rsidRPr="006D4B8D">
        <w:rPr>
          <w:rFonts w:ascii="Arial" w:hAnsi="Arial" w:cs="Arial"/>
        </w:rPr>
        <w:t>delayed apoptosis of circulating</w:t>
      </w:r>
      <w:r w:rsidR="00CE3490">
        <w:rPr>
          <w:rFonts w:ascii="Arial" w:hAnsi="Arial" w:cs="Arial"/>
        </w:rPr>
        <w:t xml:space="preserve"> </w:t>
      </w:r>
      <w:r w:rsidR="006D4B8D" w:rsidRPr="006D4B8D">
        <w:rPr>
          <w:rFonts w:ascii="Arial" w:hAnsi="Arial" w:cs="Arial"/>
        </w:rPr>
        <w:t>neutrophils typically results in increased numbers</w:t>
      </w:r>
      <w:r w:rsidR="00CE3490">
        <w:rPr>
          <w:rFonts w:ascii="Arial" w:hAnsi="Arial" w:cs="Arial"/>
        </w:rPr>
        <w:t xml:space="preserve"> </w:t>
      </w:r>
      <w:r w:rsidR="006D4B8D" w:rsidRPr="006D4B8D">
        <w:rPr>
          <w:rFonts w:ascii="Arial" w:hAnsi="Arial" w:cs="Arial"/>
        </w:rPr>
        <w:t>of circulating</w:t>
      </w:r>
      <w:r w:rsidR="00CE3490">
        <w:rPr>
          <w:rFonts w:ascii="Arial" w:hAnsi="Arial" w:cs="Arial"/>
        </w:rPr>
        <w:t xml:space="preserve"> </w:t>
      </w:r>
      <w:r w:rsidR="006D4B8D" w:rsidRPr="006D4B8D">
        <w:rPr>
          <w:rFonts w:ascii="Arial" w:hAnsi="Arial" w:cs="Arial"/>
        </w:rPr>
        <w:t>neutrophils</w:t>
      </w:r>
      <w:r w:rsidR="00CE3490">
        <w:rPr>
          <w:rFonts w:ascii="Arial" w:hAnsi="Arial" w:cs="Arial"/>
        </w:rPr>
        <w:t xml:space="preserve"> </w:t>
      </w:r>
      <w:r w:rsidR="006D4B8D" w:rsidRPr="006D4B8D">
        <w:rPr>
          <w:rFonts w:ascii="Arial" w:hAnsi="Arial" w:cs="Arial"/>
        </w:rPr>
        <w:t>of various</w:t>
      </w:r>
      <w:r w:rsidR="00CE3490">
        <w:rPr>
          <w:rFonts w:ascii="Arial" w:hAnsi="Arial" w:cs="Arial"/>
        </w:rPr>
        <w:t xml:space="preserve"> </w:t>
      </w:r>
      <w:r w:rsidR="006D4B8D" w:rsidRPr="006D4B8D">
        <w:rPr>
          <w:rFonts w:ascii="Arial" w:hAnsi="Arial" w:cs="Arial"/>
        </w:rPr>
        <w:t>degrees</w:t>
      </w:r>
      <w:r w:rsidR="00CE3490">
        <w:rPr>
          <w:rFonts w:ascii="Arial" w:hAnsi="Arial" w:cs="Arial"/>
        </w:rPr>
        <w:t xml:space="preserve"> </w:t>
      </w:r>
      <w:r w:rsidR="006D4B8D" w:rsidRPr="006D4B8D">
        <w:rPr>
          <w:rFonts w:ascii="Arial" w:hAnsi="Arial" w:cs="Arial"/>
        </w:rPr>
        <w:t>of</w:t>
      </w:r>
      <w:r w:rsidR="00CE3490">
        <w:rPr>
          <w:rFonts w:ascii="Arial" w:hAnsi="Arial" w:cs="Arial"/>
        </w:rPr>
        <w:t xml:space="preserve"> </w:t>
      </w:r>
      <w:r w:rsidR="006D4B8D" w:rsidRPr="006D4B8D">
        <w:rPr>
          <w:rFonts w:ascii="Arial" w:hAnsi="Arial" w:cs="Arial"/>
        </w:rPr>
        <w:t>maturation</w:t>
      </w:r>
      <w:r w:rsidR="00CE3490">
        <w:rPr>
          <w:rFonts w:ascii="Arial" w:hAnsi="Arial" w:cs="Arial"/>
        </w:rPr>
        <w:t xml:space="preserve"> (Lewis </w:t>
      </w:r>
      <w:r w:rsidR="00CE3490" w:rsidRPr="00CE3490">
        <w:rPr>
          <w:rFonts w:ascii="Arial" w:hAnsi="Arial" w:cs="Arial"/>
          <w:i/>
          <w:iCs/>
        </w:rPr>
        <w:t>et al</w:t>
      </w:r>
      <w:r w:rsidR="00CE3490">
        <w:rPr>
          <w:rFonts w:ascii="Arial" w:hAnsi="Arial" w:cs="Arial"/>
        </w:rPr>
        <w:t>., 2012).</w:t>
      </w:r>
      <w:r w:rsidR="0051200B">
        <w:rPr>
          <w:rFonts w:ascii="Arial" w:hAnsi="Arial" w:cs="Arial"/>
        </w:rPr>
        <w:t xml:space="preserve"> </w:t>
      </w:r>
      <w:r w:rsidR="0051200B" w:rsidRPr="0051200B">
        <w:rPr>
          <w:rFonts w:ascii="Arial" w:hAnsi="Arial" w:cs="Arial"/>
        </w:rPr>
        <w:t>Cortisol mediated apoptosis and</w:t>
      </w:r>
      <w:r w:rsidR="0051200B">
        <w:rPr>
          <w:rFonts w:ascii="Arial" w:hAnsi="Arial" w:cs="Arial"/>
        </w:rPr>
        <w:t xml:space="preserve"> </w:t>
      </w:r>
      <w:r w:rsidR="0051200B" w:rsidRPr="0051200B">
        <w:rPr>
          <w:rFonts w:ascii="Arial" w:hAnsi="Arial" w:cs="Arial"/>
        </w:rPr>
        <w:t>margination and redistribution of lymphocytes contribute</w:t>
      </w:r>
      <w:r w:rsidR="0051200B">
        <w:rPr>
          <w:rFonts w:ascii="Arial" w:hAnsi="Arial" w:cs="Arial"/>
        </w:rPr>
        <w:t xml:space="preserve"> </w:t>
      </w:r>
      <w:r w:rsidR="0051200B" w:rsidRPr="0051200B">
        <w:rPr>
          <w:rFonts w:ascii="Arial" w:hAnsi="Arial" w:cs="Arial"/>
        </w:rPr>
        <w:t>to</w:t>
      </w:r>
      <w:r w:rsidR="0051200B">
        <w:rPr>
          <w:rFonts w:ascii="Arial" w:hAnsi="Arial" w:cs="Arial"/>
        </w:rPr>
        <w:t xml:space="preserve"> </w:t>
      </w:r>
      <w:r w:rsidR="0051200B" w:rsidRPr="0051200B">
        <w:rPr>
          <w:rFonts w:ascii="Arial" w:hAnsi="Arial" w:cs="Arial"/>
        </w:rPr>
        <w:t>the</w:t>
      </w:r>
      <w:r w:rsidR="0051200B">
        <w:rPr>
          <w:rFonts w:ascii="Arial" w:hAnsi="Arial" w:cs="Arial"/>
        </w:rPr>
        <w:t xml:space="preserve"> </w:t>
      </w:r>
      <w:r w:rsidR="0051200B" w:rsidRPr="0051200B">
        <w:rPr>
          <w:rFonts w:ascii="Arial" w:hAnsi="Arial" w:cs="Arial"/>
        </w:rPr>
        <w:t>development</w:t>
      </w:r>
      <w:r w:rsidR="0051200B">
        <w:rPr>
          <w:rFonts w:ascii="Arial" w:hAnsi="Arial" w:cs="Arial"/>
        </w:rPr>
        <w:t xml:space="preserve"> </w:t>
      </w:r>
      <w:r w:rsidR="0051200B" w:rsidRPr="0051200B">
        <w:rPr>
          <w:rFonts w:ascii="Arial" w:hAnsi="Arial" w:cs="Arial"/>
        </w:rPr>
        <w:t>of</w:t>
      </w:r>
      <w:r w:rsidR="0051200B">
        <w:rPr>
          <w:rFonts w:ascii="Arial" w:hAnsi="Arial" w:cs="Arial"/>
        </w:rPr>
        <w:t xml:space="preserve"> </w:t>
      </w:r>
      <w:proofErr w:type="spellStart"/>
      <w:r w:rsidR="0051200B" w:rsidRPr="0051200B">
        <w:rPr>
          <w:rFonts w:ascii="Arial" w:hAnsi="Arial" w:cs="Arial"/>
        </w:rPr>
        <w:t>lymphop</w:t>
      </w:r>
      <w:r w:rsidR="008471FC">
        <w:rPr>
          <w:rFonts w:ascii="Arial" w:hAnsi="Arial" w:cs="Arial"/>
        </w:rPr>
        <w:t>a</w:t>
      </w:r>
      <w:r w:rsidR="0051200B" w:rsidRPr="0051200B">
        <w:rPr>
          <w:rFonts w:ascii="Arial" w:hAnsi="Arial" w:cs="Arial"/>
        </w:rPr>
        <w:t>enia</w:t>
      </w:r>
      <w:proofErr w:type="spellEnd"/>
      <w:r w:rsidR="00EE021D" w:rsidRPr="00EE021D">
        <w:rPr>
          <w:rFonts w:ascii="Arial" w:hAnsi="Arial" w:cs="Arial"/>
          <w:lang w:val="en-IN"/>
        </w:rPr>
        <w:t xml:space="preserve"> </w:t>
      </w:r>
      <w:r w:rsidR="00EE021D">
        <w:rPr>
          <w:rFonts w:ascii="Arial" w:hAnsi="Arial" w:cs="Arial"/>
          <w:lang w:val="en-IN"/>
        </w:rPr>
        <w:t>(</w:t>
      </w:r>
      <w:r w:rsidR="00EE021D" w:rsidRPr="00EE021D">
        <w:rPr>
          <w:rFonts w:ascii="Arial" w:hAnsi="Arial" w:cs="Arial"/>
          <w:lang w:val="en-IN"/>
        </w:rPr>
        <w:t xml:space="preserve">Hotchkiss </w:t>
      </w:r>
      <w:r w:rsidR="00EE021D" w:rsidRPr="00EE021D">
        <w:rPr>
          <w:rFonts w:ascii="Arial" w:hAnsi="Arial" w:cs="Arial"/>
          <w:i/>
          <w:iCs/>
          <w:lang w:val="en-IN"/>
        </w:rPr>
        <w:t>et al</w:t>
      </w:r>
      <w:r w:rsidR="00EE021D" w:rsidRPr="00EE021D">
        <w:rPr>
          <w:rFonts w:ascii="Arial" w:hAnsi="Arial" w:cs="Arial"/>
          <w:lang w:val="en-IN"/>
        </w:rPr>
        <w:t>., 2013</w:t>
      </w:r>
      <w:r w:rsidR="00EE021D">
        <w:rPr>
          <w:rFonts w:ascii="Arial" w:hAnsi="Arial" w:cs="Arial"/>
          <w:lang w:val="en-IN"/>
        </w:rPr>
        <w:t>).</w:t>
      </w:r>
      <w:r w:rsidR="00AB29D5">
        <w:rPr>
          <w:rFonts w:ascii="Arial" w:hAnsi="Arial" w:cs="Arial"/>
          <w:lang w:val="en-IN"/>
        </w:rPr>
        <w:t xml:space="preserve"> Increased NLR signifies an increased inflammatory response in the body</w:t>
      </w:r>
      <w:r w:rsidR="008471FC">
        <w:rPr>
          <w:rFonts w:ascii="Arial" w:hAnsi="Arial" w:cs="Arial"/>
          <w:lang w:val="en-IN"/>
        </w:rPr>
        <w:t xml:space="preserve"> and </w:t>
      </w:r>
      <w:r w:rsidR="00352F50" w:rsidRPr="00352F50">
        <w:rPr>
          <w:rFonts w:ascii="Arial" w:hAnsi="Arial" w:cs="Arial"/>
        </w:rPr>
        <w:t>has</w:t>
      </w:r>
      <w:r w:rsidR="00352F50">
        <w:rPr>
          <w:rFonts w:ascii="Arial" w:hAnsi="Arial" w:cs="Arial"/>
        </w:rPr>
        <w:t xml:space="preserve"> </w:t>
      </w:r>
      <w:r w:rsidR="00352F50" w:rsidRPr="00352F50">
        <w:rPr>
          <w:rFonts w:ascii="Arial" w:hAnsi="Arial" w:cs="Arial"/>
        </w:rPr>
        <w:t>been</w:t>
      </w:r>
      <w:r w:rsidR="00352F50">
        <w:rPr>
          <w:rFonts w:ascii="Arial" w:hAnsi="Arial" w:cs="Arial"/>
        </w:rPr>
        <w:t xml:space="preserve"> </w:t>
      </w:r>
      <w:r w:rsidR="00352F50" w:rsidRPr="00352F50">
        <w:rPr>
          <w:rFonts w:ascii="Arial" w:hAnsi="Arial" w:cs="Arial"/>
        </w:rPr>
        <w:t>significantly</w:t>
      </w:r>
      <w:r w:rsidR="00352F50">
        <w:rPr>
          <w:rFonts w:ascii="Arial" w:hAnsi="Arial" w:cs="Arial"/>
        </w:rPr>
        <w:t xml:space="preserve"> </w:t>
      </w:r>
      <w:r w:rsidR="00352F50" w:rsidRPr="00352F50">
        <w:rPr>
          <w:rFonts w:ascii="Arial" w:hAnsi="Arial" w:cs="Arial"/>
        </w:rPr>
        <w:t>associated</w:t>
      </w:r>
      <w:r w:rsidR="00352F50">
        <w:rPr>
          <w:rFonts w:ascii="Arial" w:hAnsi="Arial" w:cs="Arial"/>
        </w:rPr>
        <w:t xml:space="preserve"> </w:t>
      </w:r>
      <w:r w:rsidR="00352F50" w:rsidRPr="00352F50">
        <w:rPr>
          <w:rFonts w:ascii="Arial" w:hAnsi="Arial" w:cs="Arial"/>
        </w:rPr>
        <w:t>with</w:t>
      </w:r>
      <w:r w:rsidR="00352F50">
        <w:rPr>
          <w:rFonts w:ascii="Arial" w:hAnsi="Arial" w:cs="Arial"/>
        </w:rPr>
        <w:t xml:space="preserve"> </w:t>
      </w:r>
      <w:r w:rsidR="00352F50" w:rsidRPr="00352F50">
        <w:rPr>
          <w:rFonts w:ascii="Arial" w:hAnsi="Arial" w:cs="Arial"/>
        </w:rPr>
        <w:t>an</w:t>
      </w:r>
      <w:r w:rsidR="00352F50">
        <w:rPr>
          <w:rFonts w:ascii="Arial" w:hAnsi="Arial" w:cs="Arial"/>
        </w:rPr>
        <w:t xml:space="preserve"> </w:t>
      </w:r>
      <w:r w:rsidR="00352F50" w:rsidRPr="00352F50">
        <w:rPr>
          <w:rFonts w:ascii="Arial" w:hAnsi="Arial" w:cs="Arial"/>
        </w:rPr>
        <w:t>increased risk</w:t>
      </w:r>
      <w:r w:rsidR="00352F50">
        <w:rPr>
          <w:rFonts w:ascii="Arial" w:hAnsi="Arial" w:cs="Arial"/>
        </w:rPr>
        <w:t xml:space="preserve"> </w:t>
      </w:r>
      <w:r w:rsidR="00352F50" w:rsidRPr="00352F50">
        <w:rPr>
          <w:rFonts w:ascii="Arial" w:hAnsi="Arial" w:cs="Arial"/>
        </w:rPr>
        <w:t>of</w:t>
      </w:r>
      <w:r w:rsidR="00352F50">
        <w:rPr>
          <w:rFonts w:ascii="Arial" w:hAnsi="Arial" w:cs="Arial"/>
        </w:rPr>
        <w:t xml:space="preserve"> </w:t>
      </w:r>
      <w:r w:rsidR="00352F50" w:rsidRPr="00352F50">
        <w:rPr>
          <w:rFonts w:ascii="Arial" w:hAnsi="Arial" w:cs="Arial"/>
        </w:rPr>
        <w:t>multiorgan failure</w:t>
      </w:r>
      <w:r w:rsidR="008471FC">
        <w:rPr>
          <w:rFonts w:ascii="Arial" w:hAnsi="Arial" w:cs="Arial"/>
        </w:rPr>
        <w:t xml:space="preserve">, also </w:t>
      </w:r>
      <w:r w:rsidR="00352F50" w:rsidRPr="00352F50">
        <w:rPr>
          <w:rFonts w:ascii="Arial" w:hAnsi="Arial" w:cs="Arial"/>
        </w:rPr>
        <w:t>sepsis development in</w:t>
      </w:r>
      <w:r w:rsidR="00352F50">
        <w:rPr>
          <w:rFonts w:ascii="Arial" w:hAnsi="Arial" w:cs="Arial"/>
        </w:rPr>
        <w:t xml:space="preserve"> </w:t>
      </w:r>
      <w:r w:rsidR="00352F50" w:rsidRPr="00352F50">
        <w:rPr>
          <w:rFonts w:ascii="Arial" w:hAnsi="Arial" w:cs="Arial"/>
        </w:rPr>
        <w:t>critically ill human</w:t>
      </w:r>
      <w:r w:rsidR="00352F50">
        <w:rPr>
          <w:rFonts w:ascii="Arial" w:hAnsi="Arial" w:cs="Arial"/>
        </w:rPr>
        <w:t xml:space="preserve"> </w:t>
      </w:r>
      <w:r w:rsidR="00352F50" w:rsidRPr="00352F50">
        <w:rPr>
          <w:rFonts w:ascii="Arial" w:hAnsi="Arial" w:cs="Arial"/>
        </w:rPr>
        <w:t>patients</w:t>
      </w:r>
      <w:r w:rsidR="00352F50">
        <w:rPr>
          <w:rFonts w:ascii="Arial" w:hAnsi="Arial" w:cs="Arial"/>
        </w:rPr>
        <w:t xml:space="preserve"> (</w:t>
      </w:r>
      <w:proofErr w:type="spellStart"/>
      <w:r w:rsidR="00352F50" w:rsidRPr="00352F50">
        <w:rPr>
          <w:rFonts w:ascii="Arial" w:hAnsi="Arial" w:cs="Arial"/>
          <w:lang w:val="en-IN"/>
        </w:rPr>
        <w:t>Akilli</w:t>
      </w:r>
      <w:proofErr w:type="spellEnd"/>
      <w:r w:rsidR="00352F50">
        <w:rPr>
          <w:rFonts w:ascii="Arial" w:hAnsi="Arial" w:cs="Arial"/>
          <w:lang w:val="en-IN"/>
        </w:rPr>
        <w:t xml:space="preserve"> </w:t>
      </w:r>
      <w:r w:rsidR="00352F50" w:rsidRPr="00352F50">
        <w:rPr>
          <w:rFonts w:ascii="Arial" w:hAnsi="Arial" w:cs="Arial"/>
          <w:i/>
          <w:iCs/>
          <w:lang w:val="en-IN"/>
        </w:rPr>
        <w:t>et al</w:t>
      </w:r>
      <w:r w:rsidR="00352F50">
        <w:rPr>
          <w:rFonts w:ascii="Arial" w:hAnsi="Arial" w:cs="Arial"/>
          <w:lang w:val="en-IN"/>
        </w:rPr>
        <w:t>., 2014)</w:t>
      </w:r>
      <w:r w:rsidR="00352F50" w:rsidRPr="00352F50">
        <w:rPr>
          <w:rFonts w:ascii="Arial" w:hAnsi="Arial" w:cs="Arial"/>
        </w:rPr>
        <w:t>.</w:t>
      </w:r>
      <w:r w:rsidR="00980449">
        <w:rPr>
          <w:rFonts w:ascii="Arial" w:hAnsi="Arial" w:cs="Arial"/>
        </w:rPr>
        <w:t xml:space="preserve"> </w:t>
      </w:r>
      <w:hyperlink r:id="rId8" w:history="1">
        <w:r w:rsidR="00980449" w:rsidRPr="00980449">
          <w:rPr>
            <w:rStyle w:val="Hyperlink"/>
            <w:rFonts w:ascii="Arial" w:hAnsi="Arial" w:cs="Arial"/>
            <w:color w:val="auto"/>
            <w:u w:val="none"/>
          </w:rPr>
          <w:t>Mutz</w:t>
        </w:r>
      </w:hyperlink>
      <w:r w:rsidR="00980449">
        <w:rPr>
          <w:rFonts w:ascii="Arial" w:hAnsi="Arial" w:cs="Arial"/>
        </w:rPr>
        <w:t xml:space="preserve"> </w:t>
      </w:r>
      <w:r w:rsidR="00980449" w:rsidRPr="00980449">
        <w:rPr>
          <w:rFonts w:ascii="Arial" w:hAnsi="Arial" w:cs="Arial"/>
          <w:i/>
          <w:iCs/>
        </w:rPr>
        <w:t>et al</w:t>
      </w:r>
      <w:r w:rsidR="00980449">
        <w:rPr>
          <w:rFonts w:ascii="Arial" w:hAnsi="Arial" w:cs="Arial"/>
        </w:rPr>
        <w:t xml:space="preserve">. (2015) </w:t>
      </w:r>
      <w:r w:rsidR="008471FC">
        <w:rPr>
          <w:rFonts w:ascii="Arial" w:hAnsi="Arial" w:cs="Arial"/>
        </w:rPr>
        <w:t xml:space="preserve">also </w:t>
      </w:r>
      <w:r w:rsidR="00980449">
        <w:rPr>
          <w:rFonts w:ascii="Arial" w:hAnsi="Arial" w:cs="Arial"/>
        </w:rPr>
        <w:t>reported a poor outcome in lymphoma affected dogs with increased NLR.</w:t>
      </w:r>
      <w:r w:rsidR="00AC3D96">
        <w:rPr>
          <w:rFonts w:ascii="Arial" w:hAnsi="Arial" w:cs="Arial"/>
        </w:rPr>
        <w:t xml:space="preserve"> </w:t>
      </w:r>
    </w:p>
    <w:p w14:paraId="2606CAE0" w14:textId="77777777" w:rsidR="008911D3" w:rsidRDefault="008911D3" w:rsidP="006B227D">
      <w:pPr>
        <w:pStyle w:val="Body"/>
        <w:spacing w:after="0"/>
        <w:rPr>
          <w:rFonts w:ascii="Arial" w:hAnsi="Arial" w:cs="Arial"/>
        </w:rPr>
      </w:pPr>
    </w:p>
    <w:p w14:paraId="1001CC4F" w14:textId="67030AE1" w:rsidR="00680019" w:rsidRDefault="00EB7589" w:rsidP="00680019">
      <w:pPr>
        <w:pStyle w:val="Body"/>
        <w:spacing w:after="0"/>
        <w:rPr>
          <w:rFonts w:ascii="Arial" w:hAnsi="Arial" w:cs="Arial"/>
          <w:lang w:val="en-IN"/>
        </w:rPr>
      </w:pPr>
      <w:r w:rsidRPr="00EB7589">
        <w:rPr>
          <w:rFonts w:ascii="Arial" w:hAnsi="Arial" w:cs="Arial"/>
          <w:lang w:val="en-IN"/>
        </w:rPr>
        <w:t>Recent studies indicate that platelets play a crucial role in both immunomodulation and inflammation. They facilitate the release of inflammatory cytokines and interact with various bacteria and immune cells</w:t>
      </w:r>
      <w:r>
        <w:rPr>
          <w:rFonts w:ascii="Arial" w:hAnsi="Arial" w:cs="Arial"/>
          <w:lang w:val="en-IN"/>
        </w:rPr>
        <w:t xml:space="preserve"> </w:t>
      </w:r>
      <w:r w:rsidRPr="00EB7589">
        <w:rPr>
          <w:rFonts w:ascii="Arial" w:hAnsi="Arial" w:cs="Arial"/>
          <w:lang w:val="en-IN"/>
        </w:rPr>
        <w:t>such as neutrophils, T-lymphocytes, natural killer (NK) cells, and macrophages</w:t>
      </w:r>
      <w:r w:rsidR="00193463">
        <w:rPr>
          <w:rFonts w:ascii="Arial" w:hAnsi="Arial" w:cs="Arial"/>
          <w:lang w:val="en-IN"/>
        </w:rPr>
        <w:t xml:space="preserve"> </w:t>
      </w:r>
      <w:r w:rsidRPr="00EB7589">
        <w:rPr>
          <w:rFonts w:ascii="Arial" w:hAnsi="Arial" w:cs="Arial"/>
          <w:lang w:val="en-IN"/>
        </w:rPr>
        <w:t>thereby contributing to the onset or intensification of the inflammatory response</w:t>
      </w:r>
      <w:r w:rsidR="00193463">
        <w:rPr>
          <w:rFonts w:ascii="Arial" w:hAnsi="Arial" w:cs="Arial"/>
          <w:lang w:val="en-IN"/>
        </w:rPr>
        <w:t xml:space="preserve"> (Cho </w:t>
      </w:r>
      <w:r w:rsidR="00193463" w:rsidRPr="00193463">
        <w:rPr>
          <w:rFonts w:ascii="Arial" w:hAnsi="Arial" w:cs="Arial"/>
          <w:i/>
          <w:iCs/>
          <w:lang w:val="en-IN"/>
        </w:rPr>
        <w:t>et al.,</w:t>
      </w:r>
      <w:r w:rsidR="00193463">
        <w:rPr>
          <w:rFonts w:ascii="Arial" w:hAnsi="Arial" w:cs="Arial"/>
          <w:lang w:val="en-IN"/>
        </w:rPr>
        <w:t xml:space="preserve"> 2014)</w:t>
      </w:r>
      <w:r w:rsidRPr="00EB7589">
        <w:rPr>
          <w:rFonts w:ascii="Arial" w:hAnsi="Arial" w:cs="Arial"/>
          <w:lang w:val="en-IN"/>
        </w:rPr>
        <w:t>.</w:t>
      </w:r>
      <w:r>
        <w:rPr>
          <w:rFonts w:ascii="Arial" w:hAnsi="Arial" w:cs="Arial"/>
          <w:lang w:val="en-IN"/>
        </w:rPr>
        <w:t xml:space="preserve"> </w:t>
      </w:r>
      <w:r w:rsidR="00680019">
        <w:rPr>
          <w:rFonts w:ascii="Arial" w:hAnsi="Arial" w:cs="Arial"/>
          <w:lang w:val="en-IN"/>
        </w:rPr>
        <w:t>I</w:t>
      </w:r>
      <w:r w:rsidR="00680019" w:rsidRPr="00680019">
        <w:rPr>
          <w:rFonts w:ascii="Arial" w:hAnsi="Arial" w:cs="Arial"/>
          <w:lang w:val="en-IN"/>
        </w:rPr>
        <w:t>n our study,</w:t>
      </w:r>
      <w:r w:rsidR="00680019">
        <w:rPr>
          <w:rFonts w:ascii="Arial" w:hAnsi="Arial" w:cs="Arial"/>
          <w:lang w:val="en-IN"/>
        </w:rPr>
        <w:t xml:space="preserve"> </w:t>
      </w:r>
      <w:r w:rsidR="00680019" w:rsidRPr="00680019">
        <w:rPr>
          <w:rFonts w:ascii="Arial" w:hAnsi="Arial" w:cs="Arial"/>
          <w:lang w:val="en-IN"/>
        </w:rPr>
        <w:t>PLR values did not exhibit significant variation between Group I and the control animals. However, a statistically significant reduction (</w:t>
      </w:r>
      <w:r w:rsidR="00680019" w:rsidRPr="00680019">
        <w:rPr>
          <w:rFonts w:ascii="Arial" w:hAnsi="Arial" w:cs="Arial"/>
          <w:b/>
          <w:bCs/>
          <w:i/>
          <w:iCs/>
          <w:lang w:val="en-IN"/>
        </w:rPr>
        <w:t>P = .003</w:t>
      </w:r>
      <w:r w:rsidR="00680019" w:rsidRPr="00680019">
        <w:rPr>
          <w:rFonts w:ascii="Arial" w:hAnsi="Arial" w:cs="Arial"/>
          <w:lang w:val="en-IN"/>
        </w:rPr>
        <w:t>) in PLR was observed in Group II animals compared to the control group (Table 2).</w:t>
      </w:r>
      <w:r w:rsidR="00995C65">
        <w:rPr>
          <w:rFonts w:ascii="Arial" w:hAnsi="Arial" w:cs="Arial"/>
          <w:lang w:val="en-IN"/>
        </w:rPr>
        <w:t xml:space="preserve"> In our study population majority of the cases with SIRS were having reduced platelet count that might be the </w:t>
      </w:r>
      <w:r w:rsidR="00515AD7">
        <w:rPr>
          <w:rFonts w:ascii="Arial" w:hAnsi="Arial" w:cs="Arial"/>
          <w:lang w:val="en-IN"/>
        </w:rPr>
        <w:t>reason for the reduction in the PLR values.</w:t>
      </w:r>
      <w:r w:rsidR="00680019" w:rsidRPr="00680019">
        <w:rPr>
          <w:rFonts w:ascii="Arial" w:hAnsi="Arial" w:cs="Arial"/>
          <w:lang w:val="en-IN"/>
        </w:rPr>
        <w:t xml:space="preserve"> Conversely, Neumann (2021) reported elevated PLR values in dogs and cats diagnosed with pancreatitis relative to control subjects, while also noting the absence of correlation between PLR and disease severity. </w:t>
      </w:r>
      <w:r w:rsidR="00995C65" w:rsidRPr="00995C65">
        <w:rPr>
          <w:rFonts w:ascii="Arial" w:hAnsi="Arial" w:cs="Arial"/>
          <w:lang w:val="en-IN"/>
        </w:rPr>
        <w:lastRenderedPageBreak/>
        <w:t>Reactive thrombocytosis occurring in these conditions might be the reason for increased PLR (</w:t>
      </w:r>
      <w:proofErr w:type="spellStart"/>
      <w:r w:rsidR="00995C65" w:rsidRPr="00995C65">
        <w:rPr>
          <w:rFonts w:ascii="Arial" w:hAnsi="Arial" w:cs="Arial"/>
          <w:lang w:val="en-IN"/>
        </w:rPr>
        <w:t>Voudoukis</w:t>
      </w:r>
      <w:proofErr w:type="spellEnd"/>
      <w:r w:rsidR="00995C65" w:rsidRPr="00995C65">
        <w:rPr>
          <w:rFonts w:ascii="Arial" w:hAnsi="Arial" w:cs="Arial"/>
          <w:lang w:val="en-IN"/>
        </w:rPr>
        <w:t xml:space="preserve"> </w:t>
      </w:r>
      <w:r w:rsidR="00995C65" w:rsidRPr="00995C65">
        <w:rPr>
          <w:rFonts w:ascii="Arial" w:hAnsi="Arial" w:cs="Arial"/>
          <w:i/>
          <w:iCs/>
          <w:lang w:val="en-IN"/>
        </w:rPr>
        <w:t>et al</w:t>
      </w:r>
      <w:r w:rsidR="00995C65" w:rsidRPr="00995C65">
        <w:rPr>
          <w:rFonts w:ascii="Arial" w:hAnsi="Arial" w:cs="Arial"/>
          <w:lang w:val="en-IN"/>
        </w:rPr>
        <w:t>.,2014).</w:t>
      </w:r>
      <w:r w:rsidR="00680019" w:rsidRPr="00680019">
        <w:rPr>
          <w:rFonts w:ascii="Arial" w:hAnsi="Arial" w:cs="Arial"/>
          <w:lang w:val="en-IN"/>
        </w:rPr>
        <w:t xml:space="preserve"> </w:t>
      </w:r>
      <w:proofErr w:type="spellStart"/>
      <w:r w:rsidR="00680019" w:rsidRPr="00680019">
        <w:rPr>
          <w:rFonts w:ascii="Arial" w:hAnsi="Arial" w:cs="Arial"/>
          <w:lang w:val="en-IN"/>
        </w:rPr>
        <w:t>Rejec</w:t>
      </w:r>
      <w:proofErr w:type="spellEnd"/>
      <w:r w:rsidR="00680019" w:rsidRPr="00680019">
        <w:rPr>
          <w:rFonts w:ascii="Arial" w:hAnsi="Arial" w:cs="Arial"/>
          <w:lang w:val="en-IN"/>
        </w:rPr>
        <w:t xml:space="preserve"> </w:t>
      </w:r>
      <w:r w:rsidR="00680019" w:rsidRPr="00F91087">
        <w:rPr>
          <w:rFonts w:ascii="Arial" w:hAnsi="Arial" w:cs="Arial"/>
          <w:i/>
          <w:iCs/>
          <w:lang w:val="en-IN"/>
        </w:rPr>
        <w:t>et al</w:t>
      </w:r>
      <w:r w:rsidR="00680019" w:rsidRPr="00680019">
        <w:rPr>
          <w:rFonts w:ascii="Arial" w:hAnsi="Arial" w:cs="Arial"/>
          <w:lang w:val="en-IN"/>
        </w:rPr>
        <w:t>. (2017) found no statistically significant difference in PLR between healthy animals and dogs affected by periodontitis.</w:t>
      </w:r>
      <w:r w:rsidR="00F91087">
        <w:rPr>
          <w:rFonts w:ascii="Arial" w:hAnsi="Arial" w:cs="Arial"/>
          <w:lang w:val="en-IN"/>
        </w:rPr>
        <w:t xml:space="preserve"> </w:t>
      </w:r>
    </w:p>
    <w:p w14:paraId="7D6BB929" w14:textId="6BE688BE" w:rsidR="00EB5D27" w:rsidRDefault="00EB5D27" w:rsidP="00680019">
      <w:pPr>
        <w:pStyle w:val="Body"/>
        <w:spacing w:after="0"/>
        <w:rPr>
          <w:rFonts w:ascii="Arial" w:hAnsi="Arial" w:cs="Arial"/>
          <w:lang w:val="en-IN"/>
        </w:rPr>
      </w:pPr>
    </w:p>
    <w:p w14:paraId="1796DB22" w14:textId="7940BDA3" w:rsidR="00E053D0" w:rsidRDefault="009D5392" w:rsidP="00441B6F">
      <w:pPr>
        <w:pStyle w:val="Body"/>
        <w:spacing w:after="0"/>
        <w:rPr>
          <w:rFonts w:ascii="Arial" w:hAnsi="Arial" w:cs="Arial"/>
        </w:rPr>
      </w:pPr>
      <w:r w:rsidRPr="009D5392">
        <w:rPr>
          <w:rFonts w:ascii="Arial" w:hAnsi="Arial" w:cs="Arial"/>
        </w:rPr>
        <w:t>The SII reflect</w:t>
      </w:r>
      <w:r w:rsidR="009C480A">
        <w:rPr>
          <w:rFonts w:ascii="Arial" w:hAnsi="Arial" w:cs="Arial"/>
        </w:rPr>
        <w:t>ed the</w:t>
      </w:r>
      <w:r w:rsidRPr="009D5392">
        <w:rPr>
          <w:rFonts w:ascii="Arial" w:hAnsi="Arial" w:cs="Arial"/>
        </w:rPr>
        <w:t xml:space="preserve"> local immune response and systemic inflammation (</w:t>
      </w:r>
      <w:proofErr w:type="spellStart"/>
      <w:r w:rsidRPr="009D5392">
        <w:rPr>
          <w:rFonts w:ascii="Arial" w:hAnsi="Arial" w:cs="Arial"/>
        </w:rPr>
        <w:t>Yazlık</w:t>
      </w:r>
      <w:proofErr w:type="spellEnd"/>
      <w:r w:rsidRPr="009D5392">
        <w:rPr>
          <w:rFonts w:ascii="Arial" w:hAnsi="Arial" w:cs="Arial"/>
        </w:rPr>
        <w:t xml:space="preserve"> </w:t>
      </w:r>
      <w:r w:rsidRPr="009C480A">
        <w:rPr>
          <w:rFonts w:ascii="Arial" w:hAnsi="Arial" w:cs="Arial"/>
          <w:i/>
          <w:iCs/>
        </w:rPr>
        <w:t>et al</w:t>
      </w:r>
      <w:r w:rsidRPr="009D5392">
        <w:rPr>
          <w:rFonts w:ascii="Arial" w:hAnsi="Arial" w:cs="Arial"/>
        </w:rPr>
        <w:t xml:space="preserve">., 2022). As a biomarker of the inflammatory process in human medicine, it has found its place as a prognostic factor in different malignancies (Sun </w:t>
      </w:r>
      <w:r w:rsidRPr="009C480A">
        <w:rPr>
          <w:rFonts w:ascii="Arial" w:hAnsi="Arial" w:cs="Arial"/>
          <w:i/>
          <w:iCs/>
        </w:rPr>
        <w:t>et al.,</w:t>
      </w:r>
      <w:r w:rsidRPr="009D5392">
        <w:rPr>
          <w:rFonts w:ascii="Arial" w:hAnsi="Arial" w:cs="Arial"/>
        </w:rPr>
        <w:t xml:space="preserve"> 2020).</w:t>
      </w:r>
      <w:r w:rsidR="009C480A">
        <w:rPr>
          <w:rFonts w:ascii="Arial" w:hAnsi="Arial" w:cs="Arial"/>
        </w:rPr>
        <w:t xml:space="preserve"> In our study,</w:t>
      </w:r>
      <w:r w:rsidRPr="009D5392">
        <w:rPr>
          <w:rFonts w:ascii="Arial" w:hAnsi="Arial" w:cs="Arial"/>
        </w:rPr>
        <w:t xml:space="preserve"> </w:t>
      </w:r>
      <w:r w:rsidR="009C480A">
        <w:rPr>
          <w:rFonts w:ascii="Arial" w:hAnsi="Arial" w:cs="Arial"/>
        </w:rPr>
        <w:t>t</w:t>
      </w:r>
      <w:r w:rsidR="007D0D80" w:rsidRPr="007D0D80">
        <w:rPr>
          <w:rFonts w:ascii="Arial" w:hAnsi="Arial" w:cs="Arial"/>
        </w:rPr>
        <w:t xml:space="preserve">he SII values exhibited significant variation between </w:t>
      </w:r>
      <w:r w:rsidR="007D0D80">
        <w:rPr>
          <w:rFonts w:ascii="Arial" w:hAnsi="Arial" w:cs="Arial"/>
        </w:rPr>
        <w:t>g</w:t>
      </w:r>
      <w:r w:rsidR="007D0D80" w:rsidRPr="007D0D80">
        <w:rPr>
          <w:rFonts w:ascii="Arial" w:hAnsi="Arial" w:cs="Arial"/>
        </w:rPr>
        <w:t>roup</w:t>
      </w:r>
      <w:r w:rsidR="007D0D80">
        <w:rPr>
          <w:rFonts w:ascii="Arial" w:hAnsi="Arial" w:cs="Arial"/>
        </w:rPr>
        <w:t xml:space="preserve"> I (dogs </w:t>
      </w:r>
      <w:r w:rsidR="002A44F1">
        <w:rPr>
          <w:rFonts w:ascii="Arial" w:hAnsi="Arial" w:cs="Arial"/>
        </w:rPr>
        <w:t>without</w:t>
      </w:r>
      <w:r w:rsidR="007D0D80">
        <w:rPr>
          <w:rFonts w:ascii="Arial" w:hAnsi="Arial" w:cs="Arial"/>
        </w:rPr>
        <w:t xml:space="preserve"> MODS)</w:t>
      </w:r>
      <w:r w:rsidR="007D0D80" w:rsidRPr="007D0D80">
        <w:rPr>
          <w:rFonts w:ascii="Arial" w:hAnsi="Arial" w:cs="Arial"/>
        </w:rPr>
        <w:t xml:space="preserve"> and the control animals, with Group </w:t>
      </w:r>
      <w:r w:rsidR="007D0D80">
        <w:rPr>
          <w:rFonts w:ascii="Arial" w:hAnsi="Arial" w:cs="Arial"/>
        </w:rPr>
        <w:t>I</w:t>
      </w:r>
      <w:r w:rsidR="007D0D80" w:rsidRPr="007D0D80">
        <w:rPr>
          <w:rFonts w:ascii="Arial" w:hAnsi="Arial" w:cs="Arial"/>
        </w:rPr>
        <w:t xml:space="preserve"> showing higher SII values compared to the healthy control group. Notably, dogs affected by MODS</w:t>
      </w:r>
      <w:r w:rsidR="007D0D80">
        <w:rPr>
          <w:rFonts w:ascii="Arial" w:hAnsi="Arial" w:cs="Arial"/>
        </w:rPr>
        <w:t xml:space="preserve"> (group II)</w:t>
      </w:r>
      <w:r w:rsidR="007D0D80" w:rsidRPr="007D0D80">
        <w:rPr>
          <w:rFonts w:ascii="Arial" w:hAnsi="Arial" w:cs="Arial"/>
        </w:rPr>
        <w:t xml:space="preserve"> demonstrated even higher SII values, which were significantly elevated relative to the control animals.</w:t>
      </w:r>
      <w:r w:rsidR="007D0D80">
        <w:rPr>
          <w:rFonts w:ascii="Arial" w:hAnsi="Arial" w:cs="Arial"/>
        </w:rPr>
        <w:t xml:space="preserve"> In our study we could not observe any significant changes in the SII value among the dogs with MODS and the dogs without MODS. </w:t>
      </w:r>
      <w:r w:rsidR="007D0D80" w:rsidRPr="007D0D80">
        <w:rPr>
          <w:rFonts w:ascii="Arial" w:hAnsi="Arial" w:cs="Arial"/>
        </w:rPr>
        <w:t>Cr</w:t>
      </w:r>
      <w:r w:rsidR="00D7107E">
        <w:rPr>
          <w:rFonts w:ascii="Arial" w:hAnsi="Arial" w:cs="Arial"/>
        </w:rPr>
        <w:t>i</w:t>
      </w:r>
      <w:r w:rsidR="007D0D80" w:rsidRPr="007D0D80">
        <w:rPr>
          <w:rFonts w:ascii="Arial" w:hAnsi="Arial" w:cs="Arial"/>
        </w:rPr>
        <w:t xml:space="preserve">stobal </w:t>
      </w:r>
      <w:r w:rsidR="007D0D80" w:rsidRPr="007D0D80">
        <w:rPr>
          <w:rFonts w:ascii="Arial" w:hAnsi="Arial" w:cs="Arial"/>
          <w:i/>
          <w:iCs/>
        </w:rPr>
        <w:t>et al</w:t>
      </w:r>
      <w:r w:rsidR="007D0D80" w:rsidRPr="007D0D80">
        <w:rPr>
          <w:rFonts w:ascii="Arial" w:hAnsi="Arial" w:cs="Arial"/>
        </w:rPr>
        <w:t xml:space="preserve">. (2022) reported increased NLR, PLR, and SII in dogs suffering from chronic inflammatory enteropathy. These values normalized following clinical improvement, highlighting their potential as biomarkers for disease progression and recovery. Similarly, Duran-Galea </w:t>
      </w:r>
      <w:r w:rsidR="007D0D80" w:rsidRPr="002A44F1">
        <w:rPr>
          <w:rFonts w:ascii="Arial" w:hAnsi="Arial" w:cs="Arial"/>
          <w:i/>
          <w:iCs/>
        </w:rPr>
        <w:t>et al.</w:t>
      </w:r>
      <w:r w:rsidR="007D0D80" w:rsidRPr="007D0D80">
        <w:rPr>
          <w:rFonts w:ascii="Arial" w:hAnsi="Arial" w:cs="Arial"/>
        </w:rPr>
        <w:t xml:space="preserve"> (2024) observed elevated NLR and SII levels in dogs diagnosed with leishmaniosis compared to the control group. However, in contrast to chronic inflammatory enteropathy, no significant changes in PLR were noted in these animals</w:t>
      </w:r>
      <w:r w:rsidR="002A44F1">
        <w:rPr>
          <w:rFonts w:ascii="Arial" w:hAnsi="Arial" w:cs="Arial"/>
        </w:rPr>
        <w:t>.</w:t>
      </w:r>
      <w:r w:rsidR="009C480A">
        <w:rPr>
          <w:rFonts w:ascii="Arial" w:hAnsi="Arial" w:cs="Arial"/>
        </w:rPr>
        <w:t xml:space="preserve"> Tuna and</w:t>
      </w:r>
      <w:r w:rsidR="00CD3C04">
        <w:rPr>
          <w:rFonts w:ascii="Arial" w:hAnsi="Arial" w:cs="Arial"/>
        </w:rPr>
        <w:t xml:space="preserve"> </w:t>
      </w:r>
      <w:proofErr w:type="spellStart"/>
      <w:r w:rsidR="00CD3C04" w:rsidRPr="00CD3C04">
        <w:rPr>
          <w:rFonts w:ascii="Arial" w:hAnsi="Arial" w:cs="Arial"/>
        </w:rPr>
        <w:t>U</w:t>
      </w:r>
      <w:r w:rsidR="00CD3C04">
        <w:rPr>
          <w:rFonts w:ascii="Arial" w:hAnsi="Arial" w:cs="Arial"/>
        </w:rPr>
        <w:t>lutas</w:t>
      </w:r>
      <w:proofErr w:type="spellEnd"/>
      <w:r w:rsidR="00092265">
        <w:rPr>
          <w:rFonts w:ascii="Arial" w:hAnsi="Arial" w:cs="Arial"/>
        </w:rPr>
        <w:t xml:space="preserve"> </w:t>
      </w:r>
      <w:r w:rsidR="00A60455">
        <w:rPr>
          <w:rFonts w:ascii="Arial" w:hAnsi="Arial" w:cs="Arial"/>
        </w:rPr>
        <w:t>(</w:t>
      </w:r>
      <w:r w:rsidR="00092265">
        <w:rPr>
          <w:rFonts w:ascii="Arial" w:hAnsi="Arial" w:cs="Arial"/>
        </w:rPr>
        <w:t>2024</w:t>
      </w:r>
      <w:r w:rsidR="00A60455">
        <w:rPr>
          <w:rFonts w:ascii="Arial" w:hAnsi="Arial" w:cs="Arial"/>
        </w:rPr>
        <w:t xml:space="preserve">) </w:t>
      </w:r>
      <w:r w:rsidR="00CD3C04">
        <w:rPr>
          <w:rFonts w:ascii="Arial" w:hAnsi="Arial" w:cs="Arial"/>
        </w:rPr>
        <w:t xml:space="preserve">demonstrated </w:t>
      </w:r>
      <w:r w:rsidR="00CD3C04" w:rsidRPr="00CD3C04">
        <w:rPr>
          <w:rFonts w:ascii="Arial" w:hAnsi="Arial" w:cs="Arial"/>
        </w:rPr>
        <w:t>a positive correlation between SII and C</w:t>
      </w:r>
      <w:r w:rsidR="00CD3C04">
        <w:rPr>
          <w:rFonts w:ascii="Arial" w:hAnsi="Arial" w:cs="Arial"/>
        </w:rPr>
        <w:t xml:space="preserve"> reactive protein</w:t>
      </w:r>
      <w:r w:rsidR="00706E79">
        <w:rPr>
          <w:rFonts w:ascii="Arial" w:hAnsi="Arial" w:cs="Arial"/>
        </w:rPr>
        <w:t xml:space="preserve"> in their study in obese dogs</w:t>
      </w:r>
      <w:r w:rsidR="00CD3C04">
        <w:rPr>
          <w:rFonts w:ascii="Arial" w:hAnsi="Arial" w:cs="Arial"/>
        </w:rPr>
        <w:t xml:space="preserve">. </w:t>
      </w:r>
    </w:p>
    <w:p w14:paraId="5EE088F2" w14:textId="77777777" w:rsidR="00790ADA" w:rsidRPr="00502516" w:rsidRDefault="00790ADA" w:rsidP="00441B6F">
      <w:pPr>
        <w:pStyle w:val="Body"/>
        <w:spacing w:after="0"/>
        <w:rPr>
          <w:rFonts w:ascii="Arial" w:hAnsi="Arial" w:cs="Arial"/>
        </w:rPr>
      </w:pPr>
    </w:p>
    <w:p w14:paraId="022D0157" w14:textId="77777777" w:rsidR="00790ADA" w:rsidRDefault="00790ADA" w:rsidP="00441B6F">
      <w:pPr>
        <w:pStyle w:val="Body"/>
        <w:spacing w:after="0"/>
        <w:rPr>
          <w:rFonts w:ascii="Arial" w:hAnsi="Arial" w:cs="Arial"/>
        </w:rPr>
      </w:pPr>
    </w:p>
    <w:p w14:paraId="1C516EED" w14:textId="77777777" w:rsidR="005438E6" w:rsidRDefault="009500A6" w:rsidP="00D10C56">
      <w:pPr>
        <w:tabs>
          <w:tab w:val="left" w:pos="1080"/>
        </w:tabs>
        <w:spacing w:line="360" w:lineRule="auto"/>
        <w:jc w:val="both"/>
        <w:rPr>
          <w:rFonts w:ascii="Arial" w:hAnsi="Arial"/>
          <w:b/>
          <w:bCs/>
        </w:rPr>
      </w:pPr>
      <w:r>
        <w:rPr>
          <w:rFonts w:ascii="Arial" w:hAnsi="Arial"/>
          <w:b/>
        </w:rPr>
        <w:t>Table 1.</w:t>
      </w:r>
      <w:r w:rsidR="004314BE">
        <w:rPr>
          <w:rFonts w:ascii="Arial" w:hAnsi="Arial"/>
          <w:b/>
        </w:rPr>
        <w:t xml:space="preserve"> </w:t>
      </w:r>
      <w:r w:rsidR="002C3CD6" w:rsidRPr="002C3CD6">
        <w:rPr>
          <w:rFonts w:ascii="Arial" w:hAnsi="Arial"/>
          <w:b/>
          <w:bCs/>
        </w:rPr>
        <w:t>Comparison of different parameters between group I</w:t>
      </w:r>
      <w:r w:rsidR="004314BE">
        <w:rPr>
          <w:rFonts w:ascii="Arial" w:hAnsi="Arial"/>
          <w:b/>
          <w:bCs/>
        </w:rPr>
        <w:t xml:space="preserve"> (dogs </w:t>
      </w:r>
      <w:r w:rsidR="00EF3BA9">
        <w:rPr>
          <w:rFonts w:ascii="Arial" w:hAnsi="Arial"/>
          <w:b/>
          <w:bCs/>
        </w:rPr>
        <w:t>without</w:t>
      </w:r>
    </w:p>
    <w:p w14:paraId="2B658655" w14:textId="1F871586" w:rsidR="002C3CD6" w:rsidRDefault="004314BE" w:rsidP="00D10C56">
      <w:pPr>
        <w:tabs>
          <w:tab w:val="left" w:pos="1080"/>
        </w:tabs>
        <w:spacing w:line="360" w:lineRule="auto"/>
        <w:jc w:val="both"/>
        <w:rPr>
          <w:rFonts w:ascii="Arial" w:hAnsi="Arial"/>
          <w:b/>
          <w:bCs/>
        </w:rPr>
      </w:pPr>
      <w:r>
        <w:rPr>
          <w:rFonts w:ascii="Arial" w:hAnsi="Arial"/>
          <w:b/>
          <w:bCs/>
        </w:rPr>
        <w:t xml:space="preserve"> MODS)</w:t>
      </w:r>
      <w:r w:rsidR="002C3CD6" w:rsidRPr="002C3CD6">
        <w:rPr>
          <w:rFonts w:ascii="Arial" w:hAnsi="Arial"/>
          <w:b/>
          <w:bCs/>
        </w:rPr>
        <w:t xml:space="preserve"> and control group</w:t>
      </w:r>
    </w:p>
    <w:p w14:paraId="16D396A9" w14:textId="4E035063" w:rsidR="004314BE" w:rsidRDefault="004314BE" w:rsidP="002C3CD6">
      <w:pPr>
        <w:tabs>
          <w:tab w:val="left" w:pos="1080"/>
        </w:tabs>
        <w:jc w:val="both"/>
        <w:rPr>
          <w:rFonts w:ascii="Arial" w:hAnsi="Arial"/>
          <w:b/>
          <w:bCs/>
        </w:rPr>
      </w:pPr>
    </w:p>
    <w:tbl>
      <w:tblPr>
        <w:tblStyle w:val="PlainTable2"/>
        <w:tblW w:w="8005" w:type="dxa"/>
        <w:tblBorders>
          <w:top w:val="single" w:sz="4" w:space="0" w:color="auto"/>
          <w:bottom w:val="single" w:sz="4" w:space="0" w:color="auto"/>
        </w:tblBorders>
        <w:tblLook w:val="04A0" w:firstRow="1" w:lastRow="0" w:firstColumn="1" w:lastColumn="0" w:noHBand="0" w:noVBand="1"/>
      </w:tblPr>
      <w:tblGrid>
        <w:gridCol w:w="2268"/>
        <w:gridCol w:w="1843"/>
        <w:gridCol w:w="1985"/>
        <w:gridCol w:w="1909"/>
      </w:tblGrid>
      <w:tr w:rsidR="004314BE" w:rsidRPr="004314BE" w14:paraId="1D9ECBC4" w14:textId="77777777" w:rsidTr="0087731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noWrap/>
            <w:hideMark/>
          </w:tcPr>
          <w:p w14:paraId="37B9324C" w14:textId="77777777" w:rsidR="004314BE" w:rsidRPr="004314BE" w:rsidRDefault="004314BE" w:rsidP="006847C6">
            <w:pPr>
              <w:tabs>
                <w:tab w:val="left" w:pos="1080"/>
              </w:tabs>
              <w:spacing w:line="480" w:lineRule="auto"/>
              <w:jc w:val="both"/>
              <w:rPr>
                <w:rFonts w:ascii="Arial" w:hAnsi="Arial"/>
                <w:lang w:val="en-IN"/>
              </w:rPr>
            </w:pPr>
            <w:r w:rsidRPr="004314BE">
              <w:rPr>
                <w:rFonts w:ascii="Arial" w:hAnsi="Arial"/>
                <w:lang w:val="en-IN"/>
              </w:rPr>
              <w:t>Variable</w:t>
            </w:r>
          </w:p>
        </w:tc>
        <w:tc>
          <w:tcPr>
            <w:tcW w:w="1843" w:type="dxa"/>
            <w:tcBorders>
              <w:top w:val="single" w:sz="4" w:space="0" w:color="auto"/>
              <w:bottom w:val="single" w:sz="4" w:space="0" w:color="auto"/>
            </w:tcBorders>
            <w:noWrap/>
            <w:hideMark/>
          </w:tcPr>
          <w:p w14:paraId="56CB69EC" w14:textId="77777777" w:rsidR="004314BE" w:rsidRPr="004314BE" w:rsidRDefault="004314BE" w:rsidP="006847C6">
            <w:pPr>
              <w:tabs>
                <w:tab w:val="left" w:pos="1080"/>
              </w:tabs>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Group I</w:t>
            </w:r>
          </w:p>
        </w:tc>
        <w:tc>
          <w:tcPr>
            <w:tcW w:w="1985" w:type="dxa"/>
            <w:tcBorders>
              <w:top w:val="single" w:sz="4" w:space="0" w:color="auto"/>
              <w:bottom w:val="single" w:sz="4" w:space="0" w:color="auto"/>
            </w:tcBorders>
            <w:noWrap/>
            <w:hideMark/>
          </w:tcPr>
          <w:p w14:paraId="54AB542E" w14:textId="77777777" w:rsidR="004314BE" w:rsidRPr="004314BE" w:rsidRDefault="004314BE" w:rsidP="006847C6">
            <w:pPr>
              <w:tabs>
                <w:tab w:val="left" w:pos="1080"/>
              </w:tabs>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Control</w:t>
            </w:r>
          </w:p>
        </w:tc>
        <w:tc>
          <w:tcPr>
            <w:tcW w:w="1909" w:type="dxa"/>
            <w:tcBorders>
              <w:top w:val="single" w:sz="4" w:space="0" w:color="auto"/>
              <w:bottom w:val="single" w:sz="4" w:space="0" w:color="auto"/>
            </w:tcBorders>
          </w:tcPr>
          <w:p w14:paraId="05976F8B" w14:textId="2ED883B5" w:rsidR="004314BE" w:rsidRPr="004314BE" w:rsidRDefault="004314BE" w:rsidP="006847C6">
            <w:pPr>
              <w:tabs>
                <w:tab w:val="left" w:pos="1080"/>
              </w:tabs>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t-value</w:t>
            </w:r>
            <w:r w:rsidR="0087731C">
              <w:rPr>
                <w:rFonts w:ascii="Arial" w:hAnsi="Arial"/>
                <w:lang w:val="en-IN"/>
              </w:rPr>
              <w:t xml:space="preserve"> </w:t>
            </w:r>
            <w:r w:rsidRPr="004314BE">
              <w:rPr>
                <w:rFonts w:ascii="Arial" w:hAnsi="Arial"/>
                <w:lang w:val="en-IN"/>
              </w:rPr>
              <w:t>(P-value)</w:t>
            </w:r>
          </w:p>
        </w:tc>
      </w:tr>
      <w:tr w:rsidR="0087731C" w:rsidRPr="004314BE" w14:paraId="73EF4F4C" w14:textId="77777777" w:rsidTr="00877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noWrap/>
            <w:hideMark/>
          </w:tcPr>
          <w:p w14:paraId="6FFBCE61"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TLC</w:t>
            </w:r>
          </w:p>
        </w:tc>
        <w:tc>
          <w:tcPr>
            <w:tcW w:w="1843" w:type="dxa"/>
            <w:tcBorders>
              <w:top w:val="single" w:sz="4" w:space="0" w:color="auto"/>
            </w:tcBorders>
            <w:noWrap/>
            <w:hideMark/>
          </w:tcPr>
          <w:p w14:paraId="2A295793"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27.99 ± 5.36</w:t>
            </w:r>
          </w:p>
        </w:tc>
        <w:tc>
          <w:tcPr>
            <w:tcW w:w="1985" w:type="dxa"/>
            <w:tcBorders>
              <w:top w:val="single" w:sz="4" w:space="0" w:color="auto"/>
            </w:tcBorders>
            <w:noWrap/>
            <w:hideMark/>
          </w:tcPr>
          <w:p w14:paraId="0F117174"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7.82 ± 0.98</w:t>
            </w:r>
          </w:p>
        </w:tc>
        <w:tc>
          <w:tcPr>
            <w:tcW w:w="1909" w:type="dxa"/>
            <w:tcBorders>
              <w:top w:val="single" w:sz="4" w:space="0" w:color="auto"/>
            </w:tcBorders>
          </w:tcPr>
          <w:p w14:paraId="2B3A3AD2" w14:textId="0A5842BB"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 xml:space="preserve">3.699** </w:t>
            </w:r>
            <w:r w:rsidRPr="008A54F0">
              <w:rPr>
                <w:rFonts w:ascii="Arial" w:hAnsi="Arial"/>
                <w:b/>
                <w:bCs/>
                <w:i/>
                <w:iCs/>
                <w:lang w:val="en-IN"/>
              </w:rPr>
              <w:t>(.002)</w:t>
            </w:r>
          </w:p>
        </w:tc>
      </w:tr>
      <w:tr w:rsidR="004314BE" w:rsidRPr="004314BE" w14:paraId="4FE53B90" w14:textId="77777777" w:rsidTr="0087731C">
        <w:trPr>
          <w:trHeight w:val="432"/>
        </w:trPr>
        <w:tc>
          <w:tcPr>
            <w:cnfStyle w:val="001000000000" w:firstRow="0" w:lastRow="0" w:firstColumn="1" w:lastColumn="0" w:oddVBand="0" w:evenVBand="0" w:oddHBand="0" w:evenHBand="0" w:firstRowFirstColumn="0" w:firstRowLastColumn="0" w:lastRowFirstColumn="0" w:lastRowLastColumn="0"/>
            <w:tcW w:w="2268" w:type="dxa"/>
            <w:noWrap/>
            <w:hideMark/>
          </w:tcPr>
          <w:p w14:paraId="3EC1FB9D"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Neutrophil count</w:t>
            </w:r>
          </w:p>
        </w:tc>
        <w:tc>
          <w:tcPr>
            <w:tcW w:w="1843" w:type="dxa"/>
            <w:noWrap/>
            <w:hideMark/>
          </w:tcPr>
          <w:p w14:paraId="32DE8A2E"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20.47 ± 3.92</w:t>
            </w:r>
          </w:p>
        </w:tc>
        <w:tc>
          <w:tcPr>
            <w:tcW w:w="1985" w:type="dxa"/>
            <w:noWrap/>
            <w:hideMark/>
          </w:tcPr>
          <w:p w14:paraId="1E67DFE1"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5.47 ± 0.58</w:t>
            </w:r>
          </w:p>
        </w:tc>
        <w:tc>
          <w:tcPr>
            <w:tcW w:w="1909" w:type="dxa"/>
          </w:tcPr>
          <w:p w14:paraId="12047410" w14:textId="7704BDBF"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 xml:space="preserve">3.779** </w:t>
            </w:r>
            <w:r w:rsidRPr="008A54F0">
              <w:rPr>
                <w:rFonts w:ascii="Arial" w:hAnsi="Arial"/>
                <w:b/>
                <w:bCs/>
                <w:i/>
                <w:iCs/>
                <w:lang w:val="en-IN"/>
              </w:rPr>
              <w:t>(.002)</w:t>
            </w:r>
          </w:p>
        </w:tc>
      </w:tr>
      <w:tr w:rsidR="004314BE" w:rsidRPr="004314BE" w14:paraId="1EB407AB" w14:textId="77777777" w:rsidTr="00877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noWrap/>
            <w:hideMark/>
          </w:tcPr>
          <w:p w14:paraId="282AF488"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Lymphocyte count</w:t>
            </w:r>
          </w:p>
        </w:tc>
        <w:tc>
          <w:tcPr>
            <w:tcW w:w="1843" w:type="dxa"/>
            <w:tcBorders>
              <w:top w:val="none" w:sz="0" w:space="0" w:color="auto"/>
              <w:bottom w:val="none" w:sz="0" w:space="0" w:color="auto"/>
            </w:tcBorders>
            <w:noWrap/>
            <w:hideMark/>
          </w:tcPr>
          <w:p w14:paraId="12F3CA7E"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3.94 ± 0.91</w:t>
            </w:r>
          </w:p>
        </w:tc>
        <w:tc>
          <w:tcPr>
            <w:tcW w:w="1985" w:type="dxa"/>
            <w:tcBorders>
              <w:top w:val="none" w:sz="0" w:space="0" w:color="auto"/>
              <w:bottom w:val="none" w:sz="0" w:space="0" w:color="auto"/>
            </w:tcBorders>
            <w:noWrap/>
            <w:hideMark/>
          </w:tcPr>
          <w:p w14:paraId="2DAC0962"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1.83 ± 0.35</w:t>
            </w:r>
          </w:p>
        </w:tc>
        <w:tc>
          <w:tcPr>
            <w:tcW w:w="1909" w:type="dxa"/>
            <w:tcBorders>
              <w:top w:val="none" w:sz="0" w:space="0" w:color="auto"/>
              <w:bottom w:val="none" w:sz="0" w:space="0" w:color="auto"/>
            </w:tcBorders>
          </w:tcPr>
          <w:p w14:paraId="3BF0C4A0" w14:textId="0BF042F9"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 xml:space="preserve">2.173* </w:t>
            </w:r>
            <w:r w:rsidRPr="008A54F0">
              <w:rPr>
                <w:rFonts w:ascii="Arial" w:hAnsi="Arial"/>
                <w:b/>
                <w:bCs/>
                <w:i/>
                <w:iCs/>
                <w:lang w:val="en-IN"/>
              </w:rPr>
              <w:t>(.043)</w:t>
            </w:r>
          </w:p>
        </w:tc>
      </w:tr>
      <w:tr w:rsidR="004314BE" w:rsidRPr="004314BE" w14:paraId="6D7016EF" w14:textId="77777777" w:rsidTr="0087731C">
        <w:trPr>
          <w:trHeight w:val="432"/>
        </w:trPr>
        <w:tc>
          <w:tcPr>
            <w:cnfStyle w:val="001000000000" w:firstRow="0" w:lastRow="0" w:firstColumn="1" w:lastColumn="0" w:oddVBand="0" w:evenVBand="0" w:oddHBand="0" w:evenHBand="0" w:firstRowFirstColumn="0" w:firstRowLastColumn="0" w:lastRowFirstColumn="0" w:lastRowLastColumn="0"/>
            <w:tcW w:w="2268" w:type="dxa"/>
            <w:noWrap/>
            <w:hideMark/>
          </w:tcPr>
          <w:p w14:paraId="7B96E0EB"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NLR</w:t>
            </w:r>
          </w:p>
        </w:tc>
        <w:tc>
          <w:tcPr>
            <w:tcW w:w="1843" w:type="dxa"/>
            <w:noWrap/>
            <w:hideMark/>
          </w:tcPr>
          <w:p w14:paraId="663F813E"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bookmarkStart w:id="6" w:name="_Hlk200603567"/>
            <w:r w:rsidRPr="004314BE">
              <w:rPr>
                <w:rFonts w:ascii="Arial" w:hAnsi="Arial"/>
                <w:lang w:val="en-IN"/>
              </w:rPr>
              <w:t>6.3 ± 0.93</w:t>
            </w:r>
            <w:bookmarkEnd w:id="6"/>
          </w:p>
        </w:tc>
        <w:tc>
          <w:tcPr>
            <w:tcW w:w="1985" w:type="dxa"/>
            <w:noWrap/>
            <w:hideMark/>
          </w:tcPr>
          <w:p w14:paraId="2D4E1AB1"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bookmarkStart w:id="7" w:name="_Hlk201225772"/>
            <w:r w:rsidRPr="004314BE">
              <w:rPr>
                <w:rFonts w:ascii="Arial" w:hAnsi="Arial"/>
                <w:lang w:val="en-IN"/>
              </w:rPr>
              <w:t>3.28 ± 0.14</w:t>
            </w:r>
            <w:bookmarkEnd w:id="7"/>
          </w:p>
        </w:tc>
        <w:tc>
          <w:tcPr>
            <w:tcW w:w="1909" w:type="dxa"/>
          </w:tcPr>
          <w:p w14:paraId="2862B2BF" w14:textId="1B46043B"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 xml:space="preserve">3.223** </w:t>
            </w:r>
            <w:r w:rsidRPr="008A54F0">
              <w:rPr>
                <w:rFonts w:ascii="Arial" w:hAnsi="Arial"/>
                <w:b/>
                <w:bCs/>
                <w:i/>
                <w:iCs/>
                <w:lang w:val="en-IN"/>
              </w:rPr>
              <w:t>(.006)</w:t>
            </w:r>
          </w:p>
        </w:tc>
      </w:tr>
      <w:tr w:rsidR="004314BE" w:rsidRPr="004314BE" w14:paraId="5AB4D49E" w14:textId="77777777" w:rsidTr="00877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noWrap/>
            <w:hideMark/>
          </w:tcPr>
          <w:p w14:paraId="002CCEF5"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Platelet count</w:t>
            </w:r>
          </w:p>
        </w:tc>
        <w:tc>
          <w:tcPr>
            <w:tcW w:w="1843" w:type="dxa"/>
            <w:tcBorders>
              <w:top w:val="none" w:sz="0" w:space="0" w:color="auto"/>
              <w:bottom w:val="none" w:sz="0" w:space="0" w:color="auto"/>
            </w:tcBorders>
            <w:noWrap/>
            <w:hideMark/>
          </w:tcPr>
          <w:p w14:paraId="520C317E"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250.27 ± 53.37</w:t>
            </w:r>
          </w:p>
        </w:tc>
        <w:tc>
          <w:tcPr>
            <w:tcW w:w="1985" w:type="dxa"/>
            <w:tcBorders>
              <w:top w:val="none" w:sz="0" w:space="0" w:color="auto"/>
              <w:bottom w:val="none" w:sz="0" w:space="0" w:color="auto"/>
            </w:tcBorders>
            <w:noWrap/>
            <w:hideMark/>
          </w:tcPr>
          <w:p w14:paraId="38D39A39"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267.85 ± 22.63</w:t>
            </w:r>
          </w:p>
        </w:tc>
        <w:tc>
          <w:tcPr>
            <w:tcW w:w="1909" w:type="dxa"/>
            <w:tcBorders>
              <w:top w:val="none" w:sz="0" w:space="0" w:color="auto"/>
              <w:bottom w:val="none" w:sz="0" w:space="0" w:color="auto"/>
            </w:tcBorders>
          </w:tcPr>
          <w:p w14:paraId="28D050B4" w14:textId="681D00A1"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0.287</w:t>
            </w:r>
            <w:r w:rsidRPr="004314BE">
              <w:rPr>
                <w:rFonts w:ascii="Arial" w:hAnsi="Arial"/>
                <w:vertAlign w:val="superscript"/>
                <w:lang w:val="en-IN"/>
              </w:rPr>
              <w:t>ns</w:t>
            </w:r>
            <w:r w:rsidRPr="004314BE">
              <w:rPr>
                <w:rFonts w:ascii="Arial" w:hAnsi="Arial"/>
                <w:lang w:val="en-IN"/>
              </w:rPr>
              <w:t xml:space="preserve"> </w:t>
            </w:r>
            <w:r w:rsidRPr="008A54F0">
              <w:rPr>
                <w:rFonts w:ascii="Arial" w:hAnsi="Arial"/>
                <w:b/>
                <w:bCs/>
                <w:i/>
                <w:iCs/>
                <w:lang w:val="en-IN"/>
              </w:rPr>
              <w:t>(.776)</w:t>
            </w:r>
          </w:p>
        </w:tc>
      </w:tr>
      <w:tr w:rsidR="004314BE" w:rsidRPr="004314BE" w14:paraId="74E6AFDE" w14:textId="77777777" w:rsidTr="0087731C">
        <w:trPr>
          <w:trHeight w:val="432"/>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64D9952"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PLR</w:t>
            </w:r>
          </w:p>
        </w:tc>
        <w:tc>
          <w:tcPr>
            <w:tcW w:w="1843" w:type="dxa"/>
            <w:noWrap/>
            <w:hideMark/>
          </w:tcPr>
          <w:p w14:paraId="49FFDC85"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110.6 ± 23.89</w:t>
            </w:r>
          </w:p>
        </w:tc>
        <w:tc>
          <w:tcPr>
            <w:tcW w:w="1985" w:type="dxa"/>
            <w:noWrap/>
            <w:hideMark/>
          </w:tcPr>
          <w:p w14:paraId="77BBAC36"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169.15 ± 16.14</w:t>
            </w:r>
          </w:p>
        </w:tc>
        <w:tc>
          <w:tcPr>
            <w:tcW w:w="1909" w:type="dxa"/>
          </w:tcPr>
          <w:p w14:paraId="75CA81E9" w14:textId="3BAE1F58"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1.967</w:t>
            </w:r>
            <w:r w:rsidRPr="004314BE">
              <w:rPr>
                <w:rFonts w:ascii="Arial" w:hAnsi="Arial"/>
                <w:vertAlign w:val="superscript"/>
                <w:lang w:val="en-IN"/>
              </w:rPr>
              <w:t>ns</w:t>
            </w:r>
            <w:r w:rsidRPr="004314BE">
              <w:rPr>
                <w:rFonts w:ascii="Arial" w:hAnsi="Arial"/>
                <w:lang w:val="en-IN"/>
              </w:rPr>
              <w:t xml:space="preserve"> </w:t>
            </w:r>
            <w:r w:rsidRPr="008A54F0">
              <w:rPr>
                <w:rFonts w:ascii="Arial" w:hAnsi="Arial"/>
                <w:b/>
                <w:bCs/>
                <w:i/>
                <w:iCs/>
                <w:lang w:val="en-IN"/>
              </w:rPr>
              <w:t>(.060)</w:t>
            </w:r>
          </w:p>
        </w:tc>
      </w:tr>
      <w:tr w:rsidR="004314BE" w:rsidRPr="004314BE" w14:paraId="0A5DE5EA" w14:textId="77777777" w:rsidTr="00877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noWrap/>
            <w:hideMark/>
          </w:tcPr>
          <w:p w14:paraId="50F5CAF6"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Systemic immune inflammatory index</w:t>
            </w:r>
          </w:p>
        </w:tc>
        <w:tc>
          <w:tcPr>
            <w:tcW w:w="1843" w:type="dxa"/>
            <w:tcBorders>
              <w:top w:val="none" w:sz="0" w:space="0" w:color="auto"/>
              <w:bottom w:val="none" w:sz="0" w:space="0" w:color="auto"/>
            </w:tcBorders>
            <w:noWrap/>
            <w:hideMark/>
          </w:tcPr>
          <w:p w14:paraId="00782E31" w14:textId="112FCE32"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1519.53± 265.36</w:t>
            </w:r>
          </w:p>
        </w:tc>
        <w:tc>
          <w:tcPr>
            <w:tcW w:w="1985" w:type="dxa"/>
            <w:tcBorders>
              <w:top w:val="none" w:sz="0" w:space="0" w:color="auto"/>
              <w:bottom w:val="none" w:sz="0" w:space="0" w:color="auto"/>
            </w:tcBorders>
            <w:noWrap/>
            <w:hideMark/>
          </w:tcPr>
          <w:p w14:paraId="1D90B3B8"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853.02 ± 53.9</w:t>
            </w:r>
          </w:p>
        </w:tc>
        <w:tc>
          <w:tcPr>
            <w:tcW w:w="1909" w:type="dxa"/>
            <w:tcBorders>
              <w:top w:val="none" w:sz="0" w:space="0" w:color="auto"/>
              <w:bottom w:val="none" w:sz="0" w:space="0" w:color="auto"/>
            </w:tcBorders>
          </w:tcPr>
          <w:p w14:paraId="534B49E0" w14:textId="21F53A4D"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 xml:space="preserve">2.461* </w:t>
            </w:r>
            <w:r w:rsidRPr="008A54F0">
              <w:rPr>
                <w:rFonts w:ascii="Arial" w:hAnsi="Arial"/>
                <w:b/>
                <w:bCs/>
                <w:i/>
                <w:iCs/>
                <w:lang w:val="en-IN"/>
              </w:rPr>
              <w:t>(.026)</w:t>
            </w:r>
          </w:p>
        </w:tc>
      </w:tr>
    </w:tbl>
    <w:p w14:paraId="702FC0C6" w14:textId="77777777" w:rsidR="004314BE" w:rsidRDefault="004314BE" w:rsidP="002C3CD6">
      <w:pPr>
        <w:tabs>
          <w:tab w:val="left" w:pos="1080"/>
        </w:tabs>
        <w:jc w:val="both"/>
        <w:rPr>
          <w:rFonts w:ascii="Arial" w:hAnsi="Arial"/>
          <w:b/>
          <w:bCs/>
        </w:rPr>
      </w:pPr>
    </w:p>
    <w:p w14:paraId="5F227ACA" w14:textId="78047C9B" w:rsidR="00863BD3" w:rsidRDefault="00D95315" w:rsidP="00D95315">
      <w:pPr>
        <w:pStyle w:val="BodyText3"/>
        <w:tabs>
          <w:tab w:val="left" w:pos="1080"/>
        </w:tabs>
        <w:spacing w:after="0"/>
        <w:jc w:val="both"/>
        <w:rPr>
          <w:rFonts w:ascii="Arial" w:hAnsi="Arial"/>
          <w:bCs/>
          <w:i/>
          <w:iCs/>
          <w:sz w:val="18"/>
        </w:rPr>
      </w:pPr>
      <w:r w:rsidRPr="00D95315">
        <w:rPr>
          <w:rFonts w:ascii="Arial" w:hAnsi="Arial"/>
          <w:bCs/>
          <w:i/>
          <w:iCs/>
          <w:sz w:val="18"/>
        </w:rPr>
        <w:t>** Significant at 0.01 level; * Significant at 0.05 level; ns non-significant</w:t>
      </w:r>
    </w:p>
    <w:p w14:paraId="5F2D3653" w14:textId="4C044452" w:rsidR="00DD1BD7" w:rsidRDefault="00DD1BD7" w:rsidP="00D95315">
      <w:pPr>
        <w:pStyle w:val="BodyText3"/>
        <w:tabs>
          <w:tab w:val="left" w:pos="1080"/>
        </w:tabs>
        <w:spacing w:after="0"/>
        <w:jc w:val="both"/>
        <w:rPr>
          <w:rFonts w:ascii="Arial" w:hAnsi="Arial"/>
          <w:bCs/>
          <w:i/>
          <w:iCs/>
          <w:sz w:val="18"/>
        </w:rPr>
      </w:pPr>
    </w:p>
    <w:p w14:paraId="5ABDCBDD" w14:textId="77777777" w:rsidR="00DD1BD7" w:rsidRDefault="00DD1BD7" w:rsidP="00D95315">
      <w:pPr>
        <w:pStyle w:val="BodyText3"/>
        <w:tabs>
          <w:tab w:val="left" w:pos="1080"/>
        </w:tabs>
        <w:spacing w:after="0"/>
        <w:jc w:val="both"/>
        <w:rPr>
          <w:rFonts w:ascii="Arial" w:hAnsi="Arial"/>
          <w:b/>
          <w:sz w:val="20"/>
          <w:szCs w:val="20"/>
        </w:rPr>
      </w:pPr>
    </w:p>
    <w:p w14:paraId="21B52CB5" w14:textId="40EF1497" w:rsidR="00DD1BD7" w:rsidRDefault="00DD1BD7" w:rsidP="00DD1BD7">
      <w:pPr>
        <w:pStyle w:val="BodyText3"/>
        <w:tabs>
          <w:tab w:val="left" w:pos="1080"/>
        </w:tabs>
        <w:spacing w:after="0"/>
        <w:ind w:left="1080" w:hanging="1080"/>
        <w:jc w:val="both"/>
        <w:rPr>
          <w:rFonts w:ascii="Arial" w:hAnsi="Arial"/>
          <w:b/>
          <w:bCs/>
          <w:sz w:val="20"/>
          <w:szCs w:val="20"/>
        </w:rPr>
      </w:pPr>
      <w:r w:rsidRPr="00DD1BD7">
        <w:rPr>
          <w:rFonts w:ascii="Arial" w:hAnsi="Arial"/>
          <w:b/>
          <w:bCs/>
          <w:sz w:val="20"/>
          <w:szCs w:val="20"/>
        </w:rPr>
        <w:t>Table 2. Comparison of different parameters between group II</w:t>
      </w:r>
      <w:r>
        <w:rPr>
          <w:rFonts w:ascii="Arial" w:hAnsi="Arial"/>
          <w:b/>
          <w:bCs/>
          <w:sz w:val="20"/>
          <w:szCs w:val="20"/>
        </w:rPr>
        <w:t xml:space="preserve"> (dogs with MODS)</w:t>
      </w:r>
      <w:r w:rsidRPr="00DD1BD7">
        <w:rPr>
          <w:rFonts w:ascii="Arial" w:hAnsi="Arial"/>
          <w:b/>
          <w:bCs/>
          <w:sz w:val="20"/>
          <w:szCs w:val="20"/>
        </w:rPr>
        <w:t xml:space="preserve"> and control group</w:t>
      </w:r>
    </w:p>
    <w:p w14:paraId="2EF5CD02" w14:textId="407BC88B" w:rsidR="00DD1BD7" w:rsidRDefault="00DD1BD7" w:rsidP="00DD1BD7">
      <w:pPr>
        <w:pStyle w:val="BodyText3"/>
        <w:tabs>
          <w:tab w:val="left" w:pos="1080"/>
        </w:tabs>
        <w:spacing w:after="0"/>
        <w:ind w:left="1080" w:hanging="1080"/>
        <w:jc w:val="both"/>
        <w:rPr>
          <w:rFonts w:ascii="Arial" w:hAnsi="Arial"/>
          <w:b/>
          <w:bCs/>
          <w:sz w:val="20"/>
          <w:szCs w:val="20"/>
        </w:rPr>
      </w:pPr>
    </w:p>
    <w:tbl>
      <w:tblPr>
        <w:tblW w:w="8344" w:type="dxa"/>
        <w:jc w:val="center"/>
        <w:tblBorders>
          <w:top w:val="single" w:sz="4" w:space="0" w:color="auto"/>
          <w:bottom w:val="single" w:sz="4" w:space="0" w:color="auto"/>
        </w:tblBorders>
        <w:tblLook w:val="04A0" w:firstRow="1" w:lastRow="0" w:firstColumn="1" w:lastColumn="0" w:noHBand="0" w:noVBand="1"/>
      </w:tblPr>
      <w:tblGrid>
        <w:gridCol w:w="3175"/>
        <w:gridCol w:w="1661"/>
        <w:gridCol w:w="1692"/>
        <w:gridCol w:w="1816"/>
      </w:tblGrid>
      <w:tr w:rsidR="00DD1BD7" w:rsidRPr="00DD1BD7" w14:paraId="4CCFBBDB" w14:textId="77777777" w:rsidTr="00151749">
        <w:trPr>
          <w:trHeight w:val="432"/>
          <w:jc w:val="center"/>
        </w:trPr>
        <w:tc>
          <w:tcPr>
            <w:tcW w:w="3175" w:type="dxa"/>
            <w:tcBorders>
              <w:top w:val="single" w:sz="4" w:space="0" w:color="auto"/>
              <w:bottom w:val="single" w:sz="4" w:space="0" w:color="auto"/>
            </w:tcBorders>
            <w:shd w:val="clear" w:color="auto" w:fill="auto"/>
            <w:noWrap/>
            <w:vAlign w:val="center"/>
            <w:hideMark/>
          </w:tcPr>
          <w:p w14:paraId="11124EC0" w14:textId="77777777" w:rsidR="00DD1BD7" w:rsidRPr="00DD1BD7" w:rsidRDefault="00DD1BD7" w:rsidP="006847C6">
            <w:pPr>
              <w:pStyle w:val="BodyText3"/>
              <w:tabs>
                <w:tab w:val="left" w:pos="1080"/>
              </w:tabs>
              <w:spacing w:line="480" w:lineRule="auto"/>
              <w:ind w:left="1080" w:hanging="1080"/>
              <w:jc w:val="both"/>
              <w:rPr>
                <w:rFonts w:ascii="Arial" w:hAnsi="Arial"/>
                <w:b/>
                <w:bCs/>
                <w:sz w:val="20"/>
                <w:szCs w:val="20"/>
                <w:lang w:val="en-IN"/>
              </w:rPr>
            </w:pPr>
            <w:r w:rsidRPr="00DD1BD7">
              <w:rPr>
                <w:rFonts w:ascii="Arial" w:hAnsi="Arial"/>
                <w:b/>
                <w:bCs/>
                <w:sz w:val="20"/>
                <w:szCs w:val="20"/>
                <w:lang w:val="en-IN"/>
              </w:rPr>
              <w:t>Variable</w:t>
            </w:r>
          </w:p>
        </w:tc>
        <w:tc>
          <w:tcPr>
            <w:tcW w:w="1661" w:type="dxa"/>
            <w:tcBorders>
              <w:top w:val="single" w:sz="4" w:space="0" w:color="auto"/>
              <w:bottom w:val="single" w:sz="4" w:space="0" w:color="auto"/>
            </w:tcBorders>
            <w:shd w:val="clear" w:color="auto" w:fill="auto"/>
            <w:noWrap/>
            <w:vAlign w:val="center"/>
            <w:hideMark/>
          </w:tcPr>
          <w:p w14:paraId="0663E5EF" w14:textId="77777777" w:rsidR="00DD1BD7" w:rsidRPr="00DD1BD7" w:rsidRDefault="00DD1BD7" w:rsidP="006847C6">
            <w:pPr>
              <w:pStyle w:val="BodyText3"/>
              <w:tabs>
                <w:tab w:val="left" w:pos="1080"/>
              </w:tabs>
              <w:spacing w:line="480" w:lineRule="auto"/>
              <w:ind w:left="1080" w:hanging="1080"/>
              <w:jc w:val="both"/>
              <w:rPr>
                <w:rFonts w:ascii="Arial" w:hAnsi="Arial"/>
                <w:b/>
                <w:bCs/>
                <w:sz w:val="20"/>
                <w:szCs w:val="20"/>
                <w:lang w:val="en-IN"/>
              </w:rPr>
            </w:pPr>
            <w:r w:rsidRPr="00DD1BD7">
              <w:rPr>
                <w:rFonts w:ascii="Arial" w:hAnsi="Arial"/>
                <w:b/>
                <w:bCs/>
                <w:sz w:val="20"/>
                <w:szCs w:val="20"/>
                <w:lang w:val="en-IN"/>
              </w:rPr>
              <w:t>Group II</w:t>
            </w:r>
          </w:p>
        </w:tc>
        <w:tc>
          <w:tcPr>
            <w:tcW w:w="1692" w:type="dxa"/>
            <w:tcBorders>
              <w:top w:val="single" w:sz="4" w:space="0" w:color="auto"/>
              <w:bottom w:val="single" w:sz="4" w:space="0" w:color="auto"/>
            </w:tcBorders>
            <w:shd w:val="clear" w:color="auto" w:fill="auto"/>
            <w:noWrap/>
            <w:vAlign w:val="center"/>
            <w:hideMark/>
          </w:tcPr>
          <w:p w14:paraId="4178AE8F" w14:textId="77777777" w:rsidR="00DD1BD7" w:rsidRPr="00DD1BD7" w:rsidRDefault="00DD1BD7" w:rsidP="006847C6">
            <w:pPr>
              <w:pStyle w:val="BodyText3"/>
              <w:tabs>
                <w:tab w:val="left" w:pos="1080"/>
              </w:tabs>
              <w:spacing w:line="480" w:lineRule="auto"/>
              <w:ind w:left="1080" w:hanging="1080"/>
              <w:jc w:val="both"/>
              <w:rPr>
                <w:rFonts w:ascii="Arial" w:hAnsi="Arial"/>
                <w:b/>
                <w:bCs/>
                <w:sz w:val="20"/>
                <w:szCs w:val="20"/>
                <w:lang w:val="en-IN"/>
              </w:rPr>
            </w:pPr>
            <w:r w:rsidRPr="00DD1BD7">
              <w:rPr>
                <w:rFonts w:ascii="Arial" w:hAnsi="Arial"/>
                <w:b/>
                <w:bCs/>
                <w:sz w:val="20"/>
                <w:szCs w:val="20"/>
                <w:lang w:val="en-IN"/>
              </w:rPr>
              <w:t>Control</w:t>
            </w:r>
          </w:p>
        </w:tc>
        <w:tc>
          <w:tcPr>
            <w:tcW w:w="1816" w:type="dxa"/>
            <w:tcBorders>
              <w:top w:val="single" w:sz="4" w:space="0" w:color="auto"/>
              <w:bottom w:val="single" w:sz="4" w:space="0" w:color="auto"/>
            </w:tcBorders>
          </w:tcPr>
          <w:p w14:paraId="5C26852B" w14:textId="38267F21" w:rsidR="00DD1BD7" w:rsidRPr="00DD1BD7" w:rsidRDefault="00DD1BD7" w:rsidP="00A348D5">
            <w:pPr>
              <w:pStyle w:val="BodyText3"/>
              <w:tabs>
                <w:tab w:val="left" w:pos="1080"/>
              </w:tabs>
              <w:spacing w:line="480" w:lineRule="auto"/>
              <w:jc w:val="both"/>
              <w:rPr>
                <w:rFonts w:ascii="Arial" w:hAnsi="Arial"/>
                <w:b/>
                <w:bCs/>
                <w:sz w:val="20"/>
                <w:szCs w:val="20"/>
                <w:lang w:val="en-IN"/>
              </w:rPr>
            </w:pPr>
            <w:r w:rsidRPr="00DD1BD7">
              <w:rPr>
                <w:rFonts w:ascii="Arial" w:hAnsi="Arial"/>
                <w:b/>
                <w:bCs/>
                <w:sz w:val="20"/>
                <w:szCs w:val="20"/>
                <w:lang w:val="en-IN"/>
              </w:rPr>
              <w:t>t-value(P</w:t>
            </w:r>
            <w:r w:rsidR="00151749">
              <w:rPr>
                <w:rFonts w:ascii="Arial" w:hAnsi="Arial"/>
                <w:b/>
                <w:bCs/>
                <w:sz w:val="20"/>
                <w:szCs w:val="20"/>
                <w:lang w:val="en-IN"/>
              </w:rPr>
              <w:t>-v</w:t>
            </w:r>
            <w:r w:rsidRPr="00DD1BD7">
              <w:rPr>
                <w:rFonts w:ascii="Arial" w:hAnsi="Arial"/>
                <w:b/>
                <w:bCs/>
                <w:sz w:val="20"/>
                <w:szCs w:val="20"/>
                <w:lang w:val="en-IN"/>
              </w:rPr>
              <w:t>alue)</w:t>
            </w:r>
          </w:p>
        </w:tc>
      </w:tr>
      <w:tr w:rsidR="00DD1BD7" w:rsidRPr="00DD1BD7" w14:paraId="3E0CD7FE" w14:textId="77777777" w:rsidTr="00151749">
        <w:trPr>
          <w:trHeight w:val="432"/>
          <w:jc w:val="center"/>
        </w:trPr>
        <w:tc>
          <w:tcPr>
            <w:tcW w:w="3175" w:type="dxa"/>
            <w:tcBorders>
              <w:top w:val="single" w:sz="4" w:space="0" w:color="auto"/>
            </w:tcBorders>
            <w:shd w:val="clear" w:color="auto" w:fill="auto"/>
            <w:noWrap/>
            <w:vAlign w:val="center"/>
            <w:hideMark/>
          </w:tcPr>
          <w:p w14:paraId="5866965A"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lastRenderedPageBreak/>
              <w:t>TLC</w:t>
            </w:r>
          </w:p>
        </w:tc>
        <w:tc>
          <w:tcPr>
            <w:tcW w:w="1661" w:type="dxa"/>
            <w:tcBorders>
              <w:top w:val="single" w:sz="4" w:space="0" w:color="auto"/>
            </w:tcBorders>
            <w:shd w:val="clear" w:color="auto" w:fill="auto"/>
            <w:noWrap/>
            <w:vAlign w:val="center"/>
            <w:hideMark/>
          </w:tcPr>
          <w:p w14:paraId="72A2D3B5"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28.25 ± 5.22</w:t>
            </w:r>
          </w:p>
        </w:tc>
        <w:tc>
          <w:tcPr>
            <w:tcW w:w="1692" w:type="dxa"/>
            <w:tcBorders>
              <w:top w:val="single" w:sz="4" w:space="0" w:color="auto"/>
            </w:tcBorders>
            <w:shd w:val="clear" w:color="auto" w:fill="auto"/>
            <w:noWrap/>
            <w:vAlign w:val="center"/>
            <w:hideMark/>
          </w:tcPr>
          <w:p w14:paraId="6BA0BEDD"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7.82 ± 0.98</w:t>
            </w:r>
          </w:p>
        </w:tc>
        <w:tc>
          <w:tcPr>
            <w:tcW w:w="1816" w:type="dxa"/>
            <w:tcBorders>
              <w:top w:val="single" w:sz="4" w:space="0" w:color="auto"/>
            </w:tcBorders>
            <w:vAlign w:val="center"/>
          </w:tcPr>
          <w:p w14:paraId="10C704B9" w14:textId="34807552" w:rsidR="00DD1BD7" w:rsidRPr="00DD1BD7" w:rsidRDefault="00DD1BD7" w:rsidP="00A348D5">
            <w:pPr>
              <w:pStyle w:val="BodyText3"/>
              <w:tabs>
                <w:tab w:val="left" w:pos="1080"/>
              </w:tabs>
              <w:spacing w:line="480" w:lineRule="auto"/>
              <w:jc w:val="both"/>
              <w:rPr>
                <w:rFonts w:ascii="Arial" w:hAnsi="Arial"/>
                <w:sz w:val="20"/>
                <w:szCs w:val="20"/>
                <w:lang w:val="en-IN"/>
              </w:rPr>
            </w:pPr>
            <w:r w:rsidRPr="00DD1BD7">
              <w:rPr>
                <w:rFonts w:ascii="Arial" w:hAnsi="Arial"/>
                <w:sz w:val="20"/>
                <w:szCs w:val="20"/>
                <w:lang w:val="en-IN"/>
              </w:rPr>
              <w:t>3.843**</w:t>
            </w:r>
            <w:r w:rsidR="00A348D5">
              <w:rPr>
                <w:rFonts w:ascii="Arial" w:hAnsi="Arial"/>
                <w:sz w:val="20"/>
                <w:szCs w:val="20"/>
                <w:lang w:val="en-IN"/>
              </w:rPr>
              <w:t>(</w:t>
            </w:r>
            <w:r w:rsidRPr="008A54F0">
              <w:rPr>
                <w:rFonts w:ascii="Arial" w:hAnsi="Arial"/>
                <w:b/>
                <w:bCs/>
                <w:i/>
                <w:iCs/>
                <w:sz w:val="20"/>
                <w:szCs w:val="20"/>
                <w:lang w:val="en-IN"/>
              </w:rPr>
              <w:t>.001)</w:t>
            </w:r>
          </w:p>
        </w:tc>
      </w:tr>
      <w:tr w:rsidR="00DD1BD7" w:rsidRPr="00DD1BD7" w14:paraId="1BE429DF" w14:textId="77777777" w:rsidTr="00151749">
        <w:trPr>
          <w:trHeight w:val="432"/>
          <w:jc w:val="center"/>
        </w:trPr>
        <w:tc>
          <w:tcPr>
            <w:tcW w:w="3175" w:type="dxa"/>
            <w:shd w:val="clear" w:color="auto" w:fill="auto"/>
            <w:noWrap/>
            <w:vAlign w:val="center"/>
            <w:hideMark/>
          </w:tcPr>
          <w:p w14:paraId="0DC6FA40" w14:textId="77777777" w:rsidR="00DD1BD7" w:rsidRPr="00DD1BD7" w:rsidRDefault="00DD1BD7" w:rsidP="006847C6">
            <w:pPr>
              <w:pStyle w:val="BodyText3"/>
              <w:tabs>
                <w:tab w:val="left" w:pos="1080"/>
              </w:tabs>
              <w:spacing w:line="480" w:lineRule="auto"/>
              <w:ind w:left="1077" w:hanging="1077"/>
              <w:jc w:val="both"/>
              <w:rPr>
                <w:rFonts w:ascii="Arial" w:hAnsi="Arial"/>
                <w:sz w:val="20"/>
                <w:szCs w:val="20"/>
                <w:lang w:val="en-IN"/>
              </w:rPr>
            </w:pPr>
            <w:r w:rsidRPr="00DD1BD7">
              <w:rPr>
                <w:rFonts w:ascii="Arial" w:hAnsi="Arial"/>
                <w:sz w:val="20"/>
                <w:szCs w:val="20"/>
                <w:lang w:val="en-IN"/>
              </w:rPr>
              <w:t>Neutrophil count</w:t>
            </w:r>
          </w:p>
        </w:tc>
        <w:tc>
          <w:tcPr>
            <w:tcW w:w="1661" w:type="dxa"/>
            <w:shd w:val="clear" w:color="auto" w:fill="auto"/>
            <w:noWrap/>
            <w:vAlign w:val="center"/>
            <w:hideMark/>
          </w:tcPr>
          <w:p w14:paraId="257B2DF6"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23.46 ± 4.51</w:t>
            </w:r>
          </w:p>
        </w:tc>
        <w:tc>
          <w:tcPr>
            <w:tcW w:w="1692" w:type="dxa"/>
            <w:shd w:val="clear" w:color="auto" w:fill="auto"/>
            <w:noWrap/>
            <w:vAlign w:val="center"/>
            <w:hideMark/>
          </w:tcPr>
          <w:p w14:paraId="019EFF80"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5.47 ± 0.58</w:t>
            </w:r>
          </w:p>
        </w:tc>
        <w:tc>
          <w:tcPr>
            <w:tcW w:w="1816" w:type="dxa"/>
            <w:vAlign w:val="center"/>
          </w:tcPr>
          <w:p w14:paraId="4BBC8FC4" w14:textId="3F219E09" w:rsidR="00DD1BD7" w:rsidRPr="00DD1BD7" w:rsidRDefault="00DD1BD7" w:rsidP="00A348D5">
            <w:pPr>
              <w:pStyle w:val="BodyText3"/>
              <w:tabs>
                <w:tab w:val="left" w:pos="1080"/>
              </w:tabs>
              <w:spacing w:line="480" w:lineRule="auto"/>
              <w:jc w:val="both"/>
              <w:rPr>
                <w:rFonts w:ascii="Arial" w:hAnsi="Arial"/>
                <w:sz w:val="20"/>
                <w:szCs w:val="20"/>
                <w:lang w:val="en-IN"/>
              </w:rPr>
            </w:pPr>
            <w:r w:rsidRPr="00DD1BD7">
              <w:rPr>
                <w:rFonts w:ascii="Arial" w:hAnsi="Arial"/>
                <w:sz w:val="20"/>
                <w:szCs w:val="20"/>
                <w:lang w:val="en-IN"/>
              </w:rPr>
              <w:t>3.953**</w:t>
            </w:r>
            <w:r w:rsidRPr="008A54F0">
              <w:rPr>
                <w:rFonts w:ascii="Arial" w:hAnsi="Arial"/>
                <w:b/>
                <w:bCs/>
                <w:i/>
                <w:iCs/>
                <w:sz w:val="20"/>
                <w:szCs w:val="20"/>
                <w:lang w:val="en-IN"/>
              </w:rPr>
              <w:t>(.001)</w:t>
            </w:r>
          </w:p>
        </w:tc>
      </w:tr>
      <w:tr w:rsidR="00DD1BD7" w:rsidRPr="00DD1BD7" w14:paraId="3CF5F26F" w14:textId="77777777" w:rsidTr="00151749">
        <w:trPr>
          <w:trHeight w:val="432"/>
          <w:jc w:val="center"/>
        </w:trPr>
        <w:tc>
          <w:tcPr>
            <w:tcW w:w="3175" w:type="dxa"/>
            <w:shd w:val="clear" w:color="auto" w:fill="auto"/>
            <w:noWrap/>
            <w:vAlign w:val="center"/>
            <w:hideMark/>
          </w:tcPr>
          <w:p w14:paraId="1B2722E3" w14:textId="77777777" w:rsidR="00DD1BD7" w:rsidRPr="00DD1BD7" w:rsidRDefault="00DD1BD7" w:rsidP="006847C6">
            <w:pPr>
              <w:pStyle w:val="BodyText3"/>
              <w:tabs>
                <w:tab w:val="left" w:pos="1080"/>
              </w:tabs>
              <w:spacing w:line="480" w:lineRule="auto"/>
              <w:ind w:left="1077" w:hanging="1077"/>
              <w:jc w:val="both"/>
              <w:rPr>
                <w:rFonts w:ascii="Arial" w:hAnsi="Arial"/>
                <w:sz w:val="20"/>
                <w:szCs w:val="20"/>
                <w:lang w:val="en-IN"/>
              </w:rPr>
            </w:pPr>
            <w:r w:rsidRPr="00DD1BD7">
              <w:rPr>
                <w:rFonts w:ascii="Arial" w:hAnsi="Arial"/>
                <w:sz w:val="20"/>
                <w:szCs w:val="20"/>
                <w:lang w:val="en-IN"/>
              </w:rPr>
              <w:t>Lymphocyte count</w:t>
            </w:r>
          </w:p>
        </w:tc>
        <w:tc>
          <w:tcPr>
            <w:tcW w:w="1661" w:type="dxa"/>
            <w:shd w:val="clear" w:color="auto" w:fill="auto"/>
            <w:noWrap/>
            <w:vAlign w:val="center"/>
            <w:hideMark/>
          </w:tcPr>
          <w:p w14:paraId="47720DE5"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3.29 ± 0.59</w:t>
            </w:r>
          </w:p>
        </w:tc>
        <w:tc>
          <w:tcPr>
            <w:tcW w:w="1692" w:type="dxa"/>
            <w:shd w:val="clear" w:color="auto" w:fill="auto"/>
            <w:noWrap/>
            <w:vAlign w:val="center"/>
            <w:hideMark/>
          </w:tcPr>
          <w:p w14:paraId="7D8BE334"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1.83 ± 0.35</w:t>
            </w:r>
          </w:p>
        </w:tc>
        <w:tc>
          <w:tcPr>
            <w:tcW w:w="1816" w:type="dxa"/>
            <w:vAlign w:val="center"/>
          </w:tcPr>
          <w:p w14:paraId="7A9839FF" w14:textId="7CE1591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 xml:space="preserve">2.125* </w:t>
            </w:r>
            <w:r w:rsidRPr="008A54F0">
              <w:rPr>
                <w:rFonts w:ascii="Arial" w:hAnsi="Arial"/>
                <w:b/>
                <w:bCs/>
                <w:i/>
                <w:iCs/>
                <w:sz w:val="20"/>
                <w:szCs w:val="20"/>
                <w:lang w:val="en-IN"/>
              </w:rPr>
              <w:t>(.043)</w:t>
            </w:r>
          </w:p>
        </w:tc>
      </w:tr>
      <w:tr w:rsidR="00DD1BD7" w:rsidRPr="00DD1BD7" w14:paraId="3323062F" w14:textId="77777777" w:rsidTr="00151749">
        <w:trPr>
          <w:trHeight w:val="432"/>
          <w:jc w:val="center"/>
        </w:trPr>
        <w:tc>
          <w:tcPr>
            <w:tcW w:w="3175" w:type="dxa"/>
            <w:shd w:val="clear" w:color="auto" w:fill="auto"/>
            <w:noWrap/>
            <w:vAlign w:val="center"/>
            <w:hideMark/>
          </w:tcPr>
          <w:p w14:paraId="42625D79"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NLR</w:t>
            </w:r>
          </w:p>
        </w:tc>
        <w:tc>
          <w:tcPr>
            <w:tcW w:w="1661" w:type="dxa"/>
            <w:shd w:val="clear" w:color="auto" w:fill="auto"/>
            <w:noWrap/>
            <w:vAlign w:val="center"/>
            <w:hideMark/>
          </w:tcPr>
          <w:p w14:paraId="52A8B9EE"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bookmarkStart w:id="8" w:name="_Hlk200603606"/>
            <w:r w:rsidRPr="00DD1BD7">
              <w:rPr>
                <w:rFonts w:ascii="Arial" w:hAnsi="Arial"/>
                <w:sz w:val="20"/>
                <w:szCs w:val="20"/>
                <w:lang w:val="en-IN"/>
              </w:rPr>
              <w:t>8.09 ± 0.86</w:t>
            </w:r>
            <w:bookmarkEnd w:id="8"/>
          </w:p>
        </w:tc>
        <w:tc>
          <w:tcPr>
            <w:tcW w:w="1692" w:type="dxa"/>
            <w:shd w:val="clear" w:color="auto" w:fill="auto"/>
            <w:noWrap/>
            <w:vAlign w:val="center"/>
            <w:hideMark/>
          </w:tcPr>
          <w:p w14:paraId="2DF1CA89"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3.28 ± 0.14</w:t>
            </w:r>
          </w:p>
        </w:tc>
        <w:tc>
          <w:tcPr>
            <w:tcW w:w="1816" w:type="dxa"/>
            <w:vAlign w:val="center"/>
          </w:tcPr>
          <w:p w14:paraId="2FF3B2E7" w14:textId="1308DCD3" w:rsidR="00DD1BD7" w:rsidRPr="00DD1BD7" w:rsidRDefault="00DD1BD7" w:rsidP="00A348D5">
            <w:pPr>
              <w:pStyle w:val="BodyText3"/>
              <w:tabs>
                <w:tab w:val="left" w:pos="1080"/>
              </w:tabs>
              <w:spacing w:line="480" w:lineRule="auto"/>
              <w:jc w:val="both"/>
              <w:rPr>
                <w:rFonts w:ascii="Arial" w:hAnsi="Arial"/>
                <w:sz w:val="20"/>
                <w:szCs w:val="20"/>
                <w:lang w:val="en-IN"/>
              </w:rPr>
            </w:pPr>
            <w:r w:rsidRPr="00DD1BD7">
              <w:rPr>
                <w:rFonts w:ascii="Arial" w:hAnsi="Arial"/>
                <w:sz w:val="20"/>
                <w:szCs w:val="20"/>
                <w:lang w:val="en-IN"/>
              </w:rPr>
              <w:t>5.548**</w:t>
            </w:r>
            <w:r w:rsidRPr="008A54F0">
              <w:rPr>
                <w:rFonts w:ascii="Arial" w:hAnsi="Arial"/>
                <w:b/>
                <w:bCs/>
                <w:i/>
                <w:iCs/>
                <w:sz w:val="20"/>
                <w:szCs w:val="20"/>
                <w:lang w:val="en-IN"/>
              </w:rPr>
              <w:t>(&lt;.001)</w:t>
            </w:r>
          </w:p>
        </w:tc>
      </w:tr>
      <w:tr w:rsidR="00DD1BD7" w:rsidRPr="00DD1BD7" w14:paraId="2288801D" w14:textId="77777777" w:rsidTr="00151749">
        <w:trPr>
          <w:trHeight w:val="432"/>
          <w:jc w:val="center"/>
        </w:trPr>
        <w:tc>
          <w:tcPr>
            <w:tcW w:w="3175" w:type="dxa"/>
            <w:shd w:val="clear" w:color="auto" w:fill="auto"/>
            <w:noWrap/>
            <w:vAlign w:val="center"/>
            <w:hideMark/>
          </w:tcPr>
          <w:p w14:paraId="61B110BD"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Platelet count</w:t>
            </w:r>
          </w:p>
        </w:tc>
        <w:tc>
          <w:tcPr>
            <w:tcW w:w="1661" w:type="dxa"/>
            <w:shd w:val="clear" w:color="auto" w:fill="auto"/>
            <w:noWrap/>
            <w:vAlign w:val="center"/>
            <w:hideMark/>
          </w:tcPr>
          <w:p w14:paraId="60DC106E"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205.11 ± 35.3</w:t>
            </w:r>
          </w:p>
        </w:tc>
        <w:tc>
          <w:tcPr>
            <w:tcW w:w="1692" w:type="dxa"/>
            <w:shd w:val="clear" w:color="auto" w:fill="auto"/>
            <w:noWrap/>
            <w:vAlign w:val="center"/>
            <w:hideMark/>
          </w:tcPr>
          <w:p w14:paraId="756F29C5"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267.85 ± 22.63</w:t>
            </w:r>
          </w:p>
        </w:tc>
        <w:tc>
          <w:tcPr>
            <w:tcW w:w="1816" w:type="dxa"/>
            <w:vAlign w:val="center"/>
          </w:tcPr>
          <w:p w14:paraId="44A2544A" w14:textId="30D5AB75"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1.342</w:t>
            </w:r>
            <w:r w:rsidRPr="00DD1BD7">
              <w:rPr>
                <w:rFonts w:ascii="Arial" w:hAnsi="Arial"/>
                <w:sz w:val="20"/>
                <w:szCs w:val="20"/>
                <w:vertAlign w:val="superscript"/>
                <w:lang w:val="en-IN"/>
              </w:rPr>
              <w:t>ns</w:t>
            </w:r>
            <w:r w:rsidRPr="00DD1BD7">
              <w:rPr>
                <w:rFonts w:ascii="Arial" w:hAnsi="Arial"/>
                <w:sz w:val="20"/>
                <w:szCs w:val="20"/>
                <w:lang w:val="en-IN"/>
              </w:rPr>
              <w:t xml:space="preserve"> </w:t>
            </w:r>
            <w:r w:rsidRPr="008A54F0">
              <w:rPr>
                <w:rFonts w:ascii="Arial" w:hAnsi="Arial"/>
                <w:b/>
                <w:bCs/>
                <w:i/>
                <w:iCs/>
                <w:sz w:val="20"/>
                <w:szCs w:val="20"/>
                <w:lang w:val="en-IN"/>
              </w:rPr>
              <w:t>(.190)</w:t>
            </w:r>
          </w:p>
        </w:tc>
      </w:tr>
      <w:tr w:rsidR="00DD1BD7" w:rsidRPr="00DD1BD7" w14:paraId="56DD9A21" w14:textId="77777777" w:rsidTr="00151749">
        <w:trPr>
          <w:trHeight w:val="432"/>
          <w:jc w:val="center"/>
        </w:trPr>
        <w:tc>
          <w:tcPr>
            <w:tcW w:w="3175" w:type="dxa"/>
            <w:shd w:val="clear" w:color="auto" w:fill="auto"/>
            <w:noWrap/>
            <w:vAlign w:val="center"/>
            <w:hideMark/>
          </w:tcPr>
          <w:p w14:paraId="69A79B38"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PLR</w:t>
            </w:r>
          </w:p>
        </w:tc>
        <w:tc>
          <w:tcPr>
            <w:tcW w:w="1661" w:type="dxa"/>
            <w:shd w:val="clear" w:color="auto" w:fill="auto"/>
            <w:noWrap/>
            <w:vAlign w:val="center"/>
            <w:hideMark/>
          </w:tcPr>
          <w:p w14:paraId="5DFAA682"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90.21 ± 16.65</w:t>
            </w:r>
          </w:p>
        </w:tc>
        <w:tc>
          <w:tcPr>
            <w:tcW w:w="1692" w:type="dxa"/>
            <w:shd w:val="clear" w:color="auto" w:fill="auto"/>
            <w:noWrap/>
            <w:vAlign w:val="center"/>
            <w:hideMark/>
          </w:tcPr>
          <w:p w14:paraId="73D2AA08"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169.15 ± 16.14</w:t>
            </w:r>
          </w:p>
        </w:tc>
        <w:tc>
          <w:tcPr>
            <w:tcW w:w="1816" w:type="dxa"/>
            <w:vAlign w:val="center"/>
          </w:tcPr>
          <w:p w14:paraId="73D1E8D1" w14:textId="101F8218"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 xml:space="preserve">3.263** </w:t>
            </w:r>
            <w:r w:rsidRPr="008A54F0">
              <w:rPr>
                <w:rFonts w:ascii="Arial" w:hAnsi="Arial"/>
                <w:b/>
                <w:bCs/>
                <w:i/>
                <w:iCs/>
                <w:sz w:val="20"/>
                <w:szCs w:val="20"/>
                <w:lang w:val="en-IN"/>
              </w:rPr>
              <w:t>(.003)</w:t>
            </w:r>
          </w:p>
        </w:tc>
      </w:tr>
      <w:tr w:rsidR="00DD1BD7" w:rsidRPr="00DD1BD7" w14:paraId="2FC2B8ED" w14:textId="77777777" w:rsidTr="00151749">
        <w:trPr>
          <w:trHeight w:val="432"/>
          <w:jc w:val="center"/>
        </w:trPr>
        <w:tc>
          <w:tcPr>
            <w:tcW w:w="3175" w:type="dxa"/>
            <w:shd w:val="clear" w:color="auto" w:fill="auto"/>
            <w:noWrap/>
            <w:vAlign w:val="center"/>
            <w:hideMark/>
          </w:tcPr>
          <w:p w14:paraId="0E6EB5BD" w14:textId="702D95E6"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Systemic</w:t>
            </w:r>
            <w:r w:rsidR="008C49FF">
              <w:rPr>
                <w:rFonts w:ascii="Arial" w:hAnsi="Arial"/>
                <w:sz w:val="20"/>
                <w:szCs w:val="20"/>
                <w:lang w:val="en-IN"/>
              </w:rPr>
              <w:t xml:space="preserve"> </w:t>
            </w:r>
            <w:r w:rsidRPr="00DD1BD7">
              <w:rPr>
                <w:rFonts w:ascii="Arial" w:hAnsi="Arial"/>
                <w:sz w:val="20"/>
                <w:szCs w:val="20"/>
                <w:lang w:val="en-IN"/>
              </w:rPr>
              <w:t>immune</w:t>
            </w:r>
            <w:r w:rsidR="008C49FF">
              <w:rPr>
                <w:rFonts w:ascii="Arial" w:hAnsi="Arial"/>
                <w:sz w:val="20"/>
                <w:szCs w:val="20"/>
                <w:lang w:val="en-IN"/>
              </w:rPr>
              <w:t xml:space="preserve"> </w:t>
            </w:r>
            <w:r w:rsidRPr="00DD1BD7">
              <w:rPr>
                <w:rFonts w:ascii="Arial" w:hAnsi="Arial"/>
                <w:sz w:val="20"/>
                <w:szCs w:val="20"/>
                <w:lang w:val="en-IN"/>
              </w:rPr>
              <w:t xml:space="preserve">inflammatory </w:t>
            </w:r>
            <w:r w:rsidR="008C49FF">
              <w:rPr>
                <w:rFonts w:ascii="Arial" w:hAnsi="Arial"/>
                <w:sz w:val="20"/>
                <w:szCs w:val="20"/>
                <w:lang w:val="en-IN"/>
              </w:rPr>
              <w:t>I</w:t>
            </w:r>
            <w:r w:rsidRPr="00DD1BD7">
              <w:rPr>
                <w:rFonts w:ascii="Arial" w:hAnsi="Arial"/>
                <w:sz w:val="20"/>
                <w:szCs w:val="20"/>
                <w:lang w:val="en-IN"/>
              </w:rPr>
              <w:t>ndex</w:t>
            </w:r>
            <w:r w:rsidR="008C49FF">
              <w:rPr>
                <w:rFonts w:ascii="Arial" w:hAnsi="Arial"/>
                <w:sz w:val="20"/>
                <w:szCs w:val="20"/>
                <w:lang w:val="en-IN"/>
              </w:rPr>
              <w:t xml:space="preserve"> (SII)</w:t>
            </w:r>
          </w:p>
        </w:tc>
        <w:tc>
          <w:tcPr>
            <w:tcW w:w="1661" w:type="dxa"/>
            <w:shd w:val="clear" w:color="auto" w:fill="auto"/>
            <w:noWrap/>
            <w:vAlign w:val="center"/>
            <w:hideMark/>
          </w:tcPr>
          <w:p w14:paraId="483ECDA8" w14:textId="5B33FF73" w:rsidR="00DD1BD7" w:rsidRPr="00DD1BD7" w:rsidRDefault="00DD1BD7" w:rsidP="00A348D5">
            <w:pPr>
              <w:pStyle w:val="BodyText3"/>
              <w:tabs>
                <w:tab w:val="left" w:pos="1080"/>
              </w:tabs>
              <w:spacing w:line="480" w:lineRule="auto"/>
              <w:jc w:val="both"/>
              <w:rPr>
                <w:rFonts w:ascii="Arial" w:hAnsi="Arial"/>
                <w:sz w:val="20"/>
                <w:szCs w:val="20"/>
                <w:lang w:val="en-IN"/>
              </w:rPr>
            </w:pPr>
            <w:r w:rsidRPr="00DD1BD7">
              <w:rPr>
                <w:rFonts w:ascii="Arial" w:hAnsi="Arial"/>
                <w:sz w:val="20"/>
                <w:szCs w:val="20"/>
                <w:lang w:val="en-IN"/>
              </w:rPr>
              <w:t>1617.17±361.93</w:t>
            </w:r>
          </w:p>
        </w:tc>
        <w:tc>
          <w:tcPr>
            <w:tcW w:w="1692" w:type="dxa"/>
            <w:shd w:val="clear" w:color="auto" w:fill="auto"/>
            <w:noWrap/>
            <w:vAlign w:val="center"/>
            <w:hideMark/>
          </w:tcPr>
          <w:p w14:paraId="2C647023" w14:textId="77777777"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853.02 ± 53.9</w:t>
            </w:r>
          </w:p>
        </w:tc>
        <w:tc>
          <w:tcPr>
            <w:tcW w:w="1816" w:type="dxa"/>
            <w:vAlign w:val="center"/>
          </w:tcPr>
          <w:p w14:paraId="242EBAD8" w14:textId="23CE9D59" w:rsidR="00DD1BD7" w:rsidRPr="00DD1BD7" w:rsidRDefault="00DD1BD7" w:rsidP="006847C6">
            <w:pPr>
              <w:pStyle w:val="BodyText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 xml:space="preserve">2.088* </w:t>
            </w:r>
            <w:r w:rsidRPr="008A54F0">
              <w:rPr>
                <w:rFonts w:ascii="Arial" w:hAnsi="Arial"/>
                <w:b/>
                <w:bCs/>
                <w:i/>
                <w:iCs/>
                <w:sz w:val="20"/>
                <w:szCs w:val="20"/>
                <w:lang w:val="en-IN"/>
              </w:rPr>
              <w:t>(.050)</w:t>
            </w:r>
          </w:p>
        </w:tc>
      </w:tr>
    </w:tbl>
    <w:p w14:paraId="67C962D9" w14:textId="5E02F262" w:rsidR="00DD1BD7" w:rsidRDefault="00DD1BD7" w:rsidP="00DD1BD7">
      <w:pPr>
        <w:pStyle w:val="BodyText3"/>
        <w:tabs>
          <w:tab w:val="left" w:pos="1080"/>
        </w:tabs>
        <w:spacing w:after="0"/>
        <w:ind w:left="1080" w:hanging="1080"/>
        <w:jc w:val="both"/>
        <w:rPr>
          <w:rFonts w:ascii="Arial" w:hAnsi="Arial"/>
          <w:b/>
          <w:bCs/>
          <w:sz w:val="20"/>
          <w:szCs w:val="20"/>
        </w:rPr>
      </w:pPr>
    </w:p>
    <w:p w14:paraId="32196FC5" w14:textId="22B0363C" w:rsidR="00DD1BD7" w:rsidRPr="008C49FF" w:rsidRDefault="008C49FF" w:rsidP="00DD1BD7">
      <w:pPr>
        <w:pStyle w:val="BodyText3"/>
        <w:tabs>
          <w:tab w:val="left" w:pos="1080"/>
        </w:tabs>
        <w:spacing w:after="0"/>
        <w:ind w:left="1080" w:hanging="1080"/>
        <w:jc w:val="both"/>
        <w:rPr>
          <w:rFonts w:ascii="Arial" w:hAnsi="Arial"/>
          <w:sz w:val="18"/>
          <w:szCs w:val="18"/>
        </w:rPr>
      </w:pPr>
      <w:r w:rsidRPr="008C49FF">
        <w:rPr>
          <w:rFonts w:ascii="Arial" w:hAnsi="Arial"/>
          <w:i/>
          <w:iCs/>
          <w:sz w:val="18"/>
          <w:szCs w:val="18"/>
        </w:rPr>
        <w:t>** Significant at 0.01 level; * Significant at 0.05 level; ns non-significant</w:t>
      </w:r>
    </w:p>
    <w:p w14:paraId="1FF1271E" w14:textId="7FC06E65" w:rsidR="00DD1BD7" w:rsidRDefault="00DD1BD7" w:rsidP="00DD1BD7">
      <w:pPr>
        <w:pStyle w:val="BodyText3"/>
        <w:tabs>
          <w:tab w:val="left" w:pos="1080"/>
        </w:tabs>
        <w:spacing w:after="0"/>
        <w:ind w:left="1080" w:hanging="1080"/>
        <w:jc w:val="both"/>
        <w:rPr>
          <w:rFonts w:ascii="Arial" w:hAnsi="Arial"/>
          <w:b/>
          <w:bCs/>
          <w:sz w:val="20"/>
          <w:szCs w:val="20"/>
        </w:rPr>
      </w:pPr>
    </w:p>
    <w:p w14:paraId="14580CC2" w14:textId="5EE711D3" w:rsidR="00DD1BD7" w:rsidRPr="007A211E" w:rsidRDefault="00DD1BD7" w:rsidP="00DD1BD7">
      <w:pPr>
        <w:pStyle w:val="BodyText3"/>
        <w:tabs>
          <w:tab w:val="left" w:pos="1080"/>
        </w:tabs>
        <w:spacing w:after="0"/>
        <w:ind w:left="1080" w:hanging="1080"/>
        <w:jc w:val="both"/>
        <w:rPr>
          <w:rFonts w:ascii="Arial" w:hAnsi="Arial"/>
          <w:b/>
          <w:bCs/>
          <w:sz w:val="20"/>
          <w:szCs w:val="20"/>
        </w:rPr>
      </w:pPr>
    </w:p>
    <w:p w14:paraId="0C74D6C8" w14:textId="77777777" w:rsidR="007A211E" w:rsidRPr="007A211E" w:rsidRDefault="007A211E" w:rsidP="007A211E">
      <w:pPr>
        <w:pStyle w:val="BodyText3"/>
        <w:tabs>
          <w:tab w:val="left" w:pos="1080"/>
        </w:tabs>
        <w:spacing w:after="0"/>
        <w:ind w:left="1080" w:hanging="1080"/>
        <w:jc w:val="both"/>
        <w:rPr>
          <w:rFonts w:ascii="Arial" w:hAnsi="Arial"/>
          <w:b/>
          <w:bCs/>
        </w:rPr>
      </w:pPr>
      <w:r w:rsidRPr="007A211E">
        <w:rPr>
          <w:rFonts w:ascii="Arial" w:hAnsi="Arial"/>
          <w:b/>
          <w:bCs/>
          <w:sz w:val="20"/>
          <w:szCs w:val="20"/>
        </w:rPr>
        <w:t>Table 3. Comparison of different parameters between group I and group II</w:t>
      </w:r>
    </w:p>
    <w:p w14:paraId="61A3BEAA" w14:textId="0258AA5E" w:rsidR="00DD1BD7" w:rsidRDefault="00DD1BD7" w:rsidP="00DD1BD7">
      <w:pPr>
        <w:pStyle w:val="BodyText3"/>
        <w:tabs>
          <w:tab w:val="left" w:pos="1080"/>
        </w:tabs>
        <w:spacing w:after="0"/>
        <w:ind w:left="1080" w:hanging="1080"/>
        <w:jc w:val="both"/>
        <w:rPr>
          <w:rFonts w:ascii="Arial" w:hAnsi="Arial"/>
          <w:b/>
          <w:bCs/>
          <w:sz w:val="20"/>
          <w:szCs w:val="20"/>
        </w:rPr>
      </w:pPr>
    </w:p>
    <w:tbl>
      <w:tblPr>
        <w:tblW w:w="8208" w:type="dxa"/>
        <w:jc w:val="center"/>
        <w:tblBorders>
          <w:top w:val="single" w:sz="4" w:space="0" w:color="auto"/>
          <w:bottom w:val="single" w:sz="4" w:space="0" w:color="auto"/>
        </w:tblBorders>
        <w:tblLook w:val="04A0" w:firstRow="1" w:lastRow="0" w:firstColumn="1" w:lastColumn="0" w:noHBand="0" w:noVBand="1"/>
      </w:tblPr>
      <w:tblGrid>
        <w:gridCol w:w="2568"/>
        <w:gridCol w:w="1873"/>
        <w:gridCol w:w="1873"/>
        <w:gridCol w:w="1894"/>
      </w:tblGrid>
      <w:tr w:rsidR="007A211E" w:rsidRPr="007A211E" w14:paraId="3DCAF94F" w14:textId="77777777" w:rsidTr="007A211E">
        <w:trPr>
          <w:trHeight w:val="432"/>
          <w:jc w:val="center"/>
        </w:trPr>
        <w:tc>
          <w:tcPr>
            <w:tcW w:w="2568" w:type="dxa"/>
            <w:tcBorders>
              <w:top w:val="single" w:sz="4" w:space="0" w:color="auto"/>
              <w:bottom w:val="single" w:sz="4" w:space="0" w:color="auto"/>
            </w:tcBorders>
            <w:shd w:val="clear" w:color="auto" w:fill="auto"/>
            <w:noWrap/>
            <w:vAlign w:val="center"/>
            <w:hideMark/>
          </w:tcPr>
          <w:p w14:paraId="074B0B41" w14:textId="77777777" w:rsidR="007A211E" w:rsidRPr="007A211E" w:rsidRDefault="007A211E" w:rsidP="00121EB5">
            <w:pPr>
              <w:pStyle w:val="BodyText3"/>
              <w:tabs>
                <w:tab w:val="left" w:pos="1080"/>
              </w:tabs>
              <w:spacing w:line="480" w:lineRule="auto"/>
              <w:ind w:left="1077" w:hanging="1077"/>
              <w:jc w:val="both"/>
              <w:rPr>
                <w:rFonts w:ascii="Arial" w:hAnsi="Arial"/>
                <w:b/>
                <w:bCs/>
                <w:sz w:val="20"/>
                <w:szCs w:val="20"/>
                <w:lang w:val="en-IN"/>
              </w:rPr>
            </w:pPr>
            <w:r w:rsidRPr="007A211E">
              <w:rPr>
                <w:rFonts w:ascii="Arial" w:hAnsi="Arial"/>
                <w:b/>
                <w:bCs/>
                <w:sz w:val="20"/>
                <w:szCs w:val="20"/>
                <w:lang w:val="en-IN"/>
              </w:rPr>
              <w:t>Variable</w:t>
            </w:r>
          </w:p>
        </w:tc>
        <w:tc>
          <w:tcPr>
            <w:tcW w:w="1873" w:type="dxa"/>
            <w:tcBorders>
              <w:top w:val="single" w:sz="4" w:space="0" w:color="auto"/>
              <w:bottom w:val="single" w:sz="4" w:space="0" w:color="auto"/>
            </w:tcBorders>
            <w:shd w:val="clear" w:color="auto" w:fill="auto"/>
            <w:noWrap/>
            <w:vAlign w:val="center"/>
            <w:hideMark/>
          </w:tcPr>
          <w:p w14:paraId="64FB6107" w14:textId="77777777" w:rsidR="007A211E" w:rsidRPr="007A211E" w:rsidRDefault="007A211E" w:rsidP="00121EB5">
            <w:pPr>
              <w:pStyle w:val="BodyText3"/>
              <w:tabs>
                <w:tab w:val="left" w:pos="1080"/>
              </w:tabs>
              <w:spacing w:line="480" w:lineRule="auto"/>
              <w:ind w:left="1077" w:hanging="1077"/>
              <w:jc w:val="both"/>
              <w:rPr>
                <w:rFonts w:ascii="Arial" w:hAnsi="Arial"/>
                <w:b/>
                <w:bCs/>
                <w:sz w:val="20"/>
                <w:szCs w:val="20"/>
                <w:lang w:val="en-IN"/>
              </w:rPr>
            </w:pPr>
            <w:r w:rsidRPr="007A211E">
              <w:rPr>
                <w:rFonts w:ascii="Arial" w:hAnsi="Arial"/>
                <w:b/>
                <w:bCs/>
                <w:sz w:val="20"/>
                <w:szCs w:val="20"/>
                <w:lang w:val="en-IN"/>
              </w:rPr>
              <w:t>Group I</w:t>
            </w:r>
          </w:p>
        </w:tc>
        <w:tc>
          <w:tcPr>
            <w:tcW w:w="1873" w:type="dxa"/>
            <w:tcBorders>
              <w:top w:val="single" w:sz="4" w:space="0" w:color="auto"/>
              <w:bottom w:val="single" w:sz="4" w:space="0" w:color="auto"/>
            </w:tcBorders>
            <w:vAlign w:val="center"/>
          </w:tcPr>
          <w:p w14:paraId="1AC62E06" w14:textId="77777777" w:rsidR="007A211E" w:rsidRPr="007A211E" w:rsidRDefault="007A211E" w:rsidP="00121EB5">
            <w:pPr>
              <w:pStyle w:val="BodyText3"/>
              <w:tabs>
                <w:tab w:val="left" w:pos="1080"/>
              </w:tabs>
              <w:spacing w:line="480" w:lineRule="auto"/>
              <w:ind w:left="1077" w:hanging="1077"/>
              <w:jc w:val="both"/>
              <w:rPr>
                <w:rFonts w:ascii="Arial" w:hAnsi="Arial"/>
                <w:b/>
                <w:bCs/>
                <w:sz w:val="20"/>
                <w:szCs w:val="20"/>
                <w:lang w:val="en-IN"/>
              </w:rPr>
            </w:pPr>
            <w:r w:rsidRPr="007A211E">
              <w:rPr>
                <w:rFonts w:ascii="Arial" w:hAnsi="Arial"/>
                <w:b/>
                <w:bCs/>
                <w:sz w:val="20"/>
                <w:szCs w:val="20"/>
                <w:lang w:val="en-IN"/>
              </w:rPr>
              <w:t>Group II</w:t>
            </w:r>
          </w:p>
        </w:tc>
        <w:tc>
          <w:tcPr>
            <w:tcW w:w="1894" w:type="dxa"/>
            <w:tcBorders>
              <w:top w:val="single" w:sz="4" w:space="0" w:color="auto"/>
              <w:bottom w:val="single" w:sz="4" w:space="0" w:color="auto"/>
            </w:tcBorders>
          </w:tcPr>
          <w:p w14:paraId="1EB26B4C" w14:textId="2C46688C" w:rsidR="007A211E" w:rsidRPr="007A211E" w:rsidRDefault="007A211E" w:rsidP="00121EB5">
            <w:pPr>
              <w:pStyle w:val="BodyText3"/>
              <w:tabs>
                <w:tab w:val="left" w:pos="1080"/>
              </w:tabs>
              <w:spacing w:line="480" w:lineRule="auto"/>
              <w:ind w:left="1077" w:hanging="1077"/>
              <w:jc w:val="both"/>
              <w:rPr>
                <w:rFonts w:ascii="Arial" w:hAnsi="Arial"/>
                <w:b/>
                <w:bCs/>
                <w:sz w:val="20"/>
                <w:szCs w:val="20"/>
                <w:lang w:val="en-IN"/>
              </w:rPr>
            </w:pPr>
            <w:r w:rsidRPr="007A211E">
              <w:rPr>
                <w:rFonts w:ascii="Arial" w:hAnsi="Arial"/>
                <w:b/>
                <w:bCs/>
                <w:sz w:val="20"/>
                <w:szCs w:val="20"/>
                <w:lang w:val="en-IN"/>
              </w:rPr>
              <w:t>t-value</w:t>
            </w:r>
            <w:r w:rsidR="0087731C">
              <w:rPr>
                <w:rFonts w:ascii="Arial" w:hAnsi="Arial"/>
                <w:b/>
                <w:bCs/>
                <w:sz w:val="20"/>
                <w:szCs w:val="20"/>
                <w:lang w:val="en-IN"/>
              </w:rPr>
              <w:t xml:space="preserve"> </w:t>
            </w:r>
            <w:r w:rsidRPr="007A211E">
              <w:rPr>
                <w:rFonts w:ascii="Arial" w:hAnsi="Arial"/>
                <w:b/>
                <w:bCs/>
                <w:sz w:val="20"/>
                <w:szCs w:val="20"/>
                <w:lang w:val="en-IN"/>
              </w:rPr>
              <w:t>(P-value)</w:t>
            </w:r>
          </w:p>
        </w:tc>
      </w:tr>
      <w:tr w:rsidR="007A211E" w:rsidRPr="007A211E" w14:paraId="211B2C5A" w14:textId="77777777" w:rsidTr="007A211E">
        <w:trPr>
          <w:trHeight w:val="432"/>
          <w:jc w:val="center"/>
        </w:trPr>
        <w:tc>
          <w:tcPr>
            <w:tcW w:w="2568" w:type="dxa"/>
            <w:tcBorders>
              <w:top w:val="single" w:sz="4" w:space="0" w:color="auto"/>
            </w:tcBorders>
            <w:shd w:val="clear" w:color="auto" w:fill="auto"/>
            <w:noWrap/>
            <w:vAlign w:val="center"/>
            <w:hideMark/>
          </w:tcPr>
          <w:p w14:paraId="2ECB161B"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TLC</w:t>
            </w:r>
          </w:p>
        </w:tc>
        <w:tc>
          <w:tcPr>
            <w:tcW w:w="1873" w:type="dxa"/>
            <w:tcBorders>
              <w:top w:val="single" w:sz="4" w:space="0" w:color="auto"/>
            </w:tcBorders>
            <w:shd w:val="clear" w:color="auto" w:fill="auto"/>
            <w:noWrap/>
            <w:vAlign w:val="center"/>
            <w:hideMark/>
          </w:tcPr>
          <w:p w14:paraId="401BCB72"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27.99 ± 5.36</w:t>
            </w:r>
          </w:p>
        </w:tc>
        <w:tc>
          <w:tcPr>
            <w:tcW w:w="1873" w:type="dxa"/>
            <w:tcBorders>
              <w:top w:val="single" w:sz="4" w:space="0" w:color="auto"/>
            </w:tcBorders>
            <w:vAlign w:val="center"/>
          </w:tcPr>
          <w:p w14:paraId="0558B2C1"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28.25 ± 5.22</w:t>
            </w:r>
          </w:p>
        </w:tc>
        <w:tc>
          <w:tcPr>
            <w:tcW w:w="1894" w:type="dxa"/>
            <w:tcBorders>
              <w:top w:val="single" w:sz="4" w:space="0" w:color="auto"/>
            </w:tcBorders>
            <w:vAlign w:val="center"/>
          </w:tcPr>
          <w:p w14:paraId="36CE3D87" w14:textId="0AFE2E3D"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0.034</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(.973)</w:t>
            </w:r>
          </w:p>
        </w:tc>
      </w:tr>
      <w:tr w:rsidR="007A211E" w:rsidRPr="007A211E" w14:paraId="49290F20" w14:textId="77777777" w:rsidTr="007A211E">
        <w:trPr>
          <w:trHeight w:val="432"/>
          <w:jc w:val="center"/>
        </w:trPr>
        <w:tc>
          <w:tcPr>
            <w:tcW w:w="2568" w:type="dxa"/>
            <w:shd w:val="clear" w:color="auto" w:fill="auto"/>
            <w:noWrap/>
            <w:vAlign w:val="center"/>
            <w:hideMark/>
          </w:tcPr>
          <w:p w14:paraId="2A81370A"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Neutrophil count</w:t>
            </w:r>
          </w:p>
        </w:tc>
        <w:tc>
          <w:tcPr>
            <w:tcW w:w="1873" w:type="dxa"/>
            <w:shd w:val="clear" w:color="auto" w:fill="auto"/>
            <w:noWrap/>
            <w:vAlign w:val="center"/>
            <w:hideMark/>
          </w:tcPr>
          <w:p w14:paraId="3A2932E8" w14:textId="54CCFB4C" w:rsidR="007A211E" w:rsidRPr="007A211E" w:rsidRDefault="007A211E" w:rsidP="00A348D5">
            <w:pPr>
              <w:pStyle w:val="BodyText3"/>
              <w:tabs>
                <w:tab w:val="left" w:pos="1080"/>
              </w:tabs>
              <w:spacing w:line="480" w:lineRule="auto"/>
              <w:jc w:val="both"/>
              <w:rPr>
                <w:rFonts w:ascii="Arial" w:hAnsi="Arial"/>
                <w:sz w:val="20"/>
                <w:szCs w:val="20"/>
                <w:lang w:val="en-IN"/>
              </w:rPr>
            </w:pPr>
            <w:r w:rsidRPr="007A211E">
              <w:rPr>
                <w:rFonts w:ascii="Arial" w:hAnsi="Arial"/>
                <w:sz w:val="20"/>
                <w:szCs w:val="20"/>
                <w:lang w:val="en-IN"/>
              </w:rPr>
              <w:t>20.47± 3.92</w:t>
            </w:r>
          </w:p>
        </w:tc>
        <w:tc>
          <w:tcPr>
            <w:tcW w:w="1873" w:type="dxa"/>
            <w:vAlign w:val="center"/>
          </w:tcPr>
          <w:p w14:paraId="5992B191"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23.46 ± 4.51</w:t>
            </w:r>
          </w:p>
        </w:tc>
        <w:tc>
          <w:tcPr>
            <w:tcW w:w="1894" w:type="dxa"/>
            <w:vAlign w:val="center"/>
          </w:tcPr>
          <w:p w14:paraId="6BB2E5DC" w14:textId="54408C5C"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0.485</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(.631)</w:t>
            </w:r>
          </w:p>
        </w:tc>
      </w:tr>
      <w:tr w:rsidR="007A211E" w:rsidRPr="007A211E" w14:paraId="43D0B6F7" w14:textId="77777777" w:rsidTr="007A211E">
        <w:trPr>
          <w:trHeight w:val="432"/>
          <w:jc w:val="center"/>
        </w:trPr>
        <w:tc>
          <w:tcPr>
            <w:tcW w:w="2568" w:type="dxa"/>
            <w:shd w:val="clear" w:color="auto" w:fill="auto"/>
            <w:noWrap/>
            <w:vAlign w:val="center"/>
            <w:hideMark/>
          </w:tcPr>
          <w:p w14:paraId="47360F2C"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Lymphocyte count</w:t>
            </w:r>
          </w:p>
        </w:tc>
        <w:tc>
          <w:tcPr>
            <w:tcW w:w="1873" w:type="dxa"/>
            <w:shd w:val="clear" w:color="auto" w:fill="auto"/>
            <w:noWrap/>
            <w:vAlign w:val="center"/>
            <w:hideMark/>
          </w:tcPr>
          <w:p w14:paraId="7FF0EEEF"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3.94 ± 0.91</w:t>
            </w:r>
          </w:p>
        </w:tc>
        <w:tc>
          <w:tcPr>
            <w:tcW w:w="1873" w:type="dxa"/>
            <w:vAlign w:val="center"/>
          </w:tcPr>
          <w:p w14:paraId="590B52DD"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3.29 ± 0.59</w:t>
            </w:r>
          </w:p>
        </w:tc>
        <w:tc>
          <w:tcPr>
            <w:tcW w:w="1894" w:type="dxa"/>
            <w:vAlign w:val="center"/>
          </w:tcPr>
          <w:p w14:paraId="2276D4DC" w14:textId="4B559A16"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0.617</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(.541)</w:t>
            </w:r>
          </w:p>
        </w:tc>
      </w:tr>
      <w:tr w:rsidR="007A211E" w:rsidRPr="007A211E" w14:paraId="1409BAFE" w14:textId="77777777" w:rsidTr="007A211E">
        <w:trPr>
          <w:trHeight w:val="432"/>
          <w:jc w:val="center"/>
        </w:trPr>
        <w:tc>
          <w:tcPr>
            <w:tcW w:w="2568" w:type="dxa"/>
            <w:shd w:val="clear" w:color="auto" w:fill="auto"/>
            <w:noWrap/>
            <w:vAlign w:val="center"/>
            <w:hideMark/>
          </w:tcPr>
          <w:p w14:paraId="390800AA"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NLR</w:t>
            </w:r>
          </w:p>
        </w:tc>
        <w:tc>
          <w:tcPr>
            <w:tcW w:w="1873" w:type="dxa"/>
            <w:shd w:val="clear" w:color="auto" w:fill="auto"/>
            <w:noWrap/>
            <w:vAlign w:val="center"/>
            <w:hideMark/>
          </w:tcPr>
          <w:p w14:paraId="030E58EC"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6.3 ± 0.93</w:t>
            </w:r>
          </w:p>
        </w:tc>
        <w:tc>
          <w:tcPr>
            <w:tcW w:w="1873" w:type="dxa"/>
            <w:vAlign w:val="center"/>
          </w:tcPr>
          <w:p w14:paraId="5875FD12"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8.09 ± 0.86</w:t>
            </w:r>
          </w:p>
        </w:tc>
        <w:tc>
          <w:tcPr>
            <w:tcW w:w="1894" w:type="dxa"/>
            <w:vAlign w:val="center"/>
          </w:tcPr>
          <w:p w14:paraId="417A833E" w14:textId="2E0510B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1.411</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(.168)</w:t>
            </w:r>
          </w:p>
        </w:tc>
      </w:tr>
      <w:tr w:rsidR="007A211E" w:rsidRPr="007A211E" w14:paraId="1C2D6793" w14:textId="77777777" w:rsidTr="007A211E">
        <w:trPr>
          <w:trHeight w:val="432"/>
          <w:jc w:val="center"/>
        </w:trPr>
        <w:tc>
          <w:tcPr>
            <w:tcW w:w="2568" w:type="dxa"/>
            <w:shd w:val="clear" w:color="auto" w:fill="auto"/>
            <w:noWrap/>
            <w:vAlign w:val="center"/>
            <w:hideMark/>
          </w:tcPr>
          <w:p w14:paraId="5457511A"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Platelet count</w:t>
            </w:r>
          </w:p>
        </w:tc>
        <w:tc>
          <w:tcPr>
            <w:tcW w:w="1873" w:type="dxa"/>
            <w:shd w:val="clear" w:color="auto" w:fill="auto"/>
            <w:noWrap/>
            <w:vAlign w:val="center"/>
            <w:hideMark/>
          </w:tcPr>
          <w:p w14:paraId="34CF4071"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250.27 ± 53.37</w:t>
            </w:r>
          </w:p>
        </w:tc>
        <w:tc>
          <w:tcPr>
            <w:tcW w:w="1873" w:type="dxa"/>
            <w:vAlign w:val="center"/>
          </w:tcPr>
          <w:p w14:paraId="0DE7FB68"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205.11 ± 35.3</w:t>
            </w:r>
          </w:p>
        </w:tc>
        <w:tc>
          <w:tcPr>
            <w:tcW w:w="1894" w:type="dxa"/>
            <w:vAlign w:val="center"/>
          </w:tcPr>
          <w:p w14:paraId="17A47BC8" w14:textId="135F045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0.731</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(.470)</w:t>
            </w:r>
          </w:p>
        </w:tc>
      </w:tr>
      <w:tr w:rsidR="007A211E" w:rsidRPr="007A211E" w14:paraId="47B1ADF3" w14:textId="77777777" w:rsidTr="007A211E">
        <w:trPr>
          <w:trHeight w:val="432"/>
          <w:jc w:val="center"/>
        </w:trPr>
        <w:tc>
          <w:tcPr>
            <w:tcW w:w="2568" w:type="dxa"/>
            <w:shd w:val="clear" w:color="auto" w:fill="auto"/>
            <w:noWrap/>
            <w:vAlign w:val="center"/>
            <w:hideMark/>
          </w:tcPr>
          <w:p w14:paraId="14EB238F"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PLR</w:t>
            </w:r>
          </w:p>
        </w:tc>
        <w:tc>
          <w:tcPr>
            <w:tcW w:w="1873" w:type="dxa"/>
            <w:shd w:val="clear" w:color="auto" w:fill="auto"/>
            <w:noWrap/>
            <w:vAlign w:val="center"/>
            <w:hideMark/>
          </w:tcPr>
          <w:p w14:paraId="1BBFDE6C"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110.6 ± 23.89</w:t>
            </w:r>
          </w:p>
        </w:tc>
        <w:tc>
          <w:tcPr>
            <w:tcW w:w="1873" w:type="dxa"/>
            <w:vAlign w:val="center"/>
          </w:tcPr>
          <w:p w14:paraId="2AC494ED"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90.21 ± 16.65</w:t>
            </w:r>
          </w:p>
        </w:tc>
        <w:tc>
          <w:tcPr>
            <w:tcW w:w="1894" w:type="dxa"/>
            <w:vAlign w:val="center"/>
          </w:tcPr>
          <w:p w14:paraId="52920AB5" w14:textId="3F363880"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0.721</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(.476)</w:t>
            </w:r>
          </w:p>
        </w:tc>
      </w:tr>
      <w:tr w:rsidR="007A211E" w:rsidRPr="007A211E" w14:paraId="4E3AA8CD" w14:textId="77777777" w:rsidTr="007A211E">
        <w:trPr>
          <w:trHeight w:val="432"/>
          <w:jc w:val="center"/>
        </w:trPr>
        <w:tc>
          <w:tcPr>
            <w:tcW w:w="2568" w:type="dxa"/>
            <w:shd w:val="clear" w:color="auto" w:fill="auto"/>
            <w:noWrap/>
            <w:vAlign w:val="center"/>
            <w:hideMark/>
          </w:tcPr>
          <w:p w14:paraId="066B2836" w14:textId="6B34020D" w:rsidR="007A211E" w:rsidRPr="007A211E" w:rsidRDefault="007A211E" w:rsidP="00121EB5">
            <w:pPr>
              <w:pStyle w:val="BodyText3"/>
              <w:tabs>
                <w:tab w:val="left" w:pos="1080"/>
              </w:tabs>
              <w:spacing w:line="480" w:lineRule="auto"/>
              <w:ind w:left="1077" w:hanging="1077"/>
              <w:rPr>
                <w:rFonts w:ascii="Arial" w:hAnsi="Arial"/>
                <w:sz w:val="20"/>
                <w:szCs w:val="20"/>
                <w:lang w:val="en-IN"/>
              </w:rPr>
            </w:pPr>
            <w:r w:rsidRPr="007A211E">
              <w:rPr>
                <w:rFonts w:ascii="Arial" w:hAnsi="Arial"/>
                <w:sz w:val="20"/>
                <w:szCs w:val="20"/>
                <w:lang w:val="en-IN"/>
              </w:rPr>
              <w:t xml:space="preserve">Systemic immune </w:t>
            </w:r>
            <w:proofErr w:type="gramStart"/>
            <w:r w:rsidRPr="007A211E">
              <w:rPr>
                <w:rFonts w:ascii="Arial" w:hAnsi="Arial"/>
                <w:sz w:val="20"/>
                <w:szCs w:val="20"/>
                <w:lang w:val="en-IN"/>
              </w:rPr>
              <w:t>inflammatory  index</w:t>
            </w:r>
            <w:proofErr w:type="gramEnd"/>
          </w:p>
        </w:tc>
        <w:tc>
          <w:tcPr>
            <w:tcW w:w="1873" w:type="dxa"/>
            <w:shd w:val="clear" w:color="auto" w:fill="auto"/>
            <w:noWrap/>
            <w:vAlign w:val="center"/>
            <w:hideMark/>
          </w:tcPr>
          <w:p w14:paraId="57F2466E"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1519.53 ± 265.36</w:t>
            </w:r>
          </w:p>
        </w:tc>
        <w:tc>
          <w:tcPr>
            <w:tcW w:w="1873" w:type="dxa"/>
            <w:vAlign w:val="center"/>
          </w:tcPr>
          <w:p w14:paraId="0484C740" w14:textId="77777777"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1617.17 ± 361.93</w:t>
            </w:r>
          </w:p>
        </w:tc>
        <w:tc>
          <w:tcPr>
            <w:tcW w:w="1894" w:type="dxa"/>
            <w:vAlign w:val="center"/>
          </w:tcPr>
          <w:p w14:paraId="74DC9B31" w14:textId="1E225780" w:rsidR="007A211E" w:rsidRPr="007A211E" w:rsidRDefault="007A211E" w:rsidP="00121EB5">
            <w:pPr>
              <w:pStyle w:val="BodyText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0.207</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(.837)</w:t>
            </w:r>
          </w:p>
        </w:tc>
      </w:tr>
    </w:tbl>
    <w:p w14:paraId="1E8C7E97" w14:textId="7481AA87" w:rsidR="00DD1BD7" w:rsidRPr="007A211E" w:rsidRDefault="007A211E" w:rsidP="00DD1BD7">
      <w:pPr>
        <w:pStyle w:val="BodyText3"/>
        <w:tabs>
          <w:tab w:val="left" w:pos="1080"/>
        </w:tabs>
        <w:spacing w:after="0"/>
        <w:ind w:left="1080" w:hanging="1080"/>
        <w:jc w:val="both"/>
        <w:rPr>
          <w:rFonts w:ascii="Arial" w:hAnsi="Arial"/>
        </w:rPr>
      </w:pPr>
      <w:r w:rsidRPr="007A211E">
        <w:rPr>
          <w:rFonts w:ascii="Arial" w:hAnsi="Arial"/>
          <w:i/>
          <w:iCs/>
        </w:rPr>
        <w:t>ns non-significant</w:t>
      </w:r>
    </w:p>
    <w:p w14:paraId="0B5B3090" w14:textId="77777777" w:rsidR="00790ADA" w:rsidRPr="00FB3A86" w:rsidRDefault="00790ADA" w:rsidP="00441B6F">
      <w:pPr>
        <w:pStyle w:val="Body"/>
        <w:spacing w:after="0"/>
        <w:rPr>
          <w:rFonts w:ascii="Arial" w:hAnsi="Arial" w:cs="Arial"/>
        </w:rPr>
      </w:pPr>
      <w:bookmarkStart w:id="9" w:name="_GoBack"/>
      <w:bookmarkEnd w:id="9"/>
    </w:p>
    <w:p w14:paraId="4462B218"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9571BE3" w14:textId="77777777" w:rsidR="00790ADA" w:rsidRPr="00FB3A86" w:rsidRDefault="00790ADA" w:rsidP="00441B6F">
      <w:pPr>
        <w:pStyle w:val="ConcHead"/>
        <w:spacing w:after="0"/>
        <w:jc w:val="both"/>
        <w:rPr>
          <w:rFonts w:ascii="Arial" w:hAnsi="Arial" w:cs="Arial"/>
        </w:rPr>
      </w:pPr>
    </w:p>
    <w:p w14:paraId="4486D323" w14:textId="067A1BC8" w:rsidR="00790ADA" w:rsidRPr="00FB3A86" w:rsidRDefault="000B332A" w:rsidP="00441B6F">
      <w:pPr>
        <w:pStyle w:val="Body"/>
        <w:spacing w:after="0"/>
        <w:rPr>
          <w:rFonts w:ascii="Arial" w:hAnsi="Arial" w:cs="Arial"/>
        </w:rPr>
      </w:pPr>
      <w:r w:rsidRPr="000B332A">
        <w:rPr>
          <w:rFonts w:ascii="Arial" w:hAnsi="Arial" w:cs="Arial"/>
        </w:rPr>
        <w:t xml:space="preserve">Based on the findings of this study, </w:t>
      </w:r>
      <w:r w:rsidR="00BE78B2">
        <w:rPr>
          <w:rFonts w:ascii="Arial" w:hAnsi="Arial" w:cs="Arial"/>
        </w:rPr>
        <w:t>dogs with SIRS/MODS</w:t>
      </w:r>
      <w:r w:rsidRPr="000B332A">
        <w:rPr>
          <w:rFonts w:ascii="Arial" w:hAnsi="Arial" w:cs="Arial"/>
        </w:rPr>
        <w:t xml:space="preserve"> </w:t>
      </w:r>
      <w:r w:rsidR="00BE78B2">
        <w:rPr>
          <w:rFonts w:ascii="Arial" w:hAnsi="Arial" w:cs="Arial"/>
        </w:rPr>
        <w:t>showed</w:t>
      </w:r>
      <w:r w:rsidRPr="000B332A">
        <w:rPr>
          <w:rFonts w:ascii="Arial" w:hAnsi="Arial" w:cs="Arial"/>
        </w:rPr>
        <w:t xml:space="preserve"> significant </w:t>
      </w:r>
      <w:proofErr w:type="spellStart"/>
      <w:r w:rsidRPr="000B332A">
        <w:rPr>
          <w:rFonts w:ascii="Arial" w:hAnsi="Arial" w:cs="Arial"/>
        </w:rPr>
        <w:t>h</w:t>
      </w:r>
      <w:r>
        <w:rPr>
          <w:rFonts w:ascii="Arial" w:hAnsi="Arial" w:cs="Arial"/>
        </w:rPr>
        <w:t>a</w:t>
      </w:r>
      <w:r w:rsidRPr="000B332A">
        <w:rPr>
          <w:rFonts w:ascii="Arial" w:hAnsi="Arial" w:cs="Arial"/>
        </w:rPr>
        <w:t>ematological</w:t>
      </w:r>
      <w:proofErr w:type="spellEnd"/>
      <w:r w:rsidRPr="000B332A">
        <w:rPr>
          <w:rFonts w:ascii="Arial" w:hAnsi="Arial" w:cs="Arial"/>
        </w:rPr>
        <w:t xml:space="preserve"> changes, with NLR, PLR and SII serving as potential biomarkers for inflammation severity. The elevated NLR in dogs diagnosed with MODS aligns with previous studies highlighting its association with systemic inflammation, although the observed increase was not statistically significant between affected groups. PLR exhibited a significant decrease in MODS-affected dogs, contrasting with some prior reports, emphasizing the variability of inflammatory markers in different disease conditions.</w:t>
      </w:r>
      <w:r w:rsidR="00BE78B2">
        <w:rPr>
          <w:rFonts w:ascii="Arial" w:hAnsi="Arial" w:cs="Arial"/>
        </w:rPr>
        <w:t xml:space="preserve"> This may be the first documented report of </w:t>
      </w:r>
      <w:r w:rsidR="007A746E">
        <w:rPr>
          <w:rFonts w:ascii="Arial" w:hAnsi="Arial" w:cs="Arial"/>
        </w:rPr>
        <w:t xml:space="preserve">significant </w:t>
      </w:r>
      <w:r w:rsidR="00BE78B2">
        <w:rPr>
          <w:rFonts w:ascii="Arial" w:hAnsi="Arial" w:cs="Arial"/>
        </w:rPr>
        <w:t>reduction</w:t>
      </w:r>
      <w:r w:rsidR="007A746E">
        <w:rPr>
          <w:rFonts w:ascii="Arial" w:hAnsi="Arial" w:cs="Arial"/>
        </w:rPr>
        <w:t xml:space="preserve"> in PLR in dogs with MODS.</w:t>
      </w:r>
      <w:r w:rsidRPr="000B332A">
        <w:rPr>
          <w:rFonts w:ascii="Arial" w:hAnsi="Arial" w:cs="Arial"/>
        </w:rPr>
        <w:t xml:space="preserve"> SII values demonstrated a notable increase in both groups, reinforcing its relevance in assessing immune responses. While these </w:t>
      </w:r>
      <w:proofErr w:type="spellStart"/>
      <w:r w:rsidRPr="000B332A">
        <w:rPr>
          <w:rFonts w:ascii="Arial" w:hAnsi="Arial" w:cs="Arial"/>
        </w:rPr>
        <w:t>h</w:t>
      </w:r>
      <w:r>
        <w:rPr>
          <w:rFonts w:ascii="Arial" w:hAnsi="Arial" w:cs="Arial"/>
        </w:rPr>
        <w:t>a</w:t>
      </w:r>
      <w:r w:rsidRPr="000B332A">
        <w:rPr>
          <w:rFonts w:ascii="Arial" w:hAnsi="Arial" w:cs="Arial"/>
        </w:rPr>
        <w:t>ematological</w:t>
      </w:r>
      <w:proofErr w:type="spellEnd"/>
      <w:r w:rsidRPr="000B332A">
        <w:rPr>
          <w:rFonts w:ascii="Arial" w:hAnsi="Arial" w:cs="Arial"/>
        </w:rPr>
        <w:t xml:space="preserve"> ratios may aid in understanding inflammatory progression, their clinical utility in distinguishing disease severity requires further validation. Future research could focus on refining threshold values and exploring their predictive capability for therapeutic interventions in critically ill canine patients.</w:t>
      </w:r>
    </w:p>
    <w:p w14:paraId="4C9ACF1B" w14:textId="77777777" w:rsidR="007A746E" w:rsidRDefault="007A746E" w:rsidP="00441B6F">
      <w:pPr>
        <w:pStyle w:val="AcknHead"/>
        <w:spacing w:after="0"/>
        <w:jc w:val="both"/>
        <w:rPr>
          <w:rFonts w:ascii="Arial" w:hAnsi="Arial" w:cs="Arial"/>
        </w:rPr>
      </w:pPr>
    </w:p>
    <w:p w14:paraId="590F7692" w14:textId="77777777" w:rsidR="000B332A" w:rsidRDefault="000B332A" w:rsidP="00441B6F">
      <w:pPr>
        <w:pStyle w:val="ReferHead"/>
        <w:spacing w:after="0"/>
        <w:jc w:val="both"/>
        <w:rPr>
          <w:rFonts w:ascii="Arial" w:hAnsi="Arial" w:cs="Arial"/>
          <w:b w:val="0"/>
          <w:caps w:val="0"/>
          <w:sz w:val="20"/>
        </w:rPr>
      </w:pPr>
    </w:p>
    <w:p w14:paraId="642DF114"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1866DF9" w14:textId="77777777" w:rsidR="005C784C" w:rsidRPr="002B685A" w:rsidRDefault="005C784C" w:rsidP="00441B6F">
      <w:pPr>
        <w:pStyle w:val="ReferHead"/>
        <w:spacing w:after="0"/>
        <w:jc w:val="both"/>
        <w:rPr>
          <w:rFonts w:ascii="Arial" w:hAnsi="Arial" w:cs="Arial"/>
          <w:bCs/>
        </w:rPr>
      </w:pPr>
    </w:p>
    <w:p w14:paraId="3420376B" w14:textId="77777777" w:rsidR="00CD6856" w:rsidRDefault="00CD6856" w:rsidP="00441B6F">
      <w:pPr>
        <w:pStyle w:val="ReferHead"/>
        <w:spacing w:after="0"/>
        <w:jc w:val="both"/>
        <w:rPr>
          <w:rFonts w:ascii="Arial" w:hAnsi="Arial" w:cs="Arial"/>
          <w:b w:val="0"/>
          <w:caps w:val="0"/>
          <w:sz w:val="20"/>
        </w:rPr>
      </w:pPr>
      <w:r w:rsidRPr="00CD6856">
        <w:rPr>
          <w:rFonts w:ascii="Arial" w:hAnsi="Arial" w:cs="Arial"/>
          <w:b w:val="0"/>
          <w:caps w:val="0"/>
          <w:sz w:val="20"/>
        </w:rPr>
        <w:t>All manuscripts which deal with animal subjects must be approved by an Institutional Review Board (IRB), Ethical Committee, or an Animal Utilization Study Committee</w:t>
      </w:r>
      <w:proofErr w:type="gramStart"/>
      <w:r>
        <w:rPr>
          <w:rFonts w:ascii="Arial" w:hAnsi="Arial" w:cs="Arial"/>
          <w:b w:val="0"/>
          <w:caps w:val="0"/>
          <w:sz w:val="20"/>
        </w:rPr>
        <w:t xml:space="preserve">. </w:t>
      </w:r>
      <w:r w:rsidRPr="00CD6856">
        <w:rPr>
          <w:rFonts w:ascii="Arial" w:hAnsi="Arial" w:cs="Arial"/>
          <w:b w:val="0"/>
          <w:caps w:val="0"/>
          <w:sz w:val="20"/>
        </w:rPr>
        <w:t>,</w:t>
      </w:r>
      <w:proofErr w:type="gramEnd"/>
      <w:r w:rsidRPr="00CD6856">
        <w:rPr>
          <w:rFonts w:ascii="Arial" w:hAnsi="Arial" w:cs="Arial"/>
          <w:b w:val="0"/>
          <w:caps w:val="0"/>
          <w:sz w:val="20"/>
        </w:rPr>
        <w:t xml:space="preserve"> and this statement, and approval number, must accompany the submission.</w:t>
      </w:r>
      <w:r>
        <w:rPr>
          <w:rFonts w:ascii="Arial" w:hAnsi="Arial" w:cs="Arial"/>
          <w:b w:val="0"/>
          <w:caps w:val="0"/>
          <w:sz w:val="20"/>
        </w:rPr>
        <w:t xml:space="preserve"> If required, author should be ready to submit </w:t>
      </w:r>
      <w:r w:rsidRPr="00CD6856">
        <w:rPr>
          <w:rFonts w:ascii="Arial" w:hAnsi="Arial" w:cs="Arial"/>
          <w:b w:val="0"/>
          <w:caps w:val="0"/>
          <w:sz w:val="20"/>
        </w:rPr>
        <w:t>a scanned copy of the IRB or Ethical Committee Approval</w:t>
      </w:r>
      <w:r>
        <w:rPr>
          <w:rFonts w:ascii="Arial" w:hAnsi="Arial" w:cs="Arial"/>
          <w:b w:val="0"/>
          <w:caps w:val="0"/>
          <w:sz w:val="20"/>
        </w:rPr>
        <w:t xml:space="preserve"> at any stage of publication (</w:t>
      </w:r>
      <w:proofErr w:type="gramStart"/>
      <w:r>
        <w:rPr>
          <w:rFonts w:ascii="Arial" w:hAnsi="Arial" w:cs="Arial"/>
          <w:b w:val="0"/>
          <w:caps w:val="0"/>
          <w:sz w:val="20"/>
        </w:rPr>
        <w:t>Pre of</w:t>
      </w:r>
      <w:proofErr w:type="gramEnd"/>
      <w:r>
        <w:rPr>
          <w:rFonts w:ascii="Arial" w:hAnsi="Arial" w:cs="Arial"/>
          <w:b w:val="0"/>
          <w:caps w:val="0"/>
          <w:sz w:val="20"/>
        </w:rPr>
        <w:t xml:space="preserve"> post publication stage)</w:t>
      </w:r>
      <w:r w:rsidRPr="00CD6856">
        <w:rPr>
          <w:rFonts w:ascii="Arial" w:hAnsi="Arial" w:cs="Arial"/>
          <w:b w:val="0"/>
          <w:caps w:val="0"/>
          <w:sz w:val="20"/>
        </w:rPr>
        <w:t>. The manuscript should contain information about any post-operative care and pain management for the animals.</w:t>
      </w:r>
      <w:r>
        <w:rPr>
          <w:rFonts w:ascii="Arial" w:hAnsi="Arial" w:cs="Arial"/>
          <w:b w:val="0"/>
          <w:caps w:val="0"/>
          <w:sz w:val="20"/>
        </w:rPr>
        <w:t xml:space="preserve"> </w:t>
      </w:r>
    </w:p>
    <w:p w14:paraId="52FADD7D" w14:textId="63D3F5B7" w:rsidR="00CD6856" w:rsidRDefault="00532445" w:rsidP="00441B6F">
      <w:pPr>
        <w:pStyle w:val="ReferHead"/>
        <w:spacing w:after="0"/>
        <w:jc w:val="both"/>
        <w:rPr>
          <w:rFonts w:ascii="Arial" w:hAnsi="Arial" w:cs="Arial"/>
          <w:b w:val="0"/>
          <w:caps w:val="0"/>
          <w:sz w:val="20"/>
        </w:rPr>
      </w:pPr>
      <w:r>
        <w:rPr>
          <w:rFonts w:ascii="Arial" w:hAnsi="Arial" w:cs="Arial"/>
          <w:b w:val="0"/>
          <w:caps w:val="0"/>
          <w:sz w:val="20"/>
        </w:rPr>
        <w:t>All authors hereby declare that the study was conducted after the approval of the Director of Academic and Research, Kerala Veterinary and Animal Sciences University</w:t>
      </w:r>
      <w:r w:rsidRPr="00532445">
        <w:rPr>
          <w:rFonts w:ascii="Arial" w:hAnsi="Arial" w:cs="Arial"/>
          <w:sz w:val="20"/>
        </w:rPr>
        <w:t xml:space="preserve"> </w:t>
      </w:r>
      <w:r>
        <w:rPr>
          <w:rFonts w:ascii="Arial" w:hAnsi="Arial" w:cs="Arial"/>
          <w:sz w:val="20"/>
        </w:rPr>
        <w:t>(</w:t>
      </w:r>
      <w:r w:rsidRPr="00532445">
        <w:rPr>
          <w:rFonts w:ascii="Arial" w:hAnsi="Arial" w:cs="Arial"/>
          <w:b w:val="0"/>
          <w:caps w:val="0"/>
          <w:sz w:val="20"/>
        </w:rPr>
        <w:t>No KVASU/DAR/A2/1924/2024(2)</w:t>
      </w:r>
      <w:r>
        <w:rPr>
          <w:rFonts w:ascii="Arial" w:hAnsi="Arial" w:cs="Arial"/>
          <w:b w:val="0"/>
          <w:caps w:val="0"/>
          <w:sz w:val="20"/>
        </w:rPr>
        <w:t xml:space="preserve"> </w:t>
      </w:r>
      <w:proofErr w:type="spellStart"/>
      <w:r>
        <w:rPr>
          <w:rFonts w:ascii="Arial" w:hAnsi="Arial" w:cs="Arial"/>
          <w:b w:val="0"/>
          <w:caps w:val="0"/>
          <w:sz w:val="20"/>
        </w:rPr>
        <w:t>Pookode</w:t>
      </w:r>
      <w:proofErr w:type="spellEnd"/>
      <w:r w:rsidR="00E04DCA">
        <w:rPr>
          <w:rFonts w:ascii="Arial" w:hAnsi="Arial" w:cs="Arial"/>
          <w:b w:val="0"/>
          <w:caps w:val="0"/>
          <w:sz w:val="20"/>
        </w:rPr>
        <w:t>,</w:t>
      </w:r>
      <w:r>
        <w:rPr>
          <w:rFonts w:ascii="Arial" w:hAnsi="Arial" w:cs="Arial"/>
          <w:b w:val="0"/>
          <w:caps w:val="0"/>
          <w:sz w:val="20"/>
        </w:rPr>
        <w:t xml:space="preserve"> dated 06/07/</w:t>
      </w:r>
      <w:r w:rsidR="00E04DCA">
        <w:rPr>
          <w:rFonts w:ascii="Arial" w:hAnsi="Arial" w:cs="Arial"/>
          <w:b w:val="0"/>
          <w:caps w:val="0"/>
          <w:sz w:val="20"/>
        </w:rPr>
        <w:t>2024.</w:t>
      </w:r>
    </w:p>
    <w:p w14:paraId="63E53965" w14:textId="77777777" w:rsidR="00CD6856" w:rsidRDefault="00CD6856" w:rsidP="00441B6F">
      <w:pPr>
        <w:pStyle w:val="ReferHead"/>
        <w:spacing w:after="0"/>
        <w:jc w:val="both"/>
        <w:rPr>
          <w:rFonts w:ascii="Arial" w:hAnsi="Arial" w:cs="Arial"/>
          <w:b w:val="0"/>
          <w:caps w:val="0"/>
          <w:sz w:val="20"/>
        </w:rPr>
      </w:pPr>
    </w:p>
    <w:p w14:paraId="50BC124C" w14:textId="77777777" w:rsidR="00CD6856" w:rsidRDefault="00CD6856" w:rsidP="00441B6F">
      <w:pPr>
        <w:pStyle w:val="ReferHead"/>
        <w:spacing w:after="0"/>
        <w:jc w:val="both"/>
        <w:rPr>
          <w:rFonts w:ascii="Arial" w:hAnsi="Arial" w:cs="Arial"/>
          <w:b w:val="0"/>
          <w:caps w:val="0"/>
          <w:sz w:val="20"/>
        </w:rPr>
      </w:pPr>
    </w:p>
    <w:p w14:paraId="5343C75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43B4CA" w14:textId="77777777" w:rsidR="00790ADA" w:rsidRPr="00FB3A86" w:rsidRDefault="00790ADA" w:rsidP="00441B6F">
      <w:pPr>
        <w:pStyle w:val="ReferHead"/>
        <w:spacing w:after="0"/>
        <w:jc w:val="both"/>
        <w:rPr>
          <w:rFonts w:ascii="Arial" w:hAnsi="Arial" w:cs="Arial"/>
        </w:rPr>
      </w:pPr>
    </w:p>
    <w:p w14:paraId="580A6BB4" w14:textId="1E3578D7" w:rsidR="002002D8" w:rsidRPr="002002D8" w:rsidRDefault="002002D8" w:rsidP="002002D8">
      <w:pPr>
        <w:pStyle w:val="Body"/>
        <w:spacing w:after="0"/>
        <w:rPr>
          <w:lang w:val="en-IN"/>
        </w:rPr>
      </w:pPr>
      <w:bookmarkStart w:id="10" w:name="_Hlk200629488"/>
      <w:proofErr w:type="spellStart"/>
      <w:r w:rsidRPr="002002D8">
        <w:rPr>
          <w:lang w:val="en-IN"/>
        </w:rPr>
        <w:t>Akilli</w:t>
      </w:r>
      <w:bookmarkEnd w:id="10"/>
      <w:proofErr w:type="spellEnd"/>
      <w:r w:rsidRPr="002002D8">
        <w:rPr>
          <w:lang w:val="en-IN"/>
        </w:rPr>
        <w:t xml:space="preserve">, N.B., </w:t>
      </w:r>
      <w:proofErr w:type="spellStart"/>
      <w:r w:rsidRPr="002002D8">
        <w:rPr>
          <w:lang w:val="en-IN"/>
        </w:rPr>
        <w:t>Yortanlı</w:t>
      </w:r>
      <w:proofErr w:type="spellEnd"/>
      <w:r w:rsidRPr="002002D8">
        <w:rPr>
          <w:lang w:val="en-IN"/>
        </w:rPr>
        <w:t xml:space="preserve">, M., </w:t>
      </w:r>
      <w:proofErr w:type="spellStart"/>
      <w:r w:rsidRPr="002002D8">
        <w:rPr>
          <w:lang w:val="en-IN"/>
        </w:rPr>
        <w:t>Mutlu</w:t>
      </w:r>
      <w:proofErr w:type="spellEnd"/>
      <w:r w:rsidRPr="002002D8">
        <w:rPr>
          <w:lang w:val="en-IN"/>
        </w:rPr>
        <w:t xml:space="preserve">, H., </w:t>
      </w:r>
      <w:proofErr w:type="spellStart"/>
      <w:r w:rsidRPr="002002D8">
        <w:rPr>
          <w:lang w:val="en-IN"/>
        </w:rPr>
        <w:t>Gunaydın</w:t>
      </w:r>
      <w:proofErr w:type="spellEnd"/>
      <w:r w:rsidRPr="002002D8">
        <w:rPr>
          <w:lang w:val="en-IN"/>
        </w:rPr>
        <w:t xml:space="preserve">, Y.K., </w:t>
      </w:r>
      <w:proofErr w:type="spellStart"/>
      <w:r w:rsidRPr="002002D8">
        <w:rPr>
          <w:lang w:val="en-IN"/>
        </w:rPr>
        <w:t>Koylu</w:t>
      </w:r>
      <w:proofErr w:type="spellEnd"/>
      <w:r w:rsidRPr="002002D8">
        <w:rPr>
          <w:lang w:val="en-IN"/>
        </w:rPr>
        <w:t xml:space="preserve">, R., </w:t>
      </w:r>
      <w:proofErr w:type="spellStart"/>
      <w:r w:rsidRPr="002002D8">
        <w:rPr>
          <w:lang w:val="en-IN"/>
        </w:rPr>
        <w:t>Akca</w:t>
      </w:r>
      <w:proofErr w:type="spellEnd"/>
      <w:r w:rsidRPr="002002D8">
        <w:rPr>
          <w:lang w:val="en-IN"/>
        </w:rPr>
        <w:t>, H.S.,</w:t>
      </w:r>
      <w:r>
        <w:rPr>
          <w:lang w:val="en-IN"/>
        </w:rPr>
        <w:t xml:space="preserve"> </w:t>
      </w:r>
      <w:r w:rsidRPr="002002D8">
        <w:rPr>
          <w:i/>
          <w:iCs/>
          <w:lang w:val="en-IN"/>
        </w:rPr>
        <w:t>et al</w:t>
      </w:r>
      <w:r>
        <w:rPr>
          <w:lang w:val="en-IN"/>
        </w:rPr>
        <w:t>. (</w:t>
      </w:r>
      <w:r w:rsidRPr="002002D8">
        <w:rPr>
          <w:lang w:val="en-IN"/>
        </w:rPr>
        <w:t>2014</w:t>
      </w:r>
      <w:r>
        <w:rPr>
          <w:lang w:val="en-IN"/>
        </w:rPr>
        <w:t>)</w:t>
      </w:r>
      <w:r w:rsidRPr="002002D8">
        <w:rPr>
          <w:lang w:val="en-IN"/>
        </w:rPr>
        <w:t>. Prognostic importance of neutrophil-lymphocyte ratio in critically ill patients: short-and long-term outcomes. The American journal of emergency medicine, </w:t>
      </w:r>
      <w:r w:rsidRPr="002002D8">
        <w:rPr>
          <w:i/>
          <w:iCs/>
          <w:lang w:val="en-IN"/>
        </w:rPr>
        <w:t>32</w:t>
      </w:r>
      <w:r w:rsidRPr="002002D8">
        <w:rPr>
          <w:lang w:val="en-IN"/>
        </w:rPr>
        <w:t>(12), 1476-1480.</w:t>
      </w:r>
    </w:p>
    <w:p w14:paraId="6B76A7CE" w14:textId="77777777" w:rsidR="002002D8" w:rsidRDefault="002002D8" w:rsidP="002002D8">
      <w:pPr>
        <w:pStyle w:val="Body"/>
        <w:spacing w:after="0"/>
        <w:rPr>
          <w:lang w:val="en-IN"/>
        </w:rPr>
      </w:pPr>
    </w:p>
    <w:p w14:paraId="22D2CC28" w14:textId="072F38A7" w:rsidR="002002D8" w:rsidRDefault="002002D8" w:rsidP="002002D8">
      <w:pPr>
        <w:pStyle w:val="Body"/>
        <w:spacing w:after="0"/>
        <w:rPr>
          <w:lang w:val="en-IN"/>
        </w:rPr>
      </w:pPr>
      <w:proofErr w:type="spellStart"/>
      <w:r w:rsidRPr="002002D8">
        <w:rPr>
          <w:lang w:val="en-IN"/>
        </w:rPr>
        <w:t>Azab</w:t>
      </w:r>
      <w:proofErr w:type="spellEnd"/>
      <w:r w:rsidRPr="002002D8">
        <w:rPr>
          <w:lang w:val="en-IN"/>
        </w:rPr>
        <w:t xml:space="preserve">, B., </w:t>
      </w:r>
      <w:proofErr w:type="spellStart"/>
      <w:r w:rsidRPr="002002D8">
        <w:rPr>
          <w:lang w:val="en-IN"/>
        </w:rPr>
        <w:t>Jaglall</w:t>
      </w:r>
      <w:proofErr w:type="spellEnd"/>
      <w:r w:rsidRPr="002002D8">
        <w:rPr>
          <w:lang w:val="en-IN"/>
        </w:rPr>
        <w:t xml:space="preserve">, N., </w:t>
      </w:r>
      <w:proofErr w:type="spellStart"/>
      <w:r w:rsidRPr="002002D8">
        <w:rPr>
          <w:lang w:val="en-IN"/>
        </w:rPr>
        <w:t>Atallah</w:t>
      </w:r>
      <w:proofErr w:type="spellEnd"/>
      <w:r w:rsidRPr="002002D8">
        <w:rPr>
          <w:lang w:val="en-IN"/>
        </w:rPr>
        <w:t xml:space="preserve">, J.P., </w:t>
      </w:r>
      <w:proofErr w:type="spellStart"/>
      <w:r w:rsidRPr="002002D8">
        <w:rPr>
          <w:lang w:val="en-IN"/>
        </w:rPr>
        <w:t>Lamet</w:t>
      </w:r>
      <w:proofErr w:type="spellEnd"/>
      <w:r w:rsidRPr="002002D8">
        <w:rPr>
          <w:lang w:val="en-IN"/>
        </w:rPr>
        <w:t xml:space="preserve">, A., Raja-Surya, V., Farah, B., </w:t>
      </w:r>
      <w:r w:rsidRPr="002002D8">
        <w:rPr>
          <w:i/>
          <w:iCs/>
          <w:lang w:val="en-IN"/>
        </w:rPr>
        <w:t>et al.</w:t>
      </w:r>
      <w:r>
        <w:rPr>
          <w:lang w:val="en-IN"/>
        </w:rPr>
        <w:t xml:space="preserve"> (</w:t>
      </w:r>
      <w:r w:rsidRPr="002002D8">
        <w:rPr>
          <w:lang w:val="en-IN"/>
        </w:rPr>
        <w:t>2011</w:t>
      </w:r>
      <w:r>
        <w:rPr>
          <w:lang w:val="en-IN"/>
        </w:rPr>
        <w:t>)</w:t>
      </w:r>
      <w:r w:rsidRPr="002002D8">
        <w:rPr>
          <w:lang w:val="en-IN"/>
        </w:rPr>
        <w:t>. Neutrophil-lymphocyte ratio as a predictor of adverse outcomes of acute pancreatitis. </w:t>
      </w:r>
      <w:proofErr w:type="spellStart"/>
      <w:r w:rsidRPr="002002D8">
        <w:rPr>
          <w:lang w:val="en-IN"/>
        </w:rPr>
        <w:t>Pancreatology</w:t>
      </w:r>
      <w:proofErr w:type="spellEnd"/>
      <w:r w:rsidRPr="002002D8">
        <w:rPr>
          <w:lang w:val="en-IN"/>
        </w:rPr>
        <w:t>, </w:t>
      </w:r>
      <w:r w:rsidRPr="002002D8">
        <w:rPr>
          <w:i/>
          <w:iCs/>
          <w:lang w:val="en-IN"/>
        </w:rPr>
        <w:t>11</w:t>
      </w:r>
      <w:r w:rsidRPr="002002D8">
        <w:rPr>
          <w:lang w:val="en-IN"/>
        </w:rPr>
        <w:t>(4)</w:t>
      </w:r>
      <w:r>
        <w:rPr>
          <w:lang w:val="en-IN"/>
        </w:rPr>
        <w:t xml:space="preserve">, </w:t>
      </w:r>
      <w:r w:rsidRPr="002002D8">
        <w:rPr>
          <w:lang w:val="en-IN"/>
        </w:rPr>
        <w:t>445-452</w:t>
      </w:r>
      <w:r>
        <w:rPr>
          <w:lang w:val="en-IN"/>
        </w:rPr>
        <w:t>.</w:t>
      </w:r>
    </w:p>
    <w:p w14:paraId="399D258D" w14:textId="1B244D79" w:rsidR="00193463" w:rsidRDefault="00193463" w:rsidP="002002D8">
      <w:pPr>
        <w:pStyle w:val="Body"/>
        <w:spacing w:after="0"/>
        <w:rPr>
          <w:lang w:val="en-IN"/>
        </w:rPr>
      </w:pPr>
    </w:p>
    <w:p w14:paraId="5ABCD566" w14:textId="5E34C294" w:rsidR="00193463" w:rsidRDefault="00193463" w:rsidP="002002D8">
      <w:pPr>
        <w:pStyle w:val="Body"/>
        <w:spacing w:after="0"/>
      </w:pPr>
      <w:r w:rsidRPr="00193463">
        <w:t>Cho, S.Y., Jeon, Y.L., Kim, W., Kim, W.S., Lee, H.J., Lee, W.I.</w:t>
      </w:r>
      <w:r>
        <w:t xml:space="preserve">, </w:t>
      </w:r>
      <w:r w:rsidRPr="00193463">
        <w:rPr>
          <w:i/>
          <w:iCs/>
        </w:rPr>
        <w:t>et al.</w:t>
      </w:r>
      <w:r w:rsidRPr="00193463">
        <w:t xml:space="preserve"> </w:t>
      </w:r>
      <w:r>
        <w:t>(</w:t>
      </w:r>
      <w:r w:rsidRPr="00193463">
        <w:t>2014</w:t>
      </w:r>
      <w:r>
        <w:t>)</w:t>
      </w:r>
      <w:r w:rsidRPr="00193463">
        <w:t>. Mean platelet volume and mean platelet volume/platelet count ratio in infective endocarditis. Platelets, </w:t>
      </w:r>
      <w:r w:rsidRPr="00193463">
        <w:rPr>
          <w:i/>
          <w:iCs/>
        </w:rPr>
        <w:t>25</w:t>
      </w:r>
      <w:r w:rsidRPr="00193463">
        <w:t>(8),</w:t>
      </w:r>
      <w:r>
        <w:t xml:space="preserve"> </w:t>
      </w:r>
      <w:r w:rsidRPr="00193463">
        <w:t>559-561.</w:t>
      </w:r>
    </w:p>
    <w:p w14:paraId="089464F6" w14:textId="77777777" w:rsidR="00FB2D11" w:rsidRDefault="00FB2D11" w:rsidP="003E592A">
      <w:pPr>
        <w:pStyle w:val="Body"/>
        <w:spacing w:after="0"/>
        <w:rPr>
          <w:lang w:val="en-IN"/>
        </w:rPr>
      </w:pPr>
    </w:p>
    <w:p w14:paraId="1EA96A41" w14:textId="4B3D4532" w:rsidR="003E592A" w:rsidRPr="003E592A" w:rsidRDefault="003E592A" w:rsidP="003E592A">
      <w:pPr>
        <w:pStyle w:val="Body"/>
        <w:spacing w:after="0"/>
        <w:rPr>
          <w:lang w:val="en-IN"/>
        </w:rPr>
      </w:pPr>
      <w:r w:rsidRPr="003E592A">
        <w:rPr>
          <w:lang w:val="en-IN"/>
        </w:rPr>
        <w:t xml:space="preserve">Cristobal, J.I., Duque, F.J., </w:t>
      </w:r>
      <w:proofErr w:type="spellStart"/>
      <w:r w:rsidRPr="003E592A">
        <w:rPr>
          <w:lang w:val="en-IN"/>
        </w:rPr>
        <w:t>Uson-Casaus</w:t>
      </w:r>
      <w:proofErr w:type="spellEnd"/>
      <w:r w:rsidRPr="003E592A">
        <w:rPr>
          <w:lang w:val="en-IN"/>
        </w:rPr>
        <w:t>, J., Barrera, R., Lopez, E.</w:t>
      </w:r>
      <w:r>
        <w:rPr>
          <w:lang w:val="en-IN"/>
        </w:rPr>
        <w:t>,</w:t>
      </w:r>
      <w:r w:rsidRPr="003E592A">
        <w:rPr>
          <w:lang w:val="en-IN"/>
        </w:rPr>
        <w:t xml:space="preserve"> </w:t>
      </w:r>
      <w:r>
        <w:rPr>
          <w:lang w:val="en-IN"/>
        </w:rPr>
        <w:t>&amp;</w:t>
      </w:r>
      <w:r w:rsidRPr="003E592A">
        <w:rPr>
          <w:lang w:val="en-IN"/>
        </w:rPr>
        <w:t xml:space="preserve"> Perez-Merino, E.M. </w:t>
      </w:r>
      <w:r>
        <w:rPr>
          <w:lang w:val="en-IN"/>
        </w:rPr>
        <w:t>(</w:t>
      </w:r>
      <w:r w:rsidRPr="003E592A">
        <w:rPr>
          <w:lang w:val="en-IN"/>
        </w:rPr>
        <w:t>2022</w:t>
      </w:r>
      <w:r>
        <w:rPr>
          <w:lang w:val="en-IN"/>
        </w:rPr>
        <w:t>)</w:t>
      </w:r>
      <w:r w:rsidRPr="003E592A">
        <w:rPr>
          <w:lang w:val="en-IN"/>
        </w:rPr>
        <w:t>. Complete blood count-derived inflammatory markers changes in dogs with chronic inflammatory enteropathy treated with adipose-derived mesenchymal stem cells. Animals. 12 (20),</w:t>
      </w:r>
      <w:r w:rsidRPr="003E592A">
        <w:rPr>
          <w:b/>
          <w:bCs/>
          <w:i/>
          <w:iCs/>
          <w:lang w:val="en-IN"/>
        </w:rPr>
        <w:t xml:space="preserve"> </w:t>
      </w:r>
      <w:r w:rsidRPr="003E592A">
        <w:rPr>
          <w:lang w:val="en-IN"/>
        </w:rPr>
        <w:t>2798.</w:t>
      </w:r>
    </w:p>
    <w:p w14:paraId="29199217" w14:textId="77777777" w:rsidR="003E592A" w:rsidRDefault="003E592A" w:rsidP="002002D8">
      <w:pPr>
        <w:pStyle w:val="Body"/>
        <w:spacing w:after="0"/>
        <w:rPr>
          <w:lang w:val="en-IN"/>
        </w:rPr>
      </w:pPr>
    </w:p>
    <w:p w14:paraId="3F5E5AFE" w14:textId="3C007055" w:rsidR="00F735FE" w:rsidRDefault="00F735FE" w:rsidP="002002D8">
      <w:pPr>
        <w:pStyle w:val="Body"/>
        <w:spacing w:after="0"/>
        <w:rPr>
          <w:lang w:val="en-IN"/>
        </w:rPr>
      </w:pPr>
    </w:p>
    <w:p w14:paraId="77E23688" w14:textId="059170AF" w:rsidR="00F735FE" w:rsidRDefault="00F735FE" w:rsidP="002002D8">
      <w:pPr>
        <w:pStyle w:val="Body"/>
        <w:spacing w:after="0"/>
        <w:rPr>
          <w:lang w:val="en-IN"/>
        </w:rPr>
      </w:pPr>
      <w:bookmarkStart w:id="11" w:name="_Hlk201064191"/>
      <w:r w:rsidRPr="00F735FE">
        <w:t>Dur</w:t>
      </w:r>
      <w:r>
        <w:t>a</w:t>
      </w:r>
      <w:r w:rsidRPr="00F735FE">
        <w:t>n-Galea</w:t>
      </w:r>
      <w:bookmarkEnd w:id="11"/>
      <w:r w:rsidRPr="00F735FE">
        <w:t>, A., Crist</w:t>
      </w:r>
      <w:r>
        <w:t>o</w:t>
      </w:r>
      <w:r w:rsidRPr="00F735FE">
        <w:t>bal-Verdejo, J.I., Barrera-Chac</w:t>
      </w:r>
      <w:r>
        <w:t>o</w:t>
      </w:r>
      <w:r w:rsidRPr="00F735FE">
        <w:t>n, R., Mac</w:t>
      </w:r>
      <w:r w:rsidR="003942AF">
        <w:t>i</w:t>
      </w:r>
      <w:r w:rsidRPr="00F735FE">
        <w:t>as-Garc</w:t>
      </w:r>
      <w:r w:rsidR="003942AF">
        <w:t>i</w:t>
      </w:r>
      <w:r w:rsidRPr="00F735FE">
        <w:t>a, B., Gonz</w:t>
      </w:r>
      <w:r>
        <w:t>a</w:t>
      </w:r>
      <w:r w:rsidRPr="00F735FE">
        <w:t>lez-Sol</w:t>
      </w:r>
      <w:r w:rsidR="003942AF">
        <w:t>i</w:t>
      </w:r>
      <w:r w:rsidRPr="00F735FE">
        <w:t>s, M.A., Nicol</w:t>
      </w:r>
      <w:r>
        <w:t>a</w:t>
      </w:r>
      <w:r w:rsidRPr="00F735FE">
        <w:t>s-Barcel</w:t>
      </w:r>
      <w:r>
        <w:t>o</w:t>
      </w:r>
      <w:r w:rsidRPr="00F735FE">
        <w:t xml:space="preserve">, P., </w:t>
      </w:r>
      <w:r w:rsidR="003942AF" w:rsidRPr="003942AF">
        <w:rPr>
          <w:i/>
          <w:iCs/>
        </w:rPr>
        <w:t>et al.</w:t>
      </w:r>
      <w:r w:rsidRPr="00F735FE">
        <w:t xml:space="preserve"> </w:t>
      </w:r>
      <w:r w:rsidR="003942AF">
        <w:t>(</w:t>
      </w:r>
      <w:r w:rsidRPr="00F735FE">
        <w:t>2024</w:t>
      </w:r>
      <w:r w:rsidR="003942AF">
        <w:t>)</w:t>
      </w:r>
      <w:r w:rsidRPr="00F735FE">
        <w:t xml:space="preserve">. Clinical importance of neutrophil-to-lymphocyte ratio, platelet-to-lymphocyte ratio and systemic immune-inflammation index in </w:t>
      </w:r>
      <w:r w:rsidRPr="00F735FE">
        <w:lastRenderedPageBreak/>
        <w:t>dogs with leishmaniasis. </w:t>
      </w:r>
      <w:r w:rsidRPr="003942AF">
        <w:t>Comparative Immunology, Microbiology and Infectious Diseases</w:t>
      </w:r>
      <w:r w:rsidRPr="00F735FE">
        <w:t>, </w:t>
      </w:r>
      <w:r w:rsidRPr="00F735FE">
        <w:rPr>
          <w:i/>
          <w:iCs/>
        </w:rPr>
        <w:t>107</w:t>
      </w:r>
      <w:r w:rsidRPr="00F735FE">
        <w:t>, 102148.</w:t>
      </w:r>
    </w:p>
    <w:p w14:paraId="25BFAA60" w14:textId="77777777" w:rsidR="00C1007F" w:rsidRPr="002002D8" w:rsidRDefault="00C1007F" w:rsidP="002002D8">
      <w:pPr>
        <w:pStyle w:val="Body"/>
        <w:spacing w:after="0"/>
        <w:rPr>
          <w:lang w:val="en-IN"/>
        </w:rPr>
      </w:pPr>
    </w:p>
    <w:p w14:paraId="67082A5E" w14:textId="519DF19E" w:rsidR="002002D8" w:rsidRPr="002002D8" w:rsidRDefault="002002D8" w:rsidP="002002D8">
      <w:pPr>
        <w:pStyle w:val="Body"/>
        <w:spacing w:after="0"/>
        <w:rPr>
          <w:lang w:val="en-IN"/>
        </w:rPr>
      </w:pPr>
      <w:r w:rsidRPr="002002D8">
        <w:rPr>
          <w:lang w:val="en-IN"/>
        </w:rPr>
        <w:t>Hodgson, N., Llewellyn, E.A.</w:t>
      </w:r>
      <w:r w:rsidR="00182ED6">
        <w:rPr>
          <w:lang w:val="en-IN"/>
        </w:rPr>
        <w:t>,</w:t>
      </w:r>
      <w:r w:rsidRPr="002002D8">
        <w:rPr>
          <w:lang w:val="en-IN"/>
        </w:rPr>
        <w:t xml:space="preserve"> </w:t>
      </w:r>
      <w:r w:rsidR="00182ED6">
        <w:rPr>
          <w:lang w:val="en-IN"/>
        </w:rPr>
        <w:t>&amp;</w:t>
      </w:r>
      <w:r w:rsidRPr="002002D8">
        <w:rPr>
          <w:lang w:val="en-IN"/>
        </w:rPr>
        <w:t xml:space="preserve"> Schaeffer, D.J., </w:t>
      </w:r>
      <w:r w:rsidR="00AE40E6">
        <w:rPr>
          <w:lang w:val="en-IN"/>
        </w:rPr>
        <w:t>(</w:t>
      </w:r>
      <w:r w:rsidRPr="002002D8">
        <w:rPr>
          <w:lang w:val="en-IN"/>
        </w:rPr>
        <w:t>2018</w:t>
      </w:r>
      <w:r w:rsidR="00AE40E6">
        <w:rPr>
          <w:lang w:val="en-IN"/>
        </w:rPr>
        <w:t>)</w:t>
      </w:r>
      <w:r w:rsidRPr="002002D8">
        <w:rPr>
          <w:lang w:val="en-IN"/>
        </w:rPr>
        <w:t>. Utility and prognostic significance of neutrophil-to-lymphocyte ratio in dogs with septic peritonitis. Journal of the American Animal Hospital Association, </w:t>
      </w:r>
      <w:r w:rsidRPr="002002D8">
        <w:rPr>
          <w:i/>
          <w:iCs/>
          <w:lang w:val="en-IN"/>
        </w:rPr>
        <w:t>54</w:t>
      </w:r>
      <w:r w:rsidRPr="002002D8">
        <w:rPr>
          <w:lang w:val="en-IN"/>
        </w:rPr>
        <w:t>(6),</w:t>
      </w:r>
      <w:r w:rsidR="00AE40E6">
        <w:rPr>
          <w:lang w:val="en-IN"/>
        </w:rPr>
        <w:t xml:space="preserve"> </w:t>
      </w:r>
      <w:r w:rsidRPr="002002D8">
        <w:rPr>
          <w:lang w:val="en-IN"/>
        </w:rPr>
        <w:t>351-359.</w:t>
      </w:r>
    </w:p>
    <w:p w14:paraId="79353642" w14:textId="77777777" w:rsidR="005D2FCE" w:rsidRDefault="005D2FCE" w:rsidP="002002D8">
      <w:pPr>
        <w:pStyle w:val="Body"/>
        <w:spacing w:after="0"/>
        <w:rPr>
          <w:lang w:val="en-IN"/>
        </w:rPr>
      </w:pPr>
      <w:bookmarkStart w:id="12" w:name="_Hlk200608710"/>
    </w:p>
    <w:p w14:paraId="3F4E34E9" w14:textId="17217293" w:rsidR="002002D8" w:rsidRDefault="002002D8" w:rsidP="002002D8">
      <w:pPr>
        <w:pStyle w:val="Body"/>
        <w:spacing w:after="0"/>
        <w:rPr>
          <w:lang w:val="en-IN"/>
        </w:rPr>
      </w:pPr>
      <w:r w:rsidRPr="002002D8">
        <w:rPr>
          <w:lang w:val="en-IN"/>
        </w:rPr>
        <w:t>Hotchkiss</w:t>
      </w:r>
      <w:bookmarkEnd w:id="12"/>
      <w:r w:rsidRPr="002002D8">
        <w:rPr>
          <w:lang w:val="en-IN"/>
        </w:rPr>
        <w:t xml:space="preserve">, R.S., </w:t>
      </w:r>
      <w:proofErr w:type="spellStart"/>
      <w:r w:rsidRPr="002002D8">
        <w:rPr>
          <w:lang w:val="en-IN"/>
        </w:rPr>
        <w:t>Monneret</w:t>
      </w:r>
      <w:proofErr w:type="spellEnd"/>
      <w:r w:rsidRPr="002002D8">
        <w:rPr>
          <w:lang w:val="en-IN"/>
        </w:rPr>
        <w:t xml:space="preserve">, G. </w:t>
      </w:r>
      <w:r w:rsidR="00AE40E6">
        <w:rPr>
          <w:lang w:val="en-IN"/>
        </w:rPr>
        <w:t>&amp;</w:t>
      </w:r>
      <w:r w:rsidRPr="002002D8">
        <w:rPr>
          <w:lang w:val="en-IN"/>
        </w:rPr>
        <w:t xml:space="preserve"> </w:t>
      </w:r>
      <w:proofErr w:type="spellStart"/>
      <w:r w:rsidRPr="002002D8">
        <w:rPr>
          <w:lang w:val="en-IN"/>
        </w:rPr>
        <w:t>Payen</w:t>
      </w:r>
      <w:proofErr w:type="spellEnd"/>
      <w:r w:rsidRPr="002002D8">
        <w:rPr>
          <w:lang w:val="en-IN"/>
        </w:rPr>
        <w:t xml:space="preserve">, D., </w:t>
      </w:r>
      <w:r w:rsidR="00AE40E6">
        <w:rPr>
          <w:lang w:val="en-IN"/>
        </w:rPr>
        <w:t>(</w:t>
      </w:r>
      <w:r w:rsidRPr="002002D8">
        <w:rPr>
          <w:lang w:val="en-IN"/>
        </w:rPr>
        <w:t>2013</w:t>
      </w:r>
      <w:r w:rsidR="00AE40E6">
        <w:rPr>
          <w:lang w:val="en-IN"/>
        </w:rPr>
        <w:t>)</w:t>
      </w:r>
      <w:r w:rsidRPr="002002D8">
        <w:rPr>
          <w:lang w:val="en-IN"/>
        </w:rPr>
        <w:t>. Sepsis-induced immunosuppression: from cellular dysfunctions to immunotherapy. Nature Reviews Immunology, </w:t>
      </w:r>
      <w:r w:rsidRPr="002002D8">
        <w:rPr>
          <w:i/>
          <w:iCs/>
          <w:lang w:val="en-IN"/>
        </w:rPr>
        <w:t>13</w:t>
      </w:r>
      <w:r w:rsidRPr="002002D8">
        <w:rPr>
          <w:lang w:val="en-IN"/>
        </w:rPr>
        <w:t>(12), 862-874.</w:t>
      </w:r>
    </w:p>
    <w:p w14:paraId="7EAEBCB5" w14:textId="77777777" w:rsidR="00AE40E6" w:rsidRPr="002002D8" w:rsidRDefault="00AE40E6" w:rsidP="002002D8">
      <w:pPr>
        <w:pStyle w:val="Body"/>
        <w:spacing w:after="0"/>
        <w:rPr>
          <w:lang w:val="en-IN"/>
        </w:rPr>
      </w:pPr>
    </w:p>
    <w:p w14:paraId="3650A38A" w14:textId="293C945E" w:rsidR="002002D8" w:rsidRDefault="002002D8" w:rsidP="002002D8">
      <w:pPr>
        <w:pStyle w:val="Body"/>
        <w:spacing w:after="0"/>
        <w:rPr>
          <w:lang w:val="en-IN"/>
        </w:rPr>
      </w:pPr>
      <w:r w:rsidRPr="002002D8">
        <w:rPr>
          <w:lang w:val="en-IN"/>
        </w:rPr>
        <w:t>Lewis, D.H., Chan, D.L., Pinheiro, D., Armitage</w:t>
      </w:r>
      <w:r w:rsidRPr="002002D8">
        <w:rPr>
          <w:rFonts w:ascii="Cambria Math" w:hAnsi="Cambria Math" w:cs="Cambria Math"/>
          <w:lang w:val="en-IN"/>
        </w:rPr>
        <w:t>‐</w:t>
      </w:r>
      <w:r w:rsidRPr="002002D8">
        <w:rPr>
          <w:lang w:val="en-IN"/>
        </w:rPr>
        <w:t xml:space="preserve">Chan, E. </w:t>
      </w:r>
      <w:r w:rsidR="00AE40E6">
        <w:rPr>
          <w:lang w:val="en-IN"/>
        </w:rPr>
        <w:t>&amp;</w:t>
      </w:r>
      <w:r w:rsidRPr="002002D8">
        <w:rPr>
          <w:lang w:val="en-IN"/>
        </w:rPr>
        <w:t xml:space="preserve"> Garden, O.A., </w:t>
      </w:r>
      <w:r w:rsidR="00AE40E6">
        <w:rPr>
          <w:lang w:val="en-IN"/>
        </w:rPr>
        <w:t>(</w:t>
      </w:r>
      <w:r w:rsidRPr="002002D8">
        <w:rPr>
          <w:lang w:val="en-IN"/>
        </w:rPr>
        <w:t>2012</w:t>
      </w:r>
      <w:r w:rsidR="00AE40E6">
        <w:rPr>
          <w:lang w:val="en-IN"/>
        </w:rPr>
        <w:t>)</w:t>
      </w:r>
      <w:r w:rsidRPr="002002D8">
        <w:rPr>
          <w:lang w:val="en-IN"/>
        </w:rPr>
        <w:t>. The immunopathology of sepsis: pathogen recognition, systemic inflammation, the compensatory anti</w:t>
      </w:r>
      <w:r w:rsidRPr="002002D8">
        <w:rPr>
          <w:rFonts w:ascii="Cambria Math" w:hAnsi="Cambria Math" w:cs="Cambria Math"/>
          <w:lang w:val="en-IN"/>
        </w:rPr>
        <w:t>‐</w:t>
      </w:r>
      <w:r w:rsidRPr="002002D8">
        <w:rPr>
          <w:lang w:val="en-IN"/>
        </w:rPr>
        <w:t>inflammatory response, and regulatory T cells.</w:t>
      </w:r>
      <w:r w:rsidRPr="002002D8">
        <w:rPr>
          <w:rFonts w:cs="Helvetica"/>
          <w:lang w:val="en-IN"/>
        </w:rPr>
        <w:t> </w:t>
      </w:r>
      <w:r w:rsidRPr="002002D8">
        <w:rPr>
          <w:lang w:val="en-IN"/>
        </w:rPr>
        <w:t>Journal of Veterinary Internal Medicine, </w:t>
      </w:r>
      <w:r w:rsidRPr="002002D8">
        <w:rPr>
          <w:i/>
          <w:iCs/>
          <w:lang w:val="en-IN"/>
        </w:rPr>
        <w:t>26</w:t>
      </w:r>
      <w:r w:rsidRPr="002002D8">
        <w:rPr>
          <w:lang w:val="en-IN"/>
        </w:rPr>
        <w:t>(3), 457-482.</w:t>
      </w:r>
    </w:p>
    <w:p w14:paraId="141497D1" w14:textId="77777777" w:rsidR="00AE40E6" w:rsidRPr="002002D8" w:rsidRDefault="00AE40E6" w:rsidP="002002D8">
      <w:pPr>
        <w:pStyle w:val="Body"/>
        <w:spacing w:after="0"/>
        <w:rPr>
          <w:lang w:val="en-IN"/>
        </w:rPr>
      </w:pPr>
    </w:p>
    <w:p w14:paraId="4E9EB741" w14:textId="3CC8E45B" w:rsidR="002002D8" w:rsidRDefault="002002D8" w:rsidP="002002D8">
      <w:pPr>
        <w:pStyle w:val="Body"/>
        <w:spacing w:after="0"/>
        <w:rPr>
          <w:lang w:val="en-IN"/>
        </w:rPr>
      </w:pPr>
      <w:r w:rsidRPr="002002D8">
        <w:rPr>
          <w:lang w:val="en-IN"/>
        </w:rPr>
        <w:t xml:space="preserve">Li, X., Chen, Y., Yuan, Q., Zhou, H., Lu, L. </w:t>
      </w:r>
      <w:r w:rsidR="00AE40E6">
        <w:rPr>
          <w:lang w:val="en-IN"/>
        </w:rPr>
        <w:t>&amp;</w:t>
      </w:r>
      <w:r w:rsidRPr="002002D8">
        <w:rPr>
          <w:lang w:val="en-IN"/>
        </w:rPr>
        <w:t xml:space="preserve"> Guo, R., </w:t>
      </w:r>
      <w:r w:rsidR="00AE40E6">
        <w:rPr>
          <w:lang w:val="en-IN"/>
        </w:rPr>
        <w:t>(</w:t>
      </w:r>
      <w:r w:rsidRPr="002002D8">
        <w:rPr>
          <w:lang w:val="en-IN"/>
        </w:rPr>
        <w:t>2024</w:t>
      </w:r>
      <w:r w:rsidR="00AE40E6">
        <w:rPr>
          <w:lang w:val="en-IN"/>
        </w:rPr>
        <w:t>)</w:t>
      </w:r>
      <w:r w:rsidRPr="002002D8">
        <w:rPr>
          <w:lang w:val="en-IN"/>
        </w:rPr>
        <w:t>. Neutrophil-to-lymphocyte ratio, monocyte-to-lymphocyte ratio, platelet-to-lymphocyte ratio associated with 28-day all-cause mortality in septic patients with coronary artery disease: a retrospective analysis of MIMIC-IV database. BMC Infectious Diseases, </w:t>
      </w:r>
      <w:r w:rsidRPr="002002D8">
        <w:rPr>
          <w:i/>
          <w:iCs/>
          <w:lang w:val="en-IN"/>
        </w:rPr>
        <w:t>24</w:t>
      </w:r>
      <w:r w:rsidRPr="002002D8">
        <w:rPr>
          <w:lang w:val="en-IN"/>
        </w:rPr>
        <w:t>(1), 749.</w:t>
      </w:r>
    </w:p>
    <w:p w14:paraId="01ED4D9B" w14:textId="77777777" w:rsidR="00AE40E6" w:rsidRPr="002002D8" w:rsidRDefault="00AE40E6" w:rsidP="002002D8">
      <w:pPr>
        <w:pStyle w:val="Body"/>
        <w:spacing w:after="0"/>
        <w:rPr>
          <w:lang w:val="en-IN"/>
        </w:rPr>
      </w:pPr>
    </w:p>
    <w:p w14:paraId="39E91573" w14:textId="4EC700DA" w:rsidR="002002D8" w:rsidRDefault="002002D8" w:rsidP="002002D8">
      <w:pPr>
        <w:pStyle w:val="Body"/>
        <w:spacing w:after="0"/>
        <w:rPr>
          <w:lang w:val="en-IN"/>
        </w:rPr>
      </w:pPr>
      <w:r w:rsidRPr="002002D8">
        <w:rPr>
          <w:lang w:val="en-IN"/>
        </w:rPr>
        <w:t xml:space="preserve">Macfarlane, L., Morris, J., </w:t>
      </w:r>
      <w:proofErr w:type="spellStart"/>
      <w:r w:rsidRPr="002002D8">
        <w:rPr>
          <w:lang w:val="en-IN"/>
        </w:rPr>
        <w:t>Pratschke</w:t>
      </w:r>
      <w:proofErr w:type="spellEnd"/>
      <w:r w:rsidRPr="002002D8">
        <w:rPr>
          <w:lang w:val="en-IN"/>
        </w:rPr>
        <w:t xml:space="preserve">, K., Mellor, D., </w:t>
      </w:r>
      <w:proofErr w:type="spellStart"/>
      <w:r w:rsidRPr="002002D8">
        <w:rPr>
          <w:lang w:val="en-IN"/>
        </w:rPr>
        <w:t>Scase</w:t>
      </w:r>
      <w:proofErr w:type="spellEnd"/>
      <w:r w:rsidRPr="002002D8">
        <w:rPr>
          <w:lang w:val="en-IN"/>
        </w:rPr>
        <w:t xml:space="preserve">, T., Macfarlane, M. </w:t>
      </w:r>
      <w:r w:rsidR="00AE40E6" w:rsidRPr="00AE40E6">
        <w:rPr>
          <w:i/>
          <w:iCs/>
          <w:lang w:val="en-IN"/>
        </w:rPr>
        <w:t>et al.</w:t>
      </w:r>
      <w:r w:rsidRPr="002002D8">
        <w:rPr>
          <w:lang w:val="en-IN"/>
        </w:rPr>
        <w:t xml:space="preserve"> 2016. Diagnostic value of neutrophil–lymphocyte and albumin–globulin ratios in canine soft tissue sarcoma. Journal of Small Animal Practice, </w:t>
      </w:r>
      <w:r w:rsidRPr="002002D8">
        <w:rPr>
          <w:i/>
          <w:iCs/>
          <w:lang w:val="en-IN"/>
        </w:rPr>
        <w:t>57</w:t>
      </w:r>
      <w:r w:rsidRPr="002002D8">
        <w:rPr>
          <w:lang w:val="en-IN"/>
        </w:rPr>
        <w:t>(3), 135-141.</w:t>
      </w:r>
    </w:p>
    <w:p w14:paraId="74BEFA71" w14:textId="77777777" w:rsidR="00AE40E6" w:rsidRPr="002002D8" w:rsidRDefault="00AE40E6" w:rsidP="002002D8">
      <w:pPr>
        <w:pStyle w:val="Body"/>
        <w:spacing w:after="0"/>
        <w:rPr>
          <w:lang w:val="en-IN"/>
        </w:rPr>
      </w:pPr>
    </w:p>
    <w:p w14:paraId="24003995" w14:textId="4079AC24" w:rsidR="002002D8" w:rsidRDefault="002002D8" w:rsidP="002002D8">
      <w:pPr>
        <w:pStyle w:val="Body"/>
        <w:spacing w:after="0"/>
        <w:rPr>
          <w:lang w:val="en-IN"/>
        </w:rPr>
      </w:pPr>
      <w:r w:rsidRPr="002002D8">
        <w:rPr>
          <w:lang w:val="en-IN"/>
        </w:rPr>
        <w:t xml:space="preserve">Mutz, M., Boudreaux, B., Kearney, M., </w:t>
      </w:r>
      <w:proofErr w:type="spellStart"/>
      <w:r w:rsidRPr="002002D8">
        <w:rPr>
          <w:lang w:val="en-IN"/>
        </w:rPr>
        <w:t>Stroda</w:t>
      </w:r>
      <w:proofErr w:type="spellEnd"/>
      <w:r w:rsidRPr="002002D8">
        <w:rPr>
          <w:lang w:val="en-IN"/>
        </w:rPr>
        <w:t xml:space="preserve">, K., Gaunt, S. </w:t>
      </w:r>
      <w:r w:rsidR="00AE40E6">
        <w:rPr>
          <w:lang w:val="en-IN"/>
        </w:rPr>
        <w:t>&amp;</w:t>
      </w:r>
      <w:r w:rsidRPr="002002D8">
        <w:rPr>
          <w:lang w:val="en-IN"/>
        </w:rPr>
        <w:t xml:space="preserve"> </w:t>
      </w:r>
      <w:proofErr w:type="spellStart"/>
      <w:r w:rsidRPr="002002D8">
        <w:rPr>
          <w:lang w:val="en-IN"/>
        </w:rPr>
        <w:t>Shiomitsu</w:t>
      </w:r>
      <w:proofErr w:type="spellEnd"/>
      <w:r w:rsidRPr="002002D8">
        <w:rPr>
          <w:lang w:val="en-IN"/>
        </w:rPr>
        <w:t xml:space="preserve">, K., </w:t>
      </w:r>
      <w:r w:rsidR="00AE40E6">
        <w:rPr>
          <w:lang w:val="en-IN"/>
        </w:rPr>
        <w:t>(</w:t>
      </w:r>
      <w:r w:rsidRPr="002002D8">
        <w:rPr>
          <w:lang w:val="en-IN"/>
        </w:rPr>
        <w:t>2015</w:t>
      </w:r>
      <w:r w:rsidR="00AE40E6">
        <w:rPr>
          <w:lang w:val="en-IN"/>
        </w:rPr>
        <w:t>)</w:t>
      </w:r>
      <w:r w:rsidRPr="002002D8">
        <w:rPr>
          <w:lang w:val="en-IN"/>
        </w:rPr>
        <w:t>. Prognostic value of baseline absolute lymphocyte concentration and neutrophil/lymphocyte ratio in dogs with newly diagnosed multi</w:t>
      </w:r>
      <w:r w:rsidRPr="002002D8">
        <w:rPr>
          <w:rFonts w:ascii="Cambria Math" w:hAnsi="Cambria Math" w:cs="Cambria Math"/>
          <w:lang w:val="en-IN"/>
        </w:rPr>
        <w:t>‐</w:t>
      </w:r>
      <w:r w:rsidRPr="002002D8">
        <w:rPr>
          <w:lang w:val="en-IN"/>
        </w:rPr>
        <w:t>centric lymphoma.</w:t>
      </w:r>
      <w:r w:rsidRPr="002002D8">
        <w:rPr>
          <w:rFonts w:cs="Helvetica"/>
          <w:lang w:val="en-IN"/>
        </w:rPr>
        <w:t> </w:t>
      </w:r>
      <w:r w:rsidRPr="002002D8">
        <w:rPr>
          <w:lang w:val="en-IN"/>
        </w:rPr>
        <w:t>Veterinary and Comparative Oncology, </w:t>
      </w:r>
      <w:r w:rsidRPr="002002D8">
        <w:rPr>
          <w:i/>
          <w:iCs/>
          <w:lang w:val="en-IN"/>
        </w:rPr>
        <w:t>13</w:t>
      </w:r>
      <w:r w:rsidRPr="002002D8">
        <w:rPr>
          <w:lang w:val="en-IN"/>
        </w:rPr>
        <w:t>(4), 337-347.</w:t>
      </w:r>
    </w:p>
    <w:p w14:paraId="16CDBFDE" w14:textId="77777777" w:rsidR="00AE40E6" w:rsidRPr="002002D8" w:rsidRDefault="00AE40E6" w:rsidP="002002D8">
      <w:pPr>
        <w:pStyle w:val="Body"/>
        <w:spacing w:after="0"/>
        <w:rPr>
          <w:lang w:val="en-IN"/>
        </w:rPr>
      </w:pPr>
    </w:p>
    <w:p w14:paraId="37ADBFFA" w14:textId="3C1E7248" w:rsidR="002002D8" w:rsidRDefault="002002D8" w:rsidP="002002D8">
      <w:pPr>
        <w:pStyle w:val="Body"/>
        <w:spacing w:after="0"/>
        <w:rPr>
          <w:lang w:val="en-IN"/>
        </w:rPr>
      </w:pPr>
      <w:r w:rsidRPr="002002D8">
        <w:rPr>
          <w:lang w:val="en-IN"/>
        </w:rPr>
        <w:t xml:space="preserve">Neumann, S., </w:t>
      </w:r>
      <w:r w:rsidR="000D0DB9">
        <w:rPr>
          <w:lang w:val="en-IN"/>
        </w:rPr>
        <w:t>(</w:t>
      </w:r>
      <w:r w:rsidRPr="002002D8">
        <w:rPr>
          <w:lang w:val="en-IN"/>
        </w:rPr>
        <w:t>2021</w:t>
      </w:r>
      <w:r w:rsidR="000D0DB9">
        <w:rPr>
          <w:lang w:val="en-IN"/>
        </w:rPr>
        <w:t>)</w:t>
      </w:r>
      <w:r w:rsidRPr="002002D8">
        <w:rPr>
          <w:lang w:val="en-IN"/>
        </w:rPr>
        <w:t>. Neutrophil</w:t>
      </w:r>
      <w:r w:rsidRPr="002002D8">
        <w:rPr>
          <w:rFonts w:ascii="Cambria Math" w:hAnsi="Cambria Math" w:cs="Cambria Math"/>
          <w:lang w:val="en-IN"/>
        </w:rPr>
        <w:t>‐</w:t>
      </w:r>
      <w:r w:rsidRPr="002002D8">
        <w:rPr>
          <w:lang w:val="en-IN"/>
        </w:rPr>
        <w:t>to</w:t>
      </w:r>
      <w:r w:rsidRPr="002002D8">
        <w:rPr>
          <w:rFonts w:ascii="Cambria Math" w:hAnsi="Cambria Math" w:cs="Cambria Math"/>
          <w:lang w:val="en-IN"/>
        </w:rPr>
        <w:t>‐</w:t>
      </w:r>
      <w:r w:rsidRPr="002002D8">
        <w:rPr>
          <w:lang w:val="en-IN"/>
        </w:rPr>
        <w:t>lymphocyte and platelet</w:t>
      </w:r>
      <w:r w:rsidRPr="002002D8">
        <w:rPr>
          <w:rFonts w:ascii="Cambria Math" w:hAnsi="Cambria Math" w:cs="Cambria Math"/>
          <w:lang w:val="en-IN"/>
        </w:rPr>
        <w:t>‐</w:t>
      </w:r>
      <w:r w:rsidRPr="002002D8">
        <w:rPr>
          <w:lang w:val="en-IN"/>
        </w:rPr>
        <w:t>to</w:t>
      </w:r>
      <w:r w:rsidRPr="002002D8">
        <w:rPr>
          <w:rFonts w:ascii="Cambria Math" w:hAnsi="Cambria Math" w:cs="Cambria Math"/>
          <w:lang w:val="en-IN"/>
        </w:rPr>
        <w:t>‐</w:t>
      </w:r>
      <w:r w:rsidRPr="002002D8">
        <w:rPr>
          <w:lang w:val="en-IN"/>
        </w:rPr>
        <w:t>lymphocyte ratios in dogs and cats with acute pancreatitis.</w:t>
      </w:r>
      <w:r w:rsidRPr="002002D8">
        <w:rPr>
          <w:rFonts w:cs="Helvetica"/>
          <w:lang w:val="en-IN"/>
        </w:rPr>
        <w:t> </w:t>
      </w:r>
      <w:proofErr w:type="gramStart"/>
      <w:r w:rsidRPr="002002D8">
        <w:rPr>
          <w:lang w:val="en-IN"/>
        </w:rPr>
        <w:t>Vet</w:t>
      </w:r>
      <w:r w:rsidR="00AE40E6" w:rsidRPr="000D0DB9">
        <w:rPr>
          <w:lang w:val="en-IN"/>
        </w:rPr>
        <w:t xml:space="preserve">erinary </w:t>
      </w:r>
      <w:r w:rsidRPr="002002D8">
        <w:rPr>
          <w:lang w:val="en-IN"/>
        </w:rPr>
        <w:t xml:space="preserve"> Clin</w:t>
      </w:r>
      <w:r w:rsidR="00AE40E6" w:rsidRPr="000D0DB9">
        <w:rPr>
          <w:lang w:val="en-IN"/>
        </w:rPr>
        <w:t>ical</w:t>
      </w:r>
      <w:proofErr w:type="gramEnd"/>
      <w:r w:rsidRPr="002002D8">
        <w:rPr>
          <w:lang w:val="en-IN"/>
        </w:rPr>
        <w:t xml:space="preserve"> Pathol</w:t>
      </w:r>
      <w:r w:rsidR="00AE40E6" w:rsidRPr="000D0DB9">
        <w:rPr>
          <w:lang w:val="en-IN"/>
        </w:rPr>
        <w:t>ogy</w:t>
      </w:r>
      <w:r w:rsidR="000D0DB9">
        <w:rPr>
          <w:i/>
          <w:iCs/>
          <w:lang w:val="en-IN"/>
        </w:rPr>
        <w:t xml:space="preserve">, </w:t>
      </w:r>
      <w:r w:rsidRPr="002002D8">
        <w:rPr>
          <w:b/>
          <w:bCs/>
          <w:lang w:val="en-IN"/>
        </w:rPr>
        <w:t>50</w:t>
      </w:r>
      <w:r w:rsidRPr="002002D8">
        <w:rPr>
          <w:lang w:val="en-IN"/>
        </w:rPr>
        <w:t>: 45-51.</w:t>
      </w:r>
    </w:p>
    <w:p w14:paraId="7713066D" w14:textId="2C837690" w:rsidR="00706E79" w:rsidRDefault="00706E79" w:rsidP="002002D8">
      <w:pPr>
        <w:pStyle w:val="Body"/>
        <w:spacing w:after="0"/>
        <w:rPr>
          <w:lang w:val="en-IN"/>
        </w:rPr>
      </w:pPr>
    </w:p>
    <w:p w14:paraId="190FA20C" w14:textId="77777777" w:rsidR="000D0DB9" w:rsidRPr="002002D8" w:rsidRDefault="000D0DB9" w:rsidP="002002D8">
      <w:pPr>
        <w:pStyle w:val="Body"/>
        <w:spacing w:after="0"/>
        <w:rPr>
          <w:lang w:val="en-IN"/>
        </w:rPr>
      </w:pPr>
    </w:p>
    <w:p w14:paraId="1FAAB22A" w14:textId="1F8E387A" w:rsidR="002002D8" w:rsidRDefault="002002D8" w:rsidP="002002D8">
      <w:pPr>
        <w:pStyle w:val="Body"/>
        <w:spacing w:after="0"/>
        <w:rPr>
          <w:lang w:val="en-IN"/>
        </w:rPr>
      </w:pPr>
      <w:proofErr w:type="spellStart"/>
      <w:r w:rsidRPr="002002D8">
        <w:rPr>
          <w:lang w:val="en-IN"/>
        </w:rPr>
        <w:t>Pierini</w:t>
      </w:r>
      <w:proofErr w:type="spellEnd"/>
      <w:r w:rsidRPr="002002D8">
        <w:rPr>
          <w:lang w:val="en-IN"/>
        </w:rPr>
        <w:t xml:space="preserve">, A., Esposito, G., Gori, E., </w:t>
      </w:r>
      <w:proofErr w:type="spellStart"/>
      <w:r w:rsidRPr="002002D8">
        <w:rPr>
          <w:lang w:val="en-IN"/>
        </w:rPr>
        <w:t>Benvenuti</w:t>
      </w:r>
      <w:proofErr w:type="spellEnd"/>
      <w:r w:rsidRPr="002002D8">
        <w:rPr>
          <w:lang w:val="en-IN"/>
        </w:rPr>
        <w:t xml:space="preserve">, E., Ruggiero, P., </w:t>
      </w:r>
      <w:proofErr w:type="spellStart"/>
      <w:r w:rsidRPr="002002D8">
        <w:rPr>
          <w:lang w:val="en-IN"/>
        </w:rPr>
        <w:t>Lubas</w:t>
      </w:r>
      <w:proofErr w:type="spellEnd"/>
      <w:r w:rsidRPr="002002D8">
        <w:rPr>
          <w:lang w:val="en-IN"/>
        </w:rPr>
        <w:t xml:space="preserve">, G. </w:t>
      </w:r>
      <w:r w:rsidR="000D0DB9" w:rsidRPr="000D0DB9">
        <w:rPr>
          <w:i/>
          <w:iCs/>
          <w:lang w:val="en-IN"/>
        </w:rPr>
        <w:t>et al</w:t>
      </w:r>
      <w:r w:rsidR="000D0DB9">
        <w:rPr>
          <w:lang w:val="en-IN"/>
        </w:rPr>
        <w:t>.</w:t>
      </w:r>
      <w:r w:rsidRPr="002002D8">
        <w:rPr>
          <w:lang w:val="en-IN"/>
        </w:rPr>
        <w:t xml:space="preserve"> </w:t>
      </w:r>
      <w:r w:rsidR="000D0DB9">
        <w:rPr>
          <w:lang w:val="en-IN"/>
        </w:rPr>
        <w:t>(</w:t>
      </w:r>
      <w:r w:rsidRPr="002002D8">
        <w:rPr>
          <w:lang w:val="en-IN"/>
        </w:rPr>
        <w:t>2021</w:t>
      </w:r>
      <w:r w:rsidR="000D0DB9">
        <w:rPr>
          <w:lang w:val="en-IN"/>
        </w:rPr>
        <w:t>)</w:t>
      </w:r>
      <w:r w:rsidRPr="002002D8">
        <w:rPr>
          <w:lang w:val="en-IN"/>
        </w:rPr>
        <w:t>. Platelet abnormalities and platelet-to-lymphocyte ratios in canine immunosuppressant-responsive and non-responsive enteropathy: A retrospective study in 41 dogs. Journal of Veterinary Medical Science, </w:t>
      </w:r>
      <w:r w:rsidRPr="002002D8">
        <w:rPr>
          <w:i/>
          <w:iCs/>
          <w:lang w:val="en-IN"/>
        </w:rPr>
        <w:t>83</w:t>
      </w:r>
      <w:r w:rsidRPr="002002D8">
        <w:rPr>
          <w:lang w:val="en-IN"/>
        </w:rPr>
        <w:t>(2), 248-253.</w:t>
      </w:r>
    </w:p>
    <w:p w14:paraId="2E195452" w14:textId="77777777" w:rsidR="000D0DB9" w:rsidRPr="002002D8" w:rsidRDefault="000D0DB9" w:rsidP="002002D8">
      <w:pPr>
        <w:pStyle w:val="Body"/>
        <w:spacing w:after="0"/>
        <w:rPr>
          <w:lang w:val="en-IN"/>
        </w:rPr>
      </w:pPr>
    </w:p>
    <w:p w14:paraId="7281AEA6" w14:textId="19C2C441" w:rsidR="002002D8" w:rsidRDefault="002002D8" w:rsidP="002002D8">
      <w:pPr>
        <w:pStyle w:val="Body"/>
        <w:spacing w:after="0"/>
        <w:rPr>
          <w:lang w:val="en-IN"/>
        </w:rPr>
      </w:pPr>
      <w:proofErr w:type="spellStart"/>
      <w:r w:rsidRPr="002002D8">
        <w:rPr>
          <w:lang w:val="en-IN"/>
        </w:rPr>
        <w:t>Pierini</w:t>
      </w:r>
      <w:proofErr w:type="spellEnd"/>
      <w:r w:rsidRPr="002002D8">
        <w:rPr>
          <w:lang w:val="en-IN"/>
        </w:rPr>
        <w:t xml:space="preserve">, A., Gori, E., Lippi, I., </w:t>
      </w:r>
      <w:proofErr w:type="spellStart"/>
      <w:r w:rsidRPr="002002D8">
        <w:rPr>
          <w:lang w:val="en-IN"/>
        </w:rPr>
        <w:t>Ceccherini</w:t>
      </w:r>
      <w:proofErr w:type="spellEnd"/>
      <w:r w:rsidRPr="002002D8">
        <w:rPr>
          <w:lang w:val="en-IN"/>
        </w:rPr>
        <w:t xml:space="preserve">, G., </w:t>
      </w:r>
      <w:proofErr w:type="spellStart"/>
      <w:r w:rsidRPr="002002D8">
        <w:rPr>
          <w:lang w:val="en-IN"/>
        </w:rPr>
        <w:t>Lubas</w:t>
      </w:r>
      <w:proofErr w:type="spellEnd"/>
      <w:r w:rsidRPr="002002D8">
        <w:rPr>
          <w:lang w:val="en-IN"/>
        </w:rPr>
        <w:t xml:space="preserve">, G. </w:t>
      </w:r>
      <w:r w:rsidR="000D0DB9">
        <w:rPr>
          <w:lang w:val="en-IN"/>
        </w:rPr>
        <w:t>&amp;</w:t>
      </w:r>
      <w:r w:rsidRPr="002002D8">
        <w:rPr>
          <w:lang w:val="en-IN"/>
        </w:rPr>
        <w:t xml:space="preserve"> Marchetti, V., </w:t>
      </w:r>
      <w:r w:rsidR="000D0DB9">
        <w:rPr>
          <w:lang w:val="en-IN"/>
        </w:rPr>
        <w:t>(</w:t>
      </w:r>
      <w:r w:rsidRPr="002002D8">
        <w:rPr>
          <w:lang w:val="en-IN"/>
        </w:rPr>
        <w:t>2019</w:t>
      </w:r>
      <w:r w:rsidR="000D0DB9">
        <w:rPr>
          <w:lang w:val="en-IN"/>
        </w:rPr>
        <w:t>)</w:t>
      </w:r>
      <w:r w:rsidRPr="002002D8">
        <w:rPr>
          <w:lang w:val="en-IN"/>
        </w:rPr>
        <w:t>. Neutrophil-to-lymphocyte ratio, nucleated red blood cells and erythrocyte abnormalities in canine systemic inflammatory response syndrome. Research in Veterinary Science, </w:t>
      </w:r>
      <w:r w:rsidRPr="002002D8">
        <w:rPr>
          <w:i/>
          <w:iCs/>
          <w:lang w:val="en-IN"/>
        </w:rPr>
        <w:t>126</w:t>
      </w:r>
      <w:r w:rsidRPr="002002D8">
        <w:rPr>
          <w:lang w:val="en-IN"/>
        </w:rPr>
        <w:t>, 150-154.</w:t>
      </w:r>
    </w:p>
    <w:p w14:paraId="5FEFB233" w14:textId="32D70E14" w:rsidR="00D7107E" w:rsidRDefault="00D7107E" w:rsidP="002002D8">
      <w:pPr>
        <w:pStyle w:val="Body"/>
        <w:spacing w:after="0"/>
        <w:rPr>
          <w:lang w:val="en-IN"/>
        </w:rPr>
      </w:pPr>
    </w:p>
    <w:p w14:paraId="7F43D2EE" w14:textId="66AD4CC7" w:rsidR="00D7107E" w:rsidRDefault="00D7107E" w:rsidP="002002D8">
      <w:pPr>
        <w:pStyle w:val="Body"/>
        <w:spacing w:after="0"/>
        <w:rPr>
          <w:lang w:val="en-IN"/>
        </w:rPr>
      </w:pPr>
      <w:r w:rsidRPr="00D7107E">
        <w:t xml:space="preserve">Platt, S.R., </w:t>
      </w:r>
      <w:proofErr w:type="spellStart"/>
      <w:r w:rsidRPr="00D7107E">
        <w:t>Radaelli</w:t>
      </w:r>
      <w:proofErr w:type="spellEnd"/>
      <w:r w:rsidRPr="00D7107E">
        <w:t xml:space="preserve">, S.T. </w:t>
      </w:r>
      <w:r>
        <w:t>&amp;</w:t>
      </w:r>
      <w:r w:rsidRPr="00D7107E">
        <w:t xml:space="preserve"> McDonnell, J.J., </w:t>
      </w:r>
      <w:r>
        <w:t>(</w:t>
      </w:r>
      <w:r w:rsidRPr="00D7107E">
        <w:t>201</w:t>
      </w:r>
      <w:r>
        <w:t>0</w:t>
      </w:r>
      <w:r w:rsidR="00A60455">
        <w:t>)</w:t>
      </w:r>
      <w:r w:rsidRPr="00D7107E">
        <w:t>. The prognostic value of the modified Glasgow Coma Scale in head trauma in dogs. Journal of Veterinary Internal Medicine, </w:t>
      </w:r>
      <w:r w:rsidRPr="00D7107E">
        <w:rPr>
          <w:i/>
          <w:iCs/>
        </w:rPr>
        <w:t>15</w:t>
      </w:r>
      <w:r w:rsidRPr="00D7107E">
        <w:t>(6), 581-584.</w:t>
      </w:r>
    </w:p>
    <w:p w14:paraId="428E8B0A" w14:textId="520C42C8" w:rsidR="00114C75" w:rsidRDefault="00114C75" w:rsidP="002002D8">
      <w:pPr>
        <w:pStyle w:val="Body"/>
        <w:spacing w:after="0"/>
        <w:rPr>
          <w:lang w:val="en-IN"/>
        </w:rPr>
      </w:pPr>
    </w:p>
    <w:p w14:paraId="7C179550" w14:textId="015926F4" w:rsidR="00114C75" w:rsidRDefault="00114C75" w:rsidP="00114C75">
      <w:pPr>
        <w:pStyle w:val="Body"/>
        <w:spacing w:after="0"/>
        <w:rPr>
          <w:lang w:val="en-IN"/>
        </w:rPr>
      </w:pPr>
      <w:proofErr w:type="spellStart"/>
      <w:r w:rsidRPr="00114C75">
        <w:rPr>
          <w:lang w:val="en-IN"/>
        </w:rPr>
        <w:t>Rejec</w:t>
      </w:r>
      <w:proofErr w:type="spellEnd"/>
      <w:r w:rsidRPr="00114C75">
        <w:rPr>
          <w:lang w:val="en-IN"/>
        </w:rPr>
        <w:t xml:space="preserve">, A., </w:t>
      </w:r>
      <w:proofErr w:type="spellStart"/>
      <w:r w:rsidRPr="00114C75">
        <w:rPr>
          <w:lang w:val="en-IN"/>
        </w:rPr>
        <w:t>Butinar</w:t>
      </w:r>
      <w:proofErr w:type="spellEnd"/>
      <w:r w:rsidRPr="00114C75">
        <w:rPr>
          <w:lang w:val="en-IN"/>
        </w:rPr>
        <w:t xml:space="preserve">, J., </w:t>
      </w:r>
      <w:proofErr w:type="spellStart"/>
      <w:r w:rsidRPr="00114C75">
        <w:rPr>
          <w:lang w:val="en-IN"/>
        </w:rPr>
        <w:t>Gawor</w:t>
      </w:r>
      <w:proofErr w:type="spellEnd"/>
      <w:r w:rsidRPr="00114C75">
        <w:rPr>
          <w:lang w:val="en-IN"/>
        </w:rPr>
        <w:t xml:space="preserve">, J., &amp; </w:t>
      </w:r>
      <w:proofErr w:type="spellStart"/>
      <w:r w:rsidRPr="00114C75">
        <w:rPr>
          <w:lang w:val="en-IN"/>
        </w:rPr>
        <w:t>Petelin</w:t>
      </w:r>
      <w:proofErr w:type="spellEnd"/>
      <w:r w:rsidRPr="00114C75">
        <w:rPr>
          <w:lang w:val="en-IN"/>
        </w:rPr>
        <w:t xml:space="preserve">, M., (2017). Evaluation of complete blood count indices (NLR, PLR, MPV/PLT, and </w:t>
      </w:r>
      <w:proofErr w:type="spellStart"/>
      <w:r w:rsidRPr="00114C75">
        <w:rPr>
          <w:lang w:val="en-IN"/>
        </w:rPr>
        <w:t>PLCRi</w:t>
      </w:r>
      <w:proofErr w:type="spellEnd"/>
      <w:r w:rsidRPr="00114C75">
        <w:rPr>
          <w:lang w:val="en-IN"/>
        </w:rPr>
        <w:t xml:space="preserve">) in healthy dogs, dogs with periodontitis, and dogs with oropharyngeal </w:t>
      </w:r>
      <w:proofErr w:type="spellStart"/>
      <w:r w:rsidRPr="00114C75">
        <w:rPr>
          <w:lang w:val="en-IN"/>
        </w:rPr>
        <w:t>tumors</w:t>
      </w:r>
      <w:proofErr w:type="spellEnd"/>
      <w:r w:rsidRPr="00114C75">
        <w:rPr>
          <w:lang w:val="en-IN"/>
        </w:rPr>
        <w:t xml:space="preserve"> as potential biomarkers of systemic inflammatory response. Journal of Veterinary Dentistry, 34(4), 231-240.</w:t>
      </w:r>
    </w:p>
    <w:p w14:paraId="5437FDE3" w14:textId="1A96F36A" w:rsidR="00624C81" w:rsidRDefault="00624C81" w:rsidP="00114C75">
      <w:pPr>
        <w:pStyle w:val="Body"/>
        <w:spacing w:after="0"/>
        <w:rPr>
          <w:lang w:val="en-IN"/>
        </w:rPr>
      </w:pPr>
    </w:p>
    <w:p w14:paraId="2C04D8CA" w14:textId="1E29B8DF" w:rsidR="00624C81" w:rsidRPr="00114C75" w:rsidRDefault="00624C81" w:rsidP="00114C75">
      <w:pPr>
        <w:pStyle w:val="Body"/>
        <w:spacing w:after="0"/>
        <w:rPr>
          <w:lang w:val="en-IN"/>
        </w:rPr>
      </w:pPr>
      <w:proofErr w:type="spellStart"/>
      <w:r w:rsidRPr="00624C81">
        <w:lastRenderedPageBreak/>
        <w:t>Ripanti</w:t>
      </w:r>
      <w:proofErr w:type="spellEnd"/>
      <w:r w:rsidRPr="00624C81">
        <w:t xml:space="preserve">, D., Dino, G., </w:t>
      </w:r>
      <w:proofErr w:type="spellStart"/>
      <w:r w:rsidRPr="00624C81">
        <w:t>Piovano</w:t>
      </w:r>
      <w:proofErr w:type="spellEnd"/>
      <w:r w:rsidRPr="00624C81">
        <w:t>, G.</w:t>
      </w:r>
      <w:r>
        <w:t>,</w:t>
      </w:r>
      <w:r w:rsidRPr="00624C81">
        <w:t xml:space="preserve"> </w:t>
      </w:r>
      <w:r>
        <w:t>&amp;</w:t>
      </w:r>
      <w:r w:rsidRPr="00624C81">
        <w:t xml:space="preserve"> </w:t>
      </w:r>
      <w:proofErr w:type="spellStart"/>
      <w:r w:rsidRPr="00624C81">
        <w:t>Farca</w:t>
      </w:r>
      <w:proofErr w:type="spellEnd"/>
      <w:r w:rsidRPr="00624C81">
        <w:t xml:space="preserve">, A.M. </w:t>
      </w:r>
      <w:r>
        <w:t>(</w:t>
      </w:r>
      <w:r w:rsidRPr="00624C81">
        <w:t>2012</w:t>
      </w:r>
      <w:r>
        <w:t>)</w:t>
      </w:r>
      <w:r w:rsidRPr="00624C81">
        <w:t xml:space="preserve">. Application of the sequential organ failure assessment score to predict outcome in critically ill dogs: preliminary results. Schweizer </w:t>
      </w:r>
      <w:proofErr w:type="spellStart"/>
      <w:r w:rsidRPr="00624C81">
        <w:t>Archivf</w:t>
      </w:r>
      <w:r>
        <w:t>u</w:t>
      </w:r>
      <w:r w:rsidRPr="00624C81">
        <w:t>r</w:t>
      </w:r>
      <w:proofErr w:type="spellEnd"/>
      <w:r w:rsidRPr="00624C81">
        <w:t xml:space="preserve"> </w:t>
      </w:r>
      <w:proofErr w:type="spellStart"/>
      <w:r w:rsidRPr="00624C81">
        <w:t>Tierheilkunde</w:t>
      </w:r>
      <w:proofErr w:type="spellEnd"/>
      <w:r w:rsidRPr="00624C81">
        <w:t>. 154</w:t>
      </w:r>
      <w:r>
        <w:t>(8),</w:t>
      </w:r>
      <w:r w:rsidRPr="00624C81">
        <w:t xml:space="preserve"> 325.</w:t>
      </w:r>
    </w:p>
    <w:p w14:paraId="3B6AE645" w14:textId="77777777" w:rsidR="00114C75" w:rsidRDefault="00114C75" w:rsidP="002002D8">
      <w:pPr>
        <w:pStyle w:val="Body"/>
        <w:spacing w:after="0"/>
        <w:rPr>
          <w:lang w:val="en-IN"/>
        </w:rPr>
      </w:pPr>
    </w:p>
    <w:p w14:paraId="31B32F48" w14:textId="70538E10" w:rsidR="00AE3ED5" w:rsidRDefault="00AE3ED5" w:rsidP="002002D8">
      <w:pPr>
        <w:pStyle w:val="Body"/>
        <w:spacing w:after="0"/>
        <w:rPr>
          <w:lang w:val="en-IN"/>
        </w:rPr>
      </w:pPr>
    </w:p>
    <w:p w14:paraId="230F5857" w14:textId="1D65426E" w:rsidR="00AE3ED5" w:rsidRDefault="00AE3ED5" w:rsidP="00AE3ED5">
      <w:pPr>
        <w:pStyle w:val="Body"/>
        <w:spacing w:after="0"/>
        <w:rPr>
          <w:lang w:val="en-IN"/>
        </w:rPr>
      </w:pPr>
      <w:proofErr w:type="spellStart"/>
      <w:r w:rsidRPr="00AE3ED5">
        <w:rPr>
          <w:lang w:val="en-IN"/>
        </w:rPr>
        <w:t>Salciccioli</w:t>
      </w:r>
      <w:proofErr w:type="spellEnd"/>
      <w:r w:rsidRPr="00AE3ED5">
        <w:rPr>
          <w:lang w:val="en-IN"/>
        </w:rPr>
        <w:t xml:space="preserve">, J.D., Marshall, D.C., Pimentel, M.A., Santos, M.D., Pollard, T., </w:t>
      </w:r>
      <w:r>
        <w:rPr>
          <w:lang w:val="en-IN"/>
        </w:rPr>
        <w:t xml:space="preserve">&amp; </w:t>
      </w:r>
      <w:proofErr w:type="spellStart"/>
      <w:r w:rsidRPr="00AE3ED5">
        <w:rPr>
          <w:lang w:val="en-IN"/>
        </w:rPr>
        <w:t>Celi</w:t>
      </w:r>
      <w:proofErr w:type="spellEnd"/>
      <w:r w:rsidRPr="00AE3ED5">
        <w:rPr>
          <w:lang w:val="en-IN"/>
        </w:rPr>
        <w:t xml:space="preserve">, L.A. </w:t>
      </w:r>
      <w:r>
        <w:rPr>
          <w:lang w:val="en-IN"/>
        </w:rPr>
        <w:t>(</w:t>
      </w:r>
      <w:r w:rsidRPr="00AE3ED5">
        <w:rPr>
          <w:lang w:val="en-IN"/>
        </w:rPr>
        <w:t>2015</w:t>
      </w:r>
      <w:r>
        <w:rPr>
          <w:lang w:val="en-IN"/>
        </w:rPr>
        <w:t>)</w:t>
      </w:r>
      <w:r w:rsidRPr="00AE3ED5">
        <w:rPr>
          <w:lang w:val="en-IN"/>
        </w:rPr>
        <w:t>. The association between the neutrophil-to-lymphocyte ratio and mortality in critical illness: an observational cohort study. Critical care, 19, 1-8.</w:t>
      </w:r>
    </w:p>
    <w:p w14:paraId="50B2308E" w14:textId="7094DF41" w:rsidR="00114C75" w:rsidRDefault="00114C75" w:rsidP="00AE3ED5">
      <w:pPr>
        <w:pStyle w:val="Body"/>
        <w:spacing w:after="0"/>
        <w:rPr>
          <w:lang w:val="en-IN"/>
        </w:rPr>
      </w:pPr>
    </w:p>
    <w:p w14:paraId="0033CA18" w14:textId="1680199B" w:rsidR="00114C75" w:rsidRPr="00114C75" w:rsidRDefault="00114C75" w:rsidP="00114C75">
      <w:pPr>
        <w:pStyle w:val="Body"/>
        <w:spacing w:after="0"/>
        <w:rPr>
          <w:lang w:val="en-IN"/>
        </w:rPr>
      </w:pPr>
      <w:r w:rsidRPr="00114C75">
        <w:rPr>
          <w:lang w:val="en-IN"/>
        </w:rPr>
        <w:t xml:space="preserve">Shen, Y., Huang, X. </w:t>
      </w:r>
      <w:r>
        <w:rPr>
          <w:lang w:val="en-IN"/>
        </w:rPr>
        <w:t>&amp;</w:t>
      </w:r>
      <w:r w:rsidRPr="00114C75">
        <w:rPr>
          <w:lang w:val="en-IN"/>
        </w:rPr>
        <w:t xml:space="preserve"> Zhang, W., </w:t>
      </w:r>
      <w:r>
        <w:rPr>
          <w:lang w:val="en-IN"/>
        </w:rPr>
        <w:t>(</w:t>
      </w:r>
      <w:r w:rsidRPr="00114C75">
        <w:rPr>
          <w:lang w:val="en-IN"/>
        </w:rPr>
        <w:t>2019</w:t>
      </w:r>
      <w:r>
        <w:rPr>
          <w:lang w:val="en-IN"/>
        </w:rPr>
        <w:t>)</w:t>
      </w:r>
      <w:r w:rsidRPr="00114C75">
        <w:rPr>
          <w:lang w:val="en-IN"/>
        </w:rPr>
        <w:t>. Platelet-to-lymphocyte ratio as a prognostic predictor of mortality for sepsis: interaction effect with disease severity—a retrospective study. BMJ</w:t>
      </w:r>
      <w:r w:rsidRPr="00114C75">
        <w:rPr>
          <w:i/>
          <w:iCs/>
          <w:lang w:val="en-IN"/>
        </w:rPr>
        <w:t xml:space="preserve"> open</w:t>
      </w:r>
      <w:r w:rsidRPr="00114C75">
        <w:rPr>
          <w:lang w:val="en-IN"/>
        </w:rPr>
        <w:t>, </w:t>
      </w:r>
      <w:r w:rsidRPr="00114C75">
        <w:rPr>
          <w:i/>
          <w:iCs/>
          <w:lang w:val="en-IN"/>
        </w:rPr>
        <w:t>9</w:t>
      </w:r>
      <w:r w:rsidRPr="00114C75">
        <w:rPr>
          <w:lang w:val="en-IN"/>
        </w:rPr>
        <w:t>(1), 022896.</w:t>
      </w:r>
    </w:p>
    <w:p w14:paraId="1A45B1D5" w14:textId="77777777" w:rsidR="00114C75" w:rsidRPr="00AE3ED5" w:rsidRDefault="00114C75" w:rsidP="00AE3ED5">
      <w:pPr>
        <w:pStyle w:val="Body"/>
        <w:spacing w:after="0"/>
        <w:rPr>
          <w:lang w:val="en-IN"/>
        </w:rPr>
      </w:pPr>
    </w:p>
    <w:p w14:paraId="507DF233" w14:textId="77777777" w:rsidR="00AE3ED5" w:rsidRDefault="00AE3ED5" w:rsidP="002002D8">
      <w:pPr>
        <w:pStyle w:val="Body"/>
        <w:spacing w:after="0"/>
        <w:rPr>
          <w:lang w:val="en-IN"/>
        </w:rPr>
      </w:pPr>
    </w:p>
    <w:p w14:paraId="6A513F9F" w14:textId="30A5C702" w:rsidR="009D5392" w:rsidRDefault="009D5392" w:rsidP="002002D8">
      <w:pPr>
        <w:pStyle w:val="Body"/>
        <w:spacing w:after="0"/>
        <w:rPr>
          <w:lang w:val="en-IN"/>
        </w:rPr>
      </w:pPr>
    </w:p>
    <w:p w14:paraId="62D07576" w14:textId="18175FB1" w:rsidR="009D5392" w:rsidRDefault="009D5392" w:rsidP="002002D8">
      <w:pPr>
        <w:pStyle w:val="Body"/>
        <w:spacing w:after="0"/>
      </w:pPr>
      <w:r w:rsidRPr="009D5392">
        <w:t>Sun, Y.</w:t>
      </w:r>
      <w:r>
        <w:t>,</w:t>
      </w:r>
      <w:r w:rsidRPr="009D5392">
        <w:t xml:space="preserve"> Li, W.Q</w:t>
      </w:r>
      <w:r>
        <w:t>.</w:t>
      </w:r>
      <w:r w:rsidRPr="009D5392">
        <w:t>, Li, A.J.</w:t>
      </w:r>
      <w:r>
        <w:t>,</w:t>
      </w:r>
      <w:r w:rsidRPr="009D5392">
        <w:t xml:space="preserve"> </w:t>
      </w:r>
      <w:proofErr w:type="spellStart"/>
      <w:r w:rsidRPr="009D5392">
        <w:t>Su</w:t>
      </w:r>
      <w:proofErr w:type="spellEnd"/>
      <w:r w:rsidRPr="009D5392">
        <w:t>, H.C.</w:t>
      </w:r>
      <w:r>
        <w:t>,</w:t>
      </w:r>
      <w:r w:rsidRPr="009D5392">
        <w:t xml:space="preserve"> Yue, J.B. </w:t>
      </w:r>
      <w:r>
        <w:t>&amp;</w:t>
      </w:r>
      <w:r w:rsidRPr="009D5392">
        <w:t xml:space="preserve"> Yu, J.M.</w:t>
      </w:r>
      <w:r>
        <w:t>,</w:t>
      </w:r>
      <w:r w:rsidRPr="009D5392">
        <w:t xml:space="preserve"> (2019)</w:t>
      </w:r>
      <w:r>
        <w:t>.</w:t>
      </w:r>
      <w:r w:rsidRPr="009D5392">
        <w:t xml:space="preserve"> Increased systemic immune inflammation index independently predicts poor survival for hormone receptor-negative, HER2 positive breast cancer patients. Cancer Management and Research, 11, 3153-3162.</w:t>
      </w:r>
    </w:p>
    <w:p w14:paraId="53BEB86E" w14:textId="56444634" w:rsidR="00AE6300" w:rsidRDefault="00AE6300" w:rsidP="002002D8">
      <w:pPr>
        <w:pStyle w:val="Body"/>
        <w:spacing w:after="0"/>
      </w:pPr>
    </w:p>
    <w:p w14:paraId="1446167B" w14:textId="5D8DF8F4" w:rsidR="00AE6300" w:rsidRDefault="00AE6300" w:rsidP="002002D8">
      <w:pPr>
        <w:pStyle w:val="Body"/>
        <w:spacing w:after="0"/>
      </w:pPr>
      <w:r w:rsidRPr="00AE6300">
        <w:t xml:space="preserve">Thomas, E. and </w:t>
      </w:r>
      <w:proofErr w:type="spellStart"/>
      <w:r w:rsidRPr="00AE6300">
        <w:t>Boller</w:t>
      </w:r>
      <w:proofErr w:type="spellEnd"/>
      <w:r w:rsidRPr="00AE6300">
        <w:t xml:space="preserve">, E. 2018. Assessment and treatment of shock. In: King, L. G. and </w:t>
      </w:r>
      <w:proofErr w:type="spellStart"/>
      <w:r w:rsidRPr="00AE6300">
        <w:t>Boag</w:t>
      </w:r>
      <w:proofErr w:type="spellEnd"/>
      <w:r w:rsidRPr="00AE6300">
        <w:t xml:space="preserve">, A. (ed.), BSAVA Manual of Canine and Feline Emergency and Critical Care. (3rd Ed.). </w:t>
      </w:r>
      <w:proofErr w:type="spellStart"/>
      <w:r w:rsidRPr="00AE6300">
        <w:t>Aberystwyth</w:t>
      </w:r>
      <w:proofErr w:type="spellEnd"/>
      <w:r w:rsidRPr="00AE6300">
        <w:t>, UK, pp. 17-28.</w:t>
      </w:r>
    </w:p>
    <w:p w14:paraId="2A949D9B" w14:textId="64BF2296" w:rsidR="00FB2D11" w:rsidRDefault="00FB2D11" w:rsidP="002002D8">
      <w:pPr>
        <w:pStyle w:val="Body"/>
        <w:spacing w:after="0"/>
      </w:pPr>
    </w:p>
    <w:p w14:paraId="575C4FDE" w14:textId="2010DFBB" w:rsidR="00624C81" w:rsidRDefault="00624C81" w:rsidP="004607AF">
      <w:pPr>
        <w:pStyle w:val="Body"/>
      </w:pPr>
      <w:proofErr w:type="spellStart"/>
      <w:r w:rsidRPr="00624C81">
        <w:t>Troia</w:t>
      </w:r>
      <w:proofErr w:type="spellEnd"/>
      <w:r w:rsidRPr="00624C81">
        <w:t xml:space="preserve">, R., </w:t>
      </w:r>
      <w:proofErr w:type="spellStart"/>
      <w:r w:rsidRPr="00624C81">
        <w:t>Giunti</w:t>
      </w:r>
      <w:proofErr w:type="spellEnd"/>
      <w:r w:rsidRPr="00624C81">
        <w:t>, M.</w:t>
      </w:r>
      <w:r>
        <w:t>,</w:t>
      </w:r>
      <w:r w:rsidRPr="00624C81">
        <w:t xml:space="preserve"> </w:t>
      </w:r>
      <w:r>
        <w:t>&amp;</w:t>
      </w:r>
      <w:r w:rsidRPr="00624C81">
        <w:t xml:space="preserve"> </w:t>
      </w:r>
      <w:proofErr w:type="spellStart"/>
      <w:r w:rsidRPr="00624C81">
        <w:t>Goggs</w:t>
      </w:r>
      <w:proofErr w:type="spellEnd"/>
      <w:r w:rsidRPr="00624C81">
        <w:t xml:space="preserve">, R. </w:t>
      </w:r>
      <w:r>
        <w:t>(</w:t>
      </w:r>
      <w:r w:rsidRPr="00624C81">
        <w:t>2018</w:t>
      </w:r>
      <w:r>
        <w:t>)</w:t>
      </w:r>
      <w:r w:rsidRPr="00624C81">
        <w:t xml:space="preserve">. Plasma procalcitonin concentrations predict organ dysfunction and outcome in dogs with sepsis. </w:t>
      </w:r>
      <w:r w:rsidR="004607AF" w:rsidRPr="004607AF">
        <w:rPr>
          <w:bCs/>
          <w:lang w:val="en-IN"/>
        </w:rPr>
        <w:t>BMC Veterinary Research</w:t>
      </w:r>
      <w:r w:rsidR="004607AF">
        <w:rPr>
          <w:bCs/>
          <w:lang w:val="en-IN"/>
        </w:rPr>
        <w:t xml:space="preserve">, </w:t>
      </w:r>
      <w:r w:rsidRPr="00624C81">
        <w:t>14</w:t>
      </w:r>
      <w:r w:rsidR="004607AF">
        <w:t>,</w:t>
      </w:r>
      <w:r w:rsidRPr="00624C81">
        <w:t xml:space="preserve"> 1-9.</w:t>
      </w:r>
    </w:p>
    <w:p w14:paraId="4263CACC" w14:textId="0E8FFE84" w:rsidR="00FB2D11" w:rsidRDefault="00FB2D11" w:rsidP="004607AF">
      <w:pPr>
        <w:pStyle w:val="Body"/>
      </w:pPr>
      <w:r w:rsidRPr="00FB2D11">
        <w:t xml:space="preserve">Tuna, G. E. &amp; </w:t>
      </w:r>
      <w:proofErr w:type="spellStart"/>
      <w:r w:rsidRPr="00FB2D11">
        <w:t>Ulutas</w:t>
      </w:r>
      <w:proofErr w:type="spellEnd"/>
      <w:r w:rsidRPr="00FB2D11">
        <w:t>, B., (2024). The systemic-immune inflammation index in naturally obese dogs. Assiut Veterinary Medical Journal, </w:t>
      </w:r>
      <w:r w:rsidRPr="00FB2D11">
        <w:rPr>
          <w:i/>
          <w:iCs/>
        </w:rPr>
        <w:t>70</w:t>
      </w:r>
      <w:r w:rsidRPr="00FB2D11">
        <w:t>(180), 1-9.</w:t>
      </w:r>
    </w:p>
    <w:p w14:paraId="2AF05DD7" w14:textId="7381174A" w:rsidR="004607AF" w:rsidRDefault="004607AF" w:rsidP="004607AF">
      <w:pPr>
        <w:pStyle w:val="Body"/>
      </w:pPr>
      <w:proofErr w:type="spellStart"/>
      <w:r w:rsidRPr="004607AF">
        <w:t>Voudoukis</w:t>
      </w:r>
      <w:proofErr w:type="spellEnd"/>
      <w:r w:rsidRPr="004607AF">
        <w:t xml:space="preserve">, E., </w:t>
      </w:r>
      <w:proofErr w:type="spellStart"/>
      <w:r w:rsidRPr="004607AF">
        <w:t>Karmiris</w:t>
      </w:r>
      <w:proofErr w:type="spellEnd"/>
      <w:r w:rsidRPr="004607AF">
        <w:t xml:space="preserve">, K. </w:t>
      </w:r>
      <w:r>
        <w:t>&amp;</w:t>
      </w:r>
      <w:r w:rsidRPr="004607AF">
        <w:t xml:space="preserve"> </w:t>
      </w:r>
      <w:proofErr w:type="spellStart"/>
      <w:r w:rsidRPr="004607AF">
        <w:t>Koutroubakis</w:t>
      </w:r>
      <w:proofErr w:type="spellEnd"/>
      <w:r w:rsidRPr="004607AF">
        <w:t xml:space="preserve">, I.E., </w:t>
      </w:r>
      <w:r>
        <w:t>(</w:t>
      </w:r>
      <w:r w:rsidRPr="004607AF">
        <w:t>2014</w:t>
      </w:r>
      <w:r>
        <w:t>)</w:t>
      </w:r>
      <w:r w:rsidRPr="004607AF">
        <w:t>. Multipotent role of platelets in inflammatory bowel diseases: a clinical approach. </w:t>
      </w:r>
      <w:r w:rsidRPr="003E592A">
        <w:t>World Journal of Gastroenterology</w:t>
      </w:r>
      <w:r w:rsidRPr="004607AF">
        <w:rPr>
          <w:i/>
          <w:iCs/>
        </w:rPr>
        <w:t xml:space="preserve">: </w:t>
      </w:r>
      <w:r w:rsidRPr="003E592A">
        <w:t>WJG</w:t>
      </w:r>
      <w:r w:rsidRPr="004607AF">
        <w:t>, </w:t>
      </w:r>
      <w:r w:rsidRPr="004607AF">
        <w:rPr>
          <w:i/>
          <w:iCs/>
        </w:rPr>
        <w:t>20</w:t>
      </w:r>
      <w:r w:rsidRPr="004607AF">
        <w:t>(12),</w:t>
      </w:r>
      <w:r w:rsidR="003E592A">
        <w:t xml:space="preserve"> </w:t>
      </w:r>
      <w:r w:rsidRPr="004607AF">
        <w:t>3180.</w:t>
      </w:r>
    </w:p>
    <w:p w14:paraId="02BFA9F6" w14:textId="42534269" w:rsidR="007A0AE7" w:rsidRDefault="007A0AE7" w:rsidP="002002D8">
      <w:pPr>
        <w:pStyle w:val="Body"/>
        <w:spacing w:after="0"/>
      </w:pPr>
    </w:p>
    <w:p w14:paraId="0F278918" w14:textId="7FBF77BF" w:rsidR="007A0AE7" w:rsidRDefault="007A0AE7" w:rsidP="002002D8">
      <w:pPr>
        <w:pStyle w:val="Body"/>
        <w:spacing w:after="0"/>
      </w:pPr>
      <w:proofErr w:type="spellStart"/>
      <w:r w:rsidRPr="007A0AE7">
        <w:t>Yazl</w:t>
      </w:r>
      <w:r>
        <w:t>i</w:t>
      </w:r>
      <w:r w:rsidRPr="007A0AE7">
        <w:t>k</w:t>
      </w:r>
      <w:proofErr w:type="spellEnd"/>
      <w:r w:rsidRPr="007A0AE7">
        <w:t>, M.O.</w:t>
      </w:r>
      <w:r>
        <w:t>,</w:t>
      </w:r>
      <w:r w:rsidRPr="007A0AE7">
        <w:t xml:space="preserve"> </w:t>
      </w:r>
      <w:proofErr w:type="spellStart"/>
      <w:r w:rsidRPr="007A0AE7">
        <w:t>Mutluer</w:t>
      </w:r>
      <w:proofErr w:type="spellEnd"/>
      <w:r w:rsidRPr="007A0AE7">
        <w:t xml:space="preserve">, </w:t>
      </w:r>
      <w:r>
        <w:t>I</w:t>
      </w:r>
      <w:r w:rsidRPr="007A0AE7">
        <w:t>.</w:t>
      </w:r>
      <w:r>
        <w:t>,</w:t>
      </w:r>
      <w:r w:rsidRPr="007A0AE7">
        <w:t xml:space="preserve"> Y</w:t>
      </w:r>
      <w:r>
        <w:t>i</w:t>
      </w:r>
      <w:r w:rsidRPr="007A0AE7">
        <w:t>ld</w:t>
      </w:r>
      <w:r>
        <w:t>i</w:t>
      </w:r>
      <w:r w:rsidRPr="007A0AE7">
        <w:t>r</w:t>
      </w:r>
      <w:r>
        <w:t>i</w:t>
      </w:r>
      <w:r w:rsidRPr="007A0AE7">
        <w:t>m, M.</w:t>
      </w:r>
      <w:r>
        <w:t>,</w:t>
      </w:r>
      <w:r w:rsidRPr="007A0AE7">
        <w:t xml:space="preserve"> Kaya, U.</w:t>
      </w:r>
      <w:r>
        <w:t>,</w:t>
      </w:r>
      <w:r w:rsidRPr="007A0AE7">
        <w:t xml:space="preserve"> </w:t>
      </w:r>
      <w:proofErr w:type="spellStart"/>
      <w:r w:rsidRPr="007A0AE7">
        <w:t>Çolako</w:t>
      </w:r>
      <w:r>
        <w:t>g</w:t>
      </w:r>
      <w:r w:rsidRPr="007A0AE7">
        <w:t>lu</w:t>
      </w:r>
      <w:proofErr w:type="spellEnd"/>
      <w:r w:rsidRPr="007A0AE7">
        <w:t xml:space="preserve">, H.E. </w:t>
      </w:r>
      <w:r>
        <w:t>&amp;</w:t>
      </w:r>
      <w:r w:rsidRPr="007A0AE7">
        <w:t xml:space="preserve"> </w:t>
      </w:r>
      <w:proofErr w:type="spellStart"/>
      <w:r w:rsidRPr="007A0AE7">
        <w:t>Vural</w:t>
      </w:r>
      <w:proofErr w:type="spellEnd"/>
      <w:r w:rsidRPr="007A0AE7">
        <w:t>, M.R.</w:t>
      </w:r>
      <w:r>
        <w:t>,</w:t>
      </w:r>
      <w:r w:rsidRPr="007A0AE7">
        <w:t xml:space="preserve"> (2022)</w:t>
      </w:r>
      <w:r>
        <w:t>.</w:t>
      </w:r>
      <w:r w:rsidRPr="007A0AE7">
        <w:t xml:space="preserve"> The evaluation of SIRS status with </w:t>
      </w:r>
      <w:proofErr w:type="spellStart"/>
      <w:r w:rsidRPr="007A0AE7">
        <w:t>hemato</w:t>
      </w:r>
      <w:proofErr w:type="spellEnd"/>
      <w:r w:rsidRPr="007A0AE7">
        <w:t>-biochemical indices in bitches affected from pyometra and the Usefulness of these indices as a potential diagnostic tool. Theriogenology, 193, 120-127</w:t>
      </w:r>
      <w:r>
        <w:t>.</w:t>
      </w:r>
    </w:p>
    <w:p w14:paraId="6F61E6E0" w14:textId="0208FF0E" w:rsidR="007F6D61" w:rsidRDefault="007F6D61" w:rsidP="002002D8">
      <w:pPr>
        <w:pStyle w:val="Body"/>
        <w:spacing w:after="0"/>
      </w:pPr>
    </w:p>
    <w:p w14:paraId="2E2D6DC4" w14:textId="79E66661" w:rsidR="007F6D61" w:rsidRPr="002002D8" w:rsidRDefault="007F6D61" w:rsidP="002002D8">
      <w:pPr>
        <w:pStyle w:val="Body"/>
        <w:spacing w:after="0"/>
        <w:rPr>
          <w:lang w:val="en-IN"/>
        </w:rPr>
      </w:pPr>
      <w:proofErr w:type="spellStart"/>
      <w:r w:rsidRPr="007F6D61">
        <w:t>Zahorec</w:t>
      </w:r>
      <w:proofErr w:type="spellEnd"/>
      <w:r w:rsidRPr="007F6D61">
        <w:t xml:space="preserve">, R., </w:t>
      </w:r>
      <w:r>
        <w:t>(</w:t>
      </w:r>
      <w:r w:rsidRPr="007F6D61">
        <w:t>2001</w:t>
      </w:r>
      <w:r>
        <w:t>)</w:t>
      </w:r>
      <w:r w:rsidRPr="007F6D61">
        <w:t>. Ratio of neutrophil to lymphocyte counts--rapid and simple parameter of systemic inflammation and stress in critically ill. </w:t>
      </w:r>
      <w:proofErr w:type="spellStart"/>
      <w:r w:rsidRPr="007F6D61">
        <w:rPr>
          <w:i/>
          <w:iCs/>
        </w:rPr>
        <w:t>Bratislavske</w:t>
      </w:r>
      <w:proofErr w:type="spellEnd"/>
      <w:r w:rsidRPr="007F6D61">
        <w:rPr>
          <w:i/>
          <w:iCs/>
        </w:rPr>
        <w:t xml:space="preserve"> </w:t>
      </w:r>
      <w:proofErr w:type="spellStart"/>
      <w:r w:rsidRPr="007F6D61">
        <w:rPr>
          <w:i/>
          <w:iCs/>
        </w:rPr>
        <w:t>lekarske</w:t>
      </w:r>
      <w:proofErr w:type="spellEnd"/>
      <w:r w:rsidRPr="007F6D61">
        <w:rPr>
          <w:i/>
          <w:iCs/>
        </w:rPr>
        <w:t xml:space="preserve"> </w:t>
      </w:r>
      <w:proofErr w:type="spellStart"/>
      <w:r w:rsidRPr="007F6D61">
        <w:rPr>
          <w:i/>
          <w:iCs/>
        </w:rPr>
        <w:t>listy</w:t>
      </w:r>
      <w:proofErr w:type="spellEnd"/>
      <w:r w:rsidRPr="007F6D61">
        <w:t>, </w:t>
      </w:r>
      <w:r w:rsidRPr="007F6D61">
        <w:rPr>
          <w:i/>
          <w:iCs/>
        </w:rPr>
        <w:t>102</w:t>
      </w:r>
      <w:r w:rsidRPr="007F6D61">
        <w:t>(1), 5-14.</w:t>
      </w:r>
    </w:p>
    <w:p w14:paraId="355CC380" w14:textId="77777777" w:rsidR="00284C4C" w:rsidRDefault="00284C4C" w:rsidP="000D689F">
      <w:pPr>
        <w:pStyle w:val="Body"/>
        <w:spacing w:after="0"/>
      </w:pPr>
    </w:p>
    <w:p w14:paraId="68506B5A" w14:textId="501D05E3" w:rsidR="00FF2A2D" w:rsidRPr="00FF2A2D" w:rsidRDefault="00284C4C" w:rsidP="00FF2A2D">
      <w:pPr>
        <w:pStyle w:val="Body"/>
        <w:spacing w:after="0"/>
        <w:rPr>
          <w:b/>
          <w:bCs/>
          <w:lang w:val="en-IN"/>
        </w:rPr>
      </w:pPr>
      <w:r w:rsidRPr="003763C1">
        <w:t xml:space="preserve"> </w:t>
      </w:r>
    </w:p>
    <w:p w14:paraId="28F7A9E4" w14:textId="77777777" w:rsidR="00FF2A2D" w:rsidRPr="003763C1" w:rsidRDefault="00FF2A2D" w:rsidP="00284C4C">
      <w:pPr>
        <w:pStyle w:val="Body"/>
        <w:spacing w:after="0"/>
      </w:pPr>
    </w:p>
    <w:p w14:paraId="0AE34CCC" w14:textId="77777777" w:rsidR="00284C4C" w:rsidRDefault="00284C4C" w:rsidP="00441B6F">
      <w:pPr>
        <w:pStyle w:val="Body"/>
        <w:spacing w:after="0"/>
        <w:rPr>
          <w:i/>
          <w:u w:val="single"/>
        </w:rPr>
      </w:pPr>
    </w:p>
    <w:p w14:paraId="34513668" w14:textId="77777777" w:rsidR="00287E68" w:rsidRDefault="00287E68" w:rsidP="00441B6F">
      <w:pPr>
        <w:pStyle w:val="Body"/>
        <w:spacing w:after="0"/>
        <w:rPr>
          <w:rFonts w:ascii="Arial" w:hAnsi="Arial" w:cs="Arial"/>
          <w:b/>
        </w:rPr>
      </w:pPr>
    </w:p>
    <w:p w14:paraId="4E3B11E8" w14:textId="0326ADB1" w:rsidR="004D4277" w:rsidRPr="00FB3A86" w:rsidRDefault="004D4277" w:rsidP="00441B6F">
      <w:pPr>
        <w:pStyle w:val="Appendix"/>
        <w:spacing w:after="0"/>
        <w:jc w:val="both"/>
        <w:rPr>
          <w:rFonts w:ascii="Arial" w:hAnsi="Arial" w:cs="Arial"/>
          <w:b w:val="0"/>
        </w:rPr>
        <w:sectPr w:rsidR="004D4277" w:rsidRPr="00FB3A86" w:rsidSect="0021621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pPr>
    </w:p>
    <w:p w14:paraId="4B2AC25A" w14:textId="77777777" w:rsidR="00B01FCD" w:rsidRPr="00FB3A86" w:rsidRDefault="00B01FCD" w:rsidP="00441B6F">
      <w:pPr>
        <w:pStyle w:val="Appendix"/>
        <w:spacing w:after="0"/>
        <w:jc w:val="both"/>
        <w:rPr>
          <w:rFonts w:ascii="Arial" w:hAnsi="Arial" w:cs="Arial"/>
          <w:b w:val="0"/>
        </w:rPr>
      </w:pPr>
    </w:p>
    <w:sectPr w:rsidR="00B01FCD" w:rsidRPr="00FB3A86" w:rsidSect="002162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46816" w14:textId="77777777" w:rsidR="00D92C16" w:rsidRDefault="00D92C16" w:rsidP="00C37E61">
      <w:r>
        <w:separator/>
      </w:r>
    </w:p>
  </w:endnote>
  <w:endnote w:type="continuationSeparator" w:id="0">
    <w:p w14:paraId="67EDCFAC" w14:textId="77777777" w:rsidR="00D92C16" w:rsidRDefault="00D92C1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665F" w14:textId="77777777" w:rsidR="00714934" w:rsidRDefault="00714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8C33"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4E346" w14:textId="77777777" w:rsidR="00714934" w:rsidRDefault="00714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4E465" w14:textId="77777777" w:rsidR="00D92C16" w:rsidRDefault="00D92C16" w:rsidP="00C37E61">
      <w:r>
        <w:separator/>
      </w:r>
    </w:p>
  </w:footnote>
  <w:footnote w:type="continuationSeparator" w:id="0">
    <w:p w14:paraId="55E91A0A" w14:textId="77777777" w:rsidR="00D92C16" w:rsidRDefault="00D92C1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A1DD" w14:textId="6E658217" w:rsidR="00714934" w:rsidRDefault="00714934">
    <w:pPr>
      <w:pStyle w:val="Header"/>
    </w:pPr>
    <w:r>
      <w:rPr>
        <w:noProof/>
      </w:rPr>
      <w:pict w14:anchorId="52505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73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0663" w14:textId="6C3A2B92" w:rsidR="00714934" w:rsidRDefault="00714934">
    <w:pPr>
      <w:pStyle w:val="Header"/>
    </w:pPr>
    <w:r>
      <w:rPr>
        <w:noProof/>
      </w:rPr>
      <w:pict w14:anchorId="56EA0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73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D9E60" w14:textId="6AADBF25" w:rsidR="00714934" w:rsidRDefault="00714934">
    <w:pPr>
      <w:pStyle w:val="Header"/>
    </w:pPr>
    <w:r>
      <w:rPr>
        <w:noProof/>
      </w:rPr>
      <w:pict w14:anchorId="3A264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73515"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52D3262"/>
    <w:multiLevelType w:val="hybridMultilevel"/>
    <w:tmpl w:val="0A5E24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A6219"/>
    <w:rsid w:val="00000F8F"/>
    <w:rsid w:val="00030174"/>
    <w:rsid w:val="000378F7"/>
    <w:rsid w:val="000421EA"/>
    <w:rsid w:val="0004579C"/>
    <w:rsid w:val="00066510"/>
    <w:rsid w:val="00075712"/>
    <w:rsid w:val="00086256"/>
    <w:rsid w:val="00092265"/>
    <w:rsid w:val="00092BBC"/>
    <w:rsid w:val="000A47FA"/>
    <w:rsid w:val="000A65D3"/>
    <w:rsid w:val="000B1E33"/>
    <w:rsid w:val="000B2105"/>
    <w:rsid w:val="000B332A"/>
    <w:rsid w:val="000B4B6B"/>
    <w:rsid w:val="000D0DB9"/>
    <w:rsid w:val="000D507C"/>
    <w:rsid w:val="000D689F"/>
    <w:rsid w:val="000E7B7B"/>
    <w:rsid w:val="000E7D62"/>
    <w:rsid w:val="00103357"/>
    <w:rsid w:val="0011357A"/>
    <w:rsid w:val="00114C75"/>
    <w:rsid w:val="0012044B"/>
    <w:rsid w:val="00121EB5"/>
    <w:rsid w:val="00123C9F"/>
    <w:rsid w:val="00126190"/>
    <w:rsid w:val="00130F17"/>
    <w:rsid w:val="001320BF"/>
    <w:rsid w:val="00151749"/>
    <w:rsid w:val="0016195E"/>
    <w:rsid w:val="00163BC4"/>
    <w:rsid w:val="00182429"/>
    <w:rsid w:val="00182ED6"/>
    <w:rsid w:val="00191062"/>
    <w:rsid w:val="00192B72"/>
    <w:rsid w:val="00193463"/>
    <w:rsid w:val="001A0CAC"/>
    <w:rsid w:val="001A29D8"/>
    <w:rsid w:val="001A5CAA"/>
    <w:rsid w:val="001B0427"/>
    <w:rsid w:val="001B1BCF"/>
    <w:rsid w:val="001B7938"/>
    <w:rsid w:val="001D3A51"/>
    <w:rsid w:val="001E10D2"/>
    <w:rsid w:val="001E25B4"/>
    <w:rsid w:val="001E44FE"/>
    <w:rsid w:val="001E5418"/>
    <w:rsid w:val="002002D8"/>
    <w:rsid w:val="00200595"/>
    <w:rsid w:val="00202378"/>
    <w:rsid w:val="00204835"/>
    <w:rsid w:val="00205F8E"/>
    <w:rsid w:val="0020640D"/>
    <w:rsid w:val="002114FD"/>
    <w:rsid w:val="00216218"/>
    <w:rsid w:val="00231920"/>
    <w:rsid w:val="0023195C"/>
    <w:rsid w:val="00232C70"/>
    <w:rsid w:val="002411DE"/>
    <w:rsid w:val="0024282C"/>
    <w:rsid w:val="002460DC"/>
    <w:rsid w:val="00250985"/>
    <w:rsid w:val="002556F6"/>
    <w:rsid w:val="00260553"/>
    <w:rsid w:val="00265273"/>
    <w:rsid w:val="002826FB"/>
    <w:rsid w:val="00283105"/>
    <w:rsid w:val="00284C4C"/>
    <w:rsid w:val="00287E68"/>
    <w:rsid w:val="00291CC5"/>
    <w:rsid w:val="00296529"/>
    <w:rsid w:val="002A44F1"/>
    <w:rsid w:val="002B27FB"/>
    <w:rsid w:val="002B685A"/>
    <w:rsid w:val="002C0488"/>
    <w:rsid w:val="002C3CD6"/>
    <w:rsid w:val="002C57D2"/>
    <w:rsid w:val="002E0D56"/>
    <w:rsid w:val="002E2B1E"/>
    <w:rsid w:val="002E6500"/>
    <w:rsid w:val="002F29AA"/>
    <w:rsid w:val="00315186"/>
    <w:rsid w:val="0033343E"/>
    <w:rsid w:val="003512C2"/>
    <w:rsid w:val="00352F50"/>
    <w:rsid w:val="00371FB6"/>
    <w:rsid w:val="003763C1"/>
    <w:rsid w:val="00376BBE"/>
    <w:rsid w:val="0039169D"/>
    <w:rsid w:val="0039224F"/>
    <w:rsid w:val="003942AF"/>
    <w:rsid w:val="003A43A4"/>
    <w:rsid w:val="003A7E18"/>
    <w:rsid w:val="003B616E"/>
    <w:rsid w:val="003C4C86"/>
    <w:rsid w:val="003C6258"/>
    <w:rsid w:val="003C664D"/>
    <w:rsid w:val="003D0AF6"/>
    <w:rsid w:val="003E2904"/>
    <w:rsid w:val="003E592A"/>
    <w:rsid w:val="00401927"/>
    <w:rsid w:val="00407469"/>
    <w:rsid w:val="0041027F"/>
    <w:rsid w:val="00412475"/>
    <w:rsid w:val="00423789"/>
    <w:rsid w:val="004314BE"/>
    <w:rsid w:val="00440F43"/>
    <w:rsid w:val="00441B6F"/>
    <w:rsid w:val="00445EEB"/>
    <w:rsid w:val="00446221"/>
    <w:rsid w:val="00450E62"/>
    <w:rsid w:val="00453660"/>
    <w:rsid w:val="004539DB"/>
    <w:rsid w:val="004607AF"/>
    <w:rsid w:val="00471A80"/>
    <w:rsid w:val="00473D75"/>
    <w:rsid w:val="004A0FBA"/>
    <w:rsid w:val="004D2B65"/>
    <w:rsid w:val="004D305E"/>
    <w:rsid w:val="004D4277"/>
    <w:rsid w:val="004E4027"/>
    <w:rsid w:val="00502516"/>
    <w:rsid w:val="0050332F"/>
    <w:rsid w:val="00505F06"/>
    <w:rsid w:val="00506828"/>
    <w:rsid w:val="0051200B"/>
    <w:rsid w:val="00515AD7"/>
    <w:rsid w:val="0053056E"/>
    <w:rsid w:val="00532445"/>
    <w:rsid w:val="005438E6"/>
    <w:rsid w:val="00550641"/>
    <w:rsid w:val="00554FDA"/>
    <w:rsid w:val="005606A9"/>
    <w:rsid w:val="00571DF5"/>
    <w:rsid w:val="00597F92"/>
    <w:rsid w:val="005A16C3"/>
    <w:rsid w:val="005A55AC"/>
    <w:rsid w:val="005B2CCC"/>
    <w:rsid w:val="005C784C"/>
    <w:rsid w:val="005D17F6"/>
    <w:rsid w:val="005D2FCE"/>
    <w:rsid w:val="005D6C43"/>
    <w:rsid w:val="005E2739"/>
    <w:rsid w:val="005E5539"/>
    <w:rsid w:val="005F174A"/>
    <w:rsid w:val="00602BF5"/>
    <w:rsid w:val="00617FDD"/>
    <w:rsid w:val="006207B0"/>
    <w:rsid w:val="006238E4"/>
    <w:rsid w:val="00624C81"/>
    <w:rsid w:val="00633614"/>
    <w:rsid w:val="00633F68"/>
    <w:rsid w:val="0063627D"/>
    <w:rsid w:val="00636EB2"/>
    <w:rsid w:val="006375B8"/>
    <w:rsid w:val="0066510A"/>
    <w:rsid w:val="00665382"/>
    <w:rsid w:val="00673F9F"/>
    <w:rsid w:val="00680019"/>
    <w:rsid w:val="00681D92"/>
    <w:rsid w:val="006847C6"/>
    <w:rsid w:val="00686953"/>
    <w:rsid w:val="00687DEA"/>
    <w:rsid w:val="00687E67"/>
    <w:rsid w:val="006967F7"/>
    <w:rsid w:val="006A250C"/>
    <w:rsid w:val="006B21D3"/>
    <w:rsid w:val="006B227D"/>
    <w:rsid w:val="006B57D0"/>
    <w:rsid w:val="006C3579"/>
    <w:rsid w:val="006D30FF"/>
    <w:rsid w:val="006D4B8D"/>
    <w:rsid w:val="006D6940"/>
    <w:rsid w:val="006D7AEA"/>
    <w:rsid w:val="006F11EC"/>
    <w:rsid w:val="0070082C"/>
    <w:rsid w:val="00706E79"/>
    <w:rsid w:val="00707E03"/>
    <w:rsid w:val="00714934"/>
    <w:rsid w:val="007369E6"/>
    <w:rsid w:val="00746E59"/>
    <w:rsid w:val="00754C9A"/>
    <w:rsid w:val="0075599A"/>
    <w:rsid w:val="00761D52"/>
    <w:rsid w:val="007654BA"/>
    <w:rsid w:val="007744D9"/>
    <w:rsid w:val="0077749E"/>
    <w:rsid w:val="0078211D"/>
    <w:rsid w:val="00790ADA"/>
    <w:rsid w:val="007A0AE7"/>
    <w:rsid w:val="007A211E"/>
    <w:rsid w:val="007A746E"/>
    <w:rsid w:val="007C078A"/>
    <w:rsid w:val="007D0D80"/>
    <w:rsid w:val="007D2288"/>
    <w:rsid w:val="007E088F"/>
    <w:rsid w:val="007F2645"/>
    <w:rsid w:val="007F5059"/>
    <w:rsid w:val="007F6D61"/>
    <w:rsid w:val="007F7B32"/>
    <w:rsid w:val="00804BC2"/>
    <w:rsid w:val="008100E8"/>
    <w:rsid w:val="0081431A"/>
    <w:rsid w:val="008223AE"/>
    <w:rsid w:val="0083216F"/>
    <w:rsid w:val="008434F0"/>
    <w:rsid w:val="00844E85"/>
    <w:rsid w:val="008471FC"/>
    <w:rsid w:val="00854ACC"/>
    <w:rsid w:val="00860000"/>
    <w:rsid w:val="00861ECC"/>
    <w:rsid w:val="00863BD3"/>
    <w:rsid w:val="008641ED"/>
    <w:rsid w:val="00866D66"/>
    <w:rsid w:val="008671C6"/>
    <w:rsid w:val="00867C36"/>
    <w:rsid w:val="00875803"/>
    <w:rsid w:val="0087731C"/>
    <w:rsid w:val="008868E4"/>
    <w:rsid w:val="008911D3"/>
    <w:rsid w:val="008A54F0"/>
    <w:rsid w:val="008B459E"/>
    <w:rsid w:val="008B6674"/>
    <w:rsid w:val="008C31D6"/>
    <w:rsid w:val="008C49FF"/>
    <w:rsid w:val="008D65DF"/>
    <w:rsid w:val="008E13AE"/>
    <w:rsid w:val="008E1506"/>
    <w:rsid w:val="008E710C"/>
    <w:rsid w:val="008F69D6"/>
    <w:rsid w:val="00902823"/>
    <w:rsid w:val="0091321C"/>
    <w:rsid w:val="00915CA6"/>
    <w:rsid w:val="00927834"/>
    <w:rsid w:val="009500A6"/>
    <w:rsid w:val="00957C18"/>
    <w:rsid w:val="00964C10"/>
    <w:rsid w:val="009659BA"/>
    <w:rsid w:val="00966561"/>
    <w:rsid w:val="00980449"/>
    <w:rsid w:val="00983040"/>
    <w:rsid w:val="00995C65"/>
    <w:rsid w:val="0099760D"/>
    <w:rsid w:val="009B3FB9"/>
    <w:rsid w:val="009B5F42"/>
    <w:rsid w:val="009C2465"/>
    <w:rsid w:val="009C480A"/>
    <w:rsid w:val="009D35A0"/>
    <w:rsid w:val="009D5392"/>
    <w:rsid w:val="009D7EB7"/>
    <w:rsid w:val="009E048A"/>
    <w:rsid w:val="009E08E9"/>
    <w:rsid w:val="009E3DB9"/>
    <w:rsid w:val="009E6E35"/>
    <w:rsid w:val="009F0EDA"/>
    <w:rsid w:val="00A03B96"/>
    <w:rsid w:val="00A03CAA"/>
    <w:rsid w:val="00A04007"/>
    <w:rsid w:val="00A056CC"/>
    <w:rsid w:val="00A05B19"/>
    <w:rsid w:val="00A1134E"/>
    <w:rsid w:val="00A2024F"/>
    <w:rsid w:val="00A24E7E"/>
    <w:rsid w:val="00A258C3"/>
    <w:rsid w:val="00A347C0"/>
    <w:rsid w:val="00A348D5"/>
    <w:rsid w:val="00A355DB"/>
    <w:rsid w:val="00A35807"/>
    <w:rsid w:val="00A51431"/>
    <w:rsid w:val="00A539AD"/>
    <w:rsid w:val="00A60455"/>
    <w:rsid w:val="00A635B8"/>
    <w:rsid w:val="00A6606D"/>
    <w:rsid w:val="00A83078"/>
    <w:rsid w:val="00A93FDE"/>
    <w:rsid w:val="00A94063"/>
    <w:rsid w:val="00AA6219"/>
    <w:rsid w:val="00AA74E0"/>
    <w:rsid w:val="00AB29D5"/>
    <w:rsid w:val="00AB703F"/>
    <w:rsid w:val="00AC3D96"/>
    <w:rsid w:val="00AC6BB8"/>
    <w:rsid w:val="00AE008F"/>
    <w:rsid w:val="00AE06DF"/>
    <w:rsid w:val="00AE3031"/>
    <w:rsid w:val="00AE3ED5"/>
    <w:rsid w:val="00AE40E6"/>
    <w:rsid w:val="00AE6300"/>
    <w:rsid w:val="00AF07CC"/>
    <w:rsid w:val="00B01FCD"/>
    <w:rsid w:val="00B043E9"/>
    <w:rsid w:val="00B1776C"/>
    <w:rsid w:val="00B327E4"/>
    <w:rsid w:val="00B52583"/>
    <w:rsid w:val="00B52896"/>
    <w:rsid w:val="00B828EE"/>
    <w:rsid w:val="00B9167E"/>
    <w:rsid w:val="00B9269E"/>
    <w:rsid w:val="00B92720"/>
    <w:rsid w:val="00B95236"/>
    <w:rsid w:val="00B96BD9"/>
    <w:rsid w:val="00BA0D50"/>
    <w:rsid w:val="00BA1B01"/>
    <w:rsid w:val="00BA2641"/>
    <w:rsid w:val="00BB37AA"/>
    <w:rsid w:val="00BC53A0"/>
    <w:rsid w:val="00BE62AD"/>
    <w:rsid w:val="00BE776D"/>
    <w:rsid w:val="00BE78B2"/>
    <w:rsid w:val="00BF121F"/>
    <w:rsid w:val="00BF1F80"/>
    <w:rsid w:val="00C1007F"/>
    <w:rsid w:val="00C166EF"/>
    <w:rsid w:val="00C17EB0"/>
    <w:rsid w:val="00C210DD"/>
    <w:rsid w:val="00C254F4"/>
    <w:rsid w:val="00C27F5F"/>
    <w:rsid w:val="00C30A0F"/>
    <w:rsid w:val="00C30C70"/>
    <w:rsid w:val="00C347EB"/>
    <w:rsid w:val="00C37E61"/>
    <w:rsid w:val="00C4090D"/>
    <w:rsid w:val="00C41EBF"/>
    <w:rsid w:val="00C70F1B"/>
    <w:rsid w:val="00C71A47"/>
    <w:rsid w:val="00C7464C"/>
    <w:rsid w:val="00C85588"/>
    <w:rsid w:val="00C91DC4"/>
    <w:rsid w:val="00C928EA"/>
    <w:rsid w:val="00CA1EE0"/>
    <w:rsid w:val="00CD2801"/>
    <w:rsid w:val="00CD3C04"/>
    <w:rsid w:val="00CD6755"/>
    <w:rsid w:val="00CD6856"/>
    <w:rsid w:val="00CE0089"/>
    <w:rsid w:val="00CE3490"/>
    <w:rsid w:val="00CE69A1"/>
    <w:rsid w:val="00CE793C"/>
    <w:rsid w:val="00CF193C"/>
    <w:rsid w:val="00CF7161"/>
    <w:rsid w:val="00D10C56"/>
    <w:rsid w:val="00D173F1"/>
    <w:rsid w:val="00D33711"/>
    <w:rsid w:val="00D4719F"/>
    <w:rsid w:val="00D55421"/>
    <w:rsid w:val="00D7107E"/>
    <w:rsid w:val="00D73C06"/>
    <w:rsid w:val="00D73C55"/>
    <w:rsid w:val="00D74CB0"/>
    <w:rsid w:val="00D8295D"/>
    <w:rsid w:val="00D841CB"/>
    <w:rsid w:val="00D910FF"/>
    <w:rsid w:val="00D92C16"/>
    <w:rsid w:val="00D95315"/>
    <w:rsid w:val="00DA6CF5"/>
    <w:rsid w:val="00DC2A65"/>
    <w:rsid w:val="00DD1BD7"/>
    <w:rsid w:val="00DE15F0"/>
    <w:rsid w:val="00DE5663"/>
    <w:rsid w:val="00DE78AA"/>
    <w:rsid w:val="00E04DCA"/>
    <w:rsid w:val="00E053D0"/>
    <w:rsid w:val="00E15994"/>
    <w:rsid w:val="00E3114E"/>
    <w:rsid w:val="00E31A70"/>
    <w:rsid w:val="00E35B02"/>
    <w:rsid w:val="00E50BD1"/>
    <w:rsid w:val="00E66496"/>
    <w:rsid w:val="00E66B35"/>
    <w:rsid w:val="00E66E10"/>
    <w:rsid w:val="00E769F6"/>
    <w:rsid w:val="00E81FBB"/>
    <w:rsid w:val="00E8407C"/>
    <w:rsid w:val="00E84F3C"/>
    <w:rsid w:val="00EA012C"/>
    <w:rsid w:val="00EA646A"/>
    <w:rsid w:val="00EB0959"/>
    <w:rsid w:val="00EB5D27"/>
    <w:rsid w:val="00EB7589"/>
    <w:rsid w:val="00EC6A55"/>
    <w:rsid w:val="00ED0288"/>
    <w:rsid w:val="00ED1E89"/>
    <w:rsid w:val="00ED339B"/>
    <w:rsid w:val="00ED7071"/>
    <w:rsid w:val="00EE021D"/>
    <w:rsid w:val="00EE52CB"/>
    <w:rsid w:val="00EF0C4F"/>
    <w:rsid w:val="00EF3BA9"/>
    <w:rsid w:val="00EF581D"/>
    <w:rsid w:val="00EF7FD8"/>
    <w:rsid w:val="00F05ADD"/>
    <w:rsid w:val="00F06F59"/>
    <w:rsid w:val="00F10150"/>
    <w:rsid w:val="00F101D2"/>
    <w:rsid w:val="00F17988"/>
    <w:rsid w:val="00F300E9"/>
    <w:rsid w:val="00F469F0"/>
    <w:rsid w:val="00F53273"/>
    <w:rsid w:val="00F55880"/>
    <w:rsid w:val="00F735FE"/>
    <w:rsid w:val="00F755E4"/>
    <w:rsid w:val="00F77D02"/>
    <w:rsid w:val="00F91087"/>
    <w:rsid w:val="00FB2D11"/>
    <w:rsid w:val="00FB3A86"/>
    <w:rsid w:val="00FC1507"/>
    <w:rsid w:val="00FD36C8"/>
    <w:rsid w:val="00FE0018"/>
    <w:rsid w:val="00FF2A2D"/>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489084"/>
  <w15:docId w15:val="{D5109687-0B6F-48C1-B7B5-8A9AF9CE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4">
    <w:name w:val="Plain Table 4"/>
    <w:basedOn w:val="TableNormal"/>
    <w:uiPriority w:val="44"/>
    <w:rsid w:val="004314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14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semiHidden/>
    <w:unhideWhenUsed/>
    <w:rsid w:val="00B9272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096895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5119850">
      <w:bodyDiv w:val="1"/>
      <w:marLeft w:val="0"/>
      <w:marRight w:val="0"/>
      <w:marTop w:val="0"/>
      <w:marBottom w:val="0"/>
      <w:divBdr>
        <w:top w:val="none" w:sz="0" w:space="0" w:color="auto"/>
        <w:left w:val="none" w:sz="0" w:space="0" w:color="auto"/>
        <w:bottom w:val="none" w:sz="0" w:space="0" w:color="auto"/>
        <w:right w:val="none" w:sz="0" w:space="0" w:color="auto"/>
      </w:divBdr>
    </w:div>
    <w:div w:id="424112871">
      <w:bodyDiv w:val="1"/>
      <w:marLeft w:val="0"/>
      <w:marRight w:val="0"/>
      <w:marTop w:val="0"/>
      <w:marBottom w:val="0"/>
      <w:divBdr>
        <w:top w:val="none" w:sz="0" w:space="0" w:color="auto"/>
        <w:left w:val="none" w:sz="0" w:space="0" w:color="auto"/>
        <w:bottom w:val="none" w:sz="0" w:space="0" w:color="auto"/>
        <w:right w:val="none" w:sz="0" w:space="0" w:color="auto"/>
      </w:divBdr>
    </w:div>
    <w:div w:id="521013929">
      <w:bodyDiv w:val="1"/>
      <w:marLeft w:val="0"/>
      <w:marRight w:val="0"/>
      <w:marTop w:val="0"/>
      <w:marBottom w:val="0"/>
      <w:divBdr>
        <w:top w:val="none" w:sz="0" w:space="0" w:color="auto"/>
        <w:left w:val="none" w:sz="0" w:space="0" w:color="auto"/>
        <w:bottom w:val="none" w:sz="0" w:space="0" w:color="auto"/>
        <w:right w:val="none" w:sz="0" w:space="0" w:color="auto"/>
      </w:divBdr>
    </w:div>
    <w:div w:id="6145574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0034497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612082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196649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767957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Mutz/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B37F5-92DA-4AD8-B301-E8DBF41C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1815</TotalTime>
  <Pages>9</Pages>
  <Words>3831</Words>
  <Characters>21837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25617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18</cp:revision>
  <cp:lastPrinted>1999-07-06T11:00:00Z</cp:lastPrinted>
  <dcterms:created xsi:type="dcterms:W3CDTF">2025-06-07T00:51:00Z</dcterms:created>
  <dcterms:modified xsi:type="dcterms:W3CDTF">2025-06-21T06:57:00Z</dcterms:modified>
</cp:coreProperties>
</file>